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E861" w14:textId="77777777" w:rsidR="001F143B" w:rsidRPr="000C560F" w:rsidRDefault="001F143B" w:rsidP="001F143B">
      <w:pPr>
        <w:tabs>
          <w:tab w:val="left" w:pos="284"/>
        </w:tabs>
        <w:spacing w:after="480"/>
        <w:rPr>
          <w:sz w:val="22"/>
          <w:szCs w:val="22"/>
        </w:rPr>
      </w:pPr>
      <w:r w:rsidRPr="000C560F">
        <w:rPr>
          <w:noProof/>
          <w:sz w:val="22"/>
          <w:szCs w:val="22"/>
          <w:lang w:val="en-AU"/>
        </w:rPr>
        <mc:AlternateContent>
          <mc:Choice Requires="wps">
            <w:drawing>
              <wp:inline distT="0" distB="0" distL="0" distR="0" wp14:anchorId="23A693D0" wp14:editId="48816818">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8C75C" w14:textId="77777777" w:rsidR="00303736" w:rsidRPr="00BE2A26" w:rsidRDefault="00303736" w:rsidP="001F143B">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3A693D0"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1BA8C75C" w14:textId="77777777" w:rsidR="00303736" w:rsidRPr="00BE2A26" w:rsidRDefault="00303736" w:rsidP="001F143B">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0C560F">
        <w:rPr>
          <w:sz w:val="22"/>
          <w:szCs w:val="22"/>
        </w:rPr>
        <w:t xml:space="preserve">This medicinal product is subject to additional monitoring in Australia. This will allow quick identification of new safety information. Healthcare professionals are asked to report any suspected adverse events at </w:t>
      </w:r>
      <w:hyperlink r:id="rId7" w:history="1">
        <w:r w:rsidRPr="000C560F">
          <w:rPr>
            <w:rStyle w:val="Hyperlink"/>
            <w:sz w:val="22"/>
            <w:szCs w:val="22"/>
          </w:rPr>
          <w:t>https://www.tga.gov.au/reporting-problems</w:t>
        </w:r>
      </w:hyperlink>
      <w:r w:rsidRPr="000C560F">
        <w:rPr>
          <w:sz w:val="22"/>
          <w:szCs w:val="22"/>
        </w:rPr>
        <w:t>.</w:t>
      </w:r>
    </w:p>
    <w:p w14:paraId="196EE1DF" w14:textId="0DABBEFB" w:rsidR="00834C48" w:rsidRPr="0008620B" w:rsidRDefault="00834C48" w:rsidP="00834C48">
      <w:pPr>
        <w:jc w:val="center"/>
        <w:rPr>
          <w:b/>
          <w:color w:val="auto"/>
          <w:sz w:val="28"/>
          <w:szCs w:val="28"/>
        </w:rPr>
      </w:pPr>
      <w:r w:rsidRPr="0008620B">
        <w:rPr>
          <w:b/>
          <w:color w:val="auto"/>
          <w:sz w:val="28"/>
          <w:szCs w:val="28"/>
        </w:rPr>
        <w:t>AUSTRALIAN PRODUCT INFORMATION</w:t>
      </w:r>
    </w:p>
    <w:p w14:paraId="4DDBD81D" w14:textId="508AC730" w:rsidR="00834C48" w:rsidRPr="0008620B" w:rsidRDefault="000359B6" w:rsidP="00834C48">
      <w:pPr>
        <w:jc w:val="center"/>
        <w:rPr>
          <w:color w:val="auto"/>
        </w:rPr>
      </w:pPr>
      <w:proofErr w:type="spellStart"/>
      <w:r w:rsidRPr="0008620B">
        <w:rPr>
          <w:b/>
          <w:color w:val="auto"/>
          <w:sz w:val="28"/>
          <w:szCs w:val="28"/>
        </w:rPr>
        <w:t>Columvi</w:t>
      </w:r>
      <w:proofErr w:type="spellEnd"/>
      <w:r w:rsidR="00834C48" w:rsidRPr="0008620B">
        <w:rPr>
          <w:b/>
          <w:color w:val="auto"/>
          <w:sz w:val="28"/>
          <w:szCs w:val="28"/>
        </w:rPr>
        <w:t xml:space="preserve"> (</w:t>
      </w:r>
      <w:proofErr w:type="spellStart"/>
      <w:r w:rsidR="008C0CC9" w:rsidRPr="0008620B">
        <w:rPr>
          <w:b/>
          <w:color w:val="auto"/>
          <w:sz w:val="28"/>
          <w:szCs w:val="28"/>
        </w:rPr>
        <w:t>glofitamab</w:t>
      </w:r>
      <w:proofErr w:type="spellEnd"/>
      <w:r w:rsidR="00834C48" w:rsidRPr="0008620B">
        <w:rPr>
          <w:b/>
          <w:color w:val="auto"/>
          <w:sz w:val="28"/>
          <w:szCs w:val="28"/>
        </w:rPr>
        <w:t>)</w:t>
      </w:r>
    </w:p>
    <w:p w14:paraId="3B075C75" w14:textId="77777777" w:rsidR="00A44065" w:rsidRPr="00D012A5" w:rsidRDefault="00A44065" w:rsidP="00A44065">
      <w:pPr>
        <w:jc w:val="center"/>
        <w:rPr>
          <w:b/>
          <w:color w:val="auto"/>
          <w:sz w:val="28"/>
          <w:szCs w:val="28"/>
        </w:rPr>
      </w:pPr>
    </w:p>
    <w:tbl>
      <w:tblPr>
        <w:tblStyle w:val="TableGrid"/>
        <w:tblW w:w="0" w:type="auto"/>
        <w:tblInd w:w="0" w:type="dxa"/>
        <w:tblLook w:val="04A0" w:firstRow="1" w:lastRow="0" w:firstColumn="1" w:lastColumn="0" w:noHBand="0" w:noVBand="1"/>
      </w:tblPr>
      <w:tblGrid>
        <w:gridCol w:w="9016"/>
      </w:tblGrid>
      <w:tr w:rsidR="00A44065" w:rsidRPr="003F78EC" w14:paraId="54A74B85" w14:textId="77777777" w:rsidTr="00934295">
        <w:tc>
          <w:tcPr>
            <w:tcW w:w="9016" w:type="dxa"/>
          </w:tcPr>
          <w:p w14:paraId="2472BB77" w14:textId="77777777" w:rsidR="00A44065" w:rsidRPr="00D012A5" w:rsidRDefault="00A44065" w:rsidP="00934295">
            <w:pPr>
              <w:autoSpaceDE w:val="0"/>
              <w:autoSpaceDN w:val="0"/>
              <w:adjustRightInd w:val="0"/>
              <w:rPr>
                <w:rFonts w:ascii="TimesNewRomanPS-BoldMT" w:hAnsi="TimesNewRomanPS-BoldMT" w:cs="TimesNewRomanPS-BoldMT"/>
                <w:b/>
                <w:bCs/>
                <w:sz w:val="23"/>
                <w:szCs w:val="23"/>
                <w:lang w:val="en-AU"/>
              </w:rPr>
            </w:pPr>
            <w:r w:rsidRPr="00D012A5">
              <w:rPr>
                <w:rFonts w:ascii="TimesNewRomanPS-BoldMT" w:hAnsi="TimesNewRomanPS-BoldMT" w:cs="TimesNewRomanPS-BoldMT"/>
                <w:b/>
                <w:bCs/>
                <w:sz w:val="23"/>
                <w:szCs w:val="23"/>
                <w:lang w:val="en-AU"/>
              </w:rPr>
              <w:t>WARNING: CYTOKINE RELEASE SYNDROME</w:t>
            </w:r>
          </w:p>
          <w:p w14:paraId="608E783B" w14:textId="77777777" w:rsidR="00A44065" w:rsidRPr="00D012A5" w:rsidRDefault="00A44065" w:rsidP="00934295">
            <w:pPr>
              <w:rPr>
                <w:color w:val="auto"/>
              </w:rPr>
            </w:pPr>
            <w:r w:rsidRPr="003F78EC">
              <w:rPr>
                <w:bCs/>
                <w:iCs/>
                <w:sz w:val="22"/>
                <w:szCs w:val="22"/>
              </w:rPr>
              <w:t xml:space="preserve">Cytokine Release Syndrome (CRS), including life-threatening reactions, occurred in patients receiving COLUMVI. A single dose of </w:t>
            </w:r>
            <w:proofErr w:type="spellStart"/>
            <w:r w:rsidRPr="003F78EC">
              <w:rPr>
                <w:bCs/>
                <w:iCs/>
                <w:sz w:val="22"/>
                <w:szCs w:val="22"/>
              </w:rPr>
              <w:t>obinutuzumab</w:t>
            </w:r>
            <w:proofErr w:type="spellEnd"/>
            <w:r w:rsidRPr="003F78EC">
              <w:rPr>
                <w:bCs/>
                <w:iCs/>
                <w:sz w:val="22"/>
                <w:szCs w:val="22"/>
              </w:rPr>
              <w:t xml:space="preserve"> must be administered 7 days prior to the initial dose of COLUMVI to reduce the risk of CRS. Do not administer COLUMVI to patients with active infection or inflammatory disorders. Follow the pre-medication protocol and treat CRS as per the CRS grading and management guidance.</w:t>
            </w:r>
          </w:p>
        </w:tc>
      </w:tr>
    </w:tbl>
    <w:p w14:paraId="05FEC1E8" w14:textId="77777777" w:rsidR="00834C48" w:rsidRPr="0008620B" w:rsidRDefault="00834C48">
      <w:pPr>
        <w:rPr>
          <w:sz w:val="22"/>
          <w:szCs w:val="22"/>
        </w:rPr>
      </w:pPr>
    </w:p>
    <w:p w14:paraId="19618DF1" w14:textId="77777777" w:rsidR="00D52399" w:rsidRPr="0008620B" w:rsidRDefault="006C73C2" w:rsidP="0087549F">
      <w:pPr>
        <w:pStyle w:val="Heading1"/>
        <w:numPr>
          <w:ilvl w:val="0"/>
          <w:numId w:val="3"/>
        </w:numPr>
        <w:spacing w:before="0"/>
        <w:rPr>
          <w:color w:val="auto"/>
        </w:rPr>
      </w:pPr>
      <w:r w:rsidRPr="0008620B">
        <w:rPr>
          <w:color w:val="auto"/>
        </w:rPr>
        <w:t>NAME OF THE MEDICINE</w:t>
      </w:r>
    </w:p>
    <w:p w14:paraId="6CBA0EBA" w14:textId="165AAC49" w:rsidR="005A2E65" w:rsidRPr="00A44065" w:rsidRDefault="00B719B6" w:rsidP="005A2E65">
      <w:pPr>
        <w:rPr>
          <w:color w:val="auto"/>
          <w:sz w:val="22"/>
          <w:szCs w:val="22"/>
        </w:rPr>
      </w:pPr>
      <w:proofErr w:type="spellStart"/>
      <w:r w:rsidRPr="00A44065">
        <w:rPr>
          <w:color w:val="auto"/>
          <w:sz w:val="22"/>
        </w:rPr>
        <w:t>Columvi</w:t>
      </w:r>
      <w:proofErr w:type="spellEnd"/>
      <w:r w:rsidR="005A2E65" w:rsidRPr="00A44065">
        <w:rPr>
          <w:color w:val="auto"/>
          <w:sz w:val="22"/>
          <w:szCs w:val="22"/>
        </w:rPr>
        <w:t xml:space="preserve"> 2.5 mg concentrate for solution for infusion.</w:t>
      </w:r>
    </w:p>
    <w:p w14:paraId="004708E0" w14:textId="2F903CB2" w:rsidR="005A2E65" w:rsidRPr="00A44065" w:rsidRDefault="00B719B6" w:rsidP="005A2E65">
      <w:pPr>
        <w:rPr>
          <w:color w:val="auto"/>
          <w:sz w:val="22"/>
          <w:szCs w:val="22"/>
        </w:rPr>
      </w:pPr>
      <w:proofErr w:type="spellStart"/>
      <w:r w:rsidRPr="00A44065">
        <w:rPr>
          <w:color w:val="auto"/>
          <w:sz w:val="22"/>
        </w:rPr>
        <w:t>Columvi</w:t>
      </w:r>
      <w:proofErr w:type="spellEnd"/>
      <w:r w:rsidR="005A2E65" w:rsidRPr="00A44065">
        <w:rPr>
          <w:color w:val="auto"/>
          <w:sz w:val="22"/>
          <w:szCs w:val="22"/>
        </w:rPr>
        <w:t xml:space="preserve"> 10 mg concentrate for solution for infusion. </w:t>
      </w:r>
    </w:p>
    <w:p w14:paraId="0157FFF9" w14:textId="77777777" w:rsidR="005A2E65" w:rsidRPr="00A44065" w:rsidRDefault="005A2E65" w:rsidP="005A2E65">
      <w:pPr>
        <w:rPr>
          <w:color w:val="auto"/>
          <w:sz w:val="22"/>
          <w:szCs w:val="22"/>
        </w:rPr>
      </w:pPr>
    </w:p>
    <w:p w14:paraId="61FBEF24" w14:textId="5F314593" w:rsidR="00D52399" w:rsidRPr="00A44065" w:rsidRDefault="00615052" w:rsidP="005A2E65">
      <w:pPr>
        <w:pStyle w:val="Heading1"/>
        <w:numPr>
          <w:ilvl w:val="0"/>
          <w:numId w:val="3"/>
        </w:numPr>
        <w:spacing w:before="0"/>
        <w:rPr>
          <w:color w:val="auto"/>
        </w:rPr>
      </w:pPr>
      <w:r w:rsidRPr="00A44065">
        <w:rPr>
          <w:color w:val="auto"/>
        </w:rPr>
        <w:t>QUALITATIVE AND QUANTITATIVE COMPOSITION</w:t>
      </w:r>
    </w:p>
    <w:p w14:paraId="63835E59" w14:textId="4B7539C7" w:rsidR="005A2E65" w:rsidRPr="00A44065" w:rsidRDefault="00B719B6" w:rsidP="005A2E65">
      <w:pPr>
        <w:rPr>
          <w:rFonts w:eastAsia="SimSun"/>
          <w:color w:val="auto"/>
          <w:sz w:val="22"/>
          <w:u w:val="single"/>
          <w:lang w:val="en-US" w:eastAsia="zh-CN"/>
        </w:rPr>
      </w:pPr>
      <w:proofErr w:type="spellStart"/>
      <w:r w:rsidRPr="00A44065">
        <w:rPr>
          <w:color w:val="auto"/>
          <w:sz w:val="22"/>
          <w:u w:val="single"/>
        </w:rPr>
        <w:t>Columvi</w:t>
      </w:r>
      <w:proofErr w:type="spellEnd"/>
      <w:r w:rsidR="005A2E65" w:rsidRPr="00A44065">
        <w:rPr>
          <w:rFonts w:eastAsia="SimSun"/>
          <w:color w:val="auto"/>
          <w:sz w:val="22"/>
          <w:u w:val="single"/>
          <w:lang w:val="en-US" w:eastAsia="zh-CN"/>
        </w:rPr>
        <w:t xml:space="preserve"> 2.5 mg concentrate</w:t>
      </w:r>
      <w:r w:rsidR="004D5CBC" w:rsidRPr="00A44065">
        <w:rPr>
          <w:rFonts w:eastAsia="SimSun"/>
          <w:color w:val="auto"/>
          <w:sz w:val="22"/>
          <w:u w:val="single"/>
          <w:lang w:val="en-US" w:eastAsia="zh-CN"/>
        </w:rPr>
        <w:t>d injection</w:t>
      </w:r>
    </w:p>
    <w:p w14:paraId="41C76262" w14:textId="77777777" w:rsidR="005A2E65" w:rsidRPr="00A44065" w:rsidRDefault="005A2E65" w:rsidP="005A2E65">
      <w:pPr>
        <w:rPr>
          <w:rFonts w:eastAsia="SimSun"/>
          <w:color w:val="auto"/>
          <w:sz w:val="22"/>
          <w:lang w:val="en-US" w:eastAsia="zh-CN"/>
        </w:rPr>
      </w:pPr>
      <w:r w:rsidRPr="00A44065">
        <w:rPr>
          <w:rFonts w:eastAsia="SimSun"/>
          <w:color w:val="auto"/>
          <w:sz w:val="22"/>
          <w:lang w:val="en-US" w:eastAsia="zh-CN"/>
        </w:rPr>
        <w:t xml:space="preserve">Each vial of 2.5 mL contains 2.5 mg of </w:t>
      </w:r>
      <w:proofErr w:type="spellStart"/>
      <w:r w:rsidRPr="00A44065">
        <w:rPr>
          <w:rFonts w:eastAsia="SimSun"/>
          <w:color w:val="auto"/>
          <w:sz w:val="22"/>
          <w:lang w:val="en-US" w:eastAsia="zh-CN"/>
        </w:rPr>
        <w:t>glofitamab</w:t>
      </w:r>
      <w:proofErr w:type="spellEnd"/>
      <w:r w:rsidRPr="00A44065">
        <w:rPr>
          <w:rFonts w:eastAsia="SimSun"/>
          <w:color w:val="auto"/>
          <w:sz w:val="22"/>
          <w:lang w:val="en-US" w:eastAsia="zh-CN"/>
        </w:rPr>
        <w:t xml:space="preserve"> at a concentration of 1 mg/</w:t>
      </w:r>
      <w:proofErr w:type="spellStart"/>
      <w:r w:rsidRPr="00A44065">
        <w:rPr>
          <w:rFonts w:eastAsia="SimSun"/>
          <w:color w:val="auto"/>
          <w:sz w:val="22"/>
          <w:lang w:val="en-US" w:eastAsia="zh-CN"/>
        </w:rPr>
        <w:t>mL.</w:t>
      </w:r>
      <w:proofErr w:type="spellEnd"/>
    </w:p>
    <w:p w14:paraId="14EF4322" w14:textId="77777777" w:rsidR="005A2E65" w:rsidRPr="00A44065" w:rsidRDefault="005A2E65" w:rsidP="005A2E65">
      <w:pPr>
        <w:rPr>
          <w:rFonts w:eastAsia="SimSun"/>
          <w:color w:val="auto"/>
          <w:sz w:val="22"/>
          <w:lang w:val="en-US" w:eastAsia="zh-CN"/>
        </w:rPr>
      </w:pPr>
    </w:p>
    <w:p w14:paraId="19163294" w14:textId="6B365B36" w:rsidR="005A2E65" w:rsidRPr="00A44065" w:rsidRDefault="00B719B6" w:rsidP="005A2E65">
      <w:pPr>
        <w:rPr>
          <w:rFonts w:eastAsia="SimSun"/>
          <w:color w:val="auto"/>
          <w:sz w:val="22"/>
          <w:u w:val="single"/>
          <w:lang w:val="en-US" w:eastAsia="zh-CN"/>
        </w:rPr>
      </w:pPr>
      <w:proofErr w:type="spellStart"/>
      <w:r w:rsidRPr="00A44065">
        <w:rPr>
          <w:color w:val="auto"/>
          <w:sz w:val="22"/>
          <w:u w:val="single"/>
        </w:rPr>
        <w:t>Columvi</w:t>
      </w:r>
      <w:proofErr w:type="spellEnd"/>
      <w:r w:rsidR="005A2E65" w:rsidRPr="00A44065">
        <w:rPr>
          <w:rFonts w:eastAsia="SimSun"/>
          <w:color w:val="auto"/>
          <w:sz w:val="22"/>
          <w:u w:val="single"/>
          <w:lang w:val="en-US" w:eastAsia="zh-CN"/>
        </w:rPr>
        <w:t xml:space="preserve"> 10 mg concentrate</w:t>
      </w:r>
      <w:r w:rsidR="004D5CBC" w:rsidRPr="00A44065">
        <w:rPr>
          <w:rFonts w:eastAsia="SimSun"/>
          <w:color w:val="auto"/>
          <w:sz w:val="22"/>
          <w:u w:val="single"/>
          <w:lang w:val="en-US" w:eastAsia="zh-CN"/>
        </w:rPr>
        <w:t>d injection</w:t>
      </w:r>
    </w:p>
    <w:p w14:paraId="039F1D9A" w14:textId="0E50DED9" w:rsidR="005A2E65" w:rsidRPr="00A44065" w:rsidRDefault="005A2E65" w:rsidP="005A2E65">
      <w:pPr>
        <w:rPr>
          <w:rFonts w:eastAsia="SimSun"/>
          <w:color w:val="auto"/>
          <w:sz w:val="22"/>
          <w:lang w:val="en-US" w:eastAsia="zh-CN"/>
        </w:rPr>
      </w:pPr>
      <w:r w:rsidRPr="00A44065">
        <w:rPr>
          <w:rFonts w:eastAsia="SimSun"/>
          <w:color w:val="auto"/>
          <w:sz w:val="22"/>
          <w:lang w:val="en-US" w:eastAsia="zh-CN"/>
        </w:rPr>
        <w:t xml:space="preserve">Each vial of 10 mL contains 10 mg of </w:t>
      </w:r>
      <w:proofErr w:type="spellStart"/>
      <w:r w:rsidRPr="00A44065">
        <w:rPr>
          <w:rFonts w:eastAsia="SimSun"/>
          <w:color w:val="auto"/>
          <w:sz w:val="22"/>
          <w:lang w:val="en-US" w:eastAsia="zh-CN"/>
        </w:rPr>
        <w:t>glofitamab</w:t>
      </w:r>
      <w:proofErr w:type="spellEnd"/>
      <w:r w:rsidRPr="00A44065">
        <w:rPr>
          <w:rFonts w:eastAsia="SimSun"/>
          <w:color w:val="auto"/>
          <w:sz w:val="22"/>
          <w:lang w:val="en-US" w:eastAsia="zh-CN"/>
        </w:rPr>
        <w:t xml:space="preserve"> at a concentration of 1 mg/</w:t>
      </w:r>
      <w:proofErr w:type="spellStart"/>
      <w:r w:rsidRPr="00A44065">
        <w:rPr>
          <w:rFonts w:eastAsia="SimSun"/>
          <w:color w:val="auto"/>
          <w:sz w:val="22"/>
          <w:lang w:val="en-US" w:eastAsia="zh-CN"/>
        </w:rPr>
        <w:t>mL.</w:t>
      </w:r>
      <w:proofErr w:type="spellEnd"/>
    </w:p>
    <w:p w14:paraId="4F81D2D8" w14:textId="77777777" w:rsidR="005A2E65" w:rsidRPr="00A44065" w:rsidRDefault="005A2E65" w:rsidP="005A2E65">
      <w:pPr>
        <w:rPr>
          <w:rFonts w:eastAsia="SimSun"/>
          <w:color w:val="auto"/>
          <w:sz w:val="22"/>
          <w:lang w:val="en-US" w:eastAsia="zh-CN"/>
        </w:rPr>
      </w:pPr>
    </w:p>
    <w:p w14:paraId="5D579D18" w14:textId="77777777" w:rsidR="005A2E65" w:rsidRPr="00A44065" w:rsidRDefault="005A2E65" w:rsidP="00247CCB">
      <w:pPr>
        <w:rPr>
          <w:color w:val="auto"/>
          <w:sz w:val="22"/>
          <w:szCs w:val="22"/>
        </w:rPr>
      </w:pPr>
    </w:p>
    <w:p w14:paraId="5046C751" w14:textId="77777777" w:rsidR="00D52399" w:rsidRPr="00A44065" w:rsidRDefault="00615052" w:rsidP="009F4C5B">
      <w:pPr>
        <w:spacing w:after="240"/>
        <w:rPr>
          <w:color w:val="auto"/>
          <w:sz w:val="22"/>
          <w:u w:val="single"/>
        </w:rPr>
      </w:pPr>
      <w:bookmarkStart w:id="0" w:name="_gjdgxs" w:colFirst="0" w:colLast="0"/>
      <w:bookmarkEnd w:id="0"/>
      <w:r w:rsidRPr="00A44065">
        <w:rPr>
          <w:color w:val="auto"/>
          <w:sz w:val="22"/>
        </w:rPr>
        <w:t xml:space="preserve">For the full list of excipients, see section </w:t>
      </w:r>
      <w:r w:rsidRPr="00A44065">
        <w:rPr>
          <w:i/>
          <w:color w:val="auto"/>
          <w:sz w:val="22"/>
        </w:rPr>
        <w:t>6.1</w:t>
      </w:r>
      <w:r w:rsidR="009F4C5B" w:rsidRPr="00A44065">
        <w:rPr>
          <w:i/>
          <w:color w:val="auto"/>
          <w:sz w:val="22"/>
        </w:rPr>
        <w:t xml:space="preserve"> List of excipients</w:t>
      </w:r>
      <w:r w:rsidRPr="00A44065">
        <w:rPr>
          <w:color w:val="auto"/>
          <w:sz w:val="22"/>
        </w:rPr>
        <w:t>.</w:t>
      </w:r>
    </w:p>
    <w:p w14:paraId="465952D4" w14:textId="77777777" w:rsidR="00D52399" w:rsidRPr="00A44065" w:rsidRDefault="00615052" w:rsidP="009F4C5B">
      <w:pPr>
        <w:pStyle w:val="Heading1"/>
        <w:numPr>
          <w:ilvl w:val="0"/>
          <w:numId w:val="3"/>
        </w:numPr>
        <w:spacing w:before="0"/>
        <w:rPr>
          <w:color w:val="auto"/>
        </w:rPr>
      </w:pPr>
      <w:r w:rsidRPr="00A44065">
        <w:rPr>
          <w:color w:val="auto"/>
        </w:rPr>
        <w:t>PHARMACEUTICAL FORM</w:t>
      </w:r>
    </w:p>
    <w:p w14:paraId="5B71984A" w14:textId="63D3C49B" w:rsidR="005A2E65" w:rsidRPr="00A44065" w:rsidRDefault="002522CB" w:rsidP="002522CB">
      <w:pPr>
        <w:pStyle w:val="Paragraph"/>
        <w:rPr>
          <w:rFonts w:ascii="Times New Roman" w:hAnsi="Times New Roman"/>
        </w:rPr>
      </w:pPr>
      <w:r w:rsidRPr="00A44065">
        <w:rPr>
          <w:rFonts w:ascii="Times New Roman" w:hAnsi="Times New Roman"/>
        </w:rPr>
        <w:t>Concentrate</w:t>
      </w:r>
      <w:r w:rsidR="004D5CBC" w:rsidRPr="00A44065">
        <w:rPr>
          <w:rFonts w:ascii="Times New Roman" w:hAnsi="Times New Roman"/>
        </w:rPr>
        <w:t>d</w:t>
      </w:r>
      <w:r w:rsidR="00200518" w:rsidRPr="00A44065">
        <w:rPr>
          <w:rFonts w:ascii="Times New Roman" w:hAnsi="Times New Roman"/>
        </w:rPr>
        <w:t xml:space="preserve"> injection</w:t>
      </w:r>
      <w:r w:rsidRPr="00A44065">
        <w:rPr>
          <w:rFonts w:ascii="Times New Roman" w:hAnsi="Times New Roman"/>
        </w:rPr>
        <w:t xml:space="preserve"> for</w:t>
      </w:r>
      <w:r w:rsidR="004D5CBC" w:rsidRPr="00A44065">
        <w:rPr>
          <w:rFonts w:ascii="Times New Roman" w:hAnsi="Times New Roman"/>
        </w:rPr>
        <w:t xml:space="preserve"> intravenous</w:t>
      </w:r>
      <w:r w:rsidRPr="00A44065">
        <w:rPr>
          <w:rFonts w:ascii="Times New Roman" w:hAnsi="Times New Roman"/>
        </w:rPr>
        <w:t xml:space="preserve"> infusion</w:t>
      </w:r>
      <w:r w:rsidR="00200518" w:rsidRPr="00A44065">
        <w:rPr>
          <w:rFonts w:ascii="Times New Roman" w:hAnsi="Times New Roman"/>
        </w:rPr>
        <w:t>.</w:t>
      </w:r>
    </w:p>
    <w:p w14:paraId="6BCB7823" w14:textId="1F56113E" w:rsidR="002522CB" w:rsidRPr="00A44065" w:rsidRDefault="00B719B6" w:rsidP="002522CB">
      <w:pPr>
        <w:pStyle w:val="Paragraph"/>
        <w:rPr>
          <w:rFonts w:ascii="Times New Roman" w:hAnsi="Times New Roman"/>
        </w:rPr>
      </w:pPr>
      <w:proofErr w:type="spellStart"/>
      <w:r w:rsidRPr="00A44065">
        <w:rPr>
          <w:rFonts w:ascii="Times New Roman" w:hAnsi="Times New Roman"/>
        </w:rPr>
        <w:t>Columvi</w:t>
      </w:r>
      <w:proofErr w:type="spellEnd"/>
      <w:r w:rsidR="005A2E65" w:rsidRPr="00A44065">
        <w:rPr>
          <w:rFonts w:ascii="Times New Roman" w:hAnsi="Times New Roman"/>
        </w:rPr>
        <w:t xml:space="preserve"> is a preservative-free, </w:t>
      </w:r>
      <w:proofErr w:type="spellStart"/>
      <w:r w:rsidR="005A2E65" w:rsidRPr="00A44065">
        <w:rPr>
          <w:rFonts w:ascii="Times New Roman" w:hAnsi="Times New Roman"/>
        </w:rPr>
        <w:t>colourless</w:t>
      </w:r>
      <w:proofErr w:type="spellEnd"/>
      <w:r w:rsidR="005A2E65" w:rsidRPr="00A44065">
        <w:rPr>
          <w:rFonts w:ascii="Times New Roman" w:hAnsi="Times New Roman"/>
        </w:rPr>
        <w:t>, clear solution supplied in single-dose vials.</w:t>
      </w:r>
    </w:p>
    <w:p w14:paraId="77CCD0D8" w14:textId="77777777" w:rsidR="00D52399" w:rsidRPr="00A44065" w:rsidRDefault="00615052" w:rsidP="009F4C5B">
      <w:pPr>
        <w:pStyle w:val="Heading1"/>
        <w:numPr>
          <w:ilvl w:val="0"/>
          <w:numId w:val="3"/>
        </w:numPr>
        <w:spacing w:before="0"/>
        <w:rPr>
          <w:color w:val="auto"/>
        </w:rPr>
      </w:pPr>
      <w:r w:rsidRPr="00A44065">
        <w:rPr>
          <w:color w:val="auto"/>
        </w:rPr>
        <w:t>CLINICAL PARTICULARS</w:t>
      </w:r>
    </w:p>
    <w:p w14:paraId="0774F1AC" w14:textId="77777777" w:rsidR="00D52399" w:rsidRPr="00A44065" w:rsidRDefault="00902EBE" w:rsidP="009F4C5B">
      <w:pPr>
        <w:pStyle w:val="Heading2"/>
        <w:numPr>
          <w:ilvl w:val="0"/>
          <w:numId w:val="1"/>
        </w:numPr>
        <w:spacing w:before="0"/>
        <w:ind w:hanging="786"/>
        <w:rPr>
          <w:color w:val="auto"/>
        </w:rPr>
      </w:pPr>
      <w:r w:rsidRPr="00A44065">
        <w:rPr>
          <w:color w:val="auto"/>
        </w:rPr>
        <w:t>THERAPEUTIC INDICATIONS</w:t>
      </w:r>
    </w:p>
    <w:p w14:paraId="354B67DE" w14:textId="77777777" w:rsidR="002E49E0" w:rsidRPr="00A44065" w:rsidRDefault="002E49E0">
      <w:pPr>
        <w:rPr>
          <w:color w:val="auto"/>
          <w:sz w:val="22"/>
        </w:rPr>
      </w:pPr>
    </w:p>
    <w:p w14:paraId="0CD00F01" w14:textId="2564E6DC" w:rsidR="006A6B50" w:rsidRPr="0008620B" w:rsidRDefault="00B719B6">
      <w:pPr>
        <w:rPr>
          <w:color w:val="auto"/>
          <w:sz w:val="22"/>
        </w:rPr>
      </w:pPr>
      <w:proofErr w:type="spellStart"/>
      <w:r w:rsidRPr="0008620B">
        <w:rPr>
          <w:color w:val="auto"/>
          <w:sz w:val="22"/>
        </w:rPr>
        <w:t>Columvi</w:t>
      </w:r>
      <w:proofErr w:type="spellEnd"/>
      <w:r w:rsidR="00247CCB" w:rsidRPr="0008620B">
        <w:rPr>
          <w:color w:val="auto"/>
          <w:sz w:val="22"/>
        </w:rPr>
        <w:t xml:space="preserve"> </w:t>
      </w:r>
      <w:r w:rsidR="005F3F64">
        <w:rPr>
          <w:color w:val="auto"/>
          <w:sz w:val="22"/>
        </w:rPr>
        <w:t xml:space="preserve">monotherapy with </w:t>
      </w:r>
      <w:proofErr w:type="spellStart"/>
      <w:r w:rsidR="005F3F64">
        <w:rPr>
          <w:color w:val="auto"/>
          <w:sz w:val="22"/>
        </w:rPr>
        <w:t>obinutuzumab</w:t>
      </w:r>
      <w:proofErr w:type="spellEnd"/>
      <w:r w:rsidR="005F3F64">
        <w:rPr>
          <w:color w:val="auto"/>
          <w:sz w:val="22"/>
        </w:rPr>
        <w:t xml:space="preserve"> pretreatm</w:t>
      </w:r>
      <w:r w:rsidR="00E02FF7">
        <w:rPr>
          <w:color w:val="auto"/>
          <w:sz w:val="22"/>
        </w:rPr>
        <w:t>ent</w:t>
      </w:r>
      <w:r w:rsidR="006258DD">
        <w:rPr>
          <w:color w:val="auto"/>
          <w:sz w:val="22"/>
        </w:rPr>
        <w:t xml:space="preserve"> </w:t>
      </w:r>
      <w:r w:rsidR="00A44065">
        <w:rPr>
          <w:color w:val="auto"/>
          <w:sz w:val="22"/>
        </w:rPr>
        <w:t xml:space="preserve">has </w:t>
      </w:r>
      <w:r w:rsidR="00A44065" w:rsidRPr="00D9427A">
        <w:rPr>
          <w:b/>
          <w:color w:val="auto"/>
          <w:sz w:val="22"/>
        </w:rPr>
        <w:t>provisional approval</w:t>
      </w:r>
      <w:r w:rsidR="001678B4" w:rsidRPr="0008620B">
        <w:rPr>
          <w:color w:val="auto"/>
          <w:sz w:val="22"/>
        </w:rPr>
        <w:t xml:space="preserve"> for the treatment of adult patients with relapsed or refractory diffuse large B-cell lymphoma (DLBCL) after two or more lines of systemic therapy.</w:t>
      </w:r>
      <w:r w:rsidR="002E49E0" w:rsidRPr="0008620B">
        <w:rPr>
          <w:color w:val="auto"/>
          <w:sz w:val="22"/>
        </w:rPr>
        <w:t xml:space="preserve"> </w:t>
      </w:r>
      <w:proofErr w:type="spellStart"/>
      <w:r w:rsidR="00A44065">
        <w:rPr>
          <w:color w:val="auto"/>
          <w:sz w:val="22"/>
        </w:rPr>
        <w:t>Columvi</w:t>
      </w:r>
      <w:proofErr w:type="spellEnd"/>
      <w:r w:rsidR="00A44065">
        <w:rPr>
          <w:color w:val="auto"/>
          <w:sz w:val="22"/>
        </w:rPr>
        <w:t xml:space="preserve"> is not indicated</w:t>
      </w:r>
      <w:r w:rsidR="00A44065" w:rsidRPr="001756FE">
        <w:t xml:space="preserve"> </w:t>
      </w:r>
      <w:r w:rsidR="00A44065" w:rsidRPr="001756FE">
        <w:rPr>
          <w:color w:val="auto"/>
          <w:sz w:val="22"/>
        </w:rPr>
        <w:t>for the treatment of patients with primary central nervous system lymphoma.</w:t>
      </w:r>
    </w:p>
    <w:p w14:paraId="2C68090F" w14:textId="3AF2B7FD" w:rsidR="00D52399" w:rsidRPr="0008620B" w:rsidRDefault="002E49E0">
      <w:pPr>
        <w:rPr>
          <w:color w:val="auto"/>
          <w:sz w:val="22"/>
        </w:rPr>
      </w:pPr>
      <w:r w:rsidRPr="0008620B">
        <w:rPr>
          <w:color w:val="auto"/>
          <w:sz w:val="22"/>
        </w:rPr>
        <w:t>The decision to approve this indication</w:t>
      </w:r>
      <w:r w:rsidR="006A6B50" w:rsidRPr="0008620B">
        <w:rPr>
          <w:color w:val="auto"/>
          <w:sz w:val="22"/>
        </w:rPr>
        <w:t xml:space="preserve"> has been made </w:t>
      </w:r>
      <w:proofErr w:type="gramStart"/>
      <w:r w:rsidR="006A6B50" w:rsidRPr="0008620B">
        <w:rPr>
          <w:color w:val="auto"/>
          <w:sz w:val="22"/>
        </w:rPr>
        <w:t>on the basis of</w:t>
      </w:r>
      <w:proofErr w:type="gramEnd"/>
      <w:r w:rsidR="006A6B50" w:rsidRPr="0008620B">
        <w:rPr>
          <w:color w:val="auto"/>
          <w:sz w:val="22"/>
        </w:rPr>
        <w:t xml:space="preserve"> </w:t>
      </w:r>
      <w:r w:rsidR="00A07584" w:rsidRPr="0008620B">
        <w:rPr>
          <w:color w:val="auto"/>
          <w:sz w:val="22"/>
        </w:rPr>
        <w:t>Complete Response and</w:t>
      </w:r>
      <w:r w:rsidR="006258DD">
        <w:rPr>
          <w:color w:val="auto"/>
          <w:sz w:val="22"/>
        </w:rPr>
        <w:t xml:space="preserve"> the Overall Response Rate</w:t>
      </w:r>
      <w:r w:rsidR="00A44065">
        <w:rPr>
          <w:color w:val="auto"/>
          <w:sz w:val="22"/>
        </w:rPr>
        <w:t xml:space="preserve"> </w:t>
      </w:r>
      <w:r w:rsidR="006A6B50" w:rsidRPr="0008620B">
        <w:rPr>
          <w:color w:val="auto"/>
          <w:sz w:val="22"/>
        </w:rPr>
        <w:t xml:space="preserve">from an </w:t>
      </w:r>
      <w:r w:rsidR="00A44065">
        <w:rPr>
          <w:color w:val="auto"/>
          <w:sz w:val="22"/>
        </w:rPr>
        <w:t xml:space="preserve">uncontrolled, </w:t>
      </w:r>
      <w:r w:rsidR="006A6B50" w:rsidRPr="0008620B">
        <w:rPr>
          <w:color w:val="auto"/>
          <w:sz w:val="22"/>
        </w:rPr>
        <w:t>open label phase I/II study</w:t>
      </w:r>
      <w:r w:rsidRPr="0008620B">
        <w:rPr>
          <w:color w:val="auto"/>
          <w:sz w:val="22"/>
        </w:rPr>
        <w:t>. Continued approval of this indication depends on verification and description of benefit in confirmatory trials.</w:t>
      </w:r>
    </w:p>
    <w:p w14:paraId="2E30596B" w14:textId="77777777" w:rsidR="00D52399" w:rsidRPr="0008620B" w:rsidRDefault="00902EBE" w:rsidP="00A8585F">
      <w:pPr>
        <w:pStyle w:val="Heading2"/>
        <w:numPr>
          <w:ilvl w:val="1"/>
          <w:numId w:val="2"/>
        </w:numPr>
        <w:ind w:left="0" w:firstLine="0"/>
        <w:rPr>
          <w:color w:val="auto"/>
        </w:rPr>
      </w:pPr>
      <w:r w:rsidRPr="0008620B">
        <w:rPr>
          <w:color w:val="auto"/>
        </w:rPr>
        <w:t>DOSE AND METHOD OF ADMINISTRATION</w:t>
      </w:r>
    </w:p>
    <w:p w14:paraId="0FE336F7" w14:textId="3C4C54F5" w:rsidR="00D52399" w:rsidRPr="0008620B" w:rsidRDefault="001678B4" w:rsidP="00CC6729">
      <w:pPr>
        <w:pStyle w:val="Heading3"/>
        <w:spacing w:before="0"/>
        <w:rPr>
          <w:color w:val="auto"/>
          <w:sz w:val="22"/>
        </w:rPr>
      </w:pPr>
      <w:r w:rsidRPr="0008620B">
        <w:rPr>
          <w:color w:val="auto"/>
          <w:sz w:val="22"/>
        </w:rPr>
        <w:t>General</w:t>
      </w:r>
    </w:p>
    <w:p w14:paraId="5F6685DD" w14:textId="284A2A48" w:rsidR="00247CCB" w:rsidRPr="00A44065" w:rsidRDefault="00247CCB" w:rsidP="00247CCB">
      <w:pPr>
        <w:pStyle w:val="Paragraph"/>
        <w:rPr>
          <w:rFonts w:ascii="Times New Roman" w:hAnsi="Times New Roman"/>
          <w:lang w:eastAsia="en-GB"/>
        </w:rPr>
      </w:pPr>
      <w:r w:rsidRPr="0008620B">
        <w:rPr>
          <w:rFonts w:ascii="Times New Roman" w:hAnsi="Times New Roman"/>
          <w:lang w:eastAsia="en-GB"/>
        </w:rPr>
        <w:t>Substitution by any other biological medicinal product requires the consent of the prescribing physician.</w:t>
      </w:r>
    </w:p>
    <w:p w14:paraId="4EF4C995" w14:textId="166E6116" w:rsidR="001678B4" w:rsidRPr="00A44065" w:rsidRDefault="00B719B6" w:rsidP="00247CCB">
      <w:pPr>
        <w:pStyle w:val="Paragraph"/>
        <w:rPr>
          <w:rFonts w:ascii="Times New Roman" w:hAnsi="Times New Roman"/>
        </w:rPr>
      </w:pPr>
      <w:proofErr w:type="spellStart"/>
      <w:r w:rsidRPr="00A44065">
        <w:rPr>
          <w:rFonts w:ascii="Times New Roman" w:hAnsi="Times New Roman"/>
        </w:rPr>
        <w:lastRenderedPageBreak/>
        <w:t>Columvi</w:t>
      </w:r>
      <w:proofErr w:type="spellEnd"/>
      <w:r w:rsidR="00247CCB" w:rsidRPr="00A44065">
        <w:rPr>
          <w:rFonts w:ascii="Times New Roman" w:hAnsi="Times New Roman"/>
        </w:rPr>
        <w:t xml:space="preserve"> therapy should only be administered under the supervision of a healthcare professional experienced in the treatment of cancer patients and who has access to appropriate medical support to manage severe reactions associated with cytokine release syndrome (CRS).  </w:t>
      </w:r>
    </w:p>
    <w:p w14:paraId="7B2A6020" w14:textId="238F4563" w:rsidR="00247CCB" w:rsidRPr="00A44065" w:rsidRDefault="00247CCB" w:rsidP="00247CCB">
      <w:pPr>
        <w:pStyle w:val="Paragraph"/>
        <w:rPr>
          <w:rFonts w:ascii="Times New Roman" w:hAnsi="Times New Roman"/>
        </w:rPr>
      </w:pPr>
      <w:r w:rsidRPr="00A44065">
        <w:rPr>
          <w:rFonts w:ascii="Times New Roman" w:hAnsi="Times New Roman"/>
        </w:rPr>
        <w:t xml:space="preserve">At least 1 dose of tocilizumab for use in the event of CRS must be available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 at Cycles 1 and 2.</w:t>
      </w:r>
      <w:r w:rsidRPr="00A44065">
        <w:rPr>
          <w:rFonts w:ascii="Times New Roman" w:hAnsi="Times New Roman"/>
          <w:szCs w:val="22"/>
        </w:rPr>
        <w:t xml:space="preserve"> Access to an additional dose of tocilizumab within 8 hours of use of the previous tocilizumab dose must be ensured.</w:t>
      </w:r>
      <w:r w:rsidRPr="00A44065">
        <w:rPr>
          <w:rFonts w:ascii="Times New Roman" w:hAnsi="Times New Roman"/>
        </w:rPr>
        <w:t xml:space="preserve"> See Section </w:t>
      </w:r>
      <w:r w:rsidR="002522CB" w:rsidRPr="00A44065">
        <w:rPr>
          <w:rFonts w:ascii="Times New Roman" w:hAnsi="Times New Roman"/>
          <w:i/>
        </w:rPr>
        <w:t>4.4 Special</w:t>
      </w:r>
      <w:r w:rsidRPr="00A44065">
        <w:rPr>
          <w:rFonts w:ascii="Times New Roman" w:hAnsi="Times New Roman"/>
          <w:i/>
        </w:rPr>
        <w:t xml:space="preserve"> Warnings and Precautions</w:t>
      </w:r>
      <w:r w:rsidR="002522CB" w:rsidRPr="00A44065">
        <w:rPr>
          <w:rFonts w:ascii="Times New Roman" w:hAnsi="Times New Roman"/>
          <w:i/>
        </w:rPr>
        <w:t xml:space="preserve"> for Use</w:t>
      </w:r>
      <w:r w:rsidRPr="00A44065">
        <w:rPr>
          <w:rFonts w:ascii="Times New Roman" w:hAnsi="Times New Roman"/>
        </w:rPr>
        <w:t>.</w:t>
      </w:r>
    </w:p>
    <w:p w14:paraId="23B69A99" w14:textId="77777777" w:rsidR="00247CCB" w:rsidRPr="00A44065" w:rsidRDefault="00247CCB" w:rsidP="00247CCB">
      <w:pPr>
        <w:pStyle w:val="ParagraphList"/>
        <w:rPr>
          <w:rFonts w:ascii="Times New Roman" w:hAnsi="Times New Roman"/>
        </w:rPr>
      </w:pPr>
      <w:r w:rsidRPr="00A44065">
        <w:rPr>
          <w:rFonts w:ascii="Times New Roman" w:hAnsi="Times New Roman"/>
          <w:b/>
          <w:i/>
        </w:rPr>
        <w:t>Pre-treatment with Obinutuzumab</w:t>
      </w:r>
    </w:p>
    <w:p w14:paraId="2F559382" w14:textId="3932D815" w:rsidR="00247CCB" w:rsidRPr="0008620B" w:rsidRDefault="00247CCB" w:rsidP="00247CCB">
      <w:pPr>
        <w:pStyle w:val="Paragraph"/>
        <w:rPr>
          <w:rFonts w:ascii="Times New Roman" w:hAnsi="Times New Roman"/>
        </w:rPr>
      </w:pPr>
      <w:r w:rsidRPr="00A44065">
        <w:rPr>
          <w:rFonts w:ascii="Times New Roman" w:hAnsi="Times New Roman"/>
        </w:rPr>
        <w:t xml:space="preserve">All patients must receive a single 1000 mg dose of </w:t>
      </w:r>
      <w:proofErr w:type="spellStart"/>
      <w:r w:rsidRPr="00A44065">
        <w:rPr>
          <w:rFonts w:ascii="Times New Roman" w:hAnsi="Times New Roman"/>
        </w:rPr>
        <w:t>obinutuzumab</w:t>
      </w:r>
      <w:proofErr w:type="spellEnd"/>
      <w:r w:rsidRPr="00A44065">
        <w:rPr>
          <w:rFonts w:ascii="Times New Roman" w:hAnsi="Times New Roman"/>
        </w:rPr>
        <w:t xml:space="preserve"> on Cycle 1 Day 1 (7 days prior to initiation of </w:t>
      </w:r>
      <w:proofErr w:type="spellStart"/>
      <w:r w:rsidR="00B719B6" w:rsidRPr="00A44065">
        <w:rPr>
          <w:rFonts w:ascii="Times New Roman" w:hAnsi="Times New Roman"/>
        </w:rPr>
        <w:t>Columvi</w:t>
      </w:r>
      <w:proofErr w:type="spellEnd"/>
      <w:r w:rsidRPr="00A44065">
        <w:rPr>
          <w:rFonts w:ascii="Times New Roman" w:hAnsi="Times New Roman"/>
        </w:rPr>
        <w:t xml:space="preserve"> treatment); see </w:t>
      </w:r>
      <w:r w:rsidRPr="0008620B">
        <w:rPr>
          <w:rFonts w:ascii="Times New Roman" w:hAnsi="Times New Roman"/>
        </w:rPr>
        <w:fldChar w:fldCharType="begin"/>
      </w:r>
      <w:r w:rsidRPr="00A44065">
        <w:rPr>
          <w:rFonts w:ascii="Times New Roman" w:hAnsi="Times New Roman"/>
        </w:rPr>
        <w:instrText xml:space="preserve"> REF _Ref89199557 \h \* CHARFORMAT  \* MERGEFORMAT </w:instrText>
      </w:r>
      <w:r w:rsidRPr="0008620B">
        <w:rPr>
          <w:rFonts w:ascii="Times New Roman" w:hAnsi="Times New Roman"/>
        </w:rPr>
      </w:r>
      <w:r w:rsidRPr="0008620B">
        <w:rPr>
          <w:rFonts w:ascii="Times New Roman" w:hAnsi="Times New Roman"/>
        </w:rPr>
        <w:fldChar w:fldCharType="separate"/>
      </w:r>
      <w:r w:rsidRPr="0008620B">
        <w:rPr>
          <w:rFonts w:ascii="Times New Roman" w:hAnsi="Times New Roman"/>
        </w:rPr>
        <w:t>Table 2</w:t>
      </w:r>
      <w:r w:rsidRPr="0008620B">
        <w:rPr>
          <w:rFonts w:ascii="Times New Roman" w:hAnsi="Times New Roman"/>
        </w:rPr>
        <w:fldChar w:fldCharType="end"/>
      </w:r>
      <w:r w:rsidRPr="0008620B">
        <w:rPr>
          <w:rFonts w:ascii="Times New Roman" w:hAnsi="Times New Roman"/>
        </w:rPr>
        <w:t xml:space="preserve"> and </w:t>
      </w:r>
      <w:r w:rsidRPr="0008620B">
        <w:rPr>
          <w:rFonts w:ascii="Times New Roman" w:hAnsi="Times New Roman"/>
          <w:i/>
          <w:szCs w:val="22"/>
        </w:rPr>
        <w:t>Delayed or Missed Doses</w:t>
      </w:r>
      <w:r w:rsidR="001678B4" w:rsidRPr="0008620B">
        <w:rPr>
          <w:rFonts w:ascii="Times New Roman" w:hAnsi="Times New Roman"/>
        </w:rPr>
        <w:t xml:space="preserve">. </w:t>
      </w:r>
      <w:r w:rsidRPr="0008620B">
        <w:rPr>
          <w:rFonts w:ascii="Times New Roman" w:hAnsi="Times New Roman"/>
        </w:rPr>
        <w:t>This is to deplete circulating</w:t>
      </w:r>
      <w:r w:rsidR="00F46469" w:rsidRPr="0008620B">
        <w:rPr>
          <w:rFonts w:ascii="Times New Roman" w:hAnsi="Times New Roman"/>
        </w:rPr>
        <w:t xml:space="preserve"> and lymphoid</w:t>
      </w:r>
      <w:r w:rsidR="00D43038" w:rsidRPr="0008620B">
        <w:rPr>
          <w:rFonts w:ascii="Times New Roman" w:hAnsi="Times New Roman"/>
        </w:rPr>
        <w:t xml:space="preserve"> tissue</w:t>
      </w:r>
      <w:r w:rsidRPr="0008620B">
        <w:rPr>
          <w:rFonts w:ascii="Times New Roman" w:hAnsi="Times New Roman"/>
        </w:rPr>
        <w:t xml:space="preserve"> B cells and thereby reduce the </w:t>
      </w:r>
      <w:r w:rsidR="00F46469" w:rsidRPr="0008620B">
        <w:rPr>
          <w:rFonts w:ascii="Times New Roman" w:hAnsi="Times New Roman"/>
        </w:rPr>
        <w:t>risk</w:t>
      </w:r>
      <w:r w:rsidRPr="0008620B">
        <w:rPr>
          <w:rFonts w:ascii="Times New Roman" w:hAnsi="Times New Roman"/>
        </w:rPr>
        <w:t xml:space="preserve"> of CRS.</w:t>
      </w:r>
    </w:p>
    <w:p w14:paraId="0108B759" w14:textId="37FB7AFA" w:rsidR="00247CCB" w:rsidRPr="0008620B" w:rsidRDefault="00247CCB" w:rsidP="00247CCB">
      <w:pPr>
        <w:pStyle w:val="Paragraph"/>
        <w:rPr>
          <w:rFonts w:ascii="Times New Roman" w:hAnsi="Times New Roman"/>
        </w:rPr>
      </w:pPr>
      <w:r w:rsidRPr="0008620B">
        <w:rPr>
          <w:rFonts w:ascii="Times New Roman" w:hAnsi="Times New Roman"/>
        </w:rPr>
        <w:t>Obinutuzumab should be administered as an in</w:t>
      </w:r>
      <w:r w:rsidR="001678B4" w:rsidRPr="0008620B">
        <w:rPr>
          <w:rFonts w:ascii="Times New Roman" w:hAnsi="Times New Roman"/>
        </w:rPr>
        <w:t xml:space="preserve">travenous infusion at 50 mg/h. </w:t>
      </w:r>
      <w:r w:rsidRPr="0008620B">
        <w:rPr>
          <w:rFonts w:ascii="Times New Roman" w:hAnsi="Times New Roman"/>
        </w:rPr>
        <w:t>The rate of infusion can be escalated in 50 mg/h increments every 30 minutes to a maximum of 400 mg/h.</w:t>
      </w:r>
    </w:p>
    <w:p w14:paraId="466E91FF" w14:textId="4E2A6212" w:rsidR="00247CCB" w:rsidRPr="00A44065" w:rsidRDefault="00247CCB" w:rsidP="00247CCB">
      <w:pPr>
        <w:pStyle w:val="Paragraph"/>
        <w:rPr>
          <w:rFonts w:ascii="Times New Roman" w:hAnsi="Times New Roman"/>
        </w:rPr>
      </w:pPr>
      <w:r w:rsidRPr="00A44065">
        <w:rPr>
          <w:rFonts w:ascii="Times New Roman" w:hAnsi="Times New Roman"/>
        </w:rPr>
        <w:t xml:space="preserve">Refer to the </w:t>
      </w:r>
      <w:proofErr w:type="spellStart"/>
      <w:r w:rsidRPr="00A44065">
        <w:rPr>
          <w:rFonts w:ascii="Times New Roman" w:hAnsi="Times New Roman"/>
        </w:rPr>
        <w:t>obinutuzumab</w:t>
      </w:r>
      <w:proofErr w:type="spellEnd"/>
      <w:r w:rsidR="004D5CBC" w:rsidRPr="00A44065">
        <w:rPr>
          <w:rFonts w:ascii="Times New Roman" w:hAnsi="Times New Roman"/>
        </w:rPr>
        <w:t xml:space="preserve"> Product I</w:t>
      </w:r>
      <w:r w:rsidRPr="00A44065">
        <w:rPr>
          <w:rFonts w:ascii="Times New Roman" w:hAnsi="Times New Roman"/>
        </w:rPr>
        <w:t xml:space="preserve">nformation for complete information on premedication, preparation, administration, and management of adverse reactions of </w:t>
      </w:r>
      <w:proofErr w:type="spellStart"/>
      <w:r w:rsidRPr="00A44065">
        <w:rPr>
          <w:rFonts w:ascii="Times New Roman" w:hAnsi="Times New Roman"/>
        </w:rPr>
        <w:t>obinutuzumab</w:t>
      </w:r>
      <w:proofErr w:type="spellEnd"/>
      <w:r w:rsidRPr="00A44065">
        <w:rPr>
          <w:rFonts w:ascii="Times New Roman" w:hAnsi="Times New Roman"/>
        </w:rPr>
        <w:t>.</w:t>
      </w:r>
    </w:p>
    <w:p w14:paraId="1AE3B41D" w14:textId="77777777" w:rsidR="00247CCB" w:rsidRPr="00A44065" w:rsidRDefault="00247CCB" w:rsidP="00247CCB">
      <w:pPr>
        <w:pStyle w:val="ParagraphList"/>
        <w:rPr>
          <w:rFonts w:ascii="Times New Roman" w:hAnsi="Times New Roman"/>
        </w:rPr>
      </w:pPr>
      <w:r w:rsidRPr="00A44065">
        <w:rPr>
          <w:rFonts w:ascii="Times New Roman" w:hAnsi="Times New Roman"/>
          <w:b/>
          <w:i/>
        </w:rPr>
        <w:t>Premedication and Prophylactic Medications</w:t>
      </w:r>
      <w:r w:rsidRPr="00A44065">
        <w:rPr>
          <w:rFonts w:ascii="Times New Roman" w:hAnsi="Times New Roman"/>
        </w:rPr>
        <w:t xml:space="preserve"> </w:t>
      </w:r>
    </w:p>
    <w:p w14:paraId="2C817EA0" w14:textId="77777777" w:rsidR="00247CCB" w:rsidRPr="00A44065" w:rsidRDefault="00247CCB" w:rsidP="00247CCB">
      <w:pPr>
        <w:pStyle w:val="ParagraphList"/>
        <w:rPr>
          <w:rFonts w:ascii="Times New Roman" w:hAnsi="Times New Roman"/>
          <w:i/>
          <w:u w:val="single"/>
        </w:rPr>
      </w:pPr>
      <w:r w:rsidRPr="00A44065">
        <w:rPr>
          <w:rFonts w:ascii="Times New Roman" w:hAnsi="Times New Roman"/>
          <w:i/>
          <w:u w:val="single"/>
        </w:rPr>
        <w:t>Cytokine release syndrome prophylaxis</w:t>
      </w:r>
    </w:p>
    <w:p w14:paraId="7EE37B8A" w14:textId="6E987212" w:rsidR="00247CCB" w:rsidRPr="0008620B" w:rsidRDefault="00B719B6" w:rsidP="00247CCB">
      <w:pPr>
        <w:pStyle w:val="Paragraph"/>
        <w:rPr>
          <w:rFonts w:ascii="Times New Roman" w:hAnsi="Times New Roman"/>
        </w:rPr>
      </w:pPr>
      <w:proofErr w:type="spellStart"/>
      <w:r w:rsidRPr="00A44065">
        <w:rPr>
          <w:rFonts w:ascii="Times New Roman" w:hAnsi="Times New Roman"/>
        </w:rPr>
        <w:t>Columvi</w:t>
      </w:r>
      <w:proofErr w:type="spellEnd"/>
      <w:r w:rsidR="00247CCB" w:rsidRPr="00A44065">
        <w:rPr>
          <w:rFonts w:ascii="Times New Roman" w:hAnsi="Times New Roman"/>
        </w:rPr>
        <w:t xml:space="preserve"> should be administered to well-hydrated patients.  Premedication to reduce the risk of CRS (</w:t>
      </w:r>
      <w:r w:rsidR="002522CB" w:rsidRPr="00A44065">
        <w:rPr>
          <w:rFonts w:ascii="Times New Roman" w:hAnsi="Times New Roman"/>
        </w:rPr>
        <w:t>See Section </w:t>
      </w:r>
      <w:r w:rsidR="002522CB" w:rsidRPr="00A44065">
        <w:rPr>
          <w:rFonts w:ascii="Times New Roman" w:hAnsi="Times New Roman"/>
          <w:i/>
        </w:rPr>
        <w:t>4.4 Special Warnings and Precautions for Use</w:t>
      </w:r>
      <w:r w:rsidR="00247CCB" w:rsidRPr="00A44065">
        <w:rPr>
          <w:rFonts w:ascii="Times New Roman" w:hAnsi="Times New Roman"/>
        </w:rPr>
        <w:t xml:space="preserve">) is outlined in </w:t>
      </w:r>
      <w:r w:rsidR="0010546D" w:rsidRPr="0008620B">
        <w:rPr>
          <w:rFonts w:ascii="Times New Roman" w:hAnsi="Times New Roman"/>
        </w:rPr>
        <w:fldChar w:fldCharType="begin"/>
      </w:r>
      <w:r w:rsidR="0010546D" w:rsidRPr="00A44065">
        <w:rPr>
          <w:rFonts w:ascii="Times New Roman" w:hAnsi="Times New Roman"/>
        </w:rPr>
        <w:instrText xml:space="preserve"> REF \* CHARFORMAT _Ref89194071  \* MERGEFORMAT </w:instrText>
      </w:r>
      <w:r w:rsidR="0010546D" w:rsidRPr="0008620B">
        <w:rPr>
          <w:rFonts w:ascii="Times New Roman" w:hAnsi="Times New Roman"/>
        </w:rPr>
        <w:fldChar w:fldCharType="separate"/>
      </w:r>
      <w:r w:rsidR="0010546D" w:rsidRPr="0008620B">
        <w:rPr>
          <w:rFonts w:ascii="Times New Roman" w:hAnsi="Times New Roman"/>
        </w:rPr>
        <w:t>Table 1</w:t>
      </w:r>
      <w:r w:rsidR="0010546D" w:rsidRPr="0008620B">
        <w:rPr>
          <w:rFonts w:ascii="Times New Roman" w:hAnsi="Times New Roman"/>
        </w:rPr>
        <w:fldChar w:fldCharType="end"/>
      </w:r>
      <w:r w:rsidR="00247CCB" w:rsidRPr="0008620B">
        <w:rPr>
          <w:rFonts w:ascii="Times New Roman" w:hAnsi="Times New Roman"/>
        </w:rPr>
        <w:t>.</w:t>
      </w:r>
    </w:p>
    <w:p w14:paraId="78075EE8" w14:textId="695D1193" w:rsidR="00247CCB" w:rsidRPr="0008620B" w:rsidRDefault="00247CCB" w:rsidP="00247CCB">
      <w:pPr>
        <w:pStyle w:val="TableTitle"/>
        <w:rPr>
          <w:rFonts w:ascii="Times New Roman" w:hAnsi="Times New Roman"/>
        </w:rPr>
      </w:pPr>
      <w:bookmarkStart w:id="1" w:name="_Ref89194071"/>
      <w:r w:rsidRPr="0008620B">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\r1 </w:instrText>
      </w:r>
      <w:r w:rsidRPr="0008620B">
        <w:rPr>
          <w:rFonts w:ascii="Times New Roman" w:hAnsi="Times New Roman"/>
        </w:rPr>
        <w:fldChar w:fldCharType="separate"/>
      </w:r>
      <w:r w:rsidRPr="0008620B">
        <w:rPr>
          <w:rFonts w:ascii="Times New Roman" w:hAnsi="Times New Roman"/>
          <w:noProof/>
        </w:rPr>
        <w:t>1</w:t>
      </w:r>
      <w:r w:rsidRPr="0008620B">
        <w:rPr>
          <w:rFonts w:ascii="Times New Roman" w:hAnsi="Times New Roman"/>
        </w:rPr>
        <w:fldChar w:fldCharType="end"/>
      </w:r>
      <w:bookmarkEnd w:id="1"/>
      <w:r w:rsidRPr="0008620B">
        <w:rPr>
          <w:rFonts w:ascii="Times New Roman" w:hAnsi="Times New Roman"/>
        </w:rPr>
        <w:tab/>
        <w:t xml:space="preserve">Premedication Before </w:t>
      </w:r>
      <w:proofErr w:type="spellStart"/>
      <w:r w:rsidR="00B719B6" w:rsidRPr="0008620B">
        <w:rPr>
          <w:rFonts w:ascii="Times New Roman" w:hAnsi="Times New Roman"/>
        </w:rPr>
        <w:t>Columvi</w:t>
      </w:r>
      <w:proofErr w:type="spellEnd"/>
      <w:r w:rsidRPr="0008620B">
        <w:rPr>
          <w:rFonts w:ascii="Times New Roman" w:hAnsi="Times New Roman"/>
        </w:rPr>
        <w:t xml:space="preserve"> Infusion to Reduce the Risk of Cytokine Release Syndrome</w:t>
      </w:r>
    </w:p>
    <w:tbl>
      <w:tblPr>
        <w:tblW w:w="8640" w:type="dxa"/>
        <w:tblInd w:w="58" w:type="dxa"/>
        <w:tblLayout w:type="fixed"/>
        <w:tblCellMar>
          <w:left w:w="57" w:type="dxa"/>
          <w:right w:w="57" w:type="dxa"/>
        </w:tblCellMar>
        <w:tblLook w:val="0000" w:firstRow="0" w:lastRow="0" w:firstColumn="0" w:lastColumn="0" w:noHBand="0" w:noVBand="0"/>
      </w:tblPr>
      <w:tblGrid>
        <w:gridCol w:w="2489"/>
        <w:gridCol w:w="1843"/>
        <w:gridCol w:w="1559"/>
        <w:gridCol w:w="2749"/>
      </w:tblGrid>
      <w:tr w:rsidR="00247CCB" w:rsidRPr="00A44065" w14:paraId="1EDC52DD" w14:textId="77777777" w:rsidTr="003320D4">
        <w:trPr>
          <w:cantSplit/>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4DD0DB33" w14:textId="77777777" w:rsidR="00247CCB" w:rsidRPr="0008620B" w:rsidRDefault="00247CCB" w:rsidP="003320D4">
            <w:pPr>
              <w:pStyle w:val="TableCell10Left"/>
              <w:rPr>
                <w:rFonts w:ascii="Times New Roman" w:hAnsi="Times New Roman"/>
                <w:b/>
              </w:rPr>
            </w:pPr>
            <w:r w:rsidRPr="0008620B">
              <w:rPr>
                <w:rFonts w:ascii="Times New Roman" w:hAnsi="Times New Roman"/>
                <w:b/>
              </w:rPr>
              <w:t>Treatment Cycle (Day)</w:t>
            </w:r>
          </w:p>
        </w:tc>
        <w:tc>
          <w:tcPr>
            <w:tcW w:w="1843" w:type="dxa"/>
            <w:tcBorders>
              <w:top w:val="single" w:sz="4" w:space="0" w:color="auto"/>
              <w:left w:val="single" w:sz="4" w:space="0" w:color="auto"/>
              <w:right w:val="single" w:sz="4" w:space="0" w:color="auto"/>
            </w:tcBorders>
            <w:shd w:val="clear" w:color="auto" w:fill="auto"/>
            <w:vAlign w:val="bottom"/>
          </w:tcPr>
          <w:p w14:paraId="6076032D" w14:textId="77777777" w:rsidR="00247CCB" w:rsidRPr="00A44065" w:rsidRDefault="00247CCB" w:rsidP="003320D4">
            <w:pPr>
              <w:pStyle w:val="TableCell10Center"/>
              <w:jc w:val="left"/>
              <w:rPr>
                <w:rFonts w:ascii="Times New Roman" w:hAnsi="Times New Roman"/>
                <w:b/>
              </w:rPr>
            </w:pPr>
            <w:r w:rsidRPr="00A44065">
              <w:rPr>
                <w:rFonts w:ascii="Times New Roman" w:hAnsi="Times New Roman"/>
                <w:b/>
              </w:rPr>
              <w:t>Patients requiring premedication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4B269" w14:textId="77777777" w:rsidR="00247CCB" w:rsidRPr="00A44065" w:rsidRDefault="00247CCB" w:rsidP="003320D4">
            <w:pPr>
              <w:pStyle w:val="TableCell10Center"/>
              <w:jc w:val="left"/>
              <w:rPr>
                <w:rFonts w:ascii="Times New Roman" w:hAnsi="Times New Roman"/>
                <w:b/>
              </w:rPr>
            </w:pPr>
            <w:r w:rsidRPr="00A44065">
              <w:rPr>
                <w:rFonts w:ascii="Times New Roman" w:hAnsi="Times New Roman"/>
                <w:b/>
              </w:rPr>
              <w:t>Premedication</w:t>
            </w:r>
          </w:p>
        </w:tc>
        <w:tc>
          <w:tcPr>
            <w:tcW w:w="2749" w:type="dxa"/>
            <w:tcBorders>
              <w:top w:val="single" w:sz="4" w:space="0" w:color="auto"/>
              <w:left w:val="single" w:sz="4" w:space="0" w:color="auto"/>
              <w:right w:val="single" w:sz="4" w:space="0" w:color="auto"/>
            </w:tcBorders>
            <w:shd w:val="clear" w:color="auto" w:fill="auto"/>
          </w:tcPr>
          <w:p w14:paraId="741D308C" w14:textId="77777777" w:rsidR="00247CCB" w:rsidRPr="00A44065" w:rsidRDefault="00247CCB" w:rsidP="003320D4">
            <w:pPr>
              <w:pStyle w:val="TableCell10Center"/>
              <w:jc w:val="left"/>
              <w:rPr>
                <w:rFonts w:ascii="Times New Roman" w:hAnsi="Times New Roman"/>
                <w:b/>
              </w:rPr>
            </w:pPr>
            <w:r w:rsidRPr="00A44065">
              <w:rPr>
                <w:rFonts w:ascii="Times New Roman" w:hAnsi="Times New Roman"/>
                <w:b/>
              </w:rPr>
              <w:t>Administration</w:t>
            </w:r>
          </w:p>
        </w:tc>
      </w:tr>
      <w:tr w:rsidR="00247CCB" w:rsidRPr="00A44065" w14:paraId="4A47B78E" w14:textId="77777777" w:rsidTr="003320D4">
        <w:trPr>
          <w:cantSplit/>
        </w:trPr>
        <w:tc>
          <w:tcPr>
            <w:tcW w:w="2489" w:type="dxa"/>
            <w:vMerge w:val="restart"/>
            <w:tcBorders>
              <w:top w:val="single" w:sz="4" w:space="0" w:color="auto"/>
              <w:left w:val="single" w:sz="4" w:space="0" w:color="auto"/>
              <w:right w:val="single" w:sz="4" w:space="0" w:color="auto"/>
            </w:tcBorders>
            <w:shd w:val="clear" w:color="auto" w:fill="auto"/>
            <w:vAlign w:val="center"/>
          </w:tcPr>
          <w:p w14:paraId="0563A043"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1 (Day 8, Day 15</w:t>
            </w:r>
            <w:proofErr w:type="gramStart"/>
            <w:r w:rsidRPr="00A44065">
              <w:rPr>
                <w:rFonts w:ascii="Times New Roman" w:hAnsi="Times New Roman"/>
                <w:b/>
              </w:rPr>
              <w:t>);</w:t>
            </w:r>
            <w:proofErr w:type="gramEnd"/>
          </w:p>
          <w:p w14:paraId="5A07D1C0"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2 (Day 1</w:t>
            </w:r>
            <w:proofErr w:type="gramStart"/>
            <w:r w:rsidRPr="00A44065">
              <w:rPr>
                <w:rFonts w:ascii="Times New Roman" w:hAnsi="Times New Roman"/>
                <w:b/>
              </w:rPr>
              <w:t>);</w:t>
            </w:r>
            <w:proofErr w:type="gramEnd"/>
          </w:p>
          <w:p w14:paraId="7906A16A"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3 (Day 1)</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0E6B6A94"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All patients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46809"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Intravenous </w:t>
            </w:r>
            <w:proofErr w:type="spellStart"/>
            <w:r w:rsidRPr="00A44065">
              <w:rPr>
                <w:rFonts w:ascii="Times New Roman" w:hAnsi="Times New Roman"/>
              </w:rPr>
              <w:t>glucocorticoid</w:t>
            </w:r>
            <w:r w:rsidRPr="00A44065">
              <w:rPr>
                <w:rFonts w:ascii="Times New Roman" w:hAnsi="Times New Roman"/>
                <w:vertAlign w:val="superscript"/>
              </w:rPr>
              <w:t>a</w:t>
            </w:r>
            <w:proofErr w:type="spellEnd"/>
          </w:p>
        </w:tc>
        <w:tc>
          <w:tcPr>
            <w:tcW w:w="2749" w:type="dxa"/>
            <w:tcBorders>
              <w:top w:val="single" w:sz="4" w:space="0" w:color="auto"/>
              <w:left w:val="single" w:sz="4" w:space="0" w:color="auto"/>
              <w:right w:val="single" w:sz="4" w:space="0" w:color="auto"/>
            </w:tcBorders>
            <w:shd w:val="clear" w:color="auto" w:fill="auto"/>
          </w:tcPr>
          <w:p w14:paraId="5A780AEB" w14:textId="32782A1E"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Completed at least 1 hour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3537AE92" w14:textId="77777777" w:rsidTr="003320D4">
        <w:trPr>
          <w:cantSplit/>
        </w:trPr>
        <w:tc>
          <w:tcPr>
            <w:tcW w:w="2489" w:type="dxa"/>
            <w:vMerge/>
            <w:tcBorders>
              <w:left w:val="single" w:sz="4" w:space="0" w:color="auto"/>
              <w:right w:val="single" w:sz="4" w:space="0" w:color="auto"/>
            </w:tcBorders>
            <w:shd w:val="clear" w:color="auto" w:fill="auto"/>
          </w:tcPr>
          <w:p w14:paraId="3C59A8CA" w14:textId="77777777" w:rsidR="00247CCB" w:rsidRPr="00A44065" w:rsidRDefault="00247CCB" w:rsidP="003320D4">
            <w:pPr>
              <w:pStyle w:val="TableCell10Left"/>
              <w:rPr>
                <w:rFonts w:ascii="Times New Roman" w:hAnsi="Times New Roman"/>
                <w:b/>
              </w:rPr>
            </w:pPr>
          </w:p>
        </w:tc>
        <w:tc>
          <w:tcPr>
            <w:tcW w:w="1843" w:type="dxa"/>
            <w:vMerge/>
            <w:tcBorders>
              <w:left w:val="single" w:sz="4" w:space="0" w:color="auto"/>
              <w:right w:val="single" w:sz="4" w:space="0" w:color="auto"/>
            </w:tcBorders>
            <w:shd w:val="clear" w:color="auto" w:fill="auto"/>
          </w:tcPr>
          <w:p w14:paraId="56AD1DEE"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62176A"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Oral analgesic / anti-</w:t>
            </w:r>
            <w:proofErr w:type="spellStart"/>
            <w:r w:rsidRPr="00A44065">
              <w:rPr>
                <w:rFonts w:ascii="Times New Roman" w:hAnsi="Times New Roman"/>
              </w:rPr>
              <w:t>pyretic</w:t>
            </w:r>
            <w:r w:rsidRPr="00A44065">
              <w:rPr>
                <w:rFonts w:ascii="Times New Roman" w:hAnsi="Times New Roman"/>
                <w:vertAlign w:val="superscript"/>
              </w:rPr>
              <w:t>b</w:t>
            </w:r>
            <w:proofErr w:type="spellEnd"/>
          </w:p>
        </w:tc>
        <w:tc>
          <w:tcPr>
            <w:tcW w:w="2749" w:type="dxa"/>
            <w:vMerge w:val="restart"/>
            <w:tcBorders>
              <w:top w:val="single" w:sz="4" w:space="0" w:color="auto"/>
              <w:left w:val="single" w:sz="4" w:space="0" w:color="auto"/>
              <w:right w:val="single" w:sz="4" w:space="0" w:color="auto"/>
            </w:tcBorders>
            <w:shd w:val="clear" w:color="auto" w:fill="auto"/>
            <w:vAlign w:val="center"/>
          </w:tcPr>
          <w:p w14:paraId="30292330" w14:textId="46F48216"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At least 30 minutes before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46DA3858" w14:textId="77777777" w:rsidTr="003320D4">
        <w:trPr>
          <w:cantSplit/>
        </w:trPr>
        <w:tc>
          <w:tcPr>
            <w:tcW w:w="2489" w:type="dxa"/>
            <w:vMerge/>
            <w:tcBorders>
              <w:left w:val="single" w:sz="4" w:space="0" w:color="auto"/>
              <w:bottom w:val="single" w:sz="4" w:space="0" w:color="auto"/>
              <w:right w:val="single" w:sz="4" w:space="0" w:color="auto"/>
            </w:tcBorders>
            <w:shd w:val="clear" w:color="auto" w:fill="auto"/>
          </w:tcPr>
          <w:p w14:paraId="3430F17B" w14:textId="77777777" w:rsidR="00247CCB" w:rsidRPr="00A44065" w:rsidRDefault="00247CCB" w:rsidP="003320D4">
            <w:pPr>
              <w:pStyle w:val="TableCell10Left"/>
              <w:rPr>
                <w:rFonts w:ascii="Times New Roman" w:hAnsi="Times New Roman"/>
                <w:b/>
              </w:rPr>
            </w:pPr>
          </w:p>
        </w:tc>
        <w:tc>
          <w:tcPr>
            <w:tcW w:w="1843" w:type="dxa"/>
            <w:vMerge/>
            <w:tcBorders>
              <w:left w:val="single" w:sz="4" w:space="0" w:color="auto"/>
              <w:right w:val="single" w:sz="4" w:space="0" w:color="auto"/>
            </w:tcBorders>
            <w:shd w:val="clear" w:color="auto" w:fill="auto"/>
          </w:tcPr>
          <w:p w14:paraId="54ACB860"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2A19AA"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Anti-</w:t>
            </w:r>
            <w:proofErr w:type="spellStart"/>
            <w:r w:rsidRPr="00A44065">
              <w:rPr>
                <w:rFonts w:ascii="Times New Roman" w:hAnsi="Times New Roman"/>
              </w:rPr>
              <w:t>histamine</w:t>
            </w:r>
            <w:r w:rsidRPr="00A44065">
              <w:rPr>
                <w:rFonts w:ascii="Times New Roman" w:hAnsi="Times New Roman"/>
                <w:vertAlign w:val="superscript"/>
              </w:rPr>
              <w:t>c</w:t>
            </w:r>
            <w:proofErr w:type="spellEnd"/>
          </w:p>
        </w:tc>
        <w:tc>
          <w:tcPr>
            <w:tcW w:w="2749" w:type="dxa"/>
            <w:vMerge/>
            <w:tcBorders>
              <w:left w:val="single" w:sz="4" w:space="0" w:color="auto"/>
              <w:right w:val="single" w:sz="4" w:space="0" w:color="auto"/>
            </w:tcBorders>
            <w:shd w:val="clear" w:color="auto" w:fill="auto"/>
          </w:tcPr>
          <w:p w14:paraId="4727399E" w14:textId="77777777" w:rsidR="00247CCB" w:rsidRPr="00A44065" w:rsidRDefault="00247CCB" w:rsidP="003320D4">
            <w:pPr>
              <w:pStyle w:val="TableCell10Center"/>
              <w:rPr>
                <w:rFonts w:ascii="Times New Roman" w:hAnsi="Times New Roman"/>
              </w:rPr>
            </w:pPr>
          </w:p>
        </w:tc>
      </w:tr>
      <w:tr w:rsidR="00247CCB" w:rsidRPr="00A44065" w14:paraId="6973A5CC" w14:textId="77777777" w:rsidTr="003320D4">
        <w:trPr>
          <w:cantSplit/>
        </w:trPr>
        <w:tc>
          <w:tcPr>
            <w:tcW w:w="2489" w:type="dxa"/>
            <w:vMerge w:val="restart"/>
            <w:tcBorders>
              <w:top w:val="single" w:sz="4" w:space="0" w:color="auto"/>
              <w:left w:val="single" w:sz="4" w:space="0" w:color="auto"/>
              <w:right w:val="single" w:sz="4" w:space="0" w:color="auto"/>
            </w:tcBorders>
            <w:shd w:val="clear" w:color="auto" w:fill="auto"/>
            <w:vAlign w:val="center"/>
          </w:tcPr>
          <w:p w14:paraId="3CB05406" w14:textId="77777777" w:rsidR="00247CCB" w:rsidRPr="00A44065" w:rsidRDefault="00247CCB" w:rsidP="003320D4">
            <w:pPr>
              <w:pStyle w:val="TableCell10Left"/>
              <w:rPr>
                <w:rFonts w:ascii="Times New Roman" w:hAnsi="Times New Roman"/>
                <w:b/>
              </w:rPr>
            </w:pPr>
            <w:r w:rsidRPr="00A44065">
              <w:rPr>
                <w:rFonts w:ascii="Times New Roman" w:hAnsi="Times New Roman"/>
                <w:b/>
              </w:rPr>
              <w:t>All subsequent infusions</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53942BAB"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All patients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C0F84"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Oral analgesic / anti-</w:t>
            </w:r>
            <w:proofErr w:type="spellStart"/>
            <w:r w:rsidRPr="00A44065">
              <w:rPr>
                <w:rFonts w:ascii="Times New Roman" w:hAnsi="Times New Roman"/>
              </w:rPr>
              <w:t>pyretic</w:t>
            </w:r>
            <w:r w:rsidRPr="00A44065">
              <w:rPr>
                <w:rFonts w:ascii="Times New Roman" w:hAnsi="Times New Roman"/>
                <w:vertAlign w:val="superscript"/>
              </w:rPr>
              <w:t>b</w:t>
            </w:r>
            <w:proofErr w:type="spellEnd"/>
          </w:p>
        </w:tc>
        <w:tc>
          <w:tcPr>
            <w:tcW w:w="2749" w:type="dxa"/>
            <w:vMerge w:val="restart"/>
            <w:tcBorders>
              <w:top w:val="single" w:sz="4" w:space="0" w:color="auto"/>
              <w:left w:val="single" w:sz="4" w:space="0" w:color="auto"/>
              <w:right w:val="single" w:sz="4" w:space="0" w:color="auto"/>
            </w:tcBorders>
            <w:shd w:val="clear" w:color="auto" w:fill="auto"/>
            <w:vAlign w:val="center"/>
          </w:tcPr>
          <w:p w14:paraId="44CC3756" w14:textId="2D2F60E2"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At least 30 minutes before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6A7B0746" w14:textId="77777777" w:rsidTr="00597A0D">
        <w:trPr>
          <w:cantSplit/>
        </w:trPr>
        <w:tc>
          <w:tcPr>
            <w:tcW w:w="2489" w:type="dxa"/>
            <w:vMerge/>
            <w:tcBorders>
              <w:left w:val="single" w:sz="4" w:space="0" w:color="auto"/>
              <w:right w:val="single" w:sz="4" w:space="0" w:color="auto"/>
            </w:tcBorders>
            <w:shd w:val="clear" w:color="auto" w:fill="auto"/>
          </w:tcPr>
          <w:p w14:paraId="14AC6EDC" w14:textId="77777777" w:rsidR="00247CCB" w:rsidRPr="00A44065" w:rsidRDefault="00247CCB" w:rsidP="003320D4">
            <w:pPr>
              <w:pStyle w:val="TableCell10Left"/>
              <w:rPr>
                <w:rFonts w:ascii="Times New Roman" w:hAnsi="Times New Roman"/>
              </w:rPr>
            </w:pPr>
          </w:p>
        </w:tc>
        <w:tc>
          <w:tcPr>
            <w:tcW w:w="1843" w:type="dxa"/>
            <w:vMerge/>
            <w:tcBorders>
              <w:left w:val="single" w:sz="4" w:space="0" w:color="auto"/>
              <w:right w:val="single" w:sz="4" w:space="0" w:color="auto"/>
            </w:tcBorders>
            <w:shd w:val="clear" w:color="auto" w:fill="auto"/>
          </w:tcPr>
          <w:p w14:paraId="3625A90B"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D2CA89"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Anti-</w:t>
            </w:r>
            <w:proofErr w:type="spellStart"/>
            <w:r w:rsidRPr="00A44065">
              <w:rPr>
                <w:rFonts w:ascii="Times New Roman" w:hAnsi="Times New Roman"/>
              </w:rPr>
              <w:t>histamine</w:t>
            </w:r>
            <w:r w:rsidRPr="00A44065">
              <w:rPr>
                <w:rFonts w:ascii="Times New Roman" w:hAnsi="Times New Roman"/>
                <w:vertAlign w:val="superscript"/>
              </w:rPr>
              <w:t>c</w:t>
            </w:r>
            <w:proofErr w:type="spellEnd"/>
          </w:p>
        </w:tc>
        <w:tc>
          <w:tcPr>
            <w:tcW w:w="2749" w:type="dxa"/>
            <w:vMerge/>
            <w:tcBorders>
              <w:left w:val="single" w:sz="4" w:space="0" w:color="auto"/>
              <w:right w:val="single" w:sz="4" w:space="0" w:color="auto"/>
            </w:tcBorders>
            <w:shd w:val="clear" w:color="auto" w:fill="auto"/>
          </w:tcPr>
          <w:p w14:paraId="7AB0C4CE" w14:textId="77777777" w:rsidR="00247CCB" w:rsidRPr="00A44065" w:rsidRDefault="00247CCB" w:rsidP="003320D4">
            <w:pPr>
              <w:pStyle w:val="TableCell10Center"/>
              <w:rPr>
                <w:rFonts w:ascii="Times New Roman" w:hAnsi="Times New Roman"/>
              </w:rPr>
            </w:pPr>
          </w:p>
        </w:tc>
      </w:tr>
      <w:tr w:rsidR="00247CCB" w:rsidRPr="00A44065" w14:paraId="749E93B0" w14:textId="77777777" w:rsidTr="00597A0D">
        <w:trPr>
          <w:cantSplit/>
        </w:trPr>
        <w:tc>
          <w:tcPr>
            <w:tcW w:w="2489" w:type="dxa"/>
            <w:vMerge/>
            <w:tcBorders>
              <w:left w:val="single" w:sz="4" w:space="0" w:color="auto"/>
              <w:right w:val="single" w:sz="4" w:space="0" w:color="auto"/>
            </w:tcBorders>
            <w:shd w:val="clear" w:color="auto" w:fill="auto"/>
          </w:tcPr>
          <w:p w14:paraId="0CD2ECC3" w14:textId="77777777" w:rsidR="00247CCB" w:rsidRPr="00A44065" w:rsidRDefault="00247CCB" w:rsidP="003320D4">
            <w:pPr>
              <w:pStyle w:val="TableCell10Left"/>
              <w:rPr>
                <w:rFonts w:ascii="Times New Roman" w:hAnsi="Times New Roman"/>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2D1B0A3"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Patients who experienced CRS with previous dose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720EBF"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Intravenous </w:t>
            </w:r>
            <w:proofErr w:type="spellStart"/>
            <w:r w:rsidRPr="00A44065">
              <w:rPr>
                <w:rFonts w:ascii="Times New Roman" w:hAnsi="Times New Roman"/>
              </w:rPr>
              <w:t>glucocorticoid</w:t>
            </w:r>
            <w:r w:rsidRPr="00A44065">
              <w:rPr>
                <w:rFonts w:ascii="Times New Roman" w:hAnsi="Times New Roman"/>
                <w:vertAlign w:val="superscript"/>
              </w:rPr>
              <w:t>a</w:t>
            </w:r>
            <w:proofErr w:type="spellEnd"/>
          </w:p>
        </w:tc>
        <w:tc>
          <w:tcPr>
            <w:tcW w:w="2749" w:type="dxa"/>
            <w:tcBorders>
              <w:top w:val="single" w:sz="4" w:space="0" w:color="auto"/>
              <w:left w:val="single" w:sz="4" w:space="0" w:color="auto"/>
              <w:right w:val="single" w:sz="4" w:space="0" w:color="auto"/>
            </w:tcBorders>
            <w:shd w:val="clear" w:color="auto" w:fill="auto"/>
          </w:tcPr>
          <w:p w14:paraId="5FAC6B55" w14:textId="0DA47E3E"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Completed at least 1 hour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1765B3A1" w14:textId="77777777" w:rsidTr="00597A0D">
        <w:trPr>
          <w:cantSplit/>
        </w:trPr>
        <w:tc>
          <w:tcPr>
            <w:tcW w:w="2489" w:type="dxa"/>
            <w:vMerge/>
            <w:tcBorders>
              <w:left w:val="single" w:sz="4" w:space="0" w:color="auto"/>
              <w:right w:val="single" w:sz="4" w:space="0" w:color="auto"/>
            </w:tcBorders>
            <w:shd w:val="clear" w:color="auto" w:fill="auto"/>
          </w:tcPr>
          <w:p w14:paraId="0294B1CA" w14:textId="77777777" w:rsidR="00247CCB" w:rsidRPr="00A44065" w:rsidRDefault="00247CCB" w:rsidP="003320D4">
            <w:pPr>
              <w:pStyle w:val="TableCell10Left"/>
              <w:rPr>
                <w:rFonts w:ascii="Times New Roman" w:hAnsi="Times New Roman"/>
              </w:rPr>
            </w:pPr>
          </w:p>
        </w:tc>
        <w:tc>
          <w:tcPr>
            <w:tcW w:w="1843" w:type="dxa"/>
            <w:vMerge/>
            <w:tcBorders>
              <w:left w:val="single" w:sz="4" w:space="0" w:color="auto"/>
              <w:right w:val="single" w:sz="4" w:space="0" w:color="auto"/>
            </w:tcBorders>
            <w:shd w:val="clear" w:color="auto" w:fill="auto"/>
          </w:tcPr>
          <w:p w14:paraId="1D7546C3"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28590C" w14:textId="67A46B8B" w:rsidR="00247CCB" w:rsidRPr="00A44065" w:rsidRDefault="00247CCB" w:rsidP="003320D4">
            <w:pPr>
              <w:pStyle w:val="TableCell10Center"/>
              <w:jc w:val="left"/>
              <w:rPr>
                <w:rFonts w:ascii="Times New Roman" w:hAnsi="Times New Roman"/>
              </w:rPr>
            </w:pPr>
            <w:r w:rsidRPr="00A44065">
              <w:rPr>
                <w:rFonts w:ascii="Times New Roman" w:hAnsi="Times New Roman"/>
              </w:rPr>
              <w:t>Oral analgesic / anti-</w:t>
            </w:r>
            <w:proofErr w:type="spellStart"/>
            <w:r w:rsidRPr="00A44065">
              <w:rPr>
                <w:rFonts w:ascii="Times New Roman" w:hAnsi="Times New Roman"/>
              </w:rPr>
              <w:t>pyretic</w:t>
            </w:r>
            <w:r w:rsidRPr="00A44065">
              <w:rPr>
                <w:rFonts w:ascii="Times New Roman" w:hAnsi="Times New Roman"/>
                <w:vertAlign w:val="superscript"/>
              </w:rPr>
              <w:t>b</w:t>
            </w:r>
            <w:proofErr w:type="spellEnd"/>
          </w:p>
        </w:tc>
        <w:tc>
          <w:tcPr>
            <w:tcW w:w="2749" w:type="dxa"/>
            <w:vMerge w:val="restart"/>
            <w:tcBorders>
              <w:top w:val="single" w:sz="4" w:space="0" w:color="auto"/>
              <w:left w:val="single" w:sz="4" w:space="0" w:color="auto"/>
              <w:right w:val="single" w:sz="4" w:space="0" w:color="auto"/>
            </w:tcBorders>
            <w:shd w:val="clear" w:color="auto" w:fill="auto"/>
            <w:vAlign w:val="center"/>
          </w:tcPr>
          <w:p w14:paraId="21ECE04D" w14:textId="7A8BD694"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At least 30 minutes before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137688C7" w14:textId="77777777" w:rsidTr="003320D4">
        <w:trPr>
          <w:cantSplit/>
        </w:trPr>
        <w:tc>
          <w:tcPr>
            <w:tcW w:w="2489" w:type="dxa"/>
            <w:vMerge/>
            <w:tcBorders>
              <w:left w:val="single" w:sz="4" w:space="0" w:color="auto"/>
              <w:bottom w:val="single" w:sz="4" w:space="0" w:color="auto"/>
              <w:right w:val="single" w:sz="4" w:space="0" w:color="auto"/>
            </w:tcBorders>
            <w:shd w:val="clear" w:color="auto" w:fill="auto"/>
          </w:tcPr>
          <w:p w14:paraId="33A8F02B" w14:textId="77777777" w:rsidR="00247CCB" w:rsidRPr="00A44065" w:rsidRDefault="00247CCB" w:rsidP="003320D4">
            <w:pPr>
              <w:pStyle w:val="TableCell10Left"/>
              <w:rPr>
                <w:rFonts w:ascii="Times New Roman" w:hAnsi="Times New Roman"/>
              </w:rPr>
            </w:pPr>
          </w:p>
        </w:tc>
        <w:tc>
          <w:tcPr>
            <w:tcW w:w="1843" w:type="dxa"/>
            <w:vMerge/>
            <w:tcBorders>
              <w:left w:val="single" w:sz="4" w:space="0" w:color="auto"/>
              <w:right w:val="single" w:sz="4" w:space="0" w:color="auto"/>
            </w:tcBorders>
            <w:shd w:val="clear" w:color="auto" w:fill="auto"/>
          </w:tcPr>
          <w:p w14:paraId="731282CD" w14:textId="77777777" w:rsidR="00247CCB" w:rsidRPr="00A44065" w:rsidRDefault="00247CCB" w:rsidP="003320D4">
            <w:pPr>
              <w:pStyle w:val="TableCell10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0E2DE" w14:textId="11884827" w:rsidR="00247CCB" w:rsidRPr="00A44065" w:rsidRDefault="00247CCB" w:rsidP="003320D4">
            <w:pPr>
              <w:pStyle w:val="TableCell10Center"/>
              <w:jc w:val="left"/>
              <w:rPr>
                <w:rFonts w:ascii="Times New Roman" w:hAnsi="Times New Roman"/>
              </w:rPr>
            </w:pPr>
            <w:r w:rsidRPr="00A44065">
              <w:rPr>
                <w:rFonts w:ascii="Times New Roman" w:hAnsi="Times New Roman"/>
              </w:rPr>
              <w:t>Anti-</w:t>
            </w:r>
            <w:proofErr w:type="spellStart"/>
            <w:r w:rsidRPr="00A44065">
              <w:rPr>
                <w:rFonts w:ascii="Times New Roman" w:hAnsi="Times New Roman"/>
              </w:rPr>
              <w:t>histamine</w:t>
            </w:r>
            <w:r w:rsidRPr="00A44065">
              <w:rPr>
                <w:rFonts w:ascii="Times New Roman" w:hAnsi="Times New Roman"/>
                <w:vertAlign w:val="superscript"/>
              </w:rPr>
              <w:t>c</w:t>
            </w:r>
            <w:proofErr w:type="spellEnd"/>
          </w:p>
        </w:tc>
        <w:tc>
          <w:tcPr>
            <w:tcW w:w="2749" w:type="dxa"/>
            <w:vMerge/>
            <w:tcBorders>
              <w:left w:val="single" w:sz="4" w:space="0" w:color="auto"/>
              <w:right w:val="single" w:sz="4" w:space="0" w:color="auto"/>
            </w:tcBorders>
            <w:shd w:val="clear" w:color="auto" w:fill="auto"/>
          </w:tcPr>
          <w:p w14:paraId="767C23CE" w14:textId="77777777" w:rsidR="00247CCB" w:rsidRPr="00A44065" w:rsidRDefault="00247CCB" w:rsidP="003320D4">
            <w:pPr>
              <w:pStyle w:val="TableCell10Center"/>
              <w:rPr>
                <w:rFonts w:ascii="Times New Roman" w:hAnsi="Times New Roman"/>
              </w:rPr>
            </w:pPr>
          </w:p>
        </w:tc>
      </w:tr>
      <w:tr w:rsidR="00247CCB" w:rsidRPr="00A44065" w14:paraId="62268AF4" w14:textId="77777777" w:rsidTr="003320D4">
        <w:trPr>
          <w:cantSplit/>
        </w:trPr>
        <w:tc>
          <w:tcPr>
            <w:tcW w:w="8640" w:type="dxa"/>
            <w:gridSpan w:val="4"/>
            <w:tcBorders>
              <w:top w:val="single" w:sz="4" w:space="0" w:color="auto"/>
            </w:tcBorders>
            <w:shd w:val="clear" w:color="auto" w:fill="auto"/>
          </w:tcPr>
          <w:p w14:paraId="456A0658" w14:textId="4B013EBB" w:rsidR="00247CCB" w:rsidRPr="00A44065" w:rsidRDefault="00247CCB" w:rsidP="003320D4">
            <w:pPr>
              <w:pStyle w:val="TabFigFooter"/>
              <w:spacing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t>20 mg dexamethasone or 80 mg methylprednisolone.</w:t>
            </w:r>
          </w:p>
          <w:p w14:paraId="0F8245D3" w14:textId="09D05EE2" w:rsidR="00247CCB" w:rsidRPr="00A44065" w:rsidRDefault="00247CCB" w:rsidP="003320D4">
            <w:pPr>
              <w:pStyle w:val="TabFigFooter"/>
              <w:spacing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r>
            <w:proofErr w:type="gramStart"/>
            <w:r w:rsidRPr="00A44065">
              <w:rPr>
                <w:rFonts w:ascii="Times New Roman" w:hAnsi="Times New Roman"/>
                <w:sz w:val="18"/>
                <w:szCs w:val="18"/>
              </w:rPr>
              <w:t>For</w:t>
            </w:r>
            <w:proofErr w:type="gramEnd"/>
            <w:r w:rsidRPr="00A44065">
              <w:rPr>
                <w:rFonts w:ascii="Times New Roman" w:hAnsi="Times New Roman"/>
                <w:sz w:val="18"/>
                <w:szCs w:val="18"/>
              </w:rPr>
              <w:t xml:space="preserve"> example, 1000 mg</w:t>
            </w:r>
            <w:r w:rsidR="004D5CBC" w:rsidRPr="00A44065">
              <w:rPr>
                <w:rFonts w:ascii="Times New Roman" w:hAnsi="Times New Roman"/>
                <w:sz w:val="18"/>
                <w:szCs w:val="18"/>
              </w:rPr>
              <w:t xml:space="preserve"> </w:t>
            </w:r>
            <w:r w:rsidRPr="00A44065">
              <w:rPr>
                <w:rFonts w:ascii="Times New Roman" w:hAnsi="Times New Roman"/>
                <w:sz w:val="18"/>
                <w:szCs w:val="18"/>
              </w:rPr>
              <w:t>paracetamol.</w:t>
            </w:r>
          </w:p>
          <w:p w14:paraId="13BD59B1" w14:textId="77777777" w:rsidR="00247CCB" w:rsidRPr="00A44065" w:rsidRDefault="00247CCB" w:rsidP="003320D4">
            <w:pPr>
              <w:pStyle w:val="TabFigFooter"/>
              <w:spacing w:line="240" w:lineRule="auto"/>
              <w:rPr>
                <w:rFonts w:ascii="Times New Roman" w:hAnsi="Times New Roman"/>
              </w:rPr>
            </w:pPr>
            <w:r w:rsidRPr="00A44065">
              <w:rPr>
                <w:rFonts w:ascii="Times New Roman" w:hAnsi="Times New Roman"/>
                <w:sz w:val="18"/>
                <w:szCs w:val="18"/>
              </w:rPr>
              <w:t>c</w:t>
            </w:r>
            <w:r w:rsidRPr="00A44065">
              <w:rPr>
                <w:rFonts w:ascii="Times New Roman" w:hAnsi="Times New Roman"/>
                <w:sz w:val="18"/>
                <w:szCs w:val="18"/>
              </w:rPr>
              <w:tab/>
            </w:r>
            <w:proofErr w:type="gramStart"/>
            <w:r w:rsidRPr="00A44065">
              <w:rPr>
                <w:rFonts w:ascii="Times New Roman" w:hAnsi="Times New Roman"/>
                <w:sz w:val="18"/>
                <w:szCs w:val="18"/>
              </w:rPr>
              <w:t>For</w:t>
            </w:r>
            <w:proofErr w:type="gramEnd"/>
            <w:r w:rsidRPr="00A44065">
              <w:rPr>
                <w:rFonts w:ascii="Times New Roman" w:hAnsi="Times New Roman"/>
                <w:sz w:val="18"/>
                <w:szCs w:val="18"/>
              </w:rPr>
              <w:t xml:space="preserve"> example, 50 mg diphenhydramine.</w:t>
            </w:r>
          </w:p>
        </w:tc>
      </w:tr>
    </w:tbl>
    <w:p w14:paraId="7BADA08F" w14:textId="77777777" w:rsidR="00247CCB" w:rsidRPr="00A44065" w:rsidRDefault="00247CCB" w:rsidP="00247CCB">
      <w:pPr>
        <w:pStyle w:val="ParagraphSpace"/>
        <w:rPr>
          <w:rFonts w:ascii="Times New Roman" w:hAnsi="Times New Roman"/>
        </w:rPr>
      </w:pPr>
    </w:p>
    <w:p w14:paraId="4EF579B2" w14:textId="77777777" w:rsidR="00247CCB" w:rsidRPr="00A44065" w:rsidRDefault="00247CCB" w:rsidP="00247CCB">
      <w:pPr>
        <w:pStyle w:val="ParagraphSpace"/>
        <w:rPr>
          <w:rFonts w:ascii="Times New Roman" w:hAnsi="Times New Roman"/>
        </w:rPr>
      </w:pPr>
    </w:p>
    <w:p w14:paraId="3A4A834C" w14:textId="77777777" w:rsidR="00247CCB" w:rsidRPr="00A44065" w:rsidRDefault="00247CCB" w:rsidP="00247CCB">
      <w:pPr>
        <w:pStyle w:val="ParagraphList"/>
        <w:rPr>
          <w:rFonts w:ascii="Times New Roman" w:hAnsi="Times New Roman"/>
          <w:b/>
        </w:rPr>
      </w:pPr>
      <w:r w:rsidRPr="00A44065">
        <w:rPr>
          <w:rFonts w:ascii="Times New Roman" w:hAnsi="Times New Roman"/>
          <w:b/>
        </w:rPr>
        <w:lastRenderedPageBreak/>
        <w:t>Recommended Dosage</w:t>
      </w:r>
    </w:p>
    <w:p w14:paraId="579BC816" w14:textId="61B3E599" w:rsidR="00247CCB" w:rsidRPr="00A44065" w:rsidRDefault="00B719B6" w:rsidP="00247CCB">
      <w:pPr>
        <w:pStyle w:val="Paragraph"/>
        <w:rPr>
          <w:rFonts w:ascii="Times New Roman" w:hAnsi="Times New Roman"/>
        </w:rPr>
      </w:pPr>
      <w:proofErr w:type="spellStart"/>
      <w:r w:rsidRPr="00A44065">
        <w:rPr>
          <w:rFonts w:ascii="Times New Roman" w:hAnsi="Times New Roman"/>
        </w:rPr>
        <w:t>Columvi</w:t>
      </w:r>
      <w:proofErr w:type="spellEnd"/>
      <w:r w:rsidR="00247CCB" w:rsidRPr="00A44065">
        <w:rPr>
          <w:rFonts w:ascii="Times New Roman" w:hAnsi="Times New Roman"/>
        </w:rPr>
        <w:t xml:space="preserve"> dosing begins with a step-up dosing schedule (which is designed to decrease the risk of CRS), leading to the recommended dose of 30 mg. </w:t>
      </w:r>
    </w:p>
    <w:p w14:paraId="0E57C6CB" w14:textId="4D7C05E8" w:rsidR="00247CCB" w:rsidRPr="00A44065" w:rsidRDefault="00B719B6" w:rsidP="00247CCB">
      <w:pPr>
        <w:pStyle w:val="ParagraphList"/>
        <w:rPr>
          <w:rFonts w:ascii="Times New Roman" w:hAnsi="Times New Roman"/>
          <w:u w:val="single"/>
        </w:rPr>
      </w:pPr>
      <w:proofErr w:type="spellStart"/>
      <w:r w:rsidRPr="00A44065">
        <w:rPr>
          <w:rFonts w:ascii="Times New Roman" w:hAnsi="Times New Roman"/>
          <w:u w:val="single"/>
        </w:rPr>
        <w:t>Columvi</w:t>
      </w:r>
      <w:proofErr w:type="spellEnd"/>
      <w:r w:rsidR="00247CCB" w:rsidRPr="00A44065">
        <w:rPr>
          <w:rFonts w:ascii="Times New Roman" w:hAnsi="Times New Roman"/>
          <w:u w:val="single"/>
        </w:rPr>
        <w:t xml:space="preserve"> Dose Step-up Schedule </w:t>
      </w:r>
    </w:p>
    <w:p w14:paraId="58720235" w14:textId="29FB81A1" w:rsidR="00247CCB" w:rsidRPr="0008620B" w:rsidRDefault="00B719B6" w:rsidP="00247CCB">
      <w:pPr>
        <w:pStyle w:val="Paragraph"/>
        <w:rPr>
          <w:rFonts w:ascii="Times New Roman" w:hAnsi="Times New Roman"/>
          <w:lang w:val="en-CA"/>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 xml:space="preserve">must be administered as an intravenous infusion according to the dose step-up schedule leading to the recommended dosage of 30 mg (as shown in </w:t>
      </w:r>
      <w:r w:rsidR="0010546D" w:rsidRPr="0008620B">
        <w:rPr>
          <w:rFonts w:ascii="Times New Roman" w:hAnsi="Times New Roman"/>
          <w:lang w:val="en-CA"/>
        </w:rPr>
        <w:fldChar w:fldCharType="begin"/>
      </w:r>
      <w:r w:rsidR="0010546D" w:rsidRPr="00A44065">
        <w:rPr>
          <w:rFonts w:ascii="Times New Roman" w:hAnsi="Times New Roman"/>
          <w:lang w:val="en-CA"/>
        </w:rPr>
        <w:instrText xml:space="preserve"> REF \* CHARFORMAT _Ref89199557  \* MERGEFORMAT </w:instrText>
      </w:r>
      <w:r w:rsidR="0010546D" w:rsidRPr="0008620B">
        <w:rPr>
          <w:rFonts w:ascii="Times New Roman" w:hAnsi="Times New Roman"/>
          <w:lang w:val="en-CA"/>
        </w:rPr>
        <w:fldChar w:fldCharType="separate"/>
      </w:r>
      <w:r w:rsidR="0010546D" w:rsidRPr="0008620B">
        <w:rPr>
          <w:rFonts w:ascii="Times New Roman" w:hAnsi="Times New Roman"/>
          <w:lang w:val="en-CA"/>
        </w:rPr>
        <w:t>Table 2</w:t>
      </w:r>
      <w:r w:rsidR="0010546D" w:rsidRPr="0008620B">
        <w:rPr>
          <w:rFonts w:ascii="Times New Roman" w:hAnsi="Times New Roman"/>
          <w:lang w:val="en-CA"/>
        </w:rPr>
        <w:fldChar w:fldCharType="end"/>
      </w:r>
      <w:r w:rsidR="00247CCB" w:rsidRPr="0008620B">
        <w:rPr>
          <w:rFonts w:ascii="Times New Roman" w:hAnsi="Times New Roman"/>
          <w:lang w:val="en-CA"/>
        </w:rPr>
        <w:t xml:space="preserve">), after completion of pre-treatment with </w:t>
      </w:r>
      <w:proofErr w:type="spellStart"/>
      <w:r w:rsidR="00247CCB" w:rsidRPr="0008620B">
        <w:rPr>
          <w:rFonts w:ascii="Times New Roman" w:hAnsi="Times New Roman"/>
          <w:lang w:val="en-CA"/>
        </w:rPr>
        <w:t>obinutuzumab</w:t>
      </w:r>
      <w:proofErr w:type="spellEnd"/>
      <w:r w:rsidR="00247CCB" w:rsidRPr="0008620B">
        <w:rPr>
          <w:rFonts w:ascii="Times New Roman" w:hAnsi="Times New Roman"/>
          <w:lang w:val="en-CA"/>
        </w:rPr>
        <w:t xml:space="preserve"> on Cycle 1 Day 1.  </w:t>
      </w:r>
      <w:r w:rsidR="00247CCB" w:rsidRPr="0008620B">
        <w:rPr>
          <w:rFonts w:ascii="Times New Roman" w:hAnsi="Times New Roman"/>
        </w:rPr>
        <w:t>Each cycle is 21 days.</w:t>
      </w:r>
    </w:p>
    <w:p w14:paraId="28CB8864" w14:textId="30A8C9FE" w:rsidR="00247CCB" w:rsidRPr="0008620B" w:rsidRDefault="00247CCB" w:rsidP="00247CCB">
      <w:pPr>
        <w:pStyle w:val="TableTitle"/>
        <w:rPr>
          <w:rFonts w:ascii="Times New Roman" w:hAnsi="Times New Roman"/>
        </w:rPr>
      </w:pPr>
      <w:bookmarkStart w:id="2" w:name="_Ref89199557"/>
      <w:r w:rsidRPr="0008620B">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2</w:t>
      </w:r>
      <w:r w:rsidRPr="0008620B">
        <w:rPr>
          <w:rFonts w:ascii="Times New Roman" w:hAnsi="Times New Roman"/>
        </w:rPr>
        <w:fldChar w:fldCharType="end"/>
      </w:r>
      <w:bookmarkEnd w:id="2"/>
      <w:r w:rsidRPr="0008620B">
        <w:rPr>
          <w:rFonts w:ascii="Times New Roman" w:hAnsi="Times New Roman"/>
        </w:rPr>
        <w:tab/>
      </w:r>
      <w:proofErr w:type="spellStart"/>
      <w:r w:rsidR="00B719B6" w:rsidRPr="0008620B">
        <w:rPr>
          <w:rFonts w:ascii="Times New Roman" w:hAnsi="Times New Roman"/>
        </w:rPr>
        <w:t>Columvi</w:t>
      </w:r>
      <w:proofErr w:type="spellEnd"/>
      <w:r w:rsidRPr="0008620B">
        <w:rPr>
          <w:rFonts w:ascii="Times New Roman" w:hAnsi="Times New Roman"/>
        </w:rPr>
        <w:t xml:space="preserve"> Monotherapy Dose Step-Up Schedule for Patients with Relapsed or Refractory DLBCL</w:t>
      </w:r>
    </w:p>
    <w:tbl>
      <w:tblPr>
        <w:tblW w:w="8640" w:type="dxa"/>
        <w:tblInd w:w="58" w:type="dxa"/>
        <w:tblLayout w:type="fixed"/>
        <w:tblCellMar>
          <w:left w:w="57" w:type="dxa"/>
          <w:right w:w="57" w:type="dxa"/>
        </w:tblCellMar>
        <w:tblLook w:val="0000" w:firstRow="0" w:lastRow="0" w:firstColumn="0" w:lastColumn="0" w:noHBand="0" w:noVBand="0"/>
      </w:tblPr>
      <w:tblGrid>
        <w:gridCol w:w="1922"/>
        <w:gridCol w:w="1701"/>
        <w:gridCol w:w="2551"/>
        <w:gridCol w:w="2466"/>
      </w:tblGrid>
      <w:tr w:rsidR="00247CCB" w:rsidRPr="00A44065" w14:paraId="63ADA387" w14:textId="77777777" w:rsidTr="003320D4">
        <w:trPr>
          <w:cantSplit/>
          <w:trHeight w:val="305"/>
        </w:trPr>
        <w:tc>
          <w:tcPr>
            <w:tcW w:w="3623" w:type="dxa"/>
            <w:gridSpan w:val="2"/>
            <w:tcBorders>
              <w:top w:val="single" w:sz="4" w:space="0" w:color="auto"/>
              <w:left w:val="single" w:sz="4" w:space="0" w:color="auto"/>
              <w:bottom w:val="single" w:sz="4" w:space="0" w:color="auto"/>
              <w:right w:val="single" w:sz="4" w:space="0" w:color="auto"/>
            </w:tcBorders>
            <w:shd w:val="clear" w:color="auto" w:fill="auto"/>
          </w:tcPr>
          <w:p w14:paraId="233C35B4" w14:textId="1E37DF21" w:rsidR="00247CCB" w:rsidRPr="0008620B" w:rsidRDefault="00247CCB" w:rsidP="003320D4">
            <w:pPr>
              <w:pStyle w:val="TableCell10Center"/>
              <w:rPr>
                <w:rFonts w:ascii="Times New Roman" w:hAnsi="Times New Roman"/>
                <w:b/>
                <w:vertAlign w:val="superscript"/>
              </w:rPr>
            </w:pPr>
            <w:r w:rsidRPr="0008620B">
              <w:rPr>
                <w:rFonts w:ascii="Times New Roman" w:hAnsi="Times New Roman"/>
                <w:b/>
              </w:rPr>
              <w:t>Treatment Cycle, Day</w:t>
            </w:r>
            <w:r w:rsidR="00F46469" w:rsidRPr="0008620B">
              <w:rPr>
                <w:rFonts w:ascii="Times New Roman" w:hAnsi="Times New Roman"/>
                <w:b/>
                <w:vertAlign w:val="superscript"/>
              </w:rPr>
              <w:t>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7E4F7E8" w14:textId="5659DA35" w:rsidR="00247CCB" w:rsidRPr="00A44065" w:rsidRDefault="00247CCB" w:rsidP="003320D4">
            <w:pPr>
              <w:pStyle w:val="TableCell10Center"/>
              <w:rPr>
                <w:rFonts w:ascii="Times New Roman" w:hAnsi="Times New Roman"/>
                <w:b/>
              </w:rPr>
            </w:pPr>
            <w:r w:rsidRPr="00A44065">
              <w:rPr>
                <w:rFonts w:ascii="Times New Roman" w:hAnsi="Times New Roman"/>
                <w:b/>
              </w:rPr>
              <w:t xml:space="preserve">Dose of </w:t>
            </w:r>
            <w:proofErr w:type="spellStart"/>
            <w:r w:rsidR="00B719B6" w:rsidRPr="00A44065">
              <w:rPr>
                <w:rFonts w:ascii="Times New Roman" w:hAnsi="Times New Roman"/>
                <w:b/>
              </w:rPr>
              <w:t>Columvi</w:t>
            </w:r>
            <w:proofErr w:type="spellEnd"/>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06075DFF" w14:textId="77777777" w:rsidR="00247CCB" w:rsidRPr="00A44065" w:rsidRDefault="00247CCB" w:rsidP="003320D4">
            <w:pPr>
              <w:pStyle w:val="TableCell10Center"/>
              <w:rPr>
                <w:rFonts w:ascii="Times New Roman" w:hAnsi="Times New Roman"/>
                <w:b/>
              </w:rPr>
            </w:pPr>
            <w:r w:rsidRPr="00A44065">
              <w:rPr>
                <w:rFonts w:ascii="Times New Roman" w:hAnsi="Times New Roman"/>
                <w:b/>
              </w:rPr>
              <w:t>Duration of infusion</w:t>
            </w:r>
          </w:p>
        </w:tc>
      </w:tr>
      <w:tr w:rsidR="00247CCB" w:rsidRPr="00A44065" w14:paraId="7C53B64F" w14:textId="77777777" w:rsidTr="003320D4">
        <w:trPr>
          <w:cantSplit/>
        </w:trPr>
        <w:tc>
          <w:tcPr>
            <w:tcW w:w="1922" w:type="dxa"/>
            <w:vMerge w:val="restart"/>
            <w:tcBorders>
              <w:top w:val="single" w:sz="4" w:space="0" w:color="auto"/>
              <w:left w:val="single" w:sz="4" w:space="0" w:color="auto"/>
              <w:bottom w:val="single" w:sz="4" w:space="0" w:color="auto"/>
              <w:right w:val="single" w:sz="4" w:space="0" w:color="auto"/>
            </w:tcBorders>
            <w:shd w:val="clear" w:color="auto" w:fill="auto"/>
          </w:tcPr>
          <w:p w14:paraId="17674C1C"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1</w:t>
            </w:r>
          </w:p>
          <w:p w14:paraId="70DF8E62" w14:textId="77777777" w:rsidR="00247CCB" w:rsidRPr="00A44065" w:rsidRDefault="00247CCB" w:rsidP="003320D4">
            <w:pPr>
              <w:pStyle w:val="TableCell10Left"/>
              <w:rPr>
                <w:rFonts w:ascii="Times New Roman" w:hAnsi="Times New Roman"/>
              </w:rPr>
            </w:pPr>
            <w:r w:rsidRPr="00A44065">
              <w:rPr>
                <w:rFonts w:ascii="Times New Roman" w:hAnsi="Times New Roman"/>
              </w:rPr>
              <w:t>(Pre-treatment and step-up dose)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6638FE" w14:textId="77777777" w:rsidR="00247CCB" w:rsidRPr="00A44065" w:rsidRDefault="00247CCB" w:rsidP="003320D4">
            <w:pPr>
              <w:pStyle w:val="TableCell10Center"/>
              <w:rPr>
                <w:rFonts w:ascii="Times New Roman" w:hAnsi="Times New Roman"/>
              </w:rPr>
            </w:pPr>
            <w:r w:rsidRPr="00A44065">
              <w:rPr>
                <w:rFonts w:ascii="Times New Roman" w:hAnsi="Times New Roman"/>
              </w:rPr>
              <w:t>Day 1</w:t>
            </w:r>
          </w:p>
        </w:tc>
        <w:tc>
          <w:tcPr>
            <w:tcW w:w="5017" w:type="dxa"/>
            <w:gridSpan w:val="2"/>
            <w:tcBorders>
              <w:top w:val="single" w:sz="4" w:space="0" w:color="auto"/>
              <w:left w:val="single" w:sz="4" w:space="0" w:color="auto"/>
              <w:bottom w:val="single" w:sz="4" w:space="0" w:color="auto"/>
              <w:right w:val="single" w:sz="4" w:space="0" w:color="auto"/>
            </w:tcBorders>
            <w:shd w:val="clear" w:color="auto" w:fill="auto"/>
          </w:tcPr>
          <w:p w14:paraId="2BA537A0" w14:textId="5015014A" w:rsidR="00247CCB" w:rsidRPr="00A44065" w:rsidRDefault="00247CCB" w:rsidP="003320D4">
            <w:pPr>
              <w:pStyle w:val="TableCell10Center"/>
              <w:rPr>
                <w:rFonts w:ascii="Times New Roman" w:hAnsi="Times New Roman"/>
              </w:rPr>
            </w:pPr>
            <w:r w:rsidRPr="00A44065">
              <w:rPr>
                <w:rFonts w:ascii="Times New Roman" w:hAnsi="Times New Roman"/>
              </w:rPr>
              <w:t xml:space="preserve">Pre-treatment with </w:t>
            </w:r>
            <w:proofErr w:type="spellStart"/>
            <w:r w:rsidRPr="00A44065">
              <w:rPr>
                <w:rFonts w:ascii="Times New Roman" w:hAnsi="Times New Roman"/>
              </w:rPr>
              <w:t>obinutuzumab</w:t>
            </w:r>
            <w:r w:rsidR="00F46469" w:rsidRPr="00A44065">
              <w:rPr>
                <w:rFonts w:ascii="Times New Roman" w:hAnsi="Times New Roman"/>
                <w:vertAlign w:val="superscript"/>
              </w:rPr>
              <w:t>b</w:t>
            </w:r>
            <w:proofErr w:type="spellEnd"/>
          </w:p>
        </w:tc>
      </w:tr>
      <w:tr w:rsidR="00247CCB" w:rsidRPr="00A44065" w14:paraId="5DB247A8" w14:textId="77777777" w:rsidTr="003320D4">
        <w:trPr>
          <w:cantSplit/>
        </w:trPr>
        <w:tc>
          <w:tcPr>
            <w:tcW w:w="1922" w:type="dxa"/>
            <w:vMerge/>
            <w:tcBorders>
              <w:left w:val="single" w:sz="4" w:space="0" w:color="auto"/>
              <w:bottom w:val="single" w:sz="4" w:space="0" w:color="auto"/>
              <w:right w:val="single" w:sz="4" w:space="0" w:color="auto"/>
            </w:tcBorders>
            <w:shd w:val="clear" w:color="auto" w:fill="auto"/>
          </w:tcPr>
          <w:p w14:paraId="3285F5F4" w14:textId="77777777" w:rsidR="00247CCB" w:rsidRPr="00A44065" w:rsidRDefault="00247CCB" w:rsidP="003320D4">
            <w:pPr>
              <w:pStyle w:val="TableCell10Left"/>
              <w:rPr>
                <w:rFonts w:ascii="Times New Roman" w:hAnsi="Times New Roman"/>
                <w:b/>
              </w:rPr>
            </w:pPr>
          </w:p>
        </w:tc>
        <w:tc>
          <w:tcPr>
            <w:tcW w:w="1701" w:type="dxa"/>
            <w:tcBorders>
              <w:left w:val="single" w:sz="4" w:space="0" w:color="auto"/>
              <w:bottom w:val="single" w:sz="4" w:space="0" w:color="auto"/>
              <w:right w:val="single" w:sz="4" w:space="0" w:color="auto"/>
            </w:tcBorders>
            <w:shd w:val="clear" w:color="auto" w:fill="auto"/>
          </w:tcPr>
          <w:p w14:paraId="583951DA" w14:textId="77777777" w:rsidR="00247CCB" w:rsidRPr="00A44065" w:rsidRDefault="00247CCB" w:rsidP="003320D4">
            <w:pPr>
              <w:pStyle w:val="TableCell10Center"/>
              <w:rPr>
                <w:rFonts w:ascii="Times New Roman" w:hAnsi="Times New Roman"/>
              </w:rPr>
            </w:pPr>
            <w:r w:rsidRPr="00A44065">
              <w:rPr>
                <w:rFonts w:ascii="Times New Roman" w:hAnsi="Times New Roman"/>
              </w:rPr>
              <w:t>Day 8</w:t>
            </w:r>
          </w:p>
        </w:tc>
        <w:tc>
          <w:tcPr>
            <w:tcW w:w="2551" w:type="dxa"/>
            <w:tcBorders>
              <w:left w:val="single" w:sz="4" w:space="0" w:color="auto"/>
              <w:bottom w:val="single" w:sz="4" w:space="0" w:color="auto"/>
              <w:right w:val="single" w:sz="4" w:space="0" w:color="auto"/>
            </w:tcBorders>
            <w:shd w:val="clear" w:color="auto" w:fill="auto"/>
          </w:tcPr>
          <w:p w14:paraId="2A060B96" w14:textId="77777777" w:rsidR="00247CCB" w:rsidRPr="00A44065" w:rsidRDefault="00247CCB" w:rsidP="003320D4">
            <w:pPr>
              <w:pStyle w:val="TableCell10Center"/>
              <w:rPr>
                <w:rFonts w:ascii="Times New Roman" w:hAnsi="Times New Roman"/>
              </w:rPr>
            </w:pPr>
            <w:r w:rsidRPr="00A44065">
              <w:rPr>
                <w:rFonts w:ascii="Times New Roman" w:hAnsi="Times New Roman"/>
                <w:lang w:val="en-CA"/>
              </w:rPr>
              <w:t>2.5 mg</w:t>
            </w:r>
          </w:p>
        </w:tc>
        <w:tc>
          <w:tcPr>
            <w:tcW w:w="2466" w:type="dxa"/>
            <w:vMerge w:val="restart"/>
            <w:tcBorders>
              <w:left w:val="single" w:sz="4" w:space="0" w:color="auto"/>
              <w:bottom w:val="single" w:sz="4" w:space="0" w:color="auto"/>
              <w:right w:val="single" w:sz="4" w:space="0" w:color="auto"/>
            </w:tcBorders>
            <w:shd w:val="clear" w:color="auto" w:fill="auto"/>
            <w:vAlign w:val="center"/>
          </w:tcPr>
          <w:p w14:paraId="44F748D7" w14:textId="50DF4C26" w:rsidR="00247CCB" w:rsidRPr="00A44065" w:rsidRDefault="00247CCB" w:rsidP="003320D4">
            <w:pPr>
              <w:pStyle w:val="TableCell10Center"/>
              <w:rPr>
                <w:rFonts w:ascii="Times New Roman" w:hAnsi="Times New Roman"/>
              </w:rPr>
            </w:pPr>
            <w:r w:rsidRPr="00A44065">
              <w:rPr>
                <w:rFonts w:ascii="Times New Roman" w:hAnsi="Times New Roman"/>
              </w:rPr>
              <w:t>4 </w:t>
            </w:r>
            <w:proofErr w:type="spellStart"/>
            <w:r w:rsidRPr="00A44065">
              <w:rPr>
                <w:rFonts w:ascii="Times New Roman" w:hAnsi="Times New Roman"/>
              </w:rPr>
              <w:t>hours</w:t>
            </w:r>
            <w:r w:rsidR="00F46469" w:rsidRPr="00A44065">
              <w:rPr>
                <w:rFonts w:ascii="Times New Roman" w:hAnsi="Times New Roman"/>
                <w:vertAlign w:val="superscript"/>
              </w:rPr>
              <w:t>c</w:t>
            </w:r>
            <w:proofErr w:type="spellEnd"/>
          </w:p>
        </w:tc>
      </w:tr>
      <w:tr w:rsidR="00247CCB" w:rsidRPr="00A44065" w14:paraId="137F25ED" w14:textId="77777777" w:rsidTr="003320D4">
        <w:trPr>
          <w:cantSplit/>
        </w:trPr>
        <w:tc>
          <w:tcPr>
            <w:tcW w:w="1922" w:type="dxa"/>
            <w:vMerge/>
            <w:tcBorders>
              <w:left w:val="single" w:sz="4" w:space="0" w:color="auto"/>
              <w:bottom w:val="single" w:sz="4" w:space="0" w:color="auto"/>
              <w:right w:val="single" w:sz="4" w:space="0" w:color="auto"/>
            </w:tcBorders>
            <w:shd w:val="clear" w:color="auto" w:fill="auto"/>
          </w:tcPr>
          <w:p w14:paraId="1B73D2EC" w14:textId="77777777" w:rsidR="00247CCB" w:rsidRPr="00A44065" w:rsidRDefault="00247CCB" w:rsidP="003320D4">
            <w:pPr>
              <w:pStyle w:val="TableCell10Left"/>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6F67DF" w14:textId="77777777" w:rsidR="00247CCB" w:rsidRPr="00A44065" w:rsidRDefault="00247CCB" w:rsidP="003320D4">
            <w:pPr>
              <w:pStyle w:val="TableCell10Center"/>
              <w:rPr>
                <w:rFonts w:ascii="Times New Roman" w:hAnsi="Times New Roman"/>
              </w:rPr>
            </w:pPr>
            <w:r w:rsidRPr="00A44065">
              <w:rPr>
                <w:rFonts w:ascii="Times New Roman" w:hAnsi="Times New Roman"/>
              </w:rPr>
              <w:t>Day 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F0C26E" w14:textId="77777777" w:rsidR="00247CCB" w:rsidRPr="00A44065" w:rsidRDefault="00247CCB" w:rsidP="003320D4">
            <w:pPr>
              <w:pStyle w:val="TableCell10Center"/>
              <w:rPr>
                <w:rFonts w:ascii="Times New Roman" w:hAnsi="Times New Roman"/>
              </w:rPr>
            </w:pPr>
            <w:r w:rsidRPr="00A44065">
              <w:rPr>
                <w:rFonts w:ascii="Times New Roman" w:hAnsi="Times New Roman"/>
              </w:rPr>
              <w:t>10 mg</w:t>
            </w:r>
          </w:p>
        </w:tc>
        <w:tc>
          <w:tcPr>
            <w:tcW w:w="2466" w:type="dxa"/>
            <w:vMerge/>
            <w:tcBorders>
              <w:left w:val="single" w:sz="4" w:space="0" w:color="auto"/>
              <w:bottom w:val="single" w:sz="4" w:space="0" w:color="auto"/>
              <w:right w:val="single" w:sz="4" w:space="0" w:color="auto"/>
            </w:tcBorders>
            <w:shd w:val="clear" w:color="auto" w:fill="auto"/>
          </w:tcPr>
          <w:p w14:paraId="785FEFCB" w14:textId="77777777" w:rsidR="00247CCB" w:rsidRPr="00A44065" w:rsidRDefault="00247CCB" w:rsidP="003320D4">
            <w:pPr>
              <w:pStyle w:val="TableCell10Center"/>
              <w:rPr>
                <w:rFonts w:ascii="Times New Roman" w:hAnsi="Times New Roman"/>
              </w:rPr>
            </w:pPr>
          </w:p>
        </w:tc>
      </w:tr>
      <w:tr w:rsidR="00247CCB" w:rsidRPr="00A44065" w14:paraId="69C61C75" w14:textId="77777777" w:rsidTr="003320D4">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0FDEAD39"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A8190E" w14:textId="77777777" w:rsidR="00247CCB" w:rsidRPr="00A44065" w:rsidRDefault="00247CCB" w:rsidP="003320D4">
            <w:pPr>
              <w:pStyle w:val="TableCell10Center"/>
              <w:rPr>
                <w:rFonts w:ascii="Times New Roman" w:hAnsi="Times New Roman"/>
              </w:rPr>
            </w:pPr>
            <w:r w:rsidRPr="00A44065">
              <w:rPr>
                <w:rFonts w:ascii="Times New Roman" w:hAnsi="Times New Roman"/>
              </w:rPr>
              <w:t>Day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D61484" w14:textId="77777777" w:rsidR="00247CCB" w:rsidRPr="00A44065" w:rsidRDefault="00247CCB" w:rsidP="003320D4">
            <w:pPr>
              <w:pStyle w:val="TableCell10Center"/>
              <w:rPr>
                <w:rFonts w:ascii="Times New Roman" w:hAnsi="Times New Roman"/>
              </w:rPr>
            </w:pPr>
            <w:r w:rsidRPr="00A44065">
              <w:rPr>
                <w:rFonts w:ascii="Times New Roman" w:hAnsi="Times New Roman"/>
              </w:rPr>
              <w:t>30 mg</w:t>
            </w:r>
          </w:p>
        </w:tc>
        <w:tc>
          <w:tcPr>
            <w:tcW w:w="2466" w:type="dxa"/>
            <w:vMerge/>
            <w:tcBorders>
              <w:left w:val="single" w:sz="4" w:space="0" w:color="auto"/>
              <w:bottom w:val="single" w:sz="4" w:space="0" w:color="auto"/>
              <w:right w:val="single" w:sz="4" w:space="0" w:color="auto"/>
            </w:tcBorders>
            <w:shd w:val="clear" w:color="auto" w:fill="auto"/>
          </w:tcPr>
          <w:p w14:paraId="3ADDCB1E" w14:textId="77777777" w:rsidR="00247CCB" w:rsidRPr="00A44065" w:rsidRDefault="00247CCB" w:rsidP="003320D4">
            <w:pPr>
              <w:pStyle w:val="TableCell10Center"/>
              <w:rPr>
                <w:rFonts w:ascii="Times New Roman" w:hAnsi="Times New Roman"/>
              </w:rPr>
            </w:pPr>
          </w:p>
        </w:tc>
      </w:tr>
      <w:tr w:rsidR="00247CCB" w:rsidRPr="00A44065" w14:paraId="33CF3216" w14:textId="77777777" w:rsidTr="003320D4">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703E972F"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3 to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AC862" w14:textId="77777777" w:rsidR="00247CCB" w:rsidRPr="00A44065" w:rsidRDefault="00247CCB" w:rsidP="003320D4">
            <w:pPr>
              <w:pStyle w:val="TableCell10Center"/>
              <w:rPr>
                <w:rFonts w:ascii="Times New Roman" w:hAnsi="Times New Roman"/>
              </w:rPr>
            </w:pPr>
            <w:r w:rsidRPr="00A44065">
              <w:rPr>
                <w:rFonts w:ascii="Times New Roman" w:hAnsi="Times New Roman"/>
              </w:rPr>
              <w:t>Day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261710" w14:textId="77777777" w:rsidR="00247CCB" w:rsidRPr="00A44065" w:rsidRDefault="00247CCB" w:rsidP="003320D4">
            <w:pPr>
              <w:pStyle w:val="TableCell10Center"/>
              <w:rPr>
                <w:rFonts w:ascii="Times New Roman" w:hAnsi="Times New Roman"/>
              </w:rPr>
            </w:pPr>
            <w:r w:rsidRPr="00A44065">
              <w:rPr>
                <w:rFonts w:ascii="Times New Roman" w:hAnsi="Times New Roman"/>
              </w:rPr>
              <w:t>30 mg</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5E4FBB3E" w14:textId="21792699" w:rsidR="00247CCB" w:rsidRPr="00A44065" w:rsidRDefault="00247CCB" w:rsidP="003320D4">
            <w:pPr>
              <w:pStyle w:val="TableCell10Center"/>
              <w:rPr>
                <w:rFonts w:ascii="Times New Roman" w:hAnsi="Times New Roman"/>
              </w:rPr>
            </w:pPr>
            <w:r w:rsidRPr="00A44065">
              <w:rPr>
                <w:rFonts w:ascii="Times New Roman" w:hAnsi="Times New Roman"/>
              </w:rPr>
              <w:t>2 </w:t>
            </w:r>
            <w:proofErr w:type="spellStart"/>
            <w:r w:rsidRPr="00A44065">
              <w:rPr>
                <w:rFonts w:ascii="Times New Roman" w:hAnsi="Times New Roman"/>
              </w:rPr>
              <w:t>hours</w:t>
            </w:r>
            <w:r w:rsidR="00F46469" w:rsidRPr="00A44065">
              <w:rPr>
                <w:rFonts w:ascii="Times New Roman" w:hAnsi="Times New Roman"/>
                <w:vertAlign w:val="superscript"/>
              </w:rPr>
              <w:t>d</w:t>
            </w:r>
            <w:proofErr w:type="spellEnd"/>
          </w:p>
        </w:tc>
      </w:tr>
      <w:tr w:rsidR="00247CCB" w:rsidRPr="00A44065" w14:paraId="2CE675EA" w14:textId="77777777" w:rsidTr="003320D4">
        <w:trPr>
          <w:cantSplit/>
        </w:trPr>
        <w:tc>
          <w:tcPr>
            <w:tcW w:w="8640" w:type="dxa"/>
            <w:gridSpan w:val="4"/>
            <w:tcBorders>
              <w:top w:val="single" w:sz="4" w:space="0" w:color="auto"/>
            </w:tcBorders>
            <w:shd w:val="clear" w:color="auto" w:fill="auto"/>
          </w:tcPr>
          <w:p w14:paraId="2C004BB6" w14:textId="6B0347CC" w:rsidR="00F46469" w:rsidRPr="00A44065" w:rsidRDefault="00247CCB" w:rsidP="003320D4">
            <w:pPr>
              <w:pStyle w:val="TabFigFooter"/>
              <w:spacing w:line="240" w:lineRule="auto"/>
              <w:rPr>
                <w:rFonts w:ascii="Times New Roman" w:hAnsi="Times New Roman"/>
                <w:sz w:val="18"/>
                <w:szCs w:val="18"/>
              </w:rPr>
            </w:pPr>
            <w:proofErr w:type="spellStart"/>
            <w:r w:rsidRPr="00A44065">
              <w:rPr>
                <w:rFonts w:ascii="Times New Roman" w:hAnsi="Times New Roman"/>
                <w:sz w:val="18"/>
                <w:szCs w:val="18"/>
              </w:rPr>
              <w:t>a</w:t>
            </w:r>
            <w:proofErr w:type="spellEnd"/>
            <w:r w:rsidRPr="00A44065">
              <w:rPr>
                <w:rFonts w:ascii="Times New Roman" w:hAnsi="Times New Roman"/>
                <w:sz w:val="18"/>
                <w:szCs w:val="18"/>
              </w:rPr>
              <w:tab/>
            </w:r>
            <w:r w:rsidR="00F46469" w:rsidRPr="00A44065">
              <w:rPr>
                <w:rFonts w:ascii="Times New Roman" w:hAnsi="Times New Roman"/>
                <w:sz w:val="18"/>
                <w:szCs w:val="18"/>
              </w:rPr>
              <w:t>Each treatment cycle is 21 days.</w:t>
            </w:r>
          </w:p>
          <w:p w14:paraId="2EC1336F" w14:textId="164B9DED" w:rsidR="00247CCB" w:rsidRPr="00A44065" w:rsidRDefault="00F46469" w:rsidP="003320D4">
            <w:pPr>
              <w:pStyle w:val="TabFigFooter"/>
              <w:spacing w:line="240" w:lineRule="auto"/>
              <w:rPr>
                <w:rFonts w:ascii="Times New Roman" w:hAnsi="Times New Roman"/>
                <w:sz w:val="18"/>
                <w:szCs w:val="18"/>
              </w:rPr>
            </w:pPr>
            <w:proofErr w:type="gramStart"/>
            <w:r w:rsidRPr="00A44065">
              <w:rPr>
                <w:rFonts w:ascii="Times New Roman" w:hAnsi="Times New Roman"/>
                <w:sz w:val="18"/>
                <w:szCs w:val="18"/>
              </w:rPr>
              <w:t xml:space="preserve">b  </w:t>
            </w:r>
            <w:r w:rsidR="00247CCB" w:rsidRPr="00A44065">
              <w:rPr>
                <w:rFonts w:ascii="Times New Roman" w:hAnsi="Times New Roman"/>
                <w:sz w:val="18"/>
                <w:szCs w:val="18"/>
              </w:rPr>
              <w:t>Refer</w:t>
            </w:r>
            <w:proofErr w:type="gramEnd"/>
            <w:r w:rsidR="00247CCB" w:rsidRPr="00A44065">
              <w:rPr>
                <w:rFonts w:ascii="Times New Roman" w:hAnsi="Times New Roman"/>
                <w:sz w:val="18"/>
                <w:szCs w:val="18"/>
              </w:rPr>
              <w:t xml:space="preserve"> to </w:t>
            </w:r>
            <w:r w:rsidR="00247CCB" w:rsidRPr="00A44065">
              <w:rPr>
                <w:rFonts w:ascii="Times New Roman" w:hAnsi="Times New Roman"/>
                <w:i/>
                <w:sz w:val="18"/>
                <w:szCs w:val="18"/>
              </w:rPr>
              <w:t xml:space="preserve">Pre-treatment with </w:t>
            </w:r>
            <w:proofErr w:type="spellStart"/>
            <w:r w:rsidR="00247CCB" w:rsidRPr="00A44065">
              <w:rPr>
                <w:rFonts w:ascii="Times New Roman" w:hAnsi="Times New Roman"/>
                <w:i/>
                <w:sz w:val="18"/>
                <w:szCs w:val="18"/>
              </w:rPr>
              <w:t>obinutuzumab</w:t>
            </w:r>
            <w:proofErr w:type="spellEnd"/>
            <w:r w:rsidR="00247CCB" w:rsidRPr="00A44065">
              <w:rPr>
                <w:rFonts w:ascii="Times New Roman" w:hAnsi="Times New Roman"/>
                <w:sz w:val="18"/>
                <w:szCs w:val="18"/>
              </w:rPr>
              <w:t xml:space="preserve"> described above.</w:t>
            </w:r>
          </w:p>
          <w:p w14:paraId="44DF0111" w14:textId="557AB3F4" w:rsidR="00247CCB" w:rsidRPr="0008620B" w:rsidRDefault="00F46469" w:rsidP="003320D4">
            <w:pPr>
              <w:pStyle w:val="TabFigFooter"/>
              <w:spacing w:line="240" w:lineRule="auto"/>
              <w:rPr>
                <w:rFonts w:ascii="Times New Roman" w:hAnsi="Times New Roman"/>
                <w:sz w:val="18"/>
                <w:szCs w:val="18"/>
              </w:rPr>
            </w:pPr>
            <w:r w:rsidRPr="00A44065">
              <w:rPr>
                <w:rFonts w:ascii="Times New Roman" w:hAnsi="Times New Roman"/>
                <w:sz w:val="18"/>
                <w:szCs w:val="18"/>
              </w:rPr>
              <w:t>c</w:t>
            </w:r>
            <w:r w:rsidR="00247CCB" w:rsidRPr="00A44065">
              <w:rPr>
                <w:rFonts w:ascii="Times New Roman" w:hAnsi="Times New Roman"/>
                <w:sz w:val="18"/>
                <w:szCs w:val="18"/>
              </w:rPr>
              <w:tab/>
              <w:t xml:space="preserve">For patients who experience CRS with their previous dose of </w:t>
            </w:r>
            <w:proofErr w:type="spellStart"/>
            <w:r w:rsidR="00B719B6" w:rsidRPr="00A44065">
              <w:rPr>
                <w:rFonts w:ascii="Times New Roman" w:hAnsi="Times New Roman"/>
                <w:sz w:val="18"/>
                <w:szCs w:val="18"/>
              </w:rPr>
              <w:t>Columvi</w:t>
            </w:r>
            <w:proofErr w:type="spellEnd"/>
            <w:r w:rsidR="00247CCB" w:rsidRPr="00A44065">
              <w:rPr>
                <w:rFonts w:ascii="Times New Roman" w:hAnsi="Times New Roman"/>
                <w:sz w:val="18"/>
                <w:szCs w:val="18"/>
              </w:rPr>
              <w:t xml:space="preserve">, the duration of infusion may be extended up to 8 hours (see </w:t>
            </w:r>
            <w:r w:rsidR="0010546D" w:rsidRPr="0008620B">
              <w:rPr>
                <w:rFonts w:ascii="Times New Roman" w:hAnsi="Times New Roman"/>
                <w:sz w:val="18"/>
                <w:szCs w:val="18"/>
              </w:rPr>
              <w:fldChar w:fldCharType="begin"/>
            </w:r>
            <w:r w:rsidR="0010546D" w:rsidRPr="00A44065">
              <w:rPr>
                <w:rFonts w:ascii="Times New Roman" w:hAnsi="Times New Roman"/>
                <w:sz w:val="18"/>
                <w:szCs w:val="18"/>
              </w:rPr>
              <w:instrText xml:space="preserve"> REF \* CHARFORMAT _Ref89256771  \* MERGEFORMAT </w:instrText>
            </w:r>
            <w:r w:rsidR="0010546D" w:rsidRPr="0008620B">
              <w:rPr>
                <w:rFonts w:ascii="Times New Roman" w:hAnsi="Times New Roman"/>
                <w:sz w:val="18"/>
                <w:szCs w:val="18"/>
              </w:rPr>
              <w:fldChar w:fldCharType="separate"/>
            </w:r>
            <w:r w:rsidR="0010546D" w:rsidRPr="0008620B">
              <w:rPr>
                <w:rFonts w:ascii="Times New Roman" w:hAnsi="Times New Roman"/>
                <w:sz w:val="18"/>
                <w:szCs w:val="18"/>
              </w:rPr>
              <w:t>Table 3</w:t>
            </w:r>
            <w:r w:rsidR="0010546D" w:rsidRPr="0008620B">
              <w:rPr>
                <w:rFonts w:ascii="Times New Roman" w:hAnsi="Times New Roman"/>
                <w:sz w:val="18"/>
                <w:szCs w:val="18"/>
              </w:rPr>
              <w:fldChar w:fldCharType="end"/>
            </w:r>
            <w:r w:rsidR="00247CCB" w:rsidRPr="0008620B">
              <w:rPr>
                <w:rFonts w:ascii="Times New Roman" w:hAnsi="Times New Roman"/>
                <w:sz w:val="18"/>
                <w:szCs w:val="18"/>
              </w:rPr>
              <w:t xml:space="preserve"> and</w:t>
            </w:r>
            <w:r w:rsidR="002522CB" w:rsidRPr="0008620B">
              <w:t xml:space="preserve"> </w:t>
            </w:r>
            <w:r w:rsidR="002522CB" w:rsidRPr="0008620B">
              <w:rPr>
                <w:rFonts w:ascii="Times New Roman" w:hAnsi="Times New Roman"/>
                <w:sz w:val="18"/>
                <w:szCs w:val="18"/>
              </w:rPr>
              <w:t xml:space="preserve">See Section </w:t>
            </w:r>
            <w:r w:rsidR="002522CB" w:rsidRPr="0008620B">
              <w:rPr>
                <w:rFonts w:ascii="Times New Roman" w:hAnsi="Times New Roman"/>
                <w:i/>
                <w:sz w:val="18"/>
                <w:szCs w:val="18"/>
              </w:rPr>
              <w:t>4.4 Special Warnings and Precautions for Use</w:t>
            </w:r>
            <w:r w:rsidR="00247CCB" w:rsidRPr="0008620B">
              <w:rPr>
                <w:rFonts w:ascii="Times New Roman" w:hAnsi="Times New Roman"/>
                <w:sz w:val="18"/>
                <w:szCs w:val="18"/>
              </w:rPr>
              <w:t>).</w:t>
            </w:r>
          </w:p>
          <w:p w14:paraId="3A38B78D" w14:textId="5F5686FC" w:rsidR="00247CCB" w:rsidRPr="00A44065" w:rsidRDefault="00F46469" w:rsidP="003320D4">
            <w:pPr>
              <w:pStyle w:val="TabFigFooter"/>
              <w:spacing w:line="240" w:lineRule="auto"/>
              <w:rPr>
                <w:rFonts w:ascii="Times New Roman" w:hAnsi="Times New Roman"/>
              </w:rPr>
            </w:pPr>
            <w:r w:rsidRPr="00A44065">
              <w:rPr>
                <w:rFonts w:ascii="Times New Roman" w:hAnsi="Times New Roman"/>
                <w:sz w:val="18"/>
                <w:szCs w:val="18"/>
              </w:rPr>
              <w:t>d</w:t>
            </w:r>
            <w:r w:rsidR="00247CCB" w:rsidRPr="00A44065">
              <w:rPr>
                <w:rFonts w:ascii="Times New Roman" w:hAnsi="Times New Roman"/>
                <w:sz w:val="18"/>
                <w:szCs w:val="18"/>
              </w:rPr>
              <w:tab/>
            </w:r>
            <w:proofErr w:type="gramStart"/>
            <w:r w:rsidR="00247CCB" w:rsidRPr="00A44065">
              <w:rPr>
                <w:rFonts w:ascii="Times New Roman" w:hAnsi="Times New Roman"/>
                <w:sz w:val="18"/>
                <w:szCs w:val="18"/>
              </w:rPr>
              <w:t>At</w:t>
            </w:r>
            <w:proofErr w:type="gramEnd"/>
            <w:r w:rsidR="00247CCB" w:rsidRPr="00A44065">
              <w:rPr>
                <w:rFonts w:ascii="Times New Roman" w:hAnsi="Times New Roman"/>
                <w:sz w:val="18"/>
                <w:szCs w:val="18"/>
              </w:rPr>
              <w:t xml:space="preserve"> the discretion of the treating physician, if the previous infusion was well tolerated.  If the patient experienced CRS with a previous dose, the duration of infusion should be maintained at 4 hours.</w:t>
            </w:r>
          </w:p>
        </w:tc>
      </w:tr>
    </w:tbl>
    <w:p w14:paraId="204655BF" w14:textId="77777777" w:rsidR="00247CCB" w:rsidRPr="00A44065" w:rsidRDefault="00247CCB" w:rsidP="00247CCB">
      <w:pPr>
        <w:pStyle w:val="ParagraphSpace"/>
        <w:rPr>
          <w:rFonts w:ascii="Times New Roman" w:hAnsi="Times New Roman"/>
        </w:rPr>
      </w:pPr>
    </w:p>
    <w:p w14:paraId="45543BA8" w14:textId="77777777" w:rsidR="00247CCB" w:rsidRPr="00A44065" w:rsidRDefault="00247CCB" w:rsidP="00247CCB">
      <w:pPr>
        <w:pStyle w:val="ParagraphSpace"/>
        <w:rPr>
          <w:rFonts w:ascii="Times New Roman" w:hAnsi="Times New Roman"/>
        </w:rPr>
      </w:pPr>
    </w:p>
    <w:p w14:paraId="4B816982" w14:textId="77777777" w:rsidR="00247CCB" w:rsidRPr="00A44065" w:rsidRDefault="00247CCB" w:rsidP="00247CCB">
      <w:pPr>
        <w:pStyle w:val="ParagraphList"/>
        <w:rPr>
          <w:rFonts w:ascii="Times New Roman" w:hAnsi="Times New Roman"/>
          <w:u w:val="single"/>
        </w:rPr>
      </w:pPr>
      <w:r w:rsidRPr="00A44065">
        <w:rPr>
          <w:rFonts w:ascii="Times New Roman" w:hAnsi="Times New Roman"/>
          <w:u w:val="single"/>
        </w:rPr>
        <w:t>Monitoring after infusion</w:t>
      </w:r>
    </w:p>
    <w:p w14:paraId="3EB97306" w14:textId="1585483E" w:rsidR="00247CCB" w:rsidRPr="00A44065" w:rsidRDefault="00247CCB" w:rsidP="00247CCB">
      <w:pPr>
        <w:pStyle w:val="ListBullet"/>
        <w:rPr>
          <w:rFonts w:ascii="Times New Roman" w:hAnsi="Times New Roman"/>
        </w:rPr>
      </w:pPr>
      <w:r w:rsidRPr="00A44065">
        <w:rPr>
          <w:rFonts w:ascii="Times New Roman" w:hAnsi="Times New Roman"/>
        </w:rPr>
        <w:t xml:space="preserve">All patients must be monitored for signs and symptoms of potential CRS during infusion and for at least 10 hours after completion of the infusion of the first </w:t>
      </w:r>
      <w:proofErr w:type="spellStart"/>
      <w:r w:rsidR="00B719B6" w:rsidRPr="00A44065">
        <w:rPr>
          <w:rFonts w:ascii="Times New Roman" w:hAnsi="Times New Roman"/>
        </w:rPr>
        <w:t>Columvi</w:t>
      </w:r>
      <w:proofErr w:type="spellEnd"/>
      <w:r w:rsidRPr="00A44065">
        <w:rPr>
          <w:rFonts w:ascii="Times New Roman" w:hAnsi="Times New Roman"/>
        </w:rPr>
        <w:t xml:space="preserve"> dose (2.5 mg on Cycle 1 Day 8).</w:t>
      </w:r>
    </w:p>
    <w:p w14:paraId="6B7E7C00" w14:textId="2B81F4B5" w:rsidR="00247CCB" w:rsidRPr="0008620B" w:rsidRDefault="00247CCB" w:rsidP="00247CCB">
      <w:pPr>
        <w:pStyle w:val="ListBullet"/>
        <w:rPr>
          <w:rFonts w:ascii="Times New Roman" w:hAnsi="Times New Roman"/>
        </w:rPr>
      </w:pPr>
      <w:r w:rsidRPr="00A44065">
        <w:rPr>
          <w:rFonts w:ascii="Times New Roman" w:hAnsi="Times New Roman"/>
        </w:rPr>
        <w:t>Patients who experienced Grade </w:t>
      </w:r>
      <w:r w:rsidRPr="0008620B">
        <w:rPr>
          <w:rFonts w:ascii="Times New Roman" w:hAnsi="Times New Roman"/>
        </w:rPr>
        <w:sym w:font="Symbol" w:char="F0B3"/>
      </w:r>
      <w:r w:rsidRPr="0008620B">
        <w:rPr>
          <w:rFonts w:ascii="Times New Roman" w:hAnsi="Times New Roman"/>
        </w:rPr>
        <w:t> 2 CRS with their previous infusion should be monitored a</w:t>
      </w:r>
      <w:r w:rsidR="00B328F1" w:rsidRPr="0008620B">
        <w:rPr>
          <w:rFonts w:ascii="Times New Roman" w:hAnsi="Times New Roman"/>
        </w:rPr>
        <w:t>fter completion of the infusion</w:t>
      </w:r>
      <w:r w:rsidRPr="0008620B">
        <w:rPr>
          <w:rFonts w:ascii="Times New Roman" w:hAnsi="Times New Roman"/>
        </w:rPr>
        <w:t xml:space="preserve"> </w:t>
      </w:r>
      <w:r w:rsidR="00B328F1" w:rsidRPr="0008620B">
        <w:rPr>
          <w:rFonts w:ascii="Times New Roman" w:hAnsi="Times New Roman"/>
        </w:rPr>
        <w:t>(s</w:t>
      </w:r>
      <w:r w:rsidRPr="0008620B">
        <w:rPr>
          <w:rFonts w:ascii="Times New Roman" w:hAnsi="Times New Roman"/>
        </w:rPr>
        <w:t xml:space="preserve">ee </w:t>
      </w:r>
      <w:r w:rsidR="0010546D" w:rsidRPr="0008620B">
        <w:rPr>
          <w:rFonts w:ascii="Times New Roman" w:hAnsi="Times New Roman"/>
        </w:rPr>
        <w:fldChar w:fldCharType="begin"/>
      </w:r>
      <w:r w:rsidR="0010546D" w:rsidRPr="00A44065">
        <w:rPr>
          <w:rFonts w:ascii="Times New Roman" w:hAnsi="Times New Roman"/>
        </w:rPr>
        <w:instrText xml:space="preserve"> REF \* CHARFORMAT _Ref89256771  \* MERGEFORMAT </w:instrText>
      </w:r>
      <w:r w:rsidR="0010546D" w:rsidRPr="0008620B">
        <w:rPr>
          <w:rFonts w:ascii="Times New Roman" w:hAnsi="Times New Roman"/>
        </w:rPr>
        <w:fldChar w:fldCharType="separate"/>
      </w:r>
      <w:r w:rsidR="0010546D" w:rsidRPr="0008620B">
        <w:rPr>
          <w:rFonts w:ascii="Times New Roman" w:hAnsi="Times New Roman"/>
        </w:rPr>
        <w:t>Table 3</w:t>
      </w:r>
      <w:r w:rsidR="0010546D" w:rsidRPr="0008620B">
        <w:rPr>
          <w:rFonts w:ascii="Times New Roman" w:hAnsi="Times New Roman"/>
        </w:rPr>
        <w:fldChar w:fldCharType="end"/>
      </w:r>
      <w:r w:rsidR="00B328F1" w:rsidRPr="0008620B">
        <w:rPr>
          <w:rFonts w:ascii="Times New Roman" w:hAnsi="Times New Roman"/>
        </w:rPr>
        <w:t>)</w:t>
      </w:r>
      <w:r w:rsidRPr="0008620B">
        <w:rPr>
          <w:rFonts w:ascii="Times New Roman" w:hAnsi="Times New Roman"/>
        </w:rPr>
        <w:t>.</w:t>
      </w:r>
    </w:p>
    <w:p w14:paraId="6E680F7F" w14:textId="77777777" w:rsidR="00247CCB" w:rsidRPr="0008620B" w:rsidRDefault="00247CCB" w:rsidP="00247CCB">
      <w:pPr>
        <w:pStyle w:val="ParagraphSpace"/>
        <w:rPr>
          <w:rFonts w:ascii="Times New Roman" w:hAnsi="Times New Roman"/>
        </w:rPr>
      </w:pPr>
    </w:p>
    <w:p w14:paraId="292772F3" w14:textId="77777777" w:rsidR="00247CCB" w:rsidRPr="0008620B" w:rsidRDefault="00247CCB" w:rsidP="00247CCB">
      <w:pPr>
        <w:pStyle w:val="Paragraph"/>
        <w:rPr>
          <w:rFonts w:ascii="Times New Roman" w:hAnsi="Times New Roman"/>
        </w:rPr>
      </w:pPr>
      <w:r w:rsidRPr="0008620B">
        <w:rPr>
          <w:rFonts w:ascii="Times New Roman" w:hAnsi="Times New Roman"/>
        </w:rPr>
        <w:t>All patients must be counselled on the risk, signs, and symptoms of CRS and advised to contact the healthcare provider immediately should they experience signs and symptoms of CRS.</w:t>
      </w:r>
    </w:p>
    <w:p w14:paraId="697198D6" w14:textId="77777777" w:rsidR="00247CCB" w:rsidRPr="00A44065" w:rsidRDefault="00247CCB" w:rsidP="00247CCB">
      <w:pPr>
        <w:pStyle w:val="ParagraphList"/>
        <w:rPr>
          <w:rFonts w:ascii="Times New Roman" w:hAnsi="Times New Roman"/>
          <w:b/>
        </w:rPr>
      </w:pPr>
      <w:r w:rsidRPr="00A44065">
        <w:rPr>
          <w:rFonts w:ascii="Times New Roman" w:hAnsi="Times New Roman"/>
          <w:b/>
        </w:rPr>
        <w:t>Duration of Treatment</w:t>
      </w:r>
    </w:p>
    <w:p w14:paraId="46012B4C" w14:textId="35312C12" w:rsidR="00247CCB" w:rsidRPr="00A44065" w:rsidRDefault="00247CCB" w:rsidP="00247CCB">
      <w:pPr>
        <w:pStyle w:val="Paragraph"/>
        <w:rPr>
          <w:rFonts w:ascii="Times New Roman" w:hAnsi="Times New Roman"/>
        </w:rPr>
      </w:pPr>
      <w:r w:rsidRPr="00A44065">
        <w:rPr>
          <w:rFonts w:ascii="Times New Roman" w:hAnsi="Times New Roman"/>
        </w:rPr>
        <w:t xml:space="preserve">Treatment with </w:t>
      </w:r>
      <w:proofErr w:type="spellStart"/>
      <w:r w:rsidR="00B719B6" w:rsidRPr="00A44065">
        <w:rPr>
          <w:rFonts w:ascii="Times New Roman" w:hAnsi="Times New Roman"/>
        </w:rPr>
        <w:t>Columvi</w:t>
      </w:r>
      <w:proofErr w:type="spellEnd"/>
      <w:r w:rsidRPr="00A44065">
        <w:rPr>
          <w:rFonts w:ascii="Times New Roman" w:hAnsi="Times New Roman"/>
        </w:rPr>
        <w:t xml:space="preserve"> is recommended for a maximum of 12 cycles or until disease progression or unmanageable toxicity.</w:t>
      </w:r>
    </w:p>
    <w:p w14:paraId="35E6EF7B" w14:textId="77777777" w:rsidR="00247CCB" w:rsidRPr="00A44065" w:rsidRDefault="00247CCB" w:rsidP="00247CCB">
      <w:pPr>
        <w:pStyle w:val="ParagraphList"/>
        <w:rPr>
          <w:rFonts w:ascii="Times New Roman" w:hAnsi="Times New Roman"/>
          <w:b/>
        </w:rPr>
      </w:pPr>
      <w:r w:rsidRPr="00A44065">
        <w:rPr>
          <w:rFonts w:ascii="Times New Roman" w:hAnsi="Times New Roman"/>
          <w:b/>
        </w:rPr>
        <w:t xml:space="preserve">Delayed or Missed Doses </w:t>
      </w:r>
    </w:p>
    <w:p w14:paraId="777E1899" w14:textId="77777777" w:rsidR="00247CCB" w:rsidRPr="00A44065" w:rsidRDefault="00247CCB" w:rsidP="00247CCB">
      <w:pPr>
        <w:pStyle w:val="ParagraphList"/>
        <w:rPr>
          <w:rFonts w:ascii="Times New Roman" w:hAnsi="Times New Roman"/>
          <w:u w:val="single"/>
          <w:lang w:val="en-CA" w:eastAsia="en-CA"/>
        </w:rPr>
      </w:pPr>
      <w:r w:rsidRPr="00A44065">
        <w:rPr>
          <w:rFonts w:ascii="Times New Roman" w:hAnsi="Times New Roman"/>
          <w:u w:val="single"/>
          <w:shd w:val="clear" w:color="auto" w:fill="FFFFFF"/>
          <w:lang w:val="en-CA" w:eastAsia="en-CA"/>
        </w:rPr>
        <w:t>During step-up dosing (weekly dosing)</w:t>
      </w:r>
      <w:r w:rsidRPr="00A44065">
        <w:rPr>
          <w:rFonts w:ascii="Times New Roman" w:hAnsi="Times New Roman"/>
          <w:shd w:val="clear" w:color="auto" w:fill="FFFFFF"/>
          <w:lang w:val="en-CA" w:eastAsia="en-CA"/>
        </w:rPr>
        <w:t>:</w:t>
      </w:r>
    </w:p>
    <w:p w14:paraId="3B829A65" w14:textId="3A747532" w:rsidR="00247CCB" w:rsidRPr="00A44065" w:rsidRDefault="00247CCB" w:rsidP="00247CCB">
      <w:pPr>
        <w:pStyle w:val="ListBullet"/>
        <w:rPr>
          <w:rFonts w:ascii="Times New Roman" w:hAnsi="Times New Roman"/>
          <w:lang w:val="en-CA" w:eastAsia="en-CA"/>
        </w:rPr>
      </w:pPr>
      <w:r w:rsidRPr="00A44065">
        <w:rPr>
          <w:rFonts w:ascii="Times New Roman" w:hAnsi="Times New Roman"/>
          <w:lang w:val="en-CA" w:eastAsia="en-CA"/>
        </w:rPr>
        <w:t xml:space="preserve">Following pre-treatment with </w:t>
      </w:r>
      <w:proofErr w:type="spellStart"/>
      <w:r w:rsidRPr="00A44065">
        <w:rPr>
          <w:rFonts w:ascii="Times New Roman" w:hAnsi="Times New Roman"/>
          <w:lang w:val="en-CA" w:eastAsia="en-CA"/>
        </w:rPr>
        <w:t>obinutuzumab</w:t>
      </w:r>
      <w:proofErr w:type="spellEnd"/>
      <w:r w:rsidRPr="00A44065">
        <w:rPr>
          <w:rFonts w:ascii="Times New Roman" w:hAnsi="Times New Roman"/>
          <w:lang w:val="en-CA" w:eastAsia="en-CA"/>
        </w:rPr>
        <w:t>,</w:t>
      </w:r>
      <w:r w:rsidRPr="00A44065">
        <w:rPr>
          <w:rFonts w:ascii="Times New Roman" w:hAnsi="Times New Roman"/>
          <w:shd w:val="clear" w:color="auto" w:fill="FFFFFF"/>
          <w:lang w:val="en-CA" w:eastAsia="en-CA"/>
        </w:rPr>
        <w:t xml:space="preserve"> if the </w:t>
      </w:r>
      <w:proofErr w:type="spellStart"/>
      <w:r w:rsidR="00B719B6" w:rsidRPr="00A44065">
        <w:rPr>
          <w:rFonts w:ascii="Times New Roman" w:hAnsi="Times New Roman"/>
          <w:shd w:val="clear" w:color="auto" w:fill="FFFFFF"/>
          <w:lang w:val="en-CA" w:eastAsia="en-CA"/>
        </w:rPr>
        <w:t>Columvi</w:t>
      </w:r>
      <w:proofErr w:type="spellEnd"/>
      <w:r w:rsidRPr="00A44065">
        <w:rPr>
          <w:rFonts w:ascii="Times New Roman" w:hAnsi="Times New Roman"/>
          <w:shd w:val="clear" w:color="auto" w:fill="FFFFFF"/>
          <w:lang w:val="en-CA" w:eastAsia="en-CA"/>
        </w:rPr>
        <w:t xml:space="preserve"> 2.5 mg dose is delayed by more than 1 week, then repeat pre-treatment with </w:t>
      </w:r>
      <w:proofErr w:type="spellStart"/>
      <w:r w:rsidRPr="00A44065">
        <w:rPr>
          <w:rFonts w:ascii="Times New Roman" w:hAnsi="Times New Roman"/>
          <w:shd w:val="clear" w:color="auto" w:fill="FFFFFF"/>
          <w:lang w:val="en-CA" w:eastAsia="en-CA"/>
        </w:rPr>
        <w:t>obinutuzumab</w:t>
      </w:r>
      <w:proofErr w:type="spellEnd"/>
      <w:r w:rsidRPr="00A44065">
        <w:rPr>
          <w:rFonts w:ascii="Times New Roman" w:hAnsi="Times New Roman"/>
          <w:shd w:val="clear" w:color="auto" w:fill="FFFFFF"/>
          <w:lang w:val="en-CA" w:eastAsia="en-CA"/>
        </w:rPr>
        <w:t>.</w:t>
      </w:r>
    </w:p>
    <w:p w14:paraId="1C69F56D" w14:textId="2CA27997" w:rsidR="00247CCB" w:rsidRPr="00A44065" w:rsidRDefault="00247CCB" w:rsidP="00247CCB">
      <w:pPr>
        <w:pStyle w:val="ListBullet"/>
        <w:rPr>
          <w:rFonts w:ascii="Times New Roman" w:hAnsi="Times New Roman"/>
          <w:lang w:val="en-CA" w:eastAsia="en-CA"/>
        </w:rPr>
      </w:pPr>
      <w:r w:rsidRPr="00A44065">
        <w:rPr>
          <w:rFonts w:ascii="Times New Roman" w:hAnsi="Times New Roman"/>
          <w:lang w:val="en-CA" w:eastAsia="en-CA"/>
        </w:rPr>
        <w:t xml:space="preserve">Following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2.5 mg dose or 10 mg dose, if there is a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treatment-free interval of 2 weeks to 6 weeks, then repeat the last tolerated </w:t>
      </w:r>
      <w:proofErr w:type="spellStart"/>
      <w:r w:rsidR="00B719B6" w:rsidRPr="00A44065">
        <w:rPr>
          <w:rFonts w:ascii="Times New Roman" w:hAnsi="Times New Roman"/>
          <w:lang w:val="en-CA" w:eastAsia="en-CA"/>
        </w:rPr>
        <w:t>Columvi</w:t>
      </w:r>
      <w:proofErr w:type="spellEnd"/>
      <w:r w:rsidRPr="00A44065">
        <w:rPr>
          <w:rFonts w:ascii="Times New Roman" w:hAnsi="Times New Roman"/>
          <w:shd w:val="clear" w:color="auto" w:fill="FFFFFF"/>
          <w:lang w:val="en-CA" w:eastAsia="en-CA"/>
        </w:rPr>
        <w:t xml:space="preserve"> dose and resume the planned step-up dosing.</w:t>
      </w:r>
    </w:p>
    <w:p w14:paraId="27F91D2F" w14:textId="21A80254" w:rsidR="00247CCB" w:rsidRPr="0008620B" w:rsidRDefault="00247CCB" w:rsidP="00247CCB">
      <w:pPr>
        <w:pStyle w:val="ListBullet"/>
        <w:rPr>
          <w:rFonts w:ascii="Times New Roman" w:hAnsi="Times New Roman"/>
          <w:lang w:val="en-CA" w:eastAsia="en-CA"/>
        </w:rPr>
      </w:pPr>
      <w:r w:rsidRPr="00A44065">
        <w:rPr>
          <w:rFonts w:ascii="Times New Roman" w:hAnsi="Times New Roman"/>
          <w:lang w:val="en-CA" w:eastAsia="en-CA"/>
        </w:rPr>
        <w:lastRenderedPageBreak/>
        <w:t xml:space="preserve">Following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2.5 mg dose or 10 mg dose, if there is a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treatment-free interval of more than 6 weeks, </w:t>
      </w:r>
      <w:r w:rsidRPr="00A44065">
        <w:rPr>
          <w:rFonts w:ascii="Times New Roman" w:hAnsi="Times New Roman"/>
          <w:shd w:val="clear" w:color="auto" w:fill="FFFFFF"/>
          <w:lang w:val="en-CA" w:eastAsia="en-CA"/>
        </w:rPr>
        <w:t xml:space="preserve">then repeat pre-treatment with </w:t>
      </w:r>
      <w:proofErr w:type="spellStart"/>
      <w:r w:rsidRPr="00A44065">
        <w:rPr>
          <w:rFonts w:ascii="Times New Roman" w:hAnsi="Times New Roman"/>
          <w:shd w:val="clear" w:color="auto" w:fill="FFFFFF"/>
          <w:lang w:val="en-CA" w:eastAsia="en-CA"/>
        </w:rPr>
        <w:t>obinutuzumab</w:t>
      </w:r>
      <w:proofErr w:type="spellEnd"/>
      <w:r w:rsidRPr="00A44065">
        <w:rPr>
          <w:rFonts w:ascii="Times New Roman" w:hAnsi="Times New Roman"/>
          <w:shd w:val="clear" w:color="auto" w:fill="FFFFFF"/>
          <w:lang w:val="en-CA" w:eastAsia="en-CA"/>
        </w:rPr>
        <w:t xml:space="preserve"> and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w:t>
      </w:r>
      <w:r w:rsidRPr="00A44065">
        <w:rPr>
          <w:rFonts w:ascii="Times New Roman" w:hAnsi="Times New Roman"/>
          <w:shd w:val="clear" w:color="auto" w:fill="FFFFFF"/>
          <w:lang w:val="en-CA" w:eastAsia="en-CA"/>
        </w:rPr>
        <w:t xml:space="preserve">step-up dosing (see Cycle 1 in </w:t>
      </w:r>
      <w:r w:rsidR="0010546D" w:rsidRPr="0008620B">
        <w:rPr>
          <w:rFonts w:ascii="Times New Roman" w:hAnsi="Times New Roman"/>
          <w:shd w:val="clear" w:color="auto" w:fill="FFFFFF"/>
          <w:lang w:val="en-CA" w:eastAsia="en-CA"/>
        </w:rPr>
        <w:fldChar w:fldCharType="begin"/>
      </w:r>
      <w:r w:rsidR="0010546D" w:rsidRPr="00A44065">
        <w:rPr>
          <w:rFonts w:ascii="Times New Roman" w:hAnsi="Times New Roman"/>
          <w:shd w:val="clear" w:color="auto" w:fill="FFFFFF"/>
          <w:lang w:val="en-CA" w:eastAsia="en-CA"/>
        </w:rPr>
        <w:instrText xml:space="preserve"> REF \* CHARFORMAT _Ref89199557  \* MERGEFORMAT </w:instrText>
      </w:r>
      <w:r w:rsidR="0010546D" w:rsidRPr="0008620B">
        <w:rPr>
          <w:rFonts w:ascii="Times New Roman" w:hAnsi="Times New Roman"/>
          <w:shd w:val="clear" w:color="auto" w:fill="FFFFFF"/>
          <w:lang w:val="en-CA" w:eastAsia="en-CA"/>
        </w:rPr>
        <w:fldChar w:fldCharType="separate"/>
      </w:r>
      <w:r w:rsidR="0010546D" w:rsidRPr="0008620B">
        <w:rPr>
          <w:rFonts w:ascii="Times New Roman" w:hAnsi="Times New Roman"/>
          <w:shd w:val="clear" w:color="auto" w:fill="FFFFFF"/>
          <w:lang w:val="en-CA" w:eastAsia="en-CA"/>
        </w:rPr>
        <w:t>Table 2</w:t>
      </w:r>
      <w:r w:rsidR="0010546D" w:rsidRPr="0008620B">
        <w:rPr>
          <w:rFonts w:ascii="Times New Roman" w:hAnsi="Times New Roman"/>
          <w:shd w:val="clear" w:color="auto" w:fill="FFFFFF"/>
          <w:lang w:val="en-CA" w:eastAsia="en-CA"/>
        </w:rPr>
        <w:fldChar w:fldCharType="end"/>
      </w:r>
      <w:r w:rsidRPr="0008620B">
        <w:rPr>
          <w:rFonts w:ascii="Times New Roman" w:hAnsi="Times New Roman"/>
          <w:shd w:val="clear" w:color="auto" w:fill="FFFFFF"/>
          <w:lang w:val="en-CA" w:eastAsia="en-CA"/>
        </w:rPr>
        <w:t>).</w:t>
      </w:r>
    </w:p>
    <w:p w14:paraId="1AE14B99" w14:textId="77777777" w:rsidR="00247CCB" w:rsidRPr="0008620B" w:rsidRDefault="00247CCB" w:rsidP="00247CCB">
      <w:pPr>
        <w:pStyle w:val="ParagraphSpace"/>
        <w:rPr>
          <w:rFonts w:ascii="Times New Roman" w:hAnsi="Times New Roman"/>
          <w:lang w:val="en-CA" w:eastAsia="en-CA"/>
        </w:rPr>
      </w:pPr>
    </w:p>
    <w:p w14:paraId="501DF6E9" w14:textId="77777777" w:rsidR="00247CCB" w:rsidRPr="00A44065" w:rsidRDefault="00247CCB" w:rsidP="00247CCB">
      <w:pPr>
        <w:pStyle w:val="ParagraphList"/>
        <w:rPr>
          <w:rFonts w:ascii="Times New Roman" w:eastAsia="Arial" w:hAnsi="Times New Roman"/>
          <w:u w:val="single"/>
        </w:rPr>
      </w:pPr>
      <w:r w:rsidRPr="0008620B">
        <w:rPr>
          <w:rFonts w:ascii="Times New Roman" w:hAnsi="Times New Roman"/>
          <w:u w:val="single"/>
          <w:shd w:val="clear" w:color="auto" w:fill="FFFFFF"/>
          <w:lang w:val="en-CA" w:eastAsia="en-CA"/>
        </w:rPr>
        <w:t>After Cycle 2 (30 mg dose)</w:t>
      </w:r>
      <w:r w:rsidRPr="00A44065">
        <w:rPr>
          <w:rFonts w:ascii="Times New Roman" w:hAnsi="Times New Roman"/>
          <w:shd w:val="clear" w:color="auto" w:fill="FFFFFF"/>
          <w:lang w:val="en-CA" w:eastAsia="en-CA"/>
        </w:rPr>
        <w:t>:</w:t>
      </w:r>
    </w:p>
    <w:p w14:paraId="289629AE" w14:textId="2CC948D6" w:rsidR="00247CCB" w:rsidRPr="0008620B" w:rsidRDefault="00247CCB" w:rsidP="00247CCB">
      <w:pPr>
        <w:pStyle w:val="ListBullet"/>
        <w:rPr>
          <w:rFonts w:ascii="Times New Roman" w:hAnsi="Times New Roman"/>
          <w:lang w:val="en-CA" w:eastAsia="en-CA"/>
        </w:rPr>
      </w:pPr>
      <w:r w:rsidRPr="00A44065">
        <w:rPr>
          <w:rFonts w:ascii="Times New Roman" w:hAnsi="Times New Roman"/>
          <w:lang w:val="en-CA" w:eastAsia="en-CA"/>
        </w:rPr>
        <w:t xml:space="preserve">If there is a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treatment-free interval of more than 6 weeks between cycles, then repeat pre-treatment with </w:t>
      </w:r>
      <w:proofErr w:type="spellStart"/>
      <w:r w:rsidRPr="00A44065">
        <w:rPr>
          <w:rFonts w:ascii="Times New Roman" w:hAnsi="Times New Roman"/>
          <w:lang w:val="en-CA" w:eastAsia="en-CA"/>
        </w:rPr>
        <w:t>obinutuzumab</w:t>
      </w:r>
      <w:proofErr w:type="spellEnd"/>
      <w:r w:rsidRPr="00A44065">
        <w:rPr>
          <w:rFonts w:ascii="Times New Roman" w:hAnsi="Times New Roman"/>
          <w:lang w:val="en-CA" w:eastAsia="en-CA"/>
        </w:rPr>
        <w:t xml:space="preserve"> and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step-up dosing (</w:t>
      </w:r>
      <w:r w:rsidRPr="00A44065">
        <w:rPr>
          <w:rFonts w:ascii="Times New Roman" w:hAnsi="Times New Roman"/>
          <w:shd w:val="clear" w:color="auto" w:fill="FFFFFF"/>
          <w:lang w:val="en-CA" w:eastAsia="en-CA"/>
        </w:rPr>
        <w:t xml:space="preserve">see Cycle 1 in </w:t>
      </w:r>
      <w:r w:rsidR="0010546D" w:rsidRPr="0008620B">
        <w:rPr>
          <w:rFonts w:ascii="Times New Roman" w:hAnsi="Times New Roman"/>
          <w:shd w:val="clear" w:color="auto" w:fill="FFFFFF"/>
          <w:lang w:val="en-CA" w:eastAsia="en-CA"/>
        </w:rPr>
        <w:fldChar w:fldCharType="begin"/>
      </w:r>
      <w:r w:rsidR="0010546D" w:rsidRPr="00A44065">
        <w:rPr>
          <w:rFonts w:ascii="Times New Roman" w:hAnsi="Times New Roman"/>
          <w:shd w:val="clear" w:color="auto" w:fill="FFFFFF"/>
          <w:lang w:val="en-CA" w:eastAsia="en-CA"/>
        </w:rPr>
        <w:instrText xml:space="preserve"> REF \* CHARFORMAT _Ref89199557  \* MERGEFORMAT </w:instrText>
      </w:r>
      <w:r w:rsidR="0010546D" w:rsidRPr="0008620B">
        <w:rPr>
          <w:rFonts w:ascii="Times New Roman" w:hAnsi="Times New Roman"/>
          <w:shd w:val="clear" w:color="auto" w:fill="FFFFFF"/>
          <w:lang w:val="en-CA" w:eastAsia="en-CA"/>
        </w:rPr>
        <w:fldChar w:fldCharType="separate"/>
      </w:r>
      <w:r w:rsidR="0010546D" w:rsidRPr="0008620B">
        <w:rPr>
          <w:rFonts w:ascii="Times New Roman" w:hAnsi="Times New Roman"/>
          <w:shd w:val="clear" w:color="auto" w:fill="FFFFFF"/>
          <w:lang w:val="en-CA" w:eastAsia="en-CA"/>
        </w:rPr>
        <w:t>Table 2</w:t>
      </w:r>
      <w:r w:rsidR="0010546D" w:rsidRPr="0008620B">
        <w:rPr>
          <w:rFonts w:ascii="Times New Roman" w:hAnsi="Times New Roman"/>
          <w:shd w:val="clear" w:color="auto" w:fill="FFFFFF"/>
          <w:lang w:val="en-CA" w:eastAsia="en-CA"/>
        </w:rPr>
        <w:fldChar w:fldCharType="end"/>
      </w:r>
      <w:r w:rsidRPr="0008620B">
        <w:rPr>
          <w:rFonts w:ascii="Times New Roman" w:hAnsi="Times New Roman"/>
          <w:lang w:val="en-CA" w:eastAsia="en-CA"/>
        </w:rPr>
        <w:t>), and then resume the planned treatment cycle (30 mg dose).</w:t>
      </w:r>
    </w:p>
    <w:p w14:paraId="23C9B44E" w14:textId="77777777" w:rsidR="00247CCB" w:rsidRPr="0008620B" w:rsidRDefault="00247CCB" w:rsidP="00247CCB">
      <w:pPr>
        <w:pStyle w:val="ParagraphSpace"/>
        <w:rPr>
          <w:rFonts w:ascii="Times New Roman" w:hAnsi="Times New Roman"/>
          <w:lang w:val="en-CA" w:eastAsia="en-CA"/>
        </w:rPr>
      </w:pPr>
    </w:p>
    <w:p w14:paraId="0C16E1BE" w14:textId="40FC14A1" w:rsidR="00247CCB" w:rsidRPr="00A44065" w:rsidRDefault="00247CCB" w:rsidP="00247CCB">
      <w:pPr>
        <w:pStyle w:val="ParagraphList"/>
        <w:rPr>
          <w:rFonts w:ascii="Times New Roman" w:hAnsi="Times New Roman"/>
          <w:b/>
        </w:rPr>
      </w:pPr>
      <w:r w:rsidRPr="0008620B">
        <w:rPr>
          <w:rFonts w:ascii="Times New Roman" w:hAnsi="Times New Roman"/>
          <w:b/>
        </w:rPr>
        <w:t xml:space="preserve">Preparation and Administration of </w:t>
      </w:r>
      <w:proofErr w:type="spellStart"/>
      <w:r w:rsidR="00B719B6" w:rsidRPr="00A44065">
        <w:rPr>
          <w:rFonts w:ascii="Times New Roman" w:hAnsi="Times New Roman"/>
          <w:b/>
        </w:rPr>
        <w:t>Columvi</w:t>
      </w:r>
      <w:proofErr w:type="spellEnd"/>
      <w:r w:rsidRPr="00A44065">
        <w:rPr>
          <w:rFonts w:ascii="Times New Roman" w:hAnsi="Times New Roman"/>
          <w:b/>
        </w:rPr>
        <w:t xml:space="preserve"> </w:t>
      </w:r>
    </w:p>
    <w:p w14:paraId="64DEDB7C" w14:textId="77777777" w:rsidR="00247CCB" w:rsidRPr="00A44065" w:rsidRDefault="00247CCB" w:rsidP="00247CCB">
      <w:pPr>
        <w:pStyle w:val="ParagraphList"/>
        <w:rPr>
          <w:rFonts w:ascii="Times New Roman" w:hAnsi="Times New Roman"/>
          <w:u w:val="single"/>
        </w:rPr>
      </w:pPr>
      <w:r w:rsidRPr="00A44065">
        <w:rPr>
          <w:rFonts w:ascii="Times New Roman" w:hAnsi="Times New Roman"/>
          <w:u w:val="single"/>
        </w:rPr>
        <w:t>Preparation</w:t>
      </w:r>
    </w:p>
    <w:p w14:paraId="54971D5B" w14:textId="21B04AFE" w:rsidR="00247CCB" w:rsidRPr="00A44065" w:rsidRDefault="00B719B6" w:rsidP="00247CCB">
      <w:pPr>
        <w:pStyle w:val="Paragraph"/>
        <w:rPr>
          <w:rFonts w:ascii="Times New Roman" w:hAnsi="Times New Roman"/>
          <w:u w:val="single"/>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szCs w:val="22"/>
          <w:lang w:val="en-CA"/>
        </w:rPr>
        <w:t>must be diluted by a healthcare</w:t>
      </w:r>
      <w:r w:rsidR="00247CCB" w:rsidRPr="00A44065">
        <w:rPr>
          <w:rFonts w:ascii="Times New Roman" w:hAnsi="Times New Roman"/>
          <w:lang w:val="en-CA"/>
        </w:rPr>
        <w:t xml:space="preserve"> professional</w:t>
      </w:r>
      <w:r w:rsidR="00247CCB" w:rsidRPr="00A44065">
        <w:rPr>
          <w:rFonts w:ascii="Times New Roman" w:hAnsi="Times New Roman"/>
          <w:szCs w:val="22"/>
          <w:lang w:val="en-CA"/>
        </w:rPr>
        <w:t xml:space="preserve"> using aseptic technique</w:t>
      </w:r>
      <w:r w:rsidR="00247CCB" w:rsidRPr="00A44065">
        <w:rPr>
          <w:rFonts w:ascii="Times New Roman" w:hAnsi="Times New Roman"/>
          <w:lang w:val="en-CA"/>
        </w:rPr>
        <w:t xml:space="preserve">, </w:t>
      </w:r>
      <w:r w:rsidR="00247CCB" w:rsidRPr="00A44065">
        <w:rPr>
          <w:rFonts w:ascii="Times New Roman" w:hAnsi="Times New Roman"/>
          <w:lang w:eastAsia="ko-KR" w:bidi="he-IL"/>
        </w:rPr>
        <w:t>prior to intravenous administration</w:t>
      </w:r>
      <w:r w:rsidR="00FC73E0" w:rsidRPr="00A44065">
        <w:rPr>
          <w:rFonts w:ascii="Times New Roman" w:hAnsi="Times New Roman"/>
          <w:lang w:val="en-CA"/>
        </w:rPr>
        <w:t>.  See Section 6.6</w:t>
      </w:r>
      <w:r w:rsidR="00247CCB" w:rsidRPr="00A44065">
        <w:rPr>
          <w:rFonts w:ascii="Times New Roman" w:hAnsi="Times New Roman"/>
          <w:lang w:val="en-CA"/>
        </w:rPr>
        <w:t xml:space="preserve"> </w:t>
      </w:r>
      <w:r w:rsidR="00247CCB" w:rsidRPr="00A44065">
        <w:rPr>
          <w:rFonts w:ascii="Times New Roman" w:hAnsi="Times New Roman"/>
          <w:i/>
          <w:lang w:val="en-CA"/>
        </w:rPr>
        <w:t xml:space="preserve">Special </w:t>
      </w:r>
      <w:r w:rsidR="00F13801" w:rsidRPr="00A44065">
        <w:rPr>
          <w:rFonts w:ascii="Times New Roman" w:hAnsi="Times New Roman"/>
          <w:i/>
          <w:lang w:val="en-CA"/>
        </w:rPr>
        <w:t>Precautions for Disposal and Other Handling</w:t>
      </w:r>
      <w:r w:rsidR="00247CCB" w:rsidRPr="00A44065">
        <w:rPr>
          <w:rFonts w:ascii="Times New Roman" w:hAnsi="Times New Roman"/>
          <w:lang w:val="en-CA"/>
        </w:rPr>
        <w:t>.</w:t>
      </w:r>
      <w:r w:rsidR="00247CCB" w:rsidRPr="00A44065">
        <w:rPr>
          <w:rFonts w:ascii="Times New Roman" w:hAnsi="Times New Roman"/>
        </w:rPr>
        <w:t xml:space="preserve"> </w:t>
      </w:r>
    </w:p>
    <w:p w14:paraId="444E08D2" w14:textId="77777777" w:rsidR="00247CCB" w:rsidRPr="00A44065" w:rsidRDefault="00247CCB" w:rsidP="00247CCB">
      <w:pPr>
        <w:pStyle w:val="ParagraphList"/>
        <w:rPr>
          <w:rFonts w:ascii="Times New Roman" w:hAnsi="Times New Roman"/>
          <w:u w:val="single"/>
          <w:lang w:val="en-CA"/>
        </w:rPr>
      </w:pPr>
      <w:r w:rsidRPr="00A44065">
        <w:rPr>
          <w:rFonts w:ascii="Times New Roman" w:hAnsi="Times New Roman"/>
          <w:u w:val="single"/>
          <w:lang w:val="en-CA"/>
        </w:rPr>
        <w:t>Administration</w:t>
      </w:r>
    </w:p>
    <w:p w14:paraId="00B53530" w14:textId="0339B856" w:rsidR="00247CCB" w:rsidRPr="00A44065" w:rsidRDefault="00B719B6" w:rsidP="00247CCB">
      <w:pPr>
        <w:pStyle w:val="ListBullet"/>
        <w:rPr>
          <w:rFonts w:ascii="Times New Roman" w:hAnsi="Times New Roman"/>
          <w:u w:val="single"/>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must be administered as an intravenous infusion through a dedicated infusion line.</w:t>
      </w:r>
    </w:p>
    <w:p w14:paraId="42C61E32" w14:textId="58616859" w:rsidR="00247CCB" w:rsidRPr="00A44065" w:rsidRDefault="00B719B6" w:rsidP="00247CCB">
      <w:pPr>
        <w:pStyle w:val="ListBullet"/>
        <w:rPr>
          <w:rFonts w:ascii="Times New Roman" w:hAnsi="Times New Roman"/>
          <w:lang w:val="en-CA"/>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must not be administered as an intravenous push or bolus.</w:t>
      </w:r>
    </w:p>
    <w:p w14:paraId="45814100" w14:textId="2BED0583" w:rsidR="00247CCB" w:rsidRPr="00A44065" w:rsidRDefault="00B719B6" w:rsidP="00247CCB">
      <w:pPr>
        <w:pStyle w:val="ListBullet"/>
        <w:rPr>
          <w:rFonts w:ascii="Times New Roman" w:hAnsi="Times New Roman"/>
          <w:lang w:val="en-CA"/>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must not be mixed with other drugs.</w:t>
      </w:r>
    </w:p>
    <w:p w14:paraId="0AA78454" w14:textId="77777777" w:rsidR="00247CCB" w:rsidRPr="00A44065" w:rsidRDefault="00247CCB" w:rsidP="00247CCB">
      <w:pPr>
        <w:pStyle w:val="ParagraphSpace"/>
        <w:rPr>
          <w:rFonts w:ascii="Times New Roman" w:hAnsi="Times New Roman"/>
        </w:rPr>
      </w:pPr>
    </w:p>
    <w:p w14:paraId="578C507F" w14:textId="77777777" w:rsidR="00247CCB" w:rsidRPr="00A44065" w:rsidRDefault="00247CCB" w:rsidP="00247CCB">
      <w:pPr>
        <w:pStyle w:val="ParagraphList"/>
        <w:rPr>
          <w:rFonts w:ascii="Times New Roman" w:hAnsi="Times New Roman"/>
          <w:b/>
        </w:rPr>
      </w:pPr>
      <w:r w:rsidRPr="00A44065">
        <w:rPr>
          <w:rFonts w:ascii="Times New Roman" w:hAnsi="Times New Roman"/>
          <w:b/>
        </w:rPr>
        <w:t>Dose Modifications</w:t>
      </w:r>
    </w:p>
    <w:p w14:paraId="3CF90B01" w14:textId="3EF941A4" w:rsidR="00247CCB" w:rsidRPr="00A44065" w:rsidRDefault="00247CCB" w:rsidP="00247CCB">
      <w:pPr>
        <w:pStyle w:val="Paragraph"/>
        <w:rPr>
          <w:rFonts w:ascii="Times New Roman" w:hAnsi="Times New Roman"/>
        </w:rPr>
      </w:pPr>
      <w:r w:rsidRPr="00A44065">
        <w:rPr>
          <w:rFonts w:ascii="Times New Roman" w:hAnsi="Times New Roman"/>
        </w:rPr>
        <w:t xml:space="preserve">No dose reductions of </w:t>
      </w:r>
      <w:proofErr w:type="spellStart"/>
      <w:r w:rsidR="00B719B6" w:rsidRPr="00A44065">
        <w:rPr>
          <w:rFonts w:ascii="Times New Roman" w:hAnsi="Times New Roman"/>
        </w:rPr>
        <w:t>Columvi</w:t>
      </w:r>
      <w:proofErr w:type="spellEnd"/>
      <w:r w:rsidRPr="00A44065">
        <w:rPr>
          <w:rFonts w:ascii="Times New Roman" w:hAnsi="Times New Roman"/>
        </w:rPr>
        <w:t xml:space="preserve"> are recommended. </w:t>
      </w:r>
    </w:p>
    <w:p w14:paraId="3927EA4C" w14:textId="77777777" w:rsidR="00247CCB" w:rsidRPr="00A44065" w:rsidRDefault="00247CCB" w:rsidP="00247CCB">
      <w:pPr>
        <w:pStyle w:val="ParagraphList"/>
        <w:rPr>
          <w:rFonts w:ascii="Times New Roman" w:hAnsi="Times New Roman"/>
          <w:b/>
        </w:rPr>
      </w:pPr>
      <w:r w:rsidRPr="00A44065">
        <w:rPr>
          <w:rFonts w:ascii="Times New Roman" w:hAnsi="Times New Roman"/>
          <w:b/>
        </w:rPr>
        <w:t>Management of Cytokine Release Syndrome</w:t>
      </w:r>
    </w:p>
    <w:p w14:paraId="4B5443A5" w14:textId="797534FB" w:rsidR="00247CCB" w:rsidRPr="0008620B" w:rsidRDefault="00247CCB" w:rsidP="00247CCB">
      <w:pPr>
        <w:pStyle w:val="Paragraph"/>
        <w:rPr>
          <w:rFonts w:ascii="Times New Roman" w:hAnsi="Times New Roman"/>
        </w:rPr>
      </w:pPr>
      <w:r w:rsidRPr="00A44065">
        <w:rPr>
          <w:rFonts w:ascii="Times New Roman" w:hAnsi="Times New Roman"/>
        </w:rPr>
        <w:t>Cytokine release syndrome should be identified based on the clinical presentation (</w:t>
      </w:r>
      <w:r w:rsidR="002522CB" w:rsidRPr="00A44065">
        <w:rPr>
          <w:rFonts w:ascii="Times New Roman" w:hAnsi="Times New Roman"/>
        </w:rPr>
        <w:t>See Section </w:t>
      </w:r>
      <w:r w:rsidR="002522CB" w:rsidRPr="00A44065">
        <w:rPr>
          <w:rFonts w:ascii="Times New Roman" w:hAnsi="Times New Roman"/>
          <w:i/>
        </w:rPr>
        <w:t>4.4 Special Warnings and Precautions for Use</w:t>
      </w:r>
      <w:r w:rsidRPr="00A44065">
        <w:rPr>
          <w:rFonts w:ascii="Times New Roman" w:hAnsi="Times New Roman"/>
        </w:rPr>
        <w:t xml:space="preserve">). </w:t>
      </w:r>
      <w:r w:rsidRPr="00A44065">
        <w:rPr>
          <w:rFonts w:ascii="Times New Roman" w:hAnsi="Times New Roman"/>
          <w:szCs w:val="22"/>
        </w:rPr>
        <w:t>Patients should be evaluated for other causes of fever, hypoxia, and hypotension, such as infections or sepsis.</w:t>
      </w:r>
      <w:r w:rsidRPr="00A44065">
        <w:rPr>
          <w:rFonts w:ascii="Times New Roman" w:hAnsi="Times New Roman"/>
        </w:rPr>
        <w:t xml:space="preserve"> If CRS is suspected, it should be managed according to the CRS management recommendations based on American Society for Transplantation and Cellular Therapy [ASTCT] consensus grading in </w:t>
      </w:r>
      <w:r w:rsidR="0010546D" w:rsidRPr="0008620B">
        <w:rPr>
          <w:rFonts w:ascii="Times New Roman" w:hAnsi="Times New Roman"/>
        </w:rPr>
        <w:fldChar w:fldCharType="begin"/>
      </w:r>
      <w:r w:rsidR="0010546D" w:rsidRPr="00A44065">
        <w:rPr>
          <w:rFonts w:ascii="Times New Roman" w:hAnsi="Times New Roman"/>
        </w:rPr>
        <w:instrText xml:space="preserve"> REF \* CHARFORMAT _Ref89256771  \* MERGEFORMAT </w:instrText>
      </w:r>
      <w:r w:rsidR="0010546D" w:rsidRPr="0008620B">
        <w:rPr>
          <w:rFonts w:ascii="Times New Roman" w:hAnsi="Times New Roman"/>
        </w:rPr>
        <w:fldChar w:fldCharType="separate"/>
      </w:r>
      <w:r w:rsidR="0010546D" w:rsidRPr="0008620B">
        <w:rPr>
          <w:rFonts w:ascii="Times New Roman" w:hAnsi="Times New Roman"/>
        </w:rPr>
        <w:t>Table 3</w:t>
      </w:r>
      <w:r w:rsidR="0010546D" w:rsidRPr="0008620B">
        <w:rPr>
          <w:rFonts w:ascii="Times New Roman" w:hAnsi="Times New Roman"/>
        </w:rPr>
        <w:fldChar w:fldCharType="end"/>
      </w:r>
      <w:r w:rsidRPr="0008620B">
        <w:rPr>
          <w:rFonts w:ascii="Times New Roman" w:hAnsi="Times New Roman"/>
        </w:rPr>
        <w:t>.</w:t>
      </w:r>
      <w:r w:rsidR="002E49E0" w:rsidRPr="0008620B">
        <w:rPr>
          <w:rFonts w:ascii="Times New Roman" w:hAnsi="Times New Roman"/>
        </w:rPr>
        <w:t xml:space="preserve"> </w:t>
      </w:r>
    </w:p>
    <w:p w14:paraId="7AB3E934" w14:textId="77777777" w:rsidR="00247CCB" w:rsidRPr="0008620B" w:rsidRDefault="00247CCB" w:rsidP="00247CCB">
      <w:pPr>
        <w:pStyle w:val="TableTitle"/>
        <w:pageBreakBefore/>
        <w:rPr>
          <w:rFonts w:ascii="Times New Roman" w:hAnsi="Times New Roman"/>
        </w:rPr>
      </w:pPr>
      <w:bookmarkStart w:id="3" w:name="_Ref89256771"/>
      <w:bookmarkStart w:id="4" w:name="_Ref95115667"/>
      <w:r w:rsidRPr="0008620B">
        <w:rPr>
          <w:rFonts w:ascii="Times New Roman" w:hAnsi="Times New Roman"/>
        </w:rPr>
        <w:lastRenderedPageBreak/>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rPr>
        <w:t>3</w:t>
      </w:r>
      <w:r w:rsidRPr="0008620B">
        <w:rPr>
          <w:rFonts w:ascii="Times New Roman" w:hAnsi="Times New Roman"/>
        </w:rPr>
        <w:fldChar w:fldCharType="end"/>
      </w:r>
      <w:bookmarkEnd w:id="3"/>
      <w:r w:rsidRPr="0008620B">
        <w:rPr>
          <w:rFonts w:ascii="Times New Roman" w:hAnsi="Times New Roman"/>
        </w:rPr>
        <w:tab/>
        <w:t>ASTCT CRS Grading and CRS Management Guidance</w:t>
      </w:r>
      <w:bookmarkEnd w:id="4"/>
    </w:p>
    <w:tbl>
      <w:tblPr>
        <w:tblStyle w:val="TableGrid"/>
        <w:tblW w:w="0" w:type="auto"/>
        <w:tblInd w:w="0" w:type="dxa"/>
        <w:tblLook w:val="04A0" w:firstRow="1" w:lastRow="0" w:firstColumn="1" w:lastColumn="0" w:noHBand="0" w:noVBand="1"/>
      </w:tblPr>
      <w:tblGrid>
        <w:gridCol w:w="1885"/>
        <w:gridCol w:w="3960"/>
        <w:gridCol w:w="2785"/>
      </w:tblGrid>
      <w:tr w:rsidR="00247CCB" w:rsidRPr="00A44065" w14:paraId="10C23320" w14:textId="77777777" w:rsidTr="003320D4">
        <w:trPr>
          <w:tblHeader/>
        </w:trPr>
        <w:tc>
          <w:tcPr>
            <w:tcW w:w="1885" w:type="dxa"/>
          </w:tcPr>
          <w:p w14:paraId="63066F0B" w14:textId="77777777" w:rsidR="00247CCB" w:rsidRPr="0008620B" w:rsidRDefault="00247CCB" w:rsidP="003320D4">
            <w:pPr>
              <w:rPr>
                <w:color w:val="auto"/>
                <w:sz w:val="20"/>
                <w:szCs w:val="20"/>
              </w:rPr>
            </w:pPr>
            <w:proofErr w:type="spellStart"/>
            <w:r w:rsidRPr="0008620B">
              <w:rPr>
                <w:b/>
                <w:color w:val="auto"/>
                <w:sz w:val="20"/>
                <w:szCs w:val="20"/>
              </w:rPr>
              <w:t>Grade</w:t>
            </w:r>
            <w:r w:rsidRPr="0008620B">
              <w:rPr>
                <w:b/>
                <w:color w:val="auto"/>
                <w:sz w:val="20"/>
                <w:szCs w:val="20"/>
                <w:vertAlign w:val="superscript"/>
              </w:rPr>
              <w:t>a</w:t>
            </w:r>
            <w:proofErr w:type="spellEnd"/>
          </w:p>
        </w:tc>
        <w:tc>
          <w:tcPr>
            <w:tcW w:w="3960" w:type="dxa"/>
          </w:tcPr>
          <w:p w14:paraId="08DEDC48" w14:textId="77777777" w:rsidR="00247CCB" w:rsidRPr="0008620B" w:rsidRDefault="00247CCB" w:rsidP="003320D4">
            <w:pPr>
              <w:rPr>
                <w:color w:val="auto"/>
                <w:sz w:val="20"/>
                <w:szCs w:val="20"/>
              </w:rPr>
            </w:pPr>
            <w:r w:rsidRPr="0008620B">
              <w:rPr>
                <w:b/>
                <w:color w:val="auto"/>
                <w:sz w:val="20"/>
                <w:szCs w:val="20"/>
              </w:rPr>
              <w:t>CRS Management</w:t>
            </w:r>
          </w:p>
        </w:tc>
        <w:tc>
          <w:tcPr>
            <w:tcW w:w="2785" w:type="dxa"/>
          </w:tcPr>
          <w:p w14:paraId="68B55D1E" w14:textId="207E8CA1" w:rsidR="00247CCB" w:rsidRPr="00A44065" w:rsidRDefault="00247CCB" w:rsidP="003320D4">
            <w:pPr>
              <w:rPr>
                <w:color w:val="auto"/>
                <w:sz w:val="20"/>
                <w:szCs w:val="20"/>
              </w:rPr>
            </w:pPr>
            <w:r w:rsidRPr="00A44065">
              <w:rPr>
                <w:b/>
                <w:color w:val="auto"/>
                <w:sz w:val="20"/>
                <w:szCs w:val="20"/>
              </w:rPr>
              <w:t xml:space="preserve">For Next Scheduled </w:t>
            </w:r>
            <w:proofErr w:type="spellStart"/>
            <w:r w:rsidR="00B719B6" w:rsidRPr="00A44065">
              <w:rPr>
                <w:b/>
                <w:color w:val="auto"/>
                <w:sz w:val="20"/>
                <w:szCs w:val="20"/>
              </w:rPr>
              <w:t>Columvi</w:t>
            </w:r>
            <w:proofErr w:type="spellEnd"/>
            <w:r w:rsidRPr="00A44065">
              <w:rPr>
                <w:b/>
                <w:color w:val="auto"/>
                <w:sz w:val="20"/>
                <w:szCs w:val="20"/>
              </w:rPr>
              <w:t xml:space="preserve"> Infusion</w:t>
            </w:r>
          </w:p>
        </w:tc>
      </w:tr>
      <w:tr w:rsidR="00247CCB" w:rsidRPr="00A44065" w14:paraId="48338F06" w14:textId="77777777" w:rsidTr="003320D4">
        <w:tc>
          <w:tcPr>
            <w:tcW w:w="1885" w:type="dxa"/>
          </w:tcPr>
          <w:p w14:paraId="05300355"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Grade 1</w:t>
            </w:r>
          </w:p>
          <w:p w14:paraId="1DFC89E8" w14:textId="77777777" w:rsidR="00247CCB" w:rsidRPr="0008620B" w:rsidRDefault="00247CCB" w:rsidP="003320D4">
            <w:pPr>
              <w:rPr>
                <w:color w:val="auto"/>
                <w:sz w:val="20"/>
                <w:szCs w:val="20"/>
              </w:rPr>
            </w:pPr>
            <w:r w:rsidRPr="00A44065">
              <w:rPr>
                <w:color w:val="auto"/>
                <w:sz w:val="20"/>
                <w:szCs w:val="20"/>
              </w:rPr>
              <w:t>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w:t>
            </w:r>
          </w:p>
        </w:tc>
        <w:tc>
          <w:tcPr>
            <w:tcW w:w="3960" w:type="dxa"/>
          </w:tcPr>
          <w:p w14:paraId="7C433B54"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w:t>
            </w:r>
          </w:p>
          <w:p w14:paraId="3A48129B" w14:textId="77777777" w:rsidR="00247CCB" w:rsidRPr="0008620B" w:rsidRDefault="00247CCB" w:rsidP="00247CCB">
            <w:pPr>
              <w:pStyle w:val="TableCell10Left"/>
              <w:keepNext w:val="0"/>
              <w:keepLines w:val="0"/>
              <w:numPr>
                <w:ilvl w:val="0"/>
                <w:numId w:val="6"/>
              </w:numPr>
              <w:tabs>
                <w:tab w:val="clear" w:pos="360"/>
              </w:tabs>
              <w:spacing w:before="0" w:after="0" w:line="240" w:lineRule="auto"/>
              <w:ind w:left="347" w:hanging="235"/>
              <w:rPr>
                <w:rFonts w:ascii="Times New Roman" w:hAnsi="Times New Roman"/>
                <w:szCs w:val="20"/>
                <w:lang w:eastAsia="en-US"/>
              </w:rPr>
            </w:pPr>
            <w:r w:rsidRPr="0008620B">
              <w:rPr>
                <w:rFonts w:ascii="Times New Roman" w:hAnsi="Times New Roman"/>
                <w:szCs w:val="20"/>
                <w:lang w:eastAsia="en-US"/>
              </w:rPr>
              <w:t>Interrupt infusion and treat symptoms</w:t>
            </w:r>
          </w:p>
          <w:p w14:paraId="79FE9F58" w14:textId="77777777" w:rsidR="00247CCB" w:rsidRPr="00A44065" w:rsidRDefault="00247CCB" w:rsidP="00247CCB">
            <w:pPr>
              <w:pStyle w:val="TableCell10Left"/>
              <w:keepNext w:val="0"/>
              <w:keepLines w:val="0"/>
              <w:numPr>
                <w:ilvl w:val="0"/>
                <w:numId w:val="6"/>
              </w:numPr>
              <w:tabs>
                <w:tab w:val="clear" w:pos="360"/>
              </w:tabs>
              <w:spacing w:before="0" w:after="0" w:line="240" w:lineRule="auto"/>
              <w:ind w:left="347" w:hanging="235"/>
              <w:rPr>
                <w:rFonts w:ascii="Times New Roman" w:hAnsi="Times New Roman"/>
                <w:szCs w:val="20"/>
                <w:lang w:eastAsia="en-US"/>
              </w:rPr>
            </w:pPr>
            <w:r w:rsidRPr="00A44065">
              <w:rPr>
                <w:rFonts w:ascii="Times New Roman" w:hAnsi="Times New Roman"/>
                <w:szCs w:val="20"/>
                <w:lang w:eastAsia="en-US"/>
              </w:rPr>
              <w:t>Restart infusion at slower rate when symptoms resolve</w:t>
            </w:r>
          </w:p>
          <w:p w14:paraId="3833E768" w14:textId="77777777" w:rsidR="00247CCB" w:rsidRPr="00A44065" w:rsidRDefault="00247CCB" w:rsidP="00247CCB">
            <w:pPr>
              <w:pStyle w:val="TableCell10Left"/>
              <w:keepNext w:val="0"/>
              <w:keepLines w:val="0"/>
              <w:numPr>
                <w:ilvl w:val="0"/>
                <w:numId w:val="6"/>
              </w:numPr>
              <w:tabs>
                <w:tab w:val="clear" w:pos="360"/>
              </w:tabs>
              <w:spacing w:before="0" w:after="0" w:line="240" w:lineRule="auto"/>
              <w:ind w:left="347" w:hanging="235"/>
              <w:rPr>
                <w:rFonts w:ascii="Times New Roman" w:hAnsi="Times New Roman"/>
                <w:szCs w:val="20"/>
                <w:lang w:eastAsia="en-US"/>
              </w:rPr>
            </w:pPr>
            <w:r w:rsidRPr="00A44065">
              <w:rPr>
                <w:rFonts w:ascii="Times New Roman" w:hAnsi="Times New Roman"/>
                <w:szCs w:val="20"/>
                <w:lang w:eastAsia="en-US"/>
              </w:rPr>
              <w:t>If symptoms recur, discontinue current infusion</w:t>
            </w:r>
          </w:p>
          <w:p w14:paraId="3A41651C" w14:textId="77777777" w:rsidR="00247CCB" w:rsidRPr="00A44065" w:rsidRDefault="00247CCB" w:rsidP="003320D4">
            <w:pPr>
              <w:pStyle w:val="ParagraphSpace"/>
              <w:rPr>
                <w:rFonts w:ascii="Times New Roman" w:hAnsi="Times New Roman"/>
                <w:sz w:val="20"/>
                <w:szCs w:val="20"/>
                <w:lang w:eastAsia="en-US"/>
              </w:rPr>
            </w:pPr>
          </w:p>
          <w:p w14:paraId="79D0C553"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occurs post-infusion:</w:t>
            </w:r>
          </w:p>
          <w:p w14:paraId="592EFF68" w14:textId="77777777" w:rsidR="00247CCB" w:rsidRPr="00A44065" w:rsidRDefault="00247CCB" w:rsidP="00247CCB">
            <w:pPr>
              <w:pStyle w:val="TableCell10Left"/>
              <w:keepNext w:val="0"/>
              <w:keepLines w:val="0"/>
              <w:numPr>
                <w:ilvl w:val="0"/>
                <w:numId w:val="7"/>
              </w:numPr>
              <w:spacing w:before="0" w:after="0" w:line="240" w:lineRule="auto"/>
              <w:ind w:left="130" w:firstLine="0"/>
              <w:rPr>
                <w:rFonts w:ascii="Times New Roman" w:hAnsi="Times New Roman"/>
                <w:szCs w:val="20"/>
                <w:lang w:eastAsia="en-US"/>
              </w:rPr>
            </w:pPr>
            <w:r w:rsidRPr="00A44065">
              <w:rPr>
                <w:rFonts w:ascii="Times New Roman" w:hAnsi="Times New Roman"/>
                <w:szCs w:val="20"/>
                <w:lang w:eastAsia="en-US"/>
              </w:rPr>
              <w:t>Treat symptoms</w:t>
            </w:r>
          </w:p>
          <w:p w14:paraId="7B09152A" w14:textId="77777777" w:rsidR="00247CCB" w:rsidRPr="00A44065" w:rsidRDefault="00247CCB" w:rsidP="003320D4">
            <w:pPr>
              <w:pStyle w:val="ParagraphSpace"/>
              <w:rPr>
                <w:rFonts w:ascii="Times New Roman" w:hAnsi="Times New Roman"/>
                <w:sz w:val="20"/>
                <w:szCs w:val="20"/>
                <w:lang w:eastAsia="en-US"/>
              </w:rPr>
            </w:pPr>
          </w:p>
          <w:p w14:paraId="267DEB0A" w14:textId="27D95160"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lasts more than 48 h</w:t>
            </w:r>
            <w:r w:rsidR="003D11B7" w:rsidRPr="00A44065">
              <w:rPr>
                <w:rFonts w:ascii="Times New Roman" w:hAnsi="Times New Roman"/>
                <w:szCs w:val="20"/>
                <w:lang w:eastAsia="en-US"/>
              </w:rPr>
              <w:t>ours</w:t>
            </w:r>
            <w:r w:rsidRPr="00A44065">
              <w:rPr>
                <w:rFonts w:ascii="Times New Roman" w:hAnsi="Times New Roman"/>
                <w:szCs w:val="20"/>
                <w:lang w:eastAsia="en-US"/>
              </w:rPr>
              <w:t xml:space="preserve"> after symptomatic management:</w:t>
            </w:r>
          </w:p>
          <w:p w14:paraId="47AE9EFF" w14:textId="77777777" w:rsidR="00247CCB" w:rsidRPr="00A44065" w:rsidRDefault="00247CCB" w:rsidP="00247CCB">
            <w:pPr>
              <w:pStyle w:val="TableCell10Left"/>
              <w:keepNext w:val="0"/>
              <w:keepLines w:val="0"/>
              <w:numPr>
                <w:ilvl w:val="0"/>
                <w:numId w:val="7"/>
              </w:numPr>
              <w:spacing w:before="0" w:after="0" w:line="240" w:lineRule="auto"/>
              <w:ind w:hanging="235"/>
              <w:rPr>
                <w:rFonts w:ascii="Times New Roman" w:hAnsi="Times New Roman"/>
                <w:szCs w:val="20"/>
              </w:rPr>
            </w:pPr>
            <w:r w:rsidRPr="00A44065">
              <w:rPr>
                <w:rFonts w:ascii="Times New Roman" w:hAnsi="Times New Roman"/>
                <w:szCs w:val="20"/>
                <w:lang w:eastAsia="en-US"/>
              </w:rPr>
              <w:t xml:space="preserve">Consider </w:t>
            </w:r>
            <w:proofErr w:type="spellStart"/>
            <w:r w:rsidRPr="00A44065">
              <w:rPr>
                <w:rFonts w:ascii="Times New Roman" w:hAnsi="Times New Roman"/>
                <w:szCs w:val="20"/>
              </w:rPr>
              <w:t>corticosteroids</w:t>
            </w:r>
            <w:r w:rsidRPr="00A44065">
              <w:rPr>
                <w:rFonts w:ascii="Times New Roman" w:hAnsi="Times New Roman"/>
                <w:szCs w:val="20"/>
                <w:vertAlign w:val="superscript"/>
              </w:rPr>
              <w:t>c</w:t>
            </w:r>
            <w:proofErr w:type="spellEnd"/>
            <w:r w:rsidRPr="00A44065">
              <w:rPr>
                <w:rFonts w:ascii="Times New Roman" w:hAnsi="Times New Roman"/>
                <w:szCs w:val="20"/>
              </w:rPr>
              <w:t xml:space="preserve"> </w:t>
            </w:r>
          </w:p>
          <w:p w14:paraId="1116779A" w14:textId="77777777" w:rsidR="00247CCB" w:rsidRPr="00A44065" w:rsidRDefault="00247CCB" w:rsidP="00247CCB">
            <w:pPr>
              <w:pStyle w:val="TableCell10Left"/>
              <w:keepNext w:val="0"/>
              <w:keepLines w:val="0"/>
              <w:numPr>
                <w:ilvl w:val="0"/>
                <w:numId w:val="7"/>
              </w:numPr>
              <w:spacing w:before="0" w:after="0" w:line="240" w:lineRule="auto"/>
              <w:ind w:hanging="235"/>
              <w:rPr>
                <w:rFonts w:ascii="Times New Roman" w:hAnsi="Times New Roman"/>
                <w:szCs w:val="20"/>
              </w:rPr>
            </w:pPr>
            <w:r w:rsidRPr="00A44065">
              <w:rPr>
                <w:rFonts w:ascii="Times New Roman" w:hAnsi="Times New Roman"/>
                <w:szCs w:val="20"/>
              </w:rPr>
              <w:t xml:space="preserve">Consider </w:t>
            </w:r>
            <w:proofErr w:type="spellStart"/>
            <w:r w:rsidRPr="00A44065">
              <w:rPr>
                <w:rFonts w:ascii="Times New Roman" w:hAnsi="Times New Roman"/>
                <w:szCs w:val="20"/>
              </w:rPr>
              <w:t>tocilizumab</w:t>
            </w:r>
            <w:r w:rsidRPr="00A44065">
              <w:rPr>
                <w:rFonts w:ascii="Times New Roman" w:hAnsi="Times New Roman"/>
                <w:szCs w:val="20"/>
                <w:vertAlign w:val="superscript"/>
              </w:rPr>
              <w:t>d</w:t>
            </w:r>
            <w:proofErr w:type="spellEnd"/>
            <w:r w:rsidRPr="00A44065">
              <w:rPr>
                <w:rFonts w:ascii="Times New Roman" w:hAnsi="Times New Roman"/>
                <w:szCs w:val="20"/>
              </w:rPr>
              <w:t xml:space="preserve"> </w:t>
            </w:r>
          </w:p>
        </w:tc>
        <w:tc>
          <w:tcPr>
            <w:tcW w:w="2785" w:type="dxa"/>
          </w:tcPr>
          <w:p w14:paraId="25F7160E"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Ensure symptoms are resolved for at least 72 hours prior to next infusion</w:t>
            </w:r>
          </w:p>
          <w:p w14:paraId="1315D907"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 xml:space="preserve">Consider slower infusion </w:t>
            </w:r>
            <w:proofErr w:type="spellStart"/>
            <w:r w:rsidRPr="00A44065">
              <w:rPr>
                <w:rFonts w:ascii="Times New Roman" w:hAnsi="Times New Roman"/>
                <w:szCs w:val="20"/>
              </w:rPr>
              <w:t>rate</w:t>
            </w:r>
            <w:r w:rsidRPr="00A44065">
              <w:rPr>
                <w:rFonts w:ascii="Times New Roman" w:hAnsi="Times New Roman"/>
                <w:szCs w:val="20"/>
                <w:vertAlign w:val="superscript"/>
              </w:rPr>
              <w:t>b</w:t>
            </w:r>
            <w:proofErr w:type="spellEnd"/>
          </w:p>
        </w:tc>
      </w:tr>
      <w:tr w:rsidR="00247CCB" w:rsidRPr="00A44065" w14:paraId="0EF83D63" w14:textId="77777777" w:rsidTr="003320D4">
        <w:trPr>
          <w:trHeight w:val="1889"/>
        </w:trPr>
        <w:tc>
          <w:tcPr>
            <w:tcW w:w="1885" w:type="dxa"/>
          </w:tcPr>
          <w:p w14:paraId="7D02BCD5"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Grade 2</w:t>
            </w:r>
          </w:p>
          <w:p w14:paraId="6D13278B" w14:textId="77777777" w:rsidR="00247CCB" w:rsidRPr="0008620B" w:rsidRDefault="00247CCB" w:rsidP="003320D4">
            <w:pPr>
              <w:rPr>
                <w:color w:val="auto"/>
                <w:sz w:val="20"/>
                <w:szCs w:val="20"/>
              </w:rPr>
            </w:pPr>
            <w:r w:rsidRPr="00A44065">
              <w:rPr>
                <w:color w:val="auto"/>
                <w:sz w:val="20"/>
                <w:szCs w:val="20"/>
              </w:rPr>
              <w:t xml:space="preserve">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 and/or hypotension not requiring vasopressors and/or hypoxia requiring low-flow oxygen by nasal cannula or blow-by</w:t>
            </w:r>
          </w:p>
        </w:tc>
        <w:tc>
          <w:tcPr>
            <w:tcW w:w="3960" w:type="dxa"/>
          </w:tcPr>
          <w:p w14:paraId="12E0FC8E"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w:t>
            </w:r>
          </w:p>
          <w:p w14:paraId="5C458D34"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Discontinue current infusion and treat symptoms</w:t>
            </w:r>
          </w:p>
          <w:p w14:paraId="7346F7E0"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rPr>
              <w:t>corticosteroids</w:t>
            </w:r>
            <w:r w:rsidRPr="00A44065">
              <w:rPr>
                <w:rFonts w:ascii="Times New Roman" w:hAnsi="Times New Roman"/>
                <w:szCs w:val="20"/>
                <w:vertAlign w:val="superscript"/>
              </w:rPr>
              <w:t>c</w:t>
            </w:r>
            <w:proofErr w:type="spellEnd"/>
            <w:r w:rsidRPr="00A44065">
              <w:rPr>
                <w:rFonts w:ascii="Times New Roman" w:hAnsi="Times New Roman"/>
                <w:szCs w:val="20"/>
              </w:rPr>
              <w:t xml:space="preserve"> </w:t>
            </w:r>
          </w:p>
          <w:p w14:paraId="04A0537A"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Consider</w:t>
            </w:r>
            <w:r w:rsidRPr="00A44065">
              <w:rPr>
                <w:rFonts w:ascii="Times New Roman" w:hAnsi="Times New Roman"/>
                <w:szCs w:val="20"/>
              </w:rPr>
              <w:t xml:space="preserve"> </w:t>
            </w:r>
            <w:proofErr w:type="spellStart"/>
            <w:r w:rsidRPr="00A44065">
              <w:rPr>
                <w:rFonts w:ascii="Times New Roman" w:hAnsi="Times New Roman"/>
                <w:szCs w:val="20"/>
              </w:rPr>
              <w:t>tocilizumab</w:t>
            </w:r>
            <w:r w:rsidRPr="00A44065">
              <w:rPr>
                <w:rFonts w:ascii="Times New Roman" w:hAnsi="Times New Roman"/>
                <w:szCs w:val="20"/>
                <w:vertAlign w:val="superscript"/>
              </w:rPr>
              <w:t>d</w:t>
            </w:r>
            <w:proofErr w:type="spellEnd"/>
            <w:r w:rsidRPr="00A44065">
              <w:rPr>
                <w:rFonts w:ascii="Times New Roman" w:hAnsi="Times New Roman"/>
                <w:szCs w:val="20"/>
              </w:rPr>
              <w:t xml:space="preserve"> </w:t>
            </w:r>
          </w:p>
          <w:p w14:paraId="15AF0F9E" w14:textId="77777777" w:rsidR="00247CCB" w:rsidRPr="00A44065" w:rsidRDefault="00247CCB" w:rsidP="003320D4">
            <w:pPr>
              <w:pStyle w:val="ParagraphSpace"/>
              <w:rPr>
                <w:rFonts w:ascii="Times New Roman" w:hAnsi="Times New Roman"/>
                <w:sz w:val="20"/>
                <w:szCs w:val="20"/>
                <w:lang w:eastAsia="en-US"/>
              </w:rPr>
            </w:pPr>
          </w:p>
          <w:p w14:paraId="77F6DEE3"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occurs post-infusion:</w:t>
            </w:r>
          </w:p>
          <w:p w14:paraId="54D19709"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Treat symptoms</w:t>
            </w:r>
          </w:p>
          <w:p w14:paraId="079C15C1"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rPr>
              <w:t>corticosteroids</w:t>
            </w:r>
            <w:r w:rsidRPr="00A44065">
              <w:rPr>
                <w:rFonts w:ascii="Times New Roman" w:hAnsi="Times New Roman"/>
                <w:szCs w:val="20"/>
                <w:vertAlign w:val="superscript"/>
              </w:rPr>
              <w:t>c</w:t>
            </w:r>
            <w:proofErr w:type="spellEnd"/>
            <w:r w:rsidRPr="00A44065">
              <w:rPr>
                <w:rFonts w:ascii="Times New Roman" w:hAnsi="Times New Roman"/>
                <w:szCs w:val="20"/>
              </w:rPr>
              <w:t xml:space="preserve"> </w:t>
            </w:r>
          </w:p>
          <w:p w14:paraId="09FB4CA8"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Consider</w:t>
            </w:r>
            <w:r w:rsidRPr="00A44065">
              <w:rPr>
                <w:rFonts w:ascii="Times New Roman" w:hAnsi="Times New Roman"/>
                <w:szCs w:val="20"/>
              </w:rPr>
              <w:t xml:space="preserve"> </w:t>
            </w:r>
            <w:proofErr w:type="spellStart"/>
            <w:r w:rsidRPr="00A44065">
              <w:rPr>
                <w:rFonts w:ascii="Times New Roman" w:hAnsi="Times New Roman"/>
                <w:szCs w:val="20"/>
              </w:rPr>
              <w:t>tocilizumab</w:t>
            </w:r>
            <w:r w:rsidRPr="00A44065">
              <w:rPr>
                <w:rFonts w:ascii="Times New Roman" w:hAnsi="Times New Roman"/>
                <w:szCs w:val="20"/>
                <w:vertAlign w:val="superscript"/>
              </w:rPr>
              <w:t>d</w:t>
            </w:r>
            <w:proofErr w:type="spellEnd"/>
            <w:r w:rsidRPr="00A44065">
              <w:rPr>
                <w:rFonts w:ascii="Times New Roman" w:hAnsi="Times New Roman"/>
                <w:szCs w:val="20"/>
              </w:rPr>
              <w:t xml:space="preserve"> </w:t>
            </w:r>
          </w:p>
        </w:tc>
        <w:tc>
          <w:tcPr>
            <w:tcW w:w="2785" w:type="dxa"/>
          </w:tcPr>
          <w:p w14:paraId="08B87DB6"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Ensure symptoms are resolved for at least 72 hours prior to next infusion</w:t>
            </w:r>
          </w:p>
          <w:p w14:paraId="28BB56D5"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 xml:space="preserve">Consider slower infusion </w:t>
            </w:r>
            <w:proofErr w:type="spellStart"/>
            <w:r w:rsidRPr="00A44065">
              <w:rPr>
                <w:rFonts w:ascii="Times New Roman" w:hAnsi="Times New Roman"/>
                <w:szCs w:val="20"/>
              </w:rPr>
              <w:t>rate</w:t>
            </w:r>
            <w:r w:rsidRPr="00A44065">
              <w:rPr>
                <w:rFonts w:ascii="Times New Roman" w:hAnsi="Times New Roman"/>
                <w:szCs w:val="20"/>
                <w:vertAlign w:val="superscript"/>
              </w:rPr>
              <w:t>b</w:t>
            </w:r>
            <w:proofErr w:type="spellEnd"/>
          </w:p>
          <w:p w14:paraId="35FEE732"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Monitor patients post-</w:t>
            </w:r>
            <w:proofErr w:type="spellStart"/>
            <w:proofErr w:type="gramStart"/>
            <w:r w:rsidRPr="00A44065">
              <w:rPr>
                <w:rFonts w:ascii="Times New Roman" w:hAnsi="Times New Roman"/>
                <w:szCs w:val="20"/>
              </w:rPr>
              <w:t>infusion</w:t>
            </w:r>
            <w:r w:rsidRPr="00A44065">
              <w:rPr>
                <w:rFonts w:ascii="Times New Roman" w:hAnsi="Times New Roman"/>
                <w:szCs w:val="20"/>
                <w:vertAlign w:val="superscript"/>
              </w:rPr>
              <w:t>e,f</w:t>
            </w:r>
            <w:proofErr w:type="spellEnd"/>
            <w:proofErr w:type="gramEnd"/>
          </w:p>
        </w:tc>
      </w:tr>
      <w:tr w:rsidR="00247CCB" w:rsidRPr="00A44065" w14:paraId="18849F56" w14:textId="77777777" w:rsidTr="003320D4">
        <w:trPr>
          <w:cantSplit/>
        </w:trPr>
        <w:tc>
          <w:tcPr>
            <w:tcW w:w="8630" w:type="dxa"/>
            <w:gridSpan w:val="3"/>
          </w:tcPr>
          <w:p w14:paraId="6457B8BC"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For Grade 2:  Tocilizumab use</w:t>
            </w:r>
          </w:p>
          <w:p w14:paraId="1456DFDD" w14:textId="77777777" w:rsidR="00247CCB" w:rsidRPr="00A44065" w:rsidRDefault="00247CCB" w:rsidP="003320D4">
            <w:pPr>
              <w:rPr>
                <w:color w:val="auto"/>
                <w:sz w:val="20"/>
                <w:szCs w:val="20"/>
                <w:lang w:eastAsia="en-US"/>
              </w:rPr>
            </w:pPr>
            <w:r w:rsidRPr="00A44065">
              <w:rPr>
                <w:color w:val="auto"/>
                <w:sz w:val="20"/>
                <w:szCs w:val="20"/>
                <w:lang w:eastAsia="en-US"/>
              </w:rPr>
              <w:t xml:space="preserve">Do not exceed 3 doses of </w:t>
            </w:r>
            <w:proofErr w:type="spellStart"/>
            <w:r w:rsidRPr="00A44065">
              <w:rPr>
                <w:color w:val="auto"/>
                <w:sz w:val="20"/>
                <w:szCs w:val="20"/>
                <w:lang w:eastAsia="en-US"/>
              </w:rPr>
              <w:t>tocilizumab</w:t>
            </w:r>
            <w:r w:rsidRPr="00A44065">
              <w:rPr>
                <w:color w:val="auto"/>
                <w:szCs w:val="20"/>
                <w:vertAlign w:val="superscript"/>
              </w:rPr>
              <w:t>d</w:t>
            </w:r>
            <w:proofErr w:type="spellEnd"/>
            <w:r w:rsidRPr="00A44065">
              <w:rPr>
                <w:color w:val="auto"/>
                <w:sz w:val="20"/>
                <w:szCs w:val="20"/>
                <w:lang w:eastAsia="en-US"/>
              </w:rPr>
              <w:t xml:space="preserve"> in a period of 6 weeks.</w:t>
            </w:r>
          </w:p>
          <w:p w14:paraId="63D6D369" w14:textId="77777777" w:rsidR="00247CCB" w:rsidRPr="00A44065" w:rsidRDefault="00247CCB" w:rsidP="003320D4">
            <w:pPr>
              <w:pStyle w:val="TableCell10Left"/>
              <w:keepNext w:val="0"/>
              <w:keepLines w:val="0"/>
              <w:spacing w:before="120" w:after="0" w:line="240" w:lineRule="auto"/>
              <w:rPr>
                <w:rFonts w:ascii="Times New Roman" w:hAnsi="Times New Roman"/>
                <w:szCs w:val="20"/>
                <w:lang w:eastAsia="en-US"/>
              </w:rPr>
            </w:pPr>
            <w:r w:rsidRPr="00A44065">
              <w:rPr>
                <w:rFonts w:ascii="Times New Roman" w:hAnsi="Times New Roman"/>
                <w:szCs w:val="20"/>
                <w:lang w:eastAsia="en-US"/>
              </w:rPr>
              <w:t>If no prior use of tocilizumab or if 1 dose of tocilizumab was used within the last 6 weeks:</w:t>
            </w:r>
          </w:p>
          <w:p w14:paraId="437950D7"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first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201F1EF3"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If no improvement within 8 hours </w:t>
            </w:r>
            <w:proofErr w:type="gramStart"/>
            <w:r w:rsidRPr="00A44065">
              <w:rPr>
                <w:rFonts w:ascii="Times New Roman" w:hAnsi="Times New Roman"/>
                <w:szCs w:val="20"/>
                <w:lang w:eastAsia="en-US"/>
              </w:rPr>
              <w:t>administer</w:t>
            </w:r>
            <w:proofErr w:type="gramEnd"/>
            <w:r w:rsidRPr="00A44065">
              <w:rPr>
                <w:rFonts w:ascii="Times New Roman" w:hAnsi="Times New Roman"/>
                <w:szCs w:val="20"/>
                <w:lang w:eastAsia="en-US"/>
              </w:rPr>
              <w:t xml:space="preserve"> second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64F317C2"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After 2 doses of tocilizumab, consider alternative anti-cytokine and/or alternative immunosuppressant therapy</w:t>
            </w:r>
          </w:p>
          <w:p w14:paraId="5CE35241" w14:textId="77777777" w:rsidR="00247CCB" w:rsidRPr="00A44065" w:rsidRDefault="00247CCB" w:rsidP="003320D4">
            <w:pPr>
              <w:pStyle w:val="ParagraphSpace"/>
              <w:rPr>
                <w:rFonts w:ascii="Times New Roman" w:hAnsi="Times New Roman"/>
                <w:lang w:eastAsia="en-US"/>
              </w:rPr>
            </w:pPr>
          </w:p>
          <w:p w14:paraId="17D76D38"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2 doses of tocilizumab were used within the last 6 weeks:</w:t>
            </w:r>
          </w:p>
          <w:p w14:paraId="3E85BC82"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administer only one dose of tocilizumab</w:t>
            </w:r>
          </w:p>
          <w:p w14:paraId="2B9DA5CA"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If no improvement within 8 hours </w:t>
            </w:r>
            <w:proofErr w:type="gramStart"/>
            <w:r w:rsidRPr="00A44065">
              <w:rPr>
                <w:rFonts w:ascii="Times New Roman" w:hAnsi="Times New Roman"/>
                <w:szCs w:val="20"/>
                <w:lang w:eastAsia="en-US"/>
              </w:rPr>
              <w:t>consider</w:t>
            </w:r>
            <w:proofErr w:type="gramEnd"/>
            <w:r w:rsidRPr="00A44065">
              <w:rPr>
                <w:rFonts w:ascii="Times New Roman" w:hAnsi="Times New Roman"/>
                <w:szCs w:val="20"/>
                <w:lang w:eastAsia="en-US"/>
              </w:rPr>
              <w:t xml:space="preserve"> alternative anti-cytokine and/or alternative immunosuppressant therapy</w:t>
            </w:r>
          </w:p>
          <w:p w14:paraId="59EDF2B3" w14:textId="77777777" w:rsidR="00247CCB" w:rsidRPr="00A44065" w:rsidRDefault="00247CCB" w:rsidP="003320D4">
            <w:pPr>
              <w:pStyle w:val="ParagraphSpace"/>
              <w:rPr>
                <w:rFonts w:ascii="Times New Roman" w:hAnsi="Times New Roman"/>
                <w:lang w:eastAsia="en-US"/>
              </w:rPr>
            </w:pPr>
          </w:p>
        </w:tc>
      </w:tr>
      <w:tr w:rsidR="00247CCB" w:rsidRPr="00A44065" w14:paraId="5401797D" w14:textId="77777777" w:rsidTr="003320D4">
        <w:trPr>
          <w:cantSplit/>
          <w:trHeight w:val="1934"/>
        </w:trPr>
        <w:tc>
          <w:tcPr>
            <w:tcW w:w="1885" w:type="dxa"/>
          </w:tcPr>
          <w:p w14:paraId="32E165B5"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Grade 3</w:t>
            </w:r>
          </w:p>
          <w:p w14:paraId="0C07A4D4" w14:textId="77777777" w:rsidR="00247CCB" w:rsidRPr="0008620B" w:rsidRDefault="00247CCB" w:rsidP="003320D4">
            <w:pPr>
              <w:rPr>
                <w:color w:val="auto"/>
                <w:sz w:val="20"/>
                <w:szCs w:val="20"/>
              </w:rPr>
            </w:pPr>
            <w:r w:rsidRPr="00A44065">
              <w:rPr>
                <w:color w:val="auto"/>
                <w:sz w:val="20"/>
                <w:szCs w:val="20"/>
              </w:rPr>
              <w:t xml:space="preserve">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 and/or hypotension requiring a vasopressor (with or without vasopressin) and/or hypoxia requiring high-flow oxygen by nasal cannula, face mask, non-rebreather mask, or Venturi mask</w:t>
            </w:r>
          </w:p>
        </w:tc>
        <w:tc>
          <w:tcPr>
            <w:tcW w:w="3960" w:type="dxa"/>
          </w:tcPr>
          <w:p w14:paraId="1C4B04DA"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w:t>
            </w:r>
          </w:p>
          <w:p w14:paraId="0505DCA4"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Discontinue current infusion and treat symptoms</w:t>
            </w:r>
          </w:p>
          <w:p w14:paraId="4CEE30F5"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corticosteroids</w:t>
            </w:r>
            <w:r w:rsidRPr="00A44065">
              <w:rPr>
                <w:rFonts w:ascii="Times New Roman" w:hAnsi="Times New Roman"/>
                <w:szCs w:val="20"/>
                <w:vertAlign w:val="superscript"/>
                <w:lang w:eastAsia="en-US"/>
              </w:rPr>
              <w:t>c</w:t>
            </w:r>
            <w:proofErr w:type="spellEnd"/>
            <w:r w:rsidRPr="00A44065">
              <w:rPr>
                <w:rFonts w:ascii="Times New Roman" w:hAnsi="Times New Roman"/>
                <w:szCs w:val="20"/>
                <w:lang w:eastAsia="en-US"/>
              </w:rPr>
              <w:t xml:space="preserve"> </w:t>
            </w:r>
          </w:p>
          <w:p w14:paraId="68D8F560"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r w:rsidRPr="00A44065">
              <w:rPr>
                <w:rFonts w:ascii="Times New Roman" w:hAnsi="Times New Roman"/>
                <w:szCs w:val="20"/>
                <w:lang w:eastAsia="en-US"/>
              </w:rPr>
              <w:t xml:space="preserve"> </w:t>
            </w:r>
          </w:p>
          <w:p w14:paraId="664A63ED" w14:textId="77777777" w:rsidR="00247CCB" w:rsidRPr="00A44065" w:rsidRDefault="00247CCB" w:rsidP="003320D4">
            <w:pPr>
              <w:pStyle w:val="ParagraphSpace"/>
              <w:rPr>
                <w:rFonts w:ascii="Times New Roman" w:hAnsi="Times New Roman"/>
                <w:sz w:val="20"/>
                <w:szCs w:val="20"/>
                <w:lang w:eastAsia="en-US"/>
              </w:rPr>
            </w:pPr>
          </w:p>
          <w:p w14:paraId="4EE86532"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occurs post-infusion:</w:t>
            </w:r>
          </w:p>
          <w:p w14:paraId="447F10CC"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Treat symptoms</w:t>
            </w:r>
          </w:p>
          <w:p w14:paraId="59B42F96"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corticosteroids</w:t>
            </w:r>
            <w:r w:rsidRPr="00A44065">
              <w:rPr>
                <w:rFonts w:ascii="Times New Roman" w:hAnsi="Times New Roman"/>
                <w:szCs w:val="20"/>
                <w:vertAlign w:val="superscript"/>
                <w:lang w:eastAsia="en-US"/>
              </w:rPr>
              <w:t>c</w:t>
            </w:r>
            <w:proofErr w:type="spellEnd"/>
            <w:r w:rsidRPr="00A44065">
              <w:rPr>
                <w:rFonts w:ascii="Times New Roman" w:hAnsi="Times New Roman"/>
                <w:szCs w:val="20"/>
                <w:lang w:eastAsia="en-US"/>
              </w:rPr>
              <w:t xml:space="preserve"> </w:t>
            </w:r>
          </w:p>
          <w:p w14:paraId="70926049"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r w:rsidRPr="00A44065">
              <w:rPr>
                <w:rFonts w:ascii="Times New Roman" w:hAnsi="Times New Roman"/>
                <w:szCs w:val="20"/>
                <w:lang w:eastAsia="en-US"/>
              </w:rPr>
              <w:t xml:space="preserve"> </w:t>
            </w:r>
          </w:p>
        </w:tc>
        <w:tc>
          <w:tcPr>
            <w:tcW w:w="2785" w:type="dxa"/>
          </w:tcPr>
          <w:p w14:paraId="3A84C5B5"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Ensure symptoms are resolved for at least 72 hours prior to next infusion</w:t>
            </w:r>
          </w:p>
          <w:p w14:paraId="12A18DE5"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 xml:space="preserve">Consider slower infusion </w:t>
            </w:r>
            <w:proofErr w:type="spellStart"/>
            <w:r w:rsidRPr="00A44065">
              <w:rPr>
                <w:rFonts w:ascii="Times New Roman" w:hAnsi="Times New Roman"/>
                <w:szCs w:val="20"/>
              </w:rPr>
              <w:t>rate</w:t>
            </w:r>
            <w:r w:rsidRPr="00A44065">
              <w:rPr>
                <w:rFonts w:ascii="Times New Roman" w:hAnsi="Times New Roman"/>
                <w:szCs w:val="20"/>
                <w:vertAlign w:val="superscript"/>
              </w:rPr>
              <w:t>b</w:t>
            </w:r>
            <w:proofErr w:type="spellEnd"/>
          </w:p>
          <w:p w14:paraId="5ACD3533"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Monitor patients post-</w:t>
            </w:r>
            <w:proofErr w:type="spellStart"/>
            <w:proofErr w:type="gramStart"/>
            <w:r w:rsidRPr="00A44065">
              <w:rPr>
                <w:rFonts w:ascii="Times New Roman" w:hAnsi="Times New Roman"/>
                <w:szCs w:val="20"/>
              </w:rPr>
              <w:t>infusion</w:t>
            </w:r>
            <w:r w:rsidRPr="00A44065">
              <w:rPr>
                <w:rFonts w:ascii="Times New Roman" w:hAnsi="Times New Roman"/>
                <w:szCs w:val="20"/>
                <w:vertAlign w:val="superscript"/>
              </w:rPr>
              <w:t>e,f</w:t>
            </w:r>
            <w:proofErr w:type="spellEnd"/>
            <w:proofErr w:type="gramEnd"/>
          </w:p>
          <w:p w14:paraId="0D7EC969" w14:textId="31E5B150" w:rsidR="00247CCB" w:rsidRPr="0008620B"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If Grade </w:t>
            </w:r>
            <w:r w:rsidRPr="0008620B">
              <w:rPr>
                <w:rFonts w:ascii="Times New Roman" w:hAnsi="Times New Roman"/>
                <w:szCs w:val="20"/>
              </w:rPr>
              <w:sym w:font="Symbol" w:char="F0B3"/>
            </w:r>
            <w:r w:rsidRPr="0008620B">
              <w:rPr>
                <w:rFonts w:ascii="Times New Roman" w:hAnsi="Times New Roman"/>
                <w:szCs w:val="20"/>
              </w:rPr>
              <w:t xml:space="preserve"> 3 CRS recurs at subsequent infusion, stop infusion immediately and permanently discontinue </w:t>
            </w:r>
            <w:proofErr w:type="spellStart"/>
            <w:r w:rsidR="00B719B6" w:rsidRPr="0008620B">
              <w:rPr>
                <w:rFonts w:ascii="Times New Roman" w:hAnsi="Times New Roman"/>
                <w:szCs w:val="20"/>
              </w:rPr>
              <w:t>Columvi</w:t>
            </w:r>
            <w:proofErr w:type="spellEnd"/>
          </w:p>
        </w:tc>
      </w:tr>
      <w:tr w:rsidR="00247CCB" w:rsidRPr="00A44065" w14:paraId="7FD974A5" w14:textId="77777777" w:rsidTr="003320D4">
        <w:trPr>
          <w:cantSplit/>
          <w:trHeight w:val="1880"/>
        </w:trPr>
        <w:tc>
          <w:tcPr>
            <w:tcW w:w="1885" w:type="dxa"/>
          </w:tcPr>
          <w:p w14:paraId="579EA107" w14:textId="77777777" w:rsidR="00247CCB" w:rsidRPr="00A44065" w:rsidRDefault="00247CCB" w:rsidP="003320D4">
            <w:pPr>
              <w:pStyle w:val="TableCell10Left"/>
              <w:keepNext w:val="0"/>
              <w:keepLines w:val="0"/>
              <w:spacing w:before="40" w:after="0" w:line="240" w:lineRule="auto"/>
              <w:rPr>
                <w:rFonts w:ascii="Times New Roman" w:hAnsi="Times New Roman"/>
                <w:b/>
                <w:szCs w:val="20"/>
              </w:rPr>
            </w:pPr>
            <w:r w:rsidRPr="00A44065">
              <w:rPr>
                <w:rFonts w:ascii="Times New Roman" w:hAnsi="Times New Roman"/>
                <w:b/>
                <w:szCs w:val="20"/>
              </w:rPr>
              <w:lastRenderedPageBreak/>
              <w:t>Grade 4</w:t>
            </w:r>
          </w:p>
          <w:p w14:paraId="7B94639A" w14:textId="77777777" w:rsidR="00247CCB" w:rsidRPr="0008620B" w:rsidRDefault="00247CCB" w:rsidP="003320D4">
            <w:pPr>
              <w:spacing w:before="40"/>
              <w:rPr>
                <w:color w:val="auto"/>
                <w:sz w:val="20"/>
                <w:szCs w:val="20"/>
              </w:rPr>
            </w:pPr>
            <w:r w:rsidRPr="00A44065">
              <w:rPr>
                <w:color w:val="auto"/>
                <w:sz w:val="20"/>
                <w:szCs w:val="20"/>
              </w:rPr>
              <w:t xml:space="preserve">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 and/or hypotension requiring multiple vasopressors (excluding vasopressin) and/or hypoxia requiring oxygen by positive pressure (e.g., CPAP, BiPAP, intubation, and mechanical ventilation)</w:t>
            </w:r>
          </w:p>
        </w:tc>
        <w:tc>
          <w:tcPr>
            <w:tcW w:w="6745" w:type="dxa"/>
            <w:gridSpan w:val="2"/>
          </w:tcPr>
          <w:p w14:paraId="06BE17E4"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 or post-infusion:</w:t>
            </w:r>
          </w:p>
          <w:p w14:paraId="45A72C91" w14:textId="53D02613"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08620B">
              <w:rPr>
                <w:rFonts w:ascii="Times New Roman" w:hAnsi="Times New Roman"/>
                <w:szCs w:val="20"/>
                <w:lang w:eastAsia="en-US"/>
              </w:rPr>
              <w:t xml:space="preserve">Permanently discontinue </w:t>
            </w:r>
            <w:proofErr w:type="spellStart"/>
            <w:r w:rsidR="00B719B6" w:rsidRPr="00A44065">
              <w:rPr>
                <w:rFonts w:ascii="Times New Roman" w:hAnsi="Times New Roman"/>
                <w:szCs w:val="20"/>
                <w:lang w:eastAsia="en-US"/>
              </w:rPr>
              <w:t>Columvi</w:t>
            </w:r>
            <w:proofErr w:type="spellEnd"/>
            <w:r w:rsidRPr="00A44065">
              <w:rPr>
                <w:rFonts w:ascii="Times New Roman" w:hAnsi="Times New Roman"/>
                <w:szCs w:val="20"/>
                <w:lang w:eastAsia="en-US"/>
              </w:rPr>
              <w:t xml:space="preserve"> and treat symptoms</w:t>
            </w:r>
          </w:p>
          <w:p w14:paraId="39658CFE"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corticosteroids</w:t>
            </w:r>
            <w:r w:rsidRPr="00A44065">
              <w:rPr>
                <w:rFonts w:ascii="Times New Roman" w:hAnsi="Times New Roman"/>
                <w:szCs w:val="20"/>
                <w:vertAlign w:val="superscript"/>
                <w:lang w:eastAsia="en-US"/>
              </w:rPr>
              <w:t>c</w:t>
            </w:r>
            <w:proofErr w:type="spellEnd"/>
            <w:r w:rsidRPr="00A44065">
              <w:rPr>
                <w:rFonts w:ascii="Times New Roman" w:hAnsi="Times New Roman"/>
                <w:szCs w:val="20"/>
                <w:lang w:eastAsia="en-US"/>
              </w:rPr>
              <w:t xml:space="preserve"> </w:t>
            </w:r>
          </w:p>
          <w:p w14:paraId="07DECFB5"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r w:rsidRPr="00A44065">
              <w:rPr>
                <w:rFonts w:ascii="Times New Roman" w:hAnsi="Times New Roman"/>
                <w:szCs w:val="20"/>
                <w:lang w:eastAsia="en-US"/>
              </w:rPr>
              <w:t xml:space="preserve"> </w:t>
            </w:r>
          </w:p>
          <w:p w14:paraId="09D307A8" w14:textId="77777777" w:rsidR="00247CCB" w:rsidRPr="00A44065" w:rsidRDefault="00247CCB" w:rsidP="003320D4">
            <w:pPr>
              <w:pStyle w:val="TableCell10Left"/>
              <w:keepNext w:val="0"/>
              <w:keepLines w:val="0"/>
              <w:spacing w:before="0" w:after="0" w:line="240" w:lineRule="auto"/>
              <w:ind w:left="169"/>
              <w:rPr>
                <w:rFonts w:ascii="Times New Roman" w:hAnsi="Times New Roman"/>
                <w:szCs w:val="20"/>
              </w:rPr>
            </w:pPr>
          </w:p>
        </w:tc>
      </w:tr>
      <w:tr w:rsidR="00247CCB" w:rsidRPr="00A44065" w14:paraId="7AECCE0E" w14:textId="77777777" w:rsidTr="003320D4">
        <w:tc>
          <w:tcPr>
            <w:tcW w:w="8630" w:type="dxa"/>
            <w:gridSpan w:val="3"/>
            <w:tcBorders>
              <w:bottom w:val="single" w:sz="4" w:space="0" w:color="auto"/>
            </w:tcBorders>
          </w:tcPr>
          <w:p w14:paraId="545CDC1F" w14:textId="77777777" w:rsidR="00247CCB" w:rsidRPr="00A44065" w:rsidRDefault="00247CCB" w:rsidP="003320D4">
            <w:pPr>
              <w:pStyle w:val="TableCell10Left"/>
              <w:keepNext w:val="0"/>
              <w:keepLines w:val="0"/>
              <w:spacing w:before="40" w:after="0" w:line="240" w:lineRule="auto"/>
              <w:rPr>
                <w:rFonts w:ascii="Times New Roman" w:hAnsi="Times New Roman"/>
                <w:b/>
                <w:szCs w:val="20"/>
              </w:rPr>
            </w:pPr>
            <w:r w:rsidRPr="00A44065">
              <w:rPr>
                <w:rFonts w:ascii="Times New Roman" w:hAnsi="Times New Roman"/>
                <w:b/>
                <w:szCs w:val="20"/>
              </w:rPr>
              <w:t>For Grade 3 and Grade 4:  Tocilizumab use</w:t>
            </w:r>
          </w:p>
          <w:p w14:paraId="0975669C"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 xml:space="preserve">Do not exceed 3 doses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rPr>
              <w:t>d</w:t>
            </w:r>
            <w:proofErr w:type="spellEnd"/>
            <w:r w:rsidRPr="00A44065">
              <w:rPr>
                <w:rFonts w:ascii="Times New Roman" w:hAnsi="Times New Roman"/>
                <w:szCs w:val="20"/>
                <w:lang w:eastAsia="en-US"/>
              </w:rPr>
              <w:t xml:space="preserve"> in a period of 6 weeks.</w:t>
            </w:r>
          </w:p>
          <w:p w14:paraId="77EE1DE0" w14:textId="77777777" w:rsidR="00247CCB" w:rsidRPr="00A44065" w:rsidRDefault="00247CCB" w:rsidP="003320D4">
            <w:pPr>
              <w:spacing w:before="120"/>
              <w:rPr>
                <w:color w:val="auto"/>
                <w:sz w:val="20"/>
                <w:szCs w:val="20"/>
                <w:lang w:eastAsia="en-US"/>
              </w:rPr>
            </w:pPr>
            <w:r w:rsidRPr="00A44065">
              <w:rPr>
                <w:color w:val="auto"/>
                <w:sz w:val="20"/>
                <w:szCs w:val="20"/>
                <w:lang w:eastAsia="en-US"/>
              </w:rPr>
              <w:t>If no prior use of tocilizumab or if 1 dose of tocilizumab was used within the last 6 weeks:</w:t>
            </w:r>
          </w:p>
          <w:p w14:paraId="04FD04DA"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first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79AFD704"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If no improvement within 8 hours or rapid progression of CRS, administer second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69D89AA7"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After 2 doses of tocilizumab, consider alternative anti-cytokine and/or alternative immunosuppressant therapy</w:t>
            </w:r>
          </w:p>
          <w:p w14:paraId="35B1EF95" w14:textId="77777777" w:rsidR="00247CCB" w:rsidRPr="00A44065" w:rsidRDefault="00247CCB" w:rsidP="003320D4">
            <w:pPr>
              <w:pStyle w:val="ParagraphSpace"/>
              <w:rPr>
                <w:rFonts w:ascii="Times New Roman" w:hAnsi="Times New Roman"/>
                <w:lang w:eastAsia="en-US"/>
              </w:rPr>
            </w:pPr>
          </w:p>
          <w:p w14:paraId="0640E4B9"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2 doses of tocilizumab were used within the last 6 weeks:</w:t>
            </w:r>
          </w:p>
          <w:p w14:paraId="02934C87"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administer only one dose of tocilizumab</w:t>
            </w:r>
          </w:p>
          <w:p w14:paraId="67EB76CF"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rPr>
            </w:pPr>
            <w:r w:rsidRPr="00A44065">
              <w:rPr>
                <w:rFonts w:ascii="Times New Roman" w:hAnsi="Times New Roman"/>
                <w:szCs w:val="20"/>
                <w:lang w:eastAsia="en-US"/>
              </w:rPr>
              <w:t>If no improvement within 8 hours or rapid progression of CRS, consider alternative anti-cytokine and/or alternative immunosuppressant therapy</w:t>
            </w:r>
          </w:p>
          <w:p w14:paraId="4F39E401" w14:textId="77777777" w:rsidR="00247CCB" w:rsidRPr="00A44065" w:rsidRDefault="00247CCB" w:rsidP="003320D4">
            <w:pPr>
              <w:pStyle w:val="ParagraphSpace"/>
              <w:rPr>
                <w:rFonts w:ascii="Times New Roman" w:hAnsi="Times New Roman"/>
              </w:rPr>
            </w:pPr>
          </w:p>
        </w:tc>
      </w:tr>
      <w:tr w:rsidR="00247CCB" w:rsidRPr="00A44065" w14:paraId="67D43DFA" w14:textId="77777777" w:rsidTr="003320D4">
        <w:tc>
          <w:tcPr>
            <w:tcW w:w="8630" w:type="dxa"/>
            <w:gridSpan w:val="3"/>
            <w:tcBorders>
              <w:left w:val="nil"/>
              <w:bottom w:val="nil"/>
              <w:right w:val="nil"/>
            </w:tcBorders>
          </w:tcPr>
          <w:p w14:paraId="69A9EB2A" w14:textId="77777777" w:rsidR="00247CCB" w:rsidRPr="00A44065" w:rsidRDefault="00247CCB" w:rsidP="003320D4">
            <w:pPr>
              <w:pStyle w:val="TabFigFooter"/>
              <w:keepNext w:val="0"/>
              <w:keepLines w:val="0"/>
              <w:spacing w:line="240" w:lineRule="auto"/>
              <w:rPr>
                <w:rFonts w:ascii="Times New Roman" w:hAnsi="Times New Roman"/>
                <w:sz w:val="18"/>
                <w:szCs w:val="18"/>
                <w:lang w:eastAsia="en-US"/>
              </w:rPr>
            </w:pPr>
            <w:proofErr w:type="spellStart"/>
            <w:r w:rsidRPr="00A44065">
              <w:rPr>
                <w:rFonts w:ascii="Times New Roman" w:hAnsi="Times New Roman"/>
                <w:sz w:val="18"/>
                <w:szCs w:val="18"/>
                <w:lang w:eastAsia="en-US"/>
              </w:rPr>
              <w:t>a</w:t>
            </w:r>
            <w:proofErr w:type="spellEnd"/>
            <w:r w:rsidRPr="00A44065">
              <w:rPr>
                <w:rFonts w:ascii="Times New Roman" w:hAnsi="Times New Roman"/>
                <w:sz w:val="18"/>
                <w:szCs w:val="18"/>
                <w:lang w:eastAsia="en-US"/>
              </w:rPr>
              <w:tab/>
              <w:t xml:space="preserve">American Society for Transplantation and Cellular Therapy (ASTCT) consensus grading </w:t>
            </w:r>
            <w:proofErr w:type="gramStart"/>
            <w:r w:rsidRPr="00A44065">
              <w:rPr>
                <w:rFonts w:ascii="Times New Roman" w:hAnsi="Times New Roman"/>
                <w:sz w:val="18"/>
                <w:szCs w:val="18"/>
                <w:lang w:eastAsia="en-US"/>
              </w:rPr>
              <w:t>criteria .</w:t>
            </w:r>
            <w:proofErr w:type="gramEnd"/>
          </w:p>
          <w:p w14:paraId="36AFA2AB" w14:textId="6414B238" w:rsidR="00247CCB" w:rsidRPr="0008620B" w:rsidRDefault="00247CCB" w:rsidP="003320D4">
            <w:pPr>
              <w:pStyle w:val="TabFigFooter"/>
              <w:keepNext w:val="0"/>
              <w:keepLines w:val="0"/>
              <w:spacing w:line="240" w:lineRule="auto"/>
              <w:rPr>
                <w:rFonts w:ascii="Times New Roman" w:hAnsi="Times New Roman"/>
                <w:sz w:val="18"/>
                <w:szCs w:val="18"/>
                <w:lang w:eastAsia="en-US"/>
              </w:rPr>
            </w:pPr>
            <w:r w:rsidRPr="00A44065">
              <w:rPr>
                <w:rFonts w:ascii="Times New Roman" w:hAnsi="Times New Roman"/>
                <w:sz w:val="18"/>
                <w:szCs w:val="18"/>
                <w:lang w:eastAsia="en-US"/>
              </w:rPr>
              <w:t>b</w:t>
            </w:r>
            <w:r w:rsidRPr="00A44065">
              <w:rPr>
                <w:rFonts w:ascii="Times New Roman" w:hAnsi="Times New Roman"/>
                <w:sz w:val="18"/>
                <w:szCs w:val="18"/>
                <w:lang w:eastAsia="en-US"/>
              </w:rPr>
              <w:tab/>
              <w:t xml:space="preserve">Duration of infusion may be extended up to 8 hours, as appropriate for that cycle (see </w:t>
            </w:r>
            <w:r w:rsidR="0010546D" w:rsidRPr="0008620B">
              <w:rPr>
                <w:rFonts w:ascii="Times New Roman" w:hAnsi="Times New Roman"/>
                <w:sz w:val="18"/>
                <w:szCs w:val="18"/>
                <w:lang w:eastAsia="en-US"/>
              </w:rPr>
              <w:fldChar w:fldCharType="begin"/>
            </w:r>
            <w:r w:rsidR="0010546D" w:rsidRPr="00A44065">
              <w:rPr>
                <w:rFonts w:ascii="Times New Roman" w:hAnsi="Times New Roman"/>
                <w:sz w:val="18"/>
                <w:szCs w:val="18"/>
                <w:lang w:eastAsia="en-US"/>
              </w:rPr>
              <w:instrText xml:space="preserve"> REF \* CHARFORMAT _Ref89199557  \* MERGEFORMAT </w:instrText>
            </w:r>
            <w:r w:rsidR="0010546D" w:rsidRPr="0008620B">
              <w:rPr>
                <w:rFonts w:ascii="Times New Roman" w:hAnsi="Times New Roman"/>
                <w:sz w:val="18"/>
                <w:szCs w:val="18"/>
                <w:lang w:eastAsia="en-US"/>
              </w:rPr>
              <w:fldChar w:fldCharType="separate"/>
            </w:r>
            <w:r w:rsidR="0010546D" w:rsidRPr="0008620B">
              <w:rPr>
                <w:rFonts w:ascii="Times New Roman" w:hAnsi="Times New Roman"/>
                <w:sz w:val="18"/>
                <w:szCs w:val="18"/>
                <w:lang w:eastAsia="en-US"/>
              </w:rPr>
              <w:t>Table 2</w:t>
            </w:r>
            <w:r w:rsidR="0010546D" w:rsidRPr="0008620B">
              <w:rPr>
                <w:rFonts w:ascii="Times New Roman" w:hAnsi="Times New Roman"/>
                <w:sz w:val="18"/>
                <w:szCs w:val="18"/>
                <w:lang w:eastAsia="en-US"/>
              </w:rPr>
              <w:fldChar w:fldCharType="end"/>
            </w:r>
            <w:r w:rsidRPr="0008620B">
              <w:rPr>
                <w:rFonts w:ascii="Times New Roman" w:hAnsi="Times New Roman"/>
                <w:sz w:val="18"/>
                <w:szCs w:val="18"/>
                <w:lang w:eastAsia="en-US"/>
              </w:rPr>
              <w:t>).</w:t>
            </w:r>
          </w:p>
          <w:p w14:paraId="0B004FFE" w14:textId="19D4BA81" w:rsidR="00247CCB" w:rsidRPr="0008620B" w:rsidRDefault="00247CCB" w:rsidP="003320D4">
            <w:pPr>
              <w:pStyle w:val="TabFigFooter"/>
              <w:keepNext w:val="0"/>
              <w:keepLines w:val="0"/>
              <w:spacing w:line="240" w:lineRule="auto"/>
              <w:rPr>
                <w:rFonts w:ascii="Times New Roman" w:hAnsi="Times New Roman"/>
                <w:sz w:val="18"/>
                <w:szCs w:val="18"/>
                <w:lang w:eastAsia="en-US"/>
              </w:rPr>
            </w:pPr>
            <w:r w:rsidRPr="0008620B">
              <w:rPr>
                <w:rFonts w:ascii="Times New Roman" w:hAnsi="Times New Roman"/>
                <w:sz w:val="18"/>
                <w:szCs w:val="18"/>
                <w:lang w:eastAsia="en-US"/>
              </w:rPr>
              <w:t>c</w:t>
            </w:r>
            <w:r w:rsidRPr="0008620B">
              <w:rPr>
                <w:rFonts w:ascii="Times New Roman" w:hAnsi="Times New Roman"/>
                <w:sz w:val="18"/>
                <w:szCs w:val="18"/>
                <w:lang w:eastAsia="en-US"/>
              </w:rPr>
              <w:tab/>
              <w:t>Corticosteroids (e.g., 10 mg IV dexamethasone, 1-2 mg/kg IV methylprednisolone per day, or equivalent).</w:t>
            </w:r>
          </w:p>
          <w:p w14:paraId="26097CE5" w14:textId="77777777" w:rsidR="00247CCB" w:rsidRPr="0008620B" w:rsidRDefault="00247CCB" w:rsidP="003320D4">
            <w:pPr>
              <w:pStyle w:val="TabFigFooter"/>
              <w:keepNext w:val="0"/>
              <w:keepLines w:val="0"/>
              <w:spacing w:line="240" w:lineRule="auto"/>
              <w:rPr>
                <w:rFonts w:ascii="Times New Roman" w:hAnsi="Times New Roman"/>
                <w:sz w:val="18"/>
                <w:szCs w:val="18"/>
                <w:lang w:eastAsia="en-US"/>
              </w:rPr>
            </w:pPr>
            <w:r w:rsidRPr="0008620B">
              <w:rPr>
                <w:rFonts w:ascii="Times New Roman" w:hAnsi="Times New Roman"/>
                <w:sz w:val="18"/>
                <w:szCs w:val="18"/>
                <w:lang w:eastAsia="en-US"/>
              </w:rPr>
              <w:t>d</w:t>
            </w:r>
            <w:r w:rsidRPr="0008620B">
              <w:rPr>
                <w:rFonts w:ascii="Times New Roman" w:hAnsi="Times New Roman"/>
                <w:sz w:val="18"/>
                <w:szCs w:val="18"/>
                <w:lang w:eastAsia="en-US"/>
              </w:rPr>
              <w:tab/>
              <w:t>Tocilizumab 8 mg/kg IV (not to exceed 800 mg).</w:t>
            </w:r>
          </w:p>
          <w:p w14:paraId="55092AD1" w14:textId="6D8F3DED" w:rsidR="00247CCB" w:rsidRPr="00A44065" w:rsidRDefault="00247CCB" w:rsidP="003320D4">
            <w:pPr>
              <w:pStyle w:val="TabFigFooter"/>
              <w:keepNext w:val="0"/>
              <w:keepLines w:val="0"/>
              <w:spacing w:line="240" w:lineRule="auto"/>
              <w:rPr>
                <w:rFonts w:ascii="Times New Roman" w:hAnsi="Times New Roman"/>
                <w:sz w:val="18"/>
                <w:szCs w:val="18"/>
                <w:lang w:eastAsia="en-US"/>
              </w:rPr>
            </w:pPr>
            <w:r w:rsidRPr="00A44065">
              <w:rPr>
                <w:rFonts w:ascii="Times New Roman" w:hAnsi="Times New Roman"/>
                <w:sz w:val="18"/>
                <w:szCs w:val="18"/>
                <w:lang w:eastAsia="en-US"/>
              </w:rPr>
              <w:t>e</w:t>
            </w:r>
            <w:r w:rsidRPr="00A44065">
              <w:rPr>
                <w:rFonts w:ascii="Times New Roman" w:hAnsi="Times New Roman"/>
                <w:sz w:val="18"/>
                <w:szCs w:val="18"/>
                <w:lang w:eastAsia="en-US"/>
              </w:rPr>
              <w:tab/>
              <w:t>Grade </w:t>
            </w:r>
            <w:r w:rsidRPr="0008620B">
              <w:rPr>
                <w:rFonts w:ascii="Times New Roman" w:hAnsi="Times New Roman"/>
                <w:sz w:val="18"/>
                <w:szCs w:val="18"/>
                <w:lang w:eastAsia="en-US"/>
              </w:rPr>
              <w:sym w:font="Symbol" w:char="F0B3"/>
            </w:r>
            <w:r w:rsidRPr="0008620B">
              <w:rPr>
                <w:rFonts w:ascii="Times New Roman" w:hAnsi="Times New Roman"/>
                <w:sz w:val="18"/>
                <w:szCs w:val="18"/>
                <w:lang w:eastAsia="en-US"/>
              </w:rPr>
              <w:t xml:space="preserve"> 2 CRS following </w:t>
            </w:r>
            <w:proofErr w:type="spellStart"/>
            <w:r w:rsidR="00B719B6" w:rsidRPr="0008620B">
              <w:rPr>
                <w:rFonts w:ascii="Times New Roman" w:hAnsi="Times New Roman"/>
                <w:sz w:val="18"/>
                <w:szCs w:val="18"/>
                <w:lang w:eastAsia="en-US"/>
              </w:rPr>
              <w:t>Columvi</w:t>
            </w:r>
            <w:proofErr w:type="spellEnd"/>
            <w:r w:rsidRPr="0008620B">
              <w:rPr>
                <w:rFonts w:ascii="Times New Roman" w:hAnsi="Times New Roman"/>
                <w:sz w:val="18"/>
                <w:szCs w:val="18"/>
                <w:lang w:eastAsia="en-US"/>
              </w:rPr>
              <w:t xml:space="preserve"> 10 mg dose at Cycle 1 Day 15 occurred in </w:t>
            </w:r>
            <w:r w:rsidR="00F46469" w:rsidRPr="0008620B">
              <w:rPr>
                <w:rFonts w:ascii="Times New Roman" w:hAnsi="Times New Roman"/>
                <w:sz w:val="18"/>
                <w:szCs w:val="18"/>
                <w:lang w:eastAsia="en-US"/>
              </w:rPr>
              <w:t>5.2</w:t>
            </w:r>
            <w:r w:rsidRPr="00A44065">
              <w:rPr>
                <w:rFonts w:ascii="Times New Roman" w:hAnsi="Times New Roman"/>
                <w:sz w:val="18"/>
                <w:szCs w:val="18"/>
                <w:lang w:eastAsia="en-US"/>
              </w:rPr>
              <w:t>% of patients, with a median time to onset</w:t>
            </w:r>
            <w:r w:rsidR="00F46469" w:rsidRPr="00A44065">
              <w:rPr>
                <w:rFonts w:ascii="Times New Roman" w:hAnsi="Times New Roman"/>
                <w:sz w:val="18"/>
                <w:szCs w:val="18"/>
                <w:lang w:eastAsia="en-US"/>
              </w:rPr>
              <w:t xml:space="preserve"> (from start of infusion)</w:t>
            </w:r>
            <w:r w:rsidRPr="00A44065">
              <w:rPr>
                <w:rFonts w:ascii="Times New Roman" w:hAnsi="Times New Roman"/>
                <w:sz w:val="18"/>
                <w:szCs w:val="18"/>
                <w:lang w:eastAsia="en-US"/>
              </w:rPr>
              <w:t xml:space="preserve"> of </w:t>
            </w:r>
            <w:r w:rsidR="00F46469" w:rsidRPr="00A44065">
              <w:rPr>
                <w:rFonts w:ascii="Times New Roman" w:hAnsi="Times New Roman"/>
                <w:sz w:val="18"/>
                <w:szCs w:val="18"/>
                <w:lang w:eastAsia="en-US"/>
              </w:rPr>
              <w:t>26.2</w:t>
            </w:r>
            <w:r w:rsidRPr="00A44065">
              <w:rPr>
                <w:rFonts w:ascii="Times New Roman" w:hAnsi="Times New Roman"/>
                <w:sz w:val="18"/>
                <w:szCs w:val="18"/>
                <w:lang w:eastAsia="en-US"/>
              </w:rPr>
              <w:t xml:space="preserve"> hours (range: </w:t>
            </w:r>
            <w:r w:rsidR="00F46469" w:rsidRPr="00A44065">
              <w:rPr>
                <w:rFonts w:ascii="Times New Roman" w:hAnsi="Times New Roman"/>
                <w:sz w:val="18"/>
                <w:szCs w:val="18"/>
                <w:lang w:eastAsia="en-US"/>
              </w:rPr>
              <w:t>6.7</w:t>
            </w:r>
            <w:r w:rsidRPr="00A44065">
              <w:rPr>
                <w:rFonts w:ascii="Times New Roman" w:hAnsi="Times New Roman"/>
                <w:sz w:val="18"/>
                <w:szCs w:val="18"/>
                <w:lang w:eastAsia="en-US"/>
              </w:rPr>
              <w:t xml:space="preserve"> to </w:t>
            </w:r>
            <w:r w:rsidR="00F46469" w:rsidRPr="00A44065">
              <w:rPr>
                <w:rFonts w:ascii="Times New Roman" w:hAnsi="Times New Roman"/>
                <w:sz w:val="18"/>
                <w:szCs w:val="18"/>
                <w:lang w:eastAsia="en-US"/>
              </w:rPr>
              <w:t>144.2</w:t>
            </w:r>
            <w:r w:rsidRPr="00A44065">
              <w:rPr>
                <w:rFonts w:ascii="Times New Roman" w:hAnsi="Times New Roman"/>
                <w:sz w:val="18"/>
                <w:szCs w:val="18"/>
                <w:lang w:eastAsia="en-US"/>
              </w:rPr>
              <w:t> hours).</w:t>
            </w:r>
          </w:p>
          <w:p w14:paraId="5BBC74A8" w14:textId="09DDCEA8" w:rsidR="00247CCB" w:rsidRPr="0008620B" w:rsidRDefault="00247CCB" w:rsidP="003320D4">
            <w:pPr>
              <w:pStyle w:val="TabFigFooter"/>
              <w:keepNext w:val="0"/>
              <w:keepLines w:val="0"/>
              <w:spacing w:line="240" w:lineRule="auto"/>
              <w:rPr>
                <w:rFonts w:ascii="Times New Roman" w:hAnsi="Times New Roman"/>
                <w:szCs w:val="20"/>
              </w:rPr>
            </w:pPr>
            <w:r w:rsidRPr="00A44065">
              <w:rPr>
                <w:rFonts w:ascii="Times New Roman" w:hAnsi="Times New Roman"/>
                <w:sz w:val="18"/>
                <w:szCs w:val="18"/>
                <w:lang w:eastAsia="en-US"/>
              </w:rPr>
              <w:t>f</w:t>
            </w:r>
            <w:r w:rsidRPr="00A44065">
              <w:rPr>
                <w:rFonts w:ascii="Times New Roman" w:hAnsi="Times New Roman"/>
                <w:sz w:val="18"/>
                <w:szCs w:val="18"/>
                <w:lang w:eastAsia="en-US"/>
              </w:rPr>
              <w:tab/>
              <w:t>Grade </w:t>
            </w:r>
            <w:r w:rsidRPr="0008620B">
              <w:rPr>
                <w:rFonts w:ascii="Times New Roman" w:hAnsi="Times New Roman"/>
                <w:sz w:val="18"/>
                <w:szCs w:val="18"/>
                <w:lang w:eastAsia="en-US"/>
              </w:rPr>
              <w:sym w:font="Symbol" w:char="F0B3"/>
            </w:r>
            <w:r w:rsidRPr="0008620B">
              <w:rPr>
                <w:rFonts w:ascii="Times New Roman" w:hAnsi="Times New Roman"/>
                <w:sz w:val="18"/>
                <w:szCs w:val="18"/>
                <w:lang w:eastAsia="en-US"/>
              </w:rPr>
              <w:t xml:space="preserve"> 2 CRS following </w:t>
            </w:r>
            <w:proofErr w:type="spellStart"/>
            <w:r w:rsidR="00B719B6" w:rsidRPr="0008620B">
              <w:rPr>
                <w:rFonts w:ascii="Times New Roman" w:hAnsi="Times New Roman"/>
                <w:sz w:val="18"/>
                <w:szCs w:val="18"/>
                <w:lang w:eastAsia="en-US"/>
              </w:rPr>
              <w:t>Columvi</w:t>
            </w:r>
            <w:proofErr w:type="spellEnd"/>
            <w:r w:rsidRPr="0008620B">
              <w:rPr>
                <w:rFonts w:ascii="Times New Roman" w:hAnsi="Times New Roman"/>
                <w:sz w:val="18"/>
                <w:szCs w:val="18"/>
                <w:lang w:eastAsia="en-US"/>
              </w:rPr>
              <w:t xml:space="preserve"> 30 mg dose at Cycle 2 Day 1 occurred in one patient (</w:t>
            </w:r>
            <w:r w:rsidR="00F46469" w:rsidRPr="0008620B">
              <w:rPr>
                <w:rFonts w:ascii="Times New Roman" w:hAnsi="Times New Roman"/>
                <w:sz w:val="18"/>
                <w:szCs w:val="18"/>
                <w:lang w:eastAsia="en-US"/>
              </w:rPr>
              <w:t>0.8</w:t>
            </w:r>
            <w:r w:rsidRPr="00A44065">
              <w:rPr>
                <w:rFonts w:ascii="Times New Roman" w:hAnsi="Times New Roman"/>
                <w:sz w:val="18"/>
                <w:szCs w:val="18"/>
                <w:lang w:eastAsia="en-US"/>
              </w:rPr>
              <w:t>%), with time to onset of 1</w:t>
            </w:r>
            <w:r w:rsidR="003D11B7" w:rsidRPr="00A44065">
              <w:rPr>
                <w:rFonts w:ascii="Times New Roman" w:hAnsi="Times New Roman"/>
                <w:sz w:val="18"/>
                <w:szCs w:val="18"/>
                <w:lang w:eastAsia="en-US"/>
              </w:rPr>
              <w:t>5</w:t>
            </w:r>
            <w:r w:rsidRPr="00A44065">
              <w:rPr>
                <w:rFonts w:ascii="Times New Roman" w:hAnsi="Times New Roman"/>
                <w:sz w:val="18"/>
                <w:szCs w:val="18"/>
                <w:lang w:eastAsia="en-US"/>
              </w:rPr>
              <w:t>.0 hours.</w:t>
            </w:r>
          </w:p>
        </w:tc>
      </w:tr>
    </w:tbl>
    <w:p w14:paraId="545A7DB4" w14:textId="77777777" w:rsidR="00834C48" w:rsidRPr="00A44065" w:rsidRDefault="00834C48" w:rsidP="00C97612">
      <w:pPr>
        <w:rPr>
          <w:color w:val="auto"/>
        </w:rPr>
      </w:pPr>
    </w:p>
    <w:p w14:paraId="2E955316" w14:textId="77777777" w:rsidR="00D52399" w:rsidRPr="00A44065" w:rsidRDefault="00615052" w:rsidP="000A665B">
      <w:pPr>
        <w:pStyle w:val="Heading4"/>
        <w:spacing w:before="0"/>
        <w:rPr>
          <w:color w:val="auto"/>
          <w:sz w:val="22"/>
        </w:rPr>
      </w:pPr>
      <w:r w:rsidRPr="00A44065">
        <w:rPr>
          <w:color w:val="auto"/>
          <w:sz w:val="22"/>
        </w:rPr>
        <w:t>Special populations</w:t>
      </w:r>
    </w:p>
    <w:p w14:paraId="31A12DAA" w14:textId="77777777" w:rsidR="00E64D9F" w:rsidRPr="00A44065" w:rsidRDefault="00E64D9F">
      <w:pPr>
        <w:pStyle w:val="Heading5"/>
        <w:rPr>
          <w:color w:val="auto"/>
          <w:sz w:val="22"/>
        </w:rPr>
      </w:pPr>
      <w:r w:rsidRPr="00A44065">
        <w:rPr>
          <w:color w:val="auto"/>
          <w:sz w:val="22"/>
        </w:rPr>
        <w:t>Elderly</w:t>
      </w:r>
    </w:p>
    <w:p w14:paraId="0F618EDB" w14:textId="1D4DAEB8" w:rsidR="00E64D9F" w:rsidRPr="00A44065" w:rsidRDefault="00E64D9F" w:rsidP="00E64D9F">
      <w:pPr>
        <w:rPr>
          <w:color w:val="auto"/>
          <w:sz w:val="22"/>
        </w:rPr>
      </w:pPr>
      <w:r w:rsidRPr="00A44065">
        <w:rPr>
          <w:color w:val="auto"/>
          <w:sz w:val="22"/>
        </w:rPr>
        <w:t xml:space="preserve">No dose adjustment of </w:t>
      </w:r>
      <w:proofErr w:type="spellStart"/>
      <w:r w:rsidR="00B719B6" w:rsidRPr="00A44065">
        <w:rPr>
          <w:color w:val="auto"/>
          <w:sz w:val="22"/>
        </w:rPr>
        <w:t>Columvi</w:t>
      </w:r>
      <w:proofErr w:type="spellEnd"/>
      <w:r w:rsidRPr="00A44065">
        <w:rPr>
          <w:color w:val="auto"/>
          <w:sz w:val="22"/>
        </w:rPr>
        <w:t xml:space="preserve"> is required in patients ≥ 65</w:t>
      </w:r>
      <w:r w:rsidR="00F13801" w:rsidRPr="00A44065">
        <w:rPr>
          <w:color w:val="auto"/>
          <w:sz w:val="22"/>
        </w:rPr>
        <w:t> years of age (See Section</w:t>
      </w:r>
      <w:r w:rsidR="00577BAB" w:rsidRPr="00A44065">
        <w:rPr>
          <w:color w:val="auto"/>
          <w:sz w:val="22"/>
        </w:rPr>
        <w:t xml:space="preserve"> </w:t>
      </w:r>
      <w:r w:rsidR="00577BAB" w:rsidRPr="00A44065">
        <w:rPr>
          <w:i/>
          <w:color w:val="auto"/>
          <w:sz w:val="22"/>
        </w:rPr>
        <w:t>4.4 Special Warnings and Precautions for Use</w:t>
      </w:r>
      <w:r w:rsidRPr="00A44065">
        <w:rPr>
          <w:i/>
          <w:color w:val="auto"/>
          <w:sz w:val="22"/>
        </w:rPr>
        <w:t xml:space="preserve"> </w:t>
      </w:r>
      <w:r w:rsidRPr="00A44065">
        <w:rPr>
          <w:color w:val="auto"/>
          <w:sz w:val="22"/>
        </w:rPr>
        <w:t>and Section </w:t>
      </w:r>
      <w:r w:rsidR="00F13801" w:rsidRPr="00A44065">
        <w:rPr>
          <w:i/>
          <w:color w:val="auto"/>
          <w:sz w:val="22"/>
        </w:rPr>
        <w:t>5.2 Pharmacokinetics in Special Populations</w:t>
      </w:r>
      <w:r w:rsidRPr="00A44065">
        <w:rPr>
          <w:color w:val="auto"/>
          <w:sz w:val="22"/>
        </w:rPr>
        <w:t>)</w:t>
      </w:r>
      <w:r w:rsidR="00F13801" w:rsidRPr="00A44065">
        <w:rPr>
          <w:color w:val="auto"/>
          <w:sz w:val="22"/>
        </w:rPr>
        <w:t>.</w:t>
      </w:r>
    </w:p>
    <w:p w14:paraId="2CB20E99" w14:textId="77777777" w:rsidR="00E64D9F" w:rsidRPr="00A44065" w:rsidRDefault="00E64D9F">
      <w:pPr>
        <w:pStyle w:val="Heading5"/>
        <w:rPr>
          <w:color w:val="auto"/>
          <w:sz w:val="22"/>
        </w:rPr>
      </w:pPr>
      <w:r w:rsidRPr="00A44065">
        <w:rPr>
          <w:color w:val="auto"/>
          <w:sz w:val="22"/>
        </w:rPr>
        <w:t>Renal impairment</w:t>
      </w:r>
    </w:p>
    <w:p w14:paraId="3066D014" w14:textId="611D1E74" w:rsidR="00577BAB" w:rsidRPr="00A44065" w:rsidRDefault="00E64D9F" w:rsidP="00577BAB">
      <w:pPr>
        <w:rPr>
          <w:color w:val="auto"/>
          <w:sz w:val="22"/>
        </w:rPr>
      </w:pPr>
      <w:r w:rsidRPr="00A44065">
        <w:rPr>
          <w:color w:val="auto"/>
          <w:sz w:val="22"/>
        </w:rPr>
        <w:t xml:space="preserve">No dose adjustment of </w:t>
      </w:r>
      <w:proofErr w:type="spellStart"/>
      <w:r w:rsidR="00B719B6" w:rsidRPr="00A44065">
        <w:rPr>
          <w:color w:val="auto"/>
          <w:sz w:val="22"/>
        </w:rPr>
        <w:t>Columvi</w:t>
      </w:r>
      <w:proofErr w:type="spellEnd"/>
      <w:r w:rsidRPr="00A44065">
        <w:rPr>
          <w:color w:val="auto"/>
          <w:sz w:val="22"/>
        </w:rPr>
        <w:t xml:space="preserve"> is required in patients </w:t>
      </w:r>
      <w:r w:rsidRPr="00A44065">
        <w:rPr>
          <w:color w:val="auto"/>
          <w:sz w:val="22"/>
          <w:szCs w:val="22"/>
        </w:rPr>
        <w:t xml:space="preserve">with mild or </w:t>
      </w:r>
      <w:r w:rsidRPr="00A44065">
        <w:rPr>
          <w:color w:val="auto"/>
          <w:sz w:val="22"/>
        </w:rPr>
        <w:t>moderate</w:t>
      </w:r>
      <w:r w:rsidRPr="00A44065">
        <w:rPr>
          <w:color w:val="auto"/>
          <w:sz w:val="22"/>
          <w:szCs w:val="22"/>
        </w:rPr>
        <w:t xml:space="preserve"> renal impairmen</w:t>
      </w:r>
      <w:r w:rsidRPr="00A44065">
        <w:rPr>
          <w:color w:val="auto"/>
          <w:sz w:val="22"/>
        </w:rPr>
        <w:t>t</w:t>
      </w:r>
      <w:r w:rsidR="003D11B7" w:rsidRPr="00A44065">
        <w:rPr>
          <w:color w:val="auto"/>
          <w:sz w:val="22"/>
        </w:rPr>
        <w:t xml:space="preserve"> (</w:t>
      </w:r>
      <w:proofErr w:type="spellStart"/>
      <w:r w:rsidR="003D11B7" w:rsidRPr="00A44065">
        <w:rPr>
          <w:color w:val="auto"/>
          <w:sz w:val="22"/>
        </w:rPr>
        <w:t>CrCL</w:t>
      </w:r>
      <w:proofErr w:type="spellEnd"/>
      <w:r w:rsidR="003D11B7" w:rsidRPr="00A44065">
        <w:rPr>
          <w:color w:val="auto"/>
          <w:sz w:val="22"/>
        </w:rPr>
        <w:t xml:space="preserve"> 30 to &lt; 90 mL/min)</w:t>
      </w:r>
      <w:r w:rsidRPr="00A44065">
        <w:rPr>
          <w:color w:val="auto"/>
          <w:sz w:val="22"/>
        </w:rPr>
        <w:t xml:space="preserve">. </w:t>
      </w:r>
      <w:proofErr w:type="spellStart"/>
      <w:r w:rsidR="00B719B6" w:rsidRPr="00A44065">
        <w:rPr>
          <w:color w:val="auto"/>
          <w:sz w:val="22"/>
        </w:rPr>
        <w:t>Columvi</w:t>
      </w:r>
      <w:proofErr w:type="spellEnd"/>
      <w:r w:rsidRPr="00A44065">
        <w:rPr>
          <w:color w:val="auto"/>
          <w:sz w:val="22"/>
        </w:rPr>
        <w:t xml:space="preserve"> has not been studied in patien</w:t>
      </w:r>
      <w:r w:rsidR="00F13801" w:rsidRPr="00A44065">
        <w:rPr>
          <w:color w:val="auto"/>
          <w:sz w:val="22"/>
        </w:rPr>
        <w:t>ts with severe renal impairment</w:t>
      </w:r>
      <w:r w:rsidRPr="00A44065">
        <w:rPr>
          <w:color w:val="auto"/>
          <w:sz w:val="22"/>
        </w:rPr>
        <w:t xml:space="preserve"> </w:t>
      </w:r>
      <w:r w:rsidR="00577BAB" w:rsidRPr="00A44065">
        <w:rPr>
          <w:color w:val="auto"/>
          <w:sz w:val="22"/>
        </w:rPr>
        <w:t xml:space="preserve">(See Section </w:t>
      </w:r>
      <w:r w:rsidR="00577BAB" w:rsidRPr="00A44065">
        <w:rPr>
          <w:i/>
          <w:color w:val="auto"/>
          <w:sz w:val="22"/>
        </w:rPr>
        <w:t xml:space="preserve">4.4 Special Warnings and Precautions for Use </w:t>
      </w:r>
      <w:r w:rsidR="00577BAB" w:rsidRPr="00A44065">
        <w:rPr>
          <w:color w:val="auto"/>
          <w:sz w:val="22"/>
        </w:rPr>
        <w:t>and Section </w:t>
      </w:r>
      <w:r w:rsidR="00577BAB" w:rsidRPr="00A44065">
        <w:rPr>
          <w:i/>
          <w:color w:val="auto"/>
          <w:sz w:val="22"/>
        </w:rPr>
        <w:t>5.2 Pharmacokinetics in Special Populations</w:t>
      </w:r>
      <w:r w:rsidR="00577BAB" w:rsidRPr="00A44065">
        <w:rPr>
          <w:color w:val="auto"/>
          <w:sz w:val="22"/>
        </w:rPr>
        <w:t>).</w:t>
      </w:r>
    </w:p>
    <w:p w14:paraId="42AFC217" w14:textId="77777777" w:rsidR="00834C48" w:rsidRPr="00A44065" w:rsidRDefault="00615052">
      <w:pPr>
        <w:pStyle w:val="Heading5"/>
        <w:rPr>
          <w:color w:val="auto"/>
          <w:sz w:val="22"/>
        </w:rPr>
      </w:pPr>
      <w:r w:rsidRPr="00A44065">
        <w:rPr>
          <w:color w:val="auto"/>
          <w:sz w:val="22"/>
        </w:rPr>
        <w:t xml:space="preserve">Hepatic </w:t>
      </w:r>
      <w:r w:rsidR="00E64D9F" w:rsidRPr="00A44065">
        <w:rPr>
          <w:color w:val="auto"/>
          <w:sz w:val="22"/>
        </w:rPr>
        <w:t>impairment</w:t>
      </w:r>
    </w:p>
    <w:p w14:paraId="0EF660F1" w14:textId="35263516" w:rsidR="00577BAB" w:rsidRPr="0008620B" w:rsidRDefault="003D11B7" w:rsidP="00577BAB">
      <w:pPr>
        <w:rPr>
          <w:color w:val="auto"/>
          <w:sz w:val="22"/>
        </w:rPr>
      </w:pPr>
      <w:r w:rsidRPr="00A44065">
        <w:rPr>
          <w:sz w:val="22"/>
        </w:rPr>
        <w:t xml:space="preserve">No dose adjustment is required in patients with mild hepatic </w:t>
      </w:r>
      <w:bookmarkStart w:id="5" w:name="_Hlk116386640"/>
      <w:r w:rsidRPr="00A44065">
        <w:rPr>
          <w:sz w:val="22"/>
        </w:rPr>
        <w:t xml:space="preserve">impairment </w:t>
      </w:r>
      <w:bookmarkStart w:id="6" w:name="OLE_LINK1"/>
      <w:r w:rsidRPr="00A44065">
        <w:rPr>
          <w:sz w:val="22"/>
        </w:rPr>
        <w:t>(</w:t>
      </w:r>
      <w:r w:rsidRPr="00A44065">
        <w:rPr>
          <w:rFonts w:cs="Arial"/>
          <w:sz w:val="22"/>
        </w:rPr>
        <w:t xml:space="preserve">total bilirubin &gt; upper limit of normal [ULN] to ≤ 1.5 </w:t>
      </w:r>
      <w:r w:rsidRPr="0008620B">
        <w:rPr>
          <w:rFonts w:ascii="Symbol" w:hAnsi="Symbol"/>
          <w:sz w:val="22"/>
        </w:rPr>
        <w:sym w:font="Symbol" w:char="F0B4"/>
      </w:r>
      <w:r w:rsidRPr="0008620B">
        <w:rPr>
          <w:rFonts w:cs="Arial"/>
          <w:sz w:val="22"/>
        </w:rPr>
        <w:t xml:space="preserve"> ULN or aspartate transaminase [AST] &gt; ULN)</w:t>
      </w:r>
      <w:r w:rsidRPr="0008620B">
        <w:rPr>
          <w:sz w:val="22"/>
        </w:rPr>
        <w:t xml:space="preserve">. </w:t>
      </w:r>
      <w:bookmarkEnd w:id="5"/>
      <w:bookmarkEnd w:id="6"/>
      <w:r w:rsidR="00E64D9F" w:rsidRPr="0008620B">
        <w:rPr>
          <w:color w:val="auto"/>
          <w:sz w:val="22"/>
        </w:rPr>
        <w:t xml:space="preserve">No specific studies in patients with </w:t>
      </w:r>
      <w:r w:rsidRPr="0008620B">
        <w:rPr>
          <w:color w:val="auto"/>
          <w:sz w:val="22"/>
        </w:rPr>
        <w:t xml:space="preserve">moderate or severe </w:t>
      </w:r>
      <w:r w:rsidR="00E64D9F" w:rsidRPr="0008620B">
        <w:rPr>
          <w:color w:val="auto"/>
          <w:sz w:val="22"/>
        </w:rPr>
        <w:t xml:space="preserve">hepatic impairment have </w:t>
      </w:r>
      <w:r w:rsidR="00F13801" w:rsidRPr="0008620B">
        <w:rPr>
          <w:color w:val="auto"/>
          <w:sz w:val="22"/>
        </w:rPr>
        <w:t xml:space="preserve">been conducted with </w:t>
      </w:r>
      <w:proofErr w:type="spellStart"/>
      <w:r w:rsidR="00B719B6" w:rsidRPr="00A44065">
        <w:rPr>
          <w:color w:val="auto"/>
          <w:sz w:val="22"/>
        </w:rPr>
        <w:t>Columvi</w:t>
      </w:r>
      <w:proofErr w:type="spellEnd"/>
      <w:r w:rsidR="00577BAB" w:rsidRPr="00A44065">
        <w:rPr>
          <w:color w:val="auto"/>
          <w:sz w:val="22"/>
        </w:rPr>
        <w:t xml:space="preserve"> (See Section </w:t>
      </w:r>
      <w:r w:rsidR="00577BAB" w:rsidRPr="00A44065">
        <w:rPr>
          <w:i/>
          <w:color w:val="auto"/>
          <w:sz w:val="22"/>
        </w:rPr>
        <w:t xml:space="preserve">4.4 Special Warnings and Precautions for Use </w:t>
      </w:r>
      <w:r w:rsidR="00577BAB" w:rsidRPr="00A44065">
        <w:rPr>
          <w:color w:val="auto"/>
          <w:sz w:val="22"/>
        </w:rPr>
        <w:t>and Section </w:t>
      </w:r>
      <w:r w:rsidR="00577BAB" w:rsidRPr="00A44065">
        <w:rPr>
          <w:i/>
          <w:color w:val="auto"/>
          <w:sz w:val="22"/>
        </w:rPr>
        <w:t>5.2 Pharmacokinetics in Special Populations</w:t>
      </w:r>
      <w:r w:rsidR="00577BAB" w:rsidRPr="00A44065">
        <w:rPr>
          <w:color w:val="auto"/>
          <w:sz w:val="22"/>
        </w:rPr>
        <w:t>).</w:t>
      </w:r>
    </w:p>
    <w:p w14:paraId="6BB5C91D" w14:textId="7D610B2B" w:rsidR="00E64D9F" w:rsidRPr="0008620B" w:rsidRDefault="00E64D9F" w:rsidP="00E64D9F">
      <w:pPr>
        <w:rPr>
          <w:color w:val="auto"/>
          <w:sz w:val="22"/>
        </w:rPr>
      </w:pPr>
    </w:p>
    <w:p w14:paraId="37F158CB" w14:textId="77777777" w:rsidR="00D52399" w:rsidRPr="0008620B" w:rsidRDefault="00615052">
      <w:pPr>
        <w:pStyle w:val="Heading5"/>
        <w:rPr>
          <w:color w:val="auto"/>
          <w:sz w:val="22"/>
        </w:rPr>
      </w:pPr>
      <w:r w:rsidRPr="0008620B">
        <w:rPr>
          <w:color w:val="auto"/>
          <w:sz w:val="22"/>
        </w:rPr>
        <w:t>Paediatric Populations</w:t>
      </w:r>
    </w:p>
    <w:p w14:paraId="276A425B" w14:textId="15CF6AE1" w:rsidR="00D52399" w:rsidRPr="00A44065" w:rsidRDefault="00247CCB">
      <w:pPr>
        <w:rPr>
          <w:color w:val="auto"/>
          <w:sz w:val="22"/>
        </w:rPr>
      </w:pPr>
      <w:r w:rsidRPr="00A44065">
        <w:rPr>
          <w:color w:val="auto"/>
          <w:sz w:val="22"/>
        </w:rPr>
        <w:t xml:space="preserve">The safety and efficacy of </w:t>
      </w:r>
      <w:proofErr w:type="spellStart"/>
      <w:r w:rsidR="00B719B6" w:rsidRPr="00A44065">
        <w:rPr>
          <w:color w:val="auto"/>
          <w:sz w:val="22"/>
        </w:rPr>
        <w:t>Columvi</w:t>
      </w:r>
      <w:proofErr w:type="spellEnd"/>
      <w:r w:rsidRPr="00A44065">
        <w:rPr>
          <w:color w:val="auto"/>
          <w:sz w:val="22"/>
        </w:rPr>
        <w:t xml:space="preserve"> in p</w:t>
      </w:r>
      <w:r w:rsidR="00FC73E0" w:rsidRPr="00A44065">
        <w:rPr>
          <w:color w:val="auto"/>
          <w:sz w:val="22"/>
        </w:rPr>
        <w:t>a</w:t>
      </w:r>
      <w:r w:rsidRPr="00A44065">
        <w:rPr>
          <w:color w:val="auto"/>
          <w:sz w:val="22"/>
        </w:rPr>
        <w:t>ediatric patients have not been established.</w:t>
      </w:r>
    </w:p>
    <w:p w14:paraId="328074CD" w14:textId="77777777" w:rsidR="00D52399" w:rsidRPr="00A44065" w:rsidRDefault="00615052">
      <w:pPr>
        <w:pStyle w:val="Heading3"/>
        <w:rPr>
          <w:color w:val="auto"/>
          <w:sz w:val="22"/>
        </w:rPr>
      </w:pPr>
      <w:r w:rsidRPr="00A44065">
        <w:rPr>
          <w:color w:val="auto"/>
          <w:sz w:val="22"/>
        </w:rPr>
        <w:t>Method of Administration</w:t>
      </w:r>
    </w:p>
    <w:p w14:paraId="4D5969B7" w14:textId="51440411" w:rsidR="001678B4" w:rsidRPr="00A44065" w:rsidRDefault="00B719B6" w:rsidP="00F13801">
      <w:pPr>
        <w:pStyle w:val="NoSpacing"/>
        <w:rPr>
          <w:sz w:val="22"/>
        </w:rPr>
      </w:pPr>
      <w:proofErr w:type="spellStart"/>
      <w:r w:rsidRPr="00A44065">
        <w:rPr>
          <w:sz w:val="22"/>
        </w:rPr>
        <w:t>Columvi</w:t>
      </w:r>
      <w:proofErr w:type="spellEnd"/>
      <w:r w:rsidR="001678B4" w:rsidRPr="00A44065">
        <w:rPr>
          <w:sz w:val="22"/>
        </w:rPr>
        <w:t xml:space="preserve"> must be diluted by a healthcare professional using aseptic technique, prior to intravenous administration. It must be administered as an intravenous infusion through a dedicated infusion line.</w:t>
      </w:r>
    </w:p>
    <w:p w14:paraId="050DAADA" w14:textId="395CE135" w:rsidR="00D52399" w:rsidRPr="00A44065" w:rsidRDefault="00B719B6" w:rsidP="00F13801">
      <w:pPr>
        <w:pStyle w:val="NoSpacing"/>
        <w:rPr>
          <w:sz w:val="22"/>
        </w:rPr>
      </w:pPr>
      <w:proofErr w:type="spellStart"/>
      <w:r w:rsidRPr="00A44065">
        <w:rPr>
          <w:sz w:val="22"/>
        </w:rPr>
        <w:t>Columvi</w:t>
      </w:r>
      <w:proofErr w:type="spellEnd"/>
      <w:r w:rsidR="001678B4" w:rsidRPr="00A44065">
        <w:rPr>
          <w:sz w:val="22"/>
        </w:rPr>
        <w:t xml:space="preserve"> must not be administered as an intravenous push or bolus.</w:t>
      </w:r>
    </w:p>
    <w:p w14:paraId="78602085" w14:textId="77777777" w:rsidR="00D52399" w:rsidRPr="00A44065" w:rsidRDefault="00D52399" w:rsidP="00F13801">
      <w:pPr>
        <w:pStyle w:val="NoSpacing"/>
        <w:rPr>
          <w:sz w:val="22"/>
        </w:rPr>
      </w:pPr>
    </w:p>
    <w:p w14:paraId="1ACC786B" w14:textId="77777777" w:rsidR="00D52399" w:rsidRPr="00A44065" w:rsidRDefault="00615052" w:rsidP="00F13801">
      <w:pPr>
        <w:pStyle w:val="NoSpacing"/>
        <w:rPr>
          <w:sz w:val="22"/>
        </w:rPr>
      </w:pPr>
      <w:r w:rsidRPr="00A44065">
        <w:rPr>
          <w:sz w:val="22"/>
        </w:rPr>
        <w:t xml:space="preserve">For instructions </w:t>
      </w:r>
      <w:r w:rsidR="002522CB" w:rsidRPr="00A44065">
        <w:rPr>
          <w:sz w:val="22"/>
        </w:rPr>
        <w:t>on dilution</w:t>
      </w:r>
      <w:r w:rsidRPr="00A44065">
        <w:rPr>
          <w:sz w:val="22"/>
        </w:rPr>
        <w:t xml:space="preserve"> of the medicine before adm</w:t>
      </w:r>
      <w:r w:rsidR="002522CB" w:rsidRPr="00A44065">
        <w:rPr>
          <w:sz w:val="22"/>
        </w:rPr>
        <w:t>inistration, see section 6.6</w:t>
      </w:r>
    </w:p>
    <w:p w14:paraId="31345C24" w14:textId="77777777" w:rsidR="00D52399" w:rsidRPr="00A44065" w:rsidRDefault="00D52399">
      <w:pPr>
        <w:rPr>
          <w:i/>
          <w:color w:val="auto"/>
          <w:sz w:val="22"/>
        </w:rPr>
      </w:pPr>
    </w:p>
    <w:p w14:paraId="40BF9E8E" w14:textId="77777777" w:rsidR="00D52399" w:rsidRPr="00A44065" w:rsidRDefault="00902EBE" w:rsidP="009F4C5B">
      <w:pPr>
        <w:pStyle w:val="Heading2"/>
        <w:numPr>
          <w:ilvl w:val="1"/>
          <w:numId w:val="2"/>
        </w:numPr>
        <w:spacing w:before="0"/>
        <w:ind w:left="0" w:firstLine="0"/>
        <w:rPr>
          <w:color w:val="auto"/>
        </w:rPr>
      </w:pPr>
      <w:r w:rsidRPr="00A44065">
        <w:rPr>
          <w:color w:val="auto"/>
        </w:rPr>
        <w:t>CONTRAINDICATIONS</w:t>
      </w:r>
    </w:p>
    <w:p w14:paraId="12328063" w14:textId="3B3890B6" w:rsidR="00E64D9F" w:rsidRPr="00A44065" w:rsidRDefault="00B719B6" w:rsidP="00E64D9F">
      <w:pPr>
        <w:pStyle w:val="Paragraph"/>
        <w:rPr>
          <w:rFonts w:ascii="Times New Roman" w:hAnsi="Times New Roman"/>
        </w:rPr>
      </w:pPr>
      <w:proofErr w:type="spellStart"/>
      <w:r w:rsidRPr="00A44065">
        <w:rPr>
          <w:rFonts w:ascii="Times New Roman" w:hAnsi="Times New Roman"/>
        </w:rPr>
        <w:t>Columvi</w:t>
      </w:r>
      <w:proofErr w:type="spellEnd"/>
      <w:r w:rsidR="00E64D9F" w:rsidRPr="00A44065">
        <w:rPr>
          <w:rFonts w:ascii="Times New Roman" w:hAnsi="Times New Roman"/>
        </w:rPr>
        <w:t xml:space="preserve"> is contraindicated in patients with a known hypersensitivity to </w:t>
      </w:r>
      <w:proofErr w:type="spellStart"/>
      <w:r w:rsidR="00E64D9F" w:rsidRPr="00A44065">
        <w:rPr>
          <w:rFonts w:ascii="Times New Roman" w:hAnsi="Times New Roman"/>
        </w:rPr>
        <w:t>glofitamab</w:t>
      </w:r>
      <w:proofErr w:type="spellEnd"/>
      <w:r w:rsidR="00E64D9F" w:rsidRPr="00A44065">
        <w:rPr>
          <w:rFonts w:ascii="Times New Roman" w:hAnsi="Times New Roman"/>
        </w:rPr>
        <w:t xml:space="preserve"> or any of the excipients.</w:t>
      </w:r>
    </w:p>
    <w:p w14:paraId="3673FE6D" w14:textId="77777777" w:rsidR="00D52399" w:rsidRPr="00A44065" w:rsidRDefault="00E64D9F" w:rsidP="00E64D9F">
      <w:pPr>
        <w:pStyle w:val="Paragraph"/>
        <w:rPr>
          <w:rFonts w:ascii="Times New Roman" w:hAnsi="Times New Roman"/>
        </w:rPr>
      </w:pPr>
      <w:r w:rsidRPr="00A44065">
        <w:rPr>
          <w:rFonts w:ascii="Times New Roman" w:hAnsi="Times New Roman"/>
        </w:rPr>
        <w:t xml:space="preserve">Refer to </w:t>
      </w:r>
      <w:proofErr w:type="spellStart"/>
      <w:r w:rsidRPr="00A44065">
        <w:rPr>
          <w:rFonts w:ascii="Times New Roman" w:hAnsi="Times New Roman"/>
        </w:rPr>
        <w:t>obinutuzumab</w:t>
      </w:r>
      <w:proofErr w:type="spellEnd"/>
      <w:r w:rsidRPr="00A44065">
        <w:rPr>
          <w:rFonts w:ascii="Times New Roman" w:hAnsi="Times New Roman"/>
        </w:rPr>
        <w:t xml:space="preserve">-specific contraindications in the </w:t>
      </w:r>
      <w:proofErr w:type="spellStart"/>
      <w:r w:rsidRPr="00A44065">
        <w:rPr>
          <w:rFonts w:ascii="Times New Roman" w:hAnsi="Times New Roman"/>
        </w:rPr>
        <w:t>obinutuzumab</w:t>
      </w:r>
      <w:proofErr w:type="spellEnd"/>
      <w:r w:rsidRPr="00A44065">
        <w:rPr>
          <w:rFonts w:ascii="Times New Roman" w:hAnsi="Times New Roman"/>
        </w:rPr>
        <w:t xml:space="preserve"> product information.</w:t>
      </w:r>
    </w:p>
    <w:p w14:paraId="1AF478BC" w14:textId="77777777" w:rsidR="00D52399" w:rsidRPr="00A44065" w:rsidRDefault="00D52399">
      <w:pPr>
        <w:rPr>
          <w:color w:val="auto"/>
        </w:rPr>
      </w:pPr>
    </w:p>
    <w:p w14:paraId="2FC895AC" w14:textId="77777777" w:rsidR="00D52399" w:rsidRPr="00A44065" w:rsidRDefault="00902EBE" w:rsidP="00597A0D">
      <w:pPr>
        <w:pStyle w:val="Heading2"/>
        <w:spacing w:before="0" w:after="240"/>
        <w:rPr>
          <w:color w:val="auto"/>
        </w:rPr>
      </w:pPr>
      <w:r w:rsidRPr="00A44065">
        <w:rPr>
          <w:color w:val="auto"/>
        </w:rPr>
        <w:t>4.4</w:t>
      </w:r>
      <w:r w:rsidRPr="00A44065">
        <w:rPr>
          <w:color w:val="auto"/>
        </w:rPr>
        <w:tab/>
        <w:t>SPECIAL WARNINGS AND PRECAUTIONS FOR USE</w:t>
      </w:r>
    </w:p>
    <w:p w14:paraId="3D22A500" w14:textId="77777777" w:rsidR="00E64D9F" w:rsidRPr="00A44065" w:rsidRDefault="00E64D9F" w:rsidP="00E64D9F">
      <w:pPr>
        <w:pStyle w:val="Paragraph"/>
        <w:rPr>
          <w:rFonts w:ascii="Times New Roman" w:hAnsi="Times New Roman"/>
        </w:rPr>
      </w:pPr>
      <w:r w:rsidRPr="00A44065">
        <w:rPr>
          <w:rFonts w:ascii="Times New Roman" w:hAnsi="Times New Roman"/>
        </w:rPr>
        <w:t xml:space="preserve">Refer to </w:t>
      </w:r>
      <w:proofErr w:type="spellStart"/>
      <w:r w:rsidRPr="00A44065">
        <w:rPr>
          <w:rFonts w:ascii="Times New Roman" w:hAnsi="Times New Roman"/>
        </w:rPr>
        <w:t>obinutuzumab</w:t>
      </w:r>
      <w:proofErr w:type="spellEnd"/>
      <w:r w:rsidRPr="00A44065">
        <w:rPr>
          <w:rFonts w:ascii="Times New Roman" w:hAnsi="Times New Roman"/>
        </w:rPr>
        <w:t xml:space="preserve">-specific warnings and precautions in the </w:t>
      </w:r>
      <w:proofErr w:type="spellStart"/>
      <w:r w:rsidRPr="00A44065">
        <w:rPr>
          <w:rFonts w:ascii="Times New Roman" w:hAnsi="Times New Roman"/>
        </w:rPr>
        <w:t>obinutuzumab</w:t>
      </w:r>
      <w:proofErr w:type="spellEnd"/>
      <w:r w:rsidRPr="00A44065">
        <w:rPr>
          <w:rFonts w:ascii="Times New Roman" w:hAnsi="Times New Roman"/>
        </w:rPr>
        <w:t xml:space="preserve"> product information. </w:t>
      </w:r>
    </w:p>
    <w:p w14:paraId="7520CFB5" w14:textId="77777777" w:rsidR="00E64D9F" w:rsidRPr="00A44065" w:rsidRDefault="00E64D9F" w:rsidP="00E64D9F">
      <w:pPr>
        <w:pStyle w:val="Paragraph"/>
        <w:rPr>
          <w:rFonts w:ascii="Times New Roman" w:hAnsi="Times New Roman"/>
        </w:rPr>
      </w:pPr>
      <w:proofErr w:type="gramStart"/>
      <w:r w:rsidRPr="00A44065">
        <w:rPr>
          <w:rFonts w:ascii="Times New Roman" w:hAnsi="Times New Roman"/>
        </w:rPr>
        <w:t>In order to</w:t>
      </w:r>
      <w:proofErr w:type="gramEnd"/>
      <w:r w:rsidRPr="00A44065">
        <w:rPr>
          <w:rFonts w:ascii="Times New Roman" w:hAnsi="Times New Roman"/>
        </w:rPr>
        <w:t xml:space="preserve"> improve traceability of biological medicinal products, the trade name and the batch number of the administered product should be clearly recorded (or stated) in the patient file.</w:t>
      </w:r>
    </w:p>
    <w:p w14:paraId="06CD4360" w14:textId="77777777" w:rsidR="00E64D9F" w:rsidRPr="00A44065" w:rsidRDefault="00E64D9F" w:rsidP="00E64D9F">
      <w:pPr>
        <w:pStyle w:val="ParagraphList"/>
        <w:rPr>
          <w:rFonts w:ascii="Times New Roman" w:hAnsi="Times New Roman"/>
          <w:b/>
        </w:rPr>
      </w:pPr>
      <w:r w:rsidRPr="00A44065">
        <w:rPr>
          <w:rFonts w:ascii="Times New Roman" w:hAnsi="Times New Roman"/>
          <w:b/>
        </w:rPr>
        <w:t xml:space="preserve">Cytokine Release Syndrome </w:t>
      </w:r>
    </w:p>
    <w:p w14:paraId="0B9E6DA7" w14:textId="04146386" w:rsidR="00E64D9F" w:rsidRPr="00A44065" w:rsidRDefault="00E64D9F" w:rsidP="00E64D9F">
      <w:pPr>
        <w:pStyle w:val="Paragraph"/>
        <w:rPr>
          <w:rFonts w:ascii="Times New Roman" w:hAnsi="Times New Roman"/>
        </w:rPr>
      </w:pPr>
      <w:r w:rsidRPr="00A44065">
        <w:rPr>
          <w:rFonts w:ascii="Times New Roman" w:hAnsi="Times New Roman"/>
        </w:rPr>
        <w:t xml:space="preserve">CRS, including life-threatening reactions, has been reported in patients receiving </w:t>
      </w:r>
      <w:proofErr w:type="spellStart"/>
      <w:r w:rsidR="00B719B6" w:rsidRPr="00A44065">
        <w:rPr>
          <w:rFonts w:ascii="Times New Roman" w:hAnsi="Times New Roman"/>
        </w:rPr>
        <w:t>Columvi</w:t>
      </w:r>
      <w:proofErr w:type="spellEnd"/>
      <w:r w:rsidRPr="00A44065">
        <w:rPr>
          <w:rFonts w:ascii="Times New Roman" w:hAnsi="Times New Roman"/>
        </w:rPr>
        <w:t>.</w:t>
      </w:r>
    </w:p>
    <w:p w14:paraId="57E166D9" w14:textId="77777777" w:rsidR="00E64D9F" w:rsidRPr="00A44065" w:rsidRDefault="00E64D9F" w:rsidP="00E64D9F">
      <w:pPr>
        <w:pStyle w:val="Paragraph"/>
        <w:rPr>
          <w:rFonts w:ascii="Times New Roman" w:hAnsi="Times New Roman"/>
        </w:rPr>
      </w:pPr>
      <w:r w:rsidRPr="00A44065">
        <w:rPr>
          <w:rFonts w:ascii="Times New Roman" w:hAnsi="Times New Roman"/>
        </w:rPr>
        <w:t>The most common manifestations of CRS were pyrexia, tachycardia, hypotension, chills, and hypoxia.  Infusion-related reactions may be clinically indistinguishable from manifestations of CRS.</w:t>
      </w:r>
    </w:p>
    <w:p w14:paraId="7D338219" w14:textId="6FAAAB62" w:rsidR="00E64D9F" w:rsidRPr="00A44065" w:rsidRDefault="00E64D9F" w:rsidP="00E64D9F">
      <w:pPr>
        <w:pStyle w:val="Paragraph"/>
        <w:rPr>
          <w:rFonts w:ascii="Times New Roman" w:hAnsi="Times New Roman"/>
        </w:rPr>
      </w:pPr>
      <w:r w:rsidRPr="00A44065">
        <w:rPr>
          <w:rFonts w:ascii="Times New Roman" w:hAnsi="Times New Roman"/>
        </w:rPr>
        <w:t xml:space="preserve">CRS of any grade (ASTCT criteria) occurred in </w:t>
      </w:r>
      <w:r w:rsidR="00F46469" w:rsidRPr="00A44065">
        <w:rPr>
          <w:rFonts w:ascii="Times New Roman" w:hAnsi="Times New Roman"/>
        </w:rPr>
        <w:t>64.3</w:t>
      </w:r>
      <w:r w:rsidRPr="0008620B">
        <w:rPr>
          <w:rFonts w:ascii="Times New Roman" w:hAnsi="Times New Roman"/>
        </w:rPr>
        <w:t xml:space="preserve">% of patients in study NP30179. Grade 3 or 4 CRS occurred in 3.9% of patients. There were no fatal cases of CRS.  Most CRS events occurred following the </w:t>
      </w:r>
      <w:r w:rsidR="00577BAB" w:rsidRPr="0008620B">
        <w:rPr>
          <w:rFonts w:ascii="Times New Roman" w:hAnsi="Times New Roman"/>
        </w:rPr>
        <w:t xml:space="preserve">first dose of </w:t>
      </w:r>
      <w:proofErr w:type="spellStart"/>
      <w:r w:rsidR="00B719B6" w:rsidRPr="0008620B">
        <w:rPr>
          <w:rFonts w:ascii="Times New Roman" w:hAnsi="Times New Roman"/>
        </w:rPr>
        <w:t>Columvi</w:t>
      </w:r>
      <w:proofErr w:type="spellEnd"/>
      <w:r w:rsidR="00577BAB" w:rsidRPr="0008620B">
        <w:rPr>
          <w:rFonts w:ascii="Times New Roman" w:hAnsi="Times New Roman"/>
        </w:rPr>
        <w:t xml:space="preserve"> (see Section</w:t>
      </w:r>
      <w:r w:rsidR="00577BAB" w:rsidRPr="00A44065">
        <w:rPr>
          <w:rFonts w:ascii="Times New Roman" w:hAnsi="Times New Roman"/>
          <w:i/>
        </w:rPr>
        <w:t> 4.8 Adverse Effects (</w:t>
      </w:r>
      <w:r w:rsidR="00BF3458" w:rsidRPr="00A44065">
        <w:rPr>
          <w:rFonts w:ascii="Times New Roman" w:hAnsi="Times New Roman"/>
          <w:i/>
        </w:rPr>
        <w:t xml:space="preserve">Undesirable </w:t>
      </w:r>
      <w:r w:rsidR="00577BAB" w:rsidRPr="00A44065">
        <w:rPr>
          <w:rFonts w:ascii="Times New Roman" w:hAnsi="Times New Roman"/>
          <w:i/>
        </w:rPr>
        <w:t>Effects)</w:t>
      </w:r>
      <w:r w:rsidR="00577BAB" w:rsidRPr="00A44065">
        <w:rPr>
          <w:rFonts w:ascii="Times New Roman" w:hAnsi="Times New Roman"/>
        </w:rPr>
        <w:t>)</w:t>
      </w:r>
      <w:r w:rsidRPr="00A44065">
        <w:rPr>
          <w:rFonts w:ascii="Times New Roman" w:hAnsi="Times New Roman"/>
        </w:rPr>
        <w:t>.</w:t>
      </w:r>
    </w:p>
    <w:p w14:paraId="3C12EF2B" w14:textId="017DD1BB" w:rsidR="00E64D9F" w:rsidRPr="00A44065" w:rsidRDefault="00E64D9F" w:rsidP="00E64D9F">
      <w:pPr>
        <w:pStyle w:val="Paragraph"/>
        <w:rPr>
          <w:rFonts w:ascii="Times New Roman" w:hAnsi="Times New Roman"/>
        </w:rPr>
      </w:pPr>
      <w:r w:rsidRPr="00A44065">
        <w:rPr>
          <w:rFonts w:ascii="Times New Roman" w:hAnsi="Times New Roman"/>
        </w:rPr>
        <w:t xml:space="preserve">To reduce the occurrence of CRS, patients must be pre-treated with </w:t>
      </w:r>
      <w:proofErr w:type="spellStart"/>
      <w:r w:rsidRPr="00A44065">
        <w:rPr>
          <w:rFonts w:ascii="Times New Roman" w:hAnsi="Times New Roman"/>
        </w:rPr>
        <w:t>obinutuzumab</w:t>
      </w:r>
      <w:proofErr w:type="spellEnd"/>
      <w:r w:rsidRPr="00A44065">
        <w:rPr>
          <w:rFonts w:ascii="Times New Roman" w:hAnsi="Times New Roman"/>
        </w:rPr>
        <w:t xml:space="preserve">, 7 days prior to initiation of </w:t>
      </w:r>
      <w:proofErr w:type="spellStart"/>
      <w:r w:rsidR="00B719B6" w:rsidRPr="00A44065">
        <w:rPr>
          <w:rFonts w:ascii="Times New Roman" w:hAnsi="Times New Roman"/>
        </w:rPr>
        <w:t>Columvi</w:t>
      </w:r>
      <w:proofErr w:type="spellEnd"/>
      <w:r w:rsidRPr="00A44065">
        <w:rPr>
          <w:rFonts w:ascii="Times New Roman" w:hAnsi="Times New Roman"/>
        </w:rPr>
        <w:t xml:space="preserve">, and should be premedicated with an anti-pyretic, </w:t>
      </w:r>
      <w:proofErr w:type="gramStart"/>
      <w:r w:rsidRPr="00A44065">
        <w:rPr>
          <w:rFonts w:ascii="Times New Roman" w:hAnsi="Times New Roman"/>
        </w:rPr>
        <w:t>anti-histamine</w:t>
      </w:r>
      <w:proofErr w:type="gramEnd"/>
      <w:r w:rsidRPr="00A44065">
        <w:rPr>
          <w:rFonts w:ascii="Times New Roman" w:hAnsi="Times New Roman"/>
        </w:rPr>
        <w:t xml:space="preserve">, and </w:t>
      </w:r>
      <w:r w:rsidR="001678B4" w:rsidRPr="00A44065">
        <w:rPr>
          <w:rFonts w:ascii="Times New Roman" w:hAnsi="Times New Roman"/>
        </w:rPr>
        <w:t xml:space="preserve">a glucocorticoid </w:t>
      </w:r>
      <w:r w:rsidR="00577BAB" w:rsidRPr="00A44065">
        <w:rPr>
          <w:rFonts w:ascii="Times New Roman" w:hAnsi="Times New Roman"/>
        </w:rPr>
        <w:t>(</w:t>
      </w:r>
      <w:r w:rsidR="001678B4" w:rsidRPr="00A44065">
        <w:rPr>
          <w:rFonts w:ascii="Times New Roman" w:hAnsi="Times New Roman"/>
        </w:rPr>
        <w:t>See Section </w:t>
      </w:r>
      <w:r w:rsidR="001678B4" w:rsidRPr="00A44065">
        <w:rPr>
          <w:rFonts w:ascii="Times New Roman" w:hAnsi="Times New Roman"/>
          <w:i/>
        </w:rPr>
        <w:t>4</w:t>
      </w:r>
      <w:r w:rsidRPr="00A44065">
        <w:rPr>
          <w:rFonts w:ascii="Times New Roman" w:hAnsi="Times New Roman"/>
          <w:i/>
        </w:rPr>
        <w:t xml:space="preserve">.2 </w:t>
      </w:r>
      <w:r w:rsidR="001678B4" w:rsidRPr="00A44065">
        <w:rPr>
          <w:rFonts w:ascii="Times New Roman" w:hAnsi="Times New Roman"/>
          <w:i/>
        </w:rPr>
        <w:t>Dos</w:t>
      </w:r>
      <w:r w:rsidRPr="00A44065">
        <w:rPr>
          <w:rFonts w:ascii="Times New Roman" w:hAnsi="Times New Roman"/>
          <w:i/>
        </w:rPr>
        <w:t xml:space="preserve">e and </w:t>
      </w:r>
      <w:r w:rsidR="001678B4" w:rsidRPr="00A44065">
        <w:rPr>
          <w:rFonts w:ascii="Times New Roman" w:hAnsi="Times New Roman"/>
          <w:i/>
        </w:rPr>
        <w:t xml:space="preserve">Method of </w:t>
      </w:r>
      <w:r w:rsidRPr="00A44065">
        <w:rPr>
          <w:rFonts w:ascii="Times New Roman" w:hAnsi="Times New Roman"/>
          <w:i/>
        </w:rPr>
        <w:t>Administration</w:t>
      </w:r>
      <w:r w:rsidR="00577BAB" w:rsidRPr="00A44065">
        <w:rPr>
          <w:rFonts w:ascii="Times New Roman" w:hAnsi="Times New Roman"/>
          <w:i/>
        </w:rPr>
        <w:t>)</w:t>
      </w:r>
      <w:r w:rsidRPr="00A44065">
        <w:rPr>
          <w:rFonts w:ascii="Times New Roman" w:hAnsi="Times New Roman"/>
        </w:rPr>
        <w:t>.</w:t>
      </w:r>
    </w:p>
    <w:p w14:paraId="3D6E28A7" w14:textId="01BBE419" w:rsidR="00E64D9F" w:rsidRPr="00A44065" w:rsidRDefault="00E64D9F" w:rsidP="00E64D9F">
      <w:pPr>
        <w:pStyle w:val="Paragraph"/>
        <w:rPr>
          <w:rFonts w:ascii="Times New Roman" w:hAnsi="Times New Roman"/>
        </w:rPr>
      </w:pPr>
      <w:r w:rsidRPr="00A44065">
        <w:rPr>
          <w:rFonts w:ascii="Times New Roman" w:hAnsi="Times New Roman"/>
        </w:rPr>
        <w:t xml:space="preserve">At least 1 dose of tocilizumab for use in the event of CRS must be available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 at Cycles 1 and 2. Access to an additional dose of tocilizumab within 8 hours of use of the previous tocilizumab dose must be ensured.</w:t>
      </w:r>
    </w:p>
    <w:p w14:paraId="461A54F3" w14:textId="202A4CC7" w:rsidR="00E64D9F" w:rsidRPr="00A44065" w:rsidRDefault="00E64D9F" w:rsidP="00E64D9F">
      <w:pPr>
        <w:pStyle w:val="Paragraph"/>
        <w:rPr>
          <w:rFonts w:ascii="Times New Roman" w:hAnsi="Times New Roman"/>
        </w:rPr>
      </w:pPr>
      <w:r w:rsidRPr="00A44065">
        <w:rPr>
          <w:rFonts w:ascii="Times New Roman" w:hAnsi="Times New Roman"/>
        </w:rPr>
        <w:t xml:space="preserve">Patients must be monitored during all </w:t>
      </w:r>
      <w:proofErr w:type="spellStart"/>
      <w:r w:rsidR="00B719B6" w:rsidRPr="00A44065">
        <w:rPr>
          <w:rFonts w:ascii="Times New Roman" w:hAnsi="Times New Roman"/>
        </w:rPr>
        <w:t>Columvi</w:t>
      </w:r>
      <w:proofErr w:type="spellEnd"/>
      <w:r w:rsidRPr="00A44065">
        <w:rPr>
          <w:rFonts w:ascii="Times New Roman" w:hAnsi="Times New Roman"/>
        </w:rPr>
        <w:t xml:space="preserve"> infusions and for at least 10 hours after completion of the first infusion.  For complete information on monitoring, </w:t>
      </w:r>
      <w:r w:rsidR="00577BAB" w:rsidRPr="00A44065">
        <w:rPr>
          <w:rFonts w:ascii="Times New Roman" w:hAnsi="Times New Roman"/>
        </w:rPr>
        <w:t>see Section 4</w:t>
      </w:r>
      <w:r w:rsidRPr="00A44065">
        <w:rPr>
          <w:rFonts w:ascii="Times New Roman" w:hAnsi="Times New Roman"/>
        </w:rPr>
        <w:t xml:space="preserve">.2 </w:t>
      </w:r>
      <w:r w:rsidR="00577BAB" w:rsidRPr="00A44065">
        <w:rPr>
          <w:rFonts w:ascii="Times New Roman" w:hAnsi="Times New Roman"/>
          <w:i/>
        </w:rPr>
        <w:t>Dos</w:t>
      </w:r>
      <w:r w:rsidRPr="00A44065">
        <w:rPr>
          <w:rFonts w:ascii="Times New Roman" w:hAnsi="Times New Roman"/>
          <w:i/>
        </w:rPr>
        <w:t xml:space="preserve">e and </w:t>
      </w:r>
      <w:r w:rsidR="00577BAB" w:rsidRPr="00A44065">
        <w:rPr>
          <w:rFonts w:ascii="Times New Roman" w:hAnsi="Times New Roman"/>
          <w:i/>
        </w:rPr>
        <w:t xml:space="preserve">Method of </w:t>
      </w:r>
      <w:r w:rsidRPr="00A44065">
        <w:rPr>
          <w:rFonts w:ascii="Times New Roman" w:hAnsi="Times New Roman"/>
          <w:i/>
        </w:rPr>
        <w:t>Administration</w:t>
      </w:r>
      <w:r w:rsidRPr="00A44065">
        <w:rPr>
          <w:rFonts w:ascii="Times New Roman" w:hAnsi="Times New Roman"/>
        </w:rPr>
        <w:t>.  The prescriber must counsel patients to seek immediate medical attention should signs or symptoms of CRS occur at any time.</w:t>
      </w:r>
    </w:p>
    <w:p w14:paraId="7B39D6A6" w14:textId="4919BEC6" w:rsidR="00E64D9F" w:rsidRPr="00A44065" w:rsidRDefault="00E64D9F" w:rsidP="00E64D9F">
      <w:pPr>
        <w:pStyle w:val="Paragraph"/>
        <w:rPr>
          <w:rFonts w:ascii="Times New Roman" w:hAnsi="Times New Roman"/>
        </w:rPr>
      </w:pPr>
      <w:r w:rsidRPr="00A44065">
        <w:rPr>
          <w:rFonts w:ascii="Times New Roman" w:hAnsi="Times New Roman"/>
        </w:rPr>
        <w:lastRenderedPageBreak/>
        <w:t xml:space="preserve">Patients should be evaluated for other causes of fever, hypoxia, and hypotension, such as infections or sepsis.  CRS should be managed based on the patient’s clinical presentation and according to the CRS management guidance provided in </w:t>
      </w:r>
      <w:r w:rsidRPr="0008620B">
        <w:rPr>
          <w:rFonts w:ascii="Times New Roman" w:hAnsi="Times New Roman"/>
        </w:rPr>
        <w:fldChar w:fldCharType="begin"/>
      </w:r>
      <w:r w:rsidRPr="00A44065">
        <w:rPr>
          <w:rFonts w:ascii="Times New Roman" w:hAnsi="Times New Roman"/>
        </w:rPr>
        <w:instrText xml:space="preserve"> REF _Ref89256771 \h \* CHARFORMAT  \* MERGEFORMAT </w:instrText>
      </w:r>
      <w:r w:rsidRPr="0008620B">
        <w:rPr>
          <w:rFonts w:ascii="Times New Roman" w:hAnsi="Times New Roman"/>
        </w:rPr>
      </w:r>
      <w:r w:rsidRPr="0008620B">
        <w:rPr>
          <w:rFonts w:ascii="Times New Roman" w:hAnsi="Times New Roman"/>
        </w:rPr>
        <w:fldChar w:fldCharType="separate"/>
      </w:r>
      <w:r w:rsidRPr="0008620B">
        <w:rPr>
          <w:rFonts w:ascii="Times New Roman" w:hAnsi="Times New Roman"/>
        </w:rPr>
        <w:t>Table 3</w:t>
      </w:r>
      <w:r w:rsidRPr="0008620B">
        <w:rPr>
          <w:rFonts w:ascii="Times New Roman" w:hAnsi="Times New Roman"/>
        </w:rPr>
        <w:fldChar w:fldCharType="end"/>
      </w:r>
      <w:r w:rsidRPr="0008620B">
        <w:rPr>
          <w:rFonts w:ascii="Times New Roman" w:hAnsi="Times New Roman"/>
        </w:rPr>
        <w:t xml:space="preserve"> (see Section </w:t>
      </w:r>
      <w:r w:rsidR="00FC73E0" w:rsidRPr="0008620B">
        <w:rPr>
          <w:rFonts w:ascii="Times New Roman" w:hAnsi="Times New Roman"/>
          <w:i/>
        </w:rPr>
        <w:t>4.2</w:t>
      </w:r>
      <w:r w:rsidRPr="0008620B">
        <w:rPr>
          <w:rFonts w:ascii="Times New Roman" w:hAnsi="Times New Roman"/>
          <w:i/>
        </w:rPr>
        <w:t xml:space="preserve"> </w:t>
      </w:r>
      <w:r w:rsidR="00FC73E0" w:rsidRPr="0008620B">
        <w:rPr>
          <w:rFonts w:ascii="Times New Roman" w:hAnsi="Times New Roman"/>
          <w:i/>
        </w:rPr>
        <w:t>Dose</w:t>
      </w:r>
      <w:r w:rsidRPr="0008620B">
        <w:rPr>
          <w:rFonts w:ascii="Times New Roman" w:hAnsi="Times New Roman"/>
          <w:i/>
        </w:rPr>
        <w:t xml:space="preserve"> and </w:t>
      </w:r>
      <w:r w:rsidR="00FC73E0" w:rsidRPr="0008620B">
        <w:rPr>
          <w:rFonts w:ascii="Times New Roman" w:hAnsi="Times New Roman"/>
          <w:i/>
        </w:rPr>
        <w:t xml:space="preserve">Method of </w:t>
      </w:r>
      <w:r w:rsidRPr="0008620B">
        <w:rPr>
          <w:rFonts w:ascii="Times New Roman" w:hAnsi="Times New Roman"/>
          <w:i/>
        </w:rPr>
        <w:t>Administration</w:t>
      </w:r>
      <w:r w:rsidRPr="00A44065">
        <w:rPr>
          <w:rFonts w:ascii="Times New Roman" w:hAnsi="Times New Roman"/>
        </w:rPr>
        <w:t>).</w:t>
      </w:r>
    </w:p>
    <w:p w14:paraId="3E79C0C3" w14:textId="77777777" w:rsidR="0065198E" w:rsidRPr="00A44065" w:rsidRDefault="0065198E" w:rsidP="0065198E">
      <w:pPr>
        <w:rPr>
          <w:b/>
          <w:color w:val="auto"/>
          <w:sz w:val="22"/>
          <w:szCs w:val="22"/>
        </w:rPr>
      </w:pPr>
      <w:r w:rsidRPr="00A44065">
        <w:rPr>
          <w:b/>
          <w:color w:val="auto"/>
          <w:sz w:val="22"/>
          <w:szCs w:val="22"/>
        </w:rPr>
        <w:t>Patient card</w:t>
      </w:r>
    </w:p>
    <w:p w14:paraId="5FE4C890" w14:textId="77777777" w:rsidR="0065198E" w:rsidRPr="0008620B" w:rsidRDefault="0065198E" w:rsidP="0065198E">
      <w:pPr>
        <w:pStyle w:val="Paragraph"/>
        <w:rPr>
          <w:rFonts w:ascii="Times New Roman" w:hAnsi="Times New Roman"/>
          <w:szCs w:val="22"/>
        </w:rPr>
      </w:pPr>
      <w:r w:rsidRPr="0008620B">
        <w:rPr>
          <w:rFonts w:ascii="Times New Roman" w:hAnsi="Times New Roman"/>
        </w:rPr>
        <w:t xml:space="preserve">The prescriber must inform the patient of the risk of CRS and the signs and symptoms of CRS. Patients must be instructed to seek immediate medical attention if they experience signs and symptoms of CRS. Patients should be provided with the Patient Card and instructed to </w:t>
      </w:r>
      <w:proofErr w:type="gramStart"/>
      <w:r w:rsidRPr="0008620B">
        <w:rPr>
          <w:rFonts w:ascii="Times New Roman" w:hAnsi="Times New Roman"/>
        </w:rPr>
        <w:t>carry the card at all times</w:t>
      </w:r>
      <w:proofErr w:type="gramEnd"/>
      <w:r w:rsidRPr="0008620B">
        <w:rPr>
          <w:rFonts w:ascii="Times New Roman" w:hAnsi="Times New Roman"/>
        </w:rPr>
        <w:t>. This card describes symptoms of CRS which, if experienced, should prompt the patient to seek immediate medical attention.</w:t>
      </w:r>
    </w:p>
    <w:p w14:paraId="74EC9F7A" w14:textId="77777777" w:rsidR="00E64D9F" w:rsidRPr="0008620B" w:rsidRDefault="00E64D9F" w:rsidP="00E64D9F">
      <w:pPr>
        <w:pStyle w:val="ParagraphList"/>
        <w:rPr>
          <w:rFonts w:ascii="Times New Roman" w:hAnsi="Times New Roman"/>
          <w:b/>
        </w:rPr>
      </w:pPr>
      <w:r w:rsidRPr="0008620B">
        <w:rPr>
          <w:rFonts w:ascii="Times New Roman" w:hAnsi="Times New Roman"/>
          <w:b/>
        </w:rPr>
        <w:t>Serious Infections</w:t>
      </w:r>
    </w:p>
    <w:p w14:paraId="34AF1138" w14:textId="11D042E4" w:rsidR="00E64D9F" w:rsidRPr="00A44065" w:rsidRDefault="00E64D9F" w:rsidP="00E64D9F">
      <w:pPr>
        <w:pStyle w:val="Paragraph"/>
        <w:rPr>
          <w:rFonts w:ascii="Times New Roman" w:hAnsi="Times New Roman"/>
          <w:i/>
        </w:rPr>
      </w:pPr>
      <w:r w:rsidRPr="00A44065">
        <w:rPr>
          <w:rFonts w:ascii="Times New Roman" w:hAnsi="Times New Roman"/>
        </w:rPr>
        <w:t xml:space="preserve">Serious infections (such as sepsis and pneumonia) have occurred in patients treated with </w:t>
      </w:r>
      <w:proofErr w:type="spellStart"/>
      <w:r w:rsidR="00B719B6" w:rsidRPr="00A44065">
        <w:rPr>
          <w:rFonts w:ascii="Times New Roman" w:hAnsi="Times New Roman"/>
        </w:rPr>
        <w:t>Columvi</w:t>
      </w:r>
      <w:proofErr w:type="spellEnd"/>
      <w:r w:rsidR="00577BAB" w:rsidRPr="00A44065">
        <w:rPr>
          <w:rFonts w:ascii="Times New Roman" w:hAnsi="Times New Roman"/>
        </w:rPr>
        <w:t xml:space="preserve"> (see Section</w:t>
      </w:r>
      <w:r w:rsidR="00577BAB" w:rsidRPr="00A44065">
        <w:rPr>
          <w:rFonts w:ascii="Times New Roman" w:hAnsi="Times New Roman"/>
          <w:i/>
        </w:rPr>
        <w:t> 4.8 Adverse Effects (undesirable Effects)</w:t>
      </w:r>
      <w:r w:rsidR="00577BAB" w:rsidRPr="00A44065">
        <w:rPr>
          <w:rFonts w:ascii="Times New Roman" w:hAnsi="Times New Roman"/>
        </w:rPr>
        <w:t>)</w:t>
      </w:r>
      <w:r w:rsidRPr="00A44065">
        <w:rPr>
          <w:rFonts w:ascii="Times New Roman" w:hAnsi="Times New Roman"/>
        </w:rPr>
        <w:t>.</w:t>
      </w:r>
    </w:p>
    <w:p w14:paraId="3B345B99" w14:textId="4B3242A7" w:rsidR="00E64D9F" w:rsidRPr="00A44065" w:rsidRDefault="00B719B6" w:rsidP="00E64D9F">
      <w:pPr>
        <w:pStyle w:val="Paragraph"/>
        <w:rPr>
          <w:rFonts w:ascii="Times New Roman" w:hAnsi="Times New Roman"/>
        </w:rPr>
      </w:pPr>
      <w:proofErr w:type="spellStart"/>
      <w:r w:rsidRPr="00A44065">
        <w:rPr>
          <w:rFonts w:ascii="Times New Roman" w:hAnsi="Times New Roman"/>
        </w:rPr>
        <w:t>Columvi</w:t>
      </w:r>
      <w:proofErr w:type="spellEnd"/>
      <w:r w:rsidR="00E64D9F" w:rsidRPr="00A44065">
        <w:rPr>
          <w:rFonts w:ascii="Times New Roman" w:hAnsi="Times New Roman"/>
        </w:rPr>
        <w:t xml:space="preserve"> must not be administered to pati</w:t>
      </w:r>
      <w:r w:rsidR="001678B4" w:rsidRPr="00A44065">
        <w:rPr>
          <w:rFonts w:ascii="Times New Roman" w:hAnsi="Times New Roman"/>
        </w:rPr>
        <w:t xml:space="preserve">ents with an active infection. </w:t>
      </w:r>
      <w:r w:rsidR="00E64D9F" w:rsidRPr="00A44065">
        <w:rPr>
          <w:rFonts w:ascii="Times New Roman" w:hAnsi="Times New Roman"/>
        </w:rPr>
        <w:t xml:space="preserve">Caution should be exercised when considering the use of </w:t>
      </w:r>
      <w:proofErr w:type="spellStart"/>
      <w:r w:rsidRPr="00A44065">
        <w:rPr>
          <w:rFonts w:ascii="Times New Roman" w:hAnsi="Times New Roman"/>
        </w:rPr>
        <w:t>Columvi</w:t>
      </w:r>
      <w:proofErr w:type="spellEnd"/>
      <w:r w:rsidR="00E64D9F" w:rsidRPr="00A44065">
        <w:rPr>
          <w:rFonts w:ascii="Times New Roman" w:hAnsi="Times New Roman"/>
        </w:rPr>
        <w:t xml:space="preserve"> in patients with a history of chronic or recurrent infection, those with </w:t>
      </w:r>
      <w:r w:rsidR="00E64D9F" w:rsidRPr="00A44065">
        <w:rPr>
          <w:rFonts w:ascii="Times New Roman" w:hAnsi="Times New Roman"/>
          <w:iCs/>
        </w:rPr>
        <w:t>underlying conditions that may predispose them to infections, or those who have had significant prior immunosuppressive treatment</w:t>
      </w:r>
      <w:r w:rsidR="00E64D9F" w:rsidRPr="00A44065">
        <w:rPr>
          <w:rFonts w:ascii="Times New Roman" w:hAnsi="Times New Roman"/>
        </w:rPr>
        <w:t xml:space="preserve">.  </w:t>
      </w:r>
      <w:r w:rsidR="00A44065" w:rsidRPr="00D94B92">
        <w:rPr>
          <w:rFonts w:ascii="Times New Roman" w:hAnsi="Times New Roman"/>
        </w:rPr>
        <w:t xml:space="preserve">Viral reactivation, e.g. Hepatitis B virus (HBV) reactivation, in some cases resulting in fulminant hepatitis, hepatic failure and death, can occur in patients treated with drugs directed against B cells, the frequency of these events in unknown with </w:t>
      </w:r>
      <w:proofErr w:type="spellStart"/>
      <w:r w:rsidR="00A44065" w:rsidRPr="00D94B92">
        <w:rPr>
          <w:rFonts w:ascii="Times New Roman" w:hAnsi="Times New Roman"/>
        </w:rPr>
        <w:t>Columvi</w:t>
      </w:r>
      <w:proofErr w:type="spellEnd"/>
      <w:r w:rsidR="00A44065" w:rsidRPr="00D94B92">
        <w:rPr>
          <w:rFonts w:ascii="Times New Roman" w:hAnsi="Times New Roman"/>
        </w:rPr>
        <w:t>.</w:t>
      </w:r>
      <w:r w:rsidR="00A44065">
        <w:rPr>
          <w:rFonts w:ascii="Times New Roman" w:hAnsi="Times New Roman"/>
        </w:rPr>
        <w:t xml:space="preserve"> </w:t>
      </w:r>
      <w:r w:rsidR="00E64D9F" w:rsidRPr="00A44065">
        <w:rPr>
          <w:rFonts w:ascii="Times New Roman" w:hAnsi="Times New Roman"/>
        </w:rPr>
        <w:t xml:space="preserve">Patients should be monitored before and during </w:t>
      </w:r>
      <w:proofErr w:type="spellStart"/>
      <w:r w:rsidRPr="00A44065">
        <w:rPr>
          <w:rFonts w:ascii="Times New Roman" w:hAnsi="Times New Roman"/>
        </w:rPr>
        <w:t>Columvi</w:t>
      </w:r>
      <w:proofErr w:type="spellEnd"/>
      <w:r w:rsidR="00E64D9F" w:rsidRPr="00A44065">
        <w:rPr>
          <w:rFonts w:ascii="Times New Roman" w:hAnsi="Times New Roman"/>
        </w:rPr>
        <w:t xml:space="preserve"> treatment for the emergence of possible bacterial, fungal, and new or reactivated viral infections and treated appropriately.</w:t>
      </w:r>
    </w:p>
    <w:p w14:paraId="62AAD6A5" w14:textId="6233EAB1" w:rsidR="00E64D9F" w:rsidRPr="00A44065" w:rsidRDefault="00B719B6" w:rsidP="00E64D9F">
      <w:pPr>
        <w:pStyle w:val="Paragraph"/>
        <w:rPr>
          <w:rFonts w:ascii="Times New Roman" w:hAnsi="Times New Roman"/>
        </w:rPr>
      </w:pPr>
      <w:proofErr w:type="spellStart"/>
      <w:r w:rsidRPr="00A44065">
        <w:rPr>
          <w:rFonts w:ascii="Times New Roman" w:hAnsi="Times New Roman"/>
        </w:rPr>
        <w:t>Columvi</w:t>
      </w:r>
      <w:proofErr w:type="spellEnd"/>
      <w:r w:rsidR="00E64D9F" w:rsidRPr="00A44065">
        <w:rPr>
          <w:rFonts w:ascii="Times New Roman" w:hAnsi="Times New Roman"/>
        </w:rPr>
        <w:t xml:space="preserve"> should be temporarily withheld in the presence of an active infection until the infection has resolved.  Patients should be instructed to seek medical advice if signs and symptoms suggestive of an infection occur.</w:t>
      </w:r>
    </w:p>
    <w:p w14:paraId="4EF95E85" w14:textId="7CBF62F6" w:rsidR="00E64D9F" w:rsidRPr="00A44065" w:rsidRDefault="00E64D9F" w:rsidP="00E64D9F">
      <w:pPr>
        <w:pStyle w:val="Paragraph"/>
        <w:rPr>
          <w:rFonts w:ascii="Times New Roman" w:hAnsi="Times New Roman"/>
        </w:rPr>
      </w:pPr>
      <w:r w:rsidRPr="00A44065">
        <w:rPr>
          <w:rFonts w:ascii="Times New Roman" w:hAnsi="Times New Roman"/>
        </w:rPr>
        <w:t xml:space="preserve">Febrile neutropenia has been reported during treatment with </w:t>
      </w:r>
      <w:proofErr w:type="spellStart"/>
      <w:r w:rsidR="00B719B6" w:rsidRPr="00A44065">
        <w:rPr>
          <w:rFonts w:ascii="Times New Roman" w:hAnsi="Times New Roman"/>
        </w:rPr>
        <w:t>Columvi</w:t>
      </w:r>
      <w:proofErr w:type="spellEnd"/>
      <w:r w:rsidRPr="00A44065">
        <w:rPr>
          <w:rFonts w:ascii="Times New Roman" w:hAnsi="Times New Roman"/>
        </w:rPr>
        <w:t>.  Patients with febrile neutropenia should be evaluated for infection and treated promptly.</w:t>
      </w:r>
    </w:p>
    <w:p w14:paraId="4FABE158" w14:textId="12A1161B" w:rsidR="00E64D9F" w:rsidRPr="00A44065" w:rsidRDefault="001678B4" w:rsidP="00E64D9F">
      <w:pPr>
        <w:pStyle w:val="ParagraphList"/>
        <w:rPr>
          <w:rFonts w:ascii="Times New Roman" w:hAnsi="Times New Roman"/>
          <w:b/>
        </w:rPr>
      </w:pPr>
      <w:proofErr w:type="spellStart"/>
      <w:r w:rsidRPr="00A44065">
        <w:rPr>
          <w:rFonts w:ascii="Times New Roman" w:hAnsi="Times New Roman"/>
          <w:b/>
        </w:rPr>
        <w:t>Tumour</w:t>
      </w:r>
      <w:proofErr w:type="spellEnd"/>
      <w:r w:rsidR="00E64D9F" w:rsidRPr="00A44065">
        <w:rPr>
          <w:rFonts w:ascii="Times New Roman" w:hAnsi="Times New Roman"/>
          <w:b/>
        </w:rPr>
        <w:t xml:space="preserve"> Flare </w:t>
      </w:r>
    </w:p>
    <w:p w14:paraId="0FF0BC52" w14:textId="3D6FBC03" w:rsidR="00E64D9F" w:rsidRPr="00A44065" w:rsidRDefault="001678B4" w:rsidP="00E64D9F">
      <w:pPr>
        <w:pStyle w:val="Paragraph"/>
        <w:rPr>
          <w:rFonts w:ascii="Times New Roman" w:hAnsi="Times New Roman"/>
        </w:rPr>
      </w:pPr>
      <w:proofErr w:type="spellStart"/>
      <w:r w:rsidRPr="00A44065">
        <w:rPr>
          <w:rFonts w:ascii="Times New Roman" w:hAnsi="Times New Roman"/>
        </w:rPr>
        <w:t>Tumour</w:t>
      </w:r>
      <w:proofErr w:type="spellEnd"/>
      <w:r w:rsidR="00E64D9F" w:rsidRPr="00A44065">
        <w:rPr>
          <w:rFonts w:ascii="Times New Roman" w:hAnsi="Times New Roman"/>
        </w:rPr>
        <w:t xml:space="preserve"> flare has been reported in patients receiving </w:t>
      </w:r>
      <w:proofErr w:type="spellStart"/>
      <w:r w:rsidR="00B719B6" w:rsidRPr="00A44065">
        <w:rPr>
          <w:rFonts w:ascii="Times New Roman" w:hAnsi="Times New Roman"/>
        </w:rPr>
        <w:t>Columvi</w:t>
      </w:r>
      <w:proofErr w:type="spellEnd"/>
      <w:r w:rsidR="00E64D9F" w:rsidRPr="00A44065">
        <w:rPr>
          <w:rFonts w:ascii="Times New Roman" w:hAnsi="Times New Roman"/>
        </w:rPr>
        <w:t xml:space="preserve">. Manifestations included </w:t>
      </w:r>
      <w:proofErr w:type="spellStart"/>
      <w:r w:rsidR="00BF3458" w:rsidRPr="00A44065">
        <w:rPr>
          <w:rFonts w:ascii="Times New Roman" w:hAnsi="Times New Roman"/>
        </w:rPr>
        <w:t>localised</w:t>
      </w:r>
      <w:proofErr w:type="spellEnd"/>
      <w:r w:rsidR="00BF3458" w:rsidRPr="00A44065">
        <w:rPr>
          <w:rFonts w:ascii="Times New Roman" w:hAnsi="Times New Roman"/>
        </w:rPr>
        <w:t xml:space="preserve"> </w:t>
      </w:r>
      <w:r w:rsidR="00E64D9F" w:rsidRPr="00A44065">
        <w:rPr>
          <w:rFonts w:ascii="Times New Roman" w:hAnsi="Times New Roman"/>
        </w:rPr>
        <w:t xml:space="preserve">pain and swelling </w:t>
      </w:r>
      <w:r w:rsidR="00577BAB" w:rsidRPr="00A44065">
        <w:rPr>
          <w:rFonts w:ascii="Times New Roman" w:hAnsi="Times New Roman"/>
        </w:rPr>
        <w:t>(see Section</w:t>
      </w:r>
      <w:r w:rsidR="00577BAB" w:rsidRPr="00A44065">
        <w:rPr>
          <w:rFonts w:ascii="Times New Roman" w:hAnsi="Times New Roman"/>
          <w:i/>
        </w:rPr>
        <w:t> 4.8 Adverse Effects (</w:t>
      </w:r>
      <w:r w:rsidR="00BF3458" w:rsidRPr="00A44065">
        <w:rPr>
          <w:rFonts w:ascii="Times New Roman" w:hAnsi="Times New Roman"/>
          <w:i/>
        </w:rPr>
        <w:t>U</w:t>
      </w:r>
      <w:r w:rsidR="00577BAB" w:rsidRPr="00A44065">
        <w:rPr>
          <w:rFonts w:ascii="Times New Roman" w:hAnsi="Times New Roman"/>
          <w:i/>
        </w:rPr>
        <w:t>ndesirable Effects)</w:t>
      </w:r>
      <w:r w:rsidR="00577BAB" w:rsidRPr="00A44065">
        <w:rPr>
          <w:rFonts w:ascii="Times New Roman" w:hAnsi="Times New Roman"/>
        </w:rPr>
        <w:t>)</w:t>
      </w:r>
      <w:r w:rsidR="00E64D9F" w:rsidRPr="00A44065">
        <w:rPr>
          <w:rFonts w:ascii="Times New Roman" w:hAnsi="Times New Roman"/>
        </w:rPr>
        <w:t>.</w:t>
      </w:r>
    </w:p>
    <w:p w14:paraId="217556FB" w14:textId="66BF9509" w:rsidR="00E64D9F" w:rsidRPr="00A44065" w:rsidRDefault="00E64D9F" w:rsidP="00E64D9F">
      <w:pPr>
        <w:pStyle w:val="Paragraph"/>
        <w:rPr>
          <w:rFonts w:ascii="Times New Roman" w:hAnsi="Times New Roman"/>
        </w:rPr>
      </w:pPr>
      <w:r w:rsidRPr="00A44065">
        <w:rPr>
          <w:rFonts w:ascii="Times New Roman" w:hAnsi="Times New Roman"/>
        </w:rPr>
        <w:t xml:space="preserve">Consistent with the mechanism of action of </w:t>
      </w:r>
      <w:proofErr w:type="spellStart"/>
      <w:r w:rsidR="00B719B6" w:rsidRPr="00A44065">
        <w:rPr>
          <w:rFonts w:ascii="Times New Roman" w:hAnsi="Times New Roman"/>
        </w:rPr>
        <w:t>Columvi</w:t>
      </w:r>
      <w:proofErr w:type="spellEnd"/>
      <w:r w:rsidRPr="00A44065">
        <w:rPr>
          <w:rFonts w:ascii="Times New Roman" w:hAnsi="Times New Roman"/>
        </w:rPr>
        <w:t xml:space="preserve">,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is likely due to the influx of T cells into </w:t>
      </w:r>
      <w:proofErr w:type="spellStart"/>
      <w:r w:rsidR="00BF3458" w:rsidRPr="00A44065">
        <w:rPr>
          <w:rFonts w:ascii="Times New Roman" w:hAnsi="Times New Roman"/>
        </w:rPr>
        <w:t>tumour</w:t>
      </w:r>
      <w:proofErr w:type="spellEnd"/>
      <w:r w:rsidR="00BF3458" w:rsidRPr="00A44065">
        <w:rPr>
          <w:rFonts w:ascii="Times New Roman" w:hAnsi="Times New Roman"/>
        </w:rPr>
        <w:t xml:space="preserve"> </w:t>
      </w:r>
      <w:r w:rsidRPr="00A44065">
        <w:rPr>
          <w:rFonts w:ascii="Times New Roman" w:hAnsi="Times New Roman"/>
        </w:rPr>
        <w:t xml:space="preserve">sites following </w:t>
      </w:r>
      <w:proofErr w:type="spellStart"/>
      <w:r w:rsidR="00B719B6" w:rsidRPr="00A44065">
        <w:rPr>
          <w:rFonts w:ascii="Times New Roman" w:hAnsi="Times New Roman"/>
        </w:rPr>
        <w:t>Columvi</w:t>
      </w:r>
      <w:proofErr w:type="spellEnd"/>
      <w:r w:rsidRPr="00A44065">
        <w:rPr>
          <w:rFonts w:ascii="Times New Roman" w:hAnsi="Times New Roman"/>
        </w:rPr>
        <w:t xml:space="preserve"> administration and may</w:t>
      </w:r>
      <w:r w:rsidR="001678B4" w:rsidRPr="00A44065">
        <w:rPr>
          <w:rFonts w:ascii="Times New Roman" w:hAnsi="Times New Roman"/>
        </w:rPr>
        <w:t xml:space="preserve"> mimic progression of disease.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does not imply treatment failure or represent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progression.</w:t>
      </w:r>
    </w:p>
    <w:p w14:paraId="2D968FB6" w14:textId="5EC57082" w:rsidR="00E64D9F" w:rsidRPr="00A44065" w:rsidRDefault="00E64D9F" w:rsidP="00E64D9F">
      <w:pPr>
        <w:pStyle w:val="Paragraph"/>
        <w:rPr>
          <w:rFonts w:ascii="Times New Roman" w:hAnsi="Times New Roman"/>
        </w:rPr>
      </w:pPr>
      <w:r w:rsidRPr="00A44065">
        <w:rPr>
          <w:rFonts w:ascii="Times New Roman" w:hAnsi="Times New Roman"/>
        </w:rPr>
        <w:t xml:space="preserve">Specific risk factors for </w:t>
      </w:r>
      <w:proofErr w:type="spellStart"/>
      <w:r w:rsidR="00BF3458" w:rsidRPr="00A44065">
        <w:rPr>
          <w:rFonts w:ascii="Times New Roman" w:hAnsi="Times New Roman"/>
        </w:rPr>
        <w:t>t</w:t>
      </w:r>
      <w:r w:rsidR="001678B4" w:rsidRPr="00A44065">
        <w:rPr>
          <w:rFonts w:ascii="Times New Roman" w:hAnsi="Times New Roman"/>
        </w:rPr>
        <w:t>umour</w:t>
      </w:r>
      <w:proofErr w:type="spellEnd"/>
      <w:r w:rsidRPr="00A44065">
        <w:rPr>
          <w:rFonts w:ascii="Times New Roman" w:hAnsi="Times New Roman"/>
        </w:rPr>
        <w:t xml:space="preserve"> flare have not been identified, however, there is a heightened risk of compromise and morbidity due to mass effect secondary to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in patients with bulky </w:t>
      </w:r>
      <w:proofErr w:type="spellStart"/>
      <w:r w:rsidR="00BF3458" w:rsidRPr="00A44065">
        <w:rPr>
          <w:rFonts w:ascii="Times New Roman" w:hAnsi="Times New Roman"/>
        </w:rPr>
        <w:t>t</w:t>
      </w:r>
      <w:r w:rsidR="001678B4" w:rsidRPr="00A44065">
        <w:rPr>
          <w:rFonts w:ascii="Times New Roman" w:hAnsi="Times New Roman"/>
        </w:rPr>
        <w:t>umour</w:t>
      </w:r>
      <w:r w:rsidRPr="00A44065">
        <w:rPr>
          <w:rFonts w:ascii="Times New Roman" w:hAnsi="Times New Roman"/>
        </w:rPr>
        <w:t>s</w:t>
      </w:r>
      <w:proofErr w:type="spellEnd"/>
      <w:r w:rsidRPr="00A44065">
        <w:rPr>
          <w:rFonts w:ascii="Times New Roman" w:hAnsi="Times New Roman"/>
        </w:rPr>
        <w:t xml:space="preserve"> located </w:t>
      </w:r>
      <w:proofErr w:type="gramStart"/>
      <w:r w:rsidRPr="00A44065">
        <w:rPr>
          <w:rFonts w:ascii="Times New Roman" w:hAnsi="Times New Roman"/>
        </w:rPr>
        <w:t>in close proximity to</w:t>
      </w:r>
      <w:proofErr w:type="gramEnd"/>
      <w:r w:rsidRPr="00A44065">
        <w:rPr>
          <w:rFonts w:ascii="Times New Roman" w:hAnsi="Times New Roman"/>
        </w:rPr>
        <w:t xml:space="preserve"> airways and/or a vital organ. Monitoring and evaluation of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at critical anatomical sites is recommended in patients treated with </w:t>
      </w:r>
      <w:proofErr w:type="spellStart"/>
      <w:r w:rsidR="00B719B6" w:rsidRPr="00A44065">
        <w:rPr>
          <w:rFonts w:ascii="Times New Roman" w:hAnsi="Times New Roman"/>
        </w:rPr>
        <w:t>Columvi</w:t>
      </w:r>
      <w:proofErr w:type="spellEnd"/>
      <w:r w:rsidRPr="00A44065">
        <w:rPr>
          <w:rFonts w:ascii="Times New Roman" w:hAnsi="Times New Roman"/>
        </w:rPr>
        <w:t xml:space="preserve"> and managed as clinically indicated.</w:t>
      </w:r>
    </w:p>
    <w:p w14:paraId="0413F943" w14:textId="27A9E48F" w:rsidR="00E64D9F" w:rsidRPr="00A44065" w:rsidRDefault="00E64D9F" w:rsidP="00E64D9F">
      <w:pPr>
        <w:pStyle w:val="ParagraphList"/>
        <w:rPr>
          <w:rFonts w:ascii="Times New Roman" w:hAnsi="Times New Roman"/>
          <w:b/>
          <w:szCs w:val="22"/>
        </w:rPr>
      </w:pPr>
      <w:proofErr w:type="spellStart"/>
      <w:r w:rsidRPr="00A44065">
        <w:rPr>
          <w:rFonts w:ascii="Times New Roman" w:hAnsi="Times New Roman"/>
          <w:b/>
          <w:szCs w:val="22"/>
        </w:rPr>
        <w:lastRenderedPageBreak/>
        <w:t>Tumo</w:t>
      </w:r>
      <w:r w:rsidR="001678B4" w:rsidRPr="00A44065">
        <w:rPr>
          <w:rFonts w:ascii="Times New Roman" w:hAnsi="Times New Roman"/>
          <w:b/>
          <w:szCs w:val="22"/>
        </w:rPr>
        <w:t>u</w:t>
      </w:r>
      <w:r w:rsidRPr="00A44065">
        <w:rPr>
          <w:rFonts w:ascii="Times New Roman" w:hAnsi="Times New Roman"/>
          <w:b/>
          <w:szCs w:val="22"/>
        </w:rPr>
        <w:t>r</w:t>
      </w:r>
      <w:proofErr w:type="spellEnd"/>
      <w:r w:rsidRPr="00A44065">
        <w:rPr>
          <w:rFonts w:ascii="Times New Roman" w:hAnsi="Times New Roman"/>
          <w:b/>
          <w:szCs w:val="22"/>
        </w:rPr>
        <w:t xml:space="preserve"> Lysis Syndrome </w:t>
      </w:r>
    </w:p>
    <w:p w14:paraId="0D4E1F0A" w14:textId="577A0DD5" w:rsidR="00E64D9F" w:rsidRPr="00A44065" w:rsidRDefault="001678B4" w:rsidP="00E64D9F">
      <w:pPr>
        <w:pStyle w:val="Paragraph"/>
        <w:rPr>
          <w:rFonts w:ascii="Times New Roman" w:hAnsi="Times New Roman"/>
          <w:szCs w:val="22"/>
        </w:rPr>
      </w:pPr>
      <w:proofErr w:type="spellStart"/>
      <w:r w:rsidRPr="00A44065">
        <w:rPr>
          <w:rFonts w:ascii="Times New Roman" w:hAnsi="Times New Roman"/>
          <w:szCs w:val="22"/>
        </w:rPr>
        <w:t>Tumour</w:t>
      </w:r>
      <w:proofErr w:type="spellEnd"/>
      <w:r w:rsidR="00E64D9F" w:rsidRPr="00A44065">
        <w:rPr>
          <w:rFonts w:ascii="Times New Roman" w:hAnsi="Times New Roman"/>
          <w:szCs w:val="22"/>
        </w:rPr>
        <w:t xml:space="preserve"> lysis syndrome (TLS) has been reported in patients receiving </w:t>
      </w:r>
      <w:proofErr w:type="spellStart"/>
      <w:r w:rsidR="00B719B6" w:rsidRPr="00A44065">
        <w:rPr>
          <w:rFonts w:ascii="Times New Roman" w:hAnsi="Times New Roman"/>
          <w:szCs w:val="22"/>
        </w:rPr>
        <w:t>Columvi</w:t>
      </w:r>
      <w:proofErr w:type="spellEnd"/>
      <w:r w:rsidR="00E64D9F" w:rsidRPr="00A44065">
        <w:rPr>
          <w:rFonts w:ascii="Times New Roman" w:hAnsi="Times New Roman"/>
          <w:szCs w:val="22"/>
        </w:rPr>
        <w:t xml:space="preserve"> (see Section</w:t>
      </w:r>
      <w:r w:rsidR="00E64D9F" w:rsidRPr="00A44065">
        <w:rPr>
          <w:rFonts w:ascii="Times New Roman" w:hAnsi="Times New Roman"/>
          <w:i/>
          <w:szCs w:val="22"/>
        </w:rPr>
        <w:t> </w:t>
      </w:r>
      <w:r w:rsidR="00577BAB" w:rsidRPr="00A44065">
        <w:rPr>
          <w:rFonts w:ascii="Times New Roman" w:hAnsi="Times New Roman"/>
          <w:i/>
          <w:szCs w:val="22"/>
        </w:rPr>
        <w:t>4.8 Adverse Effects (</w:t>
      </w:r>
      <w:r w:rsidR="00BF3458" w:rsidRPr="00A44065">
        <w:rPr>
          <w:rFonts w:ascii="Times New Roman" w:hAnsi="Times New Roman"/>
          <w:i/>
          <w:szCs w:val="22"/>
        </w:rPr>
        <w:t xml:space="preserve">Undesirable </w:t>
      </w:r>
      <w:r w:rsidR="00577BAB" w:rsidRPr="00A44065">
        <w:rPr>
          <w:rFonts w:ascii="Times New Roman" w:hAnsi="Times New Roman"/>
          <w:i/>
          <w:szCs w:val="22"/>
        </w:rPr>
        <w:t>Effects</w:t>
      </w:r>
      <w:r w:rsidR="00E64D9F" w:rsidRPr="00A44065">
        <w:rPr>
          <w:rFonts w:ascii="Times New Roman" w:hAnsi="Times New Roman"/>
          <w:i/>
          <w:szCs w:val="22"/>
        </w:rPr>
        <w:t>)</w:t>
      </w:r>
      <w:r w:rsidR="00577BAB" w:rsidRPr="00A44065">
        <w:rPr>
          <w:rFonts w:ascii="Times New Roman" w:hAnsi="Times New Roman"/>
          <w:szCs w:val="22"/>
        </w:rPr>
        <w:t>)</w:t>
      </w:r>
      <w:r w:rsidR="00E64D9F" w:rsidRPr="00A44065">
        <w:rPr>
          <w:rFonts w:ascii="Times New Roman" w:hAnsi="Times New Roman"/>
          <w:szCs w:val="22"/>
        </w:rPr>
        <w:t xml:space="preserve">.  Patients with high </w:t>
      </w:r>
      <w:proofErr w:type="spellStart"/>
      <w:r w:rsidR="00BF3458" w:rsidRPr="00A44065">
        <w:rPr>
          <w:rFonts w:ascii="Times New Roman" w:hAnsi="Times New Roman"/>
          <w:bCs/>
          <w:szCs w:val="22"/>
        </w:rPr>
        <w:t>t</w:t>
      </w:r>
      <w:r w:rsidRPr="00A44065">
        <w:rPr>
          <w:rFonts w:ascii="Times New Roman" w:hAnsi="Times New Roman"/>
          <w:bCs/>
          <w:szCs w:val="22"/>
        </w:rPr>
        <w:t>umour</w:t>
      </w:r>
      <w:proofErr w:type="spellEnd"/>
      <w:r w:rsidR="00E64D9F" w:rsidRPr="00A44065">
        <w:rPr>
          <w:rFonts w:ascii="Times New Roman" w:hAnsi="Times New Roman"/>
          <w:szCs w:val="22"/>
        </w:rPr>
        <w:t xml:space="preserve"> burden</w:t>
      </w:r>
      <w:r w:rsidR="00E64D9F" w:rsidRPr="00A44065">
        <w:rPr>
          <w:rFonts w:ascii="Times New Roman" w:hAnsi="Times New Roman"/>
          <w:bCs/>
          <w:szCs w:val="22"/>
        </w:rPr>
        <w:t xml:space="preserve">, </w:t>
      </w:r>
      <w:r w:rsidR="00E64D9F" w:rsidRPr="00A44065">
        <w:rPr>
          <w:rFonts w:ascii="Times New Roman" w:hAnsi="Times New Roman"/>
          <w:szCs w:val="22"/>
        </w:rPr>
        <w:t xml:space="preserve">rapidly proliferative </w:t>
      </w:r>
      <w:proofErr w:type="spellStart"/>
      <w:r w:rsidR="00BF3458" w:rsidRPr="00A44065">
        <w:rPr>
          <w:rFonts w:ascii="Times New Roman" w:hAnsi="Times New Roman"/>
          <w:bCs/>
          <w:szCs w:val="22"/>
        </w:rPr>
        <w:t>t</w:t>
      </w:r>
      <w:r w:rsidRPr="00A44065">
        <w:rPr>
          <w:rFonts w:ascii="Times New Roman" w:hAnsi="Times New Roman"/>
          <w:bCs/>
          <w:szCs w:val="22"/>
        </w:rPr>
        <w:t>umour</w:t>
      </w:r>
      <w:r w:rsidR="00E64D9F" w:rsidRPr="00A44065">
        <w:rPr>
          <w:rFonts w:ascii="Times New Roman" w:hAnsi="Times New Roman"/>
          <w:bCs/>
          <w:szCs w:val="22"/>
        </w:rPr>
        <w:t>s</w:t>
      </w:r>
      <w:proofErr w:type="spellEnd"/>
      <w:r w:rsidR="00E64D9F" w:rsidRPr="00A44065">
        <w:rPr>
          <w:rFonts w:ascii="Times New Roman" w:hAnsi="Times New Roman"/>
          <w:bCs/>
          <w:szCs w:val="22"/>
        </w:rPr>
        <w:t>, renal dysfunction, or dehydration</w:t>
      </w:r>
      <w:r w:rsidR="00E64D9F" w:rsidRPr="00A44065">
        <w:rPr>
          <w:rFonts w:ascii="Times New Roman" w:hAnsi="Times New Roman"/>
          <w:szCs w:val="22"/>
        </w:rPr>
        <w:t xml:space="preserve"> are at greater risk of </w:t>
      </w:r>
      <w:r w:rsidR="00E64D9F" w:rsidRPr="00A44065">
        <w:rPr>
          <w:rFonts w:ascii="Times New Roman" w:hAnsi="Times New Roman"/>
          <w:bCs/>
          <w:szCs w:val="22"/>
        </w:rPr>
        <w:t>TLS</w:t>
      </w:r>
      <w:r w:rsidR="00E64D9F" w:rsidRPr="00A44065">
        <w:rPr>
          <w:rFonts w:ascii="Times New Roman" w:hAnsi="Times New Roman"/>
          <w:szCs w:val="22"/>
        </w:rPr>
        <w:t>.</w:t>
      </w:r>
    </w:p>
    <w:p w14:paraId="09096FBE" w14:textId="00717FB8" w:rsidR="00E64D9F" w:rsidRPr="00A44065" w:rsidRDefault="00E64D9F" w:rsidP="00E64D9F">
      <w:pPr>
        <w:pStyle w:val="Paragraph"/>
        <w:rPr>
          <w:rFonts w:ascii="Times New Roman" w:hAnsi="Times New Roman"/>
          <w:szCs w:val="22"/>
        </w:rPr>
      </w:pPr>
      <w:r w:rsidRPr="00A44065">
        <w:rPr>
          <w:rFonts w:ascii="Times New Roman" w:hAnsi="Times New Roman"/>
          <w:szCs w:val="22"/>
        </w:rPr>
        <w:t xml:space="preserve">Patients at risk should be monitored closely by appropriate clinical and laboratory tests for electrolyte status, hydration, and renal function.  Appropriate prophylactic measures </w:t>
      </w:r>
      <w:r w:rsidRPr="00A44065">
        <w:rPr>
          <w:rFonts w:ascii="Times New Roman" w:hAnsi="Times New Roman"/>
          <w:bCs/>
          <w:szCs w:val="22"/>
        </w:rPr>
        <w:t>with anti-</w:t>
      </w:r>
      <w:proofErr w:type="spellStart"/>
      <w:r w:rsidRPr="00A44065">
        <w:rPr>
          <w:rFonts w:ascii="Times New Roman" w:hAnsi="Times New Roman"/>
          <w:bCs/>
          <w:szCs w:val="22"/>
        </w:rPr>
        <w:t>hyperuricemics</w:t>
      </w:r>
      <w:proofErr w:type="spellEnd"/>
      <w:r w:rsidRPr="00A44065">
        <w:rPr>
          <w:rFonts w:ascii="Times New Roman" w:hAnsi="Times New Roman"/>
          <w:bCs/>
          <w:szCs w:val="22"/>
        </w:rPr>
        <w:t xml:space="preserve"> (e.g., allopurinol or </w:t>
      </w:r>
      <w:proofErr w:type="spellStart"/>
      <w:r w:rsidRPr="00A44065">
        <w:rPr>
          <w:rFonts w:ascii="Times New Roman" w:hAnsi="Times New Roman"/>
          <w:bCs/>
          <w:szCs w:val="22"/>
        </w:rPr>
        <w:t>rasburicase</w:t>
      </w:r>
      <w:proofErr w:type="spellEnd"/>
      <w:r w:rsidRPr="00A44065">
        <w:rPr>
          <w:rFonts w:ascii="Times New Roman" w:hAnsi="Times New Roman"/>
          <w:bCs/>
          <w:szCs w:val="22"/>
        </w:rPr>
        <w:t xml:space="preserve">) and adequate </w:t>
      </w:r>
      <w:r w:rsidRPr="00A44065">
        <w:rPr>
          <w:rFonts w:ascii="Times New Roman" w:hAnsi="Times New Roman"/>
          <w:szCs w:val="22"/>
        </w:rPr>
        <w:t xml:space="preserve">hydration should be </w:t>
      </w:r>
      <w:r w:rsidRPr="00A44065">
        <w:rPr>
          <w:rFonts w:ascii="Times New Roman" w:hAnsi="Times New Roman"/>
          <w:bCs/>
          <w:szCs w:val="22"/>
        </w:rPr>
        <w:t xml:space="preserve">considered prior to </w:t>
      </w:r>
      <w:proofErr w:type="spellStart"/>
      <w:r w:rsidR="00B719B6" w:rsidRPr="00A44065">
        <w:rPr>
          <w:rFonts w:ascii="Times New Roman" w:hAnsi="Times New Roman"/>
          <w:szCs w:val="22"/>
        </w:rPr>
        <w:t>Columvi</w:t>
      </w:r>
      <w:proofErr w:type="spellEnd"/>
      <w:r w:rsidRPr="00A44065">
        <w:rPr>
          <w:rFonts w:ascii="Times New Roman" w:hAnsi="Times New Roman"/>
          <w:szCs w:val="22"/>
        </w:rPr>
        <w:t xml:space="preserve"> </w:t>
      </w:r>
      <w:r w:rsidRPr="00A44065">
        <w:rPr>
          <w:rFonts w:ascii="Times New Roman" w:hAnsi="Times New Roman"/>
          <w:bCs/>
          <w:szCs w:val="22"/>
        </w:rPr>
        <w:t>infusion</w:t>
      </w:r>
      <w:r w:rsidRPr="00A44065">
        <w:rPr>
          <w:rFonts w:ascii="Times New Roman" w:hAnsi="Times New Roman"/>
          <w:szCs w:val="22"/>
        </w:rPr>
        <w:t>.</w:t>
      </w:r>
    </w:p>
    <w:p w14:paraId="4A108CD6" w14:textId="249E0DEA" w:rsidR="00E64D9F" w:rsidRPr="00A44065" w:rsidRDefault="00E64D9F" w:rsidP="00E64D9F">
      <w:pPr>
        <w:pStyle w:val="Paragraph"/>
        <w:rPr>
          <w:rFonts w:ascii="Times New Roman" w:hAnsi="Times New Roman"/>
          <w:szCs w:val="22"/>
        </w:rPr>
      </w:pPr>
      <w:r w:rsidRPr="00A44065">
        <w:rPr>
          <w:rFonts w:ascii="Times New Roman" w:hAnsi="Times New Roman"/>
          <w:szCs w:val="22"/>
        </w:rPr>
        <w:t>Management of TLS may include aggressive hydration, correction of electrolyte abnormalities, anti-</w:t>
      </w:r>
      <w:proofErr w:type="spellStart"/>
      <w:r w:rsidRPr="00A44065">
        <w:rPr>
          <w:rFonts w:ascii="Times New Roman" w:hAnsi="Times New Roman"/>
          <w:szCs w:val="22"/>
        </w:rPr>
        <w:t>hyperuricemic</w:t>
      </w:r>
      <w:proofErr w:type="spellEnd"/>
      <w:r w:rsidRPr="00A44065">
        <w:rPr>
          <w:rFonts w:ascii="Times New Roman" w:hAnsi="Times New Roman"/>
          <w:szCs w:val="22"/>
        </w:rPr>
        <w:t xml:space="preserve"> therapy, and supportive care.</w:t>
      </w:r>
    </w:p>
    <w:p w14:paraId="15B3EE3E" w14:textId="77777777" w:rsidR="00A44065" w:rsidRPr="00E155F3" w:rsidRDefault="00A44065" w:rsidP="00A44065">
      <w:pPr>
        <w:rPr>
          <w:b/>
          <w:color w:val="auto"/>
          <w:sz w:val="22"/>
          <w:szCs w:val="22"/>
        </w:rPr>
      </w:pPr>
      <w:r w:rsidRPr="00E155F3">
        <w:rPr>
          <w:b/>
          <w:color w:val="auto"/>
          <w:sz w:val="22"/>
          <w:szCs w:val="22"/>
        </w:rPr>
        <w:t>Immunisation</w:t>
      </w:r>
    </w:p>
    <w:p w14:paraId="1DFA7D69" w14:textId="300743CA" w:rsidR="00A44065" w:rsidRPr="00E155F3" w:rsidRDefault="00A44065" w:rsidP="00A44065">
      <w:pPr>
        <w:pStyle w:val="NormalWeb"/>
        <w:spacing w:before="0" w:beforeAutospacing="0" w:after="0" w:afterAutospacing="0"/>
        <w:rPr>
          <w:sz w:val="22"/>
          <w:szCs w:val="22"/>
        </w:rPr>
      </w:pPr>
      <w:r w:rsidRPr="00E155F3">
        <w:rPr>
          <w:sz w:val="22"/>
          <w:szCs w:val="22"/>
        </w:rPr>
        <w:t xml:space="preserve">The safety of immunisation with live vaccines during or following </w:t>
      </w:r>
      <w:proofErr w:type="spellStart"/>
      <w:r w:rsidRPr="00E155F3">
        <w:rPr>
          <w:sz w:val="22"/>
          <w:szCs w:val="22"/>
        </w:rPr>
        <w:t>Columvi</w:t>
      </w:r>
      <w:proofErr w:type="spellEnd"/>
      <w:r w:rsidRPr="00E155F3">
        <w:rPr>
          <w:sz w:val="22"/>
          <w:szCs w:val="22"/>
        </w:rPr>
        <w:t xml:space="preserve"> therapy has not been studied. Immunisation with live vaccines is not recommended during </w:t>
      </w:r>
      <w:proofErr w:type="spellStart"/>
      <w:r w:rsidRPr="00E155F3">
        <w:rPr>
          <w:sz w:val="22"/>
          <w:szCs w:val="22"/>
        </w:rPr>
        <w:t>Columvi</w:t>
      </w:r>
      <w:proofErr w:type="spellEnd"/>
      <w:r w:rsidRPr="00E155F3">
        <w:rPr>
          <w:sz w:val="22"/>
          <w:szCs w:val="22"/>
        </w:rPr>
        <w:t xml:space="preserve"> therapy.</w:t>
      </w:r>
    </w:p>
    <w:p w14:paraId="21C07673" w14:textId="77777777" w:rsidR="00A44065" w:rsidRDefault="00A44065" w:rsidP="00A44065">
      <w:pPr>
        <w:pStyle w:val="NormalWeb"/>
        <w:spacing w:before="0" w:beforeAutospacing="0" w:after="0" w:afterAutospacing="0"/>
        <w:rPr>
          <w:szCs w:val="22"/>
        </w:rPr>
      </w:pPr>
    </w:p>
    <w:p w14:paraId="32C77054" w14:textId="496E0D21" w:rsidR="00A44065" w:rsidRPr="003F78EC" w:rsidRDefault="00A44065" w:rsidP="00A44065">
      <w:pPr>
        <w:pStyle w:val="NormalWeb"/>
        <w:spacing w:before="0" w:beforeAutospacing="0" w:after="0" w:afterAutospacing="0"/>
        <w:rPr>
          <w:sz w:val="22"/>
          <w:szCs w:val="22"/>
        </w:rPr>
      </w:pPr>
      <w:r w:rsidRPr="003F78EC">
        <w:rPr>
          <w:b/>
          <w:bCs/>
          <w:color w:val="000000"/>
          <w:sz w:val="22"/>
          <w:szCs w:val="22"/>
        </w:rPr>
        <w:t>Primary Central Nervous System (CNS) lymphoma</w:t>
      </w:r>
    </w:p>
    <w:p w14:paraId="282D1C03" w14:textId="6636547A" w:rsidR="00A44065" w:rsidRDefault="00A44065" w:rsidP="00A44065">
      <w:pPr>
        <w:pStyle w:val="NormalWeb"/>
        <w:spacing w:before="0" w:beforeAutospacing="0" w:after="0" w:afterAutospacing="0"/>
        <w:rPr>
          <w:color w:val="000000"/>
          <w:sz w:val="22"/>
          <w:szCs w:val="22"/>
        </w:rPr>
      </w:pPr>
      <w:r w:rsidRPr="003F78EC">
        <w:rPr>
          <w:color w:val="000000"/>
          <w:sz w:val="22"/>
          <w:szCs w:val="22"/>
        </w:rPr>
        <w:t xml:space="preserve">There is no experience of use of </w:t>
      </w:r>
      <w:proofErr w:type="spellStart"/>
      <w:r w:rsidRPr="003F78EC">
        <w:rPr>
          <w:color w:val="000000"/>
          <w:sz w:val="22"/>
          <w:szCs w:val="22"/>
        </w:rPr>
        <w:t>Columvi</w:t>
      </w:r>
      <w:proofErr w:type="spellEnd"/>
      <w:r w:rsidRPr="003F78EC">
        <w:rPr>
          <w:color w:val="000000"/>
          <w:sz w:val="22"/>
          <w:szCs w:val="22"/>
        </w:rPr>
        <w:t xml:space="preserve"> in patients with primary CNS lymphoma.</w:t>
      </w:r>
      <w:r>
        <w:rPr>
          <w:color w:val="000000"/>
          <w:sz w:val="22"/>
          <w:szCs w:val="22"/>
        </w:rPr>
        <w:t xml:space="preserve"> </w:t>
      </w:r>
      <w:proofErr w:type="gramStart"/>
      <w:r w:rsidRPr="003F78EC">
        <w:rPr>
          <w:color w:val="000000"/>
          <w:sz w:val="22"/>
          <w:szCs w:val="22"/>
        </w:rPr>
        <w:t>Therefore</w:t>
      </w:r>
      <w:proofErr w:type="gramEnd"/>
      <w:r w:rsidRPr="003F78EC">
        <w:rPr>
          <w:color w:val="000000"/>
          <w:sz w:val="22"/>
          <w:szCs w:val="22"/>
        </w:rPr>
        <w:t xml:space="preserve"> the risk/benefit of </w:t>
      </w:r>
      <w:proofErr w:type="spellStart"/>
      <w:r w:rsidRPr="003F78EC">
        <w:rPr>
          <w:color w:val="000000"/>
          <w:sz w:val="22"/>
          <w:szCs w:val="22"/>
        </w:rPr>
        <w:t>Columvi</w:t>
      </w:r>
      <w:proofErr w:type="spellEnd"/>
      <w:r w:rsidRPr="003F78EC">
        <w:rPr>
          <w:color w:val="000000"/>
          <w:sz w:val="22"/>
          <w:szCs w:val="22"/>
        </w:rPr>
        <w:t xml:space="preserve"> has not been established in this population.</w:t>
      </w:r>
    </w:p>
    <w:p w14:paraId="4D53AE7A" w14:textId="77777777" w:rsidR="00A44065" w:rsidRPr="003F78EC" w:rsidRDefault="00A44065" w:rsidP="00A44065">
      <w:pPr>
        <w:pStyle w:val="NormalWeb"/>
        <w:spacing w:before="0" w:beforeAutospacing="0" w:after="0" w:afterAutospacing="0"/>
        <w:rPr>
          <w:sz w:val="22"/>
          <w:szCs w:val="22"/>
        </w:rPr>
      </w:pPr>
    </w:p>
    <w:p w14:paraId="785FC8E9" w14:textId="446F7E05" w:rsidR="00FF21DD" w:rsidRPr="00A44065" w:rsidRDefault="00FF21DD" w:rsidP="00597A0D">
      <w:pPr>
        <w:rPr>
          <w:b/>
          <w:color w:val="auto"/>
          <w:sz w:val="22"/>
          <w:szCs w:val="22"/>
        </w:rPr>
      </w:pPr>
      <w:r w:rsidRPr="00A44065">
        <w:rPr>
          <w:b/>
          <w:color w:val="auto"/>
          <w:sz w:val="22"/>
          <w:szCs w:val="22"/>
        </w:rPr>
        <w:t xml:space="preserve">Use in </w:t>
      </w:r>
      <w:r w:rsidR="00615052" w:rsidRPr="00A44065">
        <w:rPr>
          <w:b/>
          <w:color w:val="auto"/>
          <w:sz w:val="22"/>
          <w:szCs w:val="22"/>
        </w:rPr>
        <w:t xml:space="preserve">Hepatic </w:t>
      </w:r>
      <w:r w:rsidR="00BF3458" w:rsidRPr="00A44065">
        <w:rPr>
          <w:b/>
          <w:color w:val="auto"/>
          <w:sz w:val="22"/>
          <w:szCs w:val="22"/>
        </w:rPr>
        <w:t>I</w:t>
      </w:r>
      <w:r w:rsidR="00615052" w:rsidRPr="00A44065">
        <w:rPr>
          <w:b/>
          <w:color w:val="auto"/>
          <w:sz w:val="22"/>
          <w:szCs w:val="22"/>
        </w:rPr>
        <w:t>mpairment</w:t>
      </w:r>
    </w:p>
    <w:p w14:paraId="0DAB7D45" w14:textId="1D3D796E" w:rsidR="00FF21DD" w:rsidRPr="00A44065" w:rsidRDefault="00526479" w:rsidP="00407592">
      <w:pPr>
        <w:spacing w:after="240"/>
        <w:rPr>
          <w:color w:val="auto"/>
          <w:sz w:val="22"/>
          <w:szCs w:val="22"/>
        </w:rPr>
      </w:pPr>
      <w:r w:rsidRPr="00A44065">
        <w:rPr>
          <w:color w:val="auto"/>
          <w:sz w:val="22"/>
          <w:szCs w:val="22"/>
        </w:rPr>
        <w:t xml:space="preserve">No dose adjustment is required in patients with mild hepatic impairment (total bilirubin &gt; ULN to ≤ 1.5 × ULN or AST &gt; ULN) based on population pharmacokinetic analysis. </w:t>
      </w:r>
      <w:r w:rsidR="00FF21DD" w:rsidRPr="00A44065">
        <w:rPr>
          <w:color w:val="auto"/>
          <w:sz w:val="22"/>
          <w:szCs w:val="22"/>
        </w:rPr>
        <w:t xml:space="preserve">The safety and efficacy of </w:t>
      </w:r>
      <w:proofErr w:type="spellStart"/>
      <w:r w:rsidR="00B719B6" w:rsidRPr="00A44065">
        <w:rPr>
          <w:color w:val="auto"/>
          <w:sz w:val="22"/>
          <w:szCs w:val="22"/>
        </w:rPr>
        <w:t>Columvi</w:t>
      </w:r>
      <w:proofErr w:type="spellEnd"/>
      <w:r w:rsidR="00FF21DD" w:rsidRPr="00A44065">
        <w:rPr>
          <w:color w:val="auto"/>
          <w:sz w:val="22"/>
          <w:szCs w:val="22"/>
        </w:rPr>
        <w:t xml:space="preserve"> in patients with </w:t>
      </w:r>
      <w:r w:rsidRPr="00A44065">
        <w:rPr>
          <w:color w:val="auto"/>
          <w:sz w:val="22"/>
          <w:szCs w:val="22"/>
        </w:rPr>
        <w:t xml:space="preserve">moderate or severe </w:t>
      </w:r>
      <w:r w:rsidR="00FF21DD" w:rsidRPr="00A44065">
        <w:rPr>
          <w:color w:val="auto"/>
          <w:sz w:val="22"/>
          <w:szCs w:val="22"/>
        </w:rPr>
        <w:t>hepatic impairment has not been studied</w:t>
      </w:r>
      <w:r w:rsidR="00577BAB" w:rsidRPr="00A44065">
        <w:rPr>
          <w:color w:val="auto"/>
          <w:sz w:val="22"/>
          <w:szCs w:val="22"/>
        </w:rPr>
        <w:t xml:space="preserve"> (See Section </w:t>
      </w:r>
      <w:r w:rsidR="00577BAB" w:rsidRPr="00A44065">
        <w:rPr>
          <w:i/>
          <w:color w:val="auto"/>
          <w:sz w:val="22"/>
          <w:szCs w:val="22"/>
        </w:rPr>
        <w:t xml:space="preserve">4.2 Dose and Method of Administration </w:t>
      </w:r>
      <w:r w:rsidR="00577BAB" w:rsidRPr="00A44065">
        <w:rPr>
          <w:color w:val="auto"/>
          <w:sz w:val="22"/>
          <w:szCs w:val="22"/>
        </w:rPr>
        <w:t>and Section </w:t>
      </w:r>
      <w:r w:rsidR="00577BAB" w:rsidRPr="00A44065">
        <w:rPr>
          <w:i/>
          <w:color w:val="auto"/>
          <w:sz w:val="22"/>
          <w:szCs w:val="22"/>
        </w:rPr>
        <w:t>5.2 Pharmacokinetics in Special Populations)</w:t>
      </w:r>
      <w:r w:rsidR="00577BAB" w:rsidRPr="00A44065">
        <w:rPr>
          <w:color w:val="auto"/>
          <w:sz w:val="22"/>
          <w:szCs w:val="22"/>
        </w:rPr>
        <w:t>.</w:t>
      </w:r>
    </w:p>
    <w:p w14:paraId="06F185D4" w14:textId="77777777" w:rsidR="00FF21DD" w:rsidRPr="00A44065" w:rsidRDefault="00FF21DD" w:rsidP="00FF21DD">
      <w:pPr>
        <w:pStyle w:val="Heading3"/>
        <w:rPr>
          <w:color w:val="auto"/>
          <w:sz w:val="22"/>
          <w:szCs w:val="22"/>
        </w:rPr>
      </w:pPr>
      <w:r w:rsidRPr="00A44065">
        <w:rPr>
          <w:color w:val="auto"/>
          <w:sz w:val="22"/>
          <w:szCs w:val="22"/>
        </w:rPr>
        <w:t xml:space="preserve">Use in Renal Impairment </w:t>
      </w:r>
    </w:p>
    <w:p w14:paraId="7AA7CD9C" w14:textId="5A6844A8" w:rsidR="00FF21DD" w:rsidRPr="00A44065" w:rsidRDefault="00FF21DD" w:rsidP="00FF21DD">
      <w:pPr>
        <w:rPr>
          <w:color w:val="auto"/>
          <w:sz w:val="22"/>
          <w:szCs w:val="22"/>
        </w:rPr>
      </w:pPr>
      <w:r w:rsidRPr="00A44065">
        <w:rPr>
          <w:color w:val="auto"/>
          <w:sz w:val="22"/>
          <w:szCs w:val="22"/>
        </w:rPr>
        <w:t xml:space="preserve">No dose adjustment is required in patients with mild or moderate renal impairment </w:t>
      </w:r>
      <w:r w:rsidR="00526479" w:rsidRPr="00A44065">
        <w:rPr>
          <w:color w:val="auto"/>
          <w:sz w:val="22"/>
          <w:szCs w:val="22"/>
        </w:rPr>
        <w:t>(</w:t>
      </w:r>
      <w:proofErr w:type="spellStart"/>
      <w:r w:rsidR="00526479" w:rsidRPr="00A44065">
        <w:rPr>
          <w:color w:val="auto"/>
          <w:sz w:val="22"/>
          <w:szCs w:val="22"/>
        </w:rPr>
        <w:t>CrCL</w:t>
      </w:r>
      <w:proofErr w:type="spellEnd"/>
      <w:r w:rsidR="00526479" w:rsidRPr="00A44065">
        <w:rPr>
          <w:color w:val="auto"/>
          <w:sz w:val="22"/>
          <w:szCs w:val="22"/>
        </w:rPr>
        <w:t xml:space="preserve"> 30 to &lt; 90 </w:t>
      </w:r>
      <w:r w:rsidR="00526479" w:rsidRPr="0008620B">
        <w:rPr>
          <w:color w:val="auto"/>
          <w:sz w:val="22"/>
          <w:szCs w:val="22"/>
        </w:rPr>
        <w:t xml:space="preserve">mL/min) </w:t>
      </w:r>
      <w:r w:rsidRPr="0008620B">
        <w:rPr>
          <w:color w:val="auto"/>
          <w:sz w:val="22"/>
          <w:szCs w:val="22"/>
        </w:rPr>
        <w:t xml:space="preserve">based on population pharmacokinetic analysis.  The safety and efficacy of </w:t>
      </w:r>
      <w:proofErr w:type="spellStart"/>
      <w:r w:rsidR="00B719B6" w:rsidRPr="0008620B">
        <w:rPr>
          <w:color w:val="auto"/>
          <w:sz w:val="22"/>
          <w:szCs w:val="22"/>
        </w:rPr>
        <w:t>Columvi</w:t>
      </w:r>
      <w:proofErr w:type="spellEnd"/>
      <w:r w:rsidRPr="0008620B">
        <w:rPr>
          <w:color w:val="auto"/>
          <w:sz w:val="22"/>
          <w:szCs w:val="22"/>
        </w:rPr>
        <w:t xml:space="preserve"> in patients with severe renal impairment has not been studied</w:t>
      </w:r>
      <w:r w:rsidR="00577BAB" w:rsidRPr="00A44065">
        <w:rPr>
          <w:color w:val="auto"/>
          <w:sz w:val="22"/>
          <w:szCs w:val="22"/>
        </w:rPr>
        <w:t xml:space="preserve"> (See Section </w:t>
      </w:r>
      <w:r w:rsidR="00577BAB" w:rsidRPr="00A44065">
        <w:rPr>
          <w:i/>
          <w:color w:val="auto"/>
          <w:sz w:val="22"/>
          <w:szCs w:val="22"/>
        </w:rPr>
        <w:t xml:space="preserve">4.2 Dose and Method of Administration </w:t>
      </w:r>
      <w:r w:rsidR="00577BAB" w:rsidRPr="00A44065">
        <w:rPr>
          <w:color w:val="auto"/>
          <w:sz w:val="22"/>
          <w:szCs w:val="22"/>
        </w:rPr>
        <w:t>and Section </w:t>
      </w:r>
      <w:r w:rsidR="00577BAB" w:rsidRPr="00A44065">
        <w:rPr>
          <w:i/>
          <w:color w:val="auto"/>
          <w:sz w:val="22"/>
          <w:szCs w:val="22"/>
        </w:rPr>
        <w:t>5.2 Pharmacokinetics in Special Populations)</w:t>
      </w:r>
      <w:r w:rsidR="00577BAB" w:rsidRPr="00A44065">
        <w:rPr>
          <w:color w:val="auto"/>
          <w:sz w:val="22"/>
          <w:szCs w:val="22"/>
        </w:rPr>
        <w:t>.</w:t>
      </w:r>
    </w:p>
    <w:p w14:paraId="1287D156" w14:textId="77777777" w:rsidR="00B1134D" w:rsidRPr="00A44065" w:rsidRDefault="00407592" w:rsidP="00FF21DD">
      <w:pPr>
        <w:pStyle w:val="Heading3"/>
        <w:rPr>
          <w:color w:val="auto"/>
          <w:sz w:val="22"/>
          <w:szCs w:val="22"/>
        </w:rPr>
      </w:pPr>
      <w:r w:rsidRPr="00A44065">
        <w:rPr>
          <w:color w:val="auto"/>
          <w:sz w:val="22"/>
          <w:szCs w:val="22"/>
        </w:rPr>
        <w:t>Use in the Elderly</w:t>
      </w:r>
    </w:p>
    <w:p w14:paraId="7F7686DD" w14:textId="500EF1E8" w:rsidR="00FF21DD" w:rsidRPr="00A44065" w:rsidRDefault="00FF21DD" w:rsidP="00FF21DD">
      <w:pPr>
        <w:rPr>
          <w:color w:val="auto"/>
          <w:sz w:val="22"/>
          <w:szCs w:val="22"/>
        </w:rPr>
      </w:pPr>
      <w:r w:rsidRPr="00A44065">
        <w:rPr>
          <w:color w:val="auto"/>
          <w:sz w:val="22"/>
          <w:szCs w:val="22"/>
        </w:rPr>
        <w:t xml:space="preserve">No differences in safety or efficacy of </w:t>
      </w:r>
      <w:proofErr w:type="spellStart"/>
      <w:r w:rsidR="00B719B6" w:rsidRPr="00A44065">
        <w:rPr>
          <w:color w:val="auto"/>
          <w:sz w:val="22"/>
          <w:szCs w:val="22"/>
        </w:rPr>
        <w:t>Columvi</w:t>
      </w:r>
      <w:proofErr w:type="spellEnd"/>
      <w:r w:rsidRPr="00A44065">
        <w:rPr>
          <w:color w:val="auto"/>
          <w:sz w:val="22"/>
          <w:szCs w:val="22"/>
        </w:rPr>
        <w:t xml:space="preserve"> were observed between patients ≥ 65 years of age and those under 65 years.  No dose adjustment of </w:t>
      </w:r>
      <w:proofErr w:type="spellStart"/>
      <w:r w:rsidR="00B719B6" w:rsidRPr="00A44065">
        <w:rPr>
          <w:color w:val="auto"/>
          <w:sz w:val="22"/>
          <w:szCs w:val="22"/>
        </w:rPr>
        <w:t>Columvi</w:t>
      </w:r>
      <w:proofErr w:type="spellEnd"/>
      <w:r w:rsidRPr="00A44065">
        <w:rPr>
          <w:color w:val="auto"/>
          <w:sz w:val="22"/>
          <w:szCs w:val="22"/>
        </w:rPr>
        <w:t xml:space="preserve"> is require</w:t>
      </w:r>
      <w:r w:rsidR="00577BAB" w:rsidRPr="00A44065">
        <w:rPr>
          <w:color w:val="auto"/>
          <w:sz w:val="22"/>
          <w:szCs w:val="22"/>
        </w:rPr>
        <w:t>d in patients ≥ 65 years of age</w:t>
      </w:r>
      <w:r w:rsidRPr="00A44065">
        <w:rPr>
          <w:color w:val="auto"/>
          <w:sz w:val="22"/>
          <w:szCs w:val="22"/>
        </w:rPr>
        <w:t xml:space="preserve"> </w:t>
      </w:r>
      <w:r w:rsidR="00577BAB" w:rsidRPr="00A44065">
        <w:rPr>
          <w:color w:val="auto"/>
          <w:sz w:val="22"/>
          <w:szCs w:val="22"/>
        </w:rPr>
        <w:t>(</w:t>
      </w:r>
      <w:r w:rsidRPr="00A44065">
        <w:rPr>
          <w:color w:val="auto"/>
          <w:sz w:val="22"/>
          <w:szCs w:val="22"/>
        </w:rPr>
        <w:t>See Section </w:t>
      </w:r>
      <w:r w:rsidR="00577BAB" w:rsidRPr="00A44065">
        <w:rPr>
          <w:i/>
          <w:color w:val="auto"/>
          <w:sz w:val="22"/>
          <w:szCs w:val="22"/>
        </w:rPr>
        <w:t xml:space="preserve">4.2 Dose and Method of Administration </w:t>
      </w:r>
      <w:r w:rsidRPr="00A44065">
        <w:rPr>
          <w:color w:val="auto"/>
          <w:sz w:val="22"/>
          <w:szCs w:val="22"/>
        </w:rPr>
        <w:t xml:space="preserve">and </w:t>
      </w:r>
      <w:r w:rsidR="00F13801" w:rsidRPr="00A44065">
        <w:rPr>
          <w:color w:val="auto"/>
          <w:sz w:val="22"/>
          <w:szCs w:val="22"/>
        </w:rPr>
        <w:t>Section </w:t>
      </w:r>
      <w:r w:rsidR="00F13801" w:rsidRPr="00A44065">
        <w:rPr>
          <w:i/>
          <w:color w:val="auto"/>
          <w:sz w:val="22"/>
          <w:szCs w:val="22"/>
        </w:rPr>
        <w:t>5.2 Pharmacokinetics in Special Populations</w:t>
      </w:r>
      <w:r w:rsidR="00577BAB" w:rsidRPr="00A44065">
        <w:rPr>
          <w:i/>
          <w:color w:val="auto"/>
          <w:sz w:val="22"/>
          <w:szCs w:val="22"/>
        </w:rPr>
        <w:t>)</w:t>
      </w:r>
      <w:r w:rsidRPr="00A44065">
        <w:rPr>
          <w:color w:val="auto"/>
          <w:sz w:val="22"/>
          <w:szCs w:val="22"/>
        </w:rPr>
        <w:t>.</w:t>
      </w:r>
    </w:p>
    <w:p w14:paraId="0120B617" w14:textId="77777777" w:rsidR="00B1134D" w:rsidRPr="00A44065" w:rsidRDefault="00407592" w:rsidP="00B1134D">
      <w:pPr>
        <w:pStyle w:val="Heading3"/>
        <w:rPr>
          <w:color w:val="auto"/>
          <w:sz w:val="22"/>
          <w:szCs w:val="22"/>
        </w:rPr>
      </w:pPr>
      <w:r w:rsidRPr="00A44065">
        <w:rPr>
          <w:color w:val="auto"/>
          <w:sz w:val="22"/>
          <w:szCs w:val="22"/>
        </w:rPr>
        <w:t>Paediatric use</w:t>
      </w:r>
    </w:p>
    <w:p w14:paraId="5EF62FC0" w14:textId="68633768" w:rsidR="00FF21DD" w:rsidRPr="00A44065" w:rsidRDefault="00FF21DD" w:rsidP="00FF21DD">
      <w:pPr>
        <w:rPr>
          <w:color w:val="auto"/>
          <w:sz w:val="22"/>
          <w:szCs w:val="22"/>
        </w:rPr>
      </w:pPr>
      <w:r w:rsidRPr="00A44065">
        <w:rPr>
          <w:color w:val="auto"/>
          <w:sz w:val="22"/>
          <w:szCs w:val="22"/>
        </w:rPr>
        <w:t xml:space="preserve">The safety and efficacy of </w:t>
      </w:r>
      <w:proofErr w:type="spellStart"/>
      <w:r w:rsidR="00B719B6" w:rsidRPr="00A44065">
        <w:rPr>
          <w:color w:val="auto"/>
          <w:sz w:val="22"/>
          <w:szCs w:val="22"/>
        </w:rPr>
        <w:t>Columvi</w:t>
      </w:r>
      <w:proofErr w:type="spellEnd"/>
      <w:r w:rsidRPr="00A44065">
        <w:rPr>
          <w:color w:val="auto"/>
          <w:sz w:val="22"/>
          <w:szCs w:val="22"/>
        </w:rPr>
        <w:t xml:space="preserve"> in p</w:t>
      </w:r>
      <w:r w:rsidR="001678B4" w:rsidRPr="00A44065">
        <w:rPr>
          <w:color w:val="auto"/>
          <w:sz w:val="22"/>
          <w:szCs w:val="22"/>
        </w:rPr>
        <w:t>a</w:t>
      </w:r>
      <w:r w:rsidRPr="00A44065">
        <w:rPr>
          <w:color w:val="auto"/>
          <w:sz w:val="22"/>
          <w:szCs w:val="22"/>
        </w:rPr>
        <w:t>ediatric patients have not been established.</w:t>
      </w:r>
    </w:p>
    <w:p w14:paraId="2592B6B7" w14:textId="77777777" w:rsidR="00834C48" w:rsidRPr="00A44065" w:rsidRDefault="00407592" w:rsidP="00B1134D">
      <w:pPr>
        <w:pStyle w:val="Heading3"/>
        <w:rPr>
          <w:color w:val="auto"/>
          <w:sz w:val="22"/>
          <w:szCs w:val="22"/>
        </w:rPr>
      </w:pPr>
      <w:r w:rsidRPr="00A44065">
        <w:rPr>
          <w:color w:val="auto"/>
          <w:sz w:val="22"/>
          <w:szCs w:val="22"/>
        </w:rPr>
        <w:t>Effects on laboratory tests</w:t>
      </w:r>
    </w:p>
    <w:p w14:paraId="087840E2" w14:textId="77777777" w:rsidR="00407592" w:rsidRPr="00A44065" w:rsidRDefault="00407592" w:rsidP="009F4C5B">
      <w:pPr>
        <w:spacing w:after="240"/>
        <w:rPr>
          <w:color w:val="auto"/>
          <w:sz w:val="22"/>
          <w:szCs w:val="22"/>
        </w:rPr>
      </w:pPr>
      <w:r w:rsidRPr="00A44065">
        <w:rPr>
          <w:color w:val="auto"/>
          <w:sz w:val="22"/>
          <w:szCs w:val="22"/>
        </w:rPr>
        <w:t>No data available</w:t>
      </w:r>
      <w:r w:rsidR="00834C48" w:rsidRPr="00A44065">
        <w:rPr>
          <w:color w:val="auto"/>
          <w:sz w:val="22"/>
          <w:szCs w:val="22"/>
        </w:rPr>
        <w:t>.</w:t>
      </w:r>
    </w:p>
    <w:p w14:paraId="085DCCA3" w14:textId="77777777" w:rsidR="00D52399" w:rsidRPr="00A44065" w:rsidRDefault="00902EBE" w:rsidP="009F4C5B">
      <w:pPr>
        <w:pStyle w:val="Heading2"/>
        <w:spacing w:before="0"/>
        <w:rPr>
          <w:color w:val="auto"/>
        </w:rPr>
      </w:pPr>
      <w:r w:rsidRPr="00A44065">
        <w:rPr>
          <w:color w:val="auto"/>
        </w:rPr>
        <w:t>4.5</w:t>
      </w:r>
      <w:r w:rsidRPr="00A44065">
        <w:rPr>
          <w:color w:val="auto"/>
        </w:rPr>
        <w:tab/>
        <w:t>INTERACTION</w:t>
      </w:r>
      <w:r w:rsidR="00177D8C" w:rsidRPr="00A44065">
        <w:rPr>
          <w:color w:val="auto"/>
        </w:rPr>
        <w:t>S</w:t>
      </w:r>
      <w:r w:rsidRPr="00A44065">
        <w:rPr>
          <w:color w:val="auto"/>
        </w:rPr>
        <w:t xml:space="preserve"> WITH OTHER MEDICINES AND OTHER FORMS OF INTERACTION</w:t>
      </w:r>
      <w:r w:rsidR="00177D8C" w:rsidRPr="00A44065">
        <w:rPr>
          <w:color w:val="auto"/>
        </w:rPr>
        <w:t>S</w:t>
      </w:r>
    </w:p>
    <w:p w14:paraId="118034FA" w14:textId="77777777" w:rsidR="00E03FA4" w:rsidRPr="0008620B" w:rsidRDefault="00E03FA4" w:rsidP="00E03FA4">
      <w:pPr>
        <w:pStyle w:val="Paragraph"/>
        <w:rPr>
          <w:rFonts w:ascii="Times New Roman" w:hAnsi="Times New Roman"/>
          <w:szCs w:val="22"/>
          <w:shd w:val="clear" w:color="auto" w:fill="FFFFFF"/>
        </w:rPr>
      </w:pPr>
      <w:r w:rsidRPr="00A44065">
        <w:rPr>
          <w:rFonts w:ascii="Times New Roman" w:hAnsi="Times New Roman"/>
          <w:szCs w:val="22"/>
          <w:shd w:val="clear" w:color="auto" w:fill="FFFFFF"/>
        </w:rPr>
        <w:t>No clinical drug</w:t>
      </w:r>
      <w:r w:rsidRPr="0008620B">
        <w:rPr>
          <w:rFonts w:ascii="Times New Roman" w:hAnsi="Times New Roman"/>
          <w:szCs w:val="22"/>
          <w:shd w:val="clear" w:color="auto" w:fill="FFFFFF"/>
        </w:rPr>
        <w:sym w:font="Symbol" w:char="F02D"/>
      </w:r>
      <w:proofErr w:type="spellStart"/>
      <w:r w:rsidRPr="0008620B">
        <w:rPr>
          <w:rFonts w:ascii="Times New Roman" w:hAnsi="Times New Roman"/>
          <w:szCs w:val="22"/>
          <w:shd w:val="clear" w:color="auto" w:fill="FFFFFF"/>
        </w:rPr>
        <w:t>drug</w:t>
      </w:r>
      <w:proofErr w:type="spellEnd"/>
      <w:r w:rsidRPr="0008620B">
        <w:rPr>
          <w:rFonts w:ascii="Times New Roman" w:hAnsi="Times New Roman"/>
          <w:szCs w:val="22"/>
          <w:shd w:val="clear" w:color="auto" w:fill="FFFFFF"/>
        </w:rPr>
        <w:t xml:space="preserve"> interaction studies have been performed. </w:t>
      </w:r>
    </w:p>
    <w:p w14:paraId="6340D20A" w14:textId="588FF25F" w:rsidR="00A44065" w:rsidRDefault="00A44065" w:rsidP="00A44065">
      <w:pPr>
        <w:pStyle w:val="Paragraph"/>
        <w:rPr>
          <w:rFonts w:ascii="Times New Roman" w:hAnsi="Times New Roman"/>
          <w:szCs w:val="22"/>
        </w:rPr>
      </w:pPr>
      <w:r w:rsidRPr="00D94B92">
        <w:rPr>
          <w:rFonts w:ascii="Times New Roman" w:hAnsi="Times New Roman"/>
          <w:szCs w:val="22"/>
          <w:shd w:val="clear" w:color="auto" w:fill="FFFFFF"/>
        </w:rPr>
        <w:t xml:space="preserve">No interaction studies have been performed. </w:t>
      </w:r>
      <w:r w:rsidRPr="00D94B92">
        <w:rPr>
          <w:rFonts w:ascii="Times New Roman" w:hAnsi="Times New Roman"/>
          <w:szCs w:val="22"/>
        </w:rPr>
        <w:t xml:space="preserve">Though the initial release of cytokines associated with the start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treatment could suppress CYP450 enzymes, these changes would be transient as </w:t>
      </w:r>
      <w:r w:rsidRPr="00D94B92">
        <w:rPr>
          <w:rFonts w:ascii="Times New Roman" w:hAnsi="Times New Roman"/>
          <w:szCs w:val="22"/>
        </w:rPr>
        <w:lastRenderedPageBreak/>
        <w:t xml:space="preserve">cytokine release is only observed with the first doses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w:t>
      </w:r>
      <w:r>
        <w:rPr>
          <w:rFonts w:ascii="Times New Roman" w:hAnsi="Times New Roman"/>
          <w:szCs w:val="22"/>
        </w:rPr>
        <w:t>T</w:t>
      </w:r>
      <w:r w:rsidRPr="00D94B92">
        <w:rPr>
          <w:rFonts w:ascii="Times New Roman" w:hAnsi="Times New Roman"/>
          <w:szCs w:val="22"/>
        </w:rPr>
        <w:t xml:space="preserve">he highest drug-drug interaction risk is during the period of one week following each of the first 2 doses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(i.e., Cycle 1 Day 8 and 15) in patients who are receiving concomitant CYP450 substrates with a narrow therapeutic index (e.g., warfarin, cyclosporine). On initiation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therapy, patients being treated with CYP450 substrates with a narrow therapeutic index should be monitored.</w:t>
      </w:r>
    </w:p>
    <w:p w14:paraId="61CD56C0" w14:textId="0354E99E" w:rsidR="001678B4" w:rsidRPr="0008620B" w:rsidRDefault="001678B4" w:rsidP="00F13801">
      <w:pPr>
        <w:rPr>
          <w:color w:val="auto"/>
        </w:rPr>
      </w:pPr>
    </w:p>
    <w:p w14:paraId="27DD1607" w14:textId="358F9ED6" w:rsidR="00D52399" w:rsidRPr="0008620B" w:rsidRDefault="00902EBE" w:rsidP="001678B4">
      <w:pPr>
        <w:pStyle w:val="Heading2"/>
        <w:spacing w:before="0"/>
        <w:rPr>
          <w:color w:val="auto"/>
        </w:rPr>
      </w:pPr>
      <w:r w:rsidRPr="0008620B">
        <w:rPr>
          <w:color w:val="auto"/>
        </w:rPr>
        <w:t>4.6</w:t>
      </w:r>
      <w:r w:rsidRPr="0008620B">
        <w:rPr>
          <w:color w:val="auto"/>
        </w:rPr>
        <w:tab/>
        <w:t>FERTILITY, PREGNANCY AND LACTATION</w:t>
      </w:r>
    </w:p>
    <w:p w14:paraId="7E931FA9" w14:textId="77777777" w:rsidR="00B328F1" w:rsidRPr="00A44065" w:rsidRDefault="00B328F1" w:rsidP="00B328F1">
      <w:pPr>
        <w:pStyle w:val="Heading3"/>
        <w:rPr>
          <w:color w:val="auto"/>
          <w:sz w:val="22"/>
          <w:szCs w:val="22"/>
        </w:rPr>
      </w:pPr>
      <w:r w:rsidRPr="00A44065">
        <w:rPr>
          <w:color w:val="auto"/>
          <w:sz w:val="22"/>
          <w:szCs w:val="22"/>
        </w:rPr>
        <w:t>Effects on Fertility</w:t>
      </w:r>
    </w:p>
    <w:p w14:paraId="6D329399" w14:textId="4127CF3C" w:rsidR="00B328F1" w:rsidRPr="0008620B" w:rsidRDefault="00B328F1" w:rsidP="00B328F1">
      <w:pPr>
        <w:pStyle w:val="Paragraph"/>
        <w:rPr>
          <w:rFonts w:ascii="Times New Roman" w:hAnsi="Times New Roman"/>
          <w:szCs w:val="22"/>
        </w:rPr>
      </w:pPr>
      <w:r w:rsidRPr="00A44065">
        <w:rPr>
          <w:rFonts w:ascii="Times New Roman" w:hAnsi="Times New Roman"/>
          <w:szCs w:val="22"/>
        </w:rPr>
        <w:t xml:space="preserve">No fertility </w:t>
      </w:r>
      <w:r w:rsidR="003E58D6" w:rsidRPr="00A44065">
        <w:rPr>
          <w:rFonts w:ascii="Times New Roman" w:hAnsi="Times New Roman"/>
          <w:szCs w:val="22"/>
        </w:rPr>
        <w:t>studies</w:t>
      </w:r>
      <w:r w:rsidRPr="0008620B">
        <w:rPr>
          <w:rFonts w:ascii="Times New Roman" w:hAnsi="Times New Roman"/>
          <w:szCs w:val="22"/>
        </w:rPr>
        <w:t xml:space="preserve"> in animals have been performed to evaluate the effect of </w:t>
      </w:r>
      <w:proofErr w:type="spellStart"/>
      <w:r w:rsidR="00B719B6" w:rsidRPr="0008620B">
        <w:rPr>
          <w:rFonts w:ascii="Times New Roman" w:hAnsi="Times New Roman"/>
          <w:szCs w:val="22"/>
        </w:rPr>
        <w:t>Columvi</w:t>
      </w:r>
      <w:proofErr w:type="spellEnd"/>
      <w:r w:rsidRPr="0008620B">
        <w:rPr>
          <w:rFonts w:ascii="Times New Roman" w:hAnsi="Times New Roman"/>
          <w:szCs w:val="22"/>
        </w:rPr>
        <w:t>.</w:t>
      </w:r>
    </w:p>
    <w:p w14:paraId="0070780E" w14:textId="2F460013" w:rsidR="00B328F1" w:rsidRPr="0008620B" w:rsidRDefault="00B328F1" w:rsidP="00B328F1">
      <w:pPr>
        <w:pStyle w:val="Heading3"/>
        <w:rPr>
          <w:color w:val="auto"/>
          <w:sz w:val="22"/>
          <w:szCs w:val="22"/>
        </w:rPr>
      </w:pPr>
      <w:r w:rsidRPr="00A44065">
        <w:rPr>
          <w:color w:val="auto"/>
          <w:sz w:val="22"/>
          <w:szCs w:val="22"/>
        </w:rPr>
        <w:t xml:space="preserve">Use in pregnancy </w:t>
      </w:r>
      <w:r w:rsidR="003E58D6" w:rsidRPr="00A44065">
        <w:rPr>
          <w:color w:val="auto"/>
          <w:sz w:val="22"/>
          <w:szCs w:val="22"/>
        </w:rPr>
        <w:t>- Category C</w:t>
      </w:r>
    </w:p>
    <w:p w14:paraId="057CC953" w14:textId="2E13F3BF" w:rsidR="00E94AEB" w:rsidRPr="00A44065" w:rsidRDefault="00B328F1" w:rsidP="00B328F1">
      <w:pPr>
        <w:rPr>
          <w:color w:val="auto"/>
          <w:sz w:val="22"/>
          <w:szCs w:val="22"/>
        </w:rPr>
      </w:pPr>
      <w:r w:rsidRPr="0008620B">
        <w:rPr>
          <w:color w:val="auto"/>
          <w:sz w:val="22"/>
          <w:szCs w:val="22"/>
        </w:rPr>
        <w:t xml:space="preserve">Female patients of reproductive potential must be advised to avoid pregnancy while receiving </w:t>
      </w:r>
      <w:proofErr w:type="spellStart"/>
      <w:r w:rsidR="00B719B6" w:rsidRPr="0008620B">
        <w:rPr>
          <w:color w:val="auto"/>
          <w:sz w:val="22"/>
          <w:szCs w:val="22"/>
        </w:rPr>
        <w:t>Columvi</w:t>
      </w:r>
      <w:proofErr w:type="spellEnd"/>
      <w:r w:rsidRPr="00A44065">
        <w:rPr>
          <w:color w:val="auto"/>
          <w:sz w:val="22"/>
          <w:szCs w:val="22"/>
        </w:rPr>
        <w:t xml:space="preserve">.  There are no available data on the use of </w:t>
      </w:r>
      <w:proofErr w:type="spellStart"/>
      <w:r w:rsidR="00B719B6" w:rsidRPr="00A44065">
        <w:rPr>
          <w:color w:val="auto"/>
          <w:sz w:val="22"/>
          <w:szCs w:val="22"/>
        </w:rPr>
        <w:t>Columvi</w:t>
      </w:r>
      <w:proofErr w:type="spellEnd"/>
      <w:r w:rsidRPr="00A44065">
        <w:rPr>
          <w:color w:val="auto"/>
          <w:sz w:val="22"/>
          <w:szCs w:val="22"/>
        </w:rPr>
        <w:t xml:space="preserve"> in pregnant women. </w:t>
      </w:r>
      <w:proofErr w:type="spellStart"/>
      <w:r w:rsidRPr="00A44065">
        <w:rPr>
          <w:color w:val="auto"/>
          <w:sz w:val="22"/>
          <w:szCs w:val="22"/>
        </w:rPr>
        <w:t>Glofitamab</w:t>
      </w:r>
      <w:proofErr w:type="spellEnd"/>
      <w:r w:rsidRPr="00A44065">
        <w:rPr>
          <w:color w:val="auto"/>
          <w:sz w:val="22"/>
          <w:szCs w:val="22"/>
        </w:rPr>
        <w:t xml:space="preserve"> is an immunoglobulin G (IgG). IgG is known to cross the placenta.  Based on its mechanism of action, </w:t>
      </w:r>
      <w:proofErr w:type="spellStart"/>
      <w:r w:rsidRPr="00A44065">
        <w:rPr>
          <w:color w:val="auto"/>
          <w:sz w:val="22"/>
          <w:szCs w:val="22"/>
        </w:rPr>
        <w:t>glofitamab</w:t>
      </w:r>
      <w:proofErr w:type="spellEnd"/>
      <w:r w:rsidRPr="00A44065">
        <w:rPr>
          <w:color w:val="auto"/>
          <w:sz w:val="22"/>
          <w:szCs w:val="22"/>
        </w:rPr>
        <w:t xml:space="preserve"> is likely to cause </w:t>
      </w:r>
      <w:proofErr w:type="spellStart"/>
      <w:r w:rsidR="00E94AEB" w:rsidRPr="00A44065">
        <w:rPr>
          <w:color w:val="auto"/>
          <w:sz w:val="22"/>
          <w:szCs w:val="22"/>
        </w:rPr>
        <w:t>fetal</w:t>
      </w:r>
      <w:proofErr w:type="spellEnd"/>
      <w:r w:rsidRPr="0008620B">
        <w:rPr>
          <w:color w:val="auto"/>
          <w:sz w:val="22"/>
          <w:szCs w:val="22"/>
        </w:rPr>
        <w:t xml:space="preserve"> B-cell depletion when administered to a pregnant woman</w:t>
      </w:r>
      <w:r w:rsidR="00E94AEB" w:rsidRPr="00A44065">
        <w:rPr>
          <w:color w:val="auto"/>
          <w:sz w:val="22"/>
          <w:szCs w:val="22"/>
        </w:rPr>
        <w:t xml:space="preserve">, posing a risk of opportunistic infections in the neonate. </w:t>
      </w:r>
      <w:proofErr w:type="spellStart"/>
      <w:r w:rsidR="00E94AEB" w:rsidRPr="00A44065">
        <w:rPr>
          <w:color w:val="auto"/>
          <w:sz w:val="22"/>
          <w:szCs w:val="22"/>
        </w:rPr>
        <w:t>Glofitamab</w:t>
      </w:r>
      <w:proofErr w:type="spellEnd"/>
      <w:r w:rsidR="00E94AEB" w:rsidRPr="00A44065">
        <w:rPr>
          <w:color w:val="auto"/>
          <w:sz w:val="22"/>
          <w:szCs w:val="22"/>
        </w:rPr>
        <w:t xml:space="preserve">-induced cytokine release may also pose a risk for </w:t>
      </w:r>
      <w:proofErr w:type="spellStart"/>
      <w:r w:rsidR="00E94AEB" w:rsidRPr="00A44065">
        <w:rPr>
          <w:color w:val="auto"/>
          <w:sz w:val="22"/>
          <w:szCs w:val="22"/>
        </w:rPr>
        <w:t>embryofetal</w:t>
      </w:r>
      <w:proofErr w:type="spellEnd"/>
      <w:r w:rsidR="00E94AEB" w:rsidRPr="00A44065">
        <w:rPr>
          <w:color w:val="auto"/>
          <w:sz w:val="22"/>
          <w:szCs w:val="22"/>
        </w:rPr>
        <w:t xml:space="preserve"> loss. The risk of malformations </w:t>
      </w:r>
      <w:proofErr w:type="gramStart"/>
      <w:r w:rsidR="00E94AEB" w:rsidRPr="00A44065">
        <w:rPr>
          <w:color w:val="auto"/>
          <w:sz w:val="22"/>
          <w:szCs w:val="22"/>
        </w:rPr>
        <w:t>is considered to be</w:t>
      </w:r>
      <w:proofErr w:type="gramEnd"/>
      <w:r w:rsidR="00E94AEB" w:rsidRPr="00A44065">
        <w:rPr>
          <w:color w:val="auto"/>
          <w:sz w:val="22"/>
          <w:szCs w:val="22"/>
        </w:rPr>
        <w:t xml:space="preserve"> low. </w:t>
      </w:r>
    </w:p>
    <w:p w14:paraId="75BA7485" w14:textId="6CD51B9E" w:rsidR="00B328F1" w:rsidRPr="0008620B" w:rsidRDefault="00E94AEB" w:rsidP="00B328F1">
      <w:pPr>
        <w:rPr>
          <w:color w:val="auto"/>
          <w:sz w:val="22"/>
          <w:szCs w:val="22"/>
        </w:rPr>
      </w:pPr>
      <w:r w:rsidRPr="00A44065">
        <w:rPr>
          <w:color w:val="auto"/>
          <w:sz w:val="22"/>
          <w:szCs w:val="22"/>
        </w:rPr>
        <w:t xml:space="preserve">Postponing vaccination with live or live-attenuated vaccines is recommended for neonates and infants who have been exposed to </w:t>
      </w:r>
      <w:proofErr w:type="spellStart"/>
      <w:r w:rsidRPr="00A44065">
        <w:rPr>
          <w:color w:val="auto"/>
          <w:sz w:val="22"/>
          <w:szCs w:val="22"/>
        </w:rPr>
        <w:t>glofitamab</w:t>
      </w:r>
      <w:proofErr w:type="spellEnd"/>
      <w:r w:rsidRPr="00A44065">
        <w:rPr>
          <w:color w:val="auto"/>
          <w:sz w:val="22"/>
          <w:szCs w:val="22"/>
        </w:rPr>
        <w:t xml:space="preserve"> </w:t>
      </w:r>
      <w:r w:rsidRPr="00A44065">
        <w:rPr>
          <w:i/>
          <w:color w:val="auto"/>
          <w:sz w:val="22"/>
          <w:szCs w:val="22"/>
        </w:rPr>
        <w:t>in utero</w:t>
      </w:r>
      <w:r w:rsidRPr="00A44065">
        <w:rPr>
          <w:color w:val="auto"/>
          <w:sz w:val="22"/>
          <w:szCs w:val="22"/>
        </w:rPr>
        <w:t xml:space="preserve"> until B-cell levels have recovered</w:t>
      </w:r>
      <w:r w:rsidR="00B328F1" w:rsidRPr="00A44065">
        <w:rPr>
          <w:color w:val="auto"/>
          <w:sz w:val="22"/>
          <w:szCs w:val="22"/>
        </w:rPr>
        <w:t>.</w:t>
      </w:r>
      <w:r w:rsidR="00B328F1" w:rsidRPr="0008620B">
        <w:rPr>
          <w:color w:val="auto"/>
          <w:sz w:val="22"/>
          <w:szCs w:val="22"/>
        </w:rPr>
        <w:t xml:space="preserve"> Female patients receiving </w:t>
      </w:r>
      <w:proofErr w:type="spellStart"/>
      <w:r w:rsidR="00B719B6" w:rsidRPr="0008620B">
        <w:rPr>
          <w:color w:val="auto"/>
          <w:sz w:val="22"/>
          <w:szCs w:val="22"/>
        </w:rPr>
        <w:t>Columvi</w:t>
      </w:r>
      <w:proofErr w:type="spellEnd"/>
      <w:r w:rsidR="00B328F1" w:rsidRPr="0008620B">
        <w:rPr>
          <w:color w:val="auto"/>
          <w:sz w:val="22"/>
          <w:szCs w:val="22"/>
        </w:rPr>
        <w:t xml:space="preserve"> should be advised of the potential harm to the</w:t>
      </w:r>
      <w:r w:rsidRPr="00A44065">
        <w:rPr>
          <w:color w:val="auto"/>
          <w:sz w:val="22"/>
          <w:szCs w:val="22"/>
        </w:rPr>
        <w:t xml:space="preserve"> </w:t>
      </w:r>
      <w:proofErr w:type="spellStart"/>
      <w:r w:rsidRPr="00A44065">
        <w:rPr>
          <w:color w:val="auto"/>
          <w:sz w:val="22"/>
          <w:szCs w:val="22"/>
        </w:rPr>
        <w:t>fetus</w:t>
      </w:r>
      <w:proofErr w:type="spellEnd"/>
      <w:r w:rsidR="00B328F1" w:rsidRPr="00A44065">
        <w:rPr>
          <w:color w:val="auto"/>
          <w:sz w:val="22"/>
          <w:szCs w:val="22"/>
        </w:rPr>
        <w:t>.</w:t>
      </w:r>
      <w:r w:rsidR="00B328F1" w:rsidRPr="0008620B">
        <w:rPr>
          <w:color w:val="auto"/>
          <w:sz w:val="22"/>
          <w:szCs w:val="22"/>
        </w:rPr>
        <w:t xml:space="preserve"> Female patients should be advised to contact the treating physician, should pregnancy occur.</w:t>
      </w:r>
    </w:p>
    <w:p w14:paraId="6FDA4A71" w14:textId="77777777" w:rsidR="00FF21DD" w:rsidRPr="0008620B" w:rsidRDefault="00FF21DD" w:rsidP="00B328F1">
      <w:pPr>
        <w:pStyle w:val="ParagraphList"/>
        <w:spacing w:before="240"/>
        <w:rPr>
          <w:rFonts w:ascii="Times New Roman" w:hAnsi="Times New Roman"/>
          <w:b/>
          <w:szCs w:val="22"/>
        </w:rPr>
      </w:pPr>
      <w:r w:rsidRPr="0008620B">
        <w:rPr>
          <w:rFonts w:ascii="Times New Roman" w:hAnsi="Times New Roman"/>
          <w:b/>
          <w:szCs w:val="22"/>
        </w:rPr>
        <w:t>Contraception</w:t>
      </w:r>
    </w:p>
    <w:p w14:paraId="2466BCBA" w14:textId="46916B71" w:rsidR="00FF21DD" w:rsidRPr="00A44065" w:rsidRDefault="00FF21DD" w:rsidP="00B328F1">
      <w:pPr>
        <w:pStyle w:val="Heading3"/>
        <w:spacing w:before="0"/>
        <w:rPr>
          <w:b w:val="0"/>
          <w:color w:val="auto"/>
          <w:sz w:val="22"/>
          <w:szCs w:val="22"/>
        </w:rPr>
      </w:pPr>
      <w:r w:rsidRPr="0008620B">
        <w:rPr>
          <w:b w:val="0"/>
          <w:color w:val="auto"/>
          <w:sz w:val="22"/>
          <w:szCs w:val="22"/>
        </w:rPr>
        <w:t xml:space="preserve">Female patients of reproductive potential must use highly effective contraceptive methods during treatment and for at least 2 months following the last dose of </w:t>
      </w:r>
      <w:proofErr w:type="spellStart"/>
      <w:r w:rsidR="00B719B6" w:rsidRPr="00A44065">
        <w:rPr>
          <w:b w:val="0"/>
          <w:color w:val="auto"/>
          <w:sz w:val="22"/>
          <w:szCs w:val="22"/>
        </w:rPr>
        <w:t>Columvi</w:t>
      </w:r>
      <w:proofErr w:type="spellEnd"/>
      <w:r w:rsidRPr="00A44065">
        <w:rPr>
          <w:b w:val="0"/>
          <w:color w:val="auto"/>
          <w:sz w:val="22"/>
          <w:szCs w:val="22"/>
        </w:rPr>
        <w:t>.</w:t>
      </w:r>
    </w:p>
    <w:p w14:paraId="19CF6DE5" w14:textId="77777777" w:rsidR="001678B4" w:rsidRPr="00A44065" w:rsidRDefault="001678B4" w:rsidP="00E64D9F">
      <w:pPr>
        <w:rPr>
          <w:color w:val="auto"/>
          <w:sz w:val="22"/>
          <w:szCs w:val="22"/>
        </w:rPr>
      </w:pPr>
    </w:p>
    <w:p w14:paraId="4AD5AC34" w14:textId="5A6AC1B5" w:rsidR="00E03FA4" w:rsidRPr="00A44065" w:rsidRDefault="00E03FA4" w:rsidP="00E03FA4">
      <w:pPr>
        <w:pStyle w:val="ParagraphList"/>
        <w:rPr>
          <w:rFonts w:ascii="Times New Roman" w:hAnsi="Times New Roman"/>
          <w:b/>
          <w:szCs w:val="22"/>
        </w:rPr>
      </w:pPr>
      <w:proofErr w:type="spellStart"/>
      <w:r w:rsidRPr="00A44065">
        <w:rPr>
          <w:rFonts w:ascii="Times New Roman" w:hAnsi="Times New Roman"/>
          <w:b/>
          <w:szCs w:val="22"/>
        </w:rPr>
        <w:t>Labo</w:t>
      </w:r>
      <w:r w:rsidR="001678B4" w:rsidRPr="00A44065">
        <w:rPr>
          <w:rFonts w:ascii="Times New Roman" w:hAnsi="Times New Roman"/>
          <w:b/>
          <w:szCs w:val="22"/>
        </w:rPr>
        <w:t>u</w:t>
      </w:r>
      <w:r w:rsidRPr="00A44065">
        <w:rPr>
          <w:rFonts w:ascii="Times New Roman" w:hAnsi="Times New Roman"/>
          <w:b/>
          <w:szCs w:val="22"/>
        </w:rPr>
        <w:t>r</w:t>
      </w:r>
      <w:proofErr w:type="spellEnd"/>
      <w:r w:rsidRPr="00A44065">
        <w:rPr>
          <w:rFonts w:ascii="Times New Roman" w:hAnsi="Times New Roman"/>
          <w:b/>
          <w:szCs w:val="22"/>
        </w:rPr>
        <w:t xml:space="preserve"> and Delivery </w:t>
      </w:r>
    </w:p>
    <w:p w14:paraId="023C18DE" w14:textId="53D3AF62" w:rsidR="00E03FA4" w:rsidRPr="00A44065" w:rsidRDefault="00E03FA4" w:rsidP="00E03FA4">
      <w:pPr>
        <w:pStyle w:val="Paragraph"/>
        <w:spacing w:after="240" w:line="240" w:lineRule="auto"/>
        <w:rPr>
          <w:rFonts w:ascii="Times New Roman" w:hAnsi="Times New Roman"/>
          <w:szCs w:val="22"/>
        </w:rPr>
      </w:pPr>
      <w:r w:rsidRPr="00A44065">
        <w:rPr>
          <w:rFonts w:ascii="Times New Roman" w:hAnsi="Times New Roman"/>
          <w:szCs w:val="22"/>
        </w:rPr>
        <w:t xml:space="preserve">The safe use of </w:t>
      </w:r>
      <w:proofErr w:type="spellStart"/>
      <w:r w:rsidR="00B719B6" w:rsidRPr="00A44065">
        <w:rPr>
          <w:rFonts w:ascii="Times New Roman" w:hAnsi="Times New Roman"/>
          <w:szCs w:val="22"/>
        </w:rPr>
        <w:t>Columvi</w:t>
      </w:r>
      <w:proofErr w:type="spellEnd"/>
      <w:r w:rsidRPr="00A44065">
        <w:rPr>
          <w:rFonts w:ascii="Times New Roman" w:hAnsi="Times New Roman"/>
          <w:szCs w:val="22"/>
        </w:rPr>
        <w:t xml:space="preserve"> during </w:t>
      </w:r>
      <w:proofErr w:type="spellStart"/>
      <w:r w:rsidRPr="00A44065">
        <w:rPr>
          <w:rFonts w:ascii="Times New Roman" w:hAnsi="Times New Roman"/>
          <w:szCs w:val="22"/>
        </w:rPr>
        <w:t>labo</w:t>
      </w:r>
      <w:r w:rsidR="001678B4" w:rsidRPr="00A44065">
        <w:rPr>
          <w:rFonts w:ascii="Times New Roman" w:hAnsi="Times New Roman"/>
          <w:szCs w:val="22"/>
        </w:rPr>
        <w:t>u</w:t>
      </w:r>
      <w:r w:rsidRPr="00A44065">
        <w:rPr>
          <w:rFonts w:ascii="Times New Roman" w:hAnsi="Times New Roman"/>
          <w:szCs w:val="22"/>
        </w:rPr>
        <w:t>r</w:t>
      </w:r>
      <w:proofErr w:type="spellEnd"/>
      <w:r w:rsidRPr="00A44065">
        <w:rPr>
          <w:rFonts w:ascii="Times New Roman" w:hAnsi="Times New Roman"/>
          <w:szCs w:val="22"/>
        </w:rPr>
        <w:t xml:space="preserve"> and delivery has not been established.</w:t>
      </w:r>
    </w:p>
    <w:p w14:paraId="5692A52F" w14:textId="77777777" w:rsidR="00834C48" w:rsidRPr="00A44065" w:rsidRDefault="00674CFD" w:rsidP="00B1498F">
      <w:pPr>
        <w:pStyle w:val="Heading3"/>
        <w:rPr>
          <w:color w:val="auto"/>
          <w:sz w:val="22"/>
          <w:szCs w:val="22"/>
        </w:rPr>
      </w:pPr>
      <w:r w:rsidRPr="00A44065">
        <w:rPr>
          <w:color w:val="auto"/>
          <w:sz w:val="22"/>
          <w:szCs w:val="22"/>
        </w:rPr>
        <w:t>Use in lactation</w:t>
      </w:r>
      <w:r w:rsidR="00834C48" w:rsidRPr="00A44065">
        <w:rPr>
          <w:color w:val="auto"/>
          <w:sz w:val="22"/>
          <w:szCs w:val="22"/>
        </w:rPr>
        <w:t xml:space="preserve"> </w:t>
      </w:r>
    </w:p>
    <w:p w14:paraId="52D7E02E" w14:textId="34940FF5" w:rsidR="00E64D9F" w:rsidRPr="00A44065" w:rsidRDefault="00E64D9F" w:rsidP="00E64D9F">
      <w:pPr>
        <w:rPr>
          <w:color w:val="auto"/>
          <w:sz w:val="22"/>
          <w:szCs w:val="22"/>
        </w:rPr>
      </w:pPr>
      <w:r w:rsidRPr="00A44065">
        <w:rPr>
          <w:color w:val="auto"/>
          <w:sz w:val="22"/>
          <w:szCs w:val="22"/>
        </w:rPr>
        <w:t xml:space="preserve">It is not known whether </w:t>
      </w:r>
      <w:proofErr w:type="spellStart"/>
      <w:r w:rsidRPr="00A44065">
        <w:rPr>
          <w:color w:val="auto"/>
          <w:sz w:val="22"/>
          <w:szCs w:val="22"/>
        </w:rPr>
        <w:t>glofitamab</w:t>
      </w:r>
      <w:proofErr w:type="spellEnd"/>
      <w:r w:rsidRPr="00A44065">
        <w:rPr>
          <w:color w:val="auto"/>
          <w:sz w:val="22"/>
          <w:szCs w:val="22"/>
        </w:rPr>
        <w:t xml:space="preserve"> is excreted in human milk.  No studies have been conducted to assess the impact of </w:t>
      </w:r>
      <w:proofErr w:type="spellStart"/>
      <w:r w:rsidRPr="00A44065">
        <w:rPr>
          <w:color w:val="auto"/>
          <w:sz w:val="22"/>
          <w:szCs w:val="22"/>
        </w:rPr>
        <w:t>glofitamab</w:t>
      </w:r>
      <w:proofErr w:type="spellEnd"/>
      <w:r w:rsidRPr="00A44065">
        <w:rPr>
          <w:color w:val="auto"/>
          <w:sz w:val="22"/>
          <w:szCs w:val="22"/>
        </w:rPr>
        <w:t xml:space="preserve"> on milk production </w:t>
      </w:r>
      <w:r w:rsidR="001678B4" w:rsidRPr="00A44065">
        <w:rPr>
          <w:color w:val="auto"/>
          <w:sz w:val="22"/>
          <w:szCs w:val="22"/>
        </w:rPr>
        <w:t xml:space="preserve">or its presence in human milk. </w:t>
      </w:r>
      <w:r w:rsidRPr="00A44065">
        <w:rPr>
          <w:color w:val="auto"/>
          <w:sz w:val="22"/>
          <w:szCs w:val="22"/>
        </w:rPr>
        <w:t xml:space="preserve">Human IgG is known to be present in human milk.  The potential for absorption of </w:t>
      </w:r>
      <w:proofErr w:type="spellStart"/>
      <w:r w:rsidRPr="00A44065">
        <w:rPr>
          <w:color w:val="auto"/>
          <w:sz w:val="22"/>
          <w:szCs w:val="22"/>
        </w:rPr>
        <w:t>glofitamab</w:t>
      </w:r>
      <w:proofErr w:type="spellEnd"/>
      <w:r w:rsidRPr="00A44065">
        <w:rPr>
          <w:color w:val="auto"/>
          <w:sz w:val="22"/>
          <w:szCs w:val="22"/>
        </w:rPr>
        <w:t xml:space="preserve"> and the potential for adverse reactions in the nursing infant is unknown.  Women should be advised to discontinue breastfeeding during treatment with </w:t>
      </w:r>
      <w:proofErr w:type="spellStart"/>
      <w:r w:rsidR="00B719B6" w:rsidRPr="00A44065">
        <w:rPr>
          <w:color w:val="auto"/>
          <w:sz w:val="22"/>
          <w:szCs w:val="22"/>
        </w:rPr>
        <w:t>Columvi</w:t>
      </w:r>
      <w:proofErr w:type="spellEnd"/>
      <w:r w:rsidRPr="00A44065">
        <w:rPr>
          <w:color w:val="auto"/>
          <w:sz w:val="22"/>
          <w:szCs w:val="22"/>
        </w:rPr>
        <w:t xml:space="preserve"> and for 2 months after the last dose of </w:t>
      </w:r>
      <w:proofErr w:type="spellStart"/>
      <w:r w:rsidR="00B719B6" w:rsidRPr="00A44065">
        <w:rPr>
          <w:color w:val="auto"/>
          <w:sz w:val="22"/>
          <w:szCs w:val="22"/>
        </w:rPr>
        <w:t>Columvi</w:t>
      </w:r>
      <w:proofErr w:type="spellEnd"/>
      <w:r w:rsidRPr="00A44065">
        <w:rPr>
          <w:color w:val="auto"/>
          <w:sz w:val="22"/>
          <w:szCs w:val="22"/>
        </w:rPr>
        <w:t>.</w:t>
      </w:r>
    </w:p>
    <w:p w14:paraId="3EC028F7" w14:textId="77777777" w:rsidR="00834C48" w:rsidRPr="00A44065" w:rsidRDefault="00834C48" w:rsidP="003E51CC">
      <w:pPr>
        <w:rPr>
          <w:color w:val="auto"/>
        </w:rPr>
      </w:pPr>
    </w:p>
    <w:p w14:paraId="3C72888A" w14:textId="77777777" w:rsidR="00D52399" w:rsidRPr="00A44065" w:rsidRDefault="00902EBE" w:rsidP="009F4C5B">
      <w:pPr>
        <w:pStyle w:val="Heading2"/>
        <w:spacing w:before="0"/>
        <w:rPr>
          <w:color w:val="auto"/>
        </w:rPr>
      </w:pPr>
      <w:r w:rsidRPr="00A44065">
        <w:rPr>
          <w:color w:val="auto"/>
        </w:rPr>
        <w:t>4.7</w:t>
      </w:r>
      <w:r w:rsidRPr="00A44065">
        <w:rPr>
          <w:color w:val="auto"/>
        </w:rPr>
        <w:tab/>
        <w:t>EFFECTS ON ABILITY TO DRIVE AND USE MACHINES</w:t>
      </w:r>
    </w:p>
    <w:p w14:paraId="10ECEB1B" w14:textId="2F34F768" w:rsidR="00D52399" w:rsidRPr="00A44065" w:rsidRDefault="00B719B6">
      <w:pPr>
        <w:rPr>
          <w:color w:val="auto"/>
          <w:sz w:val="22"/>
        </w:rPr>
      </w:pPr>
      <w:proofErr w:type="spellStart"/>
      <w:r w:rsidRPr="00A44065">
        <w:rPr>
          <w:color w:val="auto"/>
          <w:sz w:val="22"/>
        </w:rPr>
        <w:t>Columvi</w:t>
      </w:r>
      <w:proofErr w:type="spellEnd"/>
      <w:r w:rsidR="00E03FA4" w:rsidRPr="00A44065">
        <w:rPr>
          <w:color w:val="auto"/>
          <w:sz w:val="22"/>
        </w:rPr>
        <w:t xml:space="preserve"> has no or negligible influence on the ability to drive and use machines.  Patients experiencing symptoms of CRS (</w:t>
      </w:r>
      <w:r w:rsidR="00E03FA4" w:rsidRPr="00A44065">
        <w:rPr>
          <w:color w:val="auto"/>
          <w:sz w:val="22"/>
          <w:szCs w:val="22"/>
        </w:rPr>
        <w:t>pyrexia, tachycardia, hypotension, chills, hypoxia</w:t>
      </w:r>
      <w:r w:rsidR="00E03FA4" w:rsidRPr="00A44065">
        <w:rPr>
          <w:color w:val="auto"/>
          <w:sz w:val="22"/>
        </w:rPr>
        <w:t>) should be advised not to drive or use machines until symptoms resolve.</w:t>
      </w:r>
    </w:p>
    <w:p w14:paraId="53E533AF" w14:textId="77777777" w:rsidR="00F13801" w:rsidRPr="00A44065" w:rsidRDefault="00F13801">
      <w:pPr>
        <w:rPr>
          <w:color w:val="auto"/>
        </w:rPr>
      </w:pPr>
    </w:p>
    <w:p w14:paraId="74EDE97B" w14:textId="77777777" w:rsidR="00D52399" w:rsidRPr="00A44065" w:rsidRDefault="00902EBE" w:rsidP="009F4C5B">
      <w:pPr>
        <w:pStyle w:val="Heading2"/>
        <w:spacing w:before="0"/>
        <w:rPr>
          <w:color w:val="auto"/>
        </w:rPr>
      </w:pPr>
      <w:r w:rsidRPr="00A44065">
        <w:rPr>
          <w:color w:val="auto"/>
        </w:rPr>
        <w:t>4.8</w:t>
      </w:r>
      <w:r w:rsidRPr="00A44065">
        <w:rPr>
          <w:color w:val="auto"/>
        </w:rPr>
        <w:tab/>
      </w:r>
      <w:r w:rsidR="00E64D9F" w:rsidRPr="00A44065">
        <w:rPr>
          <w:color w:val="auto"/>
        </w:rPr>
        <w:t>A</w:t>
      </w:r>
      <w:r w:rsidRPr="00A44065">
        <w:rPr>
          <w:color w:val="auto"/>
        </w:rPr>
        <w:t>DVERSE EFFECTS (UNDESIRABLE EFFECTS)</w:t>
      </w:r>
    </w:p>
    <w:p w14:paraId="03750ABF" w14:textId="77777777" w:rsidR="00E03FA4" w:rsidRPr="0008620B" w:rsidRDefault="00E03FA4" w:rsidP="00FF21DD">
      <w:pPr>
        <w:pStyle w:val="ParagraphList"/>
        <w:spacing w:after="120"/>
        <w:rPr>
          <w:rFonts w:ascii="Times New Roman" w:hAnsi="Times New Roman"/>
          <w:b/>
        </w:rPr>
      </w:pPr>
      <w:r w:rsidRPr="00A44065">
        <w:rPr>
          <w:rFonts w:ascii="Times New Roman" w:hAnsi="Times New Roman"/>
          <w:b/>
        </w:rPr>
        <w:t>Summary of the safety profile</w:t>
      </w:r>
    </w:p>
    <w:p w14:paraId="3C29F29D" w14:textId="62FCC70E" w:rsidR="00E03FA4" w:rsidRPr="0008620B" w:rsidRDefault="00B719B6" w:rsidP="00FF21DD">
      <w:pPr>
        <w:pStyle w:val="ParagraphList"/>
        <w:rPr>
          <w:rFonts w:ascii="Times New Roman" w:hAnsi="Times New Roman"/>
          <w:b/>
          <w:i/>
        </w:rPr>
      </w:pPr>
      <w:proofErr w:type="spellStart"/>
      <w:r w:rsidRPr="0008620B">
        <w:rPr>
          <w:rFonts w:ascii="Times New Roman" w:hAnsi="Times New Roman"/>
          <w:b/>
          <w:i/>
        </w:rPr>
        <w:t>Columvi</w:t>
      </w:r>
      <w:proofErr w:type="spellEnd"/>
      <w:r w:rsidR="00E03FA4" w:rsidRPr="0008620B">
        <w:rPr>
          <w:rFonts w:ascii="Times New Roman" w:hAnsi="Times New Roman"/>
          <w:b/>
          <w:i/>
        </w:rPr>
        <w:t xml:space="preserve"> monotherapy</w:t>
      </w:r>
      <w:r w:rsidR="006258DD">
        <w:rPr>
          <w:rFonts w:ascii="Times New Roman" w:hAnsi="Times New Roman"/>
          <w:b/>
          <w:i/>
        </w:rPr>
        <w:t xml:space="preserve"> </w:t>
      </w:r>
      <w:r w:rsidR="00F36856">
        <w:rPr>
          <w:rFonts w:ascii="Times New Roman" w:hAnsi="Times New Roman"/>
          <w:b/>
          <w:i/>
        </w:rPr>
        <w:t>w</w:t>
      </w:r>
      <w:r w:rsidR="006258DD">
        <w:rPr>
          <w:rFonts w:ascii="Times New Roman" w:hAnsi="Times New Roman"/>
          <w:b/>
          <w:i/>
        </w:rPr>
        <w:t xml:space="preserve">ith </w:t>
      </w:r>
      <w:proofErr w:type="spellStart"/>
      <w:r w:rsidR="006258DD">
        <w:rPr>
          <w:rFonts w:ascii="Times New Roman" w:hAnsi="Times New Roman"/>
          <w:b/>
          <w:i/>
        </w:rPr>
        <w:t>obinutuzumab</w:t>
      </w:r>
      <w:proofErr w:type="spellEnd"/>
      <w:r w:rsidR="006258DD">
        <w:rPr>
          <w:rFonts w:ascii="Times New Roman" w:hAnsi="Times New Roman"/>
          <w:b/>
          <w:i/>
        </w:rPr>
        <w:t xml:space="preserve"> pretreatment</w:t>
      </w:r>
    </w:p>
    <w:p w14:paraId="304D57D7" w14:textId="59DCB2C9" w:rsidR="00E03FA4" w:rsidRPr="00A44065" w:rsidRDefault="00E03FA4" w:rsidP="00FF21DD">
      <w:pPr>
        <w:pStyle w:val="Paragraph"/>
        <w:rPr>
          <w:rFonts w:ascii="Times New Roman" w:hAnsi="Times New Roman"/>
        </w:rPr>
      </w:pPr>
      <w:r w:rsidRPr="00A44065">
        <w:rPr>
          <w:rFonts w:ascii="Times New Roman" w:hAnsi="Times New Roman"/>
        </w:rPr>
        <w:t xml:space="preserve">Approximately </w:t>
      </w:r>
      <w:r w:rsidR="00F46469" w:rsidRPr="00A44065">
        <w:rPr>
          <w:rFonts w:ascii="Times New Roman" w:hAnsi="Times New Roman"/>
        </w:rPr>
        <w:t>469 </w:t>
      </w:r>
      <w:r w:rsidRPr="00A44065">
        <w:rPr>
          <w:rFonts w:ascii="Times New Roman" w:hAnsi="Times New Roman"/>
        </w:rPr>
        <w:t xml:space="preserve">patients with relapsed or refractory non-Hodgkin’s lymphoma have received </w:t>
      </w:r>
      <w:proofErr w:type="spellStart"/>
      <w:r w:rsidR="00B719B6" w:rsidRPr="00A44065">
        <w:rPr>
          <w:rFonts w:ascii="Times New Roman" w:hAnsi="Times New Roman"/>
        </w:rPr>
        <w:t>Columvi</w:t>
      </w:r>
      <w:proofErr w:type="spellEnd"/>
      <w:r w:rsidRPr="00A44065">
        <w:rPr>
          <w:rFonts w:ascii="Times New Roman" w:hAnsi="Times New Roman"/>
        </w:rPr>
        <w:t xml:space="preserve"> as monotherapy in the clinical development program of </w:t>
      </w:r>
      <w:proofErr w:type="spellStart"/>
      <w:r w:rsidR="00B719B6" w:rsidRPr="00A44065">
        <w:rPr>
          <w:rFonts w:ascii="Times New Roman" w:hAnsi="Times New Roman"/>
        </w:rPr>
        <w:t>Columvi</w:t>
      </w:r>
      <w:proofErr w:type="spellEnd"/>
      <w:r w:rsidRPr="00A44065">
        <w:rPr>
          <w:rFonts w:ascii="Times New Roman" w:hAnsi="Times New Roman"/>
        </w:rPr>
        <w:t xml:space="preserve">. </w:t>
      </w:r>
    </w:p>
    <w:p w14:paraId="222F8EAD" w14:textId="2AE34EB3" w:rsidR="00E03FA4" w:rsidRPr="00A44065" w:rsidRDefault="00E03FA4" w:rsidP="00FF21DD">
      <w:pPr>
        <w:pStyle w:val="Paragraph"/>
        <w:rPr>
          <w:rFonts w:ascii="Times New Roman" w:hAnsi="Times New Roman"/>
        </w:rPr>
      </w:pPr>
      <w:r w:rsidRPr="00A44065">
        <w:rPr>
          <w:rFonts w:ascii="Times New Roman" w:hAnsi="Times New Roman"/>
        </w:rPr>
        <w:lastRenderedPageBreak/>
        <w:t xml:space="preserve">The adverse drug reactions described below were identified from </w:t>
      </w:r>
      <w:r w:rsidR="00F46469" w:rsidRPr="00A44065">
        <w:rPr>
          <w:rFonts w:ascii="Times New Roman" w:hAnsi="Times New Roman"/>
        </w:rPr>
        <w:t>154 </w:t>
      </w:r>
      <w:r w:rsidRPr="00A44065">
        <w:rPr>
          <w:rFonts w:ascii="Times New Roman" w:hAnsi="Times New Roman"/>
        </w:rPr>
        <w:t xml:space="preserve">patients with relapsed or refractory DLBCL, who had received at least two prior lines of systemic therapy, including </w:t>
      </w:r>
      <w:r w:rsidRPr="00A44065">
        <w:rPr>
          <w:rFonts w:ascii="Times New Roman" w:hAnsi="Times New Roman"/>
          <w:bCs/>
        </w:rPr>
        <w:t>DLBCL arising from follicular lymphoma,</w:t>
      </w:r>
      <w:r w:rsidRPr="00A44065">
        <w:rPr>
          <w:rFonts w:ascii="Times New Roman" w:hAnsi="Times New Roman"/>
        </w:rPr>
        <w:t xml:space="preserve"> high-grade B-cell lymphoma (HGBCL), and </w:t>
      </w:r>
      <w:r w:rsidR="000B5BF3" w:rsidRPr="00A44065">
        <w:rPr>
          <w:rFonts w:ascii="Times New Roman" w:hAnsi="Times New Roman"/>
        </w:rPr>
        <w:t>primary mediastinal b-cell lymphoma (</w:t>
      </w:r>
      <w:r w:rsidRPr="00A44065">
        <w:rPr>
          <w:rFonts w:ascii="Times New Roman" w:hAnsi="Times New Roman"/>
        </w:rPr>
        <w:t>PMBCL</w:t>
      </w:r>
      <w:r w:rsidR="00BF3458" w:rsidRPr="00A44065">
        <w:rPr>
          <w:rFonts w:ascii="Times New Roman" w:hAnsi="Times New Roman"/>
        </w:rPr>
        <w:t>)</w:t>
      </w:r>
      <w:r w:rsidRPr="00A44065">
        <w:rPr>
          <w:rFonts w:ascii="Times New Roman" w:hAnsi="Times New Roman"/>
        </w:rPr>
        <w:t xml:space="preserve">, treated with </w:t>
      </w:r>
      <w:proofErr w:type="spellStart"/>
      <w:r w:rsidR="00B719B6" w:rsidRPr="00A44065">
        <w:rPr>
          <w:rFonts w:ascii="Times New Roman" w:hAnsi="Times New Roman"/>
        </w:rPr>
        <w:t>Columvi</w:t>
      </w:r>
      <w:proofErr w:type="spellEnd"/>
      <w:r w:rsidRPr="00A44065">
        <w:rPr>
          <w:rFonts w:ascii="Times New Roman" w:hAnsi="Times New Roman"/>
        </w:rPr>
        <w:t xml:space="preserve"> monotherapy in study N</w:t>
      </w:r>
      <w:r w:rsidR="00FC73E0" w:rsidRPr="00A44065">
        <w:rPr>
          <w:rFonts w:ascii="Times New Roman" w:hAnsi="Times New Roman"/>
        </w:rPr>
        <w:t xml:space="preserve">P30179, an open-label </w:t>
      </w:r>
      <w:proofErr w:type="spellStart"/>
      <w:r w:rsidR="00FC73E0" w:rsidRPr="00A44065">
        <w:rPr>
          <w:rFonts w:ascii="Times New Roman" w:hAnsi="Times New Roman"/>
        </w:rPr>
        <w:t>multicent</w:t>
      </w:r>
      <w:r w:rsidRPr="00A44065">
        <w:rPr>
          <w:rFonts w:ascii="Times New Roman" w:hAnsi="Times New Roman"/>
        </w:rPr>
        <w:t>r</w:t>
      </w:r>
      <w:r w:rsidR="00FC73E0" w:rsidRPr="00A44065">
        <w:rPr>
          <w:rFonts w:ascii="Times New Roman" w:hAnsi="Times New Roman"/>
        </w:rPr>
        <w:t>e</w:t>
      </w:r>
      <w:proofErr w:type="spellEnd"/>
      <w:r w:rsidRPr="00A44065">
        <w:rPr>
          <w:rFonts w:ascii="Times New Roman" w:hAnsi="Times New Roman"/>
        </w:rPr>
        <w:t xml:space="preserve"> clinical trial.</w:t>
      </w:r>
    </w:p>
    <w:p w14:paraId="158145D6" w14:textId="77777777" w:rsidR="00E03FA4" w:rsidRPr="00A44065" w:rsidRDefault="00E03FA4" w:rsidP="00FF21DD">
      <w:pPr>
        <w:pStyle w:val="ParagraphList"/>
        <w:spacing w:after="120"/>
        <w:rPr>
          <w:rFonts w:ascii="Times New Roman" w:hAnsi="Times New Roman"/>
          <w:b/>
        </w:rPr>
      </w:pPr>
      <w:r w:rsidRPr="00A44065">
        <w:rPr>
          <w:rFonts w:ascii="Times New Roman" w:hAnsi="Times New Roman"/>
          <w:b/>
        </w:rPr>
        <w:t>Tabulated summary of adverse drug reactions from clinical trials</w:t>
      </w:r>
    </w:p>
    <w:p w14:paraId="1B60E50E" w14:textId="77777777" w:rsidR="00E03FA4" w:rsidRPr="0008620B" w:rsidRDefault="00E03FA4" w:rsidP="00FF21DD">
      <w:pPr>
        <w:pStyle w:val="Paragraph"/>
        <w:rPr>
          <w:rFonts w:ascii="Times New Roman" w:hAnsi="Times New Roman"/>
        </w:rPr>
      </w:pPr>
      <w:r w:rsidRPr="00A44065">
        <w:rPr>
          <w:rFonts w:ascii="Times New Roman" w:hAnsi="Times New Roman"/>
        </w:rPr>
        <w:t>Adverse drug reactions from clinical trials (</w:t>
      </w:r>
      <w:r w:rsidRPr="0008620B">
        <w:rPr>
          <w:rFonts w:ascii="Times New Roman" w:hAnsi="Times New Roman"/>
        </w:rPr>
        <w:fldChar w:fldCharType="begin"/>
      </w:r>
      <w:r w:rsidRPr="00A44065">
        <w:rPr>
          <w:rFonts w:ascii="Times New Roman" w:hAnsi="Times New Roman"/>
        </w:rPr>
        <w:instrText xml:space="preserve"> REF _Ref89427846 \h \* CHARFORMAT  \* MERGEFORMAT </w:instrText>
      </w:r>
      <w:r w:rsidRPr="0008620B">
        <w:rPr>
          <w:rFonts w:ascii="Times New Roman" w:hAnsi="Times New Roman"/>
        </w:rPr>
      </w:r>
      <w:r w:rsidRPr="0008620B">
        <w:rPr>
          <w:rFonts w:ascii="Times New Roman" w:hAnsi="Times New Roman"/>
        </w:rPr>
        <w:fldChar w:fldCharType="separate"/>
      </w:r>
      <w:r w:rsidRPr="0008620B">
        <w:rPr>
          <w:rFonts w:ascii="Times New Roman" w:hAnsi="Times New Roman"/>
        </w:rPr>
        <w:t>Table 4</w:t>
      </w:r>
      <w:r w:rsidRPr="0008620B">
        <w:rPr>
          <w:rFonts w:ascii="Times New Roman" w:hAnsi="Times New Roman"/>
        </w:rPr>
        <w:fldChar w:fldCharType="end"/>
      </w:r>
      <w:r w:rsidRPr="0008620B">
        <w:rPr>
          <w:rFonts w:ascii="Times New Roman" w:hAnsi="Times New Roman"/>
        </w:rPr>
        <w:t>) are listed by MedDRA system organ class.  The corresponding frequency category for each adverse drug reaction is based on the following convention: very common (</w:t>
      </w:r>
      <w:r w:rsidRPr="0008620B">
        <w:rPr>
          <w:rFonts w:ascii="Times New Roman" w:hAnsi="Times New Roman"/>
        </w:rPr>
        <w:sym w:font="Symbol" w:char="F0B3"/>
      </w:r>
      <w:r w:rsidRPr="0008620B">
        <w:rPr>
          <w:rFonts w:ascii="Times New Roman" w:hAnsi="Times New Roman"/>
        </w:rPr>
        <w:t> 1/10), common (</w:t>
      </w:r>
      <w:r w:rsidRPr="0008620B">
        <w:rPr>
          <w:rFonts w:ascii="Times New Roman" w:hAnsi="Times New Roman"/>
        </w:rPr>
        <w:sym w:font="Symbol" w:char="F0B3"/>
      </w:r>
      <w:r w:rsidRPr="0008620B">
        <w:rPr>
          <w:rFonts w:ascii="Times New Roman" w:hAnsi="Times New Roman"/>
        </w:rPr>
        <w:t xml:space="preserve"> 1/100 to </w:t>
      </w:r>
      <w:r w:rsidRPr="0008620B">
        <w:rPr>
          <w:rFonts w:ascii="Times New Roman" w:hAnsi="Times New Roman"/>
        </w:rPr>
        <w:sym w:font="Symbol" w:char="F03C"/>
      </w:r>
      <w:r w:rsidRPr="0008620B">
        <w:rPr>
          <w:rFonts w:ascii="Times New Roman" w:hAnsi="Times New Roman"/>
        </w:rPr>
        <w:t> 1/10), uncommon (</w:t>
      </w:r>
      <w:r w:rsidRPr="0008620B">
        <w:rPr>
          <w:rFonts w:ascii="Times New Roman" w:hAnsi="Times New Roman"/>
        </w:rPr>
        <w:sym w:font="Symbol" w:char="F0B3"/>
      </w:r>
      <w:r w:rsidRPr="0008620B">
        <w:rPr>
          <w:rFonts w:ascii="Times New Roman" w:hAnsi="Times New Roman"/>
        </w:rPr>
        <w:t xml:space="preserve"> 1/1,000 to </w:t>
      </w:r>
      <w:r w:rsidRPr="0008620B">
        <w:rPr>
          <w:rFonts w:ascii="Times New Roman" w:hAnsi="Times New Roman"/>
        </w:rPr>
        <w:sym w:font="Symbol" w:char="F03C"/>
      </w:r>
      <w:r w:rsidRPr="0008620B">
        <w:rPr>
          <w:rFonts w:ascii="Times New Roman" w:hAnsi="Times New Roman"/>
        </w:rPr>
        <w:t> 1/100), rare (</w:t>
      </w:r>
      <w:r w:rsidRPr="0008620B">
        <w:rPr>
          <w:rFonts w:ascii="Times New Roman" w:hAnsi="Times New Roman"/>
        </w:rPr>
        <w:sym w:font="Symbol" w:char="F0B3"/>
      </w:r>
      <w:r w:rsidRPr="0008620B">
        <w:rPr>
          <w:rFonts w:ascii="Times New Roman" w:hAnsi="Times New Roman"/>
        </w:rPr>
        <w:t xml:space="preserve"> 1/10,000 to </w:t>
      </w:r>
      <w:r w:rsidRPr="0008620B">
        <w:rPr>
          <w:rFonts w:ascii="Times New Roman" w:hAnsi="Times New Roman"/>
        </w:rPr>
        <w:sym w:font="Symbol" w:char="F03C"/>
      </w:r>
      <w:r w:rsidRPr="0008620B">
        <w:rPr>
          <w:rFonts w:ascii="Times New Roman" w:hAnsi="Times New Roman"/>
        </w:rPr>
        <w:t> 1/1,000), very rare (</w:t>
      </w:r>
      <w:r w:rsidRPr="0008620B">
        <w:rPr>
          <w:rFonts w:ascii="Times New Roman" w:hAnsi="Times New Roman"/>
        </w:rPr>
        <w:sym w:font="Symbol" w:char="F03C"/>
      </w:r>
      <w:r w:rsidRPr="0008620B">
        <w:rPr>
          <w:rFonts w:ascii="Times New Roman" w:hAnsi="Times New Roman"/>
        </w:rPr>
        <w:t xml:space="preserve"> 1/10,000). </w:t>
      </w:r>
    </w:p>
    <w:p w14:paraId="6F401A68" w14:textId="6D4F04E4" w:rsidR="00E03FA4" w:rsidRPr="0008620B" w:rsidRDefault="00E03FA4" w:rsidP="00E03FA4">
      <w:pPr>
        <w:pStyle w:val="TableTitle"/>
        <w:pageBreakBefore/>
        <w:rPr>
          <w:rFonts w:ascii="Times New Roman" w:hAnsi="Times New Roman"/>
        </w:rPr>
      </w:pPr>
      <w:bookmarkStart w:id="7" w:name="_Ref89427846"/>
      <w:bookmarkStart w:id="8" w:name="_Ref94464526"/>
      <w:r w:rsidRPr="0008620B">
        <w:rPr>
          <w:rFonts w:ascii="Times New Roman" w:hAnsi="Times New Roman"/>
          <w:sz w:val="22"/>
        </w:rPr>
        <w:lastRenderedPageBreak/>
        <w:t>Table </w:t>
      </w:r>
      <w:r w:rsidRPr="0008620B">
        <w:rPr>
          <w:rFonts w:ascii="Times New Roman" w:hAnsi="Times New Roman"/>
          <w:sz w:val="22"/>
        </w:rPr>
        <w:fldChar w:fldCharType="begin"/>
      </w:r>
      <w:r w:rsidRPr="00A44065">
        <w:rPr>
          <w:rFonts w:ascii="Times New Roman" w:hAnsi="Times New Roman"/>
          <w:sz w:val="22"/>
        </w:rPr>
        <w:instrText xml:space="preserve"> SEQ Table \* ARABIC </w:instrText>
      </w:r>
      <w:r w:rsidRPr="0008620B">
        <w:rPr>
          <w:rFonts w:ascii="Times New Roman" w:hAnsi="Times New Roman"/>
          <w:sz w:val="22"/>
        </w:rPr>
        <w:fldChar w:fldCharType="separate"/>
      </w:r>
      <w:r w:rsidRPr="0008620B">
        <w:rPr>
          <w:rFonts w:ascii="Times New Roman" w:hAnsi="Times New Roman"/>
          <w:noProof/>
          <w:sz w:val="22"/>
        </w:rPr>
        <w:t>4</w:t>
      </w:r>
      <w:r w:rsidRPr="0008620B">
        <w:rPr>
          <w:rFonts w:ascii="Times New Roman" w:hAnsi="Times New Roman"/>
          <w:sz w:val="22"/>
        </w:rPr>
        <w:fldChar w:fldCharType="end"/>
      </w:r>
      <w:bookmarkEnd w:id="7"/>
      <w:r w:rsidRPr="0008620B">
        <w:rPr>
          <w:rFonts w:ascii="Times New Roman" w:hAnsi="Times New Roman"/>
          <w:sz w:val="22"/>
        </w:rPr>
        <w:tab/>
        <w:t xml:space="preserve">Adverse Drug Reactions Occurring in Patients with Relapsed or Refractory DLBCL Treated with </w:t>
      </w:r>
      <w:proofErr w:type="spellStart"/>
      <w:r w:rsidR="00B719B6" w:rsidRPr="0008620B">
        <w:rPr>
          <w:rFonts w:ascii="Times New Roman" w:hAnsi="Times New Roman"/>
          <w:sz w:val="22"/>
        </w:rPr>
        <w:t>Columvi</w:t>
      </w:r>
      <w:proofErr w:type="spellEnd"/>
      <w:r w:rsidRPr="0008620B">
        <w:rPr>
          <w:rFonts w:ascii="Times New Roman" w:hAnsi="Times New Roman"/>
          <w:sz w:val="22"/>
        </w:rPr>
        <w:t xml:space="preserve"> Monotherapy</w:t>
      </w:r>
      <w:r w:rsidRPr="0008620B">
        <w:rPr>
          <w:rFonts w:ascii="Times New Roman" w:hAnsi="Times New Roman"/>
        </w:rPr>
        <w:t xml:space="preserve"> </w:t>
      </w:r>
      <w:bookmarkEnd w:id="8"/>
    </w:p>
    <w:tbl>
      <w:tblPr>
        <w:tblW w:w="863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17"/>
        <w:gridCol w:w="2160"/>
        <w:gridCol w:w="1573"/>
        <w:gridCol w:w="1186"/>
      </w:tblGrid>
      <w:tr w:rsidR="00E03FA4" w:rsidRPr="00A44065" w14:paraId="12C19038" w14:textId="77777777" w:rsidTr="005A2E65">
        <w:tc>
          <w:tcPr>
            <w:tcW w:w="3717" w:type="dxa"/>
            <w:vMerge w:val="restart"/>
            <w:shd w:val="clear" w:color="auto" w:fill="auto"/>
            <w:vAlign w:val="center"/>
          </w:tcPr>
          <w:p w14:paraId="0941FD33" w14:textId="77777777" w:rsidR="00E03FA4" w:rsidRPr="00A44065" w:rsidRDefault="00E03FA4" w:rsidP="005A2E65">
            <w:pPr>
              <w:pStyle w:val="TableCell10Left"/>
              <w:keepNext w:val="0"/>
              <w:rPr>
                <w:rFonts w:ascii="Times New Roman" w:hAnsi="Times New Roman"/>
                <w:b/>
              </w:rPr>
            </w:pPr>
            <w:r w:rsidRPr="00A44065">
              <w:rPr>
                <w:rFonts w:ascii="Times New Roman" w:hAnsi="Times New Roman"/>
                <w:b/>
              </w:rPr>
              <w:t>System Organ Class</w:t>
            </w:r>
          </w:p>
          <w:p w14:paraId="439B32EB" w14:textId="77777777" w:rsidR="00E03FA4" w:rsidRPr="00A44065" w:rsidRDefault="00E03FA4" w:rsidP="005A2E65">
            <w:pPr>
              <w:pStyle w:val="TableCell10Left"/>
              <w:keepNext w:val="0"/>
              <w:rPr>
                <w:rFonts w:ascii="Times New Roman" w:hAnsi="Times New Roman"/>
                <w:b/>
              </w:rPr>
            </w:pPr>
            <w:r w:rsidRPr="00A44065">
              <w:rPr>
                <w:rFonts w:ascii="Times New Roman" w:hAnsi="Times New Roman"/>
                <w:b/>
              </w:rPr>
              <w:t xml:space="preserve">  Adverse Reaction</w:t>
            </w:r>
          </w:p>
        </w:tc>
        <w:tc>
          <w:tcPr>
            <w:tcW w:w="4919" w:type="dxa"/>
            <w:gridSpan w:val="3"/>
            <w:shd w:val="clear" w:color="auto" w:fill="auto"/>
            <w:vAlign w:val="bottom"/>
          </w:tcPr>
          <w:p w14:paraId="33FD2D59" w14:textId="34D79809" w:rsidR="00E03FA4" w:rsidRPr="00A44065" w:rsidRDefault="00B719B6" w:rsidP="005A2E65">
            <w:pPr>
              <w:pStyle w:val="TableCell10Center"/>
              <w:keepNext w:val="0"/>
              <w:rPr>
                <w:rFonts w:ascii="Times New Roman" w:hAnsi="Times New Roman"/>
                <w:b/>
              </w:rPr>
            </w:pPr>
            <w:proofErr w:type="spellStart"/>
            <w:r w:rsidRPr="00A44065">
              <w:rPr>
                <w:rFonts w:ascii="Times New Roman" w:hAnsi="Times New Roman"/>
                <w:b/>
              </w:rPr>
              <w:t>Columvi</w:t>
            </w:r>
            <w:proofErr w:type="spellEnd"/>
            <w:r w:rsidR="00E03FA4" w:rsidRPr="00A44065">
              <w:rPr>
                <w:rFonts w:ascii="Times New Roman" w:hAnsi="Times New Roman"/>
                <w:b/>
              </w:rPr>
              <w:br/>
              <w:t>N=</w:t>
            </w:r>
            <w:r w:rsidR="00F46469" w:rsidRPr="00A44065">
              <w:rPr>
                <w:rFonts w:ascii="Times New Roman" w:hAnsi="Times New Roman"/>
                <w:b/>
              </w:rPr>
              <w:t>154</w:t>
            </w:r>
          </w:p>
        </w:tc>
      </w:tr>
      <w:tr w:rsidR="00E03FA4" w:rsidRPr="00A44065" w14:paraId="45A7BC10" w14:textId="77777777" w:rsidTr="005A2E65">
        <w:tc>
          <w:tcPr>
            <w:tcW w:w="3717" w:type="dxa"/>
            <w:vMerge/>
            <w:shd w:val="clear" w:color="auto" w:fill="auto"/>
            <w:vAlign w:val="bottom"/>
          </w:tcPr>
          <w:p w14:paraId="26C66280" w14:textId="77777777" w:rsidR="00E03FA4" w:rsidRPr="00A44065" w:rsidRDefault="00E03FA4" w:rsidP="005A2E65">
            <w:pPr>
              <w:pStyle w:val="TableCell10Left"/>
              <w:keepNext w:val="0"/>
              <w:rPr>
                <w:rFonts w:ascii="Times New Roman" w:hAnsi="Times New Roman"/>
                <w:b/>
              </w:rPr>
            </w:pPr>
          </w:p>
        </w:tc>
        <w:tc>
          <w:tcPr>
            <w:tcW w:w="2160" w:type="dxa"/>
            <w:shd w:val="clear" w:color="auto" w:fill="auto"/>
            <w:vAlign w:val="center"/>
          </w:tcPr>
          <w:p w14:paraId="23BD9E25" w14:textId="77777777" w:rsidR="00E03FA4" w:rsidRPr="00A44065" w:rsidRDefault="00E03FA4" w:rsidP="005A2E65">
            <w:pPr>
              <w:pStyle w:val="TableCell10Center"/>
              <w:keepNext w:val="0"/>
              <w:spacing w:line="240" w:lineRule="auto"/>
              <w:rPr>
                <w:rFonts w:ascii="Times New Roman" w:hAnsi="Times New Roman"/>
                <w:b/>
              </w:rPr>
            </w:pPr>
            <w:r w:rsidRPr="00A44065">
              <w:rPr>
                <w:rFonts w:ascii="Times New Roman" w:hAnsi="Times New Roman"/>
                <w:b/>
              </w:rPr>
              <w:t>All Grades</w:t>
            </w:r>
            <w:r w:rsidRPr="00A44065">
              <w:rPr>
                <w:rFonts w:ascii="Times New Roman" w:hAnsi="Times New Roman"/>
                <w:b/>
              </w:rPr>
              <w:br/>
              <w:t>(frequency category)</w:t>
            </w:r>
          </w:p>
        </w:tc>
        <w:tc>
          <w:tcPr>
            <w:tcW w:w="1573" w:type="dxa"/>
            <w:shd w:val="clear" w:color="auto" w:fill="auto"/>
            <w:vAlign w:val="center"/>
          </w:tcPr>
          <w:p w14:paraId="3C68BC85" w14:textId="77777777" w:rsidR="00E03FA4" w:rsidRPr="00A44065" w:rsidRDefault="00E03FA4" w:rsidP="005A2E65">
            <w:pPr>
              <w:pStyle w:val="TableCell10Center"/>
              <w:keepNext w:val="0"/>
              <w:spacing w:line="240" w:lineRule="auto"/>
              <w:rPr>
                <w:rFonts w:ascii="Times New Roman" w:hAnsi="Times New Roman"/>
                <w:b/>
              </w:rPr>
            </w:pPr>
            <w:r w:rsidRPr="00A44065">
              <w:rPr>
                <w:rFonts w:ascii="Times New Roman" w:hAnsi="Times New Roman"/>
                <w:b/>
              </w:rPr>
              <w:t>All Grades</w:t>
            </w:r>
          </w:p>
          <w:p w14:paraId="1915144F" w14:textId="77777777" w:rsidR="00E03FA4" w:rsidRPr="00A44065" w:rsidRDefault="00E03FA4" w:rsidP="005A2E65">
            <w:pPr>
              <w:pStyle w:val="TableCell10Center"/>
              <w:keepNext w:val="0"/>
              <w:spacing w:line="240" w:lineRule="auto"/>
              <w:rPr>
                <w:rFonts w:ascii="Times New Roman" w:hAnsi="Times New Roman"/>
                <w:b/>
              </w:rPr>
            </w:pPr>
            <w:r w:rsidRPr="00A44065">
              <w:rPr>
                <w:rFonts w:ascii="Times New Roman" w:hAnsi="Times New Roman"/>
                <w:b/>
              </w:rPr>
              <w:t>(%)</w:t>
            </w:r>
          </w:p>
        </w:tc>
        <w:tc>
          <w:tcPr>
            <w:tcW w:w="1186" w:type="dxa"/>
            <w:shd w:val="clear" w:color="auto" w:fill="auto"/>
            <w:vAlign w:val="center"/>
          </w:tcPr>
          <w:p w14:paraId="58B8D3F1" w14:textId="77777777" w:rsidR="00E03FA4" w:rsidRPr="0008620B" w:rsidRDefault="00E03FA4" w:rsidP="005A2E65">
            <w:pPr>
              <w:pStyle w:val="TableCell10Center"/>
              <w:keepNext w:val="0"/>
              <w:spacing w:line="240" w:lineRule="auto"/>
              <w:rPr>
                <w:rFonts w:ascii="Times New Roman" w:hAnsi="Times New Roman"/>
                <w:b/>
              </w:rPr>
            </w:pPr>
            <w:r w:rsidRPr="00A44065">
              <w:rPr>
                <w:rFonts w:ascii="Times New Roman" w:hAnsi="Times New Roman"/>
                <w:b/>
              </w:rPr>
              <w:t>Grade 3</w:t>
            </w:r>
            <w:r w:rsidRPr="0008620B">
              <w:rPr>
                <w:rFonts w:ascii="Times New Roman" w:hAnsi="Times New Roman"/>
                <w:b/>
              </w:rPr>
              <w:sym w:font="Symbol" w:char="F02D"/>
            </w:r>
            <w:r w:rsidRPr="0008620B">
              <w:rPr>
                <w:rFonts w:ascii="Times New Roman" w:hAnsi="Times New Roman"/>
                <w:b/>
              </w:rPr>
              <w:t>4 (%)</w:t>
            </w:r>
          </w:p>
        </w:tc>
      </w:tr>
      <w:tr w:rsidR="00E03FA4" w:rsidRPr="00A44065" w14:paraId="7BE78A17" w14:textId="77777777" w:rsidTr="005A2E65">
        <w:tc>
          <w:tcPr>
            <w:tcW w:w="8636" w:type="dxa"/>
            <w:gridSpan w:val="4"/>
            <w:shd w:val="clear" w:color="auto" w:fill="auto"/>
          </w:tcPr>
          <w:p w14:paraId="4EE680C9" w14:textId="77777777" w:rsidR="00E03FA4" w:rsidRPr="00A44065" w:rsidRDefault="00E03FA4" w:rsidP="005A2E65">
            <w:pPr>
              <w:pStyle w:val="TableCell10Left"/>
              <w:keepNext w:val="0"/>
              <w:rPr>
                <w:rFonts w:ascii="Times New Roman" w:hAnsi="Times New Roman"/>
                <w:b/>
              </w:rPr>
            </w:pPr>
            <w:r w:rsidRPr="00A44065">
              <w:rPr>
                <w:rFonts w:ascii="Times New Roman" w:hAnsi="Times New Roman"/>
                <w:b/>
              </w:rPr>
              <w:t>Immune system disorders</w:t>
            </w:r>
          </w:p>
        </w:tc>
      </w:tr>
      <w:tr w:rsidR="00F46469" w:rsidRPr="00A44065" w14:paraId="0B16EF34" w14:textId="77777777" w:rsidTr="005A2E65">
        <w:tc>
          <w:tcPr>
            <w:tcW w:w="3717" w:type="dxa"/>
            <w:shd w:val="clear" w:color="auto" w:fill="auto"/>
          </w:tcPr>
          <w:p w14:paraId="7CA983D8"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Cytokine release </w:t>
            </w:r>
            <w:proofErr w:type="spellStart"/>
            <w:r w:rsidRPr="00A44065">
              <w:rPr>
                <w:rFonts w:ascii="Times New Roman" w:hAnsi="Times New Roman"/>
              </w:rPr>
              <w:t>syndrome</w:t>
            </w:r>
            <w:r w:rsidRPr="00A44065">
              <w:rPr>
                <w:rFonts w:ascii="Times New Roman" w:hAnsi="Times New Roman"/>
                <w:vertAlign w:val="superscript"/>
              </w:rPr>
              <w:t>a</w:t>
            </w:r>
            <w:proofErr w:type="spellEnd"/>
          </w:p>
        </w:tc>
        <w:tc>
          <w:tcPr>
            <w:tcW w:w="2160" w:type="dxa"/>
            <w:shd w:val="clear" w:color="auto" w:fill="auto"/>
          </w:tcPr>
          <w:p w14:paraId="0E34007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7C02869B" w14:textId="4DF05DD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64.3</w:t>
            </w:r>
          </w:p>
        </w:tc>
        <w:tc>
          <w:tcPr>
            <w:tcW w:w="1186" w:type="dxa"/>
            <w:shd w:val="clear" w:color="auto" w:fill="auto"/>
          </w:tcPr>
          <w:p w14:paraId="07F2DD0D" w14:textId="441F574A"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3.9</w:t>
            </w:r>
          </w:p>
        </w:tc>
      </w:tr>
      <w:tr w:rsidR="00F46469" w:rsidRPr="00A44065" w14:paraId="6F7C02EA" w14:textId="77777777" w:rsidTr="005A2E65">
        <w:tc>
          <w:tcPr>
            <w:tcW w:w="8636" w:type="dxa"/>
            <w:gridSpan w:val="4"/>
            <w:shd w:val="clear" w:color="auto" w:fill="auto"/>
          </w:tcPr>
          <w:p w14:paraId="09E34934"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Blood and lymphatic system disorders</w:t>
            </w:r>
          </w:p>
        </w:tc>
      </w:tr>
      <w:tr w:rsidR="00F46469" w:rsidRPr="00A44065" w14:paraId="1B228998" w14:textId="77777777" w:rsidTr="005A2E65">
        <w:tc>
          <w:tcPr>
            <w:tcW w:w="3717" w:type="dxa"/>
            <w:shd w:val="clear" w:color="auto" w:fill="auto"/>
          </w:tcPr>
          <w:p w14:paraId="0388BF9A"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Neutropenia</w:t>
            </w:r>
            <w:r w:rsidRPr="00A44065">
              <w:rPr>
                <w:rFonts w:ascii="Times New Roman" w:hAnsi="Times New Roman"/>
                <w:vertAlign w:val="superscript"/>
              </w:rPr>
              <w:t>b</w:t>
            </w:r>
            <w:proofErr w:type="spellEnd"/>
          </w:p>
        </w:tc>
        <w:tc>
          <w:tcPr>
            <w:tcW w:w="2160" w:type="dxa"/>
            <w:shd w:val="clear" w:color="auto" w:fill="auto"/>
          </w:tcPr>
          <w:p w14:paraId="302B1C5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00EADB39" w14:textId="194D19B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37.7</w:t>
            </w:r>
          </w:p>
        </w:tc>
        <w:tc>
          <w:tcPr>
            <w:tcW w:w="1186" w:type="dxa"/>
            <w:shd w:val="clear" w:color="auto" w:fill="auto"/>
          </w:tcPr>
          <w:p w14:paraId="4CE8D43A" w14:textId="3DE11B3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27.3</w:t>
            </w:r>
          </w:p>
        </w:tc>
      </w:tr>
      <w:tr w:rsidR="00F46469" w:rsidRPr="00A44065" w14:paraId="0A6F87D0" w14:textId="77777777" w:rsidTr="005A2E65">
        <w:tc>
          <w:tcPr>
            <w:tcW w:w="3717" w:type="dxa"/>
            <w:shd w:val="clear" w:color="auto" w:fill="auto"/>
          </w:tcPr>
          <w:p w14:paraId="170546F7"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Anaemia</w:t>
            </w:r>
            <w:r w:rsidRPr="00A44065">
              <w:rPr>
                <w:rFonts w:ascii="Times New Roman" w:hAnsi="Times New Roman"/>
                <w:vertAlign w:val="superscript"/>
              </w:rPr>
              <w:t>c</w:t>
            </w:r>
            <w:proofErr w:type="spellEnd"/>
          </w:p>
        </w:tc>
        <w:tc>
          <w:tcPr>
            <w:tcW w:w="2160" w:type="dxa"/>
            <w:shd w:val="clear" w:color="auto" w:fill="auto"/>
          </w:tcPr>
          <w:p w14:paraId="408034CB"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11761907" w14:textId="7FDDBF4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30.5</w:t>
            </w:r>
          </w:p>
        </w:tc>
        <w:tc>
          <w:tcPr>
            <w:tcW w:w="1186" w:type="dxa"/>
            <w:shd w:val="clear" w:color="auto" w:fill="auto"/>
          </w:tcPr>
          <w:p w14:paraId="7AAAEDBE" w14:textId="78FF1C3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r>
      <w:tr w:rsidR="00F46469" w:rsidRPr="00A44065" w14:paraId="207B6C7D" w14:textId="77777777" w:rsidTr="005A2E65">
        <w:tc>
          <w:tcPr>
            <w:tcW w:w="3717" w:type="dxa"/>
            <w:shd w:val="clear" w:color="auto" w:fill="auto"/>
          </w:tcPr>
          <w:p w14:paraId="73B9FEB7"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Thrombocytopenia</w:t>
            </w:r>
            <w:r w:rsidRPr="00A44065">
              <w:rPr>
                <w:rFonts w:ascii="Times New Roman" w:hAnsi="Times New Roman"/>
                <w:vertAlign w:val="superscript"/>
              </w:rPr>
              <w:t>d</w:t>
            </w:r>
            <w:proofErr w:type="spellEnd"/>
          </w:p>
        </w:tc>
        <w:tc>
          <w:tcPr>
            <w:tcW w:w="2160" w:type="dxa"/>
            <w:shd w:val="clear" w:color="auto" w:fill="auto"/>
          </w:tcPr>
          <w:p w14:paraId="416DAF9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27F6DAB3" w14:textId="6DEB6BA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24.7</w:t>
            </w:r>
          </w:p>
        </w:tc>
        <w:tc>
          <w:tcPr>
            <w:tcW w:w="1186" w:type="dxa"/>
            <w:shd w:val="clear" w:color="auto" w:fill="auto"/>
          </w:tcPr>
          <w:p w14:paraId="4430D580" w14:textId="7B8D227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r>
      <w:tr w:rsidR="00F46469" w:rsidRPr="00A44065" w14:paraId="21E1589F" w14:textId="77777777" w:rsidTr="005A2E65">
        <w:tc>
          <w:tcPr>
            <w:tcW w:w="3717" w:type="dxa"/>
            <w:shd w:val="clear" w:color="auto" w:fill="auto"/>
          </w:tcPr>
          <w:p w14:paraId="39FDBAD9"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Lymphopenia</w:t>
            </w:r>
            <w:r w:rsidRPr="00A44065">
              <w:rPr>
                <w:rFonts w:ascii="Times New Roman" w:hAnsi="Times New Roman"/>
                <w:vertAlign w:val="superscript"/>
              </w:rPr>
              <w:t>e</w:t>
            </w:r>
            <w:proofErr w:type="spellEnd"/>
          </w:p>
        </w:tc>
        <w:tc>
          <w:tcPr>
            <w:tcW w:w="2160" w:type="dxa"/>
            <w:shd w:val="clear" w:color="auto" w:fill="auto"/>
          </w:tcPr>
          <w:p w14:paraId="55F5DC9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541C6AD1" w14:textId="706FBF0A"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c>
          <w:tcPr>
            <w:tcW w:w="1186" w:type="dxa"/>
            <w:shd w:val="clear" w:color="auto" w:fill="auto"/>
          </w:tcPr>
          <w:p w14:paraId="613AA539" w14:textId="0A00C91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r>
      <w:tr w:rsidR="00F46469" w:rsidRPr="00A44065" w14:paraId="7F53AEC6" w14:textId="77777777" w:rsidTr="005A2E65">
        <w:tc>
          <w:tcPr>
            <w:tcW w:w="3717" w:type="dxa"/>
            <w:shd w:val="clear" w:color="auto" w:fill="auto"/>
          </w:tcPr>
          <w:p w14:paraId="5D11883A"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Febrile </w:t>
            </w:r>
            <w:proofErr w:type="spellStart"/>
            <w:r w:rsidRPr="00A44065">
              <w:rPr>
                <w:rFonts w:ascii="Times New Roman" w:hAnsi="Times New Roman"/>
              </w:rPr>
              <w:t>neutropenia</w:t>
            </w:r>
            <w:r w:rsidRPr="00A44065">
              <w:rPr>
                <w:rFonts w:ascii="Times New Roman" w:hAnsi="Times New Roman"/>
                <w:vertAlign w:val="superscript"/>
              </w:rPr>
              <w:t>f</w:t>
            </w:r>
            <w:proofErr w:type="spellEnd"/>
          </w:p>
        </w:tc>
        <w:tc>
          <w:tcPr>
            <w:tcW w:w="2160" w:type="dxa"/>
            <w:shd w:val="clear" w:color="auto" w:fill="auto"/>
          </w:tcPr>
          <w:p w14:paraId="04A40951"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24061FA6" w14:textId="5B2E29FA"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3.2</w:t>
            </w:r>
          </w:p>
        </w:tc>
        <w:tc>
          <w:tcPr>
            <w:tcW w:w="1186" w:type="dxa"/>
            <w:shd w:val="clear" w:color="auto" w:fill="auto"/>
          </w:tcPr>
          <w:p w14:paraId="19F8F820" w14:textId="150D3A6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3.2</w:t>
            </w:r>
          </w:p>
        </w:tc>
      </w:tr>
      <w:tr w:rsidR="00F46469" w:rsidRPr="00A44065" w14:paraId="625517E3" w14:textId="77777777" w:rsidTr="005A2E65">
        <w:tc>
          <w:tcPr>
            <w:tcW w:w="8636" w:type="dxa"/>
            <w:gridSpan w:val="4"/>
            <w:shd w:val="clear" w:color="auto" w:fill="auto"/>
          </w:tcPr>
          <w:p w14:paraId="4864E940"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General disorders and administration site conditions</w:t>
            </w:r>
          </w:p>
        </w:tc>
      </w:tr>
      <w:tr w:rsidR="00F46469" w:rsidRPr="00A44065" w14:paraId="74D8FBF1" w14:textId="77777777" w:rsidTr="005A2E65">
        <w:tc>
          <w:tcPr>
            <w:tcW w:w="3717" w:type="dxa"/>
            <w:shd w:val="clear" w:color="auto" w:fill="auto"/>
          </w:tcPr>
          <w:p w14:paraId="75823EEC"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Pyrexia</w:t>
            </w:r>
          </w:p>
        </w:tc>
        <w:tc>
          <w:tcPr>
            <w:tcW w:w="2160" w:type="dxa"/>
            <w:shd w:val="clear" w:color="auto" w:fill="auto"/>
          </w:tcPr>
          <w:p w14:paraId="20B4CD50"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533526FD" w14:textId="37857DE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16.2</w:t>
            </w:r>
          </w:p>
        </w:tc>
        <w:tc>
          <w:tcPr>
            <w:tcW w:w="1186" w:type="dxa"/>
            <w:shd w:val="clear" w:color="auto" w:fill="auto"/>
          </w:tcPr>
          <w:p w14:paraId="3925A934" w14:textId="06EEE18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775523F6" w14:textId="77777777" w:rsidTr="005A2E65">
        <w:tc>
          <w:tcPr>
            <w:tcW w:w="8636" w:type="dxa"/>
            <w:gridSpan w:val="4"/>
            <w:shd w:val="clear" w:color="auto" w:fill="auto"/>
          </w:tcPr>
          <w:p w14:paraId="43463467"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Metabolism and nutrition disorders</w:t>
            </w:r>
          </w:p>
        </w:tc>
      </w:tr>
      <w:tr w:rsidR="00F46469" w:rsidRPr="00A44065" w14:paraId="5E5F8B1D" w14:textId="77777777" w:rsidTr="005A2E65">
        <w:tc>
          <w:tcPr>
            <w:tcW w:w="3717" w:type="dxa"/>
            <w:shd w:val="clear" w:color="auto" w:fill="auto"/>
          </w:tcPr>
          <w:p w14:paraId="18519EB0"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Hypophosphataemia</w:t>
            </w:r>
            <w:proofErr w:type="spellEnd"/>
          </w:p>
        </w:tc>
        <w:tc>
          <w:tcPr>
            <w:tcW w:w="2160" w:type="dxa"/>
            <w:shd w:val="clear" w:color="auto" w:fill="auto"/>
          </w:tcPr>
          <w:p w14:paraId="0E418568"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02A7947E" w14:textId="173C82A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17.5</w:t>
            </w:r>
          </w:p>
        </w:tc>
        <w:tc>
          <w:tcPr>
            <w:tcW w:w="1186" w:type="dxa"/>
            <w:shd w:val="clear" w:color="auto" w:fill="auto"/>
          </w:tcPr>
          <w:p w14:paraId="71F8519B" w14:textId="076E0CA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5.8</w:t>
            </w:r>
          </w:p>
        </w:tc>
      </w:tr>
      <w:tr w:rsidR="00F46469" w:rsidRPr="00A44065" w14:paraId="63164D64" w14:textId="77777777" w:rsidTr="005A2E65">
        <w:tc>
          <w:tcPr>
            <w:tcW w:w="3717" w:type="dxa"/>
            <w:shd w:val="clear" w:color="auto" w:fill="auto"/>
          </w:tcPr>
          <w:p w14:paraId="1268C65B"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Hypomagnesaemia</w:t>
            </w:r>
          </w:p>
        </w:tc>
        <w:tc>
          <w:tcPr>
            <w:tcW w:w="2160" w:type="dxa"/>
            <w:shd w:val="clear" w:color="auto" w:fill="auto"/>
          </w:tcPr>
          <w:p w14:paraId="588E5D5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689F82A2" w14:textId="23E91CE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14.3</w:t>
            </w:r>
          </w:p>
        </w:tc>
        <w:tc>
          <w:tcPr>
            <w:tcW w:w="1186" w:type="dxa"/>
            <w:shd w:val="clear" w:color="auto" w:fill="auto"/>
          </w:tcPr>
          <w:p w14:paraId="4A636B40" w14:textId="4B6A938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141595AB" w14:textId="77777777" w:rsidTr="005A2E65">
        <w:tc>
          <w:tcPr>
            <w:tcW w:w="3717" w:type="dxa"/>
            <w:shd w:val="clear" w:color="auto" w:fill="auto"/>
          </w:tcPr>
          <w:p w14:paraId="69A3D8AE"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Hypocalcaemia</w:t>
            </w:r>
            <w:proofErr w:type="spellEnd"/>
          </w:p>
        </w:tc>
        <w:tc>
          <w:tcPr>
            <w:tcW w:w="2160" w:type="dxa"/>
            <w:shd w:val="clear" w:color="auto" w:fill="auto"/>
          </w:tcPr>
          <w:p w14:paraId="4DBC85D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54687CC0" w14:textId="4107359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12.3</w:t>
            </w:r>
          </w:p>
        </w:tc>
        <w:tc>
          <w:tcPr>
            <w:tcW w:w="1186" w:type="dxa"/>
            <w:shd w:val="clear" w:color="auto" w:fill="auto"/>
          </w:tcPr>
          <w:p w14:paraId="4786A931" w14:textId="0E8D60F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2A3F750D" w14:textId="77777777" w:rsidTr="005A2E65">
        <w:tc>
          <w:tcPr>
            <w:tcW w:w="3717" w:type="dxa"/>
            <w:shd w:val="clear" w:color="auto" w:fill="auto"/>
          </w:tcPr>
          <w:p w14:paraId="1B1B84EF"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Hypokalaemia</w:t>
            </w:r>
            <w:proofErr w:type="spellEnd"/>
          </w:p>
        </w:tc>
        <w:tc>
          <w:tcPr>
            <w:tcW w:w="2160" w:type="dxa"/>
            <w:shd w:val="clear" w:color="auto" w:fill="auto"/>
          </w:tcPr>
          <w:p w14:paraId="09C78711"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46953A2B" w14:textId="4C9EDF7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11.0</w:t>
            </w:r>
          </w:p>
        </w:tc>
        <w:tc>
          <w:tcPr>
            <w:tcW w:w="1186" w:type="dxa"/>
            <w:shd w:val="clear" w:color="auto" w:fill="auto"/>
          </w:tcPr>
          <w:p w14:paraId="65E556CA" w14:textId="05F0496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4745FAC3" w14:textId="77777777" w:rsidTr="005A2E65">
        <w:tc>
          <w:tcPr>
            <w:tcW w:w="3717" w:type="dxa"/>
            <w:shd w:val="clear" w:color="auto" w:fill="auto"/>
          </w:tcPr>
          <w:p w14:paraId="5F7A3C40"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Hyponatraemia</w:t>
            </w:r>
            <w:proofErr w:type="spellEnd"/>
          </w:p>
        </w:tc>
        <w:tc>
          <w:tcPr>
            <w:tcW w:w="2160" w:type="dxa"/>
            <w:shd w:val="clear" w:color="auto" w:fill="auto"/>
          </w:tcPr>
          <w:p w14:paraId="6F665CDB"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45053631" w14:textId="6E3DA8F8"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c>
          <w:tcPr>
            <w:tcW w:w="1186" w:type="dxa"/>
            <w:shd w:val="clear" w:color="auto" w:fill="auto"/>
          </w:tcPr>
          <w:p w14:paraId="73FCE0B8" w14:textId="4E88322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24296138" w14:textId="77777777" w:rsidTr="005A2E65">
        <w:tc>
          <w:tcPr>
            <w:tcW w:w="3717" w:type="dxa"/>
            <w:shd w:val="clear" w:color="auto" w:fill="auto"/>
          </w:tcPr>
          <w:p w14:paraId="62B1F7DC"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Tumour</w:t>
            </w:r>
            <w:proofErr w:type="spellEnd"/>
            <w:r w:rsidRPr="00A44065">
              <w:rPr>
                <w:rFonts w:ascii="Times New Roman" w:hAnsi="Times New Roman"/>
              </w:rPr>
              <w:t xml:space="preserve"> lysis syndrome</w:t>
            </w:r>
          </w:p>
        </w:tc>
        <w:tc>
          <w:tcPr>
            <w:tcW w:w="2160" w:type="dxa"/>
            <w:shd w:val="clear" w:color="auto" w:fill="auto"/>
          </w:tcPr>
          <w:p w14:paraId="607E97C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391737F" w14:textId="72707C1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2E08D6E8" w14:textId="6588499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6425E4C7" w14:textId="77777777" w:rsidTr="005A2E65">
        <w:tc>
          <w:tcPr>
            <w:tcW w:w="8636" w:type="dxa"/>
            <w:gridSpan w:val="4"/>
            <w:shd w:val="clear" w:color="auto" w:fill="auto"/>
          </w:tcPr>
          <w:p w14:paraId="62835A23"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Skin and subcutaneous tissue disorders</w:t>
            </w:r>
          </w:p>
        </w:tc>
      </w:tr>
      <w:tr w:rsidR="00F46469" w:rsidRPr="00A44065" w14:paraId="0B6C3BCC" w14:textId="77777777" w:rsidTr="005A2E65">
        <w:tc>
          <w:tcPr>
            <w:tcW w:w="3717" w:type="dxa"/>
            <w:shd w:val="clear" w:color="auto" w:fill="auto"/>
          </w:tcPr>
          <w:p w14:paraId="1CC68DFF"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Rash</w:t>
            </w:r>
            <w:r w:rsidRPr="00A44065">
              <w:rPr>
                <w:rFonts w:ascii="Times New Roman" w:hAnsi="Times New Roman"/>
                <w:vertAlign w:val="superscript"/>
              </w:rPr>
              <w:t>g</w:t>
            </w:r>
            <w:proofErr w:type="spellEnd"/>
          </w:p>
        </w:tc>
        <w:tc>
          <w:tcPr>
            <w:tcW w:w="2160" w:type="dxa"/>
            <w:shd w:val="clear" w:color="auto" w:fill="auto"/>
          </w:tcPr>
          <w:p w14:paraId="0842321A"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6E88C757" w14:textId="59F89F9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18.8</w:t>
            </w:r>
          </w:p>
        </w:tc>
        <w:tc>
          <w:tcPr>
            <w:tcW w:w="1186" w:type="dxa"/>
            <w:shd w:val="clear" w:color="auto" w:fill="auto"/>
          </w:tcPr>
          <w:p w14:paraId="105441C7" w14:textId="0C99E89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4D407208" w14:textId="77777777" w:rsidTr="005A2E65">
        <w:tc>
          <w:tcPr>
            <w:tcW w:w="8636" w:type="dxa"/>
            <w:gridSpan w:val="4"/>
            <w:shd w:val="clear" w:color="auto" w:fill="auto"/>
          </w:tcPr>
          <w:p w14:paraId="523EC60B"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Gastrointestinal disorders</w:t>
            </w:r>
          </w:p>
        </w:tc>
      </w:tr>
      <w:tr w:rsidR="00F46469" w:rsidRPr="00A44065" w14:paraId="067D6EF6" w14:textId="77777777" w:rsidTr="005A2E65">
        <w:tc>
          <w:tcPr>
            <w:tcW w:w="3717" w:type="dxa"/>
            <w:shd w:val="clear" w:color="auto" w:fill="auto"/>
          </w:tcPr>
          <w:p w14:paraId="3C63752C"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Constipation</w:t>
            </w:r>
          </w:p>
        </w:tc>
        <w:tc>
          <w:tcPr>
            <w:tcW w:w="2160" w:type="dxa"/>
            <w:shd w:val="clear" w:color="auto" w:fill="auto"/>
          </w:tcPr>
          <w:p w14:paraId="4E92F1C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76521C22" w14:textId="321032A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13.6</w:t>
            </w:r>
          </w:p>
        </w:tc>
        <w:tc>
          <w:tcPr>
            <w:tcW w:w="1186" w:type="dxa"/>
            <w:shd w:val="clear" w:color="auto" w:fill="auto"/>
          </w:tcPr>
          <w:p w14:paraId="470E3113" w14:textId="6600E3B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410434DC" w14:textId="77777777" w:rsidTr="005A2E65">
        <w:tc>
          <w:tcPr>
            <w:tcW w:w="3717" w:type="dxa"/>
            <w:shd w:val="clear" w:color="auto" w:fill="auto"/>
          </w:tcPr>
          <w:p w14:paraId="15168AAB"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Diarrhoea</w:t>
            </w:r>
            <w:proofErr w:type="spellEnd"/>
          </w:p>
        </w:tc>
        <w:tc>
          <w:tcPr>
            <w:tcW w:w="2160" w:type="dxa"/>
            <w:shd w:val="clear" w:color="auto" w:fill="auto"/>
          </w:tcPr>
          <w:p w14:paraId="1CD2778C" w14:textId="3273609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5140FCE4" w14:textId="0F4C943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13.0</w:t>
            </w:r>
          </w:p>
        </w:tc>
        <w:tc>
          <w:tcPr>
            <w:tcW w:w="1186" w:type="dxa"/>
            <w:shd w:val="clear" w:color="auto" w:fill="auto"/>
          </w:tcPr>
          <w:p w14:paraId="45329829" w14:textId="1C399FB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04402865" w14:textId="77777777" w:rsidTr="005A2E65">
        <w:tc>
          <w:tcPr>
            <w:tcW w:w="3717" w:type="dxa"/>
            <w:shd w:val="clear" w:color="auto" w:fill="auto"/>
          </w:tcPr>
          <w:p w14:paraId="596CBF33"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Nausea</w:t>
            </w:r>
          </w:p>
        </w:tc>
        <w:tc>
          <w:tcPr>
            <w:tcW w:w="2160" w:type="dxa"/>
            <w:shd w:val="clear" w:color="auto" w:fill="auto"/>
          </w:tcPr>
          <w:p w14:paraId="3BEFFB38" w14:textId="07DEA6E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00855835" w14:textId="03B6744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10.4</w:t>
            </w:r>
          </w:p>
        </w:tc>
        <w:tc>
          <w:tcPr>
            <w:tcW w:w="1186" w:type="dxa"/>
            <w:shd w:val="clear" w:color="auto" w:fill="auto"/>
          </w:tcPr>
          <w:p w14:paraId="169599F6" w14:textId="5B4386C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105FA3F9" w14:textId="77777777" w:rsidTr="005A2E65">
        <w:tc>
          <w:tcPr>
            <w:tcW w:w="3717" w:type="dxa"/>
            <w:shd w:val="clear" w:color="auto" w:fill="auto"/>
          </w:tcPr>
          <w:p w14:paraId="2C5A683F"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Gastrointestinal </w:t>
            </w:r>
            <w:proofErr w:type="spellStart"/>
            <w:r w:rsidRPr="00A44065">
              <w:rPr>
                <w:rFonts w:ascii="Times New Roman" w:hAnsi="Times New Roman"/>
              </w:rPr>
              <w:t>haemorrhage</w:t>
            </w:r>
            <w:r w:rsidRPr="00A44065">
              <w:rPr>
                <w:rFonts w:ascii="Times New Roman" w:hAnsi="Times New Roman"/>
                <w:vertAlign w:val="superscript"/>
              </w:rPr>
              <w:t>h</w:t>
            </w:r>
            <w:proofErr w:type="spellEnd"/>
          </w:p>
        </w:tc>
        <w:tc>
          <w:tcPr>
            <w:tcW w:w="2160" w:type="dxa"/>
            <w:shd w:val="clear" w:color="auto" w:fill="auto"/>
          </w:tcPr>
          <w:p w14:paraId="235E07E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6961DDED" w14:textId="185BB02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c>
          <w:tcPr>
            <w:tcW w:w="1186" w:type="dxa"/>
            <w:shd w:val="clear" w:color="auto" w:fill="auto"/>
          </w:tcPr>
          <w:p w14:paraId="6A8BCDB6" w14:textId="13D9D01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7871C6EF" w14:textId="77777777" w:rsidTr="005A2E65">
        <w:tc>
          <w:tcPr>
            <w:tcW w:w="3717" w:type="dxa"/>
            <w:shd w:val="clear" w:color="auto" w:fill="auto"/>
          </w:tcPr>
          <w:p w14:paraId="40224DAA"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Vomiting</w:t>
            </w:r>
          </w:p>
        </w:tc>
        <w:tc>
          <w:tcPr>
            <w:tcW w:w="2160" w:type="dxa"/>
            <w:shd w:val="clear" w:color="auto" w:fill="auto"/>
          </w:tcPr>
          <w:p w14:paraId="7F0A5429"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4A4BAE31" w14:textId="099727F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c>
          <w:tcPr>
            <w:tcW w:w="1186" w:type="dxa"/>
            <w:shd w:val="clear" w:color="auto" w:fill="auto"/>
          </w:tcPr>
          <w:p w14:paraId="54666D09" w14:textId="10D2F2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06C7F07B" w14:textId="77777777" w:rsidTr="005A2E65">
        <w:trPr>
          <w:trHeight w:val="233"/>
        </w:trPr>
        <w:tc>
          <w:tcPr>
            <w:tcW w:w="8636" w:type="dxa"/>
            <w:gridSpan w:val="4"/>
            <w:shd w:val="clear" w:color="auto" w:fill="auto"/>
          </w:tcPr>
          <w:p w14:paraId="3FE9C8C4"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Neoplasms benign, malignant and unspecified (incl cysts and polyps)</w:t>
            </w:r>
          </w:p>
        </w:tc>
      </w:tr>
      <w:tr w:rsidR="00F46469" w:rsidRPr="00A44065" w14:paraId="706F36EA" w14:textId="77777777" w:rsidTr="005A2E65">
        <w:tc>
          <w:tcPr>
            <w:tcW w:w="3717" w:type="dxa"/>
            <w:shd w:val="clear" w:color="auto" w:fill="auto"/>
          </w:tcPr>
          <w:p w14:paraId="3F615A07"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Tumour</w:t>
            </w:r>
            <w:proofErr w:type="spellEnd"/>
            <w:r w:rsidRPr="00A44065">
              <w:rPr>
                <w:rFonts w:ascii="Times New Roman" w:hAnsi="Times New Roman"/>
              </w:rPr>
              <w:t xml:space="preserve"> flare</w:t>
            </w:r>
          </w:p>
        </w:tc>
        <w:tc>
          <w:tcPr>
            <w:tcW w:w="2160" w:type="dxa"/>
            <w:shd w:val="clear" w:color="auto" w:fill="auto"/>
          </w:tcPr>
          <w:p w14:paraId="14C792FD"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475EC296" w14:textId="06E4678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11.0</w:t>
            </w:r>
          </w:p>
        </w:tc>
        <w:tc>
          <w:tcPr>
            <w:tcW w:w="1186" w:type="dxa"/>
            <w:shd w:val="clear" w:color="auto" w:fill="auto"/>
          </w:tcPr>
          <w:p w14:paraId="195BC3B2" w14:textId="1C5C416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45E52E8B" w14:textId="77777777" w:rsidTr="005A2E65">
        <w:trPr>
          <w:trHeight w:val="233"/>
        </w:trPr>
        <w:tc>
          <w:tcPr>
            <w:tcW w:w="8636" w:type="dxa"/>
            <w:gridSpan w:val="4"/>
            <w:shd w:val="clear" w:color="auto" w:fill="auto"/>
          </w:tcPr>
          <w:p w14:paraId="759A9223"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lang w:val="da-DK"/>
              </w:rPr>
              <w:t>Nervous system disorders</w:t>
            </w:r>
          </w:p>
        </w:tc>
      </w:tr>
      <w:tr w:rsidR="00F46469" w:rsidRPr="00A44065" w14:paraId="28EBE2DE" w14:textId="77777777" w:rsidTr="005A2E65">
        <w:tc>
          <w:tcPr>
            <w:tcW w:w="3717" w:type="dxa"/>
            <w:shd w:val="clear" w:color="auto" w:fill="auto"/>
          </w:tcPr>
          <w:p w14:paraId="04375EA5"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Headache</w:t>
            </w:r>
          </w:p>
        </w:tc>
        <w:tc>
          <w:tcPr>
            <w:tcW w:w="2160" w:type="dxa"/>
            <w:shd w:val="clear" w:color="auto" w:fill="auto"/>
          </w:tcPr>
          <w:p w14:paraId="5B3692B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57A862B5" w14:textId="036550A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9.7</w:t>
            </w:r>
          </w:p>
        </w:tc>
        <w:tc>
          <w:tcPr>
            <w:tcW w:w="1186" w:type="dxa"/>
            <w:shd w:val="clear" w:color="auto" w:fill="auto"/>
          </w:tcPr>
          <w:p w14:paraId="71DF91DE" w14:textId="6884FC2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14DC59B1" w14:textId="77777777" w:rsidTr="005A2E65">
        <w:tc>
          <w:tcPr>
            <w:tcW w:w="3717" w:type="dxa"/>
            <w:shd w:val="clear" w:color="auto" w:fill="auto"/>
          </w:tcPr>
          <w:p w14:paraId="7C6B23CE"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Somnolence</w:t>
            </w:r>
          </w:p>
        </w:tc>
        <w:tc>
          <w:tcPr>
            <w:tcW w:w="2160" w:type="dxa"/>
            <w:shd w:val="clear" w:color="auto" w:fill="auto"/>
          </w:tcPr>
          <w:p w14:paraId="354988C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61110658" w14:textId="6FA8891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652D45D1" w14:textId="60D32A78"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25490859" w14:textId="77777777" w:rsidTr="005A2E65">
        <w:tc>
          <w:tcPr>
            <w:tcW w:w="3717" w:type="dxa"/>
            <w:shd w:val="clear" w:color="auto" w:fill="auto"/>
          </w:tcPr>
          <w:p w14:paraId="64698AF4"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Tremor</w:t>
            </w:r>
          </w:p>
        </w:tc>
        <w:tc>
          <w:tcPr>
            <w:tcW w:w="2160" w:type="dxa"/>
            <w:shd w:val="clear" w:color="auto" w:fill="auto"/>
          </w:tcPr>
          <w:p w14:paraId="4004A090"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C9079B3" w14:textId="189A9E0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1D998326" w14:textId="35D5C70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21022B54" w14:textId="77777777" w:rsidTr="005A2E65">
        <w:tc>
          <w:tcPr>
            <w:tcW w:w="3717" w:type="dxa"/>
            <w:shd w:val="clear" w:color="auto" w:fill="auto"/>
          </w:tcPr>
          <w:p w14:paraId="7DD1F301"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Myelitis</w:t>
            </w:r>
            <w:r w:rsidRPr="00A44065">
              <w:rPr>
                <w:rFonts w:ascii="Times New Roman" w:hAnsi="Times New Roman"/>
                <w:vertAlign w:val="superscript"/>
              </w:rPr>
              <w:t>i</w:t>
            </w:r>
            <w:proofErr w:type="spellEnd"/>
          </w:p>
        </w:tc>
        <w:tc>
          <w:tcPr>
            <w:tcW w:w="2160" w:type="dxa"/>
            <w:shd w:val="clear" w:color="auto" w:fill="auto"/>
          </w:tcPr>
          <w:p w14:paraId="7A6461C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Uncommon</w:t>
            </w:r>
          </w:p>
        </w:tc>
        <w:tc>
          <w:tcPr>
            <w:tcW w:w="1573" w:type="dxa"/>
            <w:shd w:val="clear" w:color="auto" w:fill="auto"/>
          </w:tcPr>
          <w:p w14:paraId="7808D9CC" w14:textId="201132B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c>
          <w:tcPr>
            <w:tcW w:w="1186" w:type="dxa"/>
            <w:shd w:val="clear" w:color="auto" w:fill="auto"/>
          </w:tcPr>
          <w:p w14:paraId="06986FB5" w14:textId="4ED31FEC"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4E7740C3" w14:textId="77777777" w:rsidTr="005A2E65">
        <w:trPr>
          <w:trHeight w:val="233"/>
        </w:trPr>
        <w:tc>
          <w:tcPr>
            <w:tcW w:w="8636" w:type="dxa"/>
            <w:gridSpan w:val="4"/>
            <w:shd w:val="clear" w:color="auto" w:fill="auto"/>
          </w:tcPr>
          <w:p w14:paraId="6B44EE4F" w14:textId="77777777" w:rsidR="00F46469" w:rsidRPr="00A44065" w:rsidRDefault="00F46469" w:rsidP="00F46469">
            <w:pPr>
              <w:pStyle w:val="TableCell10Left"/>
              <w:keepNext w:val="0"/>
              <w:rPr>
                <w:rFonts w:ascii="Times New Roman" w:hAnsi="Times New Roman"/>
              </w:rPr>
            </w:pPr>
            <w:r w:rsidRPr="00A44065">
              <w:rPr>
                <w:rFonts w:ascii="Times New Roman" w:hAnsi="Times New Roman"/>
                <w:b/>
              </w:rPr>
              <w:t>Infections and infestations</w:t>
            </w:r>
          </w:p>
        </w:tc>
      </w:tr>
      <w:tr w:rsidR="00F46469" w:rsidRPr="00A44065" w14:paraId="40344B63" w14:textId="77777777" w:rsidTr="005A2E65">
        <w:tc>
          <w:tcPr>
            <w:tcW w:w="3717" w:type="dxa"/>
            <w:shd w:val="clear" w:color="auto" w:fill="auto"/>
          </w:tcPr>
          <w:p w14:paraId="4FFC609D"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Viral </w:t>
            </w:r>
            <w:proofErr w:type="spellStart"/>
            <w:r w:rsidRPr="00A44065">
              <w:rPr>
                <w:rFonts w:ascii="Times New Roman" w:hAnsi="Times New Roman"/>
              </w:rPr>
              <w:t>infections</w:t>
            </w:r>
            <w:r w:rsidRPr="00A44065">
              <w:rPr>
                <w:rFonts w:ascii="Times New Roman" w:hAnsi="Times New Roman"/>
                <w:vertAlign w:val="superscript"/>
              </w:rPr>
              <w:t>j</w:t>
            </w:r>
            <w:proofErr w:type="spellEnd"/>
          </w:p>
        </w:tc>
        <w:tc>
          <w:tcPr>
            <w:tcW w:w="2160" w:type="dxa"/>
            <w:shd w:val="clear" w:color="auto" w:fill="auto"/>
          </w:tcPr>
          <w:p w14:paraId="201356D5" w14:textId="147C763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20F6DD28" w14:textId="05D0729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11.0</w:t>
            </w:r>
          </w:p>
        </w:tc>
        <w:tc>
          <w:tcPr>
            <w:tcW w:w="1186" w:type="dxa"/>
            <w:shd w:val="clear" w:color="auto" w:fill="auto"/>
          </w:tcPr>
          <w:p w14:paraId="398F0EB7" w14:textId="283D4CB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3.2</w:t>
            </w:r>
            <w:r w:rsidRPr="00A44065">
              <w:rPr>
                <w:rFonts w:ascii="Times New Roman" w:hAnsi="Times New Roman"/>
                <w:b/>
                <w:vertAlign w:val="superscript"/>
              </w:rPr>
              <w:t>*</w:t>
            </w:r>
          </w:p>
        </w:tc>
      </w:tr>
      <w:tr w:rsidR="00F46469" w:rsidRPr="00A44065" w14:paraId="69169410" w14:textId="77777777" w:rsidTr="005A2E65">
        <w:trPr>
          <w:trHeight w:val="45"/>
        </w:trPr>
        <w:tc>
          <w:tcPr>
            <w:tcW w:w="3717" w:type="dxa"/>
            <w:shd w:val="clear" w:color="auto" w:fill="auto"/>
          </w:tcPr>
          <w:p w14:paraId="313CE4B1"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Bacterial </w:t>
            </w:r>
            <w:proofErr w:type="spellStart"/>
            <w:r w:rsidRPr="00A44065">
              <w:rPr>
                <w:rFonts w:ascii="Times New Roman" w:hAnsi="Times New Roman"/>
              </w:rPr>
              <w:t>infections</w:t>
            </w:r>
            <w:r w:rsidRPr="00A44065">
              <w:rPr>
                <w:rFonts w:ascii="Times New Roman" w:hAnsi="Times New Roman"/>
                <w:vertAlign w:val="superscript"/>
              </w:rPr>
              <w:t>k</w:t>
            </w:r>
            <w:proofErr w:type="spellEnd"/>
          </w:p>
        </w:tc>
        <w:tc>
          <w:tcPr>
            <w:tcW w:w="2160" w:type="dxa"/>
            <w:shd w:val="clear" w:color="auto" w:fill="auto"/>
          </w:tcPr>
          <w:p w14:paraId="081E17F8"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58A4B61" w14:textId="52B4BA4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6.5</w:t>
            </w:r>
          </w:p>
        </w:tc>
        <w:tc>
          <w:tcPr>
            <w:tcW w:w="1186" w:type="dxa"/>
            <w:shd w:val="clear" w:color="auto" w:fill="auto"/>
          </w:tcPr>
          <w:p w14:paraId="257A8A41" w14:textId="7A5C3A8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1.9</w:t>
            </w:r>
          </w:p>
        </w:tc>
      </w:tr>
      <w:tr w:rsidR="00F46469" w:rsidRPr="00A44065" w14:paraId="391A6B15" w14:textId="77777777" w:rsidTr="005A2E65">
        <w:tc>
          <w:tcPr>
            <w:tcW w:w="3717" w:type="dxa"/>
            <w:shd w:val="clear" w:color="auto" w:fill="auto"/>
          </w:tcPr>
          <w:p w14:paraId="223B0959"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Upper respiratory tract </w:t>
            </w:r>
            <w:proofErr w:type="spellStart"/>
            <w:r w:rsidRPr="00A44065">
              <w:rPr>
                <w:rFonts w:ascii="Times New Roman" w:hAnsi="Times New Roman"/>
              </w:rPr>
              <w:t>infections</w:t>
            </w:r>
            <w:r w:rsidRPr="00A44065">
              <w:rPr>
                <w:rFonts w:ascii="Times New Roman" w:hAnsi="Times New Roman"/>
                <w:vertAlign w:val="superscript"/>
              </w:rPr>
              <w:t>l</w:t>
            </w:r>
            <w:proofErr w:type="spellEnd"/>
          </w:p>
        </w:tc>
        <w:tc>
          <w:tcPr>
            <w:tcW w:w="2160" w:type="dxa"/>
            <w:shd w:val="clear" w:color="auto" w:fill="auto"/>
          </w:tcPr>
          <w:p w14:paraId="4DE26583"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15D25B1" w14:textId="3F3DE7A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5.2</w:t>
            </w:r>
          </w:p>
        </w:tc>
        <w:tc>
          <w:tcPr>
            <w:tcW w:w="1186" w:type="dxa"/>
            <w:shd w:val="clear" w:color="auto" w:fill="auto"/>
          </w:tcPr>
          <w:p w14:paraId="6D7B9545" w14:textId="7EB4249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2C2D3F7E" w14:textId="77777777" w:rsidTr="005A2E65">
        <w:tc>
          <w:tcPr>
            <w:tcW w:w="3717" w:type="dxa"/>
            <w:shd w:val="clear" w:color="auto" w:fill="auto"/>
          </w:tcPr>
          <w:p w14:paraId="458AE31D" w14:textId="480A1E3E" w:rsidR="00F46469" w:rsidRPr="00A44065" w:rsidRDefault="00F46469" w:rsidP="00F46469">
            <w:pPr>
              <w:pStyle w:val="TableCell10Left"/>
              <w:keepNext w:val="0"/>
              <w:spacing w:before="20" w:after="20" w:line="240" w:lineRule="auto"/>
              <w:rPr>
                <w:rFonts w:ascii="Times New Roman" w:hAnsi="Times New Roman"/>
                <w:vertAlign w:val="superscript"/>
              </w:rPr>
            </w:pPr>
            <w:r w:rsidRPr="00A44065">
              <w:rPr>
                <w:rFonts w:ascii="Times New Roman" w:hAnsi="Times New Roman"/>
              </w:rPr>
              <w:t xml:space="preserve">  </w:t>
            </w:r>
            <w:proofErr w:type="spellStart"/>
            <w:r w:rsidRPr="00A44065">
              <w:rPr>
                <w:rFonts w:ascii="Times New Roman" w:hAnsi="Times New Roman"/>
              </w:rPr>
              <w:t>Sepsis</w:t>
            </w:r>
            <w:r w:rsidRPr="00A44065">
              <w:rPr>
                <w:rFonts w:ascii="Times New Roman" w:hAnsi="Times New Roman"/>
                <w:vertAlign w:val="superscript"/>
              </w:rPr>
              <w:t>m</w:t>
            </w:r>
            <w:proofErr w:type="spellEnd"/>
          </w:p>
        </w:tc>
        <w:tc>
          <w:tcPr>
            <w:tcW w:w="2160" w:type="dxa"/>
            <w:shd w:val="clear" w:color="auto" w:fill="auto"/>
          </w:tcPr>
          <w:p w14:paraId="7C37AB3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EB1764F" w14:textId="56C1DDD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3.9</w:t>
            </w:r>
          </w:p>
        </w:tc>
        <w:tc>
          <w:tcPr>
            <w:tcW w:w="1186" w:type="dxa"/>
            <w:shd w:val="clear" w:color="auto" w:fill="auto"/>
          </w:tcPr>
          <w:p w14:paraId="7914C096" w14:textId="35D773E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r w:rsidRPr="00A44065">
              <w:rPr>
                <w:rFonts w:ascii="Times New Roman" w:hAnsi="Times New Roman"/>
                <w:b/>
                <w:vertAlign w:val="superscript"/>
              </w:rPr>
              <w:t>*</w:t>
            </w:r>
          </w:p>
        </w:tc>
      </w:tr>
      <w:tr w:rsidR="00F46469" w:rsidRPr="00A44065" w14:paraId="3183952E" w14:textId="77777777" w:rsidTr="005A2E65">
        <w:tc>
          <w:tcPr>
            <w:tcW w:w="3717" w:type="dxa"/>
            <w:shd w:val="clear" w:color="auto" w:fill="auto"/>
          </w:tcPr>
          <w:p w14:paraId="5EE98822" w14:textId="44EC6B00"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Lower respiratory tract </w:t>
            </w:r>
            <w:proofErr w:type="spellStart"/>
            <w:r w:rsidRPr="00A44065">
              <w:rPr>
                <w:rFonts w:ascii="Times New Roman" w:hAnsi="Times New Roman"/>
              </w:rPr>
              <w:t>infections</w:t>
            </w:r>
            <w:r w:rsidRPr="00A44065">
              <w:rPr>
                <w:rFonts w:ascii="Times New Roman" w:hAnsi="Times New Roman"/>
                <w:vertAlign w:val="superscript"/>
              </w:rPr>
              <w:t>n</w:t>
            </w:r>
            <w:proofErr w:type="spellEnd"/>
          </w:p>
        </w:tc>
        <w:tc>
          <w:tcPr>
            <w:tcW w:w="2160" w:type="dxa"/>
            <w:shd w:val="clear" w:color="auto" w:fill="auto"/>
          </w:tcPr>
          <w:p w14:paraId="40186581"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2FAE7F3" w14:textId="3CD1B278"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1.9</w:t>
            </w:r>
          </w:p>
        </w:tc>
        <w:tc>
          <w:tcPr>
            <w:tcW w:w="1186" w:type="dxa"/>
            <w:shd w:val="clear" w:color="auto" w:fill="auto"/>
          </w:tcPr>
          <w:p w14:paraId="6EA0FFD6" w14:textId="3F53EFF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652BA724" w14:textId="77777777" w:rsidTr="005A2E65">
        <w:tc>
          <w:tcPr>
            <w:tcW w:w="3717" w:type="dxa"/>
            <w:shd w:val="clear" w:color="auto" w:fill="auto"/>
          </w:tcPr>
          <w:p w14:paraId="1FFEC76D"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Pneumonia</w:t>
            </w:r>
          </w:p>
        </w:tc>
        <w:tc>
          <w:tcPr>
            <w:tcW w:w="2160" w:type="dxa"/>
            <w:shd w:val="clear" w:color="auto" w:fill="auto"/>
          </w:tcPr>
          <w:p w14:paraId="0C355F8A"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69EFAC9" w14:textId="53B88CC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c>
          <w:tcPr>
            <w:tcW w:w="1186" w:type="dxa"/>
            <w:shd w:val="clear" w:color="auto" w:fill="auto"/>
          </w:tcPr>
          <w:p w14:paraId="4C07E010" w14:textId="452608F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42718941" w14:textId="77777777" w:rsidTr="005A2E65">
        <w:tc>
          <w:tcPr>
            <w:tcW w:w="3717" w:type="dxa"/>
            <w:shd w:val="clear" w:color="auto" w:fill="auto"/>
          </w:tcPr>
          <w:p w14:paraId="56B80E68" w14:textId="2B244ABA" w:rsidR="00F46469" w:rsidRPr="00A44065" w:rsidRDefault="00F46469" w:rsidP="00F46469">
            <w:pPr>
              <w:pStyle w:val="TableCell10Left"/>
              <w:keepNext w:val="0"/>
              <w:spacing w:before="20" w:after="20" w:line="240" w:lineRule="auto"/>
              <w:rPr>
                <w:rFonts w:ascii="Times New Roman" w:hAnsi="Times New Roman"/>
                <w:vertAlign w:val="superscript"/>
              </w:rPr>
            </w:pPr>
            <w:r w:rsidRPr="00A44065">
              <w:rPr>
                <w:rFonts w:ascii="Times New Roman" w:hAnsi="Times New Roman"/>
              </w:rPr>
              <w:t xml:space="preserve">  </w:t>
            </w:r>
            <w:r w:rsidRPr="00A44065">
              <w:rPr>
                <w:rFonts w:ascii="Times New Roman" w:hAnsi="Times New Roman"/>
                <w:lang w:val="en-GB"/>
              </w:rPr>
              <w:t xml:space="preserve">Urinary tract </w:t>
            </w:r>
            <w:proofErr w:type="spellStart"/>
            <w:r w:rsidRPr="00A44065">
              <w:rPr>
                <w:rFonts w:ascii="Times New Roman" w:hAnsi="Times New Roman"/>
                <w:lang w:val="en-GB"/>
              </w:rPr>
              <w:t>infection</w:t>
            </w:r>
            <w:r w:rsidRPr="00A44065">
              <w:rPr>
                <w:rFonts w:ascii="Times New Roman" w:hAnsi="Times New Roman"/>
                <w:vertAlign w:val="superscript"/>
                <w:lang w:val="en-GB"/>
              </w:rPr>
              <w:t>o</w:t>
            </w:r>
            <w:proofErr w:type="spellEnd"/>
          </w:p>
        </w:tc>
        <w:tc>
          <w:tcPr>
            <w:tcW w:w="2160" w:type="dxa"/>
            <w:shd w:val="clear" w:color="auto" w:fill="auto"/>
          </w:tcPr>
          <w:p w14:paraId="6E0D8F0F"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19362624" w14:textId="69FD3FF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c>
          <w:tcPr>
            <w:tcW w:w="1186" w:type="dxa"/>
            <w:shd w:val="clear" w:color="auto" w:fill="auto"/>
          </w:tcPr>
          <w:p w14:paraId="4D61F7F0" w14:textId="338C2E9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404A1B73" w14:textId="77777777" w:rsidTr="005A2E65">
        <w:tc>
          <w:tcPr>
            <w:tcW w:w="3717" w:type="dxa"/>
            <w:shd w:val="clear" w:color="auto" w:fill="auto"/>
          </w:tcPr>
          <w:p w14:paraId="18AB5F01" w14:textId="23E334DD"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lastRenderedPageBreak/>
              <w:t xml:space="preserve">  Fungal </w:t>
            </w:r>
            <w:proofErr w:type="spellStart"/>
            <w:r w:rsidRPr="00A44065">
              <w:rPr>
                <w:rFonts w:ascii="Times New Roman" w:hAnsi="Times New Roman"/>
              </w:rPr>
              <w:t>infections</w:t>
            </w:r>
            <w:r w:rsidRPr="00A44065">
              <w:rPr>
                <w:rFonts w:ascii="Times New Roman" w:hAnsi="Times New Roman"/>
                <w:vertAlign w:val="superscript"/>
              </w:rPr>
              <w:t>p</w:t>
            </w:r>
            <w:proofErr w:type="spellEnd"/>
          </w:p>
        </w:tc>
        <w:tc>
          <w:tcPr>
            <w:tcW w:w="2160" w:type="dxa"/>
            <w:shd w:val="clear" w:color="auto" w:fill="auto"/>
          </w:tcPr>
          <w:p w14:paraId="01685B6B"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Uncommon</w:t>
            </w:r>
          </w:p>
        </w:tc>
        <w:tc>
          <w:tcPr>
            <w:tcW w:w="1573" w:type="dxa"/>
            <w:shd w:val="clear" w:color="auto" w:fill="auto"/>
          </w:tcPr>
          <w:p w14:paraId="1B87D83D" w14:textId="5E6FC10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457F50C3" w14:textId="41A670E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3FECC2FA" w14:textId="77777777" w:rsidTr="005A2E65">
        <w:tc>
          <w:tcPr>
            <w:tcW w:w="8636" w:type="dxa"/>
            <w:gridSpan w:val="4"/>
            <w:shd w:val="clear" w:color="auto" w:fill="auto"/>
          </w:tcPr>
          <w:p w14:paraId="760BDB66" w14:textId="77777777" w:rsidR="00F46469" w:rsidRPr="00A44065" w:rsidRDefault="00F46469" w:rsidP="00F46469">
            <w:pPr>
              <w:pStyle w:val="TableCell10Left"/>
              <w:keepNext w:val="0"/>
              <w:rPr>
                <w:rFonts w:ascii="Times New Roman" w:hAnsi="Times New Roman"/>
              </w:rPr>
            </w:pPr>
            <w:r w:rsidRPr="00A44065">
              <w:rPr>
                <w:rFonts w:ascii="Times New Roman" w:hAnsi="Times New Roman"/>
                <w:b/>
              </w:rPr>
              <w:t>Investigations</w:t>
            </w:r>
          </w:p>
        </w:tc>
      </w:tr>
      <w:tr w:rsidR="00F46469" w:rsidRPr="00A44065" w14:paraId="4B0813D4" w14:textId="77777777" w:rsidTr="005A2E65">
        <w:tc>
          <w:tcPr>
            <w:tcW w:w="3717" w:type="dxa"/>
            <w:shd w:val="clear" w:color="auto" w:fill="auto"/>
          </w:tcPr>
          <w:p w14:paraId="7900D273"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Alanine aminotransferase increased</w:t>
            </w:r>
          </w:p>
        </w:tc>
        <w:tc>
          <w:tcPr>
            <w:tcW w:w="2160" w:type="dxa"/>
            <w:shd w:val="clear" w:color="auto" w:fill="auto"/>
          </w:tcPr>
          <w:p w14:paraId="2F96799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3AC47558" w14:textId="004BF81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8.4</w:t>
            </w:r>
          </w:p>
        </w:tc>
        <w:tc>
          <w:tcPr>
            <w:tcW w:w="1186" w:type="dxa"/>
            <w:shd w:val="clear" w:color="auto" w:fill="auto"/>
          </w:tcPr>
          <w:p w14:paraId="1DD68DBB" w14:textId="78C2669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38430C8F" w14:textId="77777777" w:rsidTr="005A2E65">
        <w:tc>
          <w:tcPr>
            <w:tcW w:w="3717" w:type="dxa"/>
            <w:shd w:val="clear" w:color="auto" w:fill="auto"/>
          </w:tcPr>
          <w:p w14:paraId="0FED7E24"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Aspartate aminotransferase increased</w:t>
            </w:r>
          </w:p>
        </w:tc>
        <w:tc>
          <w:tcPr>
            <w:tcW w:w="2160" w:type="dxa"/>
            <w:shd w:val="clear" w:color="auto" w:fill="auto"/>
          </w:tcPr>
          <w:p w14:paraId="250CE18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A35BA15" w14:textId="7D7A459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c>
          <w:tcPr>
            <w:tcW w:w="1186" w:type="dxa"/>
            <w:shd w:val="clear" w:color="auto" w:fill="auto"/>
          </w:tcPr>
          <w:p w14:paraId="7A30ABFD" w14:textId="27A0C0DC"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45D38DEB" w14:textId="77777777" w:rsidTr="005A2E65">
        <w:tc>
          <w:tcPr>
            <w:tcW w:w="3717" w:type="dxa"/>
            <w:shd w:val="clear" w:color="auto" w:fill="auto"/>
          </w:tcPr>
          <w:p w14:paraId="7F45A954"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Blood alkaline phosphatase increased</w:t>
            </w:r>
          </w:p>
        </w:tc>
        <w:tc>
          <w:tcPr>
            <w:tcW w:w="2160" w:type="dxa"/>
            <w:shd w:val="clear" w:color="auto" w:fill="auto"/>
          </w:tcPr>
          <w:p w14:paraId="2E7E047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337EE463" w14:textId="56CC1ED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8.4</w:t>
            </w:r>
          </w:p>
        </w:tc>
        <w:tc>
          <w:tcPr>
            <w:tcW w:w="1186" w:type="dxa"/>
            <w:shd w:val="clear" w:color="auto" w:fill="auto"/>
          </w:tcPr>
          <w:p w14:paraId="260C6D8D" w14:textId="706E795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6516597D" w14:textId="77777777" w:rsidTr="005A2E65">
        <w:tc>
          <w:tcPr>
            <w:tcW w:w="3717" w:type="dxa"/>
            <w:shd w:val="clear" w:color="auto" w:fill="auto"/>
          </w:tcPr>
          <w:p w14:paraId="5FF84616"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Gamma-</w:t>
            </w:r>
            <w:proofErr w:type="spellStart"/>
            <w:r w:rsidRPr="00A44065">
              <w:rPr>
                <w:rFonts w:ascii="Times New Roman" w:hAnsi="Times New Roman"/>
              </w:rPr>
              <w:t>glutamyltransferase</w:t>
            </w:r>
            <w:proofErr w:type="spellEnd"/>
            <w:r w:rsidRPr="00A44065">
              <w:rPr>
                <w:rFonts w:ascii="Times New Roman" w:hAnsi="Times New Roman"/>
              </w:rPr>
              <w:t xml:space="preserve"> increased</w:t>
            </w:r>
          </w:p>
        </w:tc>
        <w:tc>
          <w:tcPr>
            <w:tcW w:w="2160" w:type="dxa"/>
            <w:shd w:val="clear" w:color="auto" w:fill="auto"/>
          </w:tcPr>
          <w:p w14:paraId="52A5B26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39B9EF49" w14:textId="6FC767A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6.5</w:t>
            </w:r>
          </w:p>
        </w:tc>
        <w:tc>
          <w:tcPr>
            <w:tcW w:w="1186" w:type="dxa"/>
            <w:shd w:val="clear" w:color="auto" w:fill="auto"/>
          </w:tcPr>
          <w:p w14:paraId="2D1DA381" w14:textId="222B57BC"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210692D8" w14:textId="77777777" w:rsidTr="005A2E65">
        <w:tc>
          <w:tcPr>
            <w:tcW w:w="3717" w:type="dxa"/>
            <w:shd w:val="clear" w:color="auto" w:fill="auto"/>
          </w:tcPr>
          <w:p w14:paraId="2573F125"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Blood bilirubin increased</w:t>
            </w:r>
          </w:p>
        </w:tc>
        <w:tc>
          <w:tcPr>
            <w:tcW w:w="2160" w:type="dxa"/>
            <w:shd w:val="clear" w:color="auto" w:fill="auto"/>
          </w:tcPr>
          <w:p w14:paraId="6BF6DF0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8D6C710" w14:textId="4FDF89A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3.9</w:t>
            </w:r>
          </w:p>
        </w:tc>
        <w:tc>
          <w:tcPr>
            <w:tcW w:w="1186" w:type="dxa"/>
            <w:shd w:val="clear" w:color="auto" w:fill="auto"/>
          </w:tcPr>
          <w:p w14:paraId="629FA194" w14:textId="4DB13A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720634B9" w14:textId="77777777" w:rsidTr="005A2E65">
        <w:tc>
          <w:tcPr>
            <w:tcW w:w="3717" w:type="dxa"/>
            <w:tcBorders>
              <w:bottom w:val="single" w:sz="4" w:space="0" w:color="auto"/>
            </w:tcBorders>
            <w:shd w:val="clear" w:color="auto" w:fill="auto"/>
          </w:tcPr>
          <w:p w14:paraId="143C2769"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Hepatic enzyme increased</w:t>
            </w:r>
          </w:p>
        </w:tc>
        <w:tc>
          <w:tcPr>
            <w:tcW w:w="2160" w:type="dxa"/>
            <w:tcBorders>
              <w:bottom w:val="single" w:sz="4" w:space="0" w:color="auto"/>
            </w:tcBorders>
            <w:shd w:val="clear" w:color="auto" w:fill="auto"/>
          </w:tcPr>
          <w:p w14:paraId="62C0B0C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tcBorders>
              <w:bottom w:val="single" w:sz="4" w:space="0" w:color="auto"/>
            </w:tcBorders>
            <w:shd w:val="clear" w:color="auto" w:fill="auto"/>
          </w:tcPr>
          <w:p w14:paraId="154B7128" w14:textId="25148B8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tcBorders>
              <w:bottom w:val="single" w:sz="4" w:space="0" w:color="auto"/>
            </w:tcBorders>
            <w:shd w:val="clear" w:color="auto" w:fill="auto"/>
          </w:tcPr>
          <w:p w14:paraId="0A40C65B" w14:textId="0FB33E4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68873A95" w14:textId="77777777" w:rsidTr="005A2E65">
        <w:tc>
          <w:tcPr>
            <w:tcW w:w="8636" w:type="dxa"/>
            <w:gridSpan w:val="4"/>
            <w:tcBorders>
              <w:bottom w:val="single" w:sz="4" w:space="0" w:color="auto"/>
            </w:tcBorders>
            <w:shd w:val="clear" w:color="auto" w:fill="auto"/>
          </w:tcPr>
          <w:p w14:paraId="732188BA"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Psychiatric disorders</w:t>
            </w:r>
          </w:p>
        </w:tc>
      </w:tr>
      <w:tr w:rsidR="00F46469" w:rsidRPr="00A44065" w14:paraId="4A35A725" w14:textId="77777777" w:rsidTr="005A2E65">
        <w:tc>
          <w:tcPr>
            <w:tcW w:w="3717" w:type="dxa"/>
            <w:tcBorders>
              <w:bottom w:val="single" w:sz="4" w:space="0" w:color="auto"/>
            </w:tcBorders>
            <w:shd w:val="clear" w:color="auto" w:fill="auto"/>
          </w:tcPr>
          <w:p w14:paraId="26DF5F71" w14:textId="77777777" w:rsidR="00F46469" w:rsidRPr="00A44065" w:rsidRDefault="00F46469" w:rsidP="00F46469">
            <w:pPr>
              <w:pStyle w:val="TableCell10Left"/>
              <w:keepNext w:val="0"/>
              <w:keepLines w:val="0"/>
              <w:spacing w:before="20" w:after="20" w:line="240" w:lineRule="auto"/>
              <w:rPr>
                <w:rFonts w:ascii="Times New Roman" w:hAnsi="Times New Roman"/>
              </w:rPr>
            </w:pPr>
            <w:r w:rsidRPr="00A44065">
              <w:rPr>
                <w:rFonts w:ascii="Times New Roman" w:hAnsi="Times New Roman"/>
              </w:rPr>
              <w:t xml:space="preserve">  Confusional state</w:t>
            </w:r>
          </w:p>
        </w:tc>
        <w:tc>
          <w:tcPr>
            <w:tcW w:w="2160" w:type="dxa"/>
            <w:tcBorders>
              <w:bottom w:val="single" w:sz="4" w:space="0" w:color="auto"/>
            </w:tcBorders>
            <w:shd w:val="clear" w:color="auto" w:fill="auto"/>
          </w:tcPr>
          <w:p w14:paraId="625D2872" w14:textId="77777777" w:rsidR="00F46469" w:rsidRPr="0008620B" w:rsidRDefault="00F46469" w:rsidP="00F46469">
            <w:pPr>
              <w:pStyle w:val="TableCell10Center"/>
              <w:keepNext w:val="0"/>
              <w:spacing w:before="20" w:after="20" w:line="240" w:lineRule="auto"/>
              <w:rPr>
                <w:rFonts w:ascii="Times New Roman" w:hAnsi="Times New Roman"/>
              </w:rPr>
            </w:pPr>
            <w:r w:rsidRPr="0008620B">
              <w:rPr>
                <w:rFonts w:ascii="Times New Roman" w:hAnsi="Times New Roman"/>
              </w:rPr>
              <w:t>Common</w:t>
            </w:r>
          </w:p>
        </w:tc>
        <w:tc>
          <w:tcPr>
            <w:tcW w:w="1573" w:type="dxa"/>
            <w:tcBorders>
              <w:bottom w:val="single" w:sz="4" w:space="0" w:color="auto"/>
            </w:tcBorders>
            <w:shd w:val="clear" w:color="auto" w:fill="auto"/>
          </w:tcPr>
          <w:p w14:paraId="2AE598AC" w14:textId="231CBCCD" w:rsidR="00F46469" w:rsidRPr="0008620B" w:rsidRDefault="00F46469" w:rsidP="00F46469">
            <w:pPr>
              <w:pStyle w:val="TableCell10Center"/>
              <w:keepNext w:val="0"/>
              <w:spacing w:before="20" w:after="20" w:line="240" w:lineRule="auto"/>
              <w:rPr>
                <w:rFonts w:ascii="Times New Roman" w:hAnsi="Times New Roman"/>
              </w:rPr>
            </w:pPr>
            <w:r w:rsidRPr="0008620B">
              <w:rPr>
                <w:rFonts w:ascii="Times New Roman" w:hAnsi="Times New Roman"/>
              </w:rPr>
              <w:t>1.9</w:t>
            </w:r>
          </w:p>
        </w:tc>
        <w:tc>
          <w:tcPr>
            <w:tcW w:w="1186" w:type="dxa"/>
            <w:tcBorders>
              <w:bottom w:val="single" w:sz="4" w:space="0" w:color="auto"/>
            </w:tcBorders>
            <w:shd w:val="clear" w:color="auto" w:fill="auto"/>
          </w:tcPr>
          <w:p w14:paraId="451ED09B" w14:textId="38FF60D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E03FA4" w:rsidRPr="00A44065" w14:paraId="7BD55944" w14:textId="77777777" w:rsidTr="005A2E65">
        <w:trPr>
          <w:trHeight w:val="3713"/>
        </w:trPr>
        <w:tc>
          <w:tcPr>
            <w:tcW w:w="8636" w:type="dxa"/>
            <w:gridSpan w:val="4"/>
            <w:tcBorders>
              <w:left w:val="nil"/>
              <w:bottom w:val="nil"/>
              <w:right w:val="nil"/>
            </w:tcBorders>
            <w:shd w:val="clear" w:color="auto" w:fill="auto"/>
          </w:tcPr>
          <w:p w14:paraId="075A124F" w14:textId="7AB2DA3C" w:rsidR="00E03FA4" w:rsidRPr="00A44065" w:rsidRDefault="00E03FA4" w:rsidP="005A2E65">
            <w:pPr>
              <w:pStyle w:val="TabFigFooter"/>
              <w:keepNext w:val="0"/>
              <w:keepLines w:val="0"/>
              <w:spacing w:line="240" w:lineRule="auto"/>
              <w:ind w:left="243" w:hanging="215"/>
              <w:rPr>
                <w:rFonts w:ascii="Times New Roman" w:hAnsi="Times New Roman"/>
                <w:sz w:val="18"/>
                <w:szCs w:val="18"/>
              </w:rPr>
            </w:pPr>
            <w:r w:rsidRPr="00A44065">
              <w:rPr>
                <w:rFonts w:ascii="Times New Roman" w:hAnsi="Times New Roman"/>
                <w:sz w:val="18"/>
                <w:szCs w:val="18"/>
              </w:rPr>
              <w:t>*</w:t>
            </w:r>
            <w:r w:rsidRPr="00A44065">
              <w:rPr>
                <w:rFonts w:ascii="Times New Roman" w:hAnsi="Times New Roman"/>
                <w:sz w:val="18"/>
                <w:szCs w:val="18"/>
              </w:rPr>
              <w:tab/>
              <w:t>Grade 5 reactions reported include sepsis (1.3%), COVID-19 pneumonia (</w:t>
            </w:r>
            <w:r w:rsidR="00F46469" w:rsidRPr="00A44065">
              <w:rPr>
                <w:rFonts w:ascii="Times New Roman" w:hAnsi="Times New Roman"/>
                <w:sz w:val="18"/>
                <w:szCs w:val="18"/>
              </w:rPr>
              <w:t>1.9</w:t>
            </w:r>
            <w:r w:rsidRPr="00A44065">
              <w:rPr>
                <w:rFonts w:ascii="Times New Roman" w:hAnsi="Times New Roman"/>
                <w:sz w:val="18"/>
                <w:szCs w:val="18"/>
              </w:rPr>
              <w:t>%), and COVID-19 (</w:t>
            </w:r>
            <w:r w:rsidR="00F46469" w:rsidRPr="00A44065">
              <w:rPr>
                <w:rFonts w:ascii="Times New Roman" w:hAnsi="Times New Roman"/>
                <w:sz w:val="18"/>
                <w:szCs w:val="18"/>
              </w:rPr>
              <w:t>1.9</w:t>
            </w:r>
            <w:r w:rsidRPr="00A44065">
              <w:rPr>
                <w:rFonts w:ascii="Times New Roman" w:hAnsi="Times New Roman"/>
                <w:sz w:val="18"/>
                <w:szCs w:val="18"/>
              </w:rPr>
              <w:t>%).</w:t>
            </w:r>
          </w:p>
          <w:p w14:paraId="257D0857" w14:textId="29D958B9"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t>B</w:t>
            </w:r>
            <w:r w:rsidR="00FC73E0" w:rsidRPr="00A44065">
              <w:rPr>
                <w:rFonts w:ascii="Times New Roman" w:hAnsi="Times New Roman"/>
                <w:sz w:val="18"/>
                <w:szCs w:val="18"/>
              </w:rPr>
              <w:t>ased on ASTCT consensus grading</w:t>
            </w:r>
            <w:r w:rsidRPr="00A44065">
              <w:rPr>
                <w:rFonts w:ascii="Times New Roman" w:hAnsi="Times New Roman"/>
                <w:sz w:val="18"/>
                <w:szCs w:val="18"/>
              </w:rPr>
              <w:t>.</w:t>
            </w:r>
          </w:p>
          <w:p w14:paraId="48B5A874"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t>Includes neutropenia and neutrophil count decreased.</w:t>
            </w:r>
          </w:p>
          <w:p w14:paraId="7C0C427A"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c</w:t>
            </w:r>
            <w:r w:rsidRPr="00A44065">
              <w:rPr>
                <w:rFonts w:ascii="Times New Roman" w:hAnsi="Times New Roman"/>
                <w:sz w:val="18"/>
                <w:szCs w:val="18"/>
              </w:rPr>
              <w:tab/>
              <w:t xml:space="preserve">Includes </w:t>
            </w:r>
            <w:proofErr w:type="spellStart"/>
            <w:r w:rsidRPr="00A44065">
              <w:rPr>
                <w:rFonts w:ascii="Times New Roman" w:hAnsi="Times New Roman"/>
                <w:sz w:val="18"/>
                <w:szCs w:val="18"/>
              </w:rPr>
              <w:t>anaemia</w:t>
            </w:r>
            <w:proofErr w:type="spellEnd"/>
            <w:r w:rsidRPr="00A44065">
              <w:rPr>
                <w:rFonts w:ascii="Times New Roman" w:hAnsi="Times New Roman"/>
                <w:sz w:val="18"/>
                <w:szCs w:val="18"/>
              </w:rPr>
              <w:t xml:space="preserve"> and </w:t>
            </w:r>
            <w:proofErr w:type="spellStart"/>
            <w:r w:rsidRPr="00A44065">
              <w:rPr>
                <w:rFonts w:ascii="Times New Roman" w:hAnsi="Times New Roman"/>
                <w:sz w:val="18"/>
                <w:szCs w:val="18"/>
              </w:rPr>
              <w:t>haemoglobin</w:t>
            </w:r>
            <w:proofErr w:type="spellEnd"/>
            <w:r w:rsidRPr="00A44065">
              <w:rPr>
                <w:rFonts w:ascii="Times New Roman" w:hAnsi="Times New Roman"/>
                <w:sz w:val="18"/>
                <w:szCs w:val="18"/>
              </w:rPr>
              <w:t xml:space="preserve"> decreased.</w:t>
            </w:r>
          </w:p>
          <w:p w14:paraId="7D5F4870"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d</w:t>
            </w:r>
            <w:r w:rsidRPr="00A44065">
              <w:rPr>
                <w:rFonts w:ascii="Times New Roman" w:hAnsi="Times New Roman"/>
                <w:sz w:val="18"/>
                <w:szCs w:val="18"/>
              </w:rPr>
              <w:tab/>
              <w:t>Includes thrombocytopenia and platelet count decreased.</w:t>
            </w:r>
          </w:p>
          <w:p w14:paraId="4B6AF649"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e</w:t>
            </w:r>
            <w:r w:rsidRPr="00A44065">
              <w:rPr>
                <w:rFonts w:ascii="Times New Roman" w:hAnsi="Times New Roman"/>
                <w:sz w:val="18"/>
                <w:szCs w:val="18"/>
              </w:rPr>
              <w:tab/>
              <w:t>Includes lymphopenia and lymphocyte count decreased.</w:t>
            </w:r>
          </w:p>
          <w:p w14:paraId="61772343"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f</w:t>
            </w:r>
            <w:r w:rsidRPr="00A44065">
              <w:rPr>
                <w:rFonts w:ascii="Times New Roman" w:hAnsi="Times New Roman"/>
                <w:sz w:val="18"/>
                <w:szCs w:val="18"/>
              </w:rPr>
              <w:tab/>
              <w:t>Includes febrile neutropenia and neutropenic infection.</w:t>
            </w:r>
          </w:p>
          <w:p w14:paraId="3290ABE4" w14:textId="3A6B3565"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g</w:t>
            </w:r>
            <w:r w:rsidRPr="00A44065">
              <w:rPr>
                <w:rFonts w:ascii="Times New Roman" w:hAnsi="Times New Roman"/>
                <w:sz w:val="18"/>
                <w:szCs w:val="18"/>
              </w:rPr>
              <w:tab/>
              <w:t>Includes rash, rash pruritic, rash maculo-papular, dermatitis, dermatitis acneiform, dermatitis exfoliative, erythema, palmar erythema</w:t>
            </w:r>
            <w:r w:rsidR="00F46469" w:rsidRPr="00A44065">
              <w:rPr>
                <w:rFonts w:ascii="Times New Roman" w:hAnsi="Times New Roman"/>
                <w:sz w:val="18"/>
                <w:szCs w:val="18"/>
              </w:rPr>
              <w:t xml:space="preserve">, pruritus, and rash </w:t>
            </w:r>
            <w:proofErr w:type="gramStart"/>
            <w:r w:rsidR="00F46469" w:rsidRPr="00A44065">
              <w:rPr>
                <w:rFonts w:ascii="Times New Roman" w:hAnsi="Times New Roman"/>
                <w:sz w:val="18"/>
                <w:szCs w:val="18"/>
              </w:rPr>
              <w:t>erythematous.</w:t>
            </w:r>
            <w:r w:rsidRPr="00A44065">
              <w:rPr>
                <w:rFonts w:ascii="Times New Roman" w:hAnsi="Times New Roman"/>
                <w:sz w:val="18"/>
                <w:szCs w:val="18"/>
              </w:rPr>
              <w:t>.</w:t>
            </w:r>
            <w:proofErr w:type="gramEnd"/>
          </w:p>
          <w:p w14:paraId="731F088A"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h</w:t>
            </w:r>
            <w:r w:rsidRPr="00A44065">
              <w:rPr>
                <w:rFonts w:ascii="Times New Roman" w:hAnsi="Times New Roman"/>
                <w:sz w:val="18"/>
                <w:szCs w:val="18"/>
              </w:rPr>
              <w:tab/>
              <w:t xml:space="preserve">Includes gastrointestinal </w:t>
            </w:r>
            <w:proofErr w:type="spellStart"/>
            <w:r w:rsidRPr="00A44065">
              <w:rPr>
                <w:rFonts w:ascii="Times New Roman" w:hAnsi="Times New Roman"/>
                <w:sz w:val="18"/>
                <w:szCs w:val="18"/>
              </w:rPr>
              <w:t>haemorrhage</w:t>
            </w:r>
            <w:proofErr w:type="spellEnd"/>
            <w:r w:rsidRPr="00A44065">
              <w:rPr>
                <w:rFonts w:ascii="Times New Roman" w:hAnsi="Times New Roman"/>
                <w:sz w:val="18"/>
                <w:szCs w:val="18"/>
              </w:rPr>
              <w:t xml:space="preserve">, large intestinal </w:t>
            </w:r>
            <w:proofErr w:type="spellStart"/>
            <w:r w:rsidRPr="00A44065">
              <w:rPr>
                <w:rFonts w:ascii="Times New Roman" w:hAnsi="Times New Roman"/>
                <w:sz w:val="18"/>
                <w:szCs w:val="18"/>
              </w:rPr>
              <w:t>haemorrhage</w:t>
            </w:r>
            <w:proofErr w:type="spellEnd"/>
            <w:r w:rsidRPr="00A44065">
              <w:rPr>
                <w:rFonts w:ascii="Times New Roman" w:hAnsi="Times New Roman"/>
                <w:sz w:val="18"/>
                <w:szCs w:val="18"/>
              </w:rPr>
              <w:t xml:space="preserve">, and gastric </w:t>
            </w:r>
            <w:proofErr w:type="spellStart"/>
            <w:r w:rsidRPr="00A44065">
              <w:rPr>
                <w:rFonts w:ascii="Times New Roman" w:hAnsi="Times New Roman"/>
                <w:sz w:val="18"/>
                <w:szCs w:val="18"/>
              </w:rPr>
              <w:t>haemorrhage</w:t>
            </w:r>
            <w:proofErr w:type="spellEnd"/>
            <w:r w:rsidRPr="00A44065">
              <w:rPr>
                <w:rFonts w:ascii="Times New Roman" w:hAnsi="Times New Roman"/>
                <w:sz w:val="18"/>
                <w:szCs w:val="18"/>
              </w:rPr>
              <w:t>.</w:t>
            </w:r>
          </w:p>
          <w:p w14:paraId="0897979D"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proofErr w:type="spellStart"/>
            <w:r w:rsidRPr="00A44065">
              <w:rPr>
                <w:rFonts w:ascii="Times New Roman" w:hAnsi="Times New Roman"/>
                <w:sz w:val="18"/>
                <w:szCs w:val="18"/>
              </w:rPr>
              <w:t>i</w:t>
            </w:r>
            <w:proofErr w:type="spellEnd"/>
            <w:r w:rsidRPr="00A44065">
              <w:rPr>
                <w:rFonts w:ascii="Times New Roman" w:hAnsi="Times New Roman"/>
                <w:sz w:val="18"/>
                <w:szCs w:val="18"/>
              </w:rPr>
              <w:tab/>
              <w:t>Myelitis occurred concurrently with CRS.</w:t>
            </w:r>
          </w:p>
          <w:p w14:paraId="3AA010B7" w14:textId="4CA9B41F"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j</w:t>
            </w:r>
            <w:r w:rsidRPr="00A44065">
              <w:rPr>
                <w:rFonts w:ascii="Times New Roman" w:hAnsi="Times New Roman"/>
                <w:sz w:val="18"/>
                <w:szCs w:val="18"/>
              </w:rPr>
              <w:tab/>
              <w:t>Includes COVID-19, COVID-19 pneumonia, herpes zoster,</w:t>
            </w:r>
            <w:r w:rsidR="00F46469" w:rsidRPr="00A44065">
              <w:rPr>
                <w:rFonts w:ascii="Times New Roman" w:hAnsi="Times New Roman"/>
                <w:sz w:val="18"/>
                <w:szCs w:val="18"/>
              </w:rPr>
              <w:t xml:space="preserve"> influenza</w:t>
            </w:r>
            <w:r w:rsidRPr="00A44065">
              <w:rPr>
                <w:rFonts w:ascii="Times New Roman" w:hAnsi="Times New Roman"/>
                <w:sz w:val="18"/>
                <w:szCs w:val="18"/>
              </w:rPr>
              <w:t xml:space="preserve"> and ophthalmic herpes zoster.</w:t>
            </w:r>
          </w:p>
          <w:p w14:paraId="29AE1C8A"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k</w:t>
            </w:r>
            <w:r w:rsidRPr="00A44065">
              <w:rPr>
                <w:rFonts w:ascii="Times New Roman" w:hAnsi="Times New Roman"/>
                <w:sz w:val="18"/>
                <w:szCs w:val="18"/>
              </w:rPr>
              <w:tab/>
              <w:t xml:space="preserve">Includes vascular device infection, bacterial infection, Campylobacter infection, biliary tract infection bacterial, urinary tract infection bacterial, </w:t>
            </w:r>
            <w:r w:rsidRPr="00A44065">
              <w:rPr>
                <w:rFonts w:ascii="Times New Roman" w:hAnsi="Times New Roman"/>
                <w:i/>
                <w:sz w:val="18"/>
                <w:szCs w:val="18"/>
              </w:rPr>
              <w:t>Clostridium difficile</w:t>
            </w:r>
            <w:r w:rsidRPr="00A44065">
              <w:rPr>
                <w:rFonts w:ascii="Times New Roman" w:hAnsi="Times New Roman"/>
                <w:sz w:val="18"/>
                <w:szCs w:val="18"/>
              </w:rPr>
              <w:t xml:space="preserve"> infection, Escherichia infection, and peritonitis.</w:t>
            </w:r>
          </w:p>
          <w:p w14:paraId="1789AEBB" w14:textId="27BB3B83"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l</w:t>
            </w:r>
            <w:r w:rsidRPr="00A44065">
              <w:rPr>
                <w:rFonts w:ascii="Times New Roman" w:hAnsi="Times New Roman"/>
                <w:sz w:val="18"/>
                <w:szCs w:val="18"/>
              </w:rPr>
              <w:tab/>
              <w:t>Includes upper respiratory tract infection, sinusitis, nasopharyngitis, chronic sinusitis, and rhinitis.</w:t>
            </w:r>
          </w:p>
          <w:p w14:paraId="63AFA4ED" w14:textId="77777777" w:rsidR="00F46469" w:rsidRPr="00A44065" w:rsidRDefault="00F46469" w:rsidP="00F46469">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m</w:t>
            </w:r>
            <w:r w:rsidRPr="00A44065">
              <w:rPr>
                <w:rFonts w:ascii="Times New Roman" w:hAnsi="Times New Roman"/>
                <w:sz w:val="18"/>
                <w:szCs w:val="18"/>
              </w:rPr>
              <w:tab/>
              <w:t>Includes sepsis and septic shock.</w:t>
            </w:r>
          </w:p>
          <w:p w14:paraId="1800F22F" w14:textId="3DEC3870" w:rsidR="00E03FA4" w:rsidRPr="00A44065" w:rsidRDefault="00F46469"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n</w:t>
            </w:r>
            <w:r w:rsidR="00E03FA4" w:rsidRPr="00A44065">
              <w:rPr>
                <w:rFonts w:ascii="Times New Roman" w:hAnsi="Times New Roman"/>
                <w:sz w:val="18"/>
                <w:szCs w:val="18"/>
              </w:rPr>
              <w:tab/>
              <w:t>Includes lower respiratory tract infection and bronchitis.</w:t>
            </w:r>
          </w:p>
          <w:p w14:paraId="43D36747" w14:textId="52AF6178" w:rsidR="00E03FA4" w:rsidRPr="00A44065" w:rsidRDefault="00F46469"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o   Includes urinary tract infection and Escherichia urinary tract infection.</w:t>
            </w:r>
            <w:r w:rsidR="00E03FA4" w:rsidRPr="00A44065">
              <w:rPr>
                <w:rFonts w:ascii="Times New Roman" w:hAnsi="Times New Roman"/>
                <w:sz w:val="18"/>
                <w:szCs w:val="18"/>
              </w:rPr>
              <w:tab/>
            </w:r>
          </w:p>
          <w:p w14:paraId="7757BC07" w14:textId="75E025B1" w:rsidR="00F46469" w:rsidRPr="00A44065" w:rsidRDefault="00F46469" w:rsidP="005A2E65">
            <w:pPr>
              <w:pStyle w:val="TabFigFooter"/>
              <w:keepNext w:val="0"/>
              <w:keepLines w:val="0"/>
              <w:spacing w:before="0" w:line="240" w:lineRule="auto"/>
              <w:rPr>
                <w:rFonts w:ascii="Times New Roman" w:hAnsi="Times New Roman"/>
              </w:rPr>
            </w:pPr>
            <w:r w:rsidRPr="00A44065">
              <w:rPr>
                <w:rFonts w:ascii="Times New Roman" w:hAnsi="Times New Roman"/>
                <w:sz w:val="18"/>
                <w:szCs w:val="18"/>
              </w:rPr>
              <w:t xml:space="preserve">p   Includes </w:t>
            </w:r>
            <w:proofErr w:type="spellStart"/>
            <w:r w:rsidRPr="00A44065">
              <w:rPr>
                <w:rFonts w:ascii="Times New Roman" w:hAnsi="Times New Roman"/>
                <w:sz w:val="18"/>
                <w:szCs w:val="18"/>
              </w:rPr>
              <w:t>oesophageal</w:t>
            </w:r>
            <w:proofErr w:type="spellEnd"/>
            <w:r w:rsidRPr="00A44065">
              <w:rPr>
                <w:rFonts w:ascii="Times New Roman" w:hAnsi="Times New Roman"/>
                <w:sz w:val="18"/>
                <w:szCs w:val="18"/>
              </w:rPr>
              <w:t xml:space="preserve"> candidiasis and oral candidiasis.</w:t>
            </w:r>
          </w:p>
        </w:tc>
      </w:tr>
    </w:tbl>
    <w:p w14:paraId="42CE884E" w14:textId="77777777" w:rsidR="00E03FA4" w:rsidRPr="00A44065" w:rsidRDefault="00E03FA4" w:rsidP="00E03FA4">
      <w:pPr>
        <w:pStyle w:val="ParagraphSpace"/>
        <w:ind w:left="360"/>
        <w:rPr>
          <w:rFonts w:ascii="Times New Roman" w:hAnsi="Times New Roman"/>
        </w:rPr>
      </w:pPr>
    </w:p>
    <w:p w14:paraId="084FE2E5" w14:textId="77777777" w:rsidR="00E03FA4" w:rsidRPr="00A44065" w:rsidRDefault="00E03FA4" w:rsidP="00E03FA4">
      <w:pPr>
        <w:pStyle w:val="ParagraphSpace"/>
        <w:ind w:left="360"/>
        <w:rPr>
          <w:rFonts w:ascii="Times New Roman" w:hAnsi="Times New Roman"/>
        </w:rPr>
      </w:pPr>
    </w:p>
    <w:p w14:paraId="7BC01466" w14:textId="77777777" w:rsidR="00E03FA4" w:rsidRPr="00A44065" w:rsidRDefault="00E03FA4" w:rsidP="00FF21DD">
      <w:pPr>
        <w:pStyle w:val="ParagraphList"/>
        <w:rPr>
          <w:rFonts w:ascii="Times New Roman" w:hAnsi="Times New Roman"/>
          <w:b/>
        </w:rPr>
      </w:pPr>
      <w:r w:rsidRPr="00A44065">
        <w:rPr>
          <w:rFonts w:ascii="Times New Roman" w:hAnsi="Times New Roman"/>
          <w:b/>
        </w:rPr>
        <w:t xml:space="preserve">Description of selected adverse drug reactions from clinical trials </w:t>
      </w:r>
    </w:p>
    <w:p w14:paraId="12DB8983" w14:textId="77777777" w:rsidR="00E03FA4" w:rsidRPr="00A44065" w:rsidRDefault="00E03FA4" w:rsidP="00FF21DD">
      <w:pPr>
        <w:pStyle w:val="ParagraphList"/>
        <w:rPr>
          <w:rFonts w:ascii="Times New Roman" w:hAnsi="Times New Roman"/>
          <w:i/>
        </w:rPr>
      </w:pPr>
      <w:r w:rsidRPr="00A44065">
        <w:rPr>
          <w:rFonts w:ascii="Times New Roman" w:hAnsi="Times New Roman"/>
          <w:i/>
        </w:rPr>
        <w:t xml:space="preserve">Cytokine Release Syndrome </w:t>
      </w:r>
    </w:p>
    <w:p w14:paraId="0B373531" w14:textId="3B76CFD4" w:rsidR="00E03FA4" w:rsidRPr="00A44065" w:rsidRDefault="00E03FA4" w:rsidP="00FF21DD">
      <w:pPr>
        <w:pStyle w:val="Paragraph"/>
        <w:rPr>
          <w:rFonts w:ascii="Times New Roman" w:hAnsi="Times New Roman"/>
        </w:rPr>
      </w:pPr>
      <w:r w:rsidRPr="00A44065">
        <w:rPr>
          <w:rFonts w:ascii="Times New Roman" w:hAnsi="Times New Roman"/>
        </w:rPr>
        <w:t xml:space="preserve">In study NP30179, any grade CRS (by ASTCT criteria) occurred in </w:t>
      </w:r>
      <w:r w:rsidR="00F46469" w:rsidRPr="00A44065">
        <w:rPr>
          <w:rFonts w:ascii="Times New Roman" w:hAnsi="Times New Roman"/>
        </w:rPr>
        <w:t>64.3</w:t>
      </w:r>
      <w:r w:rsidRPr="00A44065">
        <w:rPr>
          <w:rFonts w:ascii="Times New Roman" w:hAnsi="Times New Roman"/>
        </w:rPr>
        <w:t xml:space="preserve">% of patients, with Grade 1 CRS being reported in </w:t>
      </w:r>
      <w:r w:rsidR="00F46469" w:rsidRPr="00A44065">
        <w:rPr>
          <w:rFonts w:ascii="Times New Roman" w:hAnsi="Times New Roman"/>
        </w:rPr>
        <w:t>48.1</w:t>
      </w:r>
      <w:r w:rsidRPr="00A44065">
        <w:rPr>
          <w:rFonts w:ascii="Times New Roman" w:hAnsi="Times New Roman"/>
        </w:rPr>
        <w:t xml:space="preserve">% of patients, Grade 2 CRS in </w:t>
      </w:r>
      <w:r w:rsidR="00F46469" w:rsidRPr="00A44065">
        <w:rPr>
          <w:rFonts w:ascii="Times New Roman" w:hAnsi="Times New Roman"/>
        </w:rPr>
        <w:t>12.3</w:t>
      </w:r>
      <w:r w:rsidRPr="00A44065">
        <w:rPr>
          <w:rFonts w:ascii="Times New Roman" w:hAnsi="Times New Roman"/>
        </w:rPr>
        <w:t xml:space="preserve">% patients, Grade 3 CRS in 2.6% of patients, and Grade 4 CRS in 1.3% of patients.  There were no fatal cases of CRS. CRS resolved in all patients except one. One patient discontinued </w:t>
      </w:r>
      <w:proofErr w:type="spellStart"/>
      <w:r w:rsidR="00B719B6" w:rsidRPr="00A44065">
        <w:rPr>
          <w:rFonts w:ascii="Times New Roman" w:hAnsi="Times New Roman"/>
        </w:rPr>
        <w:t>Columvi</w:t>
      </w:r>
      <w:proofErr w:type="spellEnd"/>
      <w:r w:rsidRPr="00A44065">
        <w:rPr>
          <w:rFonts w:ascii="Times New Roman" w:hAnsi="Times New Roman"/>
        </w:rPr>
        <w:t xml:space="preserve"> due to CRS.</w:t>
      </w:r>
    </w:p>
    <w:p w14:paraId="60006108" w14:textId="411C55FE" w:rsidR="00E03FA4" w:rsidRPr="00A44065" w:rsidRDefault="00E03FA4" w:rsidP="00FF21DD">
      <w:pPr>
        <w:pStyle w:val="Paragraph"/>
        <w:rPr>
          <w:rFonts w:ascii="Times New Roman" w:hAnsi="Times New Roman"/>
        </w:rPr>
      </w:pPr>
      <w:r w:rsidRPr="00A44065">
        <w:rPr>
          <w:rFonts w:ascii="Times New Roman" w:hAnsi="Times New Roman"/>
        </w:rPr>
        <w:t>In patients with CRS, the most common manifestations of CRS included pyrexia (9</w:t>
      </w:r>
      <w:r w:rsidR="00F46469" w:rsidRPr="00A44065">
        <w:rPr>
          <w:rFonts w:ascii="Times New Roman" w:hAnsi="Times New Roman"/>
        </w:rPr>
        <w:t>9.0</w:t>
      </w:r>
      <w:r w:rsidRPr="00A44065">
        <w:rPr>
          <w:rFonts w:ascii="Times New Roman" w:hAnsi="Times New Roman"/>
        </w:rPr>
        <w:t>%), tachycardia (2</w:t>
      </w:r>
      <w:r w:rsidR="00F46469" w:rsidRPr="00A44065">
        <w:rPr>
          <w:rFonts w:ascii="Times New Roman" w:hAnsi="Times New Roman"/>
        </w:rPr>
        <w:t>6.3</w:t>
      </w:r>
      <w:r w:rsidRPr="00A44065">
        <w:rPr>
          <w:rFonts w:ascii="Times New Roman" w:hAnsi="Times New Roman"/>
        </w:rPr>
        <w:t>%), hypotension (</w:t>
      </w:r>
      <w:r w:rsidR="00F46469" w:rsidRPr="00A44065">
        <w:rPr>
          <w:rFonts w:ascii="Times New Roman" w:hAnsi="Times New Roman"/>
        </w:rPr>
        <w:t>23.2</w:t>
      </w:r>
      <w:r w:rsidRPr="00A44065">
        <w:rPr>
          <w:rFonts w:ascii="Times New Roman" w:hAnsi="Times New Roman"/>
        </w:rPr>
        <w:t>%), chills (</w:t>
      </w:r>
      <w:r w:rsidR="00F46469" w:rsidRPr="00A44065">
        <w:rPr>
          <w:rFonts w:ascii="Times New Roman" w:hAnsi="Times New Roman"/>
        </w:rPr>
        <w:t>14.</w:t>
      </w:r>
      <w:r w:rsidR="00162DF3" w:rsidRPr="00A44065">
        <w:rPr>
          <w:rFonts w:ascii="Times New Roman" w:hAnsi="Times New Roman"/>
        </w:rPr>
        <w:t>1</w:t>
      </w:r>
      <w:r w:rsidRPr="00A44065">
        <w:rPr>
          <w:rFonts w:ascii="Times New Roman" w:hAnsi="Times New Roman"/>
        </w:rPr>
        <w:t>%), and hypoxia (</w:t>
      </w:r>
      <w:r w:rsidR="00F46469" w:rsidRPr="00A44065">
        <w:rPr>
          <w:rFonts w:ascii="Times New Roman" w:hAnsi="Times New Roman"/>
        </w:rPr>
        <w:t>12.1</w:t>
      </w:r>
      <w:r w:rsidRPr="00A44065">
        <w:rPr>
          <w:rFonts w:ascii="Times New Roman" w:hAnsi="Times New Roman"/>
        </w:rPr>
        <w:t xml:space="preserve">%). Grade 3 or higher </w:t>
      </w:r>
      <w:r w:rsidRPr="00A44065">
        <w:rPr>
          <w:rFonts w:ascii="Times New Roman" w:hAnsi="Times New Roman"/>
          <w:szCs w:val="22"/>
        </w:rPr>
        <w:t xml:space="preserve">events </w:t>
      </w:r>
      <w:r w:rsidRPr="00A44065">
        <w:rPr>
          <w:rFonts w:ascii="Times New Roman" w:hAnsi="Times New Roman"/>
        </w:rPr>
        <w:t>associated with CRS included hypotension (</w:t>
      </w:r>
      <w:r w:rsidR="00F46469" w:rsidRPr="00A44065">
        <w:rPr>
          <w:rFonts w:ascii="Times New Roman" w:hAnsi="Times New Roman"/>
        </w:rPr>
        <w:t>3.0</w:t>
      </w:r>
      <w:r w:rsidRPr="00A44065">
        <w:rPr>
          <w:rFonts w:ascii="Times New Roman" w:hAnsi="Times New Roman"/>
        </w:rPr>
        <w:t>%), hypoxia (</w:t>
      </w:r>
      <w:r w:rsidR="00F46469" w:rsidRPr="00A44065">
        <w:rPr>
          <w:rFonts w:ascii="Times New Roman" w:hAnsi="Times New Roman"/>
        </w:rPr>
        <w:t>3.0</w:t>
      </w:r>
      <w:r w:rsidRPr="00A44065">
        <w:rPr>
          <w:rFonts w:ascii="Times New Roman" w:hAnsi="Times New Roman"/>
        </w:rPr>
        <w:t>%), pyrexia (</w:t>
      </w:r>
      <w:r w:rsidR="00F46469" w:rsidRPr="00A44065">
        <w:rPr>
          <w:rFonts w:ascii="Times New Roman" w:hAnsi="Times New Roman"/>
        </w:rPr>
        <w:t>2.0</w:t>
      </w:r>
      <w:r w:rsidRPr="00A44065">
        <w:rPr>
          <w:rFonts w:ascii="Times New Roman" w:hAnsi="Times New Roman"/>
        </w:rPr>
        <w:t>%), and tachycardia (</w:t>
      </w:r>
      <w:r w:rsidR="00F46469" w:rsidRPr="00A44065">
        <w:rPr>
          <w:rFonts w:ascii="Times New Roman" w:hAnsi="Times New Roman"/>
        </w:rPr>
        <w:t>2.0</w:t>
      </w:r>
      <w:r w:rsidRPr="00A44065">
        <w:rPr>
          <w:rFonts w:ascii="Times New Roman" w:hAnsi="Times New Roman"/>
        </w:rPr>
        <w:t>%).</w:t>
      </w:r>
    </w:p>
    <w:p w14:paraId="09974DA5" w14:textId="3137C3E5" w:rsidR="00E03FA4" w:rsidRPr="00A44065" w:rsidRDefault="00E03FA4" w:rsidP="00FF21DD">
      <w:pPr>
        <w:pStyle w:val="Paragraph"/>
        <w:rPr>
          <w:rFonts w:ascii="Times New Roman" w:hAnsi="Times New Roman"/>
        </w:rPr>
      </w:pPr>
      <w:r w:rsidRPr="00A44065">
        <w:rPr>
          <w:rFonts w:ascii="Times New Roman" w:hAnsi="Times New Roman"/>
        </w:rPr>
        <w:t xml:space="preserve">CRS of any grade occurred in </w:t>
      </w:r>
      <w:r w:rsidR="00F46469" w:rsidRPr="00A44065">
        <w:rPr>
          <w:rFonts w:ascii="Times New Roman" w:hAnsi="Times New Roman"/>
        </w:rPr>
        <w:t>54.5</w:t>
      </w:r>
      <w:r w:rsidRPr="00A44065">
        <w:rPr>
          <w:rFonts w:ascii="Times New Roman" w:hAnsi="Times New Roman"/>
        </w:rPr>
        <w:t xml:space="preserve">% of patients following the 2.5 mg dose of </w:t>
      </w:r>
      <w:proofErr w:type="spellStart"/>
      <w:r w:rsidR="00B719B6" w:rsidRPr="00A44065">
        <w:rPr>
          <w:rFonts w:ascii="Times New Roman" w:hAnsi="Times New Roman"/>
        </w:rPr>
        <w:t>Columvi</w:t>
      </w:r>
      <w:proofErr w:type="spellEnd"/>
      <w:r w:rsidRPr="00A44065">
        <w:rPr>
          <w:rFonts w:ascii="Times New Roman" w:hAnsi="Times New Roman"/>
        </w:rPr>
        <w:t xml:space="preserve"> at Cycle 1 Day 8 with median time to onset </w:t>
      </w:r>
      <w:r w:rsidR="00F46469" w:rsidRPr="00A44065">
        <w:rPr>
          <w:rFonts w:ascii="Times New Roman" w:hAnsi="Times New Roman"/>
        </w:rPr>
        <w:t xml:space="preserve">(from the start of infusion) </w:t>
      </w:r>
      <w:r w:rsidRPr="00A44065">
        <w:rPr>
          <w:rFonts w:ascii="Times New Roman" w:hAnsi="Times New Roman"/>
        </w:rPr>
        <w:t xml:space="preserve">of </w:t>
      </w:r>
      <w:r w:rsidR="00867BED" w:rsidRPr="00A44065">
        <w:rPr>
          <w:rFonts w:ascii="Times New Roman" w:hAnsi="Times New Roman"/>
        </w:rPr>
        <w:t>12.6</w:t>
      </w:r>
      <w:r w:rsidRPr="00A44065">
        <w:rPr>
          <w:rFonts w:ascii="Times New Roman" w:hAnsi="Times New Roman"/>
        </w:rPr>
        <w:t> hours (range: </w:t>
      </w:r>
      <w:r w:rsidR="00867BED" w:rsidRPr="00A44065">
        <w:rPr>
          <w:rFonts w:ascii="Times New Roman" w:hAnsi="Times New Roman"/>
        </w:rPr>
        <w:t>5.2</w:t>
      </w:r>
      <w:r w:rsidRPr="00A44065">
        <w:rPr>
          <w:rFonts w:ascii="Times New Roman" w:hAnsi="Times New Roman"/>
        </w:rPr>
        <w:t xml:space="preserve"> to 5</w:t>
      </w:r>
      <w:r w:rsidR="00867BED" w:rsidRPr="00A44065">
        <w:rPr>
          <w:rFonts w:ascii="Times New Roman" w:hAnsi="Times New Roman"/>
        </w:rPr>
        <w:t>0.8</w:t>
      </w:r>
      <w:r w:rsidRPr="00A44065">
        <w:rPr>
          <w:rFonts w:ascii="Times New Roman" w:hAnsi="Times New Roman"/>
        </w:rPr>
        <w:t xml:space="preserve"> hours); in </w:t>
      </w:r>
      <w:r w:rsidR="00867BED" w:rsidRPr="00A44065">
        <w:rPr>
          <w:rFonts w:ascii="Times New Roman" w:hAnsi="Times New Roman"/>
        </w:rPr>
        <w:t>33.3</w:t>
      </w:r>
      <w:r w:rsidRPr="00A44065">
        <w:rPr>
          <w:rFonts w:ascii="Times New Roman" w:hAnsi="Times New Roman"/>
        </w:rPr>
        <w:t xml:space="preserve">% of patients following the 10 mg dose at Cycle 1 Day 15 with median time to onset of </w:t>
      </w:r>
      <w:r w:rsidR="00867BED" w:rsidRPr="00A44065">
        <w:rPr>
          <w:rFonts w:ascii="Times New Roman" w:hAnsi="Times New Roman"/>
        </w:rPr>
        <w:t>26.8</w:t>
      </w:r>
      <w:r w:rsidRPr="00A44065">
        <w:rPr>
          <w:rFonts w:ascii="Times New Roman" w:hAnsi="Times New Roman"/>
        </w:rPr>
        <w:t> hours (range: </w:t>
      </w:r>
      <w:r w:rsidR="00867BED" w:rsidRPr="00A44065">
        <w:rPr>
          <w:rFonts w:ascii="Times New Roman" w:hAnsi="Times New Roman"/>
        </w:rPr>
        <w:t>6.7</w:t>
      </w:r>
      <w:r w:rsidRPr="00A44065">
        <w:rPr>
          <w:rFonts w:ascii="Times New Roman" w:hAnsi="Times New Roman"/>
        </w:rPr>
        <w:t xml:space="preserve"> to </w:t>
      </w:r>
      <w:r w:rsidR="00867BED" w:rsidRPr="00A44065">
        <w:rPr>
          <w:rFonts w:ascii="Times New Roman" w:hAnsi="Times New Roman"/>
        </w:rPr>
        <w:t>125.0</w:t>
      </w:r>
      <w:r w:rsidRPr="00A44065">
        <w:rPr>
          <w:rFonts w:ascii="Times New Roman" w:hAnsi="Times New Roman"/>
        </w:rPr>
        <w:t xml:space="preserve"> hours); and in </w:t>
      </w:r>
      <w:r w:rsidR="00867BED" w:rsidRPr="00A44065">
        <w:rPr>
          <w:rFonts w:ascii="Times New Roman" w:hAnsi="Times New Roman"/>
        </w:rPr>
        <w:t>26.8</w:t>
      </w:r>
      <w:r w:rsidRPr="00A44065">
        <w:rPr>
          <w:rFonts w:ascii="Times New Roman" w:hAnsi="Times New Roman"/>
        </w:rPr>
        <w:t xml:space="preserve">% of patients following the 30 mg dose at Cycle 2 Day 1 with median time to onset of </w:t>
      </w:r>
      <w:r w:rsidR="00867BED" w:rsidRPr="00A44065">
        <w:rPr>
          <w:rFonts w:ascii="Times New Roman" w:hAnsi="Times New Roman"/>
        </w:rPr>
        <w:t>28.2</w:t>
      </w:r>
      <w:r w:rsidRPr="00A44065">
        <w:rPr>
          <w:rFonts w:ascii="Times New Roman" w:hAnsi="Times New Roman"/>
        </w:rPr>
        <w:t> hours (range: </w:t>
      </w:r>
      <w:r w:rsidR="00867BED" w:rsidRPr="00A44065">
        <w:rPr>
          <w:rFonts w:ascii="Times New Roman" w:hAnsi="Times New Roman"/>
        </w:rPr>
        <w:t>15.0</w:t>
      </w:r>
      <w:r w:rsidRPr="00A44065">
        <w:rPr>
          <w:rFonts w:ascii="Times New Roman" w:hAnsi="Times New Roman"/>
        </w:rPr>
        <w:t xml:space="preserve"> to </w:t>
      </w:r>
      <w:r w:rsidR="00867BED" w:rsidRPr="00A44065">
        <w:rPr>
          <w:rFonts w:ascii="Times New Roman" w:hAnsi="Times New Roman"/>
        </w:rPr>
        <w:t>44.2</w:t>
      </w:r>
      <w:r w:rsidRPr="00A44065">
        <w:rPr>
          <w:rFonts w:ascii="Times New Roman" w:hAnsi="Times New Roman"/>
        </w:rPr>
        <w:t xml:space="preserve"> hours).  CRS was reported in </w:t>
      </w:r>
      <w:r w:rsidR="00867BED" w:rsidRPr="00A44065">
        <w:rPr>
          <w:rFonts w:ascii="Times New Roman" w:hAnsi="Times New Roman"/>
        </w:rPr>
        <w:t>0.9</w:t>
      </w:r>
      <w:r w:rsidRPr="00A44065">
        <w:rPr>
          <w:rFonts w:ascii="Times New Roman" w:hAnsi="Times New Roman"/>
        </w:rPr>
        <w:t>% of patients at Cycle 3 and in 2% of patients beyond Cycle 3.</w:t>
      </w:r>
    </w:p>
    <w:p w14:paraId="0C8A6F56" w14:textId="1017B859" w:rsidR="00E03FA4" w:rsidRPr="0008620B" w:rsidRDefault="00E03FA4" w:rsidP="00FF21DD">
      <w:pPr>
        <w:pStyle w:val="Paragraph"/>
        <w:rPr>
          <w:rFonts w:ascii="Times New Roman" w:hAnsi="Times New Roman"/>
          <w:sz w:val="24"/>
        </w:rPr>
      </w:pPr>
      <w:r w:rsidRPr="00A44065">
        <w:rPr>
          <w:rFonts w:ascii="Times New Roman" w:hAnsi="Times New Roman"/>
        </w:rPr>
        <w:t>Grade </w:t>
      </w:r>
      <w:r w:rsidRPr="0008620B">
        <w:rPr>
          <w:rFonts w:ascii="Times New Roman" w:hAnsi="Times New Roman"/>
        </w:rPr>
        <w:sym w:font="Symbol" w:char="F0B3"/>
      </w:r>
      <w:r w:rsidRPr="0008620B">
        <w:rPr>
          <w:rFonts w:ascii="Times New Roman" w:hAnsi="Times New Roman"/>
        </w:rPr>
        <w:t> </w:t>
      </w:r>
      <w:proofErr w:type="gramStart"/>
      <w:r w:rsidRPr="0008620B">
        <w:rPr>
          <w:rFonts w:ascii="Times New Roman" w:hAnsi="Times New Roman"/>
        </w:rPr>
        <w:t>2  CRS</w:t>
      </w:r>
      <w:proofErr w:type="gramEnd"/>
      <w:r w:rsidRPr="0008620B">
        <w:rPr>
          <w:rFonts w:ascii="Times New Roman" w:hAnsi="Times New Roman"/>
        </w:rPr>
        <w:t xml:space="preserve"> occurred in </w:t>
      </w:r>
      <w:r w:rsidR="00867BED" w:rsidRPr="0008620B">
        <w:rPr>
          <w:rFonts w:ascii="Times New Roman" w:hAnsi="Times New Roman"/>
        </w:rPr>
        <w:t>12.4</w:t>
      </w:r>
      <w:r w:rsidRPr="0008620B">
        <w:rPr>
          <w:rFonts w:ascii="Times New Roman" w:hAnsi="Times New Roman"/>
        </w:rPr>
        <w:t xml:space="preserve">% of patients following the first </w:t>
      </w:r>
      <w:proofErr w:type="spellStart"/>
      <w:r w:rsidR="00B719B6" w:rsidRPr="0008620B">
        <w:rPr>
          <w:rFonts w:ascii="Times New Roman" w:hAnsi="Times New Roman"/>
        </w:rPr>
        <w:t>Columvi</w:t>
      </w:r>
      <w:proofErr w:type="spellEnd"/>
      <w:r w:rsidRPr="0008620B">
        <w:rPr>
          <w:rFonts w:ascii="Times New Roman" w:hAnsi="Times New Roman"/>
        </w:rPr>
        <w:t xml:space="preserve"> dose (2.5 mg), with median time to onset of </w:t>
      </w:r>
      <w:r w:rsidR="00867BED" w:rsidRPr="00A44065">
        <w:rPr>
          <w:rFonts w:ascii="Times New Roman" w:hAnsi="Times New Roman"/>
        </w:rPr>
        <w:t>9.7</w:t>
      </w:r>
      <w:r w:rsidRPr="00A44065">
        <w:rPr>
          <w:rFonts w:ascii="Times New Roman" w:hAnsi="Times New Roman"/>
        </w:rPr>
        <w:t xml:space="preserve"> hours (range: </w:t>
      </w:r>
      <w:r w:rsidR="00867BED" w:rsidRPr="00A44065">
        <w:rPr>
          <w:rFonts w:ascii="Times New Roman" w:hAnsi="Times New Roman"/>
        </w:rPr>
        <w:t>5.2</w:t>
      </w:r>
      <w:r w:rsidRPr="00A44065">
        <w:rPr>
          <w:rFonts w:ascii="Times New Roman" w:hAnsi="Times New Roman"/>
        </w:rPr>
        <w:t xml:space="preserve"> to </w:t>
      </w:r>
      <w:r w:rsidR="00867BED" w:rsidRPr="00A44065">
        <w:rPr>
          <w:rFonts w:ascii="Times New Roman" w:hAnsi="Times New Roman"/>
        </w:rPr>
        <w:t>19.1</w:t>
      </w:r>
      <w:r w:rsidRPr="00A44065">
        <w:rPr>
          <w:rFonts w:ascii="Times New Roman" w:hAnsi="Times New Roman"/>
        </w:rPr>
        <w:t xml:space="preserve"> hours) and median duration of </w:t>
      </w:r>
      <w:r w:rsidR="00867BED" w:rsidRPr="00A44065">
        <w:rPr>
          <w:rFonts w:ascii="Times New Roman" w:hAnsi="Times New Roman"/>
        </w:rPr>
        <w:t>50.4</w:t>
      </w:r>
      <w:r w:rsidRPr="00A44065">
        <w:rPr>
          <w:rFonts w:ascii="Times New Roman" w:hAnsi="Times New Roman"/>
        </w:rPr>
        <w:t xml:space="preserve"> hours (range: 6.5 to 316.7 hours).  Following </w:t>
      </w:r>
      <w:proofErr w:type="spellStart"/>
      <w:r w:rsidR="00B719B6" w:rsidRPr="00A44065">
        <w:rPr>
          <w:rFonts w:ascii="Times New Roman" w:hAnsi="Times New Roman"/>
        </w:rPr>
        <w:t>Columvi</w:t>
      </w:r>
      <w:proofErr w:type="spellEnd"/>
      <w:r w:rsidRPr="00A44065">
        <w:rPr>
          <w:rFonts w:ascii="Times New Roman" w:hAnsi="Times New Roman"/>
        </w:rPr>
        <w:t xml:space="preserve"> 10 mg dose at Cycle 1 Day 15, the incidence of Grade </w:t>
      </w:r>
      <w:r w:rsidRPr="0008620B">
        <w:rPr>
          <w:rFonts w:ascii="Times New Roman" w:hAnsi="Times New Roman"/>
        </w:rPr>
        <w:sym w:font="Symbol" w:char="F0B3"/>
      </w:r>
      <w:r w:rsidRPr="0008620B">
        <w:rPr>
          <w:rFonts w:ascii="Times New Roman" w:hAnsi="Times New Roman"/>
        </w:rPr>
        <w:t xml:space="preserve"> 2 CRS </w:t>
      </w:r>
      <w:r w:rsidRPr="0008620B">
        <w:rPr>
          <w:rFonts w:ascii="Times New Roman" w:hAnsi="Times New Roman"/>
        </w:rPr>
        <w:lastRenderedPageBreak/>
        <w:t xml:space="preserve">decreased to </w:t>
      </w:r>
      <w:r w:rsidR="00867BED" w:rsidRPr="0008620B">
        <w:rPr>
          <w:rFonts w:ascii="Times New Roman" w:hAnsi="Times New Roman"/>
        </w:rPr>
        <w:t>5.2</w:t>
      </w:r>
      <w:r w:rsidRPr="0008620B">
        <w:rPr>
          <w:rFonts w:ascii="Times New Roman" w:hAnsi="Times New Roman"/>
        </w:rPr>
        <w:t xml:space="preserve">% of patients, with median time to onset of </w:t>
      </w:r>
      <w:r w:rsidR="00867BED" w:rsidRPr="0008620B">
        <w:rPr>
          <w:rFonts w:ascii="Times New Roman" w:hAnsi="Times New Roman"/>
        </w:rPr>
        <w:t>26.2</w:t>
      </w:r>
      <w:r w:rsidRPr="00A44065">
        <w:rPr>
          <w:rFonts w:ascii="Times New Roman" w:hAnsi="Times New Roman"/>
        </w:rPr>
        <w:t xml:space="preserve"> hours (range: </w:t>
      </w:r>
      <w:r w:rsidR="00867BED" w:rsidRPr="00A44065">
        <w:rPr>
          <w:rFonts w:ascii="Times New Roman" w:hAnsi="Times New Roman"/>
        </w:rPr>
        <w:t>6.7</w:t>
      </w:r>
      <w:r w:rsidRPr="00A44065">
        <w:rPr>
          <w:rFonts w:ascii="Times New Roman" w:hAnsi="Times New Roman"/>
        </w:rPr>
        <w:t xml:space="preserve"> to </w:t>
      </w:r>
      <w:r w:rsidR="00867BED" w:rsidRPr="00A44065">
        <w:rPr>
          <w:rFonts w:ascii="Times New Roman" w:hAnsi="Times New Roman"/>
        </w:rPr>
        <w:t>144.2</w:t>
      </w:r>
      <w:r w:rsidRPr="00A44065">
        <w:rPr>
          <w:rFonts w:ascii="Times New Roman" w:hAnsi="Times New Roman"/>
        </w:rPr>
        <w:t> hours) and median duration of 30.9 hours (range: 3.</w:t>
      </w:r>
      <w:r w:rsidR="00867BED" w:rsidRPr="00A44065">
        <w:rPr>
          <w:rFonts w:ascii="Times New Roman" w:hAnsi="Times New Roman"/>
        </w:rPr>
        <w:t>7</w:t>
      </w:r>
      <w:r w:rsidRPr="00A44065">
        <w:rPr>
          <w:rFonts w:ascii="Times New Roman" w:hAnsi="Times New Roman"/>
        </w:rPr>
        <w:t xml:space="preserve"> to 227.2 hours).  Grade </w:t>
      </w:r>
      <w:r w:rsidRPr="0008620B">
        <w:rPr>
          <w:rFonts w:ascii="Times New Roman" w:hAnsi="Times New Roman"/>
        </w:rPr>
        <w:sym w:font="Symbol" w:char="F0B3"/>
      </w:r>
      <w:r w:rsidRPr="0008620B">
        <w:rPr>
          <w:rFonts w:ascii="Times New Roman" w:hAnsi="Times New Roman"/>
        </w:rPr>
        <w:t xml:space="preserve"> 2 CRS following </w:t>
      </w:r>
      <w:proofErr w:type="spellStart"/>
      <w:r w:rsidR="00B719B6" w:rsidRPr="0008620B">
        <w:rPr>
          <w:rFonts w:ascii="Times New Roman" w:hAnsi="Times New Roman"/>
        </w:rPr>
        <w:t>Columvi</w:t>
      </w:r>
      <w:proofErr w:type="spellEnd"/>
      <w:r w:rsidRPr="0008620B">
        <w:rPr>
          <w:rFonts w:ascii="Times New Roman" w:hAnsi="Times New Roman"/>
        </w:rPr>
        <w:t xml:space="preserve"> 30 mg dose at Cycle 2 Day 1 occurred in one patient (0.</w:t>
      </w:r>
      <w:r w:rsidR="00867BED" w:rsidRPr="0008620B">
        <w:rPr>
          <w:rFonts w:ascii="Times New Roman" w:hAnsi="Times New Roman"/>
        </w:rPr>
        <w:t>8</w:t>
      </w:r>
      <w:r w:rsidRPr="0008620B">
        <w:rPr>
          <w:rFonts w:ascii="Times New Roman" w:hAnsi="Times New Roman"/>
        </w:rPr>
        <w:t xml:space="preserve">%) with time to onset of </w:t>
      </w:r>
      <w:r w:rsidR="00867BED" w:rsidRPr="00A44065">
        <w:rPr>
          <w:rFonts w:ascii="Times New Roman" w:hAnsi="Times New Roman"/>
        </w:rPr>
        <w:t>15</w:t>
      </w:r>
      <w:r w:rsidRPr="00A44065">
        <w:rPr>
          <w:rFonts w:ascii="Times New Roman" w:hAnsi="Times New Roman"/>
        </w:rPr>
        <w:t>.0 hours and duration of 44.8 hours.  No Grade </w:t>
      </w:r>
      <w:r w:rsidRPr="0008620B">
        <w:rPr>
          <w:rFonts w:ascii="Times New Roman" w:hAnsi="Times New Roman"/>
        </w:rPr>
        <w:sym w:font="Symbol" w:char="F0B3"/>
      </w:r>
      <w:r w:rsidRPr="0008620B">
        <w:rPr>
          <w:rFonts w:ascii="Times New Roman" w:hAnsi="Times New Roman"/>
        </w:rPr>
        <w:t> 2 CRS was reported beyond Cycle 2.</w:t>
      </w:r>
    </w:p>
    <w:p w14:paraId="35DDF927" w14:textId="7907EBD8" w:rsidR="00E03FA4" w:rsidRPr="0008620B" w:rsidRDefault="00E03FA4" w:rsidP="00FF21DD">
      <w:pPr>
        <w:pStyle w:val="Paragraph"/>
        <w:rPr>
          <w:rFonts w:ascii="Times New Roman" w:hAnsi="Times New Roman"/>
          <w:szCs w:val="22"/>
        </w:rPr>
      </w:pPr>
      <w:r w:rsidRPr="0008620B">
        <w:rPr>
          <w:rFonts w:ascii="Times New Roman" w:hAnsi="Times New Roman"/>
          <w:szCs w:val="22"/>
        </w:rPr>
        <w:t xml:space="preserve">Among the 25 patients who experienced Grade 2 or higher CRS after </w:t>
      </w:r>
      <w:proofErr w:type="spellStart"/>
      <w:r w:rsidR="00B719B6" w:rsidRPr="0008620B">
        <w:rPr>
          <w:rFonts w:ascii="Times New Roman" w:hAnsi="Times New Roman"/>
          <w:szCs w:val="22"/>
        </w:rPr>
        <w:t>Columvi</w:t>
      </w:r>
      <w:proofErr w:type="spellEnd"/>
      <w:r w:rsidRPr="0008620B">
        <w:rPr>
          <w:rFonts w:ascii="Times New Roman" w:hAnsi="Times New Roman"/>
          <w:szCs w:val="22"/>
        </w:rPr>
        <w:t>, 22 (88%) received tocilizumab, 15 (60%) received corticosteroids, and 14 (56%) received both tocilizumab and corticosteroids.  Ten patients (40%) received oxygen.  All 6 patients (24.0%) with Grade 3</w:t>
      </w:r>
      <w:r w:rsidRPr="0008620B">
        <w:rPr>
          <w:rFonts w:ascii="Times New Roman" w:hAnsi="Times New Roman"/>
          <w:szCs w:val="22"/>
        </w:rPr>
        <w:sym w:font="Symbol" w:char="F02D"/>
      </w:r>
      <w:r w:rsidRPr="0008620B">
        <w:rPr>
          <w:rFonts w:ascii="Times New Roman" w:hAnsi="Times New Roman"/>
          <w:szCs w:val="22"/>
        </w:rPr>
        <w:t>4 CRS received a single vasopressor.</w:t>
      </w:r>
    </w:p>
    <w:p w14:paraId="4007F62E" w14:textId="674D57D0" w:rsidR="00867BED" w:rsidRPr="00A44065" w:rsidRDefault="00867BED" w:rsidP="00FF21DD">
      <w:pPr>
        <w:pStyle w:val="Paragraph"/>
        <w:rPr>
          <w:rFonts w:ascii="Times New Roman" w:hAnsi="Times New Roman"/>
        </w:rPr>
      </w:pPr>
      <w:r w:rsidRPr="0008620B">
        <w:rPr>
          <w:rFonts w:ascii="Times New Roman" w:hAnsi="Times New Roman"/>
        </w:rPr>
        <w:t xml:space="preserve">In patients who received dexamethasone premedication (N=39) versus another glucocorticoid premedication (N=106), CRS of any grade occurred in 48.7% vs. 56.6% of patients; Grade 1 CRS in 38.5% vs. 43.4% of patients; Grade 2 CRS in 7.7% vs. 9.4% of patients; Grade 3 CRS in 2.6% vs. 1.9% of patients; and Grade 4 CRS in 0% vs. 1.9% of patients after the 2.5 mg dose of </w:t>
      </w:r>
      <w:proofErr w:type="spellStart"/>
      <w:r w:rsidR="00B719B6" w:rsidRPr="0008620B">
        <w:rPr>
          <w:rFonts w:ascii="Times New Roman" w:hAnsi="Times New Roman"/>
        </w:rPr>
        <w:t>Columvi</w:t>
      </w:r>
      <w:proofErr w:type="spellEnd"/>
      <w:r w:rsidRPr="00A44065">
        <w:rPr>
          <w:rFonts w:ascii="Times New Roman" w:hAnsi="Times New Roman"/>
        </w:rPr>
        <w:t xml:space="preserve"> at Cycle 1 Day 8.  </w:t>
      </w:r>
    </w:p>
    <w:p w14:paraId="1FAC2EE0" w14:textId="77777777" w:rsidR="00E03FA4" w:rsidRPr="00A44065" w:rsidRDefault="00E03FA4" w:rsidP="00FF21DD">
      <w:pPr>
        <w:pStyle w:val="ParagraphList"/>
        <w:rPr>
          <w:rFonts w:ascii="Times New Roman" w:hAnsi="Times New Roman"/>
          <w:i/>
        </w:rPr>
      </w:pPr>
      <w:r w:rsidRPr="00A44065">
        <w:rPr>
          <w:rFonts w:ascii="Times New Roman" w:hAnsi="Times New Roman"/>
          <w:i/>
        </w:rPr>
        <w:t xml:space="preserve">Serious Infections </w:t>
      </w:r>
    </w:p>
    <w:p w14:paraId="2B8F1BD2" w14:textId="434B4DB4" w:rsidR="00E03FA4" w:rsidRPr="0008620B" w:rsidRDefault="00E03FA4" w:rsidP="00FF21DD">
      <w:pPr>
        <w:pStyle w:val="Paragraph"/>
        <w:rPr>
          <w:rFonts w:ascii="Times New Roman" w:hAnsi="Times New Roman"/>
        </w:rPr>
      </w:pPr>
      <w:r w:rsidRPr="00A44065">
        <w:rPr>
          <w:rFonts w:ascii="Times New Roman" w:hAnsi="Times New Roman"/>
        </w:rPr>
        <w:t xml:space="preserve">In study NP30179, </w:t>
      </w:r>
      <w:r w:rsidRPr="00A44065">
        <w:rPr>
          <w:rFonts w:ascii="Times New Roman" w:hAnsi="Times New Roman"/>
          <w:szCs w:val="22"/>
        </w:rPr>
        <w:t xml:space="preserve">serious infections were reported in </w:t>
      </w:r>
      <w:r w:rsidR="00867BED" w:rsidRPr="00A44065">
        <w:rPr>
          <w:rFonts w:ascii="Times New Roman" w:hAnsi="Times New Roman"/>
          <w:szCs w:val="22"/>
        </w:rPr>
        <w:t>18.2</w:t>
      </w:r>
      <w:r w:rsidRPr="00A44065">
        <w:rPr>
          <w:rFonts w:ascii="Times New Roman" w:hAnsi="Times New Roman"/>
          <w:szCs w:val="22"/>
        </w:rPr>
        <w:t xml:space="preserve">% of patients. The most frequent serious infections reported in </w:t>
      </w:r>
      <w:r w:rsidRPr="0008620B">
        <w:rPr>
          <w:rFonts w:ascii="Times New Roman" w:hAnsi="Times New Roman"/>
          <w:szCs w:val="22"/>
        </w:rPr>
        <w:sym w:font="Symbol" w:char="F0B3"/>
      </w:r>
      <w:r w:rsidRPr="0008620B">
        <w:rPr>
          <w:rFonts w:ascii="Times New Roman" w:hAnsi="Times New Roman"/>
          <w:szCs w:val="22"/>
        </w:rPr>
        <w:t xml:space="preserve"> 2% patients were sepsis (3.9%), </w:t>
      </w:r>
      <w:r w:rsidRPr="0008620B">
        <w:rPr>
          <w:rFonts w:ascii="Times New Roman" w:hAnsi="Times New Roman"/>
        </w:rPr>
        <w:t>COVID-19 pneumonia (</w:t>
      </w:r>
      <w:r w:rsidR="00867BED" w:rsidRPr="0008620B">
        <w:rPr>
          <w:rFonts w:ascii="Times New Roman" w:hAnsi="Times New Roman"/>
        </w:rPr>
        <w:t>3.2</w:t>
      </w:r>
      <w:r w:rsidRPr="0008620B">
        <w:rPr>
          <w:rFonts w:ascii="Times New Roman" w:hAnsi="Times New Roman"/>
        </w:rPr>
        <w:t>%), and COVID-19 (</w:t>
      </w:r>
      <w:r w:rsidR="00867BED" w:rsidRPr="0008620B">
        <w:rPr>
          <w:rFonts w:ascii="Times New Roman" w:hAnsi="Times New Roman"/>
        </w:rPr>
        <w:t>3.2</w:t>
      </w:r>
      <w:r w:rsidRPr="00A44065">
        <w:rPr>
          <w:rFonts w:ascii="Times New Roman" w:hAnsi="Times New Roman"/>
        </w:rPr>
        <w:t>%)</w:t>
      </w:r>
      <w:r w:rsidRPr="00A44065">
        <w:rPr>
          <w:rFonts w:ascii="Times New Roman" w:hAnsi="Times New Roman"/>
          <w:szCs w:val="22"/>
        </w:rPr>
        <w:t>.</w:t>
      </w:r>
      <w:r w:rsidRPr="00A44065">
        <w:rPr>
          <w:rFonts w:ascii="Times New Roman" w:hAnsi="Times New Roman"/>
        </w:rPr>
        <w:t xml:space="preserve"> Infection-related deaths were reported in </w:t>
      </w:r>
      <w:r w:rsidR="00867BED" w:rsidRPr="00A44065">
        <w:rPr>
          <w:rFonts w:ascii="Times New Roman" w:hAnsi="Times New Roman"/>
        </w:rPr>
        <w:t>5.2</w:t>
      </w:r>
      <w:r w:rsidRPr="00A44065">
        <w:rPr>
          <w:rFonts w:ascii="Times New Roman" w:hAnsi="Times New Roman"/>
        </w:rPr>
        <w:t xml:space="preserve">% of patients (due to sepsis, COVID-19 pneumonia, and COVID-19). </w:t>
      </w:r>
      <w:r w:rsidR="00867BED" w:rsidRPr="00A44065">
        <w:rPr>
          <w:rFonts w:ascii="Times New Roman" w:hAnsi="Times New Roman"/>
        </w:rPr>
        <w:t>Four</w:t>
      </w:r>
      <w:r w:rsidRPr="00A44065">
        <w:rPr>
          <w:rFonts w:ascii="Times New Roman" w:hAnsi="Times New Roman"/>
        </w:rPr>
        <w:t xml:space="preserve"> patients (2</w:t>
      </w:r>
      <w:r w:rsidR="00867BED" w:rsidRPr="00A44065">
        <w:rPr>
          <w:rFonts w:ascii="Times New Roman" w:hAnsi="Times New Roman"/>
        </w:rPr>
        <w:t>.6</w:t>
      </w:r>
      <w:r w:rsidRPr="00A44065">
        <w:rPr>
          <w:rFonts w:ascii="Times New Roman" w:hAnsi="Times New Roman"/>
        </w:rPr>
        <w:t>%) experienced serious infections concurrently with Grade 3</w:t>
      </w:r>
      <w:r w:rsidRPr="0008620B">
        <w:rPr>
          <w:rFonts w:ascii="Times New Roman" w:hAnsi="Times New Roman"/>
        </w:rPr>
        <w:sym w:font="Symbol" w:char="F02D"/>
      </w:r>
      <w:r w:rsidRPr="0008620B">
        <w:rPr>
          <w:rFonts w:ascii="Times New Roman" w:hAnsi="Times New Roman"/>
        </w:rPr>
        <w:t>4 neutropenia.</w:t>
      </w:r>
    </w:p>
    <w:p w14:paraId="2C2B15F7" w14:textId="77777777" w:rsidR="00E03FA4" w:rsidRPr="0008620B" w:rsidRDefault="00E03FA4" w:rsidP="00FF21DD">
      <w:pPr>
        <w:pStyle w:val="ParagraphList"/>
        <w:rPr>
          <w:rFonts w:ascii="Times New Roman" w:hAnsi="Times New Roman"/>
          <w:i/>
        </w:rPr>
      </w:pPr>
      <w:r w:rsidRPr="0008620B">
        <w:rPr>
          <w:rFonts w:ascii="Times New Roman" w:hAnsi="Times New Roman"/>
          <w:i/>
        </w:rPr>
        <w:t xml:space="preserve">Neutropenia </w:t>
      </w:r>
    </w:p>
    <w:p w14:paraId="0BF673EF" w14:textId="5755B353" w:rsidR="00E03FA4" w:rsidRPr="00A44065" w:rsidRDefault="00E03FA4" w:rsidP="00FF21DD">
      <w:pPr>
        <w:pStyle w:val="Paragraph"/>
        <w:rPr>
          <w:rFonts w:ascii="Times New Roman" w:hAnsi="Times New Roman"/>
        </w:rPr>
      </w:pPr>
      <w:r w:rsidRPr="0008620B">
        <w:rPr>
          <w:rFonts w:ascii="Times New Roman" w:hAnsi="Times New Roman"/>
        </w:rPr>
        <w:t xml:space="preserve">Neutropenia (including neutrophil count decreased) was reported in </w:t>
      </w:r>
      <w:r w:rsidR="00867BED" w:rsidRPr="00A44065">
        <w:rPr>
          <w:rFonts w:ascii="Times New Roman" w:hAnsi="Times New Roman"/>
        </w:rPr>
        <w:t>37.7</w:t>
      </w:r>
      <w:r w:rsidRPr="00A44065">
        <w:rPr>
          <w:rFonts w:ascii="Times New Roman" w:hAnsi="Times New Roman"/>
        </w:rPr>
        <w:t>% of patients and severe neutropenia (Grade 3</w:t>
      </w:r>
      <w:r w:rsidRPr="0008620B">
        <w:rPr>
          <w:rFonts w:ascii="Times New Roman" w:hAnsi="Times New Roman"/>
        </w:rPr>
        <w:sym w:font="Symbol" w:char="F02D"/>
      </w:r>
      <w:r w:rsidRPr="0008620B">
        <w:rPr>
          <w:rFonts w:ascii="Times New Roman" w:hAnsi="Times New Roman"/>
        </w:rPr>
        <w:t xml:space="preserve">4) was reported in </w:t>
      </w:r>
      <w:r w:rsidR="00867BED" w:rsidRPr="0008620B">
        <w:rPr>
          <w:rFonts w:ascii="Times New Roman" w:hAnsi="Times New Roman"/>
        </w:rPr>
        <w:t>27.3</w:t>
      </w:r>
      <w:r w:rsidRPr="0008620B">
        <w:rPr>
          <w:rFonts w:ascii="Times New Roman" w:hAnsi="Times New Roman"/>
        </w:rPr>
        <w:t xml:space="preserve">% of patients. The median time to onset of the first neutropenia event was </w:t>
      </w:r>
      <w:r w:rsidR="00867BED" w:rsidRPr="0008620B">
        <w:rPr>
          <w:rFonts w:ascii="Times New Roman" w:hAnsi="Times New Roman"/>
        </w:rPr>
        <w:t>29</w:t>
      </w:r>
      <w:r w:rsidRPr="00A44065">
        <w:rPr>
          <w:rFonts w:ascii="Times New Roman" w:hAnsi="Times New Roman"/>
        </w:rPr>
        <w:t xml:space="preserve"> days (range: 1 to </w:t>
      </w:r>
      <w:r w:rsidR="00867BED" w:rsidRPr="00A44065">
        <w:rPr>
          <w:rFonts w:ascii="Times New Roman" w:hAnsi="Times New Roman"/>
        </w:rPr>
        <w:t>203</w:t>
      </w:r>
      <w:r w:rsidRPr="00A44065">
        <w:rPr>
          <w:rFonts w:ascii="Times New Roman" w:hAnsi="Times New Roman"/>
        </w:rPr>
        <w:t xml:space="preserve"> days).  Prolonged neutropenia (lasting longer than 30 days) occurred in </w:t>
      </w:r>
      <w:r w:rsidR="00867BED" w:rsidRPr="00A44065">
        <w:rPr>
          <w:rFonts w:ascii="Times New Roman" w:hAnsi="Times New Roman"/>
        </w:rPr>
        <w:t>11.0</w:t>
      </w:r>
      <w:r w:rsidRPr="00A44065">
        <w:rPr>
          <w:rFonts w:ascii="Times New Roman" w:hAnsi="Times New Roman"/>
        </w:rPr>
        <w:t xml:space="preserve">% of patients. </w:t>
      </w:r>
      <w:proofErr w:type="gramStart"/>
      <w:r w:rsidRPr="00A44065">
        <w:rPr>
          <w:rFonts w:ascii="Times New Roman" w:hAnsi="Times New Roman"/>
        </w:rPr>
        <w:t>The majority of</w:t>
      </w:r>
      <w:proofErr w:type="gramEnd"/>
      <w:r w:rsidRPr="00A44065">
        <w:rPr>
          <w:rFonts w:ascii="Times New Roman" w:hAnsi="Times New Roman"/>
        </w:rPr>
        <w:t xml:space="preserve"> patients with neutropenia (</w:t>
      </w:r>
      <w:r w:rsidR="00867BED" w:rsidRPr="00A44065">
        <w:rPr>
          <w:rFonts w:ascii="Times New Roman" w:hAnsi="Times New Roman"/>
        </w:rPr>
        <w:t>79.3</w:t>
      </w:r>
      <w:r w:rsidRPr="00A44065">
        <w:rPr>
          <w:rFonts w:ascii="Times New Roman" w:hAnsi="Times New Roman"/>
        </w:rPr>
        <w:t>%) were treated with G-CSF.</w:t>
      </w:r>
      <w:r w:rsidRPr="00A44065">
        <w:rPr>
          <w:rFonts w:ascii="Times New Roman" w:hAnsi="Times New Roman"/>
          <w:i/>
        </w:rPr>
        <w:t xml:space="preserve">  </w:t>
      </w:r>
      <w:r w:rsidRPr="00A44065">
        <w:rPr>
          <w:rFonts w:ascii="Times New Roman" w:hAnsi="Times New Roman"/>
        </w:rPr>
        <w:t>Febrile neutropenia was reported in 2.6% of patients.</w:t>
      </w:r>
    </w:p>
    <w:p w14:paraId="08CA4B14" w14:textId="0DCAB552" w:rsidR="00E03FA4" w:rsidRPr="00A44065" w:rsidRDefault="001678B4" w:rsidP="00FF21DD">
      <w:pPr>
        <w:pStyle w:val="ParagraphList"/>
        <w:rPr>
          <w:rFonts w:ascii="Times New Roman" w:hAnsi="Times New Roman"/>
          <w:i/>
        </w:rPr>
      </w:pPr>
      <w:proofErr w:type="spellStart"/>
      <w:r w:rsidRPr="00A44065">
        <w:rPr>
          <w:rFonts w:ascii="Times New Roman" w:hAnsi="Times New Roman"/>
          <w:i/>
        </w:rPr>
        <w:t>Tumour</w:t>
      </w:r>
      <w:proofErr w:type="spellEnd"/>
      <w:r w:rsidR="00E03FA4" w:rsidRPr="00A44065">
        <w:rPr>
          <w:rFonts w:ascii="Times New Roman" w:hAnsi="Times New Roman"/>
          <w:i/>
        </w:rPr>
        <w:t xml:space="preserve"> Flare</w:t>
      </w:r>
    </w:p>
    <w:p w14:paraId="53AEFB08" w14:textId="7137C9D8" w:rsidR="00E03FA4" w:rsidRPr="00A44065" w:rsidRDefault="001678B4" w:rsidP="00FF21DD">
      <w:pPr>
        <w:pStyle w:val="Paragraph"/>
        <w:rPr>
          <w:rFonts w:ascii="Times New Roman" w:hAnsi="Times New Roman"/>
        </w:rPr>
      </w:pPr>
      <w:proofErr w:type="spellStart"/>
      <w:r w:rsidRPr="00A44065">
        <w:rPr>
          <w:rFonts w:ascii="Times New Roman" w:hAnsi="Times New Roman"/>
        </w:rPr>
        <w:t>Tumour</w:t>
      </w:r>
      <w:proofErr w:type="spellEnd"/>
      <w:r w:rsidR="00E03FA4" w:rsidRPr="00A44065">
        <w:rPr>
          <w:rFonts w:ascii="Times New Roman" w:hAnsi="Times New Roman"/>
        </w:rPr>
        <w:t xml:space="preserve"> flare was reported in </w:t>
      </w:r>
      <w:r w:rsidR="00867BED" w:rsidRPr="00A44065">
        <w:rPr>
          <w:rFonts w:ascii="Times New Roman" w:hAnsi="Times New Roman"/>
        </w:rPr>
        <w:t>11.0</w:t>
      </w:r>
      <w:r w:rsidR="00E03FA4" w:rsidRPr="00A44065">
        <w:rPr>
          <w:rFonts w:ascii="Times New Roman" w:hAnsi="Times New Roman"/>
        </w:rPr>
        <w:t xml:space="preserve">% of patients, including Grade 2 </w:t>
      </w:r>
      <w:proofErr w:type="spellStart"/>
      <w:r w:rsidRPr="00A44065">
        <w:rPr>
          <w:rFonts w:ascii="Times New Roman" w:hAnsi="Times New Roman"/>
        </w:rPr>
        <w:t>Tumour</w:t>
      </w:r>
      <w:proofErr w:type="spellEnd"/>
      <w:r w:rsidR="00E03FA4" w:rsidRPr="00A44065">
        <w:rPr>
          <w:rFonts w:ascii="Times New Roman" w:hAnsi="Times New Roman"/>
        </w:rPr>
        <w:t xml:space="preserve"> flare in 4.</w:t>
      </w:r>
      <w:r w:rsidR="00867BED" w:rsidRPr="00A44065">
        <w:rPr>
          <w:rFonts w:ascii="Times New Roman" w:hAnsi="Times New Roman"/>
        </w:rPr>
        <w:t>5</w:t>
      </w:r>
      <w:r w:rsidR="00E03FA4" w:rsidRPr="00A44065">
        <w:rPr>
          <w:rFonts w:ascii="Times New Roman" w:hAnsi="Times New Roman"/>
        </w:rPr>
        <w:t xml:space="preserve">% of patients and Grade 3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in 2.6% of patients.  </w:t>
      </w:r>
      <w:proofErr w:type="spellStart"/>
      <w:r w:rsidRPr="00A44065">
        <w:rPr>
          <w:rFonts w:ascii="Times New Roman" w:hAnsi="Times New Roman"/>
          <w:iCs/>
          <w:shd w:val="clear" w:color="auto" w:fill="FFFFFF"/>
        </w:rPr>
        <w:t>Tumour</w:t>
      </w:r>
      <w:proofErr w:type="spellEnd"/>
      <w:r w:rsidR="00E03FA4" w:rsidRPr="00A44065">
        <w:rPr>
          <w:rFonts w:ascii="Times New Roman" w:hAnsi="Times New Roman"/>
          <w:iCs/>
          <w:shd w:val="clear" w:color="auto" w:fill="FFFFFF"/>
        </w:rPr>
        <w:t xml:space="preserve"> flare was reported involving lymph nodes in the head and neck presenting with </w:t>
      </w:r>
      <w:proofErr w:type="gramStart"/>
      <w:r w:rsidR="00E03FA4" w:rsidRPr="00A44065">
        <w:rPr>
          <w:rFonts w:ascii="Times New Roman" w:hAnsi="Times New Roman"/>
          <w:iCs/>
          <w:shd w:val="clear" w:color="auto" w:fill="FFFFFF"/>
        </w:rPr>
        <w:t>pain, and</w:t>
      </w:r>
      <w:proofErr w:type="gramEnd"/>
      <w:r w:rsidR="00E03FA4" w:rsidRPr="00A44065">
        <w:rPr>
          <w:rFonts w:ascii="Times New Roman" w:hAnsi="Times New Roman"/>
          <w:iCs/>
          <w:shd w:val="clear" w:color="auto" w:fill="FFFFFF"/>
        </w:rPr>
        <w:t xml:space="preserve"> involving lymph nodes in the thorax with symptoms of breathlessness due to development of pleural effusion.</w:t>
      </w:r>
      <w:r w:rsidR="00E03FA4" w:rsidRPr="00A44065">
        <w:rPr>
          <w:rFonts w:ascii="Times New Roman" w:hAnsi="Times New Roman"/>
        </w:rPr>
        <w:t xml:space="preserve">  Most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events (16/17) occurred during Cycle 1, and no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events were reported beyond Cycle 2. The median time to onset of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of any grade was 2 days (range: 1 to 16 days), and the median duration was 3.5 days (range: 1 to 35 days). No patients discontinued </w:t>
      </w:r>
      <w:proofErr w:type="spellStart"/>
      <w:r w:rsidR="00B719B6" w:rsidRPr="00A44065">
        <w:rPr>
          <w:rFonts w:ascii="Times New Roman" w:hAnsi="Times New Roman"/>
        </w:rPr>
        <w:t>Columvi</w:t>
      </w:r>
      <w:proofErr w:type="spellEnd"/>
      <w:r w:rsidR="00E03FA4" w:rsidRPr="00A44065">
        <w:rPr>
          <w:rFonts w:ascii="Times New Roman" w:hAnsi="Times New Roman"/>
        </w:rPr>
        <w:t xml:space="preserve"> due to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w:t>
      </w:r>
    </w:p>
    <w:p w14:paraId="7AE147A8" w14:textId="38323D21" w:rsidR="00E03FA4" w:rsidRPr="00A44065" w:rsidRDefault="001678B4" w:rsidP="00FF21DD">
      <w:pPr>
        <w:pStyle w:val="ParagraphList"/>
        <w:rPr>
          <w:rFonts w:ascii="Times New Roman" w:hAnsi="Times New Roman"/>
          <w:i/>
        </w:rPr>
      </w:pPr>
      <w:proofErr w:type="spellStart"/>
      <w:r w:rsidRPr="00A44065">
        <w:rPr>
          <w:rFonts w:ascii="Times New Roman" w:hAnsi="Times New Roman"/>
          <w:i/>
        </w:rPr>
        <w:t>Tumour</w:t>
      </w:r>
      <w:proofErr w:type="spellEnd"/>
      <w:r w:rsidR="00E03FA4" w:rsidRPr="00A44065">
        <w:rPr>
          <w:rFonts w:ascii="Times New Roman" w:hAnsi="Times New Roman"/>
          <w:i/>
        </w:rPr>
        <w:t xml:space="preserve"> Lysis Syndrome</w:t>
      </w:r>
    </w:p>
    <w:p w14:paraId="2F86EB7F" w14:textId="196BAFBB" w:rsidR="00E03FA4" w:rsidRPr="00A44065" w:rsidRDefault="00BF3458" w:rsidP="00FF21DD">
      <w:pPr>
        <w:pStyle w:val="Paragraph"/>
        <w:rPr>
          <w:rFonts w:ascii="Times New Roman" w:hAnsi="Times New Roman"/>
        </w:rPr>
      </w:pPr>
      <w:proofErr w:type="spellStart"/>
      <w:r w:rsidRPr="00A44065">
        <w:rPr>
          <w:rFonts w:ascii="Times New Roman" w:hAnsi="Times New Roman"/>
        </w:rPr>
        <w:t>Tumour</w:t>
      </w:r>
      <w:proofErr w:type="spellEnd"/>
      <w:r w:rsidR="0030038B" w:rsidRPr="00A44065">
        <w:rPr>
          <w:rFonts w:ascii="Times New Roman" w:hAnsi="Times New Roman"/>
        </w:rPr>
        <w:t xml:space="preserve"> lysis syndrome </w:t>
      </w:r>
      <w:r w:rsidRPr="00A44065">
        <w:rPr>
          <w:rFonts w:ascii="Times New Roman" w:hAnsi="Times New Roman"/>
        </w:rPr>
        <w:t xml:space="preserve">(TLS) </w:t>
      </w:r>
      <w:r w:rsidR="00E03FA4" w:rsidRPr="00A44065">
        <w:rPr>
          <w:rFonts w:ascii="Times New Roman" w:hAnsi="Times New Roman"/>
        </w:rPr>
        <w:t>was reported in 2 patients (1.3%) and was Grade 3 in severity in both cases.  The median time to TLS onset was 2 days, and the median duration was 4 days (range: 3 to 5 days).</w:t>
      </w:r>
    </w:p>
    <w:p w14:paraId="66053D87" w14:textId="77777777" w:rsidR="00E03FA4" w:rsidRPr="00A44065" w:rsidRDefault="00E03FA4" w:rsidP="00FF21DD">
      <w:pPr>
        <w:pStyle w:val="ParagraphList"/>
        <w:rPr>
          <w:rFonts w:ascii="Times New Roman" w:hAnsi="Times New Roman"/>
          <w:b/>
          <w:i/>
        </w:rPr>
      </w:pPr>
      <w:r w:rsidRPr="00A44065">
        <w:rPr>
          <w:rFonts w:ascii="Times New Roman" w:hAnsi="Times New Roman"/>
          <w:b/>
          <w:i/>
        </w:rPr>
        <w:lastRenderedPageBreak/>
        <w:t xml:space="preserve">Laboratory Abnormalities </w:t>
      </w:r>
    </w:p>
    <w:p w14:paraId="72164E70" w14:textId="0F7ABF64" w:rsidR="00E03FA4" w:rsidRPr="00A44065" w:rsidRDefault="00BF3458" w:rsidP="00FF21DD">
      <w:pPr>
        <w:pStyle w:val="Paragraph"/>
        <w:rPr>
          <w:rFonts w:ascii="Times New Roman" w:hAnsi="Times New Roman"/>
        </w:rPr>
      </w:pPr>
      <w:r w:rsidRPr="00A44065">
        <w:rPr>
          <w:rFonts w:ascii="Times New Roman" w:hAnsi="Times New Roman"/>
        </w:rPr>
        <w:t xml:space="preserve">Table 5 </w:t>
      </w:r>
      <w:proofErr w:type="spellStart"/>
      <w:r w:rsidR="00E03FA4" w:rsidRPr="00A44065">
        <w:rPr>
          <w:rFonts w:ascii="Times New Roman" w:hAnsi="Times New Roman"/>
        </w:rPr>
        <w:t>summarises</w:t>
      </w:r>
      <w:proofErr w:type="spellEnd"/>
      <w:r w:rsidR="00E03FA4" w:rsidRPr="00A44065">
        <w:rPr>
          <w:rFonts w:ascii="Times New Roman" w:hAnsi="Times New Roman"/>
        </w:rPr>
        <w:t xml:space="preserve"> treatment-emergent shifts from baseline in laboratory abnormalities in study NP30179. </w:t>
      </w:r>
    </w:p>
    <w:p w14:paraId="5CCC1C31" w14:textId="04475C7B" w:rsidR="00E03FA4" w:rsidRPr="0008620B" w:rsidRDefault="00E03FA4" w:rsidP="00E03FA4">
      <w:pPr>
        <w:pStyle w:val="TableTitle"/>
        <w:ind w:left="360" w:firstLine="0"/>
        <w:rPr>
          <w:rFonts w:ascii="Times New Roman" w:hAnsi="Times New Roman"/>
        </w:rPr>
      </w:pPr>
      <w:r w:rsidRPr="00A44065">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5</w:t>
      </w:r>
      <w:r w:rsidRPr="0008620B">
        <w:rPr>
          <w:rFonts w:ascii="Times New Roman" w:hAnsi="Times New Roman"/>
        </w:rPr>
        <w:fldChar w:fldCharType="end"/>
      </w:r>
      <w:r w:rsidRPr="0008620B">
        <w:rPr>
          <w:rFonts w:ascii="Times New Roman" w:hAnsi="Times New Roman"/>
        </w:rPr>
        <w:tab/>
      </w:r>
      <w:r w:rsidRPr="0008620B">
        <w:rPr>
          <w:rFonts w:ascii="Times New Roman" w:hAnsi="Times New Roman"/>
        </w:rPr>
        <w:tab/>
        <w:t xml:space="preserve">Laboratory Abnormalities Worsening from Baseline, with Grade 3 to 4 Occurring in </w:t>
      </w:r>
      <w:r w:rsidRPr="0008620B">
        <w:rPr>
          <w:rFonts w:ascii="Times New Roman" w:hAnsi="Times New Roman"/>
        </w:rPr>
        <w:sym w:font="Symbol" w:char="F0B3"/>
      </w:r>
      <w:r w:rsidRPr="0008620B">
        <w:rPr>
          <w:rFonts w:ascii="Times New Roman" w:hAnsi="Times New Roman"/>
        </w:rPr>
        <w:t xml:space="preserve"> 10% of Patients with Relapsed or Refractory DLBCL Treated with </w:t>
      </w:r>
      <w:proofErr w:type="spellStart"/>
      <w:r w:rsidR="00B719B6" w:rsidRPr="0008620B">
        <w:rPr>
          <w:rFonts w:ascii="Times New Roman" w:hAnsi="Times New Roman"/>
        </w:rPr>
        <w:t>Columvi</w:t>
      </w:r>
      <w:proofErr w:type="spellEnd"/>
      <w:r w:rsidRPr="0008620B">
        <w:rPr>
          <w:rFonts w:ascii="Times New Roman" w:hAnsi="Times New Roman"/>
        </w:rPr>
        <w:t xml:space="preserve"> Monotherapy </w:t>
      </w: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475"/>
        <w:gridCol w:w="2570"/>
        <w:gridCol w:w="2391"/>
      </w:tblGrid>
      <w:tr w:rsidR="00E03FA4" w:rsidRPr="00A44065" w14:paraId="469549C2" w14:textId="77777777" w:rsidTr="005A2E65">
        <w:tc>
          <w:tcPr>
            <w:tcW w:w="3475" w:type="dxa"/>
            <w:vMerge w:val="restart"/>
            <w:vAlign w:val="center"/>
          </w:tcPr>
          <w:p w14:paraId="1D62673C" w14:textId="77777777" w:rsidR="00E03FA4" w:rsidRPr="00A44065" w:rsidRDefault="00E03FA4" w:rsidP="005A2E65">
            <w:pPr>
              <w:pStyle w:val="TableCell10Left"/>
              <w:rPr>
                <w:rFonts w:ascii="Times New Roman" w:hAnsi="Times New Roman"/>
                <w:b/>
              </w:rPr>
            </w:pPr>
            <w:r w:rsidRPr="00A44065">
              <w:rPr>
                <w:rFonts w:ascii="Times New Roman" w:hAnsi="Times New Roman"/>
                <w:b/>
              </w:rPr>
              <w:t>Laboratory Abnormality</w:t>
            </w:r>
            <w:r w:rsidRPr="00A44065">
              <w:rPr>
                <w:rFonts w:ascii="Times New Roman" w:hAnsi="Times New Roman"/>
                <w:b/>
                <w:szCs w:val="20"/>
                <w:vertAlign w:val="superscript"/>
                <w:lang w:val="pt-BR"/>
              </w:rPr>
              <w:t>a</w:t>
            </w:r>
          </w:p>
        </w:tc>
        <w:tc>
          <w:tcPr>
            <w:tcW w:w="4961" w:type="dxa"/>
            <w:gridSpan w:val="2"/>
          </w:tcPr>
          <w:p w14:paraId="631F1DB2" w14:textId="40B39BA6" w:rsidR="00E03FA4" w:rsidRPr="00A44065" w:rsidRDefault="00B719B6" w:rsidP="005A2E65">
            <w:pPr>
              <w:pStyle w:val="TableCell10Center"/>
              <w:rPr>
                <w:rFonts w:ascii="Times New Roman" w:hAnsi="Times New Roman"/>
                <w:b/>
                <w:lang w:val="pt-BR"/>
              </w:rPr>
            </w:pPr>
            <w:r w:rsidRPr="00A44065">
              <w:rPr>
                <w:rFonts w:ascii="Times New Roman" w:hAnsi="Times New Roman"/>
                <w:b/>
                <w:lang w:val="pt-BR"/>
              </w:rPr>
              <w:t>Columvi</w:t>
            </w:r>
          </w:p>
          <w:p w14:paraId="3BC318A5" w14:textId="77777777" w:rsidR="00E03FA4" w:rsidRPr="00A44065" w:rsidRDefault="00E03FA4" w:rsidP="005A2E65">
            <w:pPr>
              <w:pStyle w:val="TableCell10Center"/>
              <w:rPr>
                <w:rFonts w:ascii="Times New Roman" w:hAnsi="Times New Roman"/>
                <w:lang w:val="pt-BR"/>
              </w:rPr>
            </w:pPr>
            <w:r w:rsidRPr="00A44065">
              <w:rPr>
                <w:rFonts w:ascii="Times New Roman" w:hAnsi="Times New Roman"/>
                <w:b/>
                <w:lang w:val="pt-BR"/>
              </w:rPr>
              <w:t>NCI CTCAE Grade</w:t>
            </w:r>
          </w:p>
        </w:tc>
      </w:tr>
      <w:tr w:rsidR="00E03FA4" w:rsidRPr="00A44065" w14:paraId="3BBDEE04" w14:textId="77777777" w:rsidTr="005A2E65">
        <w:tc>
          <w:tcPr>
            <w:tcW w:w="3475" w:type="dxa"/>
            <w:vMerge/>
          </w:tcPr>
          <w:p w14:paraId="683B6CD1" w14:textId="77777777" w:rsidR="00E03FA4" w:rsidRPr="00A44065" w:rsidRDefault="00E03FA4" w:rsidP="005A2E65">
            <w:pPr>
              <w:pStyle w:val="TableCell10Left"/>
              <w:rPr>
                <w:rFonts w:ascii="Times New Roman" w:hAnsi="Times New Roman"/>
                <w:lang w:val="pt-BR"/>
              </w:rPr>
            </w:pPr>
          </w:p>
        </w:tc>
        <w:tc>
          <w:tcPr>
            <w:tcW w:w="2570" w:type="dxa"/>
          </w:tcPr>
          <w:p w14:paraId="4ACA89DB" w14:textId="77777777" w:rsidR="00E03FA4" w:rsidRPr="00A44065" w:rsidRDefault="00E03FA4" w:rsidP="005A2E65">
            <w:pPr>
              <w:pStyle w:val="TableCell10Center"/>
              <w:rPr>
                <w:rFonts w:ascii="Times New Roman" w:hAnsi="Times New Roman"/>
                <w:b/>
              </w:rPr>
            </w:pPr>
            <w:r w:rsidRPr="00A44065">
              <w:rPr>
                <w:rFonts w:ascii="Times New Roman" w:hAnsi="Times New Roman"/>
                <w:b/>
              </w:rPr>
              <w:t>All Grades (</w:t>
            </w:r>
            <w:proofErr w:type="gramStart"/>
            <w:r w:rsidRPr="00A44065">
              <w:rPr>
                <w:rFonts w:ascii="Times New Roman" w:hAnsi="Times New Roman"/>
                <w:b/>
              </w:rPr>
              <w:t>%)</w:t>
            </w:r>
            <w:r w:rsidRPr="00A44065">
              <w:rPr>
                <w:rFonts w:ascii="Times New Roman" w:hAnsi="Times New Roman"/>
                <w:b/>
                <w:vertAlign w:val="superscript"/>
                <w:lang w:val="pt-BR"/>
              </w:rPr>
              <w:t>b</w:t>
            </w:r>
            <w:proofErr w:type="gramEnd"/>
          </w:p>
        </w:tc>
        <w:tc>
          <w:tcPr>
            <w:tcW w:w="2391" w:type="dxa"/>
          </w:tcPr>
          <w:p w14:paraId="57178108" w14:textId="77777777" w:rsidR="00E03FA4" w:rsidRPr="00A44065" w:rsidRDefault="00E03FA4" w:rsidP="005A2E65">
            <w:pPr>
              <w:pStyle w:val="TableCell10Center"/>
              <w:rPr>
                <w:rFonts w:ascii="Times New Roman" w:hAnsi="Times New Roman"/>
                <w:b/>
              </w:rPr>
            </w:pPr>
            <w:r w:rsidRPr="00A44065">
              <w:rPr>
                <w:rFonts w:ascii="Times New Roman" w:hAnsi="Times New Roman"/>
                <w:b/>
              </w:rPr>
              <w:t>Grade 3 or 4 (</w:t>
            </w:r>
            <w:proofErr w:type="gramStart"/>
            <w:r w:rsidRPr="00A44065">
              <w:rPr>
                <w:rFonts w:ascii="Times New Roman" w:hAnsi="Times New Roman"/>
                <w:b/>
              </w:rPr>
              <w:t>%)</w:t>
            </w:r>
            <w:r w:rsidRPr="00A44065">
              <w:rPr>
                <w:rFonts w:ascii="Times New Roman" w:hAnsi="Times New Roman"/>
                <w:b/>
                <w:vertAlign w:val="superscript"/>
              </w:rPr>
              <w:t>b</w:t>
            </w:r>
            <w:proofErr w:type="gramEnd"/>
            <w:r w:rsidRPr="00A44065">
              <w:rPr>
                <w:rFonts w:ascii="Times New Roman" w:hAnsi="Times New Roman"/>
                <w:b/>
                <w:vertAlign w:val="superscript"/>
              </w:rPr>
              <w:t>,</w:t>
            </w:r>
            <w:r w:rsidRPr="00A44065">
              <w:rPr>
                <w:rFonts w:ascii="Times New Roman" w:hAnsi="Times New Roman"/>
                <w:b/>
                <w:vertAlign w:val="superscript"/>
                <w:lang w:val="pt-BR"/>
              </w:rPr>
              <w:t>c</w:t>
            </w:r>
          </w:p>
        </w:tc>
      </w:tr>
      <w:tr w:rsidR="00E03FA4" w:rsidRPr="00A44065" w14:paraId="21B1AA9C" w14:textId="77777777" w:rsidTr="005A2E65">
        <w:tc>
          <w:tcPr>
            <w:tcW w:w="8436" w:type="dxa"/>
            <w:gridSpan w:val="3"/>
          </w:tcPr>
          <w:p w14:paraId="0060EEB1" w14:textId="3D2AFB40" w:rsidR="00E03FA4" w:rsidRPr="00A44065" w:rsidRDefault="00E03FA4" w:rsidP="005A2E65">
            <w:pPr>
              <w:pStyle w:val="TableCell10Left"/>
              <w:rPr>
                <w:rFonts w:ascii="Times New Roman" w:hAnsi="Times New Roman"/>
                <w:b/>
              </w:rPr>
            </w:pPr>
            <w:proofErr w:type="spellStart"/>
            <w:r w:rsidRPr="00A44065">
              <w:rPr>
                <w:rFonts w:ascii="Times New Roman" w:hAnsi="Times New Roman"/>
                <w:b/>
              </w:rPr>
              <w:t>H</w:t>
            </w:r>
            <w:r w:rsidR="000418ED" w:rsidRPr="00A44065">
              <w:rPr>
                <w:rFonts w:ascii="Times New Roman" w:hAnsi="Times New Roman"/>
                <w:b/>
              </w:rPr>
              <w:t>a</w:t>
            </w:r>
            <w:r w:rsidRPr="00A44065">
              <w:rPr>
                <w:rFonts w:ascii="Times New Roman" w:hAnsi="Times New Roman"/>
                <w:b/>
              </w:rPr>
              <w:t>ematology</w:t>
            </w:r>
            <w:proofErr w:type="spellEnd"/>
          </w:p>
        </w:tc>
      </w:tr>
      <w:tr w:rsidR="00867BED" w:rsidRPr="00A44065" w14:paraId="0FF33FB6" w14:textId="77777777" w:rsidTr="005A2E65">
        <w:tc>
          <w:tcPr>
            <w:tcW w:w="3475" w:type="dxa"/>
          </w:tcPr>
          <w:p w14:paraId="37EADFE4"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Decreased lymphocytes </w:t>
            </w:r>
          </w:p>
        </w:tc>
        <w:tc>
          <w:tcPr>
            <w:tcW w:w="2570" w:type="dxa"/>
          </w:tcPr>
          <w:p w14:paraId="489BFF0D" w14:textId="4566F54A"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88.5</w:t>
            </w:r>
          </w:p>
        </w:tc>
        <w:tc>
          <w:tcPr>
            <w:tcW w:w="2391" w:type="dxa"/>
          </w:tcPr>
          <w:p w14:paraId="23946BAB" w14:textId="19DCE463"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81.1</w:t>
            </w:r>
          </w:p>
        </w:tc>
      </w:tr>
      <w:tr w:rsidR="00867BED" w:rsidRPr="00A44065" w14:paraId="7ECF7D2C" w14:textId="77777777" w:rsidTr="005A2E65">
        <w:tc>
          <w:tcPr>
            <w:tcW w:w="3475" w:type="dxa"/>
          </w:tcPr>
          <w:p w14:paraId="01DFF2A0"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Decreased neutrophils </w:t>
            </w:r>
          </w:p>
        </w:tc>
        <w:tc>
          <w:tcPr>
            <w:tcW w:w="2570" w:type="dxa"/>
          </w:tcPr>
          <w:p w14:paraId="076B9EDF" w14:textId="4A326EE6"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54.4</w:t>
            </w:r>
          </w:p>
        </w:tc>
        <w:tc>
          <w:tcPr>
            <w:tcW w:w="2391" w:type="dxa"/>
          </w:tcPr>
          <w:p w14:paraId="46BA9413" w14:textId="0BD54B98"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25.5</w:t>
            </w:r>
          </w:p>
        </w:tc>
      </w:tr>
      <w:tr w:rsidR="00867BED" w:rsidRPr="00A44065" w14:paraId="0F35326D" w14:textId="77777777" w:rsidTr="005A2E65">
        <w:tc>
          <w:tcPr>
            <w:tcW w:w="3475" w:type="dxa"/>
          </w:tcPr>
          <w:p w14:paraId="7902018F"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Decreased leukocytes </w:t>
            </w:r>
          </w:p>
        </w:tc>
        <w:tc>
          <w:tcPr>
            <w:tcW w:w="2570" w:type="dxa"/>
          </w:tcPr>
          <w:p w14:paraId="5D02BF76" w14:textId="10C1B820"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69.3</w:t>
            </w:r>
          </w:p>
        </w:tc>
        <w:tc>
          <w:tcPr>
            <w:tcW w:w="2391" w:type="dxa"/>
          </w:tcPr>
          <w:p w14:paraId="4D77FD17" w14:textId="72C1560D"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13.3</w:t>
            </w:r>
          </w:p>
        </w:tc>
      </w:tr>
      <w:tr w:rsidR="00867BED" w:rsidRPr="00A44065" w14:paraId="4901ED2D" w14:textId="77777777" w:rsidTr="005A2E65">
        <w:tc>
          <w:tcPr>
            <w:tcW w:w="8436" w:type="dxa"/>
            <w:gridSpan w:val="3"/>
          </w:tcPr>
          <w:p w14:paraId="06DC35A0" w14:textId="77777777" w:rsidR="00867BED" w:rsidRPr="00A44065" w:rsidRDefault="00867BED" w:rsidP="00867BED">
            <w:pPr>
              <w:pStyle w:val="TableCell10Left"/>
              <w:rPr>
                <w:rFonts w:ascii="Times New Roman" w:hAnsi="Times New Roman"/>
                <w:b/>
              </w:rPr>
            </w:pPr>
            <w:r w:rsidRPr="00A44065">
              <w:rPr>
                <w:rFonts w:ascii="Times New Roman" w:hAnsi="Times New Roman"/>
                <w:b/>
              </w:rPr>
              <w:t>Chemistry</w:t>
            </w:r>
          </w:p>
        </w:tc>
      </w:tr>
      <w:tr w:rsidR="00867BED" w:rsidRPr="00A44065" w14:paraId="1438147E" w14:textId="77777777" w:rsidTr="005A2E65">
        <w:tc>
          <w:tcPr>
            <w:tcW w:w="3475" w:type="dxa"/>
            <w:tcBorders>
              <w:bottom w:val="single" w:sz="2" w:space="0" w:color="auto"/>
            </w:tcBorders>
          </w:tcPr>
          <w:p w14:paraId="69F4BE12"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Hypophosphatemia</w:t>
            </w:r>
          </w:p>
        </w:tc>
        <w:tc>
          <w:tcPr>
            <w:tcW w:w="2570" w:type="dxa"/>
            <w:tcBorders>
              <w:bottom w:val="single" w:sz="2" w:space="0" w:color="auto"/>
            </w:tcBorders>
          </w:tcPr>
          <w:p w14:paraId="6D2CB9DD" w14:textId="7E0F13ED"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67.8</w:t>
            </w:r>
          </w:p>
        </w:tc>
        <w:tc>
          <w:tcPr>
            <w:tcW w:w="2391" w:type="dxa"/>
            <w:tcBorders>
              <w:bottom w:val="single" w:sz="2" w:space="0" w:color="auto"/>
            </w:tcBorders>
          </w:tcPr>
          <w:p w14:paraId="67E340C1" w14:textId="237C57D2"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26.8</w:t>
            </w:r>
          </w:p>
        </w:tc>
      </w:tr>
      <w:tr w:rsidR="00867BED" w:rsidRPr="00A44065" w14:paraId="4AD98C7C" w14:textId="77777777" w:rsidTr="005A2E65">
        <w:tc>
          <w:tcPr>
            <w:tcW w:w="3475" w:type="dxa"/>
            <w:tcBorders>
              <w:bottom w:val="single" w:sz="2" w:space="0" w:color="auto"/>
            </w:tcBorders>
          </w:tcPr>
          <w:p w14:paraId="4676DA39"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Hyperglycemia</w:t>
            </w:r>
          </w:p>
        </w:tc>
        <w:tc>
          <w:tcPr>
            <w:tcW w:w="2570" w:type="dxa"/>
            <w:tcBorders>
              <w:bottom w:val="single" w:sz="2" w:space="0" w:color="auto"/>
            </w:tcBorders>
          </w:tcPr>
          <w:p w14:paraId="589E9C3D" w14:textId="7441DC57"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13.7</w:t>
            </w:r>
          </w:p>
        </w:tc>
        <w:tc>
          <w:tcPr>
            <w:tcW w:w="2391" w:type="dxa"/>
            <w:tcBorders>
              <w:bottom w:val="single" w:sz="2" w:space="0" w:color="auto"/>
            </w:tcBorders>
          </w:tcPr>
          <w:p w14:paraId="57DCC0B4" w14:textId="1DAEF9A2"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13.7</w:t>
            </w:r>
          </w:p>
        </w:tc>
      </w:tr>
      <w:tr w:rsidR="00867BED" w:rsidRPr="00A44065" w14:paraId="7E8687CD" w14:textId="77777777" w:rsidTr="005A2E65">
        <w:tc>
          <w:tcPr>
            <w:tcW w:w="3475" w:type="dxa"/>
            <w:tcBorders>
              <w:bottom w:val="single" w:sz="2" w:space="0" w:color="auto"/>
            </w:tcBorders>
          </w:tcPr>
          <w:p w14:paraId="16EF5BBF"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Hyperuricemia</w:t>
            </w:r>
          </w:p>
        </w:tc>
        <w:tc>
          <w:tcPr>
            <w:tcW w:w="2570" w:type="dxa"/>
            <w:tcBorders>
              <w:bottom w:val="single" w:sz="2" w:space="0" w:color="auto"/>
            </w:tcBorders>
          </w:tcPr>
          <w:p w14:paraId="779F7B09" w14:textId="5CAB716D"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22.5</w:t>
            </w:r>
          </w:p>
        </w:tc>
        <w:tc>
          <w:tcPr>
            <w:tcW w:w="2391" w:type="dxa"/>
            <w:tcBorders>
              <w:bottom w:val="single" w:sz="2" w:space="0" w:color="auto"/>
            </w:tcBorders>
          </w:tcPr>
          <w:p w14:paraId="3C400181" w14:textId="382B3791"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22.5</w:t>
            </w:r>
          </w:p>
        </w:tc>
      </w:tr>
      <w:tr w:rsidR="00E03FA4" w:rsidRPr="00A44065" w14:paraId="42C2DD3F" w14:textId="77777777" w:rsidTr="005A2E65">
        <w:trPr>
          <w:trHeight w:val="233"/>
        </w:trPr>
        <w:tc>
          <w:tcPr>
            <w:tcW w:w="8436" w:type="dxa"/>
            <w:gridSpan w:val="3"/>
            <w:tcBorders>
              <w:top w:val="single" w:sz="2" w:space="0" w:color="auto"/>
              <w:left w:val="nil"/>
              <w:bottom w:val="nil"/>
              <w:right w:val="nil"/>
            </w:tcBorders>
          </w:tcPr>
          <w:p w14:paraId="0A14D0CB" w14:textId="77777777" w:rsidR="00E03FA4" w:rsidRPr="00A44065" w:rsidRDefault="00E03FA4" w:rsidP="005A2E65">
            <w:pPr>
              <w:pStyle w:val="TabFigFooter"/>
              <w:spacing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t>Percentages based on patients with a baseline and at least one post-baseline assessment for the specific laboratory parameter.</w:t>
            </w:r>
          </w:p>
          <w:p w14:paraId="5B9A9F09" w14:textId="2F17E4F6" w:rsidR="00E03FA4" w:rsidRPr="00A44065" w:rsidRDefault="00E03FA4" w:rsidP="005A2E65">
            <w:pPr>
              <w:pStyle w:val="TabFigFooter"/>
              <w:spacing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t>N=</w:t>
            </w:r>
            <w:r w:rsidR="00867BED" w:rsidRPr="00A44065">
              <w:rPr>
                <w:rFonts w:ascii="Times New Roman" w:hAnsi="Times New Roman"/>
                <w:sz w:val="18"/>
                <w:szCs w:val="18"/>
              </w:rPr>
              <w:t xml:space="preserve">148 </w:t>
            </w:r>
            <w:r w:rsidRPr="00A44065">
              <w:rPr>
                <w:rFonts w:ascii="Times New Roman" w:hAnsi="Times New Roman"/>
                <w:sz w:val="18"/>
                <w:szCs w:val="18"/>
              </w:rPr>
              <w:t>for decreased lymphocytes; N=</w:t>
            </w:r>
            <w:r w:rsidR="00867BED" w:rsidRPr="00A44065">
              <w:rPr>
                <w:rFonts w:ascii="Times New Roman" w:hAnsi="Times New Roman"/>
                <w:sz w:val="18"/>
                <w:szCs w:val="18"/>
              </w:rPr>
              <w:t xml:space="preserve">149 </w:t>
            </w:r>
            <w:r w:rsidRPr="00A44065">
              <w:rPr>
                <w:rFonts w:ascii="Times New Roman" w:hAnsi="Times New Roman"/>
                <w:sz w:val="18"/>
                <w:szCs w:val="18"/>
              </w:rPr>
              <w:t>for decreased neutrophils; N=</w:t>
            </w:r>
            <w:r w:rsidR="00867BED" w:rsidRPr="00A44065">
              <w:rPr>
                <w:rFonts w:ascii="Times New Roman" w:hAnsi="Times New Roman"/>
                <w:sz w:val="18"/>
                <w:szCs w:val="18"/>
              </w:rPr>
              <w:t xml:space="preserve">150 </w:t>
            </w:r>
            <w:r w:rsidRPr="00A44065">
              <w:rPr>
                <w:rFonts w:ascii="Times New Roman" w:hAnsi="Times New Roman"/>
                <w:sz w:val="18"/>
                <w:szCs w:val="18"/>
              </w:rPr>
              <w:t>for decreased leukocytes; N=</w:t>
            </w:r>
            <w:r w:rsidR="00867BED" w:rsidRPr="00A44065">
              <w:rPr>
                <w:rFonts w:ascii="Times New Roman" w:hAnsi="Times New Roman"/>
                <w:sz w:val="18"/>
                <w:szCs w:val="18"/>
              </w:rPr>
              <w:t>149</w:t>
            </w:r>
            <w:r w:rsidRPr="00A44065">
              <w:rPr>
                <w:rFonts w:ascii="Times New Roman" w:hAnsi="Times New Roman"/>
                <w:sz w:val="18"/>
                <w:szCs w:val="18"/>
              </w:rPr>
              <w:t xml:space="preserve"> for hypophosphatemia; N=14</w:t>
            </w:r>
            <w:r w:rsidR="00867BED" w:rsidRPr="00A44065">
              <w:rPr>
                <w:rFonts w:ascii="Times New Roman" w:hAnsi="Times New Roman"/>
                <w:sz w:val="18"/>
                <w:szCs w:val="18"/>
              </w:rPr>
              <w:t>6</w:t>
            </w:r>
            <w:r w:rsidRPr="00A44065">
              <w:rPr>
                <w:rFonts w:ascii="Times New Roman" w:hAnsi="Times New Roman"/>
                <w:sz w:val="18"/>
                <w:szCs w:val="18"/>
              </w:rPr>
              <w:t xml:space="preserve"> for hyperglycemia; N=1</w:t>
            </w:r>
            <w:r w:rsidR="00867BED" w:rsidRPr="00A44065">
              <w:rPr>
                <w:rFonts w:ascii="Times New Roman" w:hAnsi="Times New Roman"/>
                <w:sz w:val="18"/>
                <w:szCs w:val="18"/>
              </w:rPr>
              <w:t>42</w:t>
            </w:r>
            <w:r w:rsidRPr="00A44065">
              <w:rPr>
                <w:rFonts w:ascii="Times New Roman" w:hAnsi="Times New Roman"/>
                <w:sz w:val="18"/>
                <w:szCs w:val="18"/>
              </w:rPr>
              <w:t xml:space="preserve"> for hyperuricemia.</w:t>
            </w:r>
          </w:p>
          <w:p w14:paraId="55D40B50" w14:textId="77777777" w:rsidR="00E03FA4" w:rsidRPr="0008620B" w:rsidRDefault="00E03FA4" w:rsidP="005A2E65">
            <w:pPr>
              <w:pStyle w:val="TabFigFooter"/>
              <w:spacing w:line="240" w:lineRule="auto"/>
              <w:rPr>
                <w:rFonts w:ascii="Times New Roman" w:hAnsi="Times New Roman"/>
              </w:rPr>
            </w:pPr>
            <w:r w:rsidRPr="00A44065">
              <w:rPr>
                <w:rFonts w:ascii="Times New Roman" w:hAnsi="Times New Roman"/>
                <w:sz w:val="18"/>
                <w:szCs w:val="18"/>
              </w:rPr>
              <w:t>c</w:t>
            </w:r>
            <w:r w:rsidRPr="00A44065">
              <w:rPr>
                <w:rFonts w:ascii="Times New Roman" w:hAnsi="Times New Roman"/>
                <w:sz w:val="18"/>
                <w:szCs w:val="18"/>
              </w:rPr>
              <w:tab/>
              <w:t>Includes shifts from Grade 0</w:t>
            </w:r>
            <w:r w:rsidRPr="0008620B">
              <w:rPr>
                <w:rFonts w:ascii="Times New Roman" w:hAnsi="Times New Roman"/>
                <w:sz w:val="18"/>
                <w:szCs w:val="18"/>
              </w:rPr>
              <w:sym w:font="Symbol" w:char="F02D"/>
            </w:r>
            <w:r w:rsidRPr="0008620B">
              <w:rPr>
                <w:rFonts w:ascii="Times New Roman" w:hAnsi="Times New Roman"/>
                <w:sz w:val="18"/>
                <w:szCs w:val="18"/>
              </w:rPr>
              <w:t>2 at baseline to Grade </w:t>
            </w:r>
            <w:r w:rsidRPr="0008620B">
              <w:rPr>
                <w:rFonts w:ascii="Times New Roman" w:hAnsi="Times New Roman"/>
                <w:sz w:val="18"/>
                <w:szCs w:val="18"/>
              </w:rPr>
              <w:sym w:font="Symbol" w:char="F0B3"/>
            </w:r>
            <w:r w:rsidRPr="0008620B">
              <w:rPr>
                <w:rFonts w:ascii="Times New Roman" w:hAnsi="Times New Roman"/>
                <w:sz w:val="18"/>
                <w:szCs w:val="18"/>
              </w:rPr>
              <w:t> 3 post-</w:t>
            </w:r>
            <w:proofErr w:type="gramStart"/>
            <w:r w:rsidRPr="0008620B">
              <w:rPr>
                <w:rFonts w:ascii="Times New Roman" w:hAnsi="Times New Roman"/>
                <w:sz w:val="18"/>
                <w:szCs w:val="18"/>
              </w:rPr>
              <w:t>baseline, and</w:t>
            </w:r>
            <w:proofErr w:type="gramEnd"/>
            <w:r w:rsidRPr="0008620B">
              <w:rPr>
                <w:rFonts w:ascii="Times New Roman" w:hAnsi="Times New Roman"/>
                <w:sz w:val="18"/>
                <w:szCs w:val="18"/>
              </w:rPr>
              <w:t xml:space="preserve"> shifts from Grade 3 at baseline to Grade 4 post-baseline.</w:t>
            </w:r>
          </w:p>
        </w:tc>
      </w:tr>
    </w:tbl>
    <w:p w14:paraId="48AE83EA" w14:textId="77777777" w:rsidR="00045105" w:rsidRPr="00A44065" w:rsidRDefault="00045105" w:rsidP="00B1498F">
      <w:pPr>
        <w:rPr>
          <w:color w:val="auto"/>
        </w:rPr>
      </w:pPr>
    </w:p>
    <w:p w14:paraId="6A079387" w14:textId="77777777" w:rsidR="006F052E" w:rsidRPr="00A44065" w:rsidRDefault="006F052E" w:rsidP="00CC6729">
      <w:pPr>
        <w:pStyle w:val="Heading3"/>
        <w:rPr>
          <w:color w:val="auto"/>
          <w:sz w:val="22"/>
        </w:rPr>
      </w:pPr>
      <w:r w:rsidRPr="00A44065">
        <w:rPr>
          <w:color w:val="auto"/>
          <w:sz w:val="22"/>
        </w:rPr>
        <w:t>Reporting of suspected adverse reactions</w:t>
      </w:r>
    </w:p>
    <w:p w14:paraId="3FB394FC" w14:textId="77777777" w:rsidR="00E21CCD" w:rsidRPr="0008620B" w:rsidRDefault="00E21CCD">
      <w:pPr>
        <w:rPr>
          <w:color w:val="auto"/>
          <w:sz w:val="22"/>
        </w:rPr>
      </w:pPr>
      <w:r w:rsidRPr="00A44065">
        <w:rPr>
          <w:color w:val="auto"/>
          <w:sz w:val="22"/>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00B1134D" w:rsidRPr="0008620B">
          <w:rPr>
            <w:rStyle w:val="Hyperlink"/>
            <w:color w:val="auto"/>
            <w:sz w:val="22"/>
          </w:rPr>
          <w:t>www.tga.gov.au/reporting-problems</w:t>
        </w:r>
      </w:hyperlink>
      <w:r w:rsidR="00B1134D" w:rsidRPr="0008620B">
        <w:rPr>
          <w:color w:val="auto"/>
          <w:sz w:val="22"/>
        </w:rPr>
        <w:t>.</w:t>
      </w:r>
    </w:p>
    <w:p w14:paraId="67675372" w14:textId="77777777" w:rsidR="009F4C5B" w:rsidRPr="0008620B" w:rsidRDefault="009F4C5B">
      <w:pPr>
        <w:rPr>
          <w:color w:val="auto"/>
        </w:rPr>
      </w:pPr>
    </w:p>
    <w:p w14:paraId="01F93CB2" w14:textId="77777777" w:rsidR="00D52399" w:rsidRPr="0008620B" w:rsidRDefault="00902EBE" w:rsidP="009F4C5B">
      <w:pPr>
        <w:pStyle w:val="Heading2"/>
        <w:spacing w:before="0"/>
        <w:rPr>
          <w:color w:val="auto"/>
        </w:rPr>
      </w:pPr>
      <w:r w:rsidRPr="0008620B">
        <w:rPr>
          <w:color w:val="auto"/>
        </w:rPr>
        <w:t>4.9</w:t>
      </w:r>
      <w:r w:rsidRPr="0008620B">
        <w:rPr>
          <w:color w:val="auto"/>
        </w:rPr>
        <w:tab/>
        <w:t xml:space="preserve">OVERDOSE </w:t>
      </w:r>
    </w:p>
    <w:p w14:paraId="519A2AF1" w14:textId="42B77E3E" w:rsidR="00FF21DD" w:rsidRPr="00A44065" w:rsidRDefault="00FF21DD" w:rsidP="00B1498F">
      <w:pPr>
        <w:spacing w:after="240"/>
        <w:rPr>
          <w:color w:val="auto"/>
          <w:sz w:val="22"/>
        </w:rPr>
      </w:pPr>
      <w:r w:rsidRPr="00A44065">
        <w:rPr>
          <w:color w:val="auto"/>
          <w:sz w:val="22"/>
        </w:rPr>
        <w:t xml:space="preserve">There is no experience with overdosage of </w:t>
      </w:r>
      <w:proofErr w:type="spellStart"/>
      <w:r w:rsidR="00B719B6" w:rsidRPr="00A44065">
        <w:rPr>
          <w:color w:val="auto"/>
          <w:sz w:val="22"/>
        </w:rPr>
        <w:t>Columvi</w:t>
      </w:r>
      <w:proofErr w:type="spellEnd"/>
      <w:r w:rsidRPr="00A44065">
        <w:rPr>
          <w:color w:val="auto"/>
          <w:sz w:val="22"/>
        </w:rPr>
        <w:t xml:space="preserve"> in clinical trials. </w:t>
      </w:r>
    </w:p>
    <w:p w14:paraId="226E34D3" w14:textId="77777777" w:rsidR="008903F2" w:rsidRPr="00A44065" w:rsidRDefault="008903F2" w:rsidP="00B1498F">
      <w:pPr>
        <w:spacing w:after="240"/>
        <w:rPr>
          <w:color w:val="auto"/>
          <w:sz w:val="22"/>
        </w:rPr>
      </w:pPr>
      <w:r w:rsidRPr="00A44065">
        <w:rPr>
          <w:color w:val="auto"/>
          <w:sz w:val="22"/>
        </w:rPr>
        <w:t>For information on the management of overdose, contact the Poisons Information Centre on 13 11 26 (Australia).</w:t>
      </w:r>
      <w:r w:rsidR="00BA0878" w:rsidRPr="00A44065">
        <w:rPr>
          <w:color w:val="auto"/>
          <w:sz w:val="22"/>
        </w:rPr>
        <w:t xml:space="preserve"> </w:t>
      </w:r>
    </w:p>
    <w:p w14:paraId="78ED41E4" w14:textId="77777777" w:rsidR="00D52399" w:rsidRPr="00A44065" w:rsidRDefault="00615052" w:rsidP="0087549F">
      <w:pPr>
        <w:pStyle w:val="Heading1"/>
        <w:numPr>
          <w:ilvl w:val="0"/>
          <w:numId w:val="2"/>
        </w:numPr>
        <w:spacing w:before="0"/>
        <w:rPr>
          <w:color w:val="auto"/>
        </w:rPr>
      </w:pPr>
      <w:r w:rsidRPr="00A44065">
        <w:rPr>
          <w:color w:val="auto"/>
        </w:rPr>
        <w:t>PHARMACOLOGICAL PROPERTIES</w:t>
      </w:r>
    </w:p>
    <w:p w14:paraId="4105AD5B" w14:textId="77777777" w:rsidR="00D52399" w:rsidRPr="00A44065" w:rsidRDefault="00CC6729" w:rsidP="0087549F">
      <w:pPr>
        <w:pStyle w:val="Heading2"/>
        <w:spacing w:before="0"/>
        <w:rPr>
          <w:color w:val="auto"/>
        </w:rPr>
      </w:pPr>
      <w:r w:rsidRPr="00A44065">
        <w:rPr>
          <w:color w:val="auto"/>
        </w:rPr>
        <w:t xml:space="preserve">5.1 </w:t>
      </w:r>
      <w:r w:rsidRPr="00A44065">
        <w:rPr>
          <w:color w:val="auto"/>
        </w:rPr>
        <w:tab/>
      </w:r>
      <w:r w:rsidR="00902EBE" w:rsidRPr="00A44065">
        <w:rPr>
          <w:color w:val="auto"/>
        </w:rPr>
        <w:t>PHARMACODYNAMIC PROPERTIES</w:t>
      </w:r>
    </w:p>
    <w:p w14:paraId="11D85AB2" w14:textId="77777777" w:rsidR="00D52399" w:rsidRPr="00A44065" w:rsidRDefault="00615052">
      <w:pPr>
        <w:rPr>
          <w:color w:val="auto"/>
        </w:rPr>
      </w:pPr>
      <w:r w:rsidRPr="00A44065">
        <w:rPr>
          <w:color w:val="auto"/>
          <w:sz w:val="22"/>
          <w:szCs w:val="22"/>
        </w:rPr>
        <w:t>Pharmacotherapeutic group: {group}</w:t>
      </w:r>
      <w:r w:rsidR="00E03FA4" w:rsidRPr="00A44065">
        <w:rPr>
          <w:color w:val="auto"/>
          <w:sz w:val="22"/>
          <w:szCs w:val="22"/>
        </w:rPr>
        <w:t>, ATC code:</w:t>
      </w:r>
      <w:r w:rsidRPr="00A44065">
        <w:rPr>
          <w:color w:val="auto"/>
          <w:sz w:val="22"/>
          <w:szCs w:val="22"/>
        </w:rPr>
        <w:t xml:space="preserve"> not yet assigned</w:t>
      </w:r>
    </w:p>
    <w:p w14:paraId="341C21F3" w14:textId="77777777" w:rsidR="00D52399" w:rsidRPr="00A44065" w:rsidRDefault="00615052">
      <w:pPr>
        <w:pStyle w:val="Heading3"/>
        <w:rPr>
          <w:color w:val="auto"/>
          <w:sz w:val="22"/>
        </w:rPr>
      </w:pPr>
      <w:r w:rsidRPr="00A44065">
        <w:rPr>
          <w:color w:val="auto"/>
          <w:sz w:val="22"/>
        </w:rPr>
        <w:t>Mechanism of Action</w:t>
      </w:r>
    </w:p>
    <w:p w14:paraId="364F4577" w14:textId="6D028B44" w:rsidR="00D52399" w:rsidRPr="00A44065" w:rsidRDefault="003320D4">
      <w:pPr>
        <w:rPr>
          <w:color w:val="auto"/>
          <w:sz w:val="22"/>
        </w:rPr>
      </w:pPr>
      <w:proofErr w:type="spellStart"/>
      <w:r w:rsidRPr="00A44065">
        <w:rPr>
          <w:color w:val="auto"/>
          <w:sz w:val="22"/>
        </w:rPr>
        <w:t>Glofitamab</w:t>
      </w:r>
      <w:proofErr w:type="spellEnd"/>
      <w:r w:rsidRPr="00A44065">
        <w:rPr>
          <w:color w:val="auto"/>
          <w:sz w:val="22"/>
        </w:rPr>
        <w:t xml:space="preserve"> is a bispecific monoclonal antibody that binds bivalently</w:t>
      </w:r>
      <w:r w:rsidR="00526479" w:rsidRPr="00A44065">
        <w:rPr>
          <w:color w:val="auto"/>
          <w:sz w:val="22"/>
        </w:rPr>
        <w:t xml:space="preserve"> (with high avidity)</w:t>
      </w:r>
      <w:r w:rsidRPr="00A44065">
        <w:rPr>
          <w:color w:val="auto"/>
          <w:sz w:val="22"/>
        </w:rPr>
        <w:t xml:space="preserve"> to CD20 expressed on the surface of B cells and </w:t>
      </w:r>
      <w:proofErr w:type="spellStart"/>
      <w:r w:rsidRPr="00A44065">
        <w:rPr>
          <w:color w:val="auto"/>
          <w:sz w:val="22"/>
        </w:rPr>
        <w:t>monovalently</w:t>
      </w:r>
      <w:proofErr w:type="spellEnd"/>
      <w:r w:rsidRPr="00A44065">
        <w:rPr>
          <w:color w:val="auto"/>
          <w:sz w:val="22"/>
        </w:rPr>
        <w:t xml:space="preserve"> to CD3 in the T-cell receptor complex expressed on the surface of T cells.  By simultaneous binding to CD20 on the B cell and CD3 on the T cell, </w:t>
      </w:r>
      <w:proofErr w:type="spellStart"/>
      <w:r w:rsidRPr="00A44065">
        <w:rPr>
          <w:color w:val="auto"/>
          <w:sz w:val="22"/>
        </w:rPr>
        <w:t>glofitamab</w:t>
      </w:r>
      <w:proofErr w:type="spellEnd"/>
      <w:r w:rsidRPr="00A44065">
        <w:rPr>
          <w:color w:val="auto"/>
          <w:sz w:val="22"/>
        </w:rPr>
        <w:t xml:space="preserve"> mediates the formation of a</w:t>
      </w:r>
      <w:r w:rsidR="00526479" w:rsidRPr="00A44065">
        <w:rPr>
          <w:color w:val="auto"/>
          <w:sz w:val="22"/>
        </w:rPr>
        <w:t>n</w:t>
      </w:r>
      <w:r w:rsidRPr="00A44065">
        <w:rPr>
          <w:color w:val="auto"/>
          <w:sz w:val="22"/>
        </w:rPr>
        <w:t xml:space="preserve"> </w:t>
      </w:r>
      <w:r w:rsidR="00526479" w:rsidRPr="00A44065">
        <w:rPr>
          <w:color w:val="auto"/>
          <w:sz w:val="22"/>
        </w:rPr>
        <w:t xml:space="preserve">immunological </w:t>
      </w:r>
      <w:r w:rsidRPr="00A44065">
        <w:rPr>
          <w:color w:val="auto"/>
          <w:sz w:val="22"/>
        </w:rPr>
        <w:t xml:space="preserve">synapse with subsequent </w:t>
      </w:r>
      <w:r w:rsidR="00526479" w:rsidRPr="00A44065">
        <w:rPr>
          <w:color w:val="auto"/>
          <w:sz w:val="22"/>
        </w:rPr>
        <w:t xml:space="preserve">potent </w:t>
      </w:r>
      <w:r w:rsidRPr="00A44065">
        <w:rPr>
          <w:color w:val="auto"/>
          <w:sz w:val="22"/>
        </w:rPr>
        <w:t>T-cell activation and proliferation, secretion of cytokines, and release of cytolytic proteins that results in the lysis of CD20-expressing B cells.</w:t>
      </w:r>
    </w:p>
    <w:p w14:paraId="4202EE66" w14:textId="6B75624B" w:rsidR="00526479" w:rsidRPr="00A44065" w:rsidRDefault="00526479" w:rsidP="00526479">
      <w:pPr>
        <w:spacing w:before="240"/>
        <w:rPr>
          <w:i/>
          <w:color w:val="auto"/>
          <w:sz w:val="22"/>
        </w:rPr>
      </w:pPr>
      <w:r w:rsidRPr="00A44065">
        <w:rPr>
          <w:i/>
          <w:color w:val="auto"/>
          <w:sz w:val="22"/>
        </w:rPr>
        <w:lastRenderedPageBreak/>
        <w:t>Pharmacodynamics</w:t>
      </w:r>
    </w:p>
    <w:p w14:paraId="0580A230" w14:textId="5BF88EB6" w:rsidR="00526479" w:rsidRPr="00A44065" w:rsidRDefault="00526479" w:rsidP="00526479">
      <w:pPr>
        <w:rPr>
          <w:color w:val="auto"/>
          <w:sz w:val="22"/>
        </w:rPr>
      </w:pPr>
      <w:r w:rsidRPr="00A44065">
        <w:rPr>
          <w:color w:val="auto"/>
          <w:sz w:val="22"/>
        </w:rPr>
        <w:t xml:space="preserve">Peripheral B-cell counts, prior to </w:t>
      </w:r>
      <w:proofErr w:type="spellStart"/>
      <w:r w:rsidR="00B719B6" w:rsidRPr="00A44065">
        <w:rPr>
          <w:color w:val="auto"/>
          <w:sz w:val="22"/>
        </w:rPr>
        <w:t>Columvi</w:t>
      </w:r>
      <w:proofErr w:type="spellEnd"/>
      <w:r w:rsidRPr="00A44065">
        <w:rPr>
          <w:color w:val="auto"/>
          <w:sz w:val="22"/>
        </w:rPr>
        <w:t xml:space="preserve"> treatment initiation, in almost all patients (98.6%) with relapsed and refractory </w:t>
      </w:r>
      <w:r w:rsidR="00162DF3" w:rsidRPr="00A44065">
        <w:rPr>
          <w:color w:val="auto"/>
          <w:sz w:val="22"/>
        </w:rPr>
        <w:t>D</w:t>
      </w:r>
      <w:r w:rsidRPr="00A44065">
        <w:rPr>
          <w:color w:val="auto"/>
          <w:sz w:val="22"/>
        </w:rPr>
        <w:t>LBCL were &lt;70 cells/</w:t>
      </w:r>
      <w:proofErr w:type="gramStart"/>
      <w:r w:rsidRPr="00A44065">
        <w:rPr>
          <w:color w:val="auto"/>
          <w:sz w:val="22"/>
        </w:rPr>
        <w:t>µL, and</w:t>
      </w:r>
      <w:proofErr w:type="gramEnd"/>
      <w:r w:rsidRPr="00A44065">
        <w:rPr>
          <w:color w:val="auto"/>
          <w:sz w:val="22"/>
        </w:rPr>
        <w:t xml:space="preserve"> remained low during </w:t>
      </w:r>
      <w:proofErr w:type="spellStart"/>
      <w:r w:rsidR="00B719B6" w:rsidRPr="00A44065">
        <w:rPr>
          <w:color w:val="auto"/>
          <w:sz w:val="22"/>
        </w:rPr>
        <w:t>Columvi</w:t>
      </w:r>
      <w:proofErr w:type="spellEnd"/>
      <w:r w:rsidRPr="00A44065">
        <w:rPr>
          <w:color w:val="auto"/>
          <w:sz w:val="22"/>
        </w:rPr>
        <w:t xml:space="preserve"> treatment.</w:t>
      </w:r>
    </w:p>
    <w:p w14:paraId="15A5A797" w14:textId="161A2CA7" w:rsidR="00526479" w:rsidRPr="0008620B" w:rsidRDefault="00526479" w:rsidP="00526479">
      <w:pPr>
        <w:rPr>
          <w:color w:val="auto"/>
          <w:sz w:val="22"/>
        </w:rPr>
      </w:pPr>
      <w:r w:rsidRPr="00A44065">
        <w:rPr>
          <w:color w:val="auto"/>
          <w:sz w:val="22"/>
        </w:rPr>
        <w:t>During Cycle 1 (step-up dosing), transient increases in plasma IL-6 levels were observed at 6 hours post-</w:t>
      </w:r>
      <w:proofErr w:type="spellStart"/>
      <w:r w:rsidR="00B719B6" w:rsidRPr="00A44065">
        <w:rPr>
          <w:color w:val="auto"/>
          <w:sz w:val="22"/>
        </w:rPr>
        <w:t>Columvi</w:t>
      </w:r>
      <w:proofErr w:type="spellEnd"/>
      <w:r w:rsidRPr="00A44065">
        <w:rPr>
          <w:color w:val="auto"/>
          <w:sz w:val="22"/>
        </w:rPr>
        <w:t xml:space="preserve"> infusion, which remained elevated at 20 hours post-infusion and returned to baseline prior to the next infusion.</w:t>
      </w:r>
    </w:p>
    <w:p w14:paraId="1A28A612" w14:textId="2AECE230" w:rsidR="00D52399" w:rsidRDefault="00D52399">
      <w:pPr>
        <w:rPr>
          <w:color w:val="auto"/>
        </w:rPr>
      </w:pPr>
    </w:p>
    <w:p w14:paraId="7F0B5055" w14:textId="77777777" w:rsidR="00A44065" w:rsidRPr="003F78EC" w:rsidRDefault="00A44065" w:rsidP="00A44065">
      <w:pPr>
        <w:rPr>
          <w:i/>
          <w:color w:val="auto"/>
          <w:sz w:val="22"/>
        </w:rPr>
      </w:pPr>
      <w:r w:rsidRPr="003F78EC">
        <w:rPr>
          <w:i/>
          <w:color w:val="auto"/>
          <w:sz w:val="22"/>
        </w:rPr>
        <w:t>Cardiac Electrophysiology</w:t>
      </w:r>
    </w:p>
    <w:p w14:paraId="7015BC5F" w14:textId="15EE700D" w:rsidR="00A44065" w:rsidRDefault="00A44065" w:rsidP="00A44065">
      <w:pPr>
        <w:rPr>
          <w:color w:val="auto"/>
          <w:sz w:val="22"/>
        </w:rPr>
      </w:pPr>
      <w:r w:rsidRPr="00F80358">
        <w:rPr>
          <w:color w:val="auto"/>
          <w:sz w:val="22"/>
        </w:rPr>
        <w:t>In Study NP30179, 16/154 patients wh</w:t>
      </w:r>
      <w:r>
        <w:rPr>
          <w:color w:val="auto"/>
          <w:sz w:val="22"/>
        </w:rPr>
        <w:t xml:space="preserve">o received the study treatment </w:t>
      </w:r>
      <w:r w:rsidRPr="00F80358">
        <w:rPr>
          <w:color w:val="auto"/>
          <w:sz w:val="22"/>
        </w:rPr>
        <w:t>experienced a post-baseline QTc value &gt; 450ms. One of these cases was assessed to be of clinical significance by the investigator. No patients discontinued treatment due to QTc prolongation.</w:t>
      </w:r>
    </w:p>
    <w:p w14:paraId="5CAE1970" w14:textId="58BC6503" w:rsidR="00A44065" w:rsidRPr="0008620B" w:rsidRDefault="00A44065">
      <w:pPr>
        <w:rPr>
          <w:color w:val="auto"/>
        </w:rPr>
      </w:pPr>
    </w:p>
    <w:p w14:paraId="2477D117" w14:textId="77777777" w:rsidR="00D52399" w:rsidRPr="0008620B" w:rsidRDefault="00615052">
      <w:pPr>
        <w:pStyle w:val="Heading3"/>
        <w:rPr>
          <w:color w:val="auto"/>
        </w:rPr>
      </w:pPr>
      <w:r w:rsidRPr="0008620B">
        <w:rPr>
          <w:color w:val="auto"/>
        </w:rPr>
        <w:t xml:space="preserve">Clinical </w:t>
      </w:r>
      <w:r w:rsidR="00594C19" w:rsidRPr="0008620B">
        <w:rPr>
          <w:color w:val="auto"/>
        </w:rPr>
        <w:t>trials</w:t>
      </w:r>
    </w:p>
    <w:p w14:paraId="239D1CF3" w14:textId="77777777" w:rsidR="003320D4" w:rsidRPr="0008620B" w:rsidRDefault="003320D4" w:rsidP="003320D4">
      <w:pPr>
        <w:pStyle w:val="ParagraphList"/>
        <w:rPr>
          <w:rFonts w:ascii="Times New Roman" w:hAnsi="Times New Roman"/>
          <w:b/>
        </w:rPr>
      </w:pPr>
      <w:r w:rsidRPr="00A44065">
        <w:rPr>
          <w:rFonts w:ascii="Times New Roman" w:hAnsi="Times New Roman"/>
          <w:b/>
        </w:rPr>
        <w:t xml:space="preserve">Relapsed or Refractory DLBCL </w:t>
      </w:r>
    </w:p>
    <w:p w14:paraId="5D6C5597" w14:textId="325DD5C7" w:rsidR="003320D4" w:rsidRPr="0008620B" w:rsidRDefault="003320D4" w:rsidP="003320D4">
      <w:pPr>
        <w:pStyle w:val="Paragraph"/>
        <w:rPr>
          <w:rFonts w:ascii="Times New Roman" w:hAnsi="Times New Roman"/>
        </w:rPr>
      </w:pPr>
      <w:r w:rsidRPr="0008620B">
        <w:rPr>
          <w:rFonts w:ascii="Times New Roman" w:hAnsi="Times New Roman"/>
        </w:rPr>
        <w:t xml:space="preserve">The efficacy of </w:t>
      </w:r>
      <w:proofErr w:type="spellStart"/>
      <w:r w:rsidR="00B719B6" w:rsidRPr="0008620B">
        <w:rPr>
          <w:rFonts w:ascii="Times New Roman" w:hAnsi="Times New Roman"/>
        </w:rPr>
        <w:t>Columvi</w:t>
      </w:r>
      <w:proofErr w:type="spellEnd"/>
      <w:r w:rsidRPr="0008620B">
        <w:rPr>
          <w:rFonts w:ascii="Times New Roman" w:hAnsi="Times New Roman"/>
        </w:rPr>
        <w:t xml:space="preserve"> monotherapy was evaluated in study NP30179, </w:t>
      </w:r>
      <w:r w:rsidR="00867BED" w:rsidRPr="00A44065">
        <w:rPr>
          <w:rFonts w:ascii="Times New Roman" w:hAnsi="Times New Roman"/>
        </w:rPr>
        <w:t>a single arm,</w:t>
      </w:r>
      <w:r w:rsidRPr="00A44065">
        <w:rPr>
          <w:rFonts w:ascii="Times New Roman" w:hAnsi="Times New Roman"/>
        </w:rPr>
        <w:t xml:space="preserve"> open-label </w:t>
      </w:r>
      <w:proofErr w:type="spellStart"/>
      <w:r w:rsidRPr="00A44065">
        <w:rPr>
          <w:rFonts w:ascii="Times New Roman" w:hAnsi="Times New Roman"/>
        </w:rPr>
        <w:t>multicent</w:t>
      </w:r>
      <w:r w:rsidR="00867BED" w:rsidRPr="00A44065">
        <w:rPr>
          <w:rFonts w:ascii="Times New Roman" w:hAnsi="Times New Roman"/>
        </w:rPr>
        <w:t>re</w:t>
      </w:r>
      <w:proofErr w:type="spellEnd"/>
      <w:r w:rsidR="00867BED" w:rsidRPr="00A44065">
        <w:rPr>
          <w:rFonts w:ascii="Times New Roman" w:hAnsi="Times New Roman"/>
        </w:rPr>
        <w:t>, multi-cohort</w:t>
      </w:r>
      <w:r w:rsidRPr="00A44065">
        <w:rPr>
          <w:rFonts w:ascii="Times New Roman" w:hAnsi="Times New Roman"/>
        </w:rPr>
        <w:t xml:space="preserve"> trial, </w:t>
      </w:r>
      <w:r w:rsidR="00867BED" w:rsidRPr="00A44065">
        <w:rPr>
          <w:rFonts w:ascii="Times New Roman" w:hAnsi="Times New Roman"/>
        </w:rPr>
        <w:t>which included 155</w:t>
      </w:r>
      <w:r w:rsidRPr="00A44065">
        <w:rPr>
          <w:rFonts w:ascii="Times New Roman" w:hAnsi="Times New Roman"/>
        </w:rPr>
        <w:t xml:space="preserve"> patients with relapsed or refractory DLBCL </w:t>
      </w:r>
      <w:r w:rsidR="00867BED" w:rsidRPr="00A44065">
        <w:rPr>
          <w:rFonts w:ascii="Times New Roman" w:hAnsi="Times New Roman"/>
        </w:rPr>
        <w:t>after</w:t>
      </w:r>
      <w:r w:rsidRPr="00A44065">
        <w:rPr>
          <w:rFonts w:ascii="Times New Roman" w:hAnsi="Times New Roman"/>
        </w:rPr>
        <w:t xml:space="preserve"> at least two prior lines of systemic therapy.  The study excluded patients with prior allogeneic </w:t>
      </w:r>
      <w:proofErr w:type="spellStart"/>
      <w:r w:rsidRPr="00A44065">
        <w:rPr>
          <w:rFonts w:ascii="Times New Roman" w:hAnsi="Times New Roman"/>
        </w:rPr>
        <w:t>h</w:t>
      </w:r>
      <w:r w:rsidR="00E155F3">
        <w:rPr>
          <w:rFonts w:ascii="Times New Roman" w:hAnsi="Times New Roman"/>
        </w:rPr>
        <w:t>a</w:t>
      </w:r>
      <w:r w:rsidRPr="00A44065">
        <w:rPr>
          <w:rFonts w:ascii="Times New Roman" w:hAnsi="Times New Roman"/>
        </w:rPr>
        <w:t>ematopoietic</w:t>
      </w:r>
      <w:proofErr w:type="spellEnd"/>
      <w:r w:rsidRPr="00A44065">
        <w:rPr>
          <w:rFonts w:ascii="Times New Roman" w:hAnsi="Times New Roman"/>
        </w:rPr>
        <w:t xml:space="preserve"> stem cell transplant, previous or active central nervous system lymphoma, ECOG performance status </w:t>
      </w:r>
      <w:r w:rsidRPr="0008620B">
        <w:rPr>
          <w:rFonts w:ascii="Times New Roman" w:hAnsi="Times New Roman"/>
        </w:rPr>
        <w:sym w:font="Symbol" w:char="F0B3"/>
      </w:r>
      <w:r w:rsidRPr="0008620B">
        <w:rPr>
          <w:rFonts w:ascii="Times New Roman" w:hAnsi="Times New Roman"/>
        </w:rPr>
        <w:t> 2, creatinine clearance (</w:t>
      </w:r>
      <w:proofErr w:type="spellStart"/>
      <w:r w:rsidRPr="0008620B">
        <w:rPr>
          <w:rFonts w:ascii="Times New Roman" w:hAnsi="Times New Roman"/>
        </w:rPr>
        <w:t>CrCL</w:t>
      </w:r>
      <w:proofErr w:type="spellEnd"/>
      <w:r w:rsidRPr="0008620B">
        <w:rPr>
          <w:rFonts w:ascii="Times New Roman" w:hAnsi="Times New Roman"/>
        </w:rPr>
        <w:t>) </w:t>
      </w:r>
      <w:r w:rsidRPr="0008620B">
        <w:rPr>
          <w:rFonts w:ascii="Times New Roman" w:hAnsi="Times New Roman"/>
        </w:rPr>
        <w:sym w:font="Symbol" w:char="F03C"/>
      </w:r>
      <w:r w:rsidRPr="0008620B">
        <w:rPr>
          <w:rFonts w:ascii="Times New Roman" w:hAnsi="Times New Roman"/>
        </w:rPr>
        <w:t xml:space="preserve"> 50 mL/min, or hepatic transaminases </w:t>
      </w:r>
      <w:r w:rsidRPr="0008620B">
        <w:rPr>
          <w:rFonts w:ascii="Times New Roman" w:hAnsi="Times New Roman"/>
        </w:rPr>
        <w:sym w:font="Symbol" w:char="F03E"/>
      </w:r>
      <w:r w:rsidRPr="0008620B">
        <w:rPr>
          <w:rFonts w:ascii="Times New Roman" w:hAnsi="Times New Roman"/>
        </w:rPr>
        <w:t> 3 </w:t>
      </w:r>
      <w:r w:rsidRPr="0008620B">
        <w:rPr>
          <w:rFonts w:ascii="Times New Roman" w:hAnsi="Times New Roman"/>
        </w:rPr>
        <w:sym w:font="Symbol" w:char="F0B4"/>
      </w:r>
      <w:r w:rsidRPr="0008620B">
        <w:rPr>
          <w:rFonts w:ascii="Times New Roman" w:hAnsi="Times New Roman"/>
        </w:rPr>
        <w:t> ULN.</w:t>
      </w:r>
    </w:p>
    <w:p w14:paraId="201C6E5B" w14:textId="3A28A008" w:rsidR="003320D4" w:rsidRPr="00A44065" w:rsidRDefault="003320D4" w:rsidP="003320D4">
      <w:pPr>
        <w:pStyle w:val="Paragraph"/>
        <w:rPr>
          <w:rFonts w:ascii="Times New Roman" w:hAnsi="Times New Roman"/>
          <w:szCs w:val="22"/>
        </w:rPr>
      </w:pPr>
      <w:r w:rsidRPr="0008620B">
        <w:rPr>
          <w:rFonts w:ascii="Times New Roman" w:hAnsi="Times New Roman"/>
        </w:rPr>
        <w:t xml:space="preserve">Following pre-treatment with </w:t>
      </w:r>
      <w:proofErr w:type="spellStart"/>
      <w:r w:rsidRPr="0008620B">
        <w:rPr>
          <w:rFonts w:ascii="Times New Roman" w:hAnsi="Times New Roman"/>
        </w:rPr>
        <w:t>obinutuzumab</w:t>
      </w:r>
      <w:proofErr w:type="spellEnd"/>
      <w:r w:rsidRPr="0008620B">
        <w:rPr>
          <w:rFonts w:ascii="Times New Roman" w:hAnsi="Times New Roman"/>
        </w:rPr>
        <w:t xml:space="preserve"> at Cycle 1 Day 1, patients received 2.5 mg of </w:t>
      </w:r>
      <w:proofErr w:type="spellStart"/>
      <w:r w:rsidR="00B719B6" w:rsidRPr="0008620B">
        <w:rPr>
          <w:rFonts w:ascii="Times New Roman" w:hAnsi="Times New Roman"/>
        </w:rPr>
        <w:t>Columvi</w:t>
      </w:r>
      <w:proofErr w:type="spellEnd"/>
      <w:r w:rsidRPr="00A44065">
        <w:rPr>
          <w:rFonts w:ascii="Times New Roman" w:hAnsi="Times New Roman"/>
        </w:rPr>
        <w:t xml:space="preserve"> at Cycle 1 Day 8, 10 mg of </w:t>
      </w:r>
      <w:proofErr w:type="spellStart"/>
      <w:r w:rsidR="00B719B6" w:rsidRPr="00A44065">
        <w:rPr>
          <w:rFonts w:ascii="Times New Roman" w:hAnsi="Times New Roman"/>
        </w:rPr>
        <w:t>Columvi</w:t>
      </w:r>
      <w:proofErr w:type="spellEnd"/>
      <w:r w:rsidRPr="00A44065">
        <w:rPr>
          <w:rFonts w:ascii="Times New Roman" w:hAnsi="Times New Roman"/>
        </w:rPr>
        <w:t xml:space="preserve"> at Cycle 1 Day 15, and 30 mg of </w:t>
      </w:r>
      <w:proofErr w:type="spellStart"/>
      <w:r w:rsidR="00B719B6" w:rsidRPr="00A44065">
        <w:rPr>
          <w:rFonts w:ascii="Times New Roman" w:hAnsi="Times New Roman"/>
        </w:rPr>
        <w:t>Columvi</w:t>
      </w:r>
      <w:proofErr w:type="spellEnd"/>
      <w:r w:rsidRPr="00A44065">
        <w:rPr>
          <w:rFonts w:ascii="Times New Roman" w:hAnsi="Times New Roman"/>
        </w:rPr>
        <w:t xml:space="preserve"> at Cycle 2 Day 1 as per the step-up dosing schedule.  Patients continued to receive 30 mg of </w:t>
      </w:r>
      <w:proofErr w:type="spellStart"/>
      <w:r w:rsidR="00B719B6" w:rsidRPr="00A44065">
        <w:rPr>
          <w:rFonts w:ascii="Times New Roman" w:hAnsi="Times New Roman"/>
        </w:rPr>
        <w:t>Columvi</w:t>
      </w:r>
      <w:proofErr w:type="spellEnd"/>
      <w:r w:rsidRPr="00A44065">
        <w:rPr>
          <w:rFonts w:ascii="Times New Roman" w:hAnsi="Times New Roman"/>
        </w:rPr>
        <w:t xml:space="preserve"> on Day 1 of Cycles 3 to 12.  </w:t>
      </w:r>
      <w:r w:rsidR="00867BED" w:rsidRPr="00A44065">
        <w:rPr>
          <w:rFonts w:ascii="Times New Roman" w:hAnsi="Times New Roman"/>
        </w:rPr>
        <w:t xml:space="preserve">Patients received premedication including an anti-pyretic, an </w:t>
      </w:r>
      <w:proofErr w:type="gramStart"/>
      <w:r w:rsidR="00867BED" w:rsidRPr="00A44065">
        <w:rPr>
          <w:rFonts w:ascii="Times New Roman" w:hAnsi="Times New Roman"/>
        </w:rPr>
        <w:t>anti-histamine</w:t>
      </w:r>
      <w:proofErr w:type="gramEnd"/>
      <w:r w:rsidR="00867BED" w:rsidRPr="00A44065">
        <w:rPr>
          <w:rFonts w:ascii="Times New Roman" w:hAnsi="Times New Roman"/>
        </w:rPr>
        <w:t xml:space="preserve"> and a glucocorticoid (see Section</w:t>
      </w:r>
      <w:r w:rsidR="00867BED" w:rsidRPr="00A44065">
        <w:rPr>
          <w:rFonts w:ascii="Times New Roman" w:hAnsi="Times New Roman"/>
          <w:i/>
        </w:rPr>
        <w:t xml:space="preserve"> 4.2 Dose and Method of Administration</w:t>
      </w:r>
      <w:r w:rsidR="00867BED" w:rsidRPr="00A44065">
        <w:rPr>
          <w:rFonts w:ascii="Times New Roman" w:hAnsi="Times New Roman"/>
        </w:rPr>
        <w:t xml:space="preserve">). </w:t>
      </w:r>
      <w:r w:rsidRPr="00A44065">
        <w:rPr>
          <w:rFonts w:ascii="Times New Roman" w:hAnsi="Times New Roman"/>
        </w:rPr>
        <w:t xml:space="preserve">The duration of each cycle was 21 days.  Patients received a median of 5 cycles of </w:t>
      </w:r>
      <w:proofErr w:type="spellStart"/>
      <w:r w:rsidR="00B719B6" w:rsidRPr="00A44065">
        <w:rPr>
          <w:rFonts w:ascii="Times New Roman" w:hAnsi="Times New Roman"/>
        </w:rPr>
        <w:t>Columvi</w:t>
      </w:r>
      <w:proofErr w:type="spellEnd"/>
      <w:r w:rsidRPr="00A44065">
        <w:rPr>
          <w:rFonts w:ascii="Times New Roman" w:hAnsi="Times New Roman"/>
        </w:rPr>
        <w:t xml:space="preserve"> treatment (range: 1 to 12 cycles).</w:t>
      </w:r>
    </w:p>
    <w:p w14:paraId="7DC24D21" w14:textId="255C1033" w:rsidR="003320D4" w:rsidRPr="00A44065" w:rsidRDefault="003320D4" w:rsidP="003320D4">
      <w:pPr>
        <w:pStyle w:val="Paragraph"/>
        <w:rPr>
          <w:rFonts w:ascii="Times New Roman" w:hAnsi="Times New Roman"/>
        </w:rPr>
      </w:pPr>
      <w:r w:rsidRPr="00A44065">
        <w:rPr>
          <w:rFonts w:ascii="Times New Roman" w:hAnsi="Times New Roman"/>
        </w:rPr>
        <w:t xml:space="preserve">The baseline demographic and disease characteristics </w:t>
      </w:r>
      <w:proofErr w:type="gramStart"/>
      <w:r w:rsidRPr="00A44065">
        <w:rPr>
          <w:rFonts w:ascii="Times New Roman" w:hAnsi="Times New Roman"/>
        </w:rPr>
        <w:t>were:</w:t>
      </w:r>
      <w:proofErr w:type="gramEnd"/>
      <w:r w:rsidRPr="00A44065">
        <w:rPr>
          <w:rFonts w:ascii="Times New Roman" w:hAnsi="Times New Roman"/>
        </w:rPr>
        <w:t xml:space="preserve"> median age 66 years (range: 21 to 90 years); </w:t>
      </w:r>
      <w:r w:rsidR="00867BED" w:rsidRPr="00A44065">
        <w:rPr>
          <w:rFonts w:ascii="Times New Roman" w:hAnsi="Times New Roman"/>
        </w:rPr>
        <w:t>65.2</w:t>
      </w:r>
      <w:r w:rsidRPr="00A44065">
        <w:rPr>
          <w:rFonts w:ascii="Times New Roman" w:hAnsi="Times New Roman"/>
        </w:rPr>
        <w:t xml:space="preserve">% males; </w:t>
      </w:r>
      <w:r w:rsidR="00867BED" w:rsidRPr="00A44065">
        <w:rPr>
          <w:rFonts w:ascii="Times New Roman" w:hAnsi="Times New Roman"/>
        </w:rPr>
        <w:t>76.8</w:t>
      </w:r>
      <w:r w:rsidRPr="00A44065">
        <w:rPr>
          <w:rFonts w:ascii="Times New Roman" w:hAnsi="Times New Roman"/>
        </w:rPr>
        <w:t xml:space="preserve">% white, </w:t>
      </w:r>
      <w:r w:rsidR="00867BED" w:rsidRPr="00A44065">
        <w:rPr>
          <w:rFonts w:ascii="Times New Roman" w:hAnsi="Times New Roman"/>
        </w:rPr>
        <w:t>4.5</w:t>
      </w:r>
      <w:r w:rsidRPr="00A44065">
        <w:rPr>
          <w:rFonts w:ascii="Times New Roman" w:hAnsi="Times New Roman"/>
        </w:rPr>
        <w:t xml:space="preserve">% Asian, and </w:t>
      </w:r>
      <w:r w:rsidR="00867BED" w:rsidRPr="00A44065">
        <w:rPr>
          <w:rFonts w:ascii="Times New Roman" w:hAnsi="Times New Roman"/>
        </w:rPr>
        <w:t>1.9</w:t>
      </w:r>
      <w:r w:rsidRPr="00A44065">
        <w:rPr>
          <w:rFonts w:ascii="Times New Roman" w:hAnsi="Times New Roman"/>
        </w:rPr>
        <w:t xml:space="preserve">% Black or African American; </w:t>
      </w:r>
      <w:r w:rsidR="00867BED" w:rsidRPr="00A44065">
        <w:rPr>
          <w:rFonts w:ascii="Times New Roman" w:hAnsi="Times New Roman"/>
        </w:rPr>
        <w:t>5.8</w:t>
      </w:r>
      <w:r w:rsidRPr="00A44065">
        <w:rPr>
          <w:rFonts w:ascii="Times New Roman" w:hAnsi="Times New Roman"/>
        </w:rPr>
        <w:t>% Hispanic or Latino; and ECOG performance status of 0 (</w:t>
      </w:r>
      <w:r w:rsidR="00867BED" w:rsidRPr="00A44065">
        <w:rPr>
          <w:rFonts w:ascii="Times New Roman" w:hAnsi="Times New Roman"/>
        </w:rPr>
        <w:t>44.5</w:t>
      </w:r>
      <w:r w:rsidRPr="00A44065">
        <w:rPr>
          <w:rFonts w:ascii="Times New Roman" w:hAnsi="Times New Roman"/>
        </w:rPr>
        <w:t>%) or 1 (5</w:t>
      </w:r>
      <w:r w:rsidR="00867BED" w:rsidRPr="00A44065">
        <w:rPr>
          <w:rFonts w:ascii="Times New Roman" w:hAnsi="Times New Roman"/>
        </w:rPr>
        <w:t>4.2</w:t>
      </w:r>
      <w:r w:rsidRPr="00A44065">
        <w:rPr>
          <w:rFonts w:ascii="Times New Roman" w:hAnsi="Times New Roman"/>
        </w:rPr>
        <w:t>%).  Most patients (</w:t>
      </w:r>
      <w:r w:rsidR="00867BED" w:rsidRPr="00A44065">
        <w:rPr>
          <w:rFonts w:ascii="Times New Roman" w:hAnsi="Times New Roman"/>
        </w:rPr>
        <w:t>71.0</w:t>
      </w:r>
      <w:r w:rsidRPr="00A44065">
        <w:rPr>
          <w:rFonts w:ascii="Times New Roman" w:hAnsi="Times New Roman"/>
        </w:rPr>
        <w:t xml:space="preserve">%) had DLBCL not otherwise specified, </w:t>
      </w:r>
      <w:r w:rsidR="00867BED" w:rsidRPr="00A44065">
        <w:rPr>
          <w:rFonts w:ascii="Times New Roman" w:hAnsi="Times New Roman"/>
        </w:rPr>
        <w:t>18.7</w:t>
      </w:r>
      <w:r w:rsidRPr="00A44065">
        <w:rPr>
          <w:rFonts w:ascii="Times New Roman" w:hAnsi="Times New Roman"/>
        </w:rPr>
        <w:t xml:space="preserve">% had DLBCL transformed from follicular lymphoma, </w:t>
      </w:r>
      <w:r w:rsidR="00867BED" w:rsidRPr="00A44065">
        <w:rPr>
          <w:rFonts w:ascii="Times New Roman" w:hAnsi="Times New Roman"/>
        </w:rPr>
        <w:t>6.5</w:t>
      </w:r>
      <w:r w:rsidRPr="00A44065">
        <w:rPr>
          <w:rFonts w:ascii="Times New Roman" w:hAnsi="Times New Roman"/>
        </w:rPr>
        <w:t xml:space="preserve">% had HGBCL, and </w:t>
      </w:r>
      <w:r w:rsidR="00867BED" w:rsidRPr="00A44065">
        <w:rPr>
          <w:rFonts w:ascii="Times New Roman" w:hAnsi="Times New Roman"/>
        </w:rPr>
        <w:t>3.9</w:t>
      </w:r>
      <w:r w:rsidRPr="00A44065">
        <w:rPr>
          <w:rFonts w:ascii="Times New Roman" w:hAnsi="Times New Roman"/>
        </w:rPr>
        <w:t xml:space="preserve">% had PMBCL. The median number of prior lines of therapy was 3 (range: 2 to 7), with </w:t>
      </w:r>
      <w:r w:rsidR="00867BED" w:rsidRPr="00A44065">
        <w:rPr>
          <w:rFonts w:ascii="Times New Roman" w:hAnsi="Times New Roman"/>
        </w:rPr>
        <w:t>39.4</w:t>
      </w:r>
      <w:r w:rsidRPr="00A44065">
        <w:rPr>
          <w:rFonts w:ascii="Times New Roman" w:hAnsi="Times New Roman"/>
        </w:rPr>
        <w:t xml:space="preserve">% of </w:t>
      </w:r>
      <w:r w:rsidRPr="00A44065">
        <w:rPr>
          <w:rFonts w:ascii="Times New Roman" w:hAnsi="Times New Roman"/>
          <w:shd w:val="clear" w:color="auto" w:fill="FFFFFF" w:themeFill="background1"/>
        </w:rPr>
        <w:t xml:space="preserve">patients having received 2 prior lines and </w:t>
      </w:r>
      <w:r w:rsidR="00867BED" w:rsidRPr="00A44065">
        <w:rPr>
          <w:rFonts w:ascii="Times New Roman" w:hAnsi="Times New Roman"/>
          <w:shd w:val="clear" w:color="auto" w:fill="FFFFFF" w:themeFill="background1"/>
        </w:rPr>
        <w:t>60.6</w:t>
      </w:r>
      <w:r w:rsidRPr="00A44065">
        <w:rPr>
          <w:rFonts w:ascii="Times New Roman" w:hAnsi="Times New Roman"/>
          <w:shd w:val="clear" w:color="auto" w:fill="FFFFFF" w:themeFill="background1"/>
        </w:rPr>
        <w:t xml:space="preserve">% having received 3 or more prior lines of therapy.  All </w:t>
      </w:r>
      <w:proofErr w:type="gramStart"/>
      <w:r w:rsidRPr="00A44065">
        <w:rPr>
          <w:rFonts w:ascii="Times New Roman" w:hAnsi="Times New Roman"/>
          <w:shd w:val="clear" w:color="auto" w:fill="FFFFFF" w:themeFill="background1"/>
        </w:rPr>
        <w:t xml:space="preserve">patients </w:t>
      </w:r>
      <w:r w:rsidRPr="00A44065">
        <w:rPr>
          <w:rFonts w:ascii="Times New Roman" w:hAnsi="Times New Roman"/>
        </w:rPr>
        <w:t xml:space="preserve"> had</w:t>
      </w:r>
      <w:proofErr w:type="gramEnd"/>
      <w:r w:rsidRPr="00A44065">
        <w:rPr>
          <w:rFonts w:ascii="Times New Roman" w:hAnsi="Times New Roman"/>
        </w:rPr>
        <w:t xml:space="preserve"> received prior chemotherapy and anti-CD20 monoclonal antibody therapy; </w:t>
      </w:r>
      <w:r w:rsidR="00867BED" w:rsidRPr="00A44065">
        <w:rPr>
          <w:rFonts w:ascii="Times New Roman" w:hAnsi="Times New Roman"/>
        </w:rPr>
        <w:t>33.5</w:t>
      </w:r>
      <w:r w:rsidRPr="00A44065">
        <w:rPr>
          <w:rFonts w:ascii="Times New Roman" w:hAnsi="Times New Roman"/>
        </w:rPr>
        <w:t xml:space="preserve">% of patients had received prior CAR T-cell therapy, and </w:t>
      </w:r>
      <w:r w:rsidR="00867BED" w:rsidRPr="00A44065">
        <w:rPr>
          <w:rFonts w:ascii="Times New Roman" w:hAnsi="Times New Roman"/>
        </w:rPr>
        <w:t>18.1</w:t>
      </w:r>
      <w:r w:rsidRPr="00A44065">
        <w:rPr>
          <w:rFonts w:ascii="Times New Roman" w:hAnsi="Times New Roman"/>
        </w:rPr>
        <w:t xml:space="preserve">% of patients had received autologous stem cell transplant.  </w:t>
      </w:r>
      <w:r w:rsidRPr="00A44065">
        <w:rPr>
          <w:rFonts w:ascii="Times New Roman" w:hAnsi="Times New Roman"/>
          <w:shd w:val="clear" w:color="auto" w:fill="FFFFFF" w:themeFill="background1"/>
        </w:rPr>
        <w:t>Most patients (</w:t>
      </w:r>
      <w:r w:rsidR="00867BED" w:rsidRPr="00A44065">
        <w:rPr>
          <w:rFonts w:ascii="Times New Roman" w:hAnsi="Times New Roman"/>
          <w:shd w:val="clear" w:color="auto" w:fill="FFFFFF" w:themeFill="background1"/>
        </w:rPr>
        <w:t>89.7</w:t>
      </w:r>
      <w:r w:rsidRPr="00A44065">
        <w:rPr>
          <w:rFonts w:ascii="Times New Roman" w:hAnsi="Times New Roman"/>
          <w:shd w:val="clear" w:color="auto" w:fill="FFFFFF" w:themeFill="background1"/>
        </w:rPr>
        <w:t xml:space="preserve">%) had refractory disease, </w:t>
      </w:r>
      <w:r w:rsidR="00867BED" w:rsidRPr="00A44065">
        <w:rPr>
          <w:rFonts w:ascii="Times New Roman" w:hAnsi="Times New Roman"/>
          <w:shd w:val="clear" w:color="auto" w:fill="FFFFFF" w:themeFill="background1"/>
        </w:rPr>
        <w:t>58.7</w:t>
      </w:r>
      <w:r w:rsidRPr="00A44065">
        <w:rPr>
          <w:rFonts w:ascii="Times New Roman" w:hAnsi="Times New Roman"/>
          <w:shd w:val="clear" w:color="auto" w:fill="FFFFFF" w:themeFill="background1"/>
        </w:rPr>
        <w:t xml:space="preserve">% patients had primary refractory disease, and </w:t>
      </w:r>
      <w:r w:rsidR="00867BED" w:rsidRPr="00A44065">
        <w:rPr>
          <w:rFonts w:ascii="Times New Roman" w:hAnsi="Times New Roman"/>
          <w:shd w:val="clear" w:color="auto" w:fill="FFFFFF" w:themeFill="background1"/>
        </w:rPr>
        <w:t>84.5</w:t>
      </w:r>
      <w:r w:rsidRPr="00A44065">
        <w:rPr>
          <w:rFonts w:ascii="Times New Roman" w:hAnsi="Times New Roman"/>
          <w:shd w:val="clear" w:color="auto" w:fill="FFFFFF" w:themeFill="background1"/>
        </w:rPr>
        <w:t>% of patients were refractory to their last prior therapy</w:t>
      </w:r>
      <w:r w:rsidR="00867BED" w:rsidRPr="00A44065">
        <w:rPr>
          <w:rFonts w:ascii="Times New Roman" w:hAnsi="Times New Roman"/>
          <w:shd w:val="clear" w:color="auto" w:fill="FFFFFF" w:themeFill="background1"/>
        </w:rPr>
        <w:t>, and. 88.5% of patients who received prior CAR T-cell therapy were refractory to CAR T-cell therapy</w:t>
      </w:r>
      <w:r w:rsidRPr="00A44065">
        <w:rPr>
          <w:rFonts w:ascii="Times New Roman" w:hAnsi="Times New Roman"/>
          <w:shd w:val="clear" w:color="auto" w:fill="FFFFFF" w:themeFill="background1"/>
        </w:rPr>
        <w:t>.</w:t>
      </w:r>
      <w:r w:rsidR="00A44065">
        <w:rPr>
          <w:rFonts w:ascii="Times New Roman" w:hAnsi="Times New Roman"/>
          <w:shd w:val="clear" w:color="auto" w:fill="FFFFFF" w:themeFill="background1"/>
        </w:rPr>
        <w:t xml:space="preserve"> </w:t>
      </w:r>
      <w:r w:rsidR="00A44065" w:rsidRPr="00D94B92">
        <w:rPr>
          <w:rFonts w:ascii="Times New Roman" w:hAnsi="Times New Roman"/>
          <w:shd w:val="clear" w:color="auto" w:fill="FFFFFF" w:themeFill="background1"/>
        </w:rPr>
        <w:t>There is limited experien</w:t>
      </w:r>
      <w:r w:rsidR="00A44065">
        <w:rPr>
          <w:rFonts w:ascii="Times New Roman" w:hAnsi="Times New Roman"/>
          <w:shd w:val="clear" w:color="auto" w:fill="FFFFFF" w:themeFill="background1"/>
        </w:rPr>
        <w:t xml:space="preserve">ce of use of </w:t>
      </w:r>
      <w:proofErr w:type="spellStart"/>
      <w:r w:rsidR="00A44065">
        <w:rPr>
          <w:rFonts w:ascii="Times New Roman" w:hAnsi="Times New Roman"/>
          <w:shd w:val="clear" w:color="auto" w:fill="FFFFFF" w:themeFill="background1"/>
        </w:rPr>
        <w:t>Columvi</w:t>
      </w:r>
      <w:proofErr w:type="spellEnd"/>
      <w:r w:rsidR="00A44065">
        <w:rPr>
          <w:rFonts w:ascii="Times New Roman" w:hAnsi="Times New Roman"/>
          <w:shd w:val="clear" w:color="auto" w:fill="FFFFFF" w:themeFill="background1"/>
        </w:rPr>
        <w:t xml:space="preserve"> in </w:t>
      </w:r>
      <w:r w:rsidR="00A44065" w:rsidRPr="00D94B92">
        <w:rPr>
          <w:rFonts w:ascii="Times New Roman" w:hAnsi="Times New Roman"/>
          <w:shd w:val="clear" w:color="auto" w:fill="FFFFFF" w:themeFill="background1"/>
        </w:rPr>
        <w:t xml:space="preserve">patients who received subsequent allogeneic </w:t>
      </w:r>
      <w:r w:rsidR="00A44065">
        <w:rPr>
          <w:rFonts w:ascii="Times New Roman" w:hAnsi="Times New Roman"/>
          <w:shd w:val="clear" w:color="auto" w:fill="FFFFFF" w:themeFill="background1"/>
        </w:rPr>
        <w:t>stem cell transplant</w:t>
      </w:r>
      <w:r w:rsidR="00A44065" w:rsidRPr="00D94B92">
        <w:rPr>
          <w:rFonts w:ascii="Times New Roman" w:hAnsi="Times New Roman"/>
          <w:shd w:val="clear" w:color="auto" w:fill="FFFFFF" w:themeFill="background1"/>
        </w:rPr>
        <w:t xml:space="preserve"> following </w:t>
      </w:r>
      <w:proofErr w:type="spellStart"/>
      <w:r w:rsidR="00A44065" w:rsidRPr="00D94B92">
        <w:rPr>
          <w:rFonts w:ascii="Times New Roman" w:hAnsi="Times New Roman"/>
          <w:shd w:val="clear" w:color="auto" w:fill="FFFFFF" w:themeFill="background1"/>
        </w:rPr>
        <w:t>Columvi</w:t>
      </w:r>
      <w:proofErr w:type="spellEnd"/>
      <w:r w:rsidR="00A44065" w:rsidRPr="00D94B92">
        <w:rPr>
          <w:rFonts w:ascii="Times New Roman" w:hAnsi="Times New Roman"/>
          <w:shd w:val="clear" w:color="auto" w:fill="FFFFFF" w:themeFill="background1"/>
        </w:rPr>
        <w:t>.</w:t>
      </w:r>
    </w:p>
    <w:p w14:paraId="2215F469" w14:textId="75FEAC14" w:rsidR="003320D4" w:rsidRPr="00A44065" w:rsidRDefault="003320D4" w:rsidP="003320D4">
      <w:pPr>
        <w:pStyle w:val="Paragraph"/>
        <w:rPr>
          <w:rFonts w:ascii="Times New Roman" w:hAnsi="Times New Roman"/>
        </w:rPr>
      </w:pPr>
      <w:r w:rsidRPr="00A44065">
        <w:rPr>
          <w:rFonts w:ascii="Times New Roman" w:hAnsi="Times New Roman"/>
        </w:rPr>
        <w:t>The overall median duration of follow-up was</w:t>
      </w:r>
      <w:r w:rsidR="00867BED" w:rsidRPr="00A44065">
        <w:rPr>
          <w:rFonts w:ascii="Times New Roman" w:hAnsi="Times New Roman"/>
        </w:rPr>
        <w:t xml:space="preserve"> 13.4</w:t>
      </w:r>
      <w:r w:rsidRPr="00A44065">
        <w:rPr>
          <w:rFonts w:ascii="Times New Roman" w:hAnsi="Times New Roman"/>
        </w:rPr>
        <w:t xml:space="preserve"> months (range: 0 to </w:t>
      </w:r>
      <w:r w:rsidR="00867BED" w:rsidRPr="00A44065">
        <w:rPr>
          <w:rFonts w:ascii="Times New Roman" w:hAnsi="Times New Roman"/>
        </w:rPr>
        <w:t xml:space="preserve">28 </w:t>
      </w:r>
      <w:r w:rsidRPr="00A44065">
        <w:rPr>
          <w:rFonts w:ascii="Times New Roman" w:hAnsi="Times New Roman"/>
        </w:rPr>
        <w:t xml:space="preserve">months).  Median duration of follow-up from the date of first response per Independent Review Committee (IRC) assessment was </w:t>
      </w:r>
      <w:r w:rsidR="00867BED" w:rsidRPr="00A44065">
        <w:rPr>
          <w:rFonts w:ascii="Times New Roman" w:hAnsi="Times New Roman"/>
        </w:rPr>
        <w:t>12.0</w:t>
      </w:r>
      <w:r w:rsidRPr="00A44065">
        <w:rPr>
          <w:rFonts w:ascii="Times New Roman" w:hAnsi="Times New Roman"/>
        </w:rPr>
        <w:t xml:space="preserve"> months (range: 0 to </w:t>
      </w:r>
      <w:r w:rsidR="00867BED" w:rsidRPr="00A44065">
        <w:rPr>
          <w:rFonts w:ascii="Times New Roman" w:hAnsi="Times New Roman"/>
        </w:rPr>
        <w:t>27</w:t>
      </w:r>
      <w:r w:rsidRPr="00A44065">
        <w:rPr>
          <w:rFonts w:ascii="Times New Roman" w:hAnsi="Times New Roman"/>
        </w:rPr>
        <w:t> months).</w:t>
      </w:r>
    </w:p>
    <w:p w14:paraId="3F4E18B7" w14:textId="77777777" w:rsidR="003320D4" w:rsidRPr="00A44065" w:rsidRDefault="003320D4" w:rsidP="003320D4">
      <w:pPr>
        <w:pStyle w:val="Paragraph"/>
        <w:rPr>
          <w:rFonts w:ascii="Times New Roman" w:hAnsi="Times New Roman"/>
        </w:rPr>
      </w:pPr>
      <w:r w:rsidRPr="00A44065">
        <w:rPr>
          <w:rFonts w:ascii="Times New Roman" w:hAnsi="Times New Roman"/>
        </w:rPr>
        <w:lastRenderedPageBreak/>
        <w:t>The primary efficacy outcome measure was complete response (CR) rate as assessed by IRC using 2014 Lugano criteria. The secondary efficacy outcome measures included Investigator (INV)-assessed CR, and overall response rate (ORR), duration of response (DOR), duration of complete response (DOCR), time to first response (TFOR), time to first complete response (TFCR), overall survival (OS), and progression-free survival (PFS), as assessed by IRC and by INV.</w:t>
      </w:r>
    </w:p>
    <w:p w14:paraId="321703A4" w14:textId="3B53173D" w:rsidR="003320D4" w:rsidRPr="0008620B" w:rsidRDefault="00FF21DD" w:rsidP="003320D4">
      <w:pPr>
        <w:pStyle w:val="Paragraph"/>
        <w:rPr>
          <w:rFonts w:ascii="Times New Roman" w:hAnsi="Times New Roman"/>
        </w:rPr>
      </w:pPr>
      <w:r w:rsidRPr="00A44065">
        <w:rPr>
          <w:rFonts w:ascii="Times New Roman" w:hAnsi="Times New Roman"/>
        </w:rPr>
        <w:t xml:space="preserve">Efficacy results are </w:t>
      </w:r>
      <w:proofErr w:type="spellStart"/>
      <w:r w:rsidRPr="00A44065">
        <w:rPr>
          <w:rFonts w:ascii="Times New Roman" w:hAnsi="Times New Roman"/>
        </w:rPr>
        <w:t>summaris</w:t>
      </w:r>
      <w:r w:rsidR="003320D4" w:rsidRPr="00A44065">
        <w:rPr>
          <w:rFonts w:ascii="Times New Roman" w:hAnsi="Times New Roman"/>
        </w:rPr>
        <w:t>ed</w:t>
      </w:r>
      <w:proofErr w:type="spellEnd"/>
      <w:r w:rsidR="003320D4" w:rsidRPr="00A44065">
        <w:rPr>
          <w:rFonts w:ascii="Times New Roman" w:hAnsi="Times New Roman"/>
        </w:rPr>
        <w:t xml:space="preserve"> in </w:t>
      </w:r>
      <w:r w:rsidR="0010546D" w:rsidRPr="0008620B">
        <w:rPr>
          <w:rFonts w:ascii="Times New Roman" w:hAnsi="Times New Roman"/>
        </w:rPr>
        <w:fldChar w:fldCharType="begin"/>
      </w:r>
      <w:r w:rsidR="0010546D" w:rsidRPr="00A44065">
        <w:rPr>
          <w:rFonts w:ascii="Times New Roman" w:hAnsi="Times New Roman"/>
        </w:rPr>
        <w:instrText xml:space="preserve"> REF \* CHARFORMAT _Ref90476372  \* MERGEFORMAT </w:instrText>
      </w:r>
      <w:r w:rsidR="0010546D" w:rsidRPr="0008620B">
        <w:rPr>
          <w:rFonts w:ascii="Times New Roman" w:hAnsi="Times New Roman"/>
        </w:rPr>
        <w:fldChar w:fldCharType="separate"/>
      </w:r>
      <w:r w:rsidR="0010546D" w:rsidRPr="0008620B">
        <w:rPr>
          <w:rFonts w:ascii="Times New Roman" w:hAnsi="Times New Roman"/>
        </w:rPr>
        <w:t>Table 6</w:t>
      </w:r>
      <w:r w:rsidR="0010546D" w:rsidRPr="0008620B">
        <w:rPr>
          <w:rFonts w:ascii="Times New Roman" w:hAnsi="Times New Roman"/>
        </w:rPr>
        <w:fldChar w:fldCharType="end"/>
      </w:r>
      <w:r w:rsidR="003320D4" w:rsidRPr="0008620B">
        <w:rPr>
          <w:rFonts w:ascii="Times New Roman" w:hAnsi="Times New Roman"/>
        </w:rPr>
        <w:t>.</w:t>
      </w:r>
    </w:p>
    <w:p w14:paraId="37F37848" w14:textId="461C6FB4" w:rsidR="003320D4" w:rsidRPr="0008620B" w:rsidRDefault="003320D4" w:rsidP="003320D4">
      <w:pPr>
        <w:pStyle w:val="TableTitle"/>
        <w:pageBreakBefore/>
        <w:rPr>
          <w:rFonts w:ascii="Times New Roman" w:hAnsi="Times New Roman"/>
        </w:rPr>
      </w:pPr>
      <w:bookmarkStart w:id="9" w:name="_Ref90476372"/>
      <w:r w:rsidRPr="0008620B">
        <w:rPr>
          <w:rFonts w:ascii="Times New Roman" w:hAnsi="Times New Roman"/>
        </w:rPr>
        <w:lastRenderedPageBreak/>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6</w:t>
      </w:r>
      <w:r w:rsidRPr="0008620B">
        <w:rPr>
          <w:rFonts w:ascii="Times New Roman" w:hAnsi="Times New Roman"/>
        </w:rPr>
        <w:fldChar w:fldCharType="end"/>
      </w:r>
      <w:bookmarkEnd w:id="9"/>
      <w:r w:rsidRPr="0008620B">
        <w:rPr>
          <w:rFonts w:ascii="Times New Roman" w:hAnsi="Times New Roman"/>
        </w:rPr>
        <w:tab/>
        <w:t xml:space="preserve">Efficacy in Patients with Relapsed or Refractory DLBCL Treated with </w:t>
      </w:r>
      <w:proofErr w:type="spellStart"/>
      <w:r w:rsidR="00B719B6" w:rsidRPr="0008620B">
        <w:rPr>
          <w:rFonts w:ascii="Times New Roman" w:hAnsi="Times New Roman"/>
        </w:rPr>
        <w:t>Columvi</w:t>
      </w:r>
      <w:proofErr w:type="spellEnd"/>
      <w:r w:rsidRPr="0008620B">
        <w:rPr>
          <w:rFonts w:ascii="Times New Roman" w:hAnsi="Times New Roman"/>
        </w:rPr>
        <w:t xml:space="preserve"> Monotherapy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2517"/>
        <w:gridCol w:w="2503"/>
      </w:tblGrid>
      <w:tr w:rsidR="003320D4" w:rsidRPr="00A44065" w14:paraId="61822D46" w14:textId="77777777" w:rsidTr="003320D4">
        <w:trPr>
          <w:cantSplit/>
          <w:trHeight w:val="484"/>
        </w:trPr>
        <w:tc>
          <w:tcPr>
            <w:tcW w:w="2216" w:type="pct"/>
            <w:shd w:val="clear" w:color="auto" w:fill="auto"/>
            <w:vAlign w:val="center"/>
          </w:tcPr>
          <w:p w14:paraId="125A237F" w14:textId="77777777" w:rsidR="003320D4" w:rsidRPr="00A44065" w:rsidRDefault="003320D4" w:rsidP="003320D4">
            <w:pPr>
              <w:tabs>
                <w:tab w:val="left" w:pos="284"/>
              </w:tabs>
              <w:spacing w:before="40" w:after="40"/>
              <w:rPr>
                <w:rFonts w:eastAsia="MS Mincho"/>
                <w:b/>
                <w:color w:val="auto"/>
                <w:sz w:val="20"/>
                <w:szCs w:val="20"/>
              </w:rPr>
            </w:pPr>
            <w:r w:rsidRPr="00A44065">
              <w:rPr>
                <w:rFonts w:eastAsia="MS Mincho"/>
                <w:b/>
                <w:color w:val="auto"/>
                <w:sz w:val="20"/>
                <w:szCs w:val="20"/>
              </w:rPr>
              <w:t>Efficacy Endpoints</w:t>
            </w:r>
          </w:p>
        </w:tc>
        <w:tc>
          <w:tcPr>
            <w:tcW w:w="2784" w:type="pct"/>
            <w:gridSpan w:val="2"/>
            <w:shd w:val="clear" w:color="auto" w:fill="auto"/>
            <w:vAlign w:val="center"/>
          </w:tcPr>
          <w:p w14:paraId="2710819A" w14:textId="4BF630B8" w:rsidR="003320D4" w:rsidRPr="00A44065" w:rsidRDefault="00B719B6" w:rsidP="003320D4">
            <w:pPr>
              <w:tabs>
                <w:tab w:val="left" w:pos="284"/>
              </w:tabs>
              <w:spacing w:before="40" w:after="40"/>
              <w:jc w:val="center"/>
              <w:rPr>
                <w:rFonts w:eastAsia="MS Mincho"/>
                <w:b/>
                <w:color w:val="auto"/>
                <w:sz w:val="20"/>
                <w:szCs w:val="20"/>
              </w:rPr>
            </w:pPr>
            <w:proofErr w:type="spellStart"/>
            <w:r w:rsidRPr="00A44065">
              <w:rPr>
                <w:rFonts w:eastAsia="MS Mincho"/>
                <w:b/>
                <w:color w:val="auto"/>
                <w:sz w:val="20"/>
                <w:szCs w:val="20"/>
              </w:rPr>
              <w:t>Columvi</w:t>
            </w:r>
            <w:proofErr w:type="spellEnd"/>
          </w:p>
          <w:p w14:paraId="3F48A8D8" w14:textId="3EB7E500" w:rsidR="003320D4" w:rsidRPr="00A44065" w:rsidRDefault="003320D4" w:rsidP="00A44065">
            <w:pPr>
              <w:tabs>
                <w:tab w:val="left" w:pos="284"/>
              </w:tabs>
              <w:spacing w:before="40" w:after="40"/>
              <w:jc w:val="center"/>
              <w:rPr>
                <w:rFonts w:eastAsia="MS Mincho"/>
                <w:b/>
                <w:color w:val="auto"/>
                <w:sz w:val="20"/>
                <w:szCs w:val="20"/>
              </w:rPr>
            </w:pPr>
            <w:r w:rsidRPr="00A44065">
              <w:rPr>
                <w:rFonts w:eastAsia="MS Mincho"/>
                <w:b/>
                <w:color w:val="auto"/>
                <w:sz w:val="20"/>
                <w:szCs w:val="20"/>
              </w:rPr>
              <w:t>N=</w:t>
            </w:r>
            <w:r w:rsidR="00A44065">
              <w:rPr>
                <w:rFonts w:eastAsia="MS Mincho"/>
                <w:b/>
                <w:color w:val="auto"/>
                <w:sz w:val="20"/>
                <w:szCs w:val="20"/>
              </w:rPr>
              <w:t>155</w:t>
            </w:r>
          </w:p>
        </w:tc>
      </w:tr>
      <w:tr w:rsidR="003320D4" w:rsidRPr="00A44065" w14:paraId="2AA74DAD" w14:textId="77777777" w:rsidTr="003320D4">
        <w:trPr>
          <w:cantSplit/>
        </w:trPr>
        <w:tc>
          <w:tcPr>
            <w:tcW w:w="5000" w:type="pct"/>
            <w:gridSpan w:val="3"/>
            <w:tcBorders>
              <w:bottom w:val="single" w:sz="4" w:space="0" w:color="auto"/>
            </w:tcBorders>
            <w:shd w:val="clear" w:color="auto" w:fill="auto"/>
          </w:tcPr>
          <w:p w14:paraId="5A0FC938" w14:textId="77777777" w:rsidR="003320D4" w:rsidRPr="00A44065" w:rsidRDefault="003320D4" w:rsidP="003320D4">
            <w:pPr>
              <w:tabs>
                <w:tab w:val="left" w:pos="284"/>
              </w:tabs>
              <w:spacing w:before="40" w:after="40"/>
              <w:jc w:val="both"/>
              <w:rPr>
                <w:rFonts w:eastAsia="MS Mincho"/>
                <w:b/>
                <w:i/>
                <w:color w:val="auto"/>
                <w:sz w:val="20"/>
                <w:szCs w:val="20"/>
              </w:rPr>
            </w:pPr>
            <w:r w:rsidRPr="00A44065">
              <w:rPr>
                <w:rFonts w:eastAsia="MS Mincho"/>
                <w:b/>
                <w:i/>
                <w:color w:val="auto"/>
                <w:sz w:val="20"/>
                <w:szCs w:val="20"/>
              </w:rPr>
              <w:t>Primary Endpoint</w:t>
            </w:r>
          </w:p>
        </w:tc>
      </w:tr>
      <w:tr w:rsidR="003320D4" w:rsidRPr="00A44065" w14:paraId="39671FFB" w14:textId="77777777" w:rsidTr="003320D4">
        <w:trPr>
          <w:cantSplit/>
        </w:trPr>
        <w:tc>
          <w:tcPr>
            <w:tcW w:w="2216" w:type="pct"/>
            <w:tcBorders>
              <w:bottom w:val="nil"/>
              <w:right w:val="nil"/>
            </w:tcBorders>
            <w:shd w:val="clear" w:color="auto" w:fill="auto"/>
          </w:tcPr>
          <w:p w14:paraId="6F5BA1A3" w14:textId="77777777" w:rsidR="003320D4" w:rsidRPr="00A44065" w:rsidRDefault="003320D4" w:rsidP="003320D4">
            <w:pPr>
              <w:tabs>
                <w:tab w:val="left" w:pos="284"/>
              </w:tabs>
              <w:spacing w:before="20" w:after="20"/>
              <w:rPr>
                <w:rFonts w:eastAsia="MS Mincho"/>
                <w:b/>
                <w:color w:val="auto"/>
                <w:sz w:val="20"/>
                <w:szCs w:val="20"/>
              </w:rPr>
            </w:pPr>
            <w:r w:rsidRPr="00A44065">
              <w:rPr>
                <w:rFonts w:eastAsia="MS Mincho"/>
                <w:b/>
                <w:color w:val="auto"/>
                <w:sz w:val="20"/>
                <w:szCs w:val="20"/>
              </w:rPr>
              <w:t xml:space="preserve">IRC-Assessed </w:t>
            </w:r>
            <w:r w:rsidRPr="00A44065">
              <w:rPr>
                <w:rFonts w:eastAsia="MS Mincho"/>
                <w:b/>
                <w:bCs/>
                <w:color w:val="auto"/>
                <w:sz w:val="20"/>
                <w:szCs w:val="20"/>
              </w:rPr>
              <w:t>Complete Response</w:t>
            </w:r>
          </w:p>
        </w:tc>
        <w:tc>
          <w:tcPr>
            <w:tcW w:w="2784" w:type="pct"/>
            <w:gridSpan w:val="2"/>
            <w:tcBorders>
              <w:left w:val="nil"/>
              <w:bottom w:val="nil"/>
            </w:tcBorders>
            <w:shd w:val="clear" w:color="auto" w:fill="auto"/>
          </w:tcPr>
          <w:p w14:paraId="2954E879" w14:textId="77777777" w:rsidR="003320D4" w:rsidRPr="00A44065" w:rsidRDefault="003320D4" w:rsidP="003320D4">
            <w:pPr>
              <w:tabs>
                <w:tab w:val="left" w:pos="284"/>
              </w:tabs>
              <w:spacing w:before="20" w:after="20"/>
              <w:jc w:val="center"/>
              <w:rPr>
                <w:rFonts w:eastAsia="MS Mincho"/>
                <w:color w:val="auto"/>
                <w:sz w:val="20"/>
                <w:szCs w:val="20"/>
              </w:rPr>
            </w:pPr>
          </w:p>
        </w:tc>
      </w:tr>
      <w:tr w:rsidR="00867BED" w:rsidRPr="00A44065" w14:paraId="6ACF2DA9" w14:textId="77777777" w:rsidTr="003320D4">
        <w:trPr>
          <w:cantSplit/>
        </w:trPr>
        <w:tc>
          <w:tcPr>
            <w:tcW w:w="2216" w:type="pct"/>
            <w:tcBorders>
              <w:top w:val="nil"/>
              <w:bottom w:val="nil"/>
              <w:right w:val="nil"/>
            </w:tcBorders>
            <w:shd w:val="clear" w:color="auto" w:fill="auto"/>
          </w:tcPr>
          <w:p w14:paraId="4442B899"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CR, n (%)</w:t>
            </w:r>
          </w:p>
        </w:tc>
        <w:tc>
          <w:tcPr>
            <w:tcW w:w="2784" w:type="pct"/>
            <w:gridSpan w:val="2"/>
            <w:tcBorders>
              <w:top w:val="nil"/>
              <w:left w:val="nil"/>
              <w:bottom w:val="nil"/>
            </w:tcBorders>
            <w:shd w:val="clear" w:color="auto" w:fill="auto"/>
          </w:tcPr>
          <w:p w14:paraId="4EB0AC4F" w14:textId="2FD908E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62 (40.0)</w:t>
            </w:r>
          </w:p>
        </w:tc>
      </w:tr>
      <w:tr w:rsidR="00867BED" w:rsidRPr="00A44065" w14:paraId="263E7D36" w14:textId="77777777" w:rsidTr="003320D4">
        <w:trPr>
          <w:cantSplit/>
        </w:trPr>
        <w:tc>
          <w:tcPr>
            <w:tcW w:w="2216" w:type="pct"/>
            <w:tcBorders>
              <w:top w:val="nil"/>
              <w:right w:val="nil"/>
            </w:tcBorders>
            <w:shd w:val="clear" w:color="auto" w:fill="auto"/>
          </w:tcPr>
          <w:p w14:paraId="291799DE"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2784" w:type="pct"/>
            <w:gridSpan w:val="2"/>
            <w:tcBorders>
              <w:top w:val="nil"/>
              <w:left w:val="nil"/>
            </w:tcBorders>
            <w:shd w:val="clear" w:color="auto" w:fill="auto"/>
          </w:tcPr>
          <w:p w14:paraId="09769BAA" w14:textId="3436EF2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[32.22, 48.17]</w:t>
            </w:r>
          </w:p>
        </w:tc>
      </w:tr>
      <w:tr w:rsidR="00867BED" w:rsidRPr="00A44065" w14:paraId="74F3C48F" w14:textId="77777777" w:rsidTr="003320D4">
        <w:trPr>
          <w:cantSplit/>
        </w:trPr>
        <w:tc>
          <w:tcPr>
            <w:tcW w:w="5000" w:type="pct"/>
            <w:gridSpan w:val="3"/>
            <w:tcBorders>
              <w:bottom w:val="single" w:sz="4" w:space="0" w:color="auto"/>
            </w:tcBorders>
            <w:shd w:val="clear" w:color="auto" w:fill="auto"/>
          </w:tcPr>
          <w:p w14:paraId="465639CA" w14:textId="77777777" w:rsidR="00867BED" w:rsidRPr="00A44065" w:rsidRDefault="00867BED" w:rsidP="00867BED">
            <w:pPr>
              <w:tabs>
                <w:tab w:val="left" w:pos="284"/>
              </w:tabs>
              <w:spacing w:before="40" w:after="40"/>
              <w:rPr>
                <w:color w:val="auto"/>
              </w:rPr>
            </w:pPr>
            <w:r w:rsidRPr="00A44065">
              <w:rPr>
                <w:rFonts w:eastAsia="MS Mincho"/>
                <w:b/>
                <w:i/>
                <w:color w:val="auto"/>
                <w:sz w:val="20"/>
                <w:szCs w:val="20"/>
              </w:rPr>
              <w:t>Secondary Endpoints</w:t>
            </w:r>
          </w:p>
        </w:tc>
      </w:tr>
      <w:tr w:rsidR="00867BED" w:rsidRPr="00A44065" w14:paraId="026D4E36" w14:textId="77777777" w:rsidTr="003320D4">
        <w:trPr>
          <w:cantSplit/>
        </w:trPr>
        <w:tc>
          <w:tcPr>
            <w:tcW w:w="2216" w:type="pct"/>
            <w:tcBorders>
              <w:bottom w:val="nil"/>
              <w:right w:val="nil"/>
            </w:tcBorders>
            <w:shd w:val="clear" w:color="auto" w:fill="auto"/>
          </w:tcPr>
          <w:p w14:paraId="46C89B68" w14:textId="77777777" w:rsidR="00867BED" w:rsidRPr="00A44065" w:rsidRDefault="00867BED" w:rsidP="00867BED">
            <w:pPr>
              <w:tabs>
                <w:tab w:val="left" w:pos="284"/>
              </w:tabs>
              <w:spacing w:before="20" w:after="20"/>
              <w:ind w:left="288" w:hanging="262"/>
              <w:rPr>
                <w:rFonts w:eastAsia="MS Mincho"/>
                <w:color w:val="auto"/>
                <w:sz w:val="20"/>
                <w:szCs w:val="20"/>
              </w:rPr>
            </w:pPr>
            <w:r w:rsidRPr="00A44065">
              <w:rPr>
                <w:rFonts w:eastAsia="MS Mincho"/>
                <w:b/>
                <w:color w:val="auto"/>
                <w:sz w:val="20"/>
                <w:szCs w:val="20"/>
              </w:rPr>
              <w:t xml:space="preserve">INV-Assessed </w:t>
            </w:r>
            <w:r w:rsidRPr="00A44065">
              <w:rPr>
                <w:rFonts w:eastAsia="MS Mincho"/>
                <w:b/>
                <w:bCs/>
                <w:color w:val="auto"/>
                <w:sz w:val="20"/>
                <w:szCs w:val="20"/>
              </w:rPr>
              <w:t>Complete Response</w:t>
            </w:r>
          </w:p>
        </w:tc>
        <w:tc>
          <w:tcPr>
            <w:tcW w:w="2784" w:type="pct"/>
            <w:gridSpan w:val="2"/>
            <w:tcBorders>
              <w:left w:val="nil"/>
              <w:bottom w:val="nil"/>
            </w:tcBorders>
            <w:shd w:val="clear" w:color="auto" w:fill="auto"/>
          </w:tcPr>
          <w:p w14:paraId="18FECF8F" w14:textId="77777777" w:rsidR="00867BED" w:rsidRPr="00A44065" w:rsidRDefault="00867BED" w:rsidP="00867BED">
            <w:pPr>
              <w:pStyle w:val="TableCell10Center"/>
              <w:keepNext w:val="0"/>
              <w:keepLines w:val="0"/>
              <w:spacing w:before="20" w:after="20" w:line="240" w:lineRule="auto"/>
              <w:rPr>
                <w:rFonts w:ascii="Times New Roman" w:hAnsi="Times New Roman"/>
              </w:rPr>
            </w:pPr>
          </w:p>
        </w:tc>
      </w:tr>
      <w:tr w:rsidR="00867BED" w:rsidRPr="00A44065" w14:paraId="6C5E1FE6" w14:textId="77777777" w:rsidTr="003320D4">
        <w:trPr>
          <w:cantSplit/>
        </w:trPr>
        <w:tc>
          <w:tcPr>
            <w:tcW w:w="2216" w:type="pct"/>
            <w:tcBorders>
              <w:top w:val="nil"/>
              <w:bottom w:val="nil"/>
              <w:right w:val="nil"/>
            </w:tcBorders>
            <w:shd w:val="clear" w:color="auto" w:fill="auto"/>
          </w:tcPr>
          <w:p w14:paraId="365E1601" w14:textId="77777777"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color w:val="auto"/>
                <w:sz w:val="20"/>
                <w:szCs w:val="20"/>
              </w:rPr>
              <w:t>Patients with CR, n (%)</w:t>
            </w:r>
          </w:p>
        </w:tc>
        <w:tc>
          <w:tcPr>
            <w:tcW w:w="2784" w:type="pct"/>
            <w:gridSpan w:val="2"/>
            <w:tcBorders>
              <w:top w:val="nil"/>
              <w:left w:val="nil"/>
              <w:bottom w:val="nil"/>
            </w:tcBorders>
            <w:shd w:val="clear" w:color="auto" w:fill="auto"/>
          </w:tcPr>
          <w:p w14:paraId="527EFA88" w14:textId="3A81098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59 (38.1)</w:t>
            </w:r>
          </w:p>
        </w:tc>
      </w:tr>
      <w:tr w:rsidR="00867BED" w:rsidRPr="00A44065" w14:paraId="02869845" w14:textId="77777777" w:rsidTr="003320D4">
        <w:trPr>
          <w:cantSplit/>
        </w:trPr>
        <w:tc>
          <w:tcPr>
            <w:tcW w:w="2216" w:type="pct"/>
            <w:tcBorders>
              <w:top w:val="nil"/>
              <w:bottom w:val="single" w:sz="4" w:space="0" w:color="auto"/>
              <w:right w:val="nil"/>
            </w:tcBorders>
            <w:shd w:val="clear" w:color="auto" w:fill="auto"/>
          </w:tcPr>
          <w:p w14:paraId="71FABB5B"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2784" w:type="pct"/>
            <w:gridSpan w:val="2"/>
            <w:tcBorders>
              <w:top w:val="nil"/>
              <w:left w:val="nil"/>
              <w:bottom w:val="single" w:sz="4" w:space="0" w:color="auto"/>
            </w:tcBorders>
            <w:shd w:val="clear" w:color="auto" w:fill="auto"/>
          </w:tcPr>
          <w:p w14:paraId="3AF27530" w14:textId="03574488"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[30.39, 46.20]</w:t>
            </w:r>
          </w:p>
        </w:tc>
      </w:tr>
      <w:tr w:rsidR="003320D4" w:rsidRPr="00A44065" w14:paraId="4EF63F7E" w14:textId="77777777" w:rsidTr="003320D4">
        <w:trPr>
          <w:cantSplit/>
        </w:trPr>
        <w:tc>
          <w:tcPr>
            <w:tcW w:w="2216" w:type="pct"/>
            <w:tcBorders>
              <w:bottom w:val="nil"/>
              <w:right w:val="nil"/>
            </w:tcBorders>
            <w:shd w:val="clear" w:color="auto" w:fill="auto"/>
          </w:tcPr>
          <w:p w14:paraId="008C3CC7" w14:textId="77777777" w:rsidR="003320D4" w:rsidRPr="00A44065" w:rsidRDefault="003320D4" w:rsidP="003320D4">
            <w:pPr>
              <w:tabs>
                <w:tab w:val="left" w:pos="284"/>
              </w:tabs>
              <w:spacing w:before="20" w:after="20"/>
              <w:rPr>
                <w:rFonts w:eastAsia="MS Mincho"/>
                <w:color w:val="auto"/>
                <w:sz w:val="20"/>
                <w:szCs w:val="20"/>
              </w:rPr>
            </w:pPr>
            <w:r w:rsidRPr="00A44065">
              <w:rPr>
                <w:rFonts w:eastAsia="MS Mincho"/>
                <w:b/>
                <w:color w:val="auto"/>
                <w:sz w:val="20"/>
                <w:szCs w:val="20"/>
              </w:rPr>
              <w:t>Overall Response Rate</w:t>
            </w:r>
          </w:p>
        </w:tc>
        <w:tc>
          <w:tcPr>
            <w:tcW w:w="1396" w:type="pct"/>
            <w:tcBorders>
              <w:left w:val="nil"/>
              <w:bottom w:val="nil"/>
              <w:right w:val="nil"/>
            </w:tcBorders>
            <w:shd w:val="clear" w:color="auto" w:fill="auto"/>
          </w:tcPr>
          <w:p w14:paraId="1F044A21" w14:textId="77777777" w:rsidR="003320D4" w:rsidRPr="00A44065" w:rsidRDefault="003320D4" w:rsidP="003320D4">
            <w:pPr>
              <w:pStyle w:val="TableCell10Center"/>
              <w:keepNext w:val="0"/>
              <w:keepLines w:val="0"/>
              <w:spacing w:before="20" w:after="20" w:line="240" w:lineRule="auto"/>
              <w:rPr>
                <w:rFonts w:ascii="Times New Roman" w:hAnsi="Times New Roman"/>
                <w:i/>
              </w:rPr>
            </w:pPr>
            <w:r w:rsidRPr="00A44065">
              <w:rPr>
                <w:rFonts w:ascii="Times New Roman" w:hAnsi="Times New Roman"/>
                <w:i/>
              </w:rPr>
              <w:t>IRC-Assessed</w:t>
            </w:r>
          </w:p>
        </w:tc>
        <w:tc>
          <w:tcPr>
            <w:tcW w:w="1388" w:type="pct"/>
            <w:tcBorders>
              <w:left w:val="nil"/>
              <w:bottom w:val="nil"/>
            </w:tcBorders>
            <w:shd w:val="clear" w:color="auto" w:fill="auto"/>
          </w:tcPr>
          <w:p w14:paraId="029CA86E" w14:textId="77777777" w:rsidR="003320D4" w:rsidRPr="00A44065" w:rsidRDefault="003320D4" w:rsidP="003320D4">
            <w:pPr>
              <w:pStyle w:val="TableCell10Center"/>
              <w:keepNext w:val="0"/>
              <w:keepLines w:val="0"/>
              <w:spacing w:before="20" w:after="20" w:line="240" w:lineRule="auto"/>
              <w:rPr>
                <w:rFonts w:ascii="Times New Roman" w:hAnsi="Times New Roman"/>
                <w:i/>
              </w:rPr>
            </w:pPr>
            <w:r w:rsidRPr="00A44065">
              <w:rPr>
                <w:rFonts w:ascii="Times New Roman" w:hAnsi="Times New Roman"/>
                <w:i/>
              </w:rPr>
              <w:t>INV-Assessed</w:t>
            </w:r>
          </w:p>
        </w:tc>
      </w:tr>
      <w:tr w:rsidR="00867BED" w:rsidRPr="00A44065" w14:paraId="1D7DD8F1"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57EE9775"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CR or PR, n (%)</w:t>
            </w:r>
          </w:p>
        </w:tc>
        <w:tc>
          <w:tcPr>
            <w:tcW w:w="1396" w:type="pct"/>
            <w:shd w:val="clear" w:color="auto" w:fill="auto"/>
          </w:tcPr>
          <w:p w14:paraId="77355205" w14:textId="45ECC9A2"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80 (51.6)</w:t>
            </w:r>
          </w:p>
        </w:tc>
        <w:tc>
          <w:tcPr>
            <w:tcW w:w="1388" w:type="pct"/>
            <w:tcBorders>
              <w:right w:val="single" w:sz="4" w:space="0" w:color="auto"/>
            </w:tcBorders>
            <w:shd w:val="clear" w:color="auto" w:fill="auto"/>
          </w:tcPr>
          <w:p w14:paraId="539886F2" w14:textId="2800167B"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91 (58.7)</w:t>
            </w:r>
          </w:p>
        </w:tc>
      </w:tr>
      <w:tr w:rsidR="00867BED" w:rsidRPr="00A44065" w14:paraId="50393F27"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FF86605"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1396" w:type="pct"/>
            <w:shd w:val="clear" w:color="auto" w:fill="auto"/>
          </w:tcPr>
          <w:p w14:paraId="776ED12A" w14:textId="266B433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[43.46, 59.70]</w:t>
            </w:r>
          </w:p>
        </w:tc>
        <w:tc>
          <w:tcPr>
            <w:tcW w:w="1388" w:type="pct"/>
            <w:tcBorders>
              <w:right w:val="single" w:sz="4" w:space="0" w:color="auto"/>
            </w:tcBorders>
            <w:shd w:val="clear" w:color="auto" w:fill="auto"/>
          </w:tcPr>
          <w:p w14:paraId="715B2221" w14:textId="7BFEDA0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[50.53, 66.55]</w:t>
            </w:r>
          </w:p>
        </w:tc>
      </w:tr>
      <w:tr w:rsidR="00867BED" w:rsidRPr="00A44065" w14:paraId="655D27C6"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3F389C0D"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Partial Response (PR), n (%)</w:t>
            </w:r>
          </w:p>
        </w:tc>
        <w:tc>
          <w:tcPr>
            <w:tcW w:w="1396" w:type="pct"/>
            <w:shd w:val="clear" w:color="auto" w:fill="auto"/>
          </w:tcPr>
          <w:p w14:paraId="79C7733D" w14:textId="7AFFA6E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18 (11.6)</w:t>
            </w:r>
          </w:p>
        </w:tc>
        <w:tc>
          <w:tcPr>
            <w:tcW w:w="1388" w:type="pct"/>
            <w:tcBorders>
              <w:right w:val="single" w:sz="4" w:space="0" w:color="auto"/>
            </w:tcBorders>
            <w:shd w:val="clear" w:color="auto" w:fill="auto"/>
          </w:tcPr>
          <w:p w14:paraId="739CE72A" w14:textId="3CB2835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32 (20.6)</w:t>
            </w:r>
          </w:p>
        </w:tc>
      </w:tr>
      <w:tr w:rsidR="00867BED" w:rsidRPr="00A44065" w14:paraId="6C3EAAE9"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bottom w:val="single" w:sz="4" w:space="0" w:color="auto"/>
            </w:tcBorders>
            <w:shd w:val="clear" w:color="auto" w:fill="auto"/>
          </w:tcPr>
          <w:p w14:paraId="41CBB7F6"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1396" w:type="pct"/>
            <w:tcBorders>
              <w:bottom w:val="single" w:sz="4" w:space="0" w:color="auto"/>
            </w:tcBorders>
            <w:shd w:val="clear" w:color="auto" w:fill="auto"/>
          </w:tcPr>
          <w:p w14:paraId="3F5D3AD3" w14:textId="2766A7C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[7.03, 17.73]</w:t>
            </w:r>
          </w:p>
        </w:tc>
        <w:tc>
          <w:tcPr>
            <w:tcW w:w="1388" w:type="pct"/>
            <w:tcBorders>
              <w:bottom w:val="single" w:sz="4" w:space="0" w:color="auto"/>
              <w:right w:val="single" w:sz="4" w:space="0" w:color="auto"/>
            </w:tcBorders>
            <w:shd w:val="clear" w:color="auto" w:fill="auto"/>
          </w:tcPr>
          <w:p w14:paraId="76A67E0D" w14:textId="284070F0"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[14.57, 27.88]</w:t>
            </w:r>
          </w:p>
        </w:tc>
      </w:tr>
      <w:tr w:rsidR="003320D4" w:rsidRPr="00A44065" w14:paraId="1ED9BB14"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top w:val="single" w:sz="4" w:space="0" w:color="auto"/>
              <w:left w:val="single" w:sz="4" w:space="0" w:color="auto"/>
            </w:tcBorders>
            <w:shd w:val="clear" w:color="auto" w:fill="auto"/>
          </w:tcPr>
          <w:p w14:paraId="3B2FA5F4" w14:textId="3195C6DA" w:rsidR="003320D4" w:rsidRPr="00A44065" w:rsidRDefault="003320D4" w:rsidP="003320D4">
            <w:pPr>
              <w:tabs>
                <w:tab w:val="left" w:pos="284"/>
              </w:tabs>
              <w:spacing w:before="20" w:after="20"/>
              <w:rPr>
                <w:rFonts w:eastAsia="MS Mincho"/>
                <w:b/>
                <w:color w:val="auto"/>
                <w:sz w:val="20"/>
                <w:szCs w:val="20"/>
                <w:vertAlign w:val="superscript"/>
              </w:rPr>
            </w:pPr>
            <w:r w:rsidRPr="00A44065">
              <w:rPr>
                <w:rFonts w:eastAsia="MS Mincho"/>
                <w:b/>
                <w:color w:val="auto"/>
                <w:sz w:val="20"/>
                <w:szCs w:val="20"/>
              </w:rPr>
              <w:t xml:space="preserve">Duration of Complete </w:t>
            </w:r>
            <w:proofErr w:type="spellStart"/>
            <w:r w:rsidRPr="00A44065">
              <w:rPr>
                <w:rFonts w:eastAsia="MS Mincho"/>
                <w:b/>
                <w:color w:val="auto"/>
                <w:sz w:val="20"/>
                <w:szCs w:val="20"/>
              </w:rPr>
              <w:t>Response</w:t>
            </w:r>
            <w:r w:rsidR="00867BED" w:rsidRPr="00A44065">
              <w:rPr>
                <w:rFonts w:eastAsia="MS Mincho"/>
                <w:b/>
                <w:color w:val="auto"/>
                <w:sz w:val="20"/>
                <w:szCs w:val="20"/>
                <w:vertAlign w:val="superscript"/>
              </w:rPr>
              <w:t>a</w:t>
            </w:r>
            <w:proofErr w:type="spellEnd"/>
          </w:p>
        </w:tc>
        <w:tc>
          <w:tcPr>
            <w:tcW w:w="1396" w:type="pct"/>
            <w:tcBorders>
              <w:top w:val="single" w:sz="4" w:space="0" w:color="auto"/>
            </w:tcBorders>
            <w:shd w:val="clear" w:color="auto" w:fill="auto"/>
          </w:tcPr>
          <w:p w14:paraId="2DFE5E7A" w14:textId="77777777" w:rsidR="003320D4" w:rsidRPr="00A44065" w:rsidRDefault="003320D4" w:rsidP="003320D4">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right w:val="single" w:sz="4" w:space="0" w:color="auto"/>
            </w:tcBorders>
            <w:shd w:val="clear" w:color="auto" w:fill="auto"/>
          </w:tcPr>
          <w:p w14:paraId="127B4A2F" w14:textId="77777777" w:rsidR="003320D4" w:rsidRPr="00A44065" w:rsidRDefault="003320D4" w:rsidP="003320D4">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1A22ED70" w14:textId="77777777" w:rsidTr="00A51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21EAA51E" w14:textId="77777777" w:rsidR="00867BED" w:rsidRPr="00A44065" w:rsidRDefault="00867BED" w:rsidP="00867BED">
            <w:pPr>
              <w:tabs>
                <w:tab w:val="left" w:pos="284"/>
              </w:tabs>
              <w:spacing w:before="20" w:after="20"/>
              <w:ind w:left="288"/>
              <w:rPr>
                <w:rFonts w:eastAsia="MS Mincho"/>
                <w:color w:val="auto"/>
                <w:sz w:val="20"/>
                <w:szCs w:val="20"/>
                <w:lang w:val="fr-CH"/>
              </w:rPr>
            </w:pPr>
            <w:proofErr w:type="spellStart"/>
            <w:r w:rsidRPr="00A44065">
              <w:rPr>
                <w:rFonts w:eastAsia="MS Mincho"/>
                <w:color w:val="auto"/>
                <w:sz w:val="20"/>
                <w:szCs w:val="20"/>
                <w:lang w:val="fr-CH"/>
              </w:rPr>
              <w:t>Median</w:t>
            </w:r>
            <w:proofErr w:type="spellEnd"/>
            <w:r w:rsidRPr="00A44065">
              <w:rPr>
                <w:rFonts w:eastAsia="MS Mincho"/>
                <w:color w:val="auto"/>
                <w:sz w:val="20"/>
                <w:szCs w:val="20"/>
                <w:lang w:val="fr-CH"/>
              </w:rPr>
              <w:t xml:space="preserve"> DOCR, </w:t>
            </w:r>
            <w:proofErr w:type="spellStart"/>
            <w:r w:rsidRPr="00A44065">
              <w:rPr>
                <w:rFonts w:eastAsia="MS Mincho"/>
                <w:color w:val="auto"/>
                <w:sz w:val="20"/>
                <w:szCs w:val="20"/>
                <w:lang w:val="fr-CH"/>
              </w:rPr>
              <w:t>months</w:t>
            </w:r>
            <w:proofErr w:type="spellEnd"/>
            <w:r w:rsidRPr="00A44065">
              <w:rPr>
                <w:rFonts w:eastAsia="MS Mincho"/>
                <w:color w:val="auto"/>
                <w:sz w:val="20"/>
                <w:szCs w:val="20"/>
                <w:lang w:val="fr-CH"/>
              </w:rPr>
              <w:t xml:space="preserve"> [95% CI]</w:t>
            </w:r>
          </w:p>
        </w:tc>
        <w:tc>
          <w:tcPr>
            <w:tcW w:w="1396" w:type="pct"/>
            <w:shd w:val="clear" w:color="auto" w:fill="auto"/>
          </w:tcPr>
          <w:p w14:paraId="41CD21E0" w14:textId="77BBBF5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NE [16.8, NE]</w:t>
            </w:r>
            <w:r w:rsidRPr="00A44065">
              <w:rPr>
                <w:rFonts w:ascii="Times New Roman" w:hAnsi="Times New Roman"/>
                <w:vertAlign w:val="superscript"/>
              </w:rPr>
              <w:t xml:space="preserve"> </w:t>
            </w:r>
          </w:p>
        </w:tc>
        <w:tc>
          <w:tcPr>
            <w:tcW w:w="1388" w:type="pct"/>
            <w:tcBorders>
              <w:right w:val="single" w:sz="4" w:space="0" w:color="auto"/>
            </w:tcBorders>
            <w:shd w:val="clear" w:color="auto" w:fill="auto"/>
          </w:tcPr>
          <w:p w14:paraId="75996E21" w14:textId="78A8C9DE"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NE [19.8, NE]</w:t>
            </w:r>
          </w:p>
        </w:tc>
      </w:tr>
      <w:tr w:rsidR="00867BED" w:rsidRPr="00A44065" w14:paraId="0C26C9D0" w14:textId="77777777" w:rsidTr="00A51821">
        <w:trPr>
          <w:cantSplit/>
        </w:trPr>
        <w:tc>
          <w:tcPr>
            <w:tcW w:w="2216" w:type="pct"/>
            <w:tcBorders>
              <w:top w:val="nil"/>
              <w:left w:val="single" w:sz="4" w:space="0" w:color="auto"/>
              <w:bottom w:val="nil"/>
              <w:right w:val="nil"/>
            </w:tcBorders>
            <w:shd w:val="clear" w:color="auto" w:fill="auto"/>
          </w:tcPr>
          <w:p w14:paraId="48FBA87F" w14:textId="77777777"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color w:val="auto"/>
                <w:sz w:val="20"/>
                <w:szCs w:val="20"/>
              </w:rPr>
              <w:t>Range, months</w:t>
            </w:r>
          </w:p>
        </w:tc>
        <w:tc>
          <w:tcPr>
            <w:tcW w:w="1396" w:type="pct"/>
            <w:tcBorders>
              <w:top w:val="nil"/>
              <w:left w:val="nil"/>
              <w:bottom w:val="nil"/>
              <w:right w:val="nil"/>
            </w:tcBorders>
            <w:shd w:val="clear" w:color="auto" w:fill="auto"/>
          </w:tcPr>
          <w:p w14:paraId="797BDC8F" w14:textId="68E6E6F3" w:rsidR="00867BED" w:rsidRPr="0008620B"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0</w:t>
            </w:r>
            <w:r w:rsidRPr="00A44065">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c>
          <w:tcPr>
            <w:tcW w:w="1388" w:type="pct"/>
            <w:tcBorders>
              <w:top w:val="nil"/>
              <w:left w:val="nil"/>
              <w:bottom w:val="nil"/>
              <w:right w:val="single" w:sz="4" w:space="0" w:color="auto"/>
            </w:tcBorders>
            <w:shd w:val="clear" w:color="auto" w:fill="auto"/>
          </w:tcPr>
          <w:p w14:paraId="1FC964A5" w14:textId="2B878ADE" w:rsidR="00867BED" w:rsidRPr="0008620B" w:rsidRDefault="00867BED" w:rsidP="00867BED">
            <w:pPr>
              <w:pStyle w:val="TableCell10Center"/>
              <w:keepNext w:val="0"/>
              <w:keepLines w:val="0"/>
              <w:spacing w:before="20" w:after="20" w:line="240" w:lineRule="auto"/>
              <w:rPr>
                <w:rFonts w:ascii="Times New Roman" w:hAnsi="Times New Roman"/>
              </w:rPr>
            </w:pPr>
            <w:r w:rsidRPr="0008620B">
              <w:rPr>
                <w:rFonts w:ascii="Times New Roman" w:hAnsi="Times New Roman"/>
              </w:rPr>
              <w:t>0</w:t>
            </w:r>
            <w:r w:rsidRPr="0008620B">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r>
      <w:tr w:rsidR="00867BED" w:rsidRPr="00A44065" w14:paraId="75087D61" w14:textId="77777777" w:rsidTr="00A51821">
        <w:trPr>
          <w:cantSplit/>
        </w:trPr>
        <w:tc>
          <w:tcPr>
            <w:tcW w:w="2216" w:type="pct"/>
            <w:tcBorders>
              <w:top w:val="nil"/>
              <w:left w:val="single" w:sz="4" w:space="0" w:color="auto"/>
              <w:bottom w:val="nil"/>
              <w:right w:val="nil"/>
            </w:tcBorders>
            <w:shd w:val="clear" w:color="auto" w:fill="auto"/>
          </w:tcPr>
          <w:p w14:paraId="4718E90F" w14:textId="77777777"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color w:val="auto"/>
                <w:sz w:val="20"/>
                <w:szCs w:val="20"/>
              </w:rPr>
              <w:t xml:space="preserve">9-month DOCR,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top w:val="nil"/>
              <w:left w:val="nil"/>
              <w:bottom w:val="nil"/>
              <w:right w:val="nil"/>
            </w:tcBorders>
            <w:shd w:val="clear" w:color="auto" w:fill="auto"/>
          </w:tcPr>
          <w:p w14:paraId="21B1BCA4" w14:textId="09E739F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76.0 [63.26, 88.71]</w:t>
            </w:r>
          </w:p>
        </w:tc>
        <w:tc>
          <w:tcPr>
            <w:tcW w:w="1388" w:type="pct"/>
            <w:tcBorders>
              <w:top w:val="nil"/>
              <w:left w:val="nil"/>
              <w:bottom w:val="nil"/>
              <w:right w:val="single" w:sz="4" w:space="0" w:color="auto"/>
            </w:tcBorders>
            <w:shd w:val="clear" w:color="auto" w:fill="auto"/>
          </w:tcPr>
          <w:p w14:paraId="3A9EB167" w14:textId="06A7B856"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72.5 [59.25, 85.68]</w:t>
            </w:r>
          </w:p>
        </w:tc>
      </w:tr>
      <w:tr w:rsidR="00867BED" w:rsidRPr="00A44065" w14:paraId="35A3B962" w14:textId="77777777" w:rsidTr="00011DA2">
        <w:trPr>
          <w:cantSplit/>
        </w:trPr>
        <w:tc>
          <w:tcPr>
            <w:tcW w:w="2216" w:type="pct"/>
            <w:tcBorders>
              <w:top w:val="nil"/>
              <w:left w:val="single" w:sz="4" w:space="0" w:color="auto"/>
              <w:bottom w:val="single" w:sz="4" w:space="0" w:color="auto"/>
              <w:right w:val="nil"/>
            </w:tcBorders>
            <w:shd w:val="clear" w:color="auto" w:fill="auto"/>
          </w:tcPr>
          <w:p w14:paraId="185BD98E" w14:textId="54ABAF06"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sz w:val="20"/>
                <w:szCs w:val="20"/>
              </w:rPr>
              <w:t xml:space="preserve">12-month DOCR, % </w:t>
            </w:r>
            <w:r w:rsidRPr="00A44065">
              <w:rPr>
                <w:rFonts w:eastAsia="MS Mincho"/>
                <w:sz w:val="20"/>
                <w:szCs w:val="20"/>
                <w:lang w:val="fr-CH"/>
              </w:rPr>
              <w:t>[95% CI]</w:t>
            </w:r>
            <w:r w:rsidRPr="00A44065">
              <w:rPr>
                <w:rFonts w:eastAsia="MS Mincho"/>
                <w:sz w:val="20"/>
                <w:szCs w:val="20"/>
                <w:vertAlign w:val="superscript"/>
              </w:rPr>
              <w:t>c</w:t>
            </w:r>
          </w:p>
        </w:tc>
        <w:tc>
          <w:tcPr>
            <w:tcW w:w="1396" w:type="pct"/>
            <w:tcBorders>
              <w:top w:val="nil"/>
              <w:left w:val="nil"/>
              <w:bottom w:val="single" w:sz="4" w:space="0" w:color="auto"/>
              <w:right w:val="nil"/>
            </w:tcBorders>
            <w:shd w:val="clear" w:color="auto" w:fill="auto"/>
          </w:tcPr>
          <w:p w14:paraId="16B5E08C" w14:textId="59666B85"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73.1 [59.57, 86.53]</w:t>
            </w:r>
          </w:p>
        </w:tc>
        <w:tc>
          <w:tcPr>
            <w:tcW w:w="1388" w:type="pct"/>
            <w:tcBorders>
              <w:top w:val="nil"/>
              <w:left w:val="nil"/>
              <w:bottom w:val="single" w:sz="4" w:space="0" w:color="auto"/>
              <w:right w:val="single" w:sz="4" w:space="0" w:color="auto"/>
            </w:tcBorders>
            <w:shd w:val="clear" w:color="auto" w:fill="auto"/>
          </w:tcPr>
          <w:p w14:paraId="5A742B08" w14:textId="4937AE33"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72.5 [59.25, 85.68]</w:t>
            </w:r>
          </w:p>
        </w:tc>
      </w:tr>
      <w:tr w:rsidR="00867BED" w:rsidRPr="00A44065" w14:paraId="7E010E00" w14:textId="77777777" w:rsidTr="00011DA2">
        <w:trPr>
          <w:cantSplit/>
        </w:trPr>
        <w:tc>
          <w:tcPr>
            <w:tcW w:w="2216" w:type="pct"/>
            <w:tcBorders>
              <w:top w:val="single" w:sz="4" w:space="0" w:color="auto"/>
              <w:left w:val="single" w:sz="4" w:space="0" w:color="auto"/>
              <w:bottom w:val="nil"/>
              <w:right w:val="nil"/>
            </w:tcBorders>
            <w:shd w:val="clear" w:color="auto" w:fill="auto"/>
          </w:tcPr>
          <w:p w14:paraId="61BEDE95" w14:textId="25255B4F" w:rsidR="00867BED" w:rsidRPr="00A44065" w:rsidRDefault="00867BED" w:rsidP="00867BED">
            <w:pPr>
              <w:tabs>
                <w:tab w:val="left" w:pos="284"/>
              </w:tabs>
              <w:spacing w:before="20" w:after="20"/>
              <w:rPr>
                <w:rFonts w:eastAsia="MS Mincho"/>
                <w:b/>
                <w:color w:val="auto"/>
                <w:sz w:val="20"/>
                <w:szCs w:val="20"/>
                <w:vertAlign w:val="superscript"/>
              </w:rPr>
            </w:pPr>
            <w:r w:rsidRPr="00A44065">
              <w:rPr>
                <w:rFonts w:eastAsia="MS Mincho"/>
                <w:b/>
                <w:color w:val="auto"/>
                <w:sz w:val="20"/>
                <w:szCs w:val="20"/>
              </w:rPr>
              <w:t xml:space="preserve">Duration of </w:t>
            </w:r>
            <w:proofErr w:type="spellStart"/>
            <w:r w:rsidRPr="00A44065">
              <w:rPr>
                <w:rFonts w:eastAsia="MS Mincho"/>
                <w:b/>
                <w:color w:val="auto"/>
                <w:sz w:val="20"/>
                <w:szCs w:val="20"/>
              </w:rPr>
              <w:t>Response</w:t>
            </w:r>
            <w:r w:rsidRPr="00A44065">
              <w:rPr>
                <w:rFonts w:eastAsia="MS Mincho"/>
                <w:b/>
                <w:color w:val="auto"/>
                <w:sz w:val="20"/>
                <w:szCs w:val="20"/>
                <w:vertAlign w:val="superscript"/>
              </w:rPr>
              <w:t>d</w:t>
            </w:r>
            <w:proofErr w:type="spellEnd"/>
          </w:p>
        </w:tc>
        <w:tc>
          <w:tcPr>
            <w:tcW w:w="1396" w:type="pct"/>
            <w:tcBorders>
              <w:top w:val="single" w:sz="4" w:space="0" w:color="auto"/>
              <w:left w:val="nil"/>
              <w:bottom w:val="nil"/>
              <w:right w:val="nil"/>
            </w:tcBorders>
            <w:shd w:val="clear" w:color="auto" w:fill="auto"/>
          </w:tcPr>
          <w:p w14:paraId="726DED24"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left w:val="nil"/>
              <w:bottom w:val="nil"/>
              <w:right w:val="single" w:sz="4" w:space="0" w:color="auto"/>
            </w:tcBorders>
            <w:shd w:val="clear" w:color="auto" w:fill="auto"/>
          </w:tcPr>
          <w:p w14:paraId="7E2F774F"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5EAED831" w14:textId="77777777" w:rsidTr="00011DA2">
        <w:trPr>
          <w:cantSplit/>
        </w:trPr>
        <w:tc>
          <w:tcPr>
            <w:tcW w:w="2216" w:type="pct"/>
            <w:tcBorders>
              <w:top w:val="nil"/>
              <w:left w:val="single" w:sz="4" w:space="0" w:color="auto"/>
              <w:bottom w:val="nil"/>
              <w:right w:val="nil"/>
            </w:tcBorders>
            <w:shd w:val="clear" w:color="auto" w:fill="auto"/>
          </w:tcPr>
          <w:p w14:paraId="09832365" w14:textId="77777777" w:rsidR="00867BED" w:rsidRPr="00A44065" w:rsidRDefault="00867BED" w:rsidP="00867BED">
            <w:pPr>
              <w:tabs>
                <w:tab w:val="left" w:pos="284"/>
              </w:tabs>
              <w:spacing w:before="20" w:after="20"/>
              <w:ind w:left="284"/>
              <w:rPr>
                <w:rFonts w:eastAsia="MS Mincho"/>
                <w:color w:val="auto"/>
                <w:sz w:val="20"/>
                <w:szCs w:val="20"/>
                <w:lang w:val="fr-CH"/>
              </w:rPr>
            </w:pPr>
            <w:proofErr w:type="spellStart"/>
            <w:r w:rsidRPr="00A44065">
              <w:rPr>
                <w:rFonts w:eastAsia="MS Mincho"/>
                <w:color w:val="auto"/>
                <w:sz w:val="20"/>
                <w:szCs w:val="20"/>
                <w:lang w:val="fr-CH"/>
              </w:rPr>
              <w:t>Median</w:t>
            </w:r>
            <w:proofErr w:type="spellEnd"/>
            <w:r w:rsidRPr="00A44065">
              <w:rPr>
                <w:rFonts w:eastAsia="MS Mincho"/>
                <w:color w:val="auto"/>
                <w:sz w:val="20"/>
                <w:szCs w:val="20"/>
                <w:lang w:val="fr-CH"/>
              </w:rPr>
              <w:t xml:space="preserve"> DOR, </w:t>
            </w:r>
            <w:proofErr w:type="spellStart"/>
            <w:r w:rsidRPr="00A44065">
              <w:rPr>
                <w:rFonts w:eastAsia="MS Mincho"/>
                <w:color w:val="auto"/>
                <w:sz w:val="20"/>
                <w:szCs w:val="20"/>
                <w:lang w:val="fr-CH"/>
              </w:rPr>
              <w:t>months</w:t>
            </w:r>
            <w:proofErr w:type="spellEnd"/>
            <w:r w:rsidRPr="00A44065">
              <w:rPr>
                <w:rFonts w:eastAsia="MS Mincho"/>
                <w:color w:val="auto"/>
                <w:sz w:val="20"/>
                <w:szCs w:val="20"/>
                <w:lang w:val="fr-CH"/>
              </w:rPr>
              <w:t xml:space="preserve"> [95% CI]</w:t>
            </w:r>
          </w:p>
        </w:tc>
        <w:tc>
          <w:tcPr>
            <w:tcW w:w="1396" w:type="pct"/>
            <w:tcBorders>
              <w:top w:val="nil"/>
              <w:left w:val="nil"/>
              <w:bottom w:val="nil"/>
              <w:right w:val="nil"/>
            </w:tcBorders>
            <w:shd w:val="clear" w:color="auto" w:fill="auto"/>
          </w:tcPr>
          <w:p w14:paraId="06F183E1" w14:textId="162AE46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16.8 [10.4, NE]</w:t>
            </w:r>
            <w:r w:rsidRPr="00A44065">
              <w:rPr>
                <w:rFonts w:ascii="Times New Roman" w:hAnsi="Times New Roman"/>
                <w:vertAlign w:val="superscript"/>
              </w:rPr>
              <w:t xml:space="preserve"> </w:t>
            </w:r>
          </w:p>
        </w:tc>
        <w:tc>
          <w:tcPr>
            <w:tcW w:w="1388" w:type="pct"/>
            <w:tcBorders>
              <w:top w:val="nil"/>
              <w:left w:val="nil"/>
              <w:bottom w:val="nil"/>
              <w:right w:val="single" w:sz="4" w:space="0" w:color="auto"/>
            </w:tcBorders>
            <w:shd w:val="clear" w:color="auto" w:fill="auto"/>
          </w:tcPr>
          <w:p w14:paraId="7A5D0C53" w14:textId="06890EB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10.4 [5.4, NE]</w:t>
            </w:r>
          </w:p>
        </w:tc>
      </w:tr>
      <w:tr w:rsidR="00867BED" w:rsidRPr="00A44065" w14:paraId="1CB2FE7F" w14:textId="77777777" w:rsidTr="00011DA2">
        <w:trPr>
          <w:cantSplit/>
        </w:trPr>
        <w:tc>
          <w:tcPr>
            <w:tcW w:w="2216" w:type="pct"/>
            <w:tcBorders>
              <w:top w:val="nil"/>
              <w:left w:val="single" w:sz="4" w:space="0" w:color="auto"/>
              <w:bottom w:val="nil"/>
              <w:right w:val="nil"/>
            </w:tcBorders>
            <w:shd w:val="clear" w:color="auto" w:fill="auto"/>
          </w:tcPr>
          <w:p w14:paraId="74A8BC5E"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Range, months</w:t>
            </w:r>
          </w:p>
        </w:tc>
        <w:tc>
          <w:tcPr>
            <w:tcW w:w="1396" w:type="pct"/>
            <w:tcBorders>
              <w:top w:val="nil"/>
              <w:left w:val="nil"/>
              <w:bottom w:val="nil"/>
              <w:right w:val="nil"/>
            </w:tcBorders>
            <w:shd w:val="clear" w:color="auto" w:fill="auto"/>
          </w:tcPr>
          <w:p w14:paraId="084F69EC" w14:textId="14678A00" w:rsidR="00867BED" w:rsidRPr="0008620B"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0</w:t>
            </w:r>
            <w:r w:rsidRPr="00A44065">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c>
          <w:tcPr>
            <w:tcW w:w="1388" w:type="pct"/>
            <w:tcBorders>
              <w:top w:val="nil"/>
              <w:left w:val="nil"/>
              <w:bottom w:val="nil"/>
              <w:right w:val="single" w:sz="4" w:space="0" w:color="auto"/>
            </w:tcBorders>
            <w:shd w:val="clear" w:color="auto" w:fill="auto"/>
          </w:tcPr>
          <w:p w14:paraId="699F3B4E" w14:textId="0135D9AD" w:rsidR="00867BED" w:rsidRPr="0008620B" w:rsidRDefault="00867BED" w:rsidP="00867BED">
            <w:pPr>
              <w:pStyle w:val="TableCell10Center"/>
              <w:keepNext w:val="0"/>
              <w:keepLines w:val="0"/>
              <w:spacing w:before="20" w:after="20" w:line="240" w:lineRule="auto"/>
              <w:rPr>
                <w:rFonts w:ascii="Times New Roman" w:hAnsi="Times New Roman"/>
              </w:rPr>
            </w:pPr>
            <w:r w:rsidRPr="0008620B">
              <w:rPr>
                <w:rFonts w:ascii="Times New Roman" w:hAnsi="Times New Roman"/>
              </w:rPr>
              <w:t>0</w:t>
            </w:r>
            <w:r w:rsidRPr="0008620B">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r>
      <w:tr w:rsidR="00867BED" w:rsidRPr="00A44065" w14:paraId="5B6E92A2" w14:textId="77777777" w:rsidTr="00011DA2">
        <w:trPr>
          <w:cantSplit/>
        </w:trPr>
        <w:tc>
          <w:tcPr>
            <w:tcW w:w="2216" w:type="pct"/>
            <w:tcBorders>
              <w:top w:val="nil"/>
              <w:left w:val="single" w:sz="4" w:space="0" w:color="auto"/>
              <w:bottom w:val="nil"/>
              <w:right w:val="nil"/>
            </w:tcBorders>
            <w:shd w:val="clear" w:color="auto" w:fill="auto"/>
          </w:tcPr>
          <w:p w14:paraId="19DA1BD7"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9-month DOR,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top w:val="nil"/>
              <w:left w:val="nil"/>
              <w:bottom w:val="nil"/>
              <w:right w:val="nil"/>
            </w:tcBorders>
            <w:shd w:val="clear" w:color="auto" w:fill="auto"/>
          </w:tcPr>
          <w:p w14:paraId="5F6AC871" w14:textId="09EC7DB8"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66.5 [54.91, 78.00]</w:t>
            </w:r>
          </w:p>
        </w:tc>
        <w:tc>
          <w:tcPr>
            <w:tcW w:w="1388" w:type="pct"/>
            <w:tcBorders>
              <w:top w:val="nil"/>
              <w:left w:val="nil"/>
              <w:bottom w:val="nil"/>
              <w:right w:val="single" w:sz="4" w:space="0" w:color="auto"/>
            </w:tcBorders>
            <w:shd w:val="clear" w:color="auto" w:fill="auto"/>
          </w:tcPr>
          <w:p w14:paraId="1E987FE1" w14:textId="509FB45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52.2 [41.10, 63.34]</w:t>
            </w:r>
          </w:p>
        </w:tc>
      </w:tr>
      <w:tr w:rsidR="00867BED" w:rsidRPr="00A44065" w14:paraId="0A7F634A" w14:textId="77777777" w:rsidTr="00011DA2">
        <w:trPr>
          <w:cantSplit/>
        </w:trPr>
        <w:tc>
          <w:tcPr>
            <w:tcW w:w="2216" w:type="pct"/>
            <w:tcBorders>
              <w:top w:val="nil"/>
              <w:left w:val="single" w:sz="4" w:space="0" w:color="auto"/>
              <w:bottom w:val="single" w:sz="4" w:space="0" w:color="auto"/>
              <w:right w:val="nil"/>
            </w:tcBorders>
            <w:shd w:val="clear" w:color="auto" w:fill="auto"/>
          </w:tcPr>
          <w:p w14:paraId="4DF41EB7" w14:textId="6CA6FA64"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s="Arial"/>
                <w:sz w:val="20"/>
                <w:szCs w:val="20"/>
              </w:rPr>
              <w:t xml:space="preserve">12-month DOR, % </w:t>
            </w:r>
            <w:r w:rsidRPr="00A44065">
              <w:rPr>
                <w:rFonts w:eastAsia="MS Mincho" w:cs="Arial"/>
                <w:sz w:val="20"/>
                <w:szCs w:val="20"/>
                <w:lang w:val="fr-CH"/>
              </w:rPr>
              <w:t>[95% CI]</w:t>
            </w:r>
            <w:r w:rsidRPr="00A44065">
              <w:rPr>
                <w:rFonts w:eastAsia="MS Mincho" w:cs="Arial"/>
                <w:sz w:val="20"/>
                <w:szCs w:val="20"/>
                <w:vertAlign w:val="superscript"/>
              </w:rPr>
              <w:t>c</w:t>
            </w:r>
          </w:p>
        </w:tc>
        <w:tc>
          <w:tcPr>
            <w:tcW w:w="1396" w:type="pct"/>
            <w:tcBorders>
              <w:top w:val="nil"/>
              <w:left w:val="nil"/>
              <w:bottom w:val="single" w:sz="4" w:space="0" w:color="auto"/>
              <w:right w:val="nil"/>
            </w:tcBorders>
            <w:shd w:val="clear" w:color="auto" w:fill="auto"/>
          </w:tcPr>
          <w:p w14:paraId="294B2414" w14:textId="5CE0BC7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59.6 [46.85, 72.28]</w:t>
            </w:r>
          </w:p>
        </w:tc>
        <w:tc>
          <w:tcPr>
            <w:tcW w:w="1388" w:type="pct"/>
            <w:tcBorders>
              <w:top w:val="nil"/>
              <w:left w:val="nil"/>
              <w:bottom w:val="single" w:sz="4" w:space="0" w:color="auto"/>
              <w:right w:val="single" w:sz="4" w:space="0" w:color="auto"/>
            </w:tcBorders>
            <w:shd w:val="clear" w:color="auto" w:fill="auto"/>
          </w:tcPr>
          <w:p w14:paraId="42B3E5B0" w14:textId="34AB4866"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48.4 [36.93, 59.91]</w:t>
            </w:r>
          </w:p>
        </w:tc>
      </w:tr>
      <w:tr w:rsidR="00867BED" w:rsidRPr="00A44065" w14:paraId="52402D5F" w14:textId="77777777" w:rsidTr="00597A0D">
        <w:trPr>
          <w:cantSplit/>
        </w:trPr>
        <w:tc>
          <w:tcPr>
            <w:tcW w:w="2216" w:type="pct"/>
            <w:tcBorders>
              <w:top w:val="single" w:sz="4" w:space="0" w:color="auto"/>
              <w:left w:val="single" w:sz="4" w:space="0" w:color="auto"/>
              <w:bottom w:val="nil"/>
              <w:right w:val="nil"/>
            </w:tcBorders>
            <w:shd w:val="clear" w:color="auto" w:fill="auto"/>
          </w:tcPr>
          <w:p w14:paraId="3BFC3E06" w14:textId="77777777" w:rsidR="00867BED" w:rsidRPr="00A44065" w:rsidRDefault="00867BED" w:rsidP="00867BED">
            <w:pPr>
              <w:keepNext/>
              <w:spacing w:before="20" w:after="20"/>
              <w:rPr>
                <w:rFonts w:eastAsia="MS Mincho"/>
                <w:color w:val="auto"/>
                <w:sz w:val="20"/>
                <w:szCs w:val="20"/>
              </w:rPr>
            </w:pPr>
            <w:r w:rsidRPr="00A44065">
              <w:rPr>
                <w:rFonts w:eastAsia="MS Mincho"/>
                <w:b/>
                <w:color w:val="auto"/>
                <w:sz w:val="20"/>
                <w:szCs w:val="20"/>
              </w:rPr>
              <w:t>Time to First Response</w:t>
            </w:r>
          </w:p>
        </w:tc>
        <w:tc>
          <w:tcPr>
            <w:tcW w:w="1396" w:type="pct"/>
            <w:tcBorders>
              <w:top w:val="single" w:sz="4" w:space="0" w:color="auto"/>
              <w:left w:val="nil"/>
              <w:bottom w:val="nil"/>
              <w:right w:val="nil"/>
            </w:tcBorders>
            <w:shd w:val="clear" w:color="auto" w:fill="auto"/>
          </w:tcPr>
          <w:p w14:paraId="56E4389B"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left w:val="nil"/>
              <w:bottom w:val="nil"/>
              <w:right w:val="single" w:sz="4" w:space="0" w:color="auto"/>
            </w:tcBorders>
            <w:shd w:val="clear" w:color="auto" w:fill="auto"/>
          </w:tcPr>
          <w:p w14:paraId="0C5C76A4"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6E18AA15" w14:textId="77777777" w:rsidTr="00597A0D">
        <w:trPr>
          <w:cantSplit/>
          <w:trHeight w:val="107"/>
        </w:trPr>
        <w:tc>
          <w:tcPr>
            <w:tcW w:w="2216" w:type="pct"/>
            <w:tcBorders>
              <w:top w:val="nil"/>
              <w:left w:val="single" w:sz="4" w:space="0" w:color="auto"/>
              <w:bottom w:val="nil"/>
              <w:right w:val="nil"/>
            </w:tcBorders>
            <w:shd w:val="clear" w:color="auto" w:fill="auto"/>
          </w:tcPr>
          <w:p w14:paraId="03196D68" w14:textId="4742C3BB"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TFOR, days </w:t>
            </w:r>
            <w:r w:rsidRPr="00A44065">
              <w:rPr>
                <w:rFonts w:eastAsia="MS Mincho"/>
                <w:color w:val="auto"/>
                <w:sz w:val="20"/>
                <w:szCs w:val="20"/>
                <w:lang w:val="fr-CH"/>
              </w:rPr>
              <w:t>[95% CI]</w:t>
            </w:r>
          </w:p>
        </w:tc>
        <w:tc>
          <w:tcPr>
            <w:tcW w:w="1396" w:type="pct"/>
            <w:tcBorders>
              <w:top w:val="nil"/>
              <w:left w:val="nil"/>
              <w:bottom w:val="nil"/>
              <w:right w:val="nil"/>
            </w:tcBorders>
            <w:shd w:val="clear" w:color="auto" w:fill="auto"/>
          </w:tcPr>
          <w:p w14:paraId="0186E4BC" w14:textId="19D6514D"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42 [41, 42]</w:t>
            </w:r>
          </w:p>
        </w:tc>
        <w:tc>
          <w:tcPr>
            <w:tcW w:w="1388" w:type="pct"/>
            <w:tcBorders>
              <w:top w:val="nil"/>
              <w:left w:val="nil"/>
              <w:bottom w:val="nil"/>
              <w:right w:val="single" w:sz="4" w:space="0" w:color="auto"/>
            </w:tcBorders>
            <w:shd w:val="clear" w:color="auto" w:fill="auto"/>
          </w:tcPr>
          <w:p w14:paraId="2F01AB62" w14:textId="4DF9B11E"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42 [40, 42]</w:t>
            </w:r>
          </w:p>
        </w:tc>
      </w:tr>
      <w:tr w:rsidR="00867BED" w:rsidRPr="00A44065" w14:paraId="4193B1F0" w14:textId="77777777" w:rsidTr="00597A0D">
        <w:trPr>
          <w:cantSplit/>
        </w:trPr>
        <w:tc>
          <w:tcPr>
            <w:tcW w:w="2216" w:type="pct"/>
            <w:tcBorders>
              <w:top w:val="nil"/>
              <w:left w:val="single" w:sz="4" w:space="0" w:color="auto"/>
              <w:bottom w:val="single" w:sz="4" w:space="0" w:color="auto"/>
              <w:right w:val="nil"/>
            </w:tcBorders>
            <w:shd w:val="clear" w:color="auto" w:fill="auto"/>
          </w:tcPr>
          <w:p w14:paraId="074A680C" w14:textId="027FBCA9"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s="Arial"/>
                <w:sz w:val="20"/>
                <w:szCs w:val="20"/>
              </w:rPr>
              <w:t>Range, days</w:t>
            </w:r>
          </w:p>
        </w:tc>
        <w:tc>
          <w:tcPr>
            <w:tcW w:w="1396" w:type="pct"/>
            <w:tcBorders>
              <w:top w:val="nil"/>
              <w:left w:val="nil"/>
              <w:bottom w:val="single" w:sz="4" w:space="0" w:color="auto"/>
              <w:right w:val="nil"/>
            </w:tcBorders>
            <w:shd w:val="clear" w:color="auto" w:fill="auto"/>
          </w:tcPr>
          <w:p w14:paraId="4C863B79" w14:textId="79756393"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31–178</w:t>
            </w:r>
          </w:p>
        </w:tc>
        <w:tc>
          <w:tcPr>
            <w:tcW w:w="1388" w:type="pct"/>
            <w:tcBorders>
              <w:top w:val="nil"/>
              <w:left w:val="nil"/>
              <w:bottom w:val="single" w:sz="4" w:space="0" w:color="auto"/>
              <w:right w:val="single" w:sz="4" w:space="0" w:color="auto"/>
            </w:tcBorders>
            <w:shd w:val="clear" w:color="auto" w:fill="auto"/>
          </w:tcPr>
          <w:p w14:paraId="54A463C0" w14:textId="277A09D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31–178</w:t>
            </w:r>
          </w:p>
        </w:tc>
      </w:tr>
      <w:tr w:rsidR="00867BED" w:rsidRPr="00A44065" w14:paraId="60CCF748" w14:textId="77777777" w:rsidTr="00597A0D">
        <w:trPr>
          <w:cantSplit/>
        </w:trPr>
        <w:tc>
          <w:tcPr>
            <w:tcW w:w="2216" w:type="pct"/>
            <w:tcBorders>
              <w:top w:val="single" w:sz="4" w:space="0" w:color="auto"/>
              <w:left w:val="single" w:sz="4" w:space="0" w:color="auto"/>
              <w:bottom w:val="nil"/>
              <w:right w:val="nil"/>
            </w:tcBorders>
            <w:shd w:val="clear" w:color="auto" w:fill="auto"/>
          </w:tcPr>
          <w:p w14:paraId="4341CC5F" w14:textId="77777777" w:rsidR="00867BED" w:rsidRPr="00A44065" w:rsidRDefault="00867BED" w:rsidP="00867BED">
            <w:pPr>
              <w:spacing w:before="20" w:after="20"/>
              <w:rPr>
                <w:rFonts w:eastAsia="MS Mincho"/>
                <w:color w:val="auto"/>
                <w:sz w:val="20"/>
                <w:szCs w:val="20"/>
              </w:rPr>
            </w:pPr>
            <w:r w:rsidRPr="00A44065">
              <w:rPr>
                <w:rFonts w:eastAsia="MS Mincho"/>
                <w:b/>
                <w:color w:val="auto"/>
                <w:sz w:val="20"/>
                <w:szCs w:val="20"/>
              </w:rPr>
              <w:t>Time to First Complete Response</w:t>
            </w:r>
          </w:p>
        </w:tc>
        <w:tc>
          <w:tcPr>
            <w:tcW w:w="1396" w:type="pct"/>
            <w:tcBorders>
              <w:top w:val="single" w:sz="4" w:space="0" w:color="auto"/>
              <w:left w:val="nil"/>
              <w:bottom w:val="nil"/>
              <w:right w:val="nil"/>
            </w:tcBorders>
            <w:shd w:val="clear" w:color="auto" w:fill="auto"/>
          </w:tcPr>
          <w:p w14:paraId="4E4A278F"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left w:val="nil"/>
              <w:bottom w:val="nil"/>
              <w:right w:val="single" w:sz="4" w:space="0" w:color="auto"/>
            </w:tcBorders>
            <w:shd w:val="clear" w:color="auto" w:fill="auto"/>
          </w:tcPr>
          <w:p w14:paraId="0DDC8AFE"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3F10FCCB" w14:textId="77777777" w:rsidTr="00597A0D">
        <w:trPr>
          <w:cantSplit/>
        </w:trPr>
        <w:tc>
          <w:tcPr>
            <w:tcW w:w="2216" w:type="pct"/>
            <w:tcBorders>
              <w:top w:val="nil"/>
              <w:left w:val="single" w:sz="4" w:space="0" w:color="auto"/>
              <w:bottom w:val="nil"/>
              <w:right w:val="nil"/>
            </w:tcBorders>
            <w:shd w:val="clear" w:color="auto" w:fill="auto"/>
          </w:tcPr>
          <w:p w14:paraId="32376A29"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TFCR, days </w:t>
            </w:r>
            <w:r w:rsidRPr="00A44065">
              <w:rPr>
                <w:rFonts w:eastAsia="MS Mincho"/>
                <w:color w:val="auto"/>
                <w:sz w:val="20"/>
                <w:szCs w:val="20"/>
                <w:lang w:val="fr-CH"/>
              </w:rPr>
              <w:t>[95% CI]</w:t>
            </w:r>
          </w:p>
        </w:tc>
        <w:tc>
          <w:tcPr>
            <w:tcW w:w="1396" w:type="pct"/>
            <w:tcBorders>
              <w:top w:val="nil"/>
              <w:left w:val="nil"/>
              <w:bottom w:val="nil"/>
              <w:right w:val="nil"/>
            </w:tcBorders>
            <w:shd w:val="clear" w:color="auto" w:fill="auto"/>
          </w:tcPr>
          <w:p w14:paraId="12F07B0B" w14:textId="7F0CA3F0"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42 [42, 44]</w:t>
            </w:r>
          </w:p>
        </w:tc>
        <w:tc>
          <w:tcPr>
            <w:tcW w:w="1388" w:type="pct"/>
            <w:tcBorders>
              <w:top w:val="nil"/>
              <w:left w:val="nil"/>
              <w:bottom w:val="nil"/>
              <w:right w:val="single" w:sz="4" w:space="0" w:color="auto"/>
            </w:tcBorders>
            <w:shd w:val="clear" w:color="auto" w:fill="auto"/>
          </w:tcPr>
          <w:p w14:paraId="2EAD07CD" w14:textId="22FA1870" w:rsidR="00867BED" w:rsidRPr="00A44065" w:rsidRDefault="00867BED" w:rsidP="00867BED">
            <w:pPr>
              <w:pStyle w:val="TableCell10Center"/>
              <w:keepNext w:val="0"/>
              <w:keepLines w:val="0"/>
              <w:spacing w:before="20" w:after="20" w:line="240" w:lineRule="auto"/>
              <w:rPr>
                <w:rFonts w:ascii="Times New Roman" w:hAnsi="Times New Roman"/>
                <w:i/>
              </w:rPr>
            </w:pPr>
            <w:r w:rsidRPr="00A44065">
              <w:rPr>
                <w:rFonts w:ascii="Times New Roman" w:hAnsi="Times New Roman"/>
              </w:rPr>
              <w:t>43 [42, 48]</w:t>
            </w:r>
          </w:p>
        </w:tc>
      </w:tr>
      <w:tr w:rsidR="00867BED" w:rsidRPr="00A44065" w14:paraId="4033F3B9" w14:textId="77777777" w:rsidTr="00597A0D">
        <w:trPr>
          <w:cantSplit/>
        </w:trPr>
        <w:tc>
          <w:tcPr>
            <w:tcW w:w="2216" w:type="pct"/>
            <w:tcBorders>
              <w:top w:val="nil"/>
              <w:left w:val="single" w:sz="4" w:space="0" w:color="auto"/>
              <w:bottom w:val="single" w:sz="4" w:space="0" w:color="auto"/>
              <w:right w:val="nil"/>
            </w:tcBorders>
            <w:shd w:val="clear" w:color="auto" w:fill="auto"/>
          </w:tcPr>
          <w:p w14:paraId="0100D111" w14:textId="260871E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s="Arial"/>
                <w:sz w:val="20"/>
                <w:szCs w:val="20"/>
              </w:rPr>
              <w:t>Range, days</w:t>
            </w:r>
          </w:p>
        </w:tc>
        <w:tc>
          <w:tcPr>
            <w:tcW w:w="1396" w:type="pct"/>
            <w:tcBorders>
              <w:top w:val="nil"/>
              <w:left w:val="nil"/>
              <w:bottom w:val="single" w:sz="4" w:space="0" w:color="auto"/>
              <w:right w:val="nil"/>
            </w:tcBorders>
            <w:shd w:val="clear" w:color="auto" w:fill="auto"/>
          </w:tcPr>
          <w:p w14:paraId="176119FF" w14:textId="2D067180"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31–308</w:t>
            </w:r>
          </w:p>
        </w:tc>
        <w:tc>
          <w:tcPr>
            <w:tcW w:w="1388" w:type="pct"/>
            <w:tcBorders>
              <w:top w:val="nil"/>
              <w:left w:val="nil"/>
              <w:bottom w:val="single" w:sz="4" w:space="0" w:color="auto"/>
              <w:right w:val="single" w:sz="4" w:space="0" w:color="auto"/>
            </w:tcBorders>
            <w:shd w:val="clear" w:color="auto" w:fill="auto"/>
          </w:tcPr>
          <w:p w14:paraId="032F148C" w14:textId="6B3D1962"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31–274</w:t>
            </w:r>
          </w:p>
        </w:tc>
      </w:tr>
      <w:tr w:rsidR="00867BED" w:rsidRPr="00A44065" w14:paraId="156B4F05"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top w:val="single" w:sz="4" w:space="0" w:color="auto"/>
              <w:left w:val="single" w:sz="4" w:space="0" w:color="auto"/>
            </w:tcBorders>
            <w:shd w:val="clear" w:color="auto" w:fill="auto"/>
          </w:tcPr>
          <w:p w14:paraId="09BECFDE" w14:textId="77777777" w:rsidR="00867BED" w:rsidRPr="00A44065" w:rsidRDefault="00867BED" w:rsidP="00867BED">
            <w:pPr>
              <w:tabs>
                <w:tab w:val="left" w:pos="284"/>
              </w:tabs>
              <w:spacing w:before="20" w:after="20"/>
              <w:rPr>
                <w:rFonts w:eastAsia="MS Mincho"/>
                <w:b/>
                <w:color w:val="auto"/>
                <w:sz w:val="20"/>
                <w:szCs w:val="20"/>
              </w:rPr>
            </w:pPr>
            <w:r w:rsidRPr="00A44065">
              <w:rPr>
                <w:rFonts w:eastAsia="MS Mincho"/>
                <w:b/>
                <w:color w:val="auto"/>
                <w:sz w:val="20"/>
                <w:szCs w:val="20"/>
              </w:rPr>
              <w:t>Progression-Free Survival</w:t>
            </w:r>
          </w:p>
        </w:tc>
        <w:tc>
          <w:tcPr>
            <w:tcW w:w="1396" w:type="pct"/>
            <w:tcBorders>
              <w:top w:val="single" w:sz="4" w:space="0" w:color="auto"/>
            </w:tcBorders>
            <w:shd w:val="clear" w:color="auto" w:fill="auto"/>
          </w:tcPr>
          <w:p w14:paraId="78391C23"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right w:val="single" w:sz="4" w:space="0" w:color="auto"/>
            </w:tcBorders>
            <w:shd w:val="clear" w:color="auto" w:fill="auto"/>
          </w:tcPr>
          <w:p w14:paraId="41F9562A"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291DCE38"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50C32A6A"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event, n (%)</w:t>
            </w:r>
          </w:p>
        </w:tc>
        <w:tc>
          <w:tcPr>
            <w:tcW w:w="1396" w:type="pct"/>
            <w:shd w:val="clear" w:color="auto" w:fill="auto"/>
          </w:tcPr>
          <w:p w14:paraId="6A3EF5CE" w14:textId="6F884A0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95 (61.3)</w:t>
            </w:r>
          </w:p>
        </w:tc>
        <w:tc>
          <w:tcPr>
            <w:tcW w:w="1388" w:type="pct"/>
            <w:tcBorders>
              <w:right w:val="single" w:sz="4" w:space="0" w:color="auto"/>
            </w:tcBorders>
            <w:shd w:val="clear" w:color="auto" w:fill="auto"/>
          </w:tcPr>
          <w:p w14:paraId="0C68BCC0" w14:textId="5A8D5B2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98 (63.2)</w:t>
            </w:r>
          </w:p>
        </w:tc>
      </w:tr>
      <w:tr w:rsidR="00867BED" w:rsidRPr="00A44065" w14:paraId="7BA47D32"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77D0438"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PFS, months </w:t>
            </w:r>
            <w:r w:rsidRPr="00A44065">
              <w:rPr>
                <w:rFonts w:eastAsia="MS Mincho"/>
                <w:color w:val="auto"/>
                <w:sz w:val="20"/>
                <w:szCs w:val="20"/>
                <w:lang w:val="fr-CH"/>
              </w:rPr>
              <w:t>[95% CI]</w:t>
            </w:r>
          </w:p>
        </w:tc>
        <w:tc>
          <w:tcPr>
            <w:tcW w:w="1396" w:type="pct"/>
            <w:shd w:val="clear" w:color="auto" w:fill="auto"/>
          </w:tcPr>
          <w:p w14:paraId="1217DC4C" w14:textId="7BEF4C12"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4.9 [3.4, 8.1]</w:t>
            </w:r>
          </w:p>
        </w:tc>
        <w:tc>
          <w:tcPr>
            <w:tcW w:w="1388" w:type="pct"/>
            <w:tcBorders>
              <w:right w:val="single" w:sz="4" w:space="0" w:color="auto"/>
            </w:tcBorders>
            <w:shd w:val="clear" w:color="auto" w:fill="auto"/>
          </w:tcPr>
          <w:p w14:paraId="386AFE24" w14:textId="26464B5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3.8 [3.3, 5.4]</w:t>
            </w:r>
          </w:p>
        </w:tc>
      </w:tr>
      <w:tr w:rsidR="00867BED" w:rsidRPr="00A44065" w14:paraId="2192024F"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063EA5C"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6-month PFS,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4422CDB9" w14:textId="71C646A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46.7 [38.40, 54.92]</w:t>
            </w:r>
          </w:p>
        </w:tc>
        <w:tc>
          <w:tcPr>
            <w:tcW w:w="1388" w:type="pct"/>
            <w:tcBorders>
              <w:right w:val="single" w:sz="4" w:space="0" w:color="auto"/>
            </w:tcBorders>
            <w:shd w:val="clear" w:color="auto" w:fill="auto"/>
          </w:tcPr>
          <w:p w14:paraId="063B0741" w14:textId="5E91C8B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39.1 [30.98, 47.14]</w:t>
            </w:r>
          </w:p>
        </w:tc>
      </w:tr>
      <w:tr w:rsidR="00867BED" w:rsidRPr="00A44065" w14:paraId="2176321B"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96F654A"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9-month PFS,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418DCADC" w14:textId="19CDF01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39.6 [31.34, 47.76]</w:t>
            </w:r>
          </w:p>
        </w:tc>
        <w:tc>
          <w:tcPr>
            <w:tcW w:w="1388" w:type="pct"/>
            <w:tcBorders>
              <w:right w:val="single" w:sz="4" w:space="0" w:color="auto"/>
            </w:tcBorders>
            <w:shd w:val="clear" w:color="auto" w:fill="auto"/>
          </w:tcPr>
          <w:p w14:paraId="77AC20E0" w14:textId="0C818E5C"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35.1 [27.08, 43.03]</w:t>
            </w:r>
          </w:p>
        </w:tc>
      </w:tr>
      <w:tr w:rsidR="00867BED" w:rsidRPr="00A44065" w14:paraId="1143D885"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bottom w:val="single" w:sz="4" w:space="0" w:color="auto"/>
            </w:tcBorders>
            <w:shd w:val="clear" w:color="auto" w:fill="auto"/>
          </w:tcPr>
          <w:p w14:paraId="4E6CEBAE"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12-month PFS,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bottom w:val="single" w:sz="4" w:space="0" w:color="auto"/>
            </w:tcBorders>
            <w:shd w:val="clear" w:color="auto" w:fill="auto"/>
          </w:tcPr>
          <w:p w14:paraId="439A630E" w14:textId="613F22A1"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34.9 [26.48, 43.31]</w:t>
            </w:r>
          </w:p>
        </w:tc>
        <w:tc>
          <w:tcPr>
            <w:tcW w:w="1388" w:type="pct"/>
            <w:tcBorders>
              <w:bottom w:val="single" w:sz="4" w:space="0" w:color="auto"/>
              <w:right w:val="single" w:sz="4" w:space="0" w:color="auto"/>
            </w:tcBorders>
            <w:shd w:val="clear" w:color="auto" w:fill="auto"/>
          </w:tcPr>
          <w:p w14:paraId="14D6D8B2" w14:textId="4E207811"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30.6 [22.55, 38.69]</w:t>
            </w:r>
          </w:p>
        </w:tc>
      </w:tr>
      <w:tr w:rsidR="00867BED" w:rsidRPr="00A44065" w14:paraId="1C5834AD"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top w:val="single" w:sz="4" w:space="0" w:color="auto"/>
              <w:left w:val="single" w:sz="4" w:space="0" w:color="auto"/>
            </w:tcBorders>
            <w:shd w:val="clear" w:color="auto" w:fill="auto"/>
          </w:tcPr>
          <w:p w14:paraId="72D60E1A" w14:textId="77777777" w:rsidR="00867BED" w:rsidRPr="00A44065" w:rsidRDefault="00867BED" w:rsidP="00867BED">
            <w:pPr>
              <w:tabs>
                <w:tab w:val="left" w:pos="284"/>
              </w:tabs>
              <w:spacing w:before="20" w:after="20"/>
              <w:rPr>
                <w:rFonts w:eastAsia="MS Mincho"/>
                <w:b/>
                <w:color w:val="auto"/>
                <w:sz w:val="20"/>
                <w:szCs w:val="20"/>
              </w:rPr>
            </w:pPr>
            <w:r w:rsidRPr="00A44065">
              <w:rPr>
                <w:rFonts w:eastAsia="MS Mincho"/>
                <w:b/>
                <w:color w:val="auto"/>
                <w:sz w:val="20"/>
                <w:szCs w:val="20"/>
              </w:rPr>
              <w:t>Overall Survival</w:t>
            </w:r>
          </w:p>
        </w:tc>
        <w:tc>
          <w:tcPr>
            <w:tcW w:w="1396" w:type="pct"/>
            <w:tcBorders>
              <w:top w:val="single" w:sz="4" w:space="0" w:color="auto"/>
            </w:tcBorders>
            <w:shd w:val="clear" w:color="auto" w:fill="auto"/>
          </w:tcPr>
          <w:p w14:paraId="18E7E698"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right w:val="single" w:sz="4" w:space="0" w:color="auto"/>
            </w:tcBorders>
            <w:shd w:val="clear" w:color="auto" w:fill="auto"/>
          </w:tcPr>
          <w:p w14:paraId="13862578"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133515DF"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EE9A0A5"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event, n (%)</w:t>
            </w:r>
          </w:p>
        </w:tc>
        <w:tc>
          <w:tcPr>
            <w:tcW w:w="1396" w:type="pct"/>
            <w:shd w:val="clear" w:color="auto" w:fill="auto"/>
          </w:tcPr>
          <w:p w14:paraId="63C4C4F0"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0EC413B7" w14:textId="4EAB0E80" w:rsidR="00867BED" w:rsidRPr="00A44065" w:rsidRDefault="00867BED" w:rsidP="00867BED">
            <w:pPr>
              <w:pStyle w:val="TableCell10Center"/>
              <w:keepNext w:val="0"/>
              <w:keepLines w:val="0"/>
              <w:spacing w:before="20" w:after="20" w:line="240" w:lineRule="auto"/>
              <w:rPr>
                <w:rFonts w:ascii="Times New Roman" w:hAnsi="Times New Roman"/>
                <w:vertAlign w:val="superscript"/>
              </w:rPr>
            </w:pPr>
            <w:r w:rsidRPr="00A44065">
              <w:rPr>
                <w:rFonts w:ascii="Times New Roman" w:hAnsi="Times New Roman"/>
              </w:rPr>
              <w:t>81 (52.3)</w:t>
            </w:r>
          </w:p>
        </w:tc>
      </w:tr>
      <w:tr w:rsidR="00867BED" w:rsidRPr="00A44065" w14:paraId="1C92FA26"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694BCF0"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OS, months </w:t>
            </w:r>
            <w:r w:rsidRPr="00A44065">
              <w:rPr>
                <w:rFonts w:eastAsia="MS Mincho"/>
                <w:color w:val="auto"/>
                <w:sz w:val="20"/>
                <w:szCs w:val="20"/>
                <w:lang w:val="fr-CH"/>
              </w:rPr>
              <w:t>[95% CI]</w:t>
            </w:r>
          </w:p>
        </w:tc>
        <w:tc>
          <w:tcPr>
            <w:tcW w:w="1396" w:type="pct"/>
            <w:shd w:val="clear" w:color="auto" w:fill="auto"/>
          </w:tcPr>
          <w:p w14:paraId="4321347B"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6BE71EBC" w14:textId="135814AD"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12 [8.0, 16.1]</w:t>
            </w:r>
          </w:p>
        </w:tc>
      </w:tr>
      <w:tr w:rsidR="00867BED" w:rsidRPr="00A44065" w14:paraId="4D3F1EAE"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4D93545A"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6-month OS,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2817E4A7"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37AB99FC" w14:textId="351DF1F6"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71.6 [64.34, 78.89]</w:t>
            </w:r>
          </w:p>
        </w:tc>
      </w:tr>
      <w:tr w:rsidR="00867BED" w:rsidRPr="00A44065" w14:paraId="14D5047B"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0988D3A7"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9-month OS,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612C6A5C"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7FF92A34" w14:textId="58D83E4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54.8 [46.65, 62.87]</w:t>
            </w:r>
          </w:p>
        </w:tc>
      </w:tr>
      <w:tr w:rsidR="00867BED" w:rsidRPr="00A44065" w14:paraId="4F47E7DB"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bottom w:val="single" w:sz="4" w:space="0" w:color="auto"/>
            </w:tcBorders>
            <w:shd w:val="clear" w:color="auto" w:fill="auto"/>
          </w:tcPr>
          <w:p w14:paraId="4B199243"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12-month OS,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bottom w:val="single" w:sz="4" w:space="0" w:color="auto"/>
            </w:tcBorders>
            <w:shd w:val="clear" w:color="auto" w:fill="auto"/>
          </w:tcPr>
          <w:p w14:paraId="2F0CFB4B"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bottom w:val="single" w:sz="4" w:space="0" w:color="auto"/>
              <w:right w:val="single" w:sz="4" w:space="0" w:color="auto"/>
            </w:tcBorders>
            <w:shd w:val="clear" w:color="auto" w:fill="auto"/>
          </w:tcPr>
          <w:p w14:paraId="201135C1" w14:textId="7ADA612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50.4 [42.06, 58.71]</w:t>
            </w:r>
          </w:p>
        </w:tc>
      </w:tr>
      <w:tr w:rsidR="00867BED" w:rsidRPr="00A44065" w14:paraId="7839FEAA"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top w:val="single" w:sz="4" w:space="0" w:color="auto"/>
            </w:tcBorders>
            <w:shd w:val="clear" w:color="auto" w:fill="auto"/>
          </w:tcPr>
          <w:p w14:paraId="1496A5FC" w14:textId="77777777"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lastRenderedPageBreak/>
              <w:t>CI=confidence interval; INV=Investigator; IRC=Independent Review Committee; N/A=not applicable; NE=not estimable.</w:t>
            </w:r>
          </w:p>
          <w:p w14:paraId="63D16C1C" w14:textId="6F3CB6A1"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r>
            <w:proofErr w:type="gramStart"/>
            <w:r w:rsidRPr="00A44065">
              <w:rPr>
                <w:rFonts w:ascii="Times New Roman" w:hAnsi="Times New Roman"/>
                <w:sz w:val="18"/>
                <w:szCs w:val="18"/>
              </w:rPr>
              <w:t>From</w:t>
            </w:r>
            <w:proofErr w:type="gramEnd"/>
            <w:r w:rsidRPr="00A44065">
              <w:rPr>
                <w:rFonts w:ascii="Times New Roman" w:hAnsi="Times New Roman"/>
                <w:sz w:val="18"/>
                <w:szCs w:val="18"/>
              </w:rPr>
              <w:t xml:space="preserve"> date of first complete response until disease progression or death due to any cause.</w:t>
            </w:r>
          </w:p>
          <w:p w14:paraId="7A69FA37" w14:textId="3DE3B632"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t>Censored observations.</w:t>
            </w:r>
          </w:p>
          <w:p w14:paraId="62775D39" w14:textId="77777777"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t>c</w:t>
            </w:r>
            <w:r w:rsidRPr="00A44065">
              <w:rPr>
                <w:rFonts w:ascii="Times New Roman" w:hAnsi="Times New Roman"/>
                <w:sz w:val="18"/>
                <w:szCs w:val="18"/>
              </w:rPr>
              <w:tab/>
              <w:t>Event-free rates based on Kaplan-Meier estimates.</w:t>
            </w:r>
          </w:p>
          <w:p w14:paraId="4EB105D8" w14:textId="0E049FE9" w:rsidR="00867BED" w:rsidRPr="00A44065" w:rsidRDefault="00867BED" w:rsidP="00867BED">
            <w:pPr>
              <w:pStyle w:val="TabFigFooter"/>
              <w:keepNext w:val="0"/>
              <w:keepLines w:val="0"/>
              <w:spacing w:before="20" w:after="20" w:line="240" w:lineRule="auto"/>
              <w:rPr>
                <w:rFonts w:ascii="Times New Roman" w:hAnsi="Times New Roman"/>
              </w:rPr>
            </w:pPr>
            <w:r w:rsidRPr="00A44065">
              <w:rPr>
                <w:rFonts w:ascii="Times New Roman" w:hAnsi="Times New Roman"/>
                <w:sz w:val="18"/>
                <w:szCs w:val="18"/>
              </w:rPr>
              <w:t>d</w:t>
            </w:r>
            <w:r w:rsidRPr="00A44065">
              <w:rPr>
                <w:rFonts w:ascii="Times New Roman" w:hAnsi="Times New Roman"/>
                <w:sz w:val="18"/>
                <w:szCs w:val="18"/>
              </w:rPr>
              <w:tab/>
            </w:r>
            <w:proofErr w:type="gramStart"/>
            <w:r w:rsidRPr="00A44065">
              <w:rPr>
                <w:rFonts w:ascii="Times New Roman" w:hAnsi="Times New Roman"/>
                <w:sz w:val="18"/>
                <w:szCs w:val="18"/>
              </w:rPr>
              <w:t>From</w:t>
            </w:r>
            <w:proofErr w:type="gramEnd"/>
            <w:r w:rsidRPr="00A44065">
              <w:rPr>
                <w:rFonts w:ascii="Times New Roman" w:hAnsi="Times New Roman"/>
                <w:sz w:val="18"/>
                <w:szCs w:val="18"/>
              </w:rPr>
              <w:t xml:space="preserve"> date of first response (PR or CR) until disease progression or death due to any cause.</w:t>
            </w:r>
          </w:p>
        </w:tc>
      </w:tr>
    </w:tbl>
    <w:p w14:paraId="63EBBFBC" w14:textId="77777777" w:rsidR="003320D4" w:rsidRPr="00A44065" w:rsidRDefault="003320D4" w:rsidP="003320D4">
      <w:pPr>
        <w:pStyle w:val="ParagraphSpace"/>
        <w:rPr>
          <w:rFonts w:ascii="Times New Roman" w:hAnsi="Times New Roman"/>
        </w:rPr>
      </w:pPr>
    </w:p>
    <w:p w14:paraId="6627726D" w14:textId="77777777" w:rsidR="003320D4" w:rsidRPr="0008620B" w:rsidRDefault="003320D4" w:rsidP="003320D4">
      <w:pPr>
        <w:pStyle w:val="ParagraphSpace"/>
        <w:rPr>
          <w:rFonts w:ascii="Times New Roman" w:hAnsi="Times New Roman"/>
        </w:rPr>
      </w:pPr>
    </w:p>
    <w:p w14:paraId="774E946B" w14:textId="27624C2F" w:rsidR="00867BED" w:rsidRPr="0008620B" w:rsidRDefault="00867BED" w:rsidP="00867BED">
      <w:pPr>
        <w:rPr>
          <w:color w:val="auto"/>
          <w:sz w:val="22"/>
        </w:rPr>
      </w:pPr>
      <w:r w:rsidRPr="0008620B">
        <w:rPr>
          <w:color w:val="auto"/>
          <w:sz w:val="22"/>
        </w:rPr>
        <w:t>The efficacy population included a cohort of patients (N=40) where dexamethasone was mandated as the glucocorticoid premedication. In this cohort, the IRC-assessed ORR was 52.5% (95% CI: 36.1, 68.5) and the CR was 47.5% (95% CI: 31.5, 63.9).</w:t>
      </w:r>
    </w:p>
    <w:p w14:paraId="49CB29FA" w14:textId="77777777" w:rsidR="00867BED" w:rsidRPr="00A44065" w:rsidRDefault="00867BED" w:rsidP="00597A0D">
      <w:pPr>
        <w:pStyle w:val="Paragraph"/>
        <w:keepLines/>
        <w:rPr>
          <w:rFonts w:ascii="Times New Roman" w:hAnsi="Times New Roman"/>
        </w:rPr>
      </w:pPr>
    </w:p>
    <w:p w14:paraId="1A2C2E10" w14:textId="39D89A8F" w:rsidR="00867BED" w:rsidRPr="0008620B" w:rsidRDefault="00867BED" w:rsidP="00867BED">
      <w:pPr>
        <w:pStyle w:val="Paragraph"/>
        <w:rPr>
          <w:rFonts w:ascii="Times New Roman" w:hAnsi="Times New Roman"/>
        </w:rPr>
      </w:pPr>
      <w:r w:rsidRPr="00A44065">
        <w:rPr>
          <w:rFonts w:ascii="Times New Roman" w:hAnsi="Times New Roman"/>
          <w:b/>
        </w:rPr>
        <w:t>Figure 1:</w:t>
      </w:r>
      <w:r w:rsidRPr="00A44065">
        <w:rPr>
          <w:rFonts w:ascii="Times New Roman" w:hAnsi="Times New Roman"/>
          <w:b/>
        </w:rPr>
        <w:tab/>
        <w:t xml:space="preserve">Duration of IRC-Assessed Complete Response in Patients with Relapsed or Refractory DLBCL Treated with </w:t>
      </w:r>
      <w:proofErr w:type="spellStart"/>
      <w:r w:rsidR="00B719B6" w:rsidRPr="00A44065">
        <w:rPr>
          <w:rFonts w:ascii="Times New Roman" w:hAnsi="Times New Roman"/>
          <w:b/>
        </w:rPr>
        <w:t>Columvi</w:t>
      </w:r>
      <w:proofErr w:type="spellEnd"/>
      <w:r w:rsidRPr="00A44065">
        <w:rPr>
          <w:rFonts w:ascii="Times New Roman" w:hAnsi="Times New Roman"/>
          <w:b/>
        </w:rPr>
        <w:t xml:space="preserve"> Monotherapy</w:t>
      </w:r>
      <w:r w:rsidRPr="0008620B">
        <w:rPr>
          <w:rFonts w:ascii="Times New Roman" w:hAnsi="Times New Roman"/>
          <w:noProof/>
          <w:lang w:val="en-AU" w:eastAsia="en-AU"/>
        </w:rPr>
        <w:drawing>
          <wp:inline distT="0" distB="0" distL="0" distR="0" wp14:anchorId="3E3FB2D0" wp14:editId="2CBB9C72">
            <wp:extent cx="5376672" cy="2764491"/>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l="1067" t="10197" r="900" b="14206"/>
                    <a:stretch>
                      <a:fillRect/>
                    </a:stretch>
                  </pic:blipFill>
                  <pic:spPr bwMode="auto">
                    <a:xfrm>
                      <a:off x="0" y="0"/>
                      <a:ext cx="5378447" cy="2765403"/>
                    </a:xfrm>
                    <a:prstGeom prst="rect">
                      <a:avLst/>
                    </a:prstGeom>
                    <a:ln>
                      <a:noFill/>
                    </a:ln>
                    <a:extLst>
                      <a:ext uri="{53640926-AAD7-44D8-BBD7-CCE9431645EC}">
                        <a14:shadowObscured xmlns:a14="http://schemas.microsoft.com/office/drawing/2010/main"/>
                      </a:ext>
                    </a:extLst>
                  </pic:spPr>
                </pic:pic>
              </a:graphicData>
            </a:graphic>
          </wp:inline>
        </w:drawing>
      </w:r>
    </w:p>
    <w:p w14:paraId="2BEFE5C5" w14:textId="77777777" w:rsidR="00867BED" w:rsidRPr="0008620B" w:rsidRDefault="00867BED" w:rsidP="00867BED">
      <w:pPr>
        <w:pStyle w:val="Paragraph"/>
        <w:rPr>
          <w:rFonts w:ascii="Times New Roman" w:hAnsi="Times New Roman"/>
          <w:sz w:val="24"/>
        </w:rPr>
      </w:pPr>
    </w:p>
    <w:p w14:paraId="35E2072D" w14:textId="75D47602" w:rsidR="00867BED" w:rsidRPr="00A44065" w:rsidRDefault="00867BED" w:rsidP="00867BED">
      <w:pPr>
        <w:pStyle w:val="TableTitle"/>
        <w:rPr>
          <w:rFonts w:ascii="Times New Roman" w:hAnsi="Times New Roman"/>
        </w:rPr>
      </w:pPr>
      <w:r w:rsidRPr="0008620B">
        <w:rPr>
          <w:rFonts w:ascii="Times New Roman" w:hAnsi="Times New Roman"/>
        </w:rPr>
        <w:lastRenderedPageBreak/>
        <w:t>Figure 2:</w:t>
      </w:r>
      <w:r w:rsidRPr="0008620B">
        <w:rPr>
          <w:rFonts w:ascii="Times New Roman" w:hAnsi="Times New Roman"/>
        </w:rPr>
        <w:tab/>
        <w:t xml:space="preserve">Duration of IRC-Assessed Response in Patients with Relapsed or Refractory DLBCL Treated with </w:t>
      </w:r>
      <w:proofErr w:type="spellStart"/>
      <w:r w:rsidR="00B719B6" w:rsidRPr="0008620B">
        <w:rPr>
          <w:rFonts w:ascii="Times New Roman" w:hAnsi="Times New Roman"/>
        </w:rPr>
        <w:t>Columvi</w:t>
      </w:r>
      <w:proofErr w:type="spellEnd"/>
      <w:r w:rsidRPr="00A44065">
        <w:rPr>
          <w:rFonts w:ascii="Times New Roman" w:hAnsi="Times New Roman"/>
        </w:rPr>
        <w:t xml:space="preserve"> Monotherapy</w:t>
      </w:r>
    </w:p>
    <w:p w14:paraId="4696698A" w14:textId="6D1F9A6C" w:rsidR="00867BED" w:rsidRPr="0008620B" w:rsidRDefault="00867BED" w:rsidP="003320D4">
      <w:pPr>
        <w:pStyle w:val="ParagraphList"/>
        <w:rPr>
          <w:rFonts w:ascii="Times New Roman" w:hAnsi="Times New Roman"/>
          <w:i/>
          <w:sz w:val="20"/>
          <w:u w:val="single"/>
        </w:rPr>
      </w:pPr>
      <w:r w:rsidRPr="0008620B">
        <w:rPr>
          <w:noProof/>
          <w:lang w:val="en-AU" w:eastAsia="en-AU"/>
        </w:rPr>
        <w:drawing>
          <wp:inline distT="0" distB="0" distL="0" distR="0" wp14:anchorId="346D94CF" wp14:editId="6AF2A968">
            <wp:extent cx="5362041" cy="2750184"/>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066" t="10197" r="1179" b="14607"/>
                    <a:stretch>
                      <a:fillRect/>
                    </a:stretch>
                  </pic:blipFill>
                  <pic:spPr bwMode="auto">
                    <a:xfrm>
                      <a:off x="0" y="0"/>
                      <a:ext cx="5363183" cy="2750770"/>
                    </a:xfrm>
                    <a:prstGeom prst="rect">
                      <a:avLst/>
                    </a:prstGeom>
                    <a:ln>
                      <a:noFill/>
                    </a:ln>
                    <a:extLst>
                      <a:ext uri="{53640926-AAD7-44D8-BBD7-CCE9431645EC}">
                        <a14:shadowObscured xmlns:a14="http://schemas.microsoft.com/office/drawing/2010/main"/>
                      </a:ext>
                    </a:extLst>
                  </pic:spPr>
                </pic:pic>
              </a:graphicData>
            </a:graphic>
          </wp:inline>
        </w:drawing>
      </w:r>
    </w:p>
    <w:p w14:paraId="125DA55A" w14:textId="21BF651A" w:rsidR="003320D4" w:rsidRPr="00A44065" w:rsidRDefault="003320D4" w:rsidP="003320D4">
      <w:pPr>
        <w:pStyle w:val="ParagraphList"/>
        <w:rPr>
          <w:rFonts w:ascii="Times New Roman" w:hAnsi="Times New Roman"/>
          <w:sz w:val="20"/>
        </w:rPr>
      </w:pPr>
      <w:r w:rsidRPr="0008620B">
        <w:rPr>
          <w:rFonts w:ascii="Times New Roman" w:hAnsi="Times New Roman"/>
          <w:i/>
          <w:sz w:val="20"/>
          <w:u w:val="single"/>
        </w:rPr>
        <w:t>Patient Reported Outcomes</w:t>
      </w:r>
      <w:r w:rsidRPr="0008620B">
        <w:rPr>
          <w:rFonts w:ascii="Times New Roman" w:hAnsi="Times New Roman"/>
          <w:sz w:val="20"/>
        </w:rPr>
        <w:t xml:space="preserve"> </w:t>
      </w:r>
    </w:p>
    <w:p w14:paraId="2D9D3ACC" w14:textId="60DE33E1" w:rsidR="00D52399" w:rsidRPr="00A44065" w:rsidRDefault="003320D4" w:rsidP="003320D4">
      <w:pPr>
        <w:rPr>
          <w:color w:val="auto"/>
          <w:sz w:val="22"/>
        </w:rPr>
      </w:pPr>
      <w:r w:rsidRPr="00A44065">
        <w:rPr>
          <w:color w:val="auto"/>
          <w:sz w:val="22"/>
        </w:rPr>
        <w:t xml:space="preserve">Study NP30179 evaluated patient-reported outcomes of </w:t>
      </w:r>
      <w:proofErr w:type="spellStart"/>
      <w:r w:rsidR="00B719B6" w:rsidRPr="00A44065">
        <w:rPr>
          <w:color w:val="auto"/>
          <w:sz w:val="22"/>
        </w:rPr>
        <w:t>Columvi</w:t>
      </w:r>
      <w:proofErr w:type="spellEnd"/>
      <w:r w:rsidRPr="00A44065">
        <w:rPr>
          <w:color w:val="auto"/>
          <w:sz w:val="22"/>
        </w:rPr>
        <w:t xml:space="preserve"> treatment.  Patients reported moderate to moderate-high levels at baseline of Physical Functioning, Role Functioning, and Global Health Status/</w:t>
      </w:r>
      <w:r w:rsidR="000418ED" w:rsidRPr="00A44065">
        <w:rPr>
          <w:color w:val="auto"/>
          <w:sz w:val="22"/>
        </w:rPr>
        <w:t>Quality of Life (</w:t>
      </w:r>
      <w:r w:rsidRPr="00A44065">
        <w:rPr>
          <w:color w:val="auto"/>
          <w:sz w:val="22"/>
        </w:rPr>
        <w:t>QoL</w:t>
      </w:r>
      <w:r w:rsidR="000418ED" w:rsidRPr="00A44065">
        <w:rPr>
          <w:color w:val="auto"/>
          <w:sz w:val="22"/>
        </w:rPr>
        <w:t>)</w:t>
      </w:r>
      <w:r w:rsidRPr="00A44065">
        <w:rPr>
          <w:color w:val="auto"/>
          <w:sz w:val="22"/>
        </w:rPr>
        <w:t xml:space="preserve"> and low levels of fatigue (weakness, tiredness) as measured by the EORTC QLQ-C30 at baseline which were maintained during treatment.  Most patients indicated that symptoms commonly associated with </w:t>
      </w:r>
      <w:proofErr w:type="spellStart"/>
      <w:r w:rsidR="00B719B6" w:rsidRPr="00A44065">
        <w:rPr>
          <w:color w:val="auto"/>
          <w:sz w:val="22"/>
        </w:rPr>
        <w:t>Columvi</w:t>
      </w:r>
      <w:proofErr w:type="spellEnd"/>
      <w:r w:rsidRPr="00A44065">
        <w:rPr>
          <w:color w:val="auto"/>
          <w:sz w:val="22"/>
        </w:rPr>
        <w:t xml:space="preserve"> treatment (constipation, diarrh</w:t>
      </w:r>
      <w:r w:rsidR="000418ED" w:rsidRPr="00A44065">
        <w:rPr>
          <w:color w:val="auto"/>
          <w:sz w:val="22"/>
        </w:rPr>
        <w:t>o</w:t>
      </w:r>
      <w:r w:rsidRPr="00A44065">
        <w:rPr>
          <w:color w:val="auto"/>
          <w:sz w:val="22"/>
        </w:rPr>
        <w:t xml:space="preserve">ea, and nausea) were not present or were of low severity if </w:t>
      </w:r>
      <w:proofErr w:type="gramStart"/>
      <w:r w:rsidRPr="00A44065">
        <w:rPr>
          <w:color w:val="auto"/>
          <w:sz w:val="22"/>
        </w:rPr>
        <w:t>present, and</w:t>
      </w:r>
      <w:proofErr w:type="gramEnd"/>
      <w:r w:rsidRPr="00A44065">
        <w:rPr>
          <w:color w:val="auto"/>
          <w:sz w:val="22"/>
        </w:rPr>
        <w:t xml:space="preserve"> maintained during treatment.  Patients reported low levels of lymphoma symptoms at baseline as measured by the FACT-Lym scale which were maintained during treatment.</w:t>
      </w:r>
    </w:p>
    <w:p w14:paraId="03E57A6E" w14:textId="77777777" w:rsidR="00E03FA4" w:rsidRPr="00A44065" w:rsidRDefault="00E03FA4" w:rsidP="003320D4">
      <w:pPr>
        <w:rPr>
          <w:color w:val="auto"/>
          <w:sz w:val="22"/>
        </w:rPr>
      </w:pPr>
    </w:p>
    <w:p w14:paraId="15968B08" w14:textId="77777777" w:rsidR="00E03FA4" w:rsidRPr="00A44065" w:rsidRDefault="00E03FA4" w:rsidP="003320D4">
      <w:pPr>
        <w:rPr>
          <w:b/>
          <w:color w:val="auto"/>
          <w:sz w:val="22"/>
        </w:rPr>
      </w:pPr>
      <w:r w:rsidRPr="00A44065">
        <w:rPr>
          <w:b/>
          <w:color w:val="auto"/>
          <w:sz w:val="22"/>
        </w:rPr>
        <w:t>Immunogenicity</w:t>
      </w:r>
    </w:p>
    <w:p w14:paraId="4B6066CE" w14:textId="77777777" w:rsidR="00E03FA4" w:rsidRPr="00A44065" w:rsidRDefault="00E03FA4" w:rsidP="00E03FA4">
      <w:pPr>
        <w:pStyle w:val="Paragraph"/>
        <w:rPr>
          <w:rFonts w:ascii="Times New Roman" w:hAnsi="Times New Roman"/>
        </w:rPr>
      </w:pPr>
      <w:r w:rsidRPr="00A44065">
        <w:rPr>
          <w:rFonts w:ascii="Times New Roman" w:hAnsi="Times New Roman"/>
        </w:rPr>
        <w:t>As with all therapeutic proteins, there is a potential immunogenicity.</w:t>
      </w:r>
    </w:p>
    <w:p w14:paraId="4C54CFD1" w14:textId="69D5AAF5" w:rsidR="00E03FA4" w:rsidRPr="0008620B" w:rsidRDefault="00E03FA4" w:rsidP="00E03FA4">
      <w:pPr>
        <w:pStyle w:val="Paragraph"/>
        <w:rPr>
          <w:rFonts w:ascii="Times New Roman" w:hAnsi="Times New Roman"/>
        </w:rPr>
      </w:pPr>
      <w:proofErr w:type="gramStart"/>
      <w:r w:rsidRPr="00A44065">
        <w:rPr>
          <w:rFonts w:ascii="Times New Roman" w:hAnsi="Times New Roman"/>
        </w:rPr>
        <w:t>The majority of</w:t>
      </w:r>
      <w:proofErr w:type="gramEnd"/>
      <w:r w:rsidRPr="00A44065">
        <w:rPr>
          <w:rFonts w:ascii="Times New Roman" w:hAnsi="Times New Roman"/>
        </w:rPr>
        <w:t xml:space="preserve"> patients (</w:t>
      </w:r>
      <w:r w:rsidR="00526479" w:rsidRPr="00A44065">
        <w:rPr>
          <w:rFonts w:ascii="Times New Roman" w:hAnsi="Times New Roman"/>
        </w:rPr>
        <w:t>94.6</w:t>
      </w:r>
      <w:r w:rsidRPr="00A44065">
        <w:rPr>
          <w:rFonts w:ascii="Times New Roman" w:hAnsi="Times New Roman"/>
        </w:rPr>
        <w:t>%, N=</w:t>
      </w:r>
      <w:r w:rsidR="00526479" w:rsidRPr="00A44065">
        <w:rPr>
          <w:rFonts w:ascii="Times New Roman" w:hAnsi="Times New Roman"/>
        </w:rPr>
        <w:t>418</w:t>
      </w:r>
      <w:r w:rsidRPr="00A44065">
        <w:rPr>
          <w:rFonts w:ascii="Times New Roman" w:hAnsi="Times New Roman"/>
        </w:rPr>
        <w:t xml:space="preserve">) who received </w:t>
      </w:r>
      <w:proofErr w:type="spellStart"/>
      <w:r w:rsidRPr="00A44065">
        <w:rPr>
          <w:rFonts w:ascii="Times New Roman" w:hAnsi="Times New Roman"/>
        </w:rPr>
        <w:t>glofitamab</w:t>
      </w:r>
      <w:proofErr w:type="spellEnd"/>
      <w:r w:rsidRPr="00A44065">
        <w:rPr>
          <w:rFonts w:ascii="Times New Roman" w:hAnsi="Times New Roman"/>
        </w:rPr>
        <w:t xml:space="preserve"> monotherapy in study NP30179 were negative for </w:t>
      </w:r>
      <w:r w:rsidR="000F5C56" w:rsidRPr="00A44065">
        <w:rPr>
          <w:rFonts w:ascii="Times New Roman" w:hAnsi="Times New Roman"/>
        </w:rPr>
        <w:t>antidrug antibodies (</w:t>
      </w:r>
      <w:r w:rsidRPr="00A44065">
        <w:rPr>
          <w:rFonts w:ascii="Times New Roman" w:hAnsi="Times New Roman"/>
        </w:rPr>
        <w:t>ADAs</w:t>
      </w:r>
      <w:r w:rsidR="000F5C56" w:rsidRPr="00A44065">
        <w:rPr>
          <w:rFonts w:ascii="Times New Roman" w:hAnsi="Times New Roman"/>
        </w:rPr>
        <w:t>)</w:t>
      </w:r>
      <w:r w:rsidRPr="00A44065">
        <w:rPr>
          <w:rFonts w:ascii="Times New Roman" w:hAnsi="Times New Roman"/>
        </w:rPr>
        <w:t xml:space="preserve"> at baseline and remained negative throughout treatment with </w:t>
      </w:r>
      <w:proofErr w:type="spellStart"/>
      <w:r w:rsidR="00B719B6" w:rsidRPr="00A44065">
        <w:rPr>
          <w:rFonts w:ascii="Times New Roman" w:hAnsi="Times New Roman"/>
        </w:rPr>
        <w:t>Columvi</w:t>
      </w:r>
      <w:proofErr w:type="spellEnd"/>
      <w:r w:rsidRPr="00A44065">
        <w:rPr>
          <w:rFonts w:ascii="Times New Roman" w:hAnsi="Times New Roman"/>
        </w:rPr>
        <w:t xml:space="preserve">. </w:t>
      </w:r>
      <w:r w:rsidR="00526479" w:rsidRPr="00A44065">
        <w:rPr>
          <w:rFonts w:ascii="Times New Roman" w:hAnsi="Times New Roman"/>
        </w:rPr>
        <w:t xml:space="preserve">Two (0.5%) patients were negative for ADAs at baseline and became positive for ADAs during treatment. </w:t>
      </w:r>
      <w:r w:rsidRPr="00A44065">
        <w:rPr>
          <w:rFonts w:ascii="Times New Roman" w:hAnsi="Times New Roman"/>
        </w:rPr>
        <w:t xml:space="preserve">Three patients (0.8%) were ADA-positive at baseline and at one or more post-dose timepoints. </w:t>
      </w:r>
      <w:r w:rsidR="00526479" w:rsidRPr="00A44065">
        <w:rPr>
          <w:rFonts w:ascii="Times New Roman" w:hAnsi="Times New Roman"/>
        </w:rPr>
        <w:t xml:space="preserve">Due to the limited number of patients with antibodies against </w:t>
      </w:r>
      <w:proofErr w:type="spellStart"/>
      <w:r w:rsidR="00526479" w:rsidRPr="00A44065">
        <w:rPr>
          <w:rFonts w:ascii="Times New Roman" w:hAnsi="Times New Roman"/>
        </w:rPr>
        <w:t>glofitamab</w:t>
      </w:r>
      <w:proofErr w:type="spellEnd"/>
      <w:r w:rsidR="00526479" w:rsidRPr="00A44065">
        <w:rPr>
          <w:rFonts w:ascii="Times New Roman" w:hAnsi="Times New Roman"/>
        </w:rPr>
        <w:t>, no conclusions can be drawn concerning a potential effect of immunogenicity on efficacy or safety.</w:t>
      </w:r>
    </w:p>
    <w:p w14:paraId="6CB55CBD" w14:textId="77777777" w:rsidR="00E03FA4" w:rsidRPr="0008620B" w:rsidRDefault="00E03FA4" w:rsidP="00E03FA4">
      <w:pPr>
        <w:pStyle w:val="Paragraph"/>
        <w:rPr>
          <w:rFonts w:ascii="Times New Roman" w:hAnsi="Times New Roman"/>
        </w:rPr>
      </w:pPr>
      <w:r w:rsidRPr="0008620B">
        <w:rPr>
          <w:rFonts w:ascii="Times New Roman" w:hAnsi="Times New Roman"/>
        </w:rPr>
        <w:t xml:space="preserve">The detection of an immune response is highly dependent on the sensitivity and specificity of the assays used, sample handling, timing of sample collection, concomitant medications, and underlying disease.  For these reasons, comparison of the incidence of antibodies to </w:t>
      </w:r>
      <w:proofErr w:type="spellStart"/>
      <w:r w:rsidRPr="0008620B">
        <w:rPr>
          <w:rFonts w:ascii="Times New Roman" w:hAnsi="Times New Roman"/>
        </w:rPr>
        <w:t>glofitamab</w:t>
      </w:r>
      <w:proofErr w:type="spellEnd"/>
      <w:r w:rsidRPr="0008620B">
        <w:rPr>
          <w:rFonts w:ascii="Times New Roman" w:hAnsi="Times New Roman"/>
        </w:rPr>
        <w:t xml:space="preserve"> with the incidence of antibodies to other products may be misleading.</w:t>
      </w:r>
    </w:p>
    <w:p w14:paraId="7E017DCA" w14:textId="77777777" w:rsidR="00D52399" w:rsidRPr="00A44065" w:rsidRDefault="00902EBE" w:rsidP="00902EBE">
      <w:pPr>
        <w:pStyle w:val="Heading2"/>
        <w:rPr>
          <w:color w:val="auto"/>
        </w:rPr>
      </w:pPr>
      <w:r w:rsidRPr="0008620B">
        <w:rPr>
          <w:color w:val="auto"/>
        </w:rPr>
        <w:t>5.2</w:t>
      </w:r>
      <w:r w:rsidRPr="0008620B">
        <w:rPr>
          <w:color w:val="auto"/>
        </w:rPr>
        <w:tab/>
        <w:t xml:space="preserve">PHARMACOKINETIC PROPERTIES </w:t>
      </w:r>
    </w:p>
    <w:p w14:paraId="1A439FD4" w14:textId="77777777" w:rsidR="00045105" w:rsidRPr="00A44065" w:rsidRDefault="00E03FA4" w:rsidP="00BB2798">
      <w:pPr>
        <w:rPr>
          <w:color w:val="auto"/>
          <w:sz w:val="22"/>
          <w:szCs w:val="22"/>
        </w:rPr>
      </w:pPr>
      <w:r w:rsidRPr="00A44065">
        <w:rPr>
          <w:color w:val="auto"/>
          <w:sz w:val="22"/>
          <w:szCs w:val="22"/>
        </w:rPr>
        <w:t xml:space="preserve">Non-compartmental analyses indicate that </w:t>
      </w:r>
      <w:proofErr w:type="spellStart"/>
      <w:r w:rsidRPr="00A44065">
        <w:rPr>
          <w:color w:val="auto"/>
          <w:sz w:val="22"/>
          <w:szCs w:val="22"/>
        </w:rPr>
        <w:t>glofitamab</w:t>
      </w:r>
      <w:proofErr w:type="spellEnd"/>
      <w:r w:rsidRPr="00A44065">
        <w:rPr>
          <w:color w:val="auto"/>
          <w:sz w:val="22"/>
          <w:szCs w:val="22"/>
        </w:rPr>
        <w:t xml:space="preserve"> serum concentration reaches the maximal level (</w:t>
      </w:r>
      <w:proofErr w:type="spellStart"/>
      <w:r w:rsidRPr="00A44065">
        <w:rPr>
          <w:color w:val="auto"/>
          <w:sz w:val="22"/>
          <w:szCs w:val="22"/>
        </w:rPr>
        <w:t>C</w:t>
      </w:r>
      <w:r w:rsidRPr="00A44065">
        <w:rPr>
          <w:color w:val="auto"/>
          <w:sz w:val="22"/>
          <w:szCs w:val="22"/>
          <w:vertAlign w:val="subscript"/>
        </w:rPr>
        <w:t>max</w:t>
      </w:r>
      <w:proofErr w:type="spellEnd"/>
      <w:r w:rsidRPr="00A44065">
        <w:rPr>
          <w:color w:val="auto"/>
          <w:sz w:val="22"/>
          <w:szCs w:val="22"/>
        </w:rPr>
        <w:t xml:space="preserve">) at the end of infusion and declines in a bi-exponential fashion.  </w:t>
      </w:r>
      <w:proofErr w:type="spellStart"/>
      <w:r w:rsidRPr="00A44065">
        <w:rPr>
          <w:color w:val="auto"/>
          <w:sz w:val="22"/>
          <w:szCs w:val="22"/>
        </w:rPr>
        <w:t>Glofitamab</w:t>
      </w:r>
      <w:proofErr w:type="spellEnd"/>
      <w:r w:rsidRPr="00A44065">
        <w:rPr>
          <w:color w:val="auto"/>
          <w:sz w:val="22"/>
          <w:szCs w:val="22"/>
        </w:rPr>
        <w:t xml:space="preserve"> exhibits linear and dose-proportional pharmacokinetics over the dose range studied (0.005 to 30 mg) and is independent of time.</w:t>
      </w:r>
    </w:p>
    <w:p w14:paraId="2F573BCB" w14:textId="77777777" w:rsidR="00E03FA4" w:rsidRPr="00A44065" w:rsidRDefault="00E03FA4" w:rsidP="00BB2798">
      <w:pPr>
        <w:rPr>
          <w:color w:val="auto"/>
          <w:sz w:val="22"/>
          <w:szCs w:val="22"/>
        </w:rPr>
      </w:pPr>
    </w:p>
    <w:p w14:paraId="409DA1EE" w14:textId="77777777" w:rsidR="00D52399" w:rsidRPr="00A44065" w:rsidRDefault="00615052" w:rsidP="009F4C5B">
      <w:pPr>
        <w:pStyle w:val="Heading3"/>
        <w:spacing w:before="0"/>
        <w:rPr>
          <w:color w:val="auto"/>
          <w:sz w:val="22"/>
          <w:szCs w:val="22"/>
        </w:rPr>
      </w:pPr>
      <w:r w:rsidRPr="00A44065">
        <w:rPr>
          <w:color w:val="auto"/>
          <w:sz w:val="22"/>
          <w:szCs w:val="22"/>
        </w:rPr>
        <w:lastRenderedPageBreak/>
        <w:t>Absorption</w:t>
      </w:r>
    </w:p>
    <w:p w14:paraId="7A59F05D" w14:textId="450C7443" w:rsidR="00D52399" w:rsidRPr="00A44065" w:rsidRDefault="00B719B6">
      <w:pPr>
        <w:rPr>
          <w:color w:val="auto"/>
          <w:sz w:val="22"/>
          <w:szCs w:val="22"/>
        </w:rPr>
      </w:pPr>
      <w:proofErr w:type="spellStart"/>
      <w:r w:rsidRPr="00A44065">
        <w:rPr>
          <w:color w:val="auto"/>
          <w:sz w:val="22"/>
          <w:szCs w:val="22"/>
        </w:rPr>
        <w:t>Columvi</w:t>
      </w:r>
      <w:proofErr w:type="spellEnd"/>
      <w:r w:rsidR="003320D4" w:rsidRPr="00A44065">
        <w:rPr>
          <w:color w:val="auto"/>
          <w:sz w:val="22"/>
          <w:szCs w:val="22"/>
        </w:rPr>
        <w:t xml:space="preserve"> is administered as an IV infusion.  Peak concentration of </w:t>
      </w:r>
      <w:proofErr w:type="spellStart"/>
      <w:r w:rsidR="003320D4" w:rsidRPr="00A44065">
        <w:rPr>
          <w:color w:val="auto"/>
          <w:sz w:val="22"/>
          <w:szCs w:val="22"/>
        </w:rPr>
        <w:t>glofitamab</w:t>
      </w:r>
      <w:proofErr w:type="spellEnd"/>
      <w:r w:rsidR="003320D4" w:rsidRPr="00A44065">
        <w:rPr>
          <w:color w:val="auto"/>
          <w:sz w:val="22"/>
          <w:szCs w:val="22"/>
        </w:rPr>
        <w:t xml:space="preserve"> (</w:t>
      </w:r>
      <w:proofErr w:type="spellStart"/>
      <w:r w:rsidR="003320D4" w:rsidRPr="00A44065">
        <w:rPr>
          <w:color w:val="auto"/>
          <w:sz w:val="22"/>
          <w:szCs w:val="22"/>
        </w:rPr>
        <w:t>C</w:t>
      </w:r>
      <w:r w:rsidR="003320D4" w:rsidRPr="00A44065">
        <w:rPr>
          <w:color w:val="auto"/>
          <w:sz w:val="22"/>
          <w:szCs w:val="22"/>
          <w:vertAlign w:val="subscript"/>
        </w:rPr>
        <w:t>max</w:t>
      </w:r>
      <w:proofErr w:type="spellEnd"/>
      <w:r w:rsidR="003320D4" w:rsidRPr="00A44065">
        <w:rPr>
          <w:color w:val="auto"/>
          <w:sz w:val="22"/>
          <w:szCs w:val="22"/>
        </w:rPr>
        <w:t>) was reached at the end of the infusion.</w:t>
      </w:r>
    </w:p>
    <w:p w14:paraId="676715DF" w14:textId="77777777" w:rsidR="00D52399" w:rsidRPr="00A44065" w:rsidRDefault="00615052">
      <w:pPr>
        <w:pStyle w:val="Heading3"/>
        <w:rPr>
          <w:color w:val="auto"/>
          <w:sz w:val="22"/>
          <w:szCs w:val="22"/>
        </w:rPr>
      </w:pPr>
      <w:r w:rsidRPr="00A44065">
        <w:rPr>
          <w:color w:val="auto"/>
          <w:sz w:val="22"/>
          <w:szCs w:val="22"/>
        </w:rPr>
        <w:t>Distribution</w:t>
      </w:r>
    </w:p>
    <w:p w14:paraId="78BEF00A" w14:textId="4B7F8BB4" w:rsidR="003320D4" w:rsidRPr="00A44065" w:rsidRDefault="003320D4">
      <w:pPr>
        <w:rPr>
          <w:color w:val="auto"/>
          <w:sz w:val="22"/>
          <w:szCs w:val="22"/>
        </w:rPr>
      </w:pPr>
      <w:r w:rsidRPr="00A44065">
        <w:rPr>
          <w:color w:val="auto"/>
          <w:sz w:val="22"/>
          <w:szCs w:val="22"/>
        </w:rPr>
        <w:t xml:space="preserve">Following IV administration, the central volume of distribution was </w:t>
      </w:r>
      <w:r w:rsidR="00526479" w:rsidRPr="00A44065">
        <w:rPr>
          <w:color w:val="auto"/>
          <w:sz w:val="22"/>
          <w:szCs w:val="22"/>
        </w:rPr>
        <w:t>3.38</w:t>
      </w:r>
      <w:r w:rsidRPr="00A44065">
        <w:rPr>
          <w:color w:val="auto"/>
          <w:sz w:val="22"/>
          <w:szCs w:val="22"/>
        </w:rPr>
        <w:t xml:space="preserve"> L, which is close to total serum volume.  The peripheral volume of distribution was </w:t>
      </w:r>
      <w:r w:rsidR="00526479" w:rsidRPr="00A44065">
        <w:rPr>
          <w:color w:val="auto"/>
          <w:sz w:val="22"/>
          <w:szCs w:val="22"/>
        </w:rPr>
        <w:t>2.13</w:t>
      </w:r>
      <w:r w:rsidRPr="00A44065">
        <w:rPr>
          <w:color w:val="auto"/>
          <w:sz w:val="22"/>
          <w:szCs w:val="22"/>
        </w:rPr>
        <w:t> L.</w:t>
      </w:r>
    </w:p>
    <w:p w14:paraId="500B9C47" w14:textId="77777777" w:rsidR="003320D4" w:rsidRPr="00A44065" w:rsidRDefault="003320D4">
      <w:pPr>
        <w:rPr>
          <w:b/>
          <w:color w:val="auto"/>
          <w:sz w:val="22"/>
          <w:szCs w:val="22"/>
        </w:rPr>
      </w:pPr>
    </w:p>
    <w:p w14:paraId="68773851" w14:textId="77777777" w:rsidR="00BA0878" w:rsidRPr="00A44065" w:rsidRDefault="00BA0878">
      <w:pPr>
        <w:rPr>
          <w:b/>
          <w:color w:val="auto"/>
          <w:sz w:val="22"/>
          <w:szCs w:val="22"/>
        </w:rPr>
      </w:pPr>
      <w:r w:rsidRPr="00A44065">
        <w:rPr>
          <w:b/>
          <w:color w:val="auto"/>
          <w:sz w:val="22"/>
          <w:szCs w:val="22"/>
        </w:rPr>
        <w:t>Metabolism</w:t>
      </w:r>
    </w:p>
    <w:p w14:paraId="40B8642D" w14:textId="77777777" w:rsidR="003320D4" w:rsidRPr="00A44065" w:rsidRDefault="003320D4">
      <w:pPr>
        <w:rPr>
          <w:color w:val="auto"/>
          <w:sz w:val="22"/>
          <w:szCs w:val="22"/>
        </w:rPr>
      </w:pPr>
      <w:r w:rsidRPr="00A44065">
        <w:rPr>
          <w:color w:val="auto"/>
          <w:sz w:val="22"/>
          <w:szCs w:val="22"/>
        </w:rPr>
        <w:t xml:space="preserve">The metabolism of </w:t>
      </w:r>
      <w:proofErr w:type="spellStart"/>
      <w:r w:rsidRPr="00A44065">
        <w:rPr>
          <w:color w:val="auto"/>
          <w:sz w:val="22"/>
          <w:szCs w:val="22"/>
        </w:rPr>
        <w:t>glofitamab</w:t>
      </w:r>
      <w:proofErr w:type="spellEnd"/>
      <w:r w:rsidRPr="00A44065">
        <w:rPr>
          <w:color w:val="auto"/>
          <w:sz w:val="22"/>
          <w:szCs w:val="22"/>
        </w:rPr>
        <w:t xml:space="preserve"> has not been directly studied.  Antibodies are cleared principally by catabolism.</w:t>
      </w:r>
    </w:p>
    <w:p w14:paraId="7CE7E9A3" w14:textId="77777777" w:rsidR="003320D4" w:rsidRPr="00A44065" w:rsidRDefault="003320D4">
      <w:pPr>
        <w:rPr>
          <w:color w:val="auto"/>
          <w:sz w:val="22"/>
          <w:szCs w:val="22"/>
        </w:rPr>
      </w:pPr>
    </w:p>
    <w:p w14:paraId="67FB0381" w14:textId="77777777" w:rsidR="00BA0878" w:rsidRPr="00A44065" w:rsidRDefault="00BA0878">
      <w:pPr>
        <w:rPr>
          <w:b/>
          <w:color w:val="auto"/>
          <w:sz w:val="22"/>
          <w:szCs w:val="22"/>
        </w:rPr>
      </w:pPr>
      <w:r w:rsidRPr="00A44065">
        <w:rPr>
          <w:b/>
          <w:color w:val="auto"/>
          <w:sz w:val="22"/>
          <w:szCs w:val="22"/>
        </w:rPr>
        <w:t>Excretion</w:t>
      </w:r>
    </w:p>
    <w:p w14:paraId="23C25E48" w14:textId="77777777" w:rsidR="003320D4" w:rsidRPr="0008620B" w:rsidRDefault="003320D4" w:rsidP="003320D4">
      <w:pPr>
        <w:pStyle w:val="Paragraph"/>
        <w:rPr>
          <w:rFonts w:ascii="Times New Roman" w:hAnsi="Times New Roman"/>
          <w:szCs w:val="22"/>
        </w:rPr>
      </w:pPr>
      <w:r w:rsidRPr="00A44065">
        <w:rPr>
          <w:rFonts w:ascii="Times New Roman" w:hAnsi="Times New Roman"/>
          <w:szCs w:val="22"/>
        </w:rPr>
        <w:t xml:space="preserve">The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serum concentration</w:t>
      </w:r>
      <w:r w:rsidRPr="0008620B">
        <w:rPr>
          <w:rFonts w:ascii="Times New Roman" w:hAnsi="Times New Roman"/>
          <w:szCs w:val="22"/>
        </w:rPr>
        <w:sym w:font="Symbol" w:char="F02D"/>
      </w:r>
      <w:r w:rsidRPr="0008620B">
        <w:rPr>
          <w:rFonts w:ascii="Times New Roman" w:hAnsi="Times New Roman"/>
          <w:szCs w:val="22"/>
        </w:rPr>
        <w:t>time data are described by a population pharmacokinetic model with two compartments and both time-independent clearance and time-varying clearance.</w:t>
      </w:r>
    </w:p>
    <w:p w14:paraId="72A7B1A4" w14:textId="05B8441A" w:rsidR="003320D4" w:rsidRPr="00A44065" w:rsidRDefault="003320D4" w:rsidP="003320D4">
      <w:pPr>
        <w:pStyle w:val="Paragraph"/>
        <w:rPr>
          <w:rFonts w:ascii="Times New Roman" w:hAnsi="Times New Roman"/>
          <w:szCs w:val="22"/>
        </w:rPr>
      </w:pPr>
      <w:r w:rsidRPr="0008620B">
        <w:rPr>
          <w:rFonts w:ascii="Times New Roman" w:hAnsi="Times New Roman"/>
          <w:szCs w:val="22"/>
        </w:rPr>
        <w:t xml:space="preserve">The time-independent clearance pathway was estimated as </w:t>
      </w:r>
      <w:r w:rsidR="00526479" w:rsidRPr="0008620B">
        <w:rPr>
          <w:rFonts w:ascii="Times New Roman" w:hAnsi="Times New Roman"/>
          <w:szCs w:val="22"/>
        </w:rPr>
        <w:t>0.627</w:t>
      </w:r>
      <w:r w:rsidRPr="0008620B">
        <w:rPr>
          <w:rFonts w:ascii="Times New Roman" w:hAnsi="Times New Roman"/>
          <w:szCs w:val="22"/>
        </w:rPr>
        <w:t xml:space="preserve"> L/day and the initial time-varying clearance pathway as </w:t>
      </w:r>
      <w:r w:rsidR="00526479" w:rsidRPr="00A44065">
        <w:rPr>
          <w:rFonts w:ascii="Times New Roman" w:hAnsi="Times New Roman"/>
          <w:szCs w:val="22"/>
        </w:rPr>
        <w:t>0.584</w:t>
      </w:r>
      <w:r w:rsidRPr="00A44065">
        <w:rPr>
          <w:rFonts w:ascii="Times New Roman" w:hAnsi="Times New Roman"/>
          <w:szCs w:val="22"/>
        </w:rPr>
        <w:t> L/day, with an exponential decay over time (</w:t>
      </w:r>
      <w:proofErr w:type="spellStart"/>
      <w:r w:rsidRPr="00A44065">
        <w:rPr>
          <w:rFonts w:ascii="Times New Roman" w:hAnsi="Times New Roman"/>
          <w:szCs w:val="22"/>
        </w:rPr>
        <w:t>K</w:t>
      </w:r>
      <w:r w:rsidRPr="00A44065">
        <w:rPr>
          <w:rFonts w:ascii="Times New Roman" w:hAnsi="Times New Roman"/>
          <w:szCs w:val="22"/>
          <w:vertAlign w:val="subscript"/>
        </w:rPr>
        <w:t>des</w:t>
      </w:r>
      <w:proofErr w:type="spellEnd"/>
      <w:r w:rsidRPr="00A44065">
        <w:rPr>
          <w:rFonts w:ascii="Times New Roman" w:hAnsi="Times New Roman"/>
          <w:szCs w:val="22"/>
        </w:rPr>
        <w:t> ~ </w:t>
      </w:r>
      <w:r w:rsidR="00526479" w:rsidRPr="00A44065">
        <w:rPr>
          <w:rFonts w:ascii="Times New Roman" w:hAnsi="Times New Roman"/>
          <w:szCs w:val="22"/>
        </w:rPr>
        <w:t>0.614</w:t>
      </w:r>
      <w:r w:rsidRPr="00A44065">
        <w:rPr>
          <w:rFonts w:ascii="Times New Roman" w:hAnsi="Times New Roman"/>
          <w:szCs w:val="22"/>
        </w:rPr>
        <w:t xml:space="preserve">/day).  The estimated decay half-life from the initial total clearance value to the time-independent clearance only was estimated as </w:t>
      </w:r>
      <w:r w:rsidR="000414F1" w:rsidRPr="00A44065">
        <w:rPr>
          <w:rFonts w:ascii="Times New Roman" w:hAnsi="Times New Roman"/>
          <w:szCs w:val="22"/>
        </w:rPr>
        <w:t>1.26</w:t>
      </w:r>
      <w:r w:rsidRPr="00A44065">
        <w:rPr>
          <w:rFonts w:ascii="Times New Roman" w:hAnsi="Times New Roman"/>
          <w:szCs w:val="22"/>
        </w:rPr>
        <w:t> days.</w:t>
      </w:r>
    </w:p>
    <w:p w14:paraId="2656D757" w14:textId="2AEDC84E" w:rsidR="003320D4" w:rsidRPr="00A44065" w:rsidRDefault="003320D4" w:rsidP="003320D4">
      <w:pPr>
        <w:rPr>
          <w:color w:val="auto"/>
          <w:sz w:val="22"/>
          <w:szCs w:val="22"/>
        </w:rPr>
      </w:pPr>
      <w:r w:rsidRPr="00A44065">
        <w:rPr>
          <w:color w:val="auto"/>
          <w:sz w:val="22"/>
          <w:szCs w:val="22"/>
        </w:rPr>
        <w:t xml:space="preserve">The effective half-life in the linear phase (i.e., after the contribution of time-varying clearance has collapsed to a negligible amount) can be approximated to a typical linear effective half-life of </w:t>
      </w:r>
      <w:r w:rsidR="000414F1" w:rsidRPr="00A44065">
        <w:rPr>
          <w:color w:val="auto"/>
          <w:sz w:val="22"/>
          <w:szCs w:val="22"/>
        </w:rPr>
        <w:t>6.10</w:t>
      </w:r>
      <w:r w:rsidRPr="00A44065">
        <w:rPr>
          <w:color w:val="auto"/>
          <w:sz w:val="22"/>
          <w:szCs w:val="22"/>
        </w:rPr>
        <w:t> days based on the population pharmacokinetic analysis.</w:t>
      </w:r>
    </w:p>
    <w:p w14:paraId="6C8FFAB2" w14:textId="77777777" w:rsidR="00FF21DD" w:rsidRPr="00A44065" w:rsidRDefault="00FF21DD" w:rsidP="003320D4">
      <w:pPr>
        <w:rPr>
          <w:color w:val="auto"/>
          <w:sz w:val="22"/>
          <w:szCs w:val="22"/>
        </w:rPr>
      </w:pPr>
    </w:p>
    <w:p w14:paraId="6A91738D" w14:textId="77777777" w:rsidR="00FF21DD" w:rsidRPr="00A44065" w:rsidRDefault="00FF21DD" w:rsidP="00FF21DD">
      <w:pPr>
        <w:pStyle w:val="Heading3"/>
        <w:rPr>
          <w:color w:val="auto"/>
          <w:sz w:val="22"/>
          <w:szCs w:val="22"/>
        </w:rPr>
      </w:pPr>
      <w:r w:rsidRPr="00A44065">
        <w:rPr>
          <w:color w:val="auto"/>
          <w:sz w:val="22"/>
          <w:szCs w:val="22"/>
        </w:rPr>
        <w:t xml:space="preserve">Pharmacokinetics in Special Populations </w:t>
      </w:r>
    </w:p>
    <w:p w14:paraId="690ACFD9" w14:textId="333975E1" w:rsidR="00FF21DD" w:rsidRPr="00A44065" w:rsidRDefault="00FF21DD" w:rsidP="00FF21DD">
      <w:pPr>
        <w:pStyle w:val="ParagraphList"/>
        <w:rPr>
          <w:rFonts w:ascii="Times New Roman" w:hAnsi="Times New Roman"/>
          <w:i/>
          <w:szCs w:val="22"/>
        </w:rPr>
      </w:pPr>
      <w:proofErr w:type="spellStart"/>
      <w:r w:rsidRPr="00A44065">
        <w:rPr>
          <w:rFonts w:ascii="Times New Roman" w:hAnsi="Times New Roman"/>
          <w:i/>
          <w:szCs w:val="22"/>
        </w:rPr>
        <w:t>P</w:t>
      </w:r>
      <w:r w:rsidR="000418ED" w:rsidRPr="00A44065">
        <w:rPr>
          <w:rFonts w:ascii="Times New Roman" w:hAnsi="Times New Roman"/>
          <w:i/>
          <w:szCs w:val="22"/>
        </w:rPr>
        <w:t>a</w:t>
      </w:r>
      <w:r w:rsidRPr="00A44065">
        <w:rPr>
          <w:rFonts w:ascii="Times New Roman" w:hAnsi="Times New Roman"/>
          <w:i/>
          <w:szCs w:val="22"/>
        </w:rPr>
        <w:t>ediatric</w:t>
      </w:r>
      <w:proofErr w:type="spellEnd"/>
      <w:r w:rsidRPr="00A44065">
        <w:rPr>
          <w:rFonts w:ascii="Times New Roman" w:hAnsi="Times New Roman"/>
          <w:i/>
          <w:szCs w:val="22"/>
        </w:rPr>
        <w:t xml:space="preserve"> Population</w:t>
      </w:r>
    </w:p>
    <w:p w14:paraId="5ED499B0" w14:textId="1DB95030" w:rsidR="00FF21DD" w:rsidRPr="00A44065" w:rsidRDefault="00FF21DD" w:rsidP="00FF21DD">
      <w:pPr>
        <w:pStyle w:val="Paragraph"/>
        <w:rPr>
          <w:rFonts w:ascii="Times New Roman" w:hAnsi="Times New Roman"/>
          <w:szCs w:val="22"/>
        </w:rPr>
      </w:pPr>
      <w:r w:rsidRPr="00A44065">
        <w:rPr>
          <w:rFonts w:ascii="Times New Roman" w:hAnsi="Times New Roman"/>
          <w:szCs w:val="22"/>
        </w:rPr>
        <w:t xml:space="preserve">No studies have been conducted to investigate the pharmacokinetics of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in </w:t>
      </w:r>
      <w:proofErr w:type="spellStart"/>
      <w:r w:rsidRPr="00A44065">
        <w:rPr>
          <w:rFonts w:ascii="Times New Roman" w:hAnsi="Times New Roman"/>
          <w:szCs w:val="22"/>
        </w:rPr>
        <w:t>p</w:t>
      </w:r>
      <w:r w:rsidR="000418ED" w:rsidRPr="00A44065">
        <w:rPr>
          <w:rFonts w:ascii="Times New Roman" w:hAnsi="Times New Roman"/>
          <w:szCs w:val="22"/>
        </w:rPr>
        <w:t>a</w:t>
      </w:r>
      <w:r w:rsidRPr="00A44065">
        <w:rPr>
          <w:rFonts w:ascii="Times New Roman" w:hAnsi="Times New Roman"/>
          <w:szCs w:val="22"/>
        </w:rPr>
        <w:t>ediatric</w:t>
      </w:r>
      <w:proofErr w:type="spellEnd"/>
      <w:r w:rsidRPr="00A44065">
        <w:rPr>
          <w:rFonts w:ascii="Times New Roman" w:hAnsi="Times New Roman"/>
          <w:szCs w:val="22"/>
        </w:rPr>
        <w:t xml:space="preserve"> patients.</w:t>
      </w:r>
    </w:p>
    <w:p w14:paraId="1D18D752" w14:textId="77777777" w:rsidR="00FF21DD" w:rsidRPr="00A44065" w:rsidRDefault="00FF21DD" w:rsidP="00FF21DD">
      <w:pPr>
        <w:pStyle w:val="ParagraphList"/>
        <w:rPr>
          <w:rFonts w:ascii="Times New Roman" w:hAnsi="Times New Roman"/>
          <w:i/>
          <w:szCs w:val="22"/>
        </w:rPr>
      </w:pPr>
      <w:r w:rsidRPr="00A44065">
        <w:rPr>
          <w:rFonts w:ascii="Times New Roman" w:hAnsi="Times New Roman"/>
          <w:i/>
          <w:szCs w:val="22"/>
        </w:rPr>
        <w:t>Geriatric Population</w:t>
      </w:r>
    </w:p>
    <w:p w14:paraId="5D092B38" w14:textId="77777777" w:rsidR="00FF21DD" w:rsidRPr="00A44065" w:rsidRDefault="00FF21DD" w:rsidP="00FF21DD">
      <w:pPr>
        <w:pStyle w:val="Paragraph"/>
        <w:rPr>
          <w:rFonts w:ascii="Times New Roman" w:hAnsi="Times New Roman"/>
          <w:szCs w:val="22"/>
        </w:rPr>
      </w:pPr>
      <w:r w:rsidRPr="00A44065">
        <w:rPr>
          <w:rFonts w:ascii="Times New Roman" w:hAnsi="Times New Roman"/>
          <w:szCs w:val="22"/>
        </w:rPr>
        <w:t xml:space="preserve">No differences in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exposure were noted in patients 65 years of age and older and those under 65 years based on population pharmacokinetic analysis. </w:t>
      </w:r>
    </w:p>
    <w:p w14:paraId="43CBF9A8" w14:textId="77777777" w:rsidR="00FF21DD" w:rsidRPr="00A44065" w:rsidRDefault="00FF21DD" w:rsidP="00FF21DD">
      <w:pPr>
        <w:pStyle w:val="ParagraphList"/>
        <w:rPr>
          <w:rFonts w:ascii="Times New Roman" w:hAnsi="Times New Roman"/>
          <w:i/>
          <w:szCs w:val="22"/>
        </w:rPr>
      </w:pPr>
      <w:r w:rsidRPr="00A44065">
        <w:rPr>
          <w:rFonts w:ascii="Times New Roman" w:hAnsi="Times New Roman"/>
          <w:i/>
          <w:szCs w:val="22"/>
        </w:rPr>
        <w:t>Renal impairment</w:t>
      </w:r>
    </w:p>
    <w:p w14:paraId="0335749B" w14:textId="7F2A1B8B" w:rsidR="00FF21DD" w:rsidRPr="00A44065" w:rsidRDefault="00FF21DD" w:rsidP="00FF21DD">
      <w:pPr>
        <w:pStyle w:val="Paragraph"/>
        <w:rPr>
          <w:rFonts w:ascii="Times New Roman" w:hAnsi="Times New Roman"/>
          <w:szCs w:val="22"/>
        </w:rPr>
      </w:pPr>
      <w:r w:rsidRPr="00A44065">
        <w:rPr>
          <w:rFonts w:ascii="Times New Roman" w:hAnsi="Times New Roman"/>
          <w:szCs w:val="22"/>
        </w:rPr>
        <w:t xml:space="preserve">Population pharmacokinetic analyses showed that creatinine clearance does not affect the pharmacokinetics of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The pharmacokinetics of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in patients with mild or moderate renal impairment </w:t>
      </w:r>
      <w:r w:rsidR="000414F1" w:rsidRPr="00A44065">
        <w:rPr>
          <w:rFonts w:ascii="Times New Roman" w:hAnsi="Times New Roman"/>
          <w:szCs w:val="22"/>
        </w:rPr>
        <w:t>(</w:t>
      </w:r>
      <w:proofErr w:type="spellStart"/>
      <w:r w:rsidR="000414F1" w:rsidRPr="00A44065">
        <w:rPr>
          <w:rFonts w:ascii="Times New Roman" w:hAnsi="Times New Roman"/>
          <w:szCs w:val="22"/>
        </w:rPr>
        <w:t>CrCL</w:t>
      </w:r>
      <w:proofErr w:type="spellEnd"/>
      <w:r w:rsidR="000414F1" w:rsidRPr="00A44065">
        <w:rPr>
          <w:rFonts w:ascii="Times New Roman" w:hAnsi="Times New Roman"/>
          <w:szCs w:val="22"/>
        </w:rPr>
        <w:t xml:space="preserve"> 30 to &lt; 90 mL/min) </w:t>
      </w:r>
      <w:r w:rsidRPr="00A44065">
        <w:rPr>
          <w:rFonts w:ascii="Times New Roman" w:hAnsi="Times New Roman"/>
          <w:szCs w:val="22"/>
        </w:rPr>
        <w:t xml:space="preserve">were </w:t>
      </w:r>
      <w:proofErr w:type="gramStart"/>
      <w:r w:rsidRPr="00A44065">
        <w:rPr>
          <w:rFonts w:ascii="Times New Roman" w:hAnsi="Times New Roman"/>
          <w:szCs w:val="22"/>
        </w:rPr>
        <w:t>similar to</w:t>
      </w:r>
      <w:proofErr w:type="gramEnd"/>
      <w:r w:rsidRPr="00A44065">
        <w:rPr>
          <w:rFonts w:ascii="Times New Roman" w:hAnsi="Times New Roman"/>
          <w:szCs w:val="22"/>
        </w:rPr>
        <w:t xml:space="preserve"> those in patients with normal renal function.  No dose adjustment is required for patients with mild or moderate renal impairment.  </w:t>
      </w:r>
      <w:proofErr w:type="spellStart"/>
      <w:r w:rsidR="00B719B6" w:rsidRPr="00A44065">
        <w:rPr>
          <w:rFonts w:ascii="Times New Roman" w:hAnsi="Times New Roman"/>
          <w:szCs w:val="22"/>
        </w:rPr>
        <w:t>Columvi</w:t>
      </w:r>
      <w:proofErr w:type="spellEnd"/>
      <w:r w:rsidRPr="00A44065">
        <w:rPr>
          <w:rFonts w:ascii="Times New Roman" w:hAnsi="Times New Roman"/>
          <w:szCs w:val="22"/>
        </w:rPr>
        <w:t xml:space="preserve"> has not been studied in patients with severe renal impairment.</w:t>
      </w:r>
    </w:p>
    <w:p w14:paraId="34C7183B" w14:textId="77777777" w:rsidR="00FF21DD" w:rsidRPr="00A44065" w:rsidRDefault="00FF21DD" w:rsidP="00FF21DD">
      <w:pPr>
        <w:pStyle w:val="ParagraphList"/>
        <w:rPr>
          <w:rFonts w:ascii="Times New Roman" w:hAnsi="Times New Roman"/>
          <w:i/>
          <w:szCs w:val="22"/>
        </w:rPr>
      </w:pPr>
      <w:r w:rsidRPr="00A44065">
        <w:rPr>
          <w:rFonts w:ascii="Times New Roman" w:hAnsi="Times New Roman"/>
          <w:i/>
          <w:szCs w:val="22"/>
        </w:rPr>
        <w:t>Hepatic impairment</w:t>
      </w:r>
    </w:p>
    <w:p w14:paraId="54F95292" w14:textId="0E83403B" w:rsidR="00FF21DD" w:rsidRPr="0008620B" w:rsidRDefault="000414F1" w:rsidP="00FF21DD">
      <w:pPr>
        <w:rPr>
          <w:color w:val="auto"/>
          <w:sz w:val="22"/>
          <w:szCs w:val="22"/>
        </w:rPr>
      </w:pPr>
      <w:r w:rsidRPr="00A44065">
        <w:rPr>
          <w:color w:val="auto"/>
          <w:sz w:val="22"/>
          <w:szCs w:val="22"/>
        </w:rPr>
        <w:t xml:space="preserve">Population pharmacokinetic analyses showed hepatic impairment does not affect the pharmacokinetics of </w:t>
      </w:r>
      <w:proofErr w:type="spellStart"/>
      <w:r w:rsidRPr="00A44065">
        <w:rPr>
          <w:color w:val="auto"/>
          <w:sz w:val="22"/>
          <w:szCs w:val="22"/>
        </w:rPr>
        <w:t>glofitamab</w:t>
      </w:r>
      <w:proofErr w:type="spellEnd"/>
      <w:r w:rsidRPr="00A44065">
        <w:rPr>
          <w:color w:val="auto"/>
          <w:sz w:val="22"/>
          <w:szCs w:val="22"/>
        </w:rPr>
        <w:t xml:space="preserve">. The pharmacokinetic of </w:t>
      </w:r>
      <w:proofErr w:type="spellStart"/>
      <w:r w:rsidRPr="00A44065">
        <w:rPr>
          <w:color w:val="auto"/>
          <w:sz w:val="22"/>
          <w:szCs w:val="22"/>
        </w:rPr>
        <w:t>glofitamab</w:t>
      </w:r>
      <w:proofErr w:type="spellEnd"/>
      <w:r w:rsidRPr="00A44065">
        <w:rPr>
          <w:color w:val="auto"/>
          <w:sz w:val="22"/>
          <w:szCs w:val="22"/>
        </w:rPr>
        <w:t xml:space="preserve"> in patients with mild hepatic impairment (total bilirubin &gt; ULN to ≤ 1.5 × ULN or AST &gt; ULN) were </w:t>
      </w:r>
      <w:proofErr w:type="gramStart"/>
      <w:r w:rsidRPr="00A44065">
        <w:rPr>
          <w:color w:val="auto"/>
          <w:sz w:val="22"/>
          <w:szCs w:val="22"/>
        </w:rPr>
        <w:t>similar to</w:t>
      </w:r>
      <w:proofErr w:type="gramEnd"/>
      <w:r w:rsidRPr="00A44065">
        <w:rPr>
          <w:color w:val="auto"/>
          <w:sz w:val="22"/>
          <w:szCs w:val="22"/>
        </w:rPr>
        <w:t xml:space="preserve"> those with normal hepatic functions.  No dose adjustment is required for patients with mild hepatic impairment.  </w:t>
      </w:r>
      <w:proofErr w:type="spellStart"/>
      <w:r w:rsidR="00B719B6" w:rsidRPr="00A44065">
        <w:rPr>
          <w:color w:val="auto"/>
          <w:sz w:val="22"/>
          <w:szCs w:val="22"/>
        </w:rPr>
        <w:t>Columvi</w:t>
      </w:r>
      <w:proofErr w:type="spellEnd"/>
      <w:r w:rsidRPr="00A44065">
        <w:rPr>
          <w:color w:val="auto"/>
          <w:sz w:val="22"/>
          <w:szCs w:val="22"/>
        </w:rPr>
        <w:t xml:space="preserve"> has not been studied in patients with moderate and severe hepatic impairment. </w:t>
      </w:r>
    </w:p>
    <w:p w14:paraId="7BE19249" w14:textId="77777777" w:rsidR="003320D4" w:rsidRPr="0008620B" w:rsidRDefault="003320D4" w:rsidP="003320D4">
      <w:pPr>
        <w:rPr>
          <w:b/>
          <w:color w:val="auto"/>
          <w:sz w:val="22"/>
          <w:szCs w:val="22"/>
        </w:rPr>
      </w:pPr>
    </w:p>
    <w:p w14:paraId="17B60643" w14:textId="77777777" w:rsidR="00D52399" w:rsidRPr="0008620B" w:rsidRDefault="00902EBE" w:rsidP="009F4C5B">
      <w:pPr>
        <w:pStyle w:val="Heading2"/>
        <w:spacing w:before="0"/>
        <w:rPr>
          <w:color w:val="auto"/>
        </w:rPr>
      </w:pPr>
      <w:r w:rsidRPr="0008620B">
        <w:rPr>
          <w:color w:val="auto"/>
        </w:rPr>
        <w:lastRenderedPageBreak/>
        <w:t>5.3</w:t>
      </w:r>
      <w:r w:rsidRPr="0008620B">
        <w:rPr>
          <w:color w:val="auto"/>
        </w:rPr>
        <w:tab/>
        <w:t>PRECLINICAL SAFETY DATA</w:t>
      </w:r>
    </w:p>
    <w:p w14:paraId="06B95CC7" w14:textId="451CB966" w:rsidR="00AB5A9E" w:rsidRPr="0008620B" w:rsidRDefault="00AB5A9E" w:rsidP="00AB5A9E">
      <w:pPr>
        <w:pStyle w:val="Heading3"/>
        <w:rPr>
          <w:color w:val="auto"/>
          <w:sz w:val="22"/>
          <w:szCs w:val="22"/>
        </w:rPr>
      </w:pPr>
      <w:proofErr w:type="spellStart"/>
      <w:r w:rsidRPr="0008620B">
        <w:rPr>
          <w:color w:val="auto"/>
          <w:sz w:val="22"/>
          <w:szCs w:val="22"/>
        </w:rPr>
        <w:t>Genotoxity</w:t>
      </w:r>
      <w:proofErr w:type="spellEnd"/>
    </w:p>
    <w:p w14:paraId="10290315" w14:textId="77777777" w:rsidR="00AB5A9E" w:rsidRPr="0008620B" w:rsidRDefault="00AB5A9E" w:rsidP="00AB5A9E">
      <w:pPr>
        <w:rPr>
          <w:color w:val="auto"/>
          <w:sz w:val="22"/>
          <w:szCs w:val="22"/>
        </w:rPr>
      </w:pPr>
      <w:r w:rsidRPr="0008620B">
        <w:rPr>
          <w:color w:val="auto"/>
          <w:sz w:val="22"/>
          <w:szCs w:val="22"/>
        </w:rPr>
        <w:t xml:space="preserve">No </w:t>
      </w:r>
      <w:r w:rsidRPr="00A44065">
        <w:rPr>
          <w:color w:val="auto"/>
          <w:sz w:val="22"/>
          <w:szCs w:val="22"/>
        </w:rPr>
        <w:t>genotoxicity</w:t>
      </w:r>
      <w:r w:rsidRPr="0008620B">
        <w:rPr>
          <w:color w:val="auto"/>
          <w:sz w:val="22"/>
          <w:szCs w:val="22"/>
        </w:rPr>
        <w:t xml:space="preserve"> studies have been performed </w:t>
      </w:r>
      <w:r w:rsidRPr="0008620B">
        <w:rPr>
          <w:color w:val="auto"/>
          <w:sz w:val="22"/>
          <w:szCs w:val="22"/>
          <w:lang w:eastAsia="ko-KR" w:bidi="he-IL"/>
        </w:rPr>
        <w:t xml:space="preserve">with </w:t>
      </w:r>
      <w:proofErr w:type="spellStart"/>
      <w:r w:rsidRPr="00A44065">
        <w:rPr>
          <w:color w:val="auto"/>
          <w:sz w:val="22"/>
          <w:szCs w:val="22"/>
          <w:lang w:eastAsia="ko-KR" w:bidi="he-IL"/>
        </w:rPr>
        <w:t>glofitamab</w:t>
      </w:r>
      <w:proofErr w:type="spellEnd"/>
      <w:r w:rsidRPr="00A44065">
        <w:rPr>
          <w:color w:val="auto"/>
          <w:sz w:val="22"/>
          <w:szCs w:val="22"/>
          <w:lang w:eastAsia="ko-KR" w:bidi="he-IL"/>
        </w:rPr>
        <w:t xml:space="preserve">. As a large protein molecule, </w:t>
      </w:r>
      <w:proofErr w:type="spellStart"/>
      <w:r w:rsidRPr="00A44065">
        <w:rPr>
          <w:color w:val="auto"/>
          <w:sz w:val="22"/>
          <w:szCs w:val="22"/>
          <w:lang w:eastAsia="ko-KR" w:bidi="he-IL"/>
        </w:rPr>
        <w:t>glofitamab</w:t>
      </w:r>
      <w:proofErr w:type="spellEnd"/>
      <w:r w:rsidRPr="00A44065">
        <w:rPr>
          <w:color w:val="auto"/>
          <w:sz w:val="22"/>
          <w:szCs w:val="22"/>
          <w:lang w:eastAsia="ko-KR" w:bidi="he-IL"/>
        </w:rPr>
        <w:t xml:space="preserve"> is not expected to interact with DNA or other chromosomal material.</w:t>
      </w:r>
    </w:p>
    <w:p w14:paraId="1067E65E" w14:textId="77777777" w:rsidR="00AB5A9E" w:rsidRPr="0008620B" w:rsidRDefault="00AB5A9E" w:rsidP="00AB5A9E">
      <w:pPr>
        <w:pStyle w:val="Heading3"/>
        <w:rPr>
          <w:color w:val="auto"/>
          <w:sz w:val="22"/>
          <w:szCs w:val="22"/>
        </w:rPr>
      </w:pPr>
      <w:r w:rsidRPr="00A44065">
        <w:rPr>
          <w:color w:val="auto"/>
          <w:sz w:val="22"/>
          <w:szCs w:val="22"/>
        </w:rPr>
        <w:t>Carcinogenicity</w:t>
      </w:r>
    </w:p>
    <w:p w14:paraId="7CFD5E4A" w14:textId="7EE21FFF" w:rsidR="00AB5A9E" w:rsidRPr="0008620B" w:rsidRDefault="00AB5A9E" w:rsidP="00AB5A9E">
      <w:pPr>
        <w:rPr>
          <w:color w:val="auto"/>
          <w:sz w:val="22"/>
          <w:szCs w:val="22"/>
          <w:lang w:eastAsia="ko-KR" w:bidi="he-IL"/>
        </w:rPr>
      </w:pPr>
      <w:r w:rsidRPr="0008620B">
        <w:rPr>
          <w:color w:val="auto"/>
          <w:sz w:val="22"/>
          <w:szCs w:val="22"/>
        </w:rPr>
        <w:t xml:space="preserve">No </w:t>
      </w:r>
      <w:r w:rsidRPr="00A44065">
        <w:rPr>
          <w:color w:val="auto"/>
          <w:sz w:val="22"/>
          <w:szCs w:val="22"/>
        </w:rPr>
        <w:t>long-term animal studies</w:t>
      </w:r>
      <w:r w:rsidRPr="0008620B">
        <w:rPr>
          <w:color w:val="auto"/>
          <w:sz w:val="22"/>
          <w:szCs w:val="22"/>
        </w:rPr>
        <w:t xml:space="preserve"> have been performed to investigate the carcinogenic potential of </w:t>
      </w:r>
      <w:proofErr w:type="spellStart"/>
      <w:r w:rsidRPr="00A44065">
        <w:rPr>
          <w:color w:val="auto"/>
          <w:sz w:val="22"/>
          <w:szCs w:val="22"/>
        </w:rPr>
        <w:t>glofitamab</w:t>
      </w:r>
      <w:proofErr w:type="spellEnd"/>
      <w:r w:rsidRPr="00A44065">
        <w:rPr>
          <w:color w:val="auto"/>
          <w:sz w:val="22"/>
          <w:szCs w:val="22"/>
          <w:lang w:eastAsia="ko-KR" w:bidi="he-IL"/>
        </w:rPr>
        <w:t>.</w:t>
      </w:r>
    </w:p>
    <w:p w14:paraId="43F27771" w14:textId="77777777" w:rsidR="00AB5A9E" w:rsidRPr="0008620B" w:rsidRDefault="00AB5A9E" w:rsidP="00AB5A9E">
      <w:pPr>
        <w:rPr>
          <w:color w:val="auto"/>
          <w:sz w:val="22"/>
          <w:szCs w:val="22"/>
          <w:lang w:eastAsia="ko-KR" w:bidi="he-IL"/>
        </w:rPr>
      </w:pPr>
    </w:p>
    <w:p w14:paraId="5BFFBD4A" w14:textId="77777777" w:rsidR="00D52399" w:rsidRPr="0008620B" w:rsidRDefault="00615052" w:rsidP="00E03FA4">
      <w:pPr>
        <w:pStyle w:val="Heading1"/>
        <w:numPr>
          <w:ilvl w:val="0"/>
          <w:numId w:val="2"/>
        </w:numPr>
        <w:spacing w:before="0"/>
        <w:rPr>
          <w:color w:val="auto"/>
        </w:rPr>
      </w:pPr>
      <w:r w:rsidRPr="0008620B">
        <w:rPr>
          <w:color w:val="auto"/>
        </w:rPr>
        <w:t>PHARMACEUTICAL PARTICULARS</w:t>
      </w:r>
    </w:p>
    <w:p w14:paraId="7D0DBA3D" w14:textId="77777777" w:rsidR="00D52399" w:rsidRPr="00A44065" w:rsidRDefault="00CC6729" w:rsidP="009F4C5B">
      <w:pPr>
        <w:pStyle w:val="Heading2"/>
        <w:spacing w:before="0"/>
        <w:rPr>
          <w:color w:val="auto"/>
        </w:rPr>
      </w:pPr>
      <w:r w:rsidRPr="00A44065">
        <w:rPr>
          <w:color w:val="auto"/>
        </w:rPr>
        <w:t>6.1</w:t>
      </w:r>
      <w:r w:rsidRPr="00A44065">
        <w:rPr>
          <w:color w:val="auto"/>
        </w:rPr>
        <w:tab/>
        <w:t>LIST OF EXCIPIENTS</w:t>
      </w:r>
    </w:p>
    <w:p w14:paraId="4B4434B9" w14:textId="0A3A1409"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Histidine</w:t>
      </w:r>
    </w:p>
    <w:p w14:paraId="12A78177" w14:textId="711F62F3"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Histidine hydrochloride monohydrate</w:t>
      </w:r>
    </w:p>
    <w:p w14:paraId="3F1E670E" w14:textId="5C2401A2"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Methionine</w:t>
      </w:r>
    </w:p>
    <w:p w14:paraId="0C64601A" w14:textId="77777777"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Sucrose</w:t>
      </w:r>
    </w:p>
    <w:p w14:paraId="01C77B06" w14:textId="77777777"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Polysorbate 20</w:t>
      </w:r>
    </w:p>
    <w:p w14:paraId="12AEA7C1" w14:textId="71592AEB" w:rsidR="00D52399" w:rsidRPr="00A44065" w:rsidRDefault="00F13801" w:rsidP="00F13801">
      <w:pPr>
        <w:pStyle w:val="Paragraph"/>
        <w:spacing w:after="0" w:line="240" w:lineRule="auto"/>
        <w:rPr>
          <w:rFonts w:ascii="Times New Roman" w:hAnsi="Times New Roman"/>
        </w:rPr>
      </w:pPr>
      <w:r w:rsidRPr="00A44065">
        <w:rPr>
          <w:rFonts w:ascii="Times New Roman" w:hAnsi="Times New Roman"/>
        </w:rPr>
        <w:t>Water for injections</w:t>
      </w:r>
    </w:p>
    <w:p w14:paraId="04D07FA6" w14:textId="77777777" w:rsidR="00F13801" w:rsidRPr="00A44065" w:rsidRDefault="00F13801" w:rsidP="00F13801">
      <w:pPr>
        <w:rPr>
          <w:color w:val="auto"/>
        </w:rPr>
      </w:pPr>
    </w:p>
    <w:p w14:paraId="5E64BC36" w14:textId="77777777" w:rsidR="00D52399" w:rsidRPr="00A44065" w:rsidRDefault="00902EBE" w:rsidP="009F4C5B">
      <w:pPr>
        <w:pStyle w:val="Heading2"/>
        <w:spacing w:before="0"/>
        <w:rPr>
          <w:color w:val="auto"/>
        </w:rPr>
      </w:pPr>
      <w:r w:rsidRPr="00A44065">
        <w:rPr>
          <w:color w:val="auto"/>
        </w:rPr>
        <w:t>6.2</w:t>
      </w:r>
      <w:r w:rsidRPr="00A44065">
        <w:rPr>
          <w:color w:val="auto"/>
        </w:rPr>
        <w:tab/>
        <w:t>INCOMPATIBILITIES</w:t>
      </w:r>
    </w:p>
    <w:p w14:paraId="59955BE0" w14:textId="7A0155F1" w:rsidR="00FF21DD" w:rsidRPr="00A44065" w:rsidRDefault="00FF21DD" w:rsidP="00FF21DD">
      <w:pPr>
        <w:pStyle w:val="Paragraph"/>
        <w:rPr>
          <w:rFonts w:ascii="Times New Roman" w:eastAsia="Times New Roman" w:hAnsi="Times New Roman"/>
        </w:rPr>
      </w:pPr>
      <w:r w:rsidRPr="00A44065">
        <w:rPr>
          <w:rFonts w:ascii="Times New Roman" w:eastAsia="Times New Roman" w:hAnsi="Times New Roman"/>
        </w:rPr>
        <w:t>Only</w:t>
      </w:r>
      <w:r w:rsidRPr="00A44065">
        <w:rPr>
          <w:rFonts w:ascii="Times New Roman" w:hAnsi="Times New Roman"/>
        </w:rPr>
        <w:t xml:space="preserve"> 0.9% or 0.45% sodium chloride solution should be used to dilute </w:t>
      </w:r>
      <w:proofErr w:type="spellStart"/>
      <w:r w:rsidR="00B719B6" w:rsidRPr="00A44065">
        <w:rPr>
          <w:rFonts w:ascii="Times New Roman" w:hAnsi="Times New Roman"/>
        </w:rPr>
        <w:t>Columvi</w:t>
      </w:r>
      <w:proofErr w:type="spellEnd"/>
      <w:r w:rsidRPr="00A44065">
        <w:rPr>
          <w:rFonts w:ascii="Times New Roman" w:hAnsi="Times New Roman"/>
        </w:rPr>
        <w:t>, since other diluents have not been tested</w:t>
      </w:r>
      <w:r w:rsidRPr="00A44065">
        <w:rPr>
          <w:rFonts w:ascii="Times New Roman" w:eastAsia="Times New Roman" w:hAnsi="Times New Roman"/>
        </w:rPr>
        <w:t>.</w:t>
      </w:r>
    </w:p>
    <w:p w14:paraId="51F28EAB" w14:textId="787ADF84" w:rsidR="00FF21DD" w:rsidRPr="00A44065" w:rsidRDefault="00B719B6" w:rsidP="00FF21DD">
      <w:pPr>
        <w:pStyle w:val="Paragraph"/>
        <w:rPr>
          <w:rFonts w:ascii="Times New Roman" w:hAnsi="Times New Roman"/>
        </w:rPr>
      </w:pPr>
      <w:proofErr w:type="spellStart"/>
      <w:r w:rsidRPr="00A44065">
        <w:rPr>
          <w:rFonts w:ascii="Times New Roman" w:hAnsi="Times New Roman"/>
        </w:rPr>
        <w:t>Columvi</w:t>
      </w:r>
      <w:proofErr w:type="spellEnd"/>
      <w:r w:rsidR="00AC1B30" w:rsidRPr="00A44065">
        <w:rPr>
          <w:rFonts w:ascii="Times New Roman" w:hAnsi="Times New Roman"/>
        </w:rPr>
        <w:t>,</w:t>
      </w:r>
      <w:r w:rsidR="00FF21DD" w:rsidRPr="00A44065">
        <w:rPr>
          <w:rFonts w:ascii="Times New Roman" w:hAnsi="Times New Roman"/>
        </w:rPr>
        <w:t xml:space="preserve"> when diluted with 0.9% sodium chloride solution</w:t>
      </w:r>
      <w:r w:rsidR="00AC1B30" w:rsidRPr="00A44065">
        <w:rPr>
          <w:rFonts w:ascii="Times New Roman" w:hAnsi="Times New Roman"/>
        </w:rPr>
        <w:t>,</w:t>
      </w:r>
      <w:r w:rsidR="00FF21DD" w:rsidRPr="00A44065">
        <w:rPr>
          <w:rFonts w:ascii="Times New Roman" w:hAnsi="Times New Roman"/>
        </w:rPr>
        <w:t xml:space="preserve"> is compatible with intravenous infusion bags composed of polyvinyl chloride (PVC), polyethylene (PE), polypropylene (PP), or non-PVC polyolefin.  When diluted with 0.45% sodium chloride solution, </w:t>
      </w:r>
      <w:proofErr w:type="spellStart"/>
      <w:r w:rsidRPr="00A44065">
        <w:rPr>
          <w:rFonts w:ascii="Times New Roman" w:hAnsi="Times New Roman"/>
        </w:rPr>
        <w:t>Columvi</w:t>
      </w:r>
      <w:proofErr w:type="spellEnd"/>
      <w:r w:rsidR="00FF21DD" w:rsidRPr="00A44065">
        <w:rPr>
          <w:rFonts w:ascii="Times New Roman" w:hAnsi="Times New Roman"/>
        </w:rPr>
        <w:t xml:space="preserve"> is compatible with intravenous infusion bags composed of PVC.</w:t>
      </w:r>
    </w:p>
    <w:p w14:paraId="61581E58" w14:textId="77777777" w:rsidR="00FF21DD" w:rsidRPr="00A44065" w:rsidRDefault="00FF21DD" w:rsidP="00FF21DD">
      <w:pPr>
        <w:pStyle w:val="Paragraph"/>
        <w:rPr>
          <w:rFonts w:ascii="Times New Roman" w:hAnsi="Times New Roman"/>
        </w:rPr>
      </w:pPr>
      <w:r w:rsidRPr="00A44065">
        <w:rPr>
          <w:rFonts w:ascii="Times New Roman" w:hAnsi="Times New Roman"/>
        </w:rPr>
        <w:t xml:space="preserve">No incompatibilities have been observed with infusion sets with product-contacting surfaces of polyurethane (PUR), PVC, or PE, and in-line filter membranes composed of </w:t>
      </w:r>
      <w:proofErr w:type="spellStart"/>
      <w:r w:rsidRPr="00A44065">
        <w:rPr>
          <w:rFonts w:ascii="Times New Roman" w:hAnsi="Times New Roman"/>
        </w:rPr>
        <w:t>polyethersulfone</w:t>
      </w:r>
      <w:proofErr w:type="spellEnd"/>
      <w:r w:rsidRPr="00A44065">
        <w:rPr>
          <w:rFonts w:ascii="Times New Roman" w:hAnsi="Times New Roman"/>
        </w:rPr>
        <w:t xml:space="preserve"> (PES) or </w:t>
      </w:r>
      <w:proofErr w:type="spellStart"/>
      <w:r w:rsidRPr="00A44065">
        <w:rPr>
          <w:rFonts w:ascii="Times New Roman" w:hAnsi="Times New Roman"/>
        </w:rPr>
        <w:t>polysulfone</w:t>
      </w:r>
      <w:proofErr w:type="spellEnd"/>
      <w:r w:rsidRPr="00A44065">
        <w:rPr>
          <w:rFonts w:ascii="Times New Roman" w:hAnsi="Times New Roman"/>
        </w:rPr>
        <w:t>.  The use of in-line filter membranes is optional.</w:t>
      </w:r>
    </w:p>
    <w:p w14:paraId="0C910936" w14:textId="77777777" w:rsidR="00D52399" w:rsidRPr="00A44065" w:rsidRDefault="00902EBE" w:rsidP="009F4C5B">
      <w:pPr>
        <w:pStyle w:val="Heading2"/>
        <w:spacing w:before="0"/>
        <w:rPr>
          <w:color w:val="auto"/>
        </w:rPr>
      </w:pPr>
      <w:r w:rsidRPr="00A44065">
        <w:rPr>
          <w:color w:val="auto"/>
        </w:rPr>
        <w:t>6.3</w:t>
      </w:r>
      <w:r w:rsidRPr="00A44065">
        <w:rPr>
          <w:color w:val="auto"/>
        </w:rPr>
        <w:tab/>
        <w:t>SHELF LIFE</w:t>
      </w:r>
    </w:p>
    <w:p w14:paraId="331B1E08" w14:textId="77777777" w:rsidR="008903F2" w:rsidRPr="00A44065" w:rsidRDefault="008903F2" w:rsidP="009F4C5B">
      <w:pPr>
        <w:spacing w:after="240"/>
        <w:rPr>
          <w:color w:val="auto"/>
          <w:sz w:val="22"/>
        </w:rPr>
      </w:pPr>
      <w:r w:rsidRPr="00A44065">
        <w:rPr>
          <w:color w:val="auto"/>
          <w:sz w:val="22"/>
        </w:rPr>
        <w:t>In Australia, information on the shelf life can be found on the public summary of the Australian Register of Therapeutic Goods (ARTG). The expiry date can be found on the packaging.</w:t>
      </w:r>
    </w:p>
    <w:p w14:paraId="325BE256" w14:textId="77777777" w:rsidR="003320D4" w:rsidRPr="00A44065" w:rsidRDefault="003320D4" w:rsidP="003320D4">
      <w:pPr>
        <w:pStyle w:val="ParagraphList"/>
        <w:rPr>
          <w:rFonts w:ascii="Times New Roman" w:hAnsi="Times New Roman"/>
        </w:rPr>
      </w:pPr>
      <w:r w:rsidRPr="00A44065">
        <w:rPr>
          <w:rFonts w:ascii="Times New Roman" w:hAnsi="Times New Roman"/>
          <w:i/>
          <w:u w:val="single"/>
        </w:rPr>
        <w:t>Shelf life of diluted solution for intravenous infusion</w:t>
      </w:r>
    </w:p>
    <w:p w14:paraId="30CE66A2" w14:textId="77777777" w:rsidR="0065198E" w:rsidRPr="0008620B" w:rsidRDefault="000D3E13" w:rsidP="0065198E">
      <w:pPr>
        <w:spacing w:after="240"/>
        <w:rPr>
          <w:color w:val="auto"/>
          <w:sz w:val="22"/>
        </w:rPr>
      </w:pPr>
      <w:r w:rsidRPr="00A44065">
        <w:rPr>
          <w:color w:val="auto"/>
          <w:sz w:val="22"/>
        </w:rPr>
        <w:t>The prepared infusion solution should be used immediately. If not used immediately, the infusion solution can be stored in the refrigerator at 2°C to 8°C for up to 64 hours or at 25°C for up to 4 hours.</w:t>
      </w:r>
      <w:r w:rsidRPr="00A44065" w:rsidDel="000D3E13">
        <w:rPr>
          <w:color w:val="auto"/>
          <w:sz w:val="22"/>
        </w:rPr>
        <w:t xml:space="preserve"> </w:t>
      </w:r>
    </w:p>
    <w:p w14:paraId="438191C9" w14:textId="77777777" w:rsidR="00D52399" w:rsidRPr="00A44065" w:rsidRDefault="00902EBE" w:rsidP="009F4C5B">
      <w:pPr>
        <w:pStyle w:val="Heading2"/>
        <w:spacing w:before="0"/>
        <w:rPr>
          <w:color w:val="auto"/>
        </w:rPr>
      </w:pPr>
      <w:r w:rsidRPr="0008620B">
        <w:rPr>
          <w:color w:val="auto"/>
        </w:rPr>
        <w:t>6.4</w:t>
      </w:r>
      <w:r w:rsidRPr="0008620B">
        <w:rPr>
          <w:color w:val="auto"/>
        </w:rPr>
        <w:tab/>
        <w:t>SPECIA</w:t>
      </w:r>
      <w:r w:rsidRPr="00A44065">
        <w:rPr>
          <w:color w:val="auto"/>
        </w:rPr>
        <w:t>L PRECAUTIONS FOR STORAGE</w:t>
      </w:r>
    </w:p>
    <w:p w14:paraId="5CC294EC" w14:textId="77777777" w:rsidR="003320D4" w:rsidRPr="00A44065" w:rsidRDefault="003320D4" w:rsidP="003320D4">
      <w:pPr>
        <w:pStyle w:val="ParagraphList"/>
        <w:rPr>
          <w:rFonts w:ascii="Times New Roman" w:hAnsi="Times New Roman"/>
          <w:i/>
        </w:rPr>
      </w:pPr>
      <w:r w:rsidRPr="00A44065">
        <w:rPr>
          <w:rFonts w:ascii="Times New Roman" w:hAnsi="Times New Roman"/>
          <w:i/>
        </w:rPr>
        <w:t>Vials</w:t>
      </w:r>
    </w:p>
    <w:p w14:paraId="2FD817D3" w14:textId="77777777" w:rsidR="003320D4" w:rsidRPr="0008620B" w:rsidRDefault="003320D4" w:rsidP="003320D4">
      <w:pPr>
        <w:pStyle w:val="ListText"/>
        <w:ind w:left="0"/>
        <w:rPr>
          <w:rFonts w:ascii="Times New Roman" w:hAnsi="Times New Roman"/>
        </w:rPr>
      </w:pPr>
      <w:r w:rsidRPr="00A44065">
        <w:rPr>
          <w:rFonts w:ascii="Times New Roman" w:hAnsi="Times New Roman"/>
        </w:rPr>
        <w:t>Store at 2 </w:t>
      </w:r>
      <w:r w:rsidRPr="0008620B">
        <w:rPr>
          <w:rFonts w:ascii="Times New Roman" w:hAnsi="Times New Roman"/>
        </w:rPr>
        <w:sym w:font="Symbol" w:char="F0B0"/>
      </w:r>
      <w:r w:rsidRPr="0008620B">
        <w:rPr>
          <w:rFonts w:ascii="Times New Roman" w:hAnsi="Times New Roman"/>
        </w:rPr>
        <w:t>C to 8 </w:t>
      </w:r>
      <w:r w:rsidRPr="0008620B">
        <w:rPr>
          <w:rFonts w:ascii="Times New Roman" w:hAnsi="Times New Roman"/>
        </w:rPr>
        <w:sym w:font="Symbol" w:char="F0B0"/>
      </w:r>
      <w:r w:rsidRPr="0008620B">
        <w:rPr>
          <w:rFonts w:ascii="Times New Roman" w:hAnsi="Times New Roman"/>
        </w:rPr>
        <w:t>C.</w:t>
      </w:r>
    </w:p>
    <w:p w14:paraId="1016B752" w14:textId="77777777" w:rsidR="003320D4" w:rsidRPr="00A44065" w:rsidRDefault="003320D4" w:rsidP="003320D4">
      <w:pPr>
        <w:pStyle w:val="ListText"/>
        <w:ind w:left="0"/>
        <w:rPr>
          <w:rFonts w:ascii="Times New Roman" w:hAnsi="Times New Roman"/>
        </w:rPr>
      </w:pPr>
      <w:r w:rsidRPr="0008620B">
        <w:rPr>
          <w:rFonts w:ascii="Times New Roman" w:hAnsi="Times New Roman"/>
        </w:rPr>
        <w:t xml:space="preserve">Keep vial in the outer carton </w:t>
      </w:r>
      <w:proofErr w:type="gramStart"/>
      <w:r w:rsidRPr="0008620B">
        <w:rPr>
          <w:rFonts w:ascii="Times New Roman" w:hAnsi="Times New Roman"/>
        </w:rPr>
        <w:t>in order to</w:t>
      </w:r>
      <w:proofErr w:type="gramEnd"/>
      <w:r w:rsidRPr="0008620B">
        <w:rPr>
          <w:rFonts w:ascii="Times New Roman" w:hAnsi="Times New Roman"/>
        </w:rPr>
        <w:t xml:space="preserve"> protect from light.</w:t>
      </w:r>
    </w:p>
    <w:p w14:paraId="52838B12" w14:textId="77777777" w:rsidR="003320D4" w:rsidRPr="00A44065" w:rsidRDefault="003320D4" w:rsidP="003320D4">
      <w:pPr>
        <w:rPr>
          <w:color w:val="auto"/>
          <w:sz w:val="22"/>
        </w:rPr>
      </w:pPr>
      <w:r w:rsidRPr="00A44065">
        <w:rPr>
          <w:color w:val="auto"/>
          <w:sz w:val="22"/>
        </w:rPr>
        <w:t>Do not freeze.  Do not shake.</w:t>
      </w:r>
    </w:p>
    <w:p w14:paraId="1B7B19EB" w14:textId="77777777" w:rsidR="003320D4" w:rsidRPr="0008620B" w:rsidRDefault="003320D4" w:rsidP="003320D4">
      <w:pPr>
        <w:rPr>
          <w:color w:val="auto"/>
        </w:rPr>
      </w:pPr>
    </w:p>
    <w:p w14:paraId="5C9E00D2" w14:textId="2AEBBA43" w:rsidR="00D52399" w:rsidRPr="0008620B" w:rsidRDefault="00902EBE" w:rsidP="00902EBE">
      <w:pPr>
        <w:pStyle w:val="Heading2"/>
        <w:rPr>
          <w:color w:val="auto"/>
        </w:rPr>
      </w:pPr>
      <w:r w:rsidRPr="0008620B">
        <w:rPr>
          <w:color w:val="auto"/>
        </w:rPr>
        <w:t>6.5</w:t>
      </w:r>
      <w:r w:rsidRPr="0008620B">
        <w:rPr>
          <w:color w:val="auto"/>
        </w:rPr>
        <w:tab/>
        <w:t>NATURE AND CONTENTS OF CONTAINER</w:t>
      </w:r>
    </w:p>
    <w:p w14:paraId="7504B511" w14:textId="77777777" w:rsidR="00F13801" w:rsidRPr="00A44065" w:rsidRDefault="00F13801" w:rsidP="00F13801">
      <w:pPr>
        <w:pStyle w:val="ListText"/>
        <w:ind w:left="0"/>
        <w:rPr>
          <w:rFonts w:ascii="Times New Roman" w:hAnsi="Times New Roman"/>
        </w:rPr>
      </w:pPr>
      <w:r w:rsidRPr="00A44065">
        <w:rPr>
          <w:rFonts w:ascii="Times New Roman" w:hAnsi="Times New Roman"/>
        </w:rPr>
        <w:t>2.5 mL concentrate in a 6 mL vial (</w:t>
      </w:r>
      <w:proofErr w:type="spellStart"/>
      <w:r w:rsidRPr="00A44065">
        <w:rPr>
          <w:rFonts w:ascii="Times New Roman" w:hAnsi="Times New Roman"/>
        </w:rPr>
        <w:t>colourless</w:t>
      </w:r>
      <w:proofErr w:type="spellEnd"/>
      <w:r w:rsidRPr="00A44065">
        <w:rPr>
          <w:rFonts w:ascii="Times New Roman" w:hAnsi="Times New Roman"/>
        </w:rPr>
        <w:t xml:space="preserve"> Type I glass) with stopper (butyl rubber).</w:t>
      </w:r>
    </w:p>
    <w:p w14:paraId="50A33D6B" w14:textId="77777777" w:rsidR="00F13801" w:rsidRPr="00A44065" w:rsidRDefault="00F13801" w:rsidP="00F13801">
      <w:pPr>
        <w:pStyle w:val="ListText"/>
        <w:ind w:left="0"/>
        <w:rPr>
          <w:rFonts w:ascii="Times New Roman" w:hAnsi="Times New Roman"/>
        </w:rPr>
      </w:pPr>
      <w:r w:rsidRPr="00A44065">
        <w:rPr>
          <w:rFonts w:ascii="Times New Roman" w:hAnsi="Times New Roman"/>
        </w:rPr>
        <w:lastRenderedPageBreak/>
        <w:t>Pack size of 1 vial.</w:t>
      </w:r>
    </w:p>
    <w:p w14:paraId="21780F9C" w14:textId="77777777" w:rsidR="00F13801" w:rsidRPr="00A44065" w:rsidRDefault="00F13801" w:rsidP="00F13801">
      <w:pPr>
        <w:pStyle w:val="ListText"/>
        <w:ind w:left="0"/>
        <w:rPr>
          <w:rFonts w:ascii="Times New Roman" w:hAnsi="Times New Roman"/>
        </w:rPr>
      </w:pPr>
      <w:r w:rsidRPr="00A44065">
        <w:rPr>
          <w:rFonts w:ascii="Times New Roman" w:hAnsi="Times New Roman"/>
        </w:rPr>
        <w:t>10 mL concentrate in a 15 mL vial (</w:t>
      </w:r>
      <w:proofErr w:type="spellStart"/>
      <w:r w:rsidRPr="00A44065">
        <w:rPr>
          <w:rFonts w:ascii="Times New Roman" w:hAnsi="Times New Roman"/>
        </w:rPr>
        <w:t>colourless</w:t>
      </w:r>
      <w:proofErr w:type="spellEnd"/>
      <w:r w:rsidRPr="00A44065">
        <w:rPr>
          <w:rFonts w:ascii="Times New Roman" w:hAnsi="Times New Roman"/>
        </w:rPr>
        <w:t xml:space="preserve"> Type I glass) with stopper (butyl rubber).</w:t>
      </w:r>
    </w:p>
    <w:p w14:paraId="11D6CFDD" w14:textId="77777777" w:rsidR="00F13801" w:rsidRPr="00A44065" w:rsidRDefault="00F13801" w:rsidP="00F13801">
      <w:pPr>
        <w:pStyle w:val="ListText"/>
        <w:ind w:left="0"/>
        <w:rPr>
          <w:rFonts w:ascii="Times New Roman" w:hAnsi="Times New Roman"/>
        </w:rPr>
      </w:pPr>
      <w:r w:rsidRPr="00A44065">
        <w:rPr>
          <w:rFonts w:ascii="Times New Roman" w:hAnsi="Times New Roman"/>
        </w:rPr>
        <w:t>Pack size of 1 vial.</w:t>
      </w:r>
    </w:p>
    <w:p w14:paraId="6D4003D4" w14:textId="34C9DE13" w:rsidR="00D52399" w:rsidRPr="00A44065" w:rsidRDefault="00902EBE" w:rsidP="00F13801">
      <w:pPr>
        <w:pStyle w:val="Heading2"/>
        <w:rPr>
          <w:color w:val="auto"/>
        </w:rPr>
      </w:pPr>
      <w:r w:rsidRPr="00A44065">
        <w:rPr>
          <w:color w:val="auto"/>
        </w:rPr>
        <w:t>6.6</w:t>
      </w:r>
      <w:r w:rsidRPr="00A44065">
        <w:rPr>
          <w:color w:val="auto"/>
        </w:rPr>
        <w:tab/>
        <w:t>SP</w:t>
      </w:r>
      <w:r w:rsidR="00F13801" w:rsidRPr="00A44065">
        <w:rPr>
          <w:color w:val="auto"/>
        </w:rPr>
        <w:t>ECIAL PRECAUTIONS FOR DISPOSAL AND OTHER HANDLING</w:t>
      </w:r>
    </w:p>
    <w:p w14:paraId="186BEB2D" w14:textId="299601A8" w:rsidR="00F13801" w:rsidRPr="00A44065" w:rsidRDefault="00F13801" w:rsidP="00F13801">
      <w:pPr>
        <w:pStyle w:val="ListText"/>
        <w:spacing w:before="240"/>
        <w:ind w:left="0"/>
        <w:rPr>
          <w:rFonts w:ascii="Times New Roman" w:hAnsi="Times New Roman"/>
        </w:rPr>
      </w:pPr>
      <w:r w:rsidRPr="00A44065">
        <w:rPr>
          <w:rFonts w:ascii="Times New Roman" w:hAnsi="Times New Roman"/>
        </w:rPr>
        <w:t>Do not shake the vial.</w:t>
      </w:r>
    </w:p>
    <w:p w14:paraId="53D47B13" w14:textId="36A94FEC" w:rsidR="00FF21DD" w:rsidRPr="00A44065" w:rsidRDefault="00FF21DD" w:rsidP="00FF21DD">
      <w:pPr>
        <w:pStyle w:val="ParagraphList"/>
        <w:rPr>
          <w:rFonts w:ascii="Times New Roman" w:hAnsi="Times New Roman"/>
          <w:b/>
          <w:lang w:eastAsia="ko-KR" w:bidi="he-IL"/>
        </w:rPr>
      </w:pPr>
      <w:r w:rsidRPr="00A44065">
        <w:rPr>
          <w:rFonts w:ascii="Times New Roman" w:hAnsi="Times New Roman"/>
          <w:b/>
          <w:lang w:eastAsia="ko-KR" w:bidi="he-IL"/>
        </w:rPr>
        <w:t>Instructions for dilution</w:t>
      </w:r>
    </w:p>
    <w:p w14:paraId="198266C4" w14:textId="2626F014" w:rsidR="00FF21DD" w:rsidRPr="00A44065" w:rsidRDefault="00B719B6" w:rsidP="000D3E13">
      <w:pPr>
        <w:pStyle w:val="ListBullet"/>
        <w:rPr>
          <w:lang w:bidi="he-IL"/>
        </w:rPr>
      </w:pPr>
      <w:proofErr w:type="spellStart"/>
      <w:r w:rsidRPr="00A44065">
        <w:rPr>
          <w:rFonts w:ascii="Times New Roman" w:hAnsi="Times New Roman"/>
          <w:lang w:eastAsia="ko-KR" w:bidi="he-IL"/>
        </w:rPr>
        <w:t>Columvi</w:t>
      </w:r>
      <w:proofErr w:type="spellEnd"/>
      <w:r w:rsidR="000D3E13" w:rsidRPr="00A44065">
        <w:rPr>
          <w:rFonts w:ascii="Times New Roman" w:hAnsi="Times New Roman"/>
          <w:lang w:eastAsia="ko-KR" w:bidi="he-IL"/>
        </w:rPr>
        <w:t xml:space="preserve"> is for single use in one patient only. Discard any residue</w:t>
      </w:r>
      <w:r w:rsidR="00FF21DD" w:rsidRPr="00A44065">
        <w:rPr>
          <w:rFonts w:ascii="Times New Roman" w:hAnsi="Times New Roman"/>
          <w:lang w:bidi="he-IL"/>
        </w:rPr>
        <w:t>.</w:t>
      </w:r>
    </w:p>
    <w:p w14:paraId="3AAD1F08" w14:textId="3ED4EBF6" w:rsidR="00FF21DD" w:rsidRPr="00A44065" w:rsidRDefault="00B719B6" w:rsidP="00FF21DD">
      <w:pPr>
        <w:pStyle w:val="ListBullet"/>
        <w:rPr>
          <w:rFonts w:ascii="Times New Roman" w:hAnsi="Times New Roman"/>
          <w:lang w:eastAsia="ko-KR" w:bidi="he-IL"/>
        </w:rPr>
      </w:pPr>
      <w:proofErr w:type="spellStart"/>
      <w:r w:rsidRPr="0008620B">
        <w:rPr>
          <w:rFonts w:ascii="Times New Roman" w:hAnsi="Times New Roman"/>
          <w:lang w:eastAsia="ko-KR" w:bidi="he-IL"/>
        </w:rPr>
        <w:t>Columvi</w:t>
      </w:r>
      <w:proofErr w:type="spellEnd"/>
      <w:r w:rsidR="00FF21DD" w:rsidRPr="0008620B">
        <w:rPr>
          <w:rFonts w:ascii="Times New Roman" w:hAnsi="Times New Roman"/>
          <w:lang w:eastAsia="ko-KR" w:bidi="he-IL"/>
        </w:rPr>
        <w:t xml:space="preserve"> must be diluted by a healthcare professional using aseptic technique, prior to intravenous administration.</w:t>
      </w:r>
    </w:p>
    <w:p w14:paraId="1E8C47BB" w14:textId="376A32E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 xml:space="preserve">Visually inspect the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vial for particulate matter or discoloration prior to administration.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is a </w:t>
      </w:r>
      <w:proofErr w:type="spellStart"/>
      <w:r w:rsidRPr="00A44065">
        <w:rPr>
          <w:rFonts w:ascii="Times New Roman" w:hAnsi="Times New Roman"/>
          <w:lang w:eastAsia="ko-KR" w:bidi="he-IL"/>
        </w:rPr>
        <w:t>colo</w:t>
      </w:r>
      <w:r w:rsidR="00AC1B30" w:rsidRPr="00A44065">
        <w:rPr>
          <w:rFonts w:ascii="Times New Roman" w:hAnsi="Times New Roman"/>
          <w:lang w:eastAsia="ko-KR" w:bidi="he-IL"/>
        </w:rPr>
        <w:t>u</w:t>
      </w:r>
      <w:r w:rsidRPr="00A44065">
        <w:rPr>
          <w:rFonts w:ascii="Times New Roman" w:hAnsi="Times New Roman"/>
          <w:lang w:eastAsia="ko-KR" w:bidi="he-IL"/>
        </w:rPr>
        <w:t>rless</w:t>
      </w:r>
      <w:proofErr w:type="spellEnd"/>
      <w:r w:rsidRPr="00A44065">
        <w:rPr>
          <w:rFonts w:ascii="Times New Roman" w:hAnsi="Times New Roman"/>
          <w:lang w:eastAsia="ko-KR" w:bidi="he-IL"/>
        </w:rPr>
        <w:t xml:space="preserve">, clear solution.  Discard the vial if the solution is cloudy, </w:t>
      </w:r>
      <w:proofErr w:type="spellStart"/>
      <w:r w:rsidRPr="00A44065">
        <w:rPr>
          <w:rFonts w:ascii="Times New Roman" w:hAnsi="Times New Roman"/>
          <w:lang w:eastAsia="ko-KR" w:bidi="he-IL"/>
        </w:rPr>
        <w:t>discolo</w:t>
      </w:r>
      <w:r w:rsidR="00AC1B30" w:rsidRPr="00A44065">
        <w:rPr>
          <w:rFonts w:ascii="Times New Roman" w:hAnsi="Times New Roman"/>
          <w:lang w:eastAsia="ko-KR" w:bidi="he-IL"/>
        </w:rPr>
        <w:t>u</w:t>
      </w:r>
      <w:r w:rsidRPr="00A44065">
        <w:rPr>
          <w:rFonts w:ascii="Times New Roman" w:hAnsi="Times New Roman"/>
          <w:lang w:eastAsia="ko-KR" w:bidi="he-IL"/>
        </w:rPr>
        <w:t>red</w:t>
      </w:r>
      <w:proofErr w:type="spellEnd"/>
      <w:r w:rsidRPr="00A44065">
        <w:rPr>
          <w:rFonts w:ascii="Times New Roman" w:hAnsi="Times New Roman"/>
          <w:lang w:eastAsia="ko-KR" w:bidi="he-IL"/>
        </w:rPr>
        <w:t>, or contains visible particles.</w:t>
      </w:r>
    </w:p>
    <w:p w14:paraId="06A891E6" w14:textId="50DC440F" w:rsidR="00FF21DD" w:rsidRPr="0008620B" w:rsidRDefault="00FF21DD" w:rsidP="00FF21DD">
      <w:pPr>
        <w:pStyle w:val="ListBullet"/>
        <w:rPr>
          <w:rFonts w:ascii="Times New Roman" w:hAnsi="Times New Roman"/>
          <w:lang w:eastAsia="ko-KR" w:bidi="he-IL"/>
        </w:rPr>
      </w:pPr>
      <w:r w:rsidRPr="00A44065">
        <w:rPr>
          <w:rFonts w:ascii="Times New Roman" w:hAnsi="Times New Roman"/>
          <w:lang w:eastAsia="ko-KR" w:bidi="he-IL"/>
        </w:rPr>
        <w:t xml:space="preserve">Withdraw the required volume of 0.9% or 0.45% sodium chloride solution from the infusion bag (see </w:t>
      </w:r>
      <w:r w:rsidR="00AC1B30" w:rsidRPr="0008620B">
        <w:rPr>
          <w:rFonts w:ascii="Times New Roman" w:hAnsi="Times New Roman"/>
          <w:lang w:eastAsia="ko-KR" w:bidi="he-IL"/>
        </w:rPr>
        <w:fldChar w:fldCharType="begin"/>
      </w:r>
      <w:r w:rsidR="00AC1B30" w:rsidRPr="00A44065">
        <w:rPr>
          <w:rFonts w:ascii="Times New Roman" w:hAnsi="Times New Roman"/>
          <w:lang w:eastAsia="ko-KR" w:bidi="he-IL"/>
        </w:rPr>
        <w:instrText xml:space="preserve"> REF \* CHARFORMAT _Ref90905462  \* MERGEFORMAT </w:instrText>
      </w:r>
      <w:r w:rsidR="00AC1B30" w:rsidRPr="0008620B">
        <w:rPr>
          <w:rFonts w:ascii="Times New Roman" w:hAnsi="Times New Roman"/>
          <w:lang w:eastAsia="ko-KR" w:bidi="he-IL"/>
        </w:rPr>
        <w:fldChar w:fldCharType="separate"/>
      </w:r>
      <w:r w:rsidR="00AC1B30" w:rsidRPr="0008620B">
        <w:rPr>
          <w:rFonts w:ascii="Times New Roman" w:hAnsi="Times New Roman"/>
          <w:lang w:eastAsia="ko-KR" w:bidi="he-IL"/>
        </w:rPr>
        <w:t>Table 7</w:t>
      </w:r>
      <w:r w:rsidR="00AC1B30" w:rsidRPr="0008620B">
        <w:rPr>
          <w:rFonts w:ascii="Times New Roman" w:hAnsi="Times New Roman"/>
          <w:lang w:eastAsia="ko-KR" w:bidi="he-IL"/>
        </w:rPr>
        <w:fldChar w:fldCharType="end"/>
      </w:r>
      <w:r w:rsidRPr="0008620B">
        <w:rPr>
          <w:rFonts w:ascii="Times New Roman" w:hAnsi="Times New Roman"/>
          <w:lang w:eastAsia="ko-KR" w:bidi="he-IL"/>
        </w:rPr>
        <w:t>) using a sterile needle and syringe and discard.</w:t>
      </w:r>
    </w:p>
    <w:p w14:paraId="0BF1EA8B" w14:textId="002F9EB0" w:rsidR="00FF21DD" w:rsidRPr="0008620B" w:rsidRDefault="00FF21DD" w:rsidP="00FF21DD">
      <w:pPr>
        <w:pStyle w:val="ListBullet"/>
        <w:rPr>
          <w:rFonts w:ascii="Times New Roman" w:hAnsi="Times New Roman"/>
          <w:lang w:eastAsia="ko-KR" w:bidi="he-IL"/>
        </w:rPr>
      </w:pPr>
      <w:r w:rsidRPr="0008620B">
        <w:rPr>
          <w:rFonts w:ascii="Times New Roman" w:hAnsi="Times New Roman"/>
          <w:lang w:eastAsia="ko-KR" w:bidi="he-IL"/>
        </w:rPr>
        <w:t xml:space="preserve">Withdraw the required volume of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concentrate for the intended dose from the vial using a sterile needle and syringe and dilute into the infusion bag (see </w:t>
      </w:r>
      <w:r w:rsidR="00AC1B30" w:rsidRPr="0008620B">
        <w:rPr>
          <w:rFonts w:ascii="Times New Roman" w:hAnsi="Times New Roman"/>
          <w:lang w:eastAsia="ko-KR" w:bidi="he-IL"/>
        </w:rPr>
        <w:fldChar w:fldCharType="begin"/>
      </w:r>
      <w:r w:rsidR="00AC1B30" w:rsidRPr="00A44065">
        <w:rPr>
          <w:rFonts w:ascii="Times New Roman" w:hAnsi="Times New Roman"/>
          <w:lang w:eastAsia="ko-KR" w:bidi="he-IL"/>
        </w:rPr>
        <w:instrText xml:space="preserve"> REF \* CHARFORMAT _Ref90905462  \* MERGEFORMAT </w:instrText>
      </w:r>
      <w:r w:rsidR="00AC1B30" w:rsidRPr="0008620B">
        <w:rPr>
          <w:rFonts w:ascii="Times New Roman" w:hAnsi="Times New Roman"/>
          <w:lang w:eastAsia="ko-KR" w:bidi="he-IL"/>
        </w:rPr>
        <w:fldChar w:fldCharType="separate"/>
      </w:r>
      <w:r w:rsidR="00AC1B30" w:rsidRPr="0008620B">
        <w:rPr>
          <w:rFonts w:ascii="Times New Roman" w:hAnsi="Times New Roman"/>
          <w:lang w:eastAsia="ko-KR" w:bidi="he-IL"/>
        </w:rPr>
        <w:t>Table 7</w:t>
      </w:r>
      <w:r w:rsidR="00AC1B30" w:rsidRPr="0008620B">
        <w:rPr>
          <w:rFonts w:ascii="Times New Roman" w:hAnsi="Times New Roman"/>
          <w:lang w:eastAsia="ko-KR" w:bidi="he-IL"/>
        </w:rPr>
        <w:fldChar w:fldCharType="end"/>
      </w:r>
      <w:r w:rsidRPr="0008620B">
        <w:rPr>
          <w:rFonts w:ascii="Times New Roman" w:hAnsi="Times New Roman"/>
          <w:lang w:eastAsia="ko-KR" w:bidi="he-IL"/>
        </w:rPr>
        <w:t>).  Discard any unused portion left in the vial.</w:t>
      </w:r>
    </w:p>
    <w:p w14:paraId="5ABF7CA2" w14:textId="77777777" w:rsidR="00FF21DD" w:rsidRPr="00A44065" w:rsidRDefault="00FF21DD" w:rsidP="00FF21DD">
      <w:pPr>
        <w:pStyle w:val="ListBullet"/>
        <w:rPr>
          <w:rFonts w:ascii="Times New Roman" w:hAnsi="Times New Roman"/>
          <w:lang w:eastAsia="ko-KR" w:bidi="he-IL"/>
        </w:rPr>
      </w:pPr>
      <w:r w:rsidRPr="0008620B">
        <w:rPr>
          <w:rFonts w:ascii="Times New Roman" w:hAnsi="Times New Roman"/>
          <w:lang w:eastAsia="ko-KR" w:bidi="he-IL"/>
        </w:rPr>
        <w:t>The final drug concentration after dilution must be 0.1 mg/mL to 0.6 mg/</w:t>
      </w:r>
      <w:proofErr w:type="spellStart"/>
      <w:r w:rsidRPr="0008620B">
        <w:rPr>
          <w:rFonts w:ascii="Times New Roman" w:hAnsi="Times New Roman"/>
          <w:lang w:eastAsia="ko-KR" w:bidi="he-IL"/>
        </w:rPr>
        <w:t>mL.</w:t>
      </w:r>
      <w:proofErr w:type="spellEnd"/>
    </w:p>
    <w:p w14:paraId="7F1D3E25" w14:textId="7777777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 xml:space="preserve">Gently invert the infusion bag to mix the solution </w:t>
      </w:r>
      <w:proofErr w:type="gramStart"/>
      <w:r w:rsidRPr="00A44065">
        <w:rPr>
          <w:rFonts w:ascii="Times New Roman" w:hAnsi="Times New Roman"/>
          <w:lang w:eastAsia="ko-KR" w:bidi="he-IL"/>
        </w:rPr>
        <w:t>in order to</w:t>
      </w:r>
      <w:proofErr w:type="gramEnd"/>
      <w:r w:rsidRPr="00A44065">
        <w:rPr>
          <w:rFonts w:ascii="Times New Roman" w:hAnsi="Times New Roman"/>
          <w:lang w:eastAsia="ko-KR" w:bidi="he-IL"/>
        </w:rPr>
        <w:t xml:space="preserve"> avoid excessive foaming.  Do not shake.</w:t>
      </w:r>
    </w:p>
    <w:p w14:paraId="1FE615D8" w14:textId="7777777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Inspect the infusion bag for particulates and discard if present.</w:t>
      </w:r>
    </w:p>
    <w:p w14:paraId="58E0B172" w14:textId="7777777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Prior to the start of the intravenous infusion, the content of the infusion bag should be at room temperature.</w:t>
      </w:r>
    </w:p>
    <w:p w14:paraId="3F04422C" w14:textId="77777777" w:rsidR="00FF21DD" w:rsidRPr="00A44065" w:rsidRDefault="00FF21DD" w:rsidP="00FF21DD">
      <w:pPr>
        <w:pStyle w:val="ParagraphSpace"/>
        <w:rPr>
          <w:rFonts w:ascii="Times New Roman" w:hAnsi="Times New Roman"/>
          <w:lang w:eastAsia="ko-KR" w:bidi="he-IL"/>
        </w:rPr>
      </w:pPr>
    </w:p>
    <w:p w14:paraId="216B7112" w14:textId="3DE78674" w:rsidR="00FF21DD" w:rsidRPr="00A44065" w:rsidRDefault="00FF21DD" w:rsidP="00FF21DD">
      <w:pPr>
        <w:pStyle w:val="TableTitle"/>
        <w:rPr>
          <w:rFonts w:ascii="Times New Roman" w:hAnsi="Times New Roman"/>
          <w:lang w:eastAsia="ko-KR" w:bidi="he-IL"/>
        </w:rPr>
      </w:pPr>
      <w:bookmarkStart w:id="10" w:name="_Ref90905462"/>
      <w:r w:rsidRPr="00A44065">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7</w:t>
      </w:r>
      <w:r w:rsidRPr="0008620B">
        <w:rPr>
          <w:rFonts w:ascii="Times New Roman" w:hAnsi="Times New Roman"/>
        </w:rPr>
        <w:fldChar w:fldCharType="end"/>
      </w:r>
      <w:bookmarkEnd w:id="10"/>
      <w:r w:rsidRPr="0008620B">
        <w:rPr>
          <w:rFonts w:ascii="Times New Roman" w:hAnsi="Times New Roman"/>
        </w:rPr>
        <w:tab/>
      </w:r>
      <w:r w:rsidRPr="0008620B">
        <w:rPr>
          <w:rFonts w:ascii="Times New Roman" w:hAnsi="Times New Roman"/>
          <w:lang w:eastAsia="ko-KR" w:bidi="he-IL"/>
        </w:rPr>
        <w:t xml:space="preserve">Dilution of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for Infusion</w:t>
      </w:r>
    </w:p>
    <w:tbl>
      <w:tblPr>
        <w:tblW w:w="8640" w:type="dxa"/>
        <w:tblInd w:w="58" w:type="dxa"/>
        <w:tblLayout w:type="fixed"/>
        <w:tblCellMar>
          <w:left w:w="57" w:type="dxa"/>
          <w:right w:w="57" w:type="dxa"/>
        </w:tblCellMar>
        <w:tblLook w:val="0000" w:firstRow="0" w:lastRow="0" w:firstColumn="0" w:lastColumn="0" w:noHBand="0" w:noVBand="0"/>
      </w:tblPr>
      <w:tblGrid>
        <w:gridCol w:w="1780"/>
        <w:gridCol w:w="1843"/>
        <w:gridCol w:w="2551"/>
        <w:gridCol w:w="2466"/>
      </w:tblGrid>
      <w:tr w:rsidR="00FF21DD" w:rsidRPr="00A44065" w14:paraId="595E06CB" w14:textId="77777777" w:rsidTr="005A2E65">
        <w:trPr>
          <w:cantSplit/>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1DD8646" w14:textId="761DD2AD" w:rsidR="00FF21DD" w:rsidRPr="00A44065" w:rsidRDefault="00FF21DD" w:rsidP="005A2E65">
            <w:pPr>
              <w:pStyle w:val="TableCell10Left"/>
              <w:rPr>
                <w:rFonts w:ascii="Times New Roman" w:hAnsi="Times New Roman"/>
                <w:b/>
                <w:lang w:eastAsia="ko-KR" w:bidi="he-IL"/>
              </w:rPr>
            </w:pPr>
            <w:r w:rsidRPr="00A44065">
              <w:rPr>
                <w:rFonts w:ascii="Times New Roman" w:hAnsi="Times New Roman"/>
                <w:b/>
                <w:lang w:eastAsia="ko-KR" w:bidi="he-IL"/>
              </w:rPr>
              <w:t xml:space="preserve">Dose of </w:t>
            </w:r>
            <w:proofErr w:type="spellStart"/>
            <w:r w:rsidR="00B719B6" w:rsidRPr="00A44065">
              <w:rPr>
                <w:rFonts w:ascii="Times New Roman" w:hAnsi="Times New Roman"/>
                <w:b/>
                <w:lang w:eastAsia="ko-KR" w:bidi="he-IL"/>
              </w:rPr>
              <w:t>Columvi</w:t>
            </w:r>
            <w:proofErr w:type="spellEnd"/>
            <w:r w:rsidRPr="00A44065">
              <w:rPr>
                <w:rFonts w:ascii="Times New Roman" w:hAnsi="Times New Roman"/>
                <w:b/>
                <w:lang w:eastAsia="ko-KR" w:bidi="he-IL"/>
              </w:rPr>
              <w:t xml:space="preserve"> to be administered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4F0E4" w14:textId="2CF1D533" w:rsidR="00FF21DD" w:rsidRPr="00A44065" w:rsidRDefault="000414F1" w:rsidP="005A2E65">
            <w:pPr>
              <w:pStyle w:val="TableCell10Center"/>
              <w:rPr>
                <w:rFonts w:ascii="Times New Roman" w:hAnsi="Times New Roman"/>
                <w:b/>
                <w:lang w:eastAsia="ko-KR" w:bidi="he-IL"/>
              </w:rPr>
            </w:pPr>
            <w:r w:rsidRPr="00A44065">
              <w:rPr>
                <w:rFonts w:ascii="Times New Roman" w:hAnsi="Times New Roman"/>
                <w:b/>
                <w:lang w:eastAsia="ko-KR" w:bidi="he-IL"/>
              </w:rPr>
              <w:t xml:space="preserve">Size </w:t>
            </w:r>
            <w:r w:rsidR="00FF21DD" w:rsidRPr="00A44065">
              <w:rPr>
                <w:rFonts w:ascii="Times New Roman" w:hAnsi="Times New Roman"/>
                <w:b/>
                <w:lang w:eastAsia="ko-KR" w:bidi="he-IL"/>
              </w:rPr>
              <w:t xml:space="preserve">of </w:t>
            </w:r>
            <w:r w:rsidRPr="00A44065">
              <w:rPr>
                <w:rFonts w:ascii="Times New Roman" w:hAnsi="Times New Roman"/>
                <w:b/>
                <w:lang w:eastAsia="ko-KR" w:bidi="he-IL"/>
              </w:rPr>
              <w:t>0.9% or 0.45% sodium chloride solution</w:t>
            </w:r>
            <w:r w:rsidR="00FF21DD" w:rsidRPr="00A44065">
              <w:rPr>
                <w:rFonts w:ascii="Times New Roman" w:hAnsi="Times New Roman"/>
                <w:b/>
                <w:lang w:eastAsia="ko-KR" w:bidi="he-IL"/>
              </w:rPr>
              <w:t xml:space="preserve"> infusion bag</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4A1CEB" w14:textId="548CC165" w:rsidR="00FF21DD" w:rsidRPr="0008620B" w:rsidRDefault="00FF21DD" w:rsidP="000414F1">
            <w:pPr>
              <w:pStyle w:val="TableCell10Center"/>
              <w:rPr>
                <w:rFonts w:ascii="Times New Roman" w:hAnsi="Times New Roman"/>
                <w:b/>
                <w:lang w:eastAsia="ko-KR" w:bidi="he-IL"/>
              </w:rPr>
            </w:pPr>
            <w:r w:rsidRPr="00A44065">
              <w:rPr>
                <w:rFonts w:ascii="Times New Roman" w:hAnsi="Times New Roman"/>
                <w:b/>
                <w:lang w:eastAsia="ko-KR" w:bidi="he-IL"/>
              </w:rPr>
              <w:t xml:space="preserve">Volume of </w:t>
            </w:r>
            <w:r w:rsidR="000414F1" w:rsidRPr="00A44065">
              <w:rPr>
                <w:rFonts w:ascii="Times New Roman" w:hAnsi="Times New Roman"/>
                <w:b/>
                <w:lang w:eastAsia="ko-KR" w:bidi="he-IL"/>
              </w:rPr>
              <w:t>0.9% or 0.45% sodium chloride</w:t>
            </w:r>
            <w:r w:rsidR="000414F1" w:rsidRPr="00A44065" w:rsidDel="000414F1">
              <w:rPr>
                <w:rFonts w:ascii="Times New Roman" w:hAnsi="Times New Roman"/>
                <w:b/>
                <w:lang w:eastAsia="ko-KR" w:bidi="he-IL"/>
              </w:rPr>
              <w:t xml:space="preserve"> </w:t>
            </w:r>
            <w:r w:rsidRPr="00A44065">
              <w:rPr>
                <w:rFonts w:ascii="Times New Roman" w:hAnsi="Times New Roman"/>
                <w:b/>
                <w:lang w:eastAsia="ko-KR" w:bidi="he-IL"/>
              </w:rPr>
              <w:t>solution to be withdrawn and discarded</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D441ECB" w14:textId="36E41E8D" w:rsidR="00FF21DD" w:rsidRPr="00A44065" w:rsidRDefault="00FF21DD" w:rsidP="005A2E65">
            <w:pPr>
              <w:pStyle w:val="TableCell10Center"/>
              <w:rPr>
                <w:rFonts w:ascii="Times New Roman" w:hAnsi="Times New Roman"/>
                <w:b/>
                <w:lang w:eastAsia="ko-KR" w:bidi="he-IL"/>
              </w:rPr>
            </w:pPr>
            <w:r w:rsidRPr="0008620B">
              <w:rPr>
                <w:rFonts w:ascii="Times New Roman" w:hAnsi="Times New Roman"/>
                <w:b/>
                <w:lang w:eastAsia="ko-KR" w:bidi="he-IL"/>
              </w:rPr>
              <w:t xml:space="preserve">Volume of </w:t>
            </w:r>
            <w:proofErr w:type="spellStart"/>
            <w:r w:rsidR="00B719B6" w:rsidRPr="00A44065">
              <w:rPr>
                <w:rFonts w:ascii="Times New Roman" w:hAnsi="Times New Roman"/>
                <w:b/>
                <w:lang w:eastAsia="ko-KR" w:bidi="he-IL"/>
              </w:rPr>
              <w:t>Columvi</w:t>
            </w:r>
            <w:proofErr w:type="spellEnd"/>
            <w:r w:rsidRPr="00A44065">
              <w:rPr>
                <w:rFonts w:ascii="Times New Roman" w:hAnsi="Times New Roman"/>
                <w:b/>
                <w:lang w:eastAsia="ko-KR" w:bidi="he-IL"/>
              </w:rPr>
              <w:t xml:space="preserve"> concentrate to be added</w:t>
            </w:r>
          </w:p>
        </w:tc>
      </w:tr>
      <w:tr w:rsidR="00FF21DD" w:rsidRPr="00A44065" w14:paraId="1B6103AF" w14:textId="77777777" w:rsidTr="005A2E65">
        <w:trPr>
          <w:cantSplit/>
        </w:trPr>
        <w:tc>
          <w:tcPr>
            <w:tcW w:w="1780" w:type="dxa"/>
            <w:vMerge w:val="restart"/>
            <w:tcBorders>
              <w:top w:val="single" w:sz="4" w:space="0" w:color="auto"/>
              <w:left w:val="single" w:sz="4" w:space="0" w:color="auto"/>
              <w:right w:val="single" w:sz="4" w:space="0" w:color="auto"/>
            </w:tcBorders>
            <w:shd w:val="clear" w:color="auto" w:fill="auto"/>
          </w:tcPr>
          <w:p w14:paraId="07378AAB" w14:textId="77777777" w:rsidR="00FF21DD" w:rsidRPr="00A44065" w:rsidRDefault="00FF21DD" w:rsidP="005A2E65">
            <w:pPr>
              <w:pStyle w:val="TableCell10Left"/>
              <w:rPr>
                <w:rFonts w:ascii="Times New Roman" w:hAnsi="Times New Roman"/>
                <w:lang w:eastAsia="ko-KR" w:bidi="he-IL"/>
              </w:rPr>
            </w:pPr>
            <w:r w:rsidRPr="00A44065">
              <w:rPr>
                <w:rFonts w:ascii="Times New Roman" w:hAnsi="Times New Roman"/>
                <w:lang w:eastAsia="ko-KR" w:bidi="he-IL"/>
              </w:rPr>
              <w:t>2.5 mg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CF6B54"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50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5571F9"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27.5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1022C0F"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2.5 mL</w:t>
            </w:r>
          </w:p>
        </w:tc>
      </w:tr>
      <w:tr w:rsidR="00FF21DD" w:rsidRPr="00A44065" w14:paraId="2AD86B48" w14:textId="77777777" w:rsidTr="005A2E65">
        <w:trPr>
          <w:cantSplit/>
        </w:trPr>
        <w:tc>
          <w:tcPr>
            <w:tcW w:w="1780" w:type="dxa"/>
            <w:vMerge/>
            <w:tcBorders>
              <w:left w:val="single" w:sz="4" w:space="0" w:color="auto"/>
              <w:bottom w:val="single" w:sz="4" w:space="0" w:color="auto"/>
              <w:right w:val="single" w:sz="4" w:space="0" w:color="auto"/>
            </w:tcBorders>
            <w:shd w:val="clear" w:color="auto" w:fill="auto"/>
          </w:tcPr>
          <w:p w14:paraId="73D707F2" w14:textId="77777777" w:rsidR="00FF21DD" w:rsidRPr="00A44065" w:rsidRDefault="00FF21DD" w:rsidP="005A2E65">
            <w:pPr>
              <w:pStyle w:val="TableCell10Left"/>
              <w:rPr>
                <w:rFonts w:ascii="Times New Roman" w:hAnsi="Times New Roman"/>
                <w:lang w:eastAsia="ko-KR" w:bidi="he-I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58B1AC"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4A4D68C"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77.5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2C78224"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2.5 mL</w:t>
            </w:r>
          </w:p>
        </w:tc>
      </w:tr>
      <w:tr w:rsidR="00FF21DD" w:rsidRPr="00A44065" w14:paraId="6296E997" w14:textId="77777777" w:rsidTr="005A2E65">
        <w:trPr>
          <w:cantSplit/>
        </w:trPr>
        <w:tc>
          <w:tcPr>
            <w:tcW w:w="1780" w:type="dxa"/>
            <w:vMerge w:val="restart"/>
            <w:tcBorders>
              <w:top w:val="single" w:sz="4" w:space="0" w:color="auto"/>
              <w:left w:val="single" w:sz="4" w:space="0" w:color="auto"/>
              <w:right w:val="single" w:sz="4" w:space="0" w:color="auto"/>
            </w:tcBorders>
            <w:shd w:val="clear" w:color="auto" w:fill="auto"/>
          </w:tcPr>
          <w:p w14:paraId="4B987894" w14:textId="77777777" w:rsidR="00FF21DD" w:rsidRPr="00A44065" w:rsidRDefault="00FF21DD" w:rsidP="005A2E65">
            <w:pPr>
              <w:pStyle w:val="TableCell10Left"/>
              <w:rPr>
                <w:rFonts w:ascii="Times New Roman" w:hAnsi="Times New Roman"/>
                <w:lang w:eastAsia="ko-KR" w:bidi="he-IL"/>
              </w:rPr>
            </w:pPr>
            <w:r w:rsidRPr="00A44065">
              <w:rPr>
                <w:rFonts w:ascii="Times New Roman" w:hAnsi="Times New Roman"/>
                <w:lang w:eastAsia="ko-KR" w:bidi="he-IL"/>
              </w:rPr>
              <w:t>10 mg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56B449"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50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4F2B4A"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83C7666"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r>
      <w:tr w:rsidR="00FF21DD" w:rsidRPr="00A44065" w14:paraId="543AAD1B" w14:textId="77777777" w:rsidTr="005A2E65">
        <w:trPr>
          <w:cantSplit/>
        </w:trPr>
        <w:tc>
          <w:tcPr>
            <w:tcW w:w="1780" w:type="dxa"/>
            <w:vMerge/>
            <w:tcBorders>
              <w:left w:val="single" w:sz="4" w:space="0" w:color="auto"/>
              <w:bottom w:val="single" w:sz="4" w:space="0" w:color="auto"/>
              <w:right w:val="single" w:sz="4" w:space="0" w:color="auto"/>
            </w:tcBorders>
            <w:shd w:val="clear" w:color="auto" w:fill="auto"/>
          </w:tcPr>
          <w:p w14:paraId="528C2B15" w14:textId="77777777" w:rsidR="00FF21DD" w:rsidRPr="00A44065" w:rsidRDefault="00FF21DD" w:rsidP="005A2E65">
            <w:pPr>
              <w:pStyle w:val="TableCell10Left"/>
              <w:rPr>
                <w:rFonts w:ascii="Times New Roman" w:hAnsi="Times New Roman"/>
                <w:lang w:eastAsia="ko-KR" w:bidi="he-I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5DADAD"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2DCB903"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58B288E5"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r>
      <w:tr w:rsidR="00FF21DD" w:rsidRPr="00A44065" w14:paraId="3E02E6DA" w14:textId="77777777" w:rsidTr="005A2E65">
        <w:trPr>
          <w:cantSplit/>
        </w:trPr>
        <w:tc>
          <w:tcPr>
            <w:tcW w:w="1780" w:type="dxa"/>
            <w:vMerge w:val="restart"/>
            <w:tcBorders>
              <w:top w:val="single" w:sz="4" w:space="0" w:color="auto"/>
              <w:left w:val="single" w:sz="4" w:space="0" w:color="auto"/>
              <w:right w:val="single" w:sz="4" w:space="0" w:color="auto"/>
            </w:tcBorders>
            <w:shd w:val="clear" w:color="auto" w:fill="auto"/>
          </w:tcPr>
          <w:p w14:paraId="6A0FBE92" w14:textId="77777777" w:rsidR="00FF21DD" w:rsidRPr="00A44065" w:rsidRDefault="00FF21DD" w:rsidP="005A2E65">
            <w:pPr>
              <w:pStyle w:val="TableCell10Left"/>
              <w:rPr>
                <w:rFonts w:ascii="Times New Roman" w:hAnsi="Times New Roman"/>
                <w:lang w:eastAsia="ko-KR" w:bidi="he-IL"/>
              </w:rPr>
            </w:pPr>
            <w:r w:rsidRPr="00A44065">
              <w:rPr>
                <w:rFonts w:ascii="Times New Roman" w:hAnsi="Times New Roman"/>
                <w:lang w:eastAsia="ko-KR" w:bidi="he-IL"/>
              </w:rPr>
              <w:t>30 mg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0ED81A"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50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856152"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CF354A4"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r>
      <w:tr w:rsidR="00FF21DD" w:rsidRPr="00A44065" w14:paraId="50C72F41" w14:textId="77777777" w:rsidTr="005A2E65">
        <w:trPr>
          <w:cantSplit/>
        </w:trPr>
        <w:tc>
          <w:tcPr>
            <w:tcW w:w="1780" w:type="dxa"/>
            <w:vMerge/>
            <w:tcBorders>
              <w:left w:val="single" w:sz="4" w:space="0" w:color="auto"/>
              <w:bottom w:val="single" w:sz="4" w:space="0" w:color="auto"/>
              <w:right w:val="single" w:sz="4" w:space="0" w:color="auto"/>
            </w:tcBorders>
            <w:shd w:val="clear" w:color="auto" w:fill="auto"/>
          </w:tcPr>
          <w:p w14:paraId="105F19C8" w14:textId="77777777" w:rsidR="00FF21DD" w:rsidRPr="00A44065" w:rsidRDefault="00FF21DD" w:rsidP="005A2E65">
            <w:pPr>
              <w:pStyle w:val="TableCell10Left"/>
              <w:rPr>
                <w:rFonts w:ascii="Times New Roman" w:hAnsi="Times New Roman"/>
                <w:lang w:eastAsia="ko-KR" w:bidi="he-I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CC64E"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005E1B"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426D507"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r>
    </w:tbl>
    <w:p w14:paraId="155B8AA3" w14:textId="20D53FD7" w:rsidR="00F13801" w:rsidRPr="00A44065" w:rsidRDefault="00F13801" w:rsidP="00F13801">
      <w:pPr>
        <w:pStyle w:val="Paragraph"/>
      </w:pPr>
    </w:p>
    <w:p w14:paraId="58C87598" w14:textId="5A8D76D3" w:rsidR="00F13801" w:rsidRPr="00A44065" w:rsidRDefault="00F13801" w:rsidP="00F13801">
      <w:pPr>
        <w:pStyle w:val="ParagraphList"/>
        <w:rPr>
          <w:rFonts w:ascii="Times New Roman" w:hAnsi="Times New Roman"/>
          <w:b/>
          <w:sz w:val="24"/>
          <w:lang w:eastAsia="ko-KR" w:bidi="he-IL"/>
        </w:rPr>
      </w:pPr>
      <w:r w:rsidRPr="00A44065">
        <w:rPr>
          <w:rFonts w:ascii="Times New Roman" w:hAnsi="Times New Roman"/>
          <w:b/>
          <w:sz w:val="24"/>
          <w:lang w:eastAsia="ko-KR" w:bidi="he-IL"/>
        </w:rPr>
        <w:t>Disposal</w:t>
      </w:r>
    </w:p>
    <w:p w14:paraId="00409769" w14:textId="22B6D6DF" w:rsidR="00F13801" w:rsidRPr="00A44065" w:rsidRDefault="00F13801" w:rsidP="00F13801">
      <w:pPr>
        <w:pStyle w:val="Paragraph"/>
        <w:rPr>
          <w:rFonts w:ascii="Times New Roman" w:hAnsi="Times New Roman"/>
          <w:lang w:eastAsia="ko-KR" w:bidi="he-IL"/>
        </w:rPr>
      </w:pPr>
      <w:r w:rsidRPr="00A44065">
        <w:rPr>
          <w:rFonts w:ascii="Times New Roman" w:hAnsi="Times New Roman"/>
          <w:lang w:eastAsia="ko-KR" w:bidi="he-IL"/>
        </w:rPr>
        <w:t xml:space="preserve">The release of pharmaceuticals in the environment should be </w:t>
      </w:r>
      <w:proofErr w:type="spellStart"/>
      <w:r w:rsidRPr="00A44065">
        <w:rPr>
          <w:rFonts w:ascii="Times New Roman" w:hAnsi="Times New Roman"/>
          <w:lang w:eastAsia="ko-KR" w:bidi="he-IL"/>
        </w:rPr>
        <w:t>minimised</w:t>
      </w:r>
      <w:proofErr w:type="spellEnd"/>
      <w:r w:rsidRPr="00A44065">
        <w:rPr>
          <w:rFonts w:ascii="Times New Roman" w:hAnsi="Times New Roman"/>
          <w:lang w:eastAsia="ko-KR" w:bidi="he-IL"/>
        </w:rPr>
        <w:t>.  Medicines should not be disposed of via wastewater, and disposal through household waste should be avoided.</w:t>
      </w:r>
    </w:p>
    <w:p w14:paraId="046CB5EC" w14:textId="2F597147" w:rsidR="008903F2" w:rsidRPr="00A44065" w:rsidRDefault="00902EBE" w:rsidP="009F4C5B">
      <w:pPr>
        <w:pStyle w:val="Heading2"/>
        <w:spacing w:before="0"/>
        <w:rPr>
          <w:color w:val="auto"/>
        </w:rPr>
      </w:pPr>
      <w:r w:rsidRPr="00A44065">
        <w:rPr>
          <w:color w:val="auto"/>
        </w:rPr>
        <w:lastRenderedPageBreak/>
        <w:t>6.7</w:t>
      </w:r>
      <w:r w:rsidRPr="00A44065">
        <w:rPr>
          <w:color w:val="auto"/>
        </w:rPr>
        <w:tab/>
        <w:t xml:space="preserve">PHYSIOCHEMICAL PROPERTIES </w:t>
      </w:r>
    </w:p>
    <w:p w14:paraId="7298C534" w14:textId="77777777" w:rsidR="009B3628" w:rsidRPr="00A44065" w:rsidRDefault="009B3628">
      <w:pPr>
        <w:rPr>
          <w:color w:val="auto"/>
        </w:rPr>
      </w:pPr>
    </w:p>
    <w:p w14:paraId="00ABA330" w14:textId="77777777" w:rsidR="004D5CBC" w:rsidRPr="00A44065" w:rsidRDefault="004D5CBC" w:rsidP="004D5CBC">
      <w:pPr>
        <w:rPr>
          <w:rFonts w:eastAsia="SimSun"/>
          <w:color w:val="auto"/>
          <w:sz w:val="22"/>
          <w:lang w:val="en-US" w:eastAsia="zh-CN"/>
        </w:rPr>
      </w:pPr>
      <w:proofErr w:type="spellStart"/>
      <w:r w:rsidRPr="00A44065">
        <w:rPr>
          <w:rFonts w:eastAsia="SimSun"/>
          <w:color w:val="auto"/>
          <w:sz w:val="22"/>
          <w:lang w:val="en-US" w:eastAsia="zh-CN"/>
        </w:rPr>
        <w:t>Glofitamab</w:t>
      </w:r>
      <w:proofErr w:type="spellEnd"/>
      <w:r w:rsidRPr="00A44065">
        <w:rPr>
          <w:rFonts w:eastAsia="SimSun"/>
          <w:color w:val="auto"/>
          <w:sz w:val="22"/>
          <w:lang w:val="en-US" w:eastAsia="zh-CN"/>
        </w:rPr>
        <w:t xml:space="preserve"> is a </w:t>
      </w:r>
      <w:proofErr w:type="spellStart"/>
      <w:r w:rsidRPr="00A44065">
        <w:rPr>
          <w:rFonts w:eastAsia="SimSun"/>
          <w:color w:val="auto"/>
          <w:sz w:val="22"/>
          <w:lang w:val="en-US" w:eastAsia="zh-CN"/>
        </w:rPr>
        <w:t>humanised</w:t>
      </w:r>
      <w:proofErr w:type="spellEnd"/>
      <w:r w:rsidRPr="00A44065">
        <w:rPr>
          <w:rFonts w:eastAsia="SimSun"/>
          <w:color w:val="auto"/>
          <w:sz w:val="22"/>
          <w:lang w:val="en-US" w:eastAsia="zh-CN"/>
        </w:rPr>
        <w:t xml:space="preserve"> anti-CD20 anti-CD3 bispecific monoclonal antibody produced in Chinese</w:t>
      </w:r>
    </w:p>
    <w:p w14:paraId="53A0067C" w14:textId="77777777" w:rsidR="004D5CBC" w:rsidRPr="00A44065" w:rsidRDefault="004D5CBC" w:rsidP="004D5CBC">
      <w:pPr>
        <w:rPr>
          <w:rFonts w:eastAsia="SimSun"/>
          <w:color w:val="auto"/>
          <w:sz w:val="22"/>
          <w:lang w:val="en-US" w:eastAsia="zh-CN"/>
        </w:rPr>
      </w:pPr>
      <w:r w:rsidRPr="00A44065">
        <w:rPr>
          <w:rFonts w:eastAsia="SimSun"/>
          <w:color w:val="auto"/>
          <w:sz w:val="22"/>
          <w:lang w:val="en-US" w:eastAsia="zh-CN"/>
        </w:rPr>
        <w:t>hamster ovary (CHO) cells by recombinant DNA technology.</w:t>
      </w:r>
    </w:p>
    <w:p w14:paraId="63D16064" w14:textId="77777777" w:rsidR="004D5CBC" w:rsidRPr="00A44065" w:rsidRDefault="004D5CBC" w:rsidP="009F4C5B">
      <w:pPr>
        <w:spacing w:after="240"/>
        <w:rPr>
          <w:b/>
          <w:color w:val="auto"/>
        </w:rPr>
      </w:pPr>
    </w:p>
    <w:p w14:paraId="69D24E27" w14:textId="490BC6AB" w:rsidR="009B3628" w:rsidRPr="00A44065" w:rsidRDefault="009B3628" w:rsidP="009F4C5B">
      <w:pPr>
        <w:spacing w:after="240"/>
        <w:rPr>
          <w:b/>
          <w:color w:val="auto"/>
        </w:rPr>
      </w:pPr>
      <w:r w:rsidRPr="00A44065">
        <w:rPr>
          <w:b/>
          <w:color w:val="auto"/>
        </w:rPr>
        <w:t>CAS number</w:t>
      </w:r>
      <w:r w:rsidR="00F13801" w:rsidRPr="00A44065">
        <w:rPr>
          <w:b/>
          <w:color w:val="auto"/>
        </w:rPr>
        <w:t xml:space="preserve">: </w:t>
      </w:r>
      <w:r w:rsidR="00F13801" w:rsidRPr="00A44065">
        <w:rPr>
          <w:color w:val="auto"/>
        </w:rPr>
        <w:t>2229047-91-8</w:t>
      </w:r>
    </w:p>
    <w:p w14:paraId="440D2E85" w14:textId="77777777" w:rsidR="00D52399" w:rsidRPr="00A44065" w:rsidRDefault="00615052" w:rsidP="009F4C5B">
      <w:pPr>
        <w:pStyle w:val="Heading1"/>
        <w:numPr>
          <w:ilvl w:val="0"/>
          <w:numId w:val="2"/>
        </w:numPr>
        <w:spacing w:before="0"/>
        <w:rPr>
          <w:color w:val="auto"/>
        </w:rPr>
      </w:pPr>
      <w:r w:rsidRPr="00A44065">
        <w:rPr>
          <w:color w:val="auto"/>
        </w:rPr>
        <w:t xml:space="preserve"> MEDICINE SCHEDULE</w:t>
      </w:r>
      <w:r w:rsidR="00594C19" w:rsidRPr="00A44065">
        <w:rPr>
          <w:color w:val="auto"/>
        </w:rPr>
        <w:t xml:space="preserve"> (POISONS STANDARD)</w:t>
      </w:r>
    </w:p>
    <w:p w14:paraId="48BE83ED" w14:textId="25BF087A" w:rsidR="00D52399" w:rsidRPr="00A44065" w:rsidRDefault="00AC1B30" w:rsidP="009F4C5B">
      <w:pPr>
        <w:spacing w:after="240"/>
        <w:rPr>
          <w:color w:val="auto"/>
        </w:rPr>
      </w:pPr>
      <w:r w:rsidRPr="00A44065">
        <w:rPr>
          <w:color w:val="auto"/>
          <w:sz w:val="22"/>
          <w:szCs w:val="22"/>
        </w:rPr>
        <w:t>Prescription Only Medicine</w:t>
      </w:r>
    </w:p>
    <w:p w14:paraId="4FD7EC3F" w14:textId="77777777" w:rsidR="00D52399" w:rsidRPr="00A44065" w:rsidRDefault="00615052" w:rsidP="009F4C5B">
      <w:pPr>
        <w:pStyle w:val="Heading1"/>
        <w:numPr>
          <w:ilvl w:val="0"/>
          <w:numId w:val="2"/>
        </w:numPr>
        <w:spacing w:before="0"/>
        <w:rPr>
          <w:color w:val="auto"/>
        </w:rPr>
      </w:pPr>
      <w:r w:rsidRPr="00A44065">
        <w:rPr>
          <w:color w:val="auto"/>
        </w:rPr>
        <w:t>SPONSOR</w:t>
      </w:r>
    </w:p>
    <w:p w14:paraId="298EFBDD" w14:textId="77777777" w:rsidR="00363C7F" w:rsidRPr="00A44065" w:rsidRDefault="00363C7F" w:rsidP="00363C7F">
      <w:pPr>
        <w:rPr>
          <w:color w:val="auto"/>
          <w:sz w:val="22"/>
          <w:lang w:val="en-GB"/>
        </w:rPr>
      </w:pPr>
      <w:r w:rsidRPr="00A44065">
        <w:rPr>
          <w:color w:val="auto"/>
          <w:sz w:val="22"/>
          <w:lang w:val="en-GB"/>
        </w:rPr>
        <w:t>Roche Products Pty Limited</w:t>
      </w:r>
    </w:p>
    <w:p w14:paraId="6D6111FE" w14:textId="77777777" w:rsidR="00363C7F" w:rsidRPr="00A44065" w:rsidRDefault="00363C7F" w:rsidP="00363C7F">
      <w:pPr>
        <w:rPr>
          <w:color w:val="auto"/>
          <w:sz w:val="22"/>
          <w:lang w:val="en-GB"/>
        </w:rPr>
      </w:pPr>
      <w:r w:rsidRPr="00A44065">
        <w:rPr>
          <w:color w:val="auto"/>
          <w:sz w:val="22"/>
          <w:lang w:val="en-GB"/>
        </w:rPr>
        <w:t>ABN 70 000 132 865</w:t>
      </w:r>
    </w:p>
    <w:p w14:paraId="3FFC2CC4" w14:textId="77777777" w:rsidR="00363C7F" w:rsidRPr="00A44065" w:rsidRDefault="00363C7F" w:rsidP="00363C7F">
      <w:pPr>
        <w:rPr>
          <w:color w:val="auto"/>
          <w:sz w:val="22"/>
          <w:lang w:val="en-GB"/>
        </w:rPr>
      </w:pPr>
      <w:r w:rsidRPr="00A44065">
        <w:rPr>
          <w:color w:val="auto"/>
          <w:sz w:val="22"/>
          <w:lang w:val="en-GB"/>
        </w:rPr>
        <w:t xml:space="preserve">Level 8, 30 – 34 Hickson Road </w:t>
      </w:r>
    </w:p>
    <w:p w14:paraId="484E3FD5" w14:textId="77777777" w:rsidR="00363C7F" w:rsidRPr="00A44065" w:rsidRDefault="00363C7F" w:rsidP="00363C7F">
      <w:pPr>
        <w:rPr>
          <w:color w:val="auto"/>
          <w:sz w:val="22"/>
          <w:lang w:val="en-GB"/>
        </w:rPr>
      </w:pPr>
      <w:r w:rsidRPr="00A44065">
        <w:rPr>
          <w:color w:val="auto"/>
          <w:sz w:val="22"/>
          <w:lang w:val="en-GB"/>
        </w:rPr>
        <w:t>Sydney NSW 2000</w:t>
      </w:r>
    </w:p>
    <w:p w14:paraId="7CF3A60B" w14:textId="77777777" w:rsidR="00363C7F" w:rsidRPr="00A44065" w:rsidRDefault="00363C7F" w:rsidP="00363C7F">
      <w:pPr>
        <w:rPr>
          <w:color w:val="auto"/>
          <w:sz w:val="22"/>
          <w:lang w:val="en-GB"/>
        </w:rPr>
      </w:pPr>
      <w:r w:rsidRPr="00A44065">
        <w:rPr>
          <w:color w:val="auto"/>
          <w:sz w:val="22"/>
          <w:lang w:val="en-GB"/>
        </w:rPr>
        <w:t>AUSTRALIA</w:t>
      </w:r>
    </w:p>
    <w:p w14:paraId="2A35E1C5" w14:textId="77777777" w:rsidR="00363C7F" w:rsidRPr="00A44065" w:rsidRDefault="00363C7F" w:rsidP="00363C7F">
      <w:pPr>
        <w:rPr>
          <w:color w:val="auto"/>
          <w:sz w:val="22"/>
          <w:lang w:val="en-GB"/>
        </w:rPr>
      </w:pPr>
    </w:p>
    <w:p w14:paraId="7022FA16" w14:textId="74B0FBEA" w:rsidR="00363C7F" w:rsidRPr="0008620B" w:rsidRDefault="00363C7F" w:rsidP="009F4C5B">
      <w:pPr>
        <w:spacing w:after="240"/>
        <w:rPr>
          <w:color w:val="auto"/>
        </w:rPr>
      </w:pPr>
      <w:r w:rsidRPr="00A44065">
        <w:rPr>
          <w:color w:val="auto"/>
          <w:sz w:val="22"/>
          <w:lang w:val="en-GB"/>
        </w:rPr>
        <w:t>Medical enquiries: 1800 233 950</w:t>
      </w:r>
      <w:r w:rsidR="00AC1B30" w:rsidRPr="00A44065">
        <w:rPr>
          <w:color w:val="auto"/>
          <w:sz w:val="22"/>
          <w:lang w:val="en-GB"/>
        </w:rPr>
        <w:br/>
      </w:r>
      <w:hyperlink r:id="rId13" w:history="1">
        <w:r w:rsidR="00AC1B30" w:rsidRPr="0008620B">
          <w:rPr>
            <w:rStyle w:val="Hyperlink"/>
            <w:sz w:val="22"/>
          </w:rPr>
          <w:t>https://medinfo.roche.com/au/en.html</w:t>
        </w:r>
      </w:hyperlink>
      <w:r w:rsidR="00AC1B30" w:rsidRPr="0008620B">
        <w:rPr>
          <w:color w:val="auto"/>
        </w:rPr>
        <w:br/>
      </w:r>
    </w:p>
    <w:p w14:paraId="08E10EB0" w14:textId="77777777" w:rsidR="00D52399" w:rsidRPr="00A44065" w:rsidRDefault="00615052" w:rsidP="009F4C5B">
      <w:pPr>
        <w:pStyle w:val="Heading1"/>
        <w:numPr>
          <w:ilvl w:val="0"/>
          <w:numId w:val="2"/>
        </w:numPr>
        <w:spacing w:before="0"/>
        <w:rPr>
          <w:color w:val="auto"/>
        </w:rPr>
      </w:pPr>
      <w:r w:rsidRPr="0008620B">
        <w:rPr>
          <w:color w:val="auto"/>
        </w:rPr>
        <w:t>DATE OF FIRST APPROVAL</w:t>
      </w:r>
    </w:p>
    <w:p w14:paraId="3CFD309B" w14:textId="7624CA6C" w:rsidR="009B3628" w:rsidRPr="00A44065" w:rsidRDefault="00717D4D" w:rsidP="00F13801">
      <w:pPr>
        <w:rPr>
          <w:color w:val="auto"/>
        </w:rPr>
      </w:pPr>
      <w:r>
        <w:rPr>
          <w:color w:val="auto"/>
          <w:sz w:val="22"/>
        </w:rPr>
        <w:t>9 August 2023</w:t>
      </w:r>
    </w:p>
    <w:p w14:paraId="7FAC684E" w14:textId="77777777" w:rsidR="00F13801" w:rsidRPr="00A44065" w:rsidRDefault="00F13801" w:rsidP="00F13801">
      <w:pPr>
        <w:rPr>
          <w:color w:val="auto"/>
        </w:rPr>
      </w:pPr>
    </w:p>
    <w:p w14:paraId="583E8CC3" w14:textId="77777777" w:rsidR="00D52399" w:rsidRPr="00A44065" w:rsidRDefault="00615052" w:rsidP="009F4C5B">
      <w:pPr>
        <w:pStyle w:val="Heading1"/>
        <w:numPr>
          <w:ilvl w:val="0"/>
          <w:numId w:val="2"/>
        </w:numPr>
        <w:spacing w:before="0"/>
        <w:rPr>
          <w:color w:val="auto"/>
        </w:rPr>
      </w:pPr>
      <w:r w:rsidRPr="00A44065">
        <w:rPr>
          <w:color w:val="auto"/>
        </w:rPr>
        <w:t xml:space="preserve">DATE OF REVISION </w:t>
      </w:r>
    </w:p>
    <w:p w14:paraId="72AB089A" w14:textId="3FEFBB62" w:rsidR="00D52399" w:rsidRPr="00A44065" w:rsidRDefault="00717D4D">
      <w:pPr>
        <w:rPr>
          <w:color w:val="auto"/>
          <w:sz w:val="22"/>
        </w:rPr>
      </w:pPr>
      <w:r>
        <w:rPr>
          <w:color w:val="auto"/>
          <w:sz w:val="22"/>
        </w:rPr>
        <w:t>9 August 2023</w:t>
      </w:r>
    </w:p>
    <w:p w14:paraId="153D87AA" w14:textId="77777777" w:rsidR="00D52399" w:rsidRPr="00A44065" w:rsidRDefault="00902EBE" w:rsidP="00A8585F">
      <w:pPr>
        <w:pStyle w:val="Heading3"/>
        <w:spacing w:after="240"/>
        <w:rPr>
          <w:color w:val="auto"/>
        </w:rPr>
      </w:pPr>
      <w:r w:rsidRPr="00A44065">
        <w:rPr>
          <w:color w:val="auto"/>
        </w:rPr>
        <w:t>Summary table of changes</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rsidRPr="00A44065" w14:paraId="4F5D21CB" w14:textId="77777777" w:rsidTr="00407592">
        <w:tc>
          <w:tcPr>
            <w:tcW w:w="1951" w:type="dxa"/>
          </w:tcPr>
          <w:p w14:paraId="748A3B27" w14:textId="77777777" w:rsidR="00D52399" w:rsidRPr="00A44065" w:rsidRDefault="00615052">
            <w:pPr>
              <w:rPr>
                <w:b/>
                <w:color w:val="auto"/>
                <w:sz w:val="22"/>
              </w:rPr>
            </w:pPr>
            <w:r w:rsidRPr="00A44065">
              <w:rPr>
                <w:b/>
                <w:color w:val="auto"/>
                <w:sz w:val="22"/>
              </w:rPr>
              <w:t>Section Changed</w:t>
            </w:r>
          </w:p>
        </w:tc>
        <w:tc>
          <w:tcPr>
            <w:tcW w:w="7291" w:type="dxa"/>
          </w:tcPr>
          <w:p w14:paraId="760C426C" w14:textId="77777777" w:rsidR="00D52399" w:rsidRPr="00A44065" w:rsidRDefault="00615052">
            <w:pPr>
              <w:rPr>
                <w:b/>
                <w:color w:val="auto"/>
                <w:sz w:val="22"/>
              </w:rPr>
            </w:pPr>
            <w:r w:rsidRPr="00A44065">
              <w:rPr>
                <w:b/>
                <w:color w:val="auto"/>
                <w:sz w:val="22"/>
              </w:rPr>
              <w:t>Summary of new information</w:t>
            </w:r>
          </w:p>
        </w:tc>
      </w:tr>
      <w:tr w:rsidR="00B328F1" w:rsidRPr="00F13801" w14:paraId="308CFFFF" w14:textId="77777777" w:rsidTr="00407592">
        <w:tc>
          <w:tcPr>
            <w:tcW w:w="1951" w:type="dxa"/>
          </w:tcPr>
          <w:p w14:paraId="42E64CA0" w14:textId="77777777" w:rsidR="00D52399" w:rsidRPr="00A44065" w:rsidRDefault="003320D4">
            <w:pPr>
              <w:rPr>
                <w:color w:val="auto"/>
                <w:sz w:val="22"/>
              </w:rPr>
            </w:pPr>
            <w:r w:rsidRPr="00A44065">
              <w:rPr>
                <w:color w:val="auto"/>
                <w:sz w:val="22"/>
              </w:rPr>
              <w:t>All</w:t>
            </w:r>
          </w:p>
        </w:tc>
        <w:tc>
          <w:tcPr>
            <w:tcW w:w="7291" w:type="dxa"/>
          </w:tcPr>
          <w:p w14:paraId="181674D6" w14:textId="77777777" w:rsidR="00D52399" w:rsidRPr="001C4518" w:rsidRDefault="003320D4">
            <w:pPr>
              <w:rPr>
                <w:color w:val="auto"/>
                <w:sz w:val="22"/>
              </w:rPr>
            </w:pPr>
            <w:r w:rsidRPr="00A44065">
              <w:rPr>
                <w:color w:val="auto"/>
                <w:sz w:val="22"/>
              </w:rPr>
              <w:t xml:space="preserve">New product information for </w:t>
            </w:r>
            <w:proofErr w:type="spellStart"/>
            <w:r w:rsidRPr="00A44065">
              <w:rPr>
                <w:color w:val="auto"/>
                <w:sz w:val="22"/>
              </w:rPr>
              <w:t>glofitamab</w:t>
            </w:r>
            <w:proofErr w:type="spellEnd"/>
          </w:p>
        </w:tc>
      </w:tr>
    </w:tbl>
    <w:p w14:paraId="2C45B3B4" w14:textId="77777777" w:rsidR="00D52399" w:rsidRDefault="00D52399" w:rsidP="00B719B6"/>
    <w:sectPr w:rsidR="00D52399" w:rsidSect="004D5CB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9C43" w14:textId="77777777" w:rsidR="006A1266" w:rsidRDefault="006A1266">
      <w:r>
        <w:separator/>
      </w:r>
    </w:p>
    <w:p w14:paraId="098CB20D" w14:textId="77777777" w:rsidR="006A1266" w:rsidRDefault="006A1266"/>
  </w:endnote>
  <w:endnote w:type="continuationSeparator" w:id="0">
    <w:p w14:paraId="484B8D71" w14:textId="77777777" w:rsidR="006A1266" w:rsidRDefault="006A1266">
      <w:r>
        <w:continuationSeparator/>
      </w:r>
    </w:p>
    <w:p w14:paraId="157E0231" w14:textId="77777777" w:rsidR="006A1266" w:rsidRDefault="006A1266"/>
  </w:endnote>
  <w:endnote w:type="continuationNotice" w:id="1">
    <w:p w14:paraId="535F0474" w14:textId="77777777" w:rsidR="006A1266" w:rsidRDefault="006A1266"/>
    <w:p w14:paraId="7F3AA5DC" w14:textId="77777777" w:rsidR="006A1266" w:rsidRDefault="006A1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0F5B" w14:textId="77777777" w:rsidR="00303736" w:rsidRPr="00E64D9F" w:rsidRDefault="00303736">
    <w:pPr>
      <w:pStyle w:val="Footer"/>
      <w:rPr>
        <w:color w:val="000000" w:themeColor="text1"/>
      </w:rPr>
    </w:pPr>
  </w:p>
  <w:p w14:paraId="2E990734" w14:textId="77777777" w:rsidR="00303736" w:rsidRPr="00E64D9F" w:rsidRDefault="00303736">
    <w:pP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A75" w14:textId="56289DB3" w:rsidR="00303736" w:rsidRPr="00E64D9F" w:rsidRDefault="00303736" w:rsidP="00926DAE">
    <w:pPr>
      <w:tabs>
        <w:tab w:val="center" w:pos="4513"/>
        <w:tab w:val="right" w:pos="9026"/>
      </w:tabs>
      <w:rPr>
        <w:color w:val="000000" w:themeColor="text1"/>
        <w:sz w:val="20"/>
        <w:szCs w:val="20"/>
      </w:rPr>
    </w:pPr>
    <w:r>
      <w:rPr>
        <w:color w:val="000000" w:themeColor="text1"/>
        <w:sz w:val="20"/>
        <w:szCs w:val="20"/>
      </w:rPr>
      <w:t>Columvi20230</w:t>
    </w:r>
    <w:r w:rsidR="00717D4D">
      <w:rPr>
        <w:color w:val="000000" w:themeColor="text1"/>
        <w:sz w:val="20"/>
        <w:szCs w:val="20"/>
      </w:rPr>
      <w:t>809</w:t>
    </w:r>
    <w:r w:rsidRPr="00E64D9F">
      <w:rPr>
        <w:color w:val="000000" w:themeColor="text1"/>
        <w:sz w:val="20"/>
        <w:szCs w:val="20"/>
      </w:rPr>
      <w:tab/>
    </w:r>
    <w:r w:rsidRPr="00E64D9F">
      <w:rPr>
        <w:color w:val="000000" w:themeColor="text1"/>
        <w:sz w:val="20"/>
        <w:szCs w:val="20"/>
      </w:rPr>
      <w:tab/>
    </w:r>
    <w:r w:rsidRPr="00E64D9F">
      <w:rPr>
        <w:color w:val="000000" w:themeColor="text1"/>
        <w:sz w:val="20"/>
        <w:szCs w:val="20"/>
      </w:rPr>
      <w:fldChar w:fldCharType="begin"/>
    </w:r>
    <w:r w:rsidRPr="00E64D9F">
      <w:rPr>
        <w:color w:val="000000" w:themeColor="text1"/>
        <w:sz w:val="20"/>
        <w:szCs w:val="20"/>
      </w:rPr>
      <w:instrText>PAGE</w:instrText>
    </w:r>
    <w:r w:rsidRPr="00E64D9F">
      <w:rPr>
        <w:color w:val="000000" w:themeColor="text1"/>
        <w:sz w:val="20"/>
        <w:szCs w:val="20"/>
      </w:rPr>
      <w:fldChar w:fldCharType="separate"/>
    </w:r>
    <w:r w:rsidR="00E741A2">
      <w:rPr>
        <w:noProof/>
        <w:color w:val="000000" w:themeColor="text1"/>
        <w:sz w:val="20"/>
        <w:szCs w:val="20"/>
      </w:rPr>
      <w:t>4</w:t>
    </w:r>
    <w:r w:rsidRPr="00E64D9F">
      <w:rPr>
        <w:color w:val="000000" w:themeColor="text1"/>
        <w:sz w:val="20"/>
        <w:szCs w:val="20"/>
      </w:rPr>
      <w:fldChar w:fldCharType="end"/>
    </w:r>
  </w:p>
  <w:p w14:paraId="3EDD0A27" w14:textId="77777777" w:rsidR="00303736" w:rsidRDefault="003037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DF46" w14:textId="2C0B57CD" w:rsidR="00303736" w:rsidRPr="00E64D9F" w:rsidRDefault="00303736" w:rsidP="00CC6729">
    <w:pPr>
      <w:tabs>
        <w:tab w:val="center" w:pos="4513"/>
        <w:tab w:val="right" w:pos="9026"/>
      </w:tabs>
      <w:rPr>
        <w:color w:val="000000" w:themeColor="text1"/>
        <w:sz w:val="20"/>
        <w:szCs w:val="20"/>
      </w:rPr>
    </w:pPr>
    <w:r w:rsidRPr="00E64D9F">
      <w:rPr>
        <w:color w:val="000000" w:themeColor="text1"/>
        <w:sz w:val="20"/>
        <w:szCs w:val="20"/>
      </w:rPr>
      <w:t>Glofitamab2022</w:t>
    </w:r>
    <w:r>
      <w:rPr>
        <w:color w:val="000000" w:themeColor="text1"/>
        <w:sz w:val="20"/>
        <w:szCs w:val="20"/>
      </w:rPr>
      <w:t>0511</w:t>
    </w:r>
    <w:r w:rsidRPr="00E64D9F">
      <w:rPr>
        <w:color w:val="000000" w:themeColor="text1"/>
        <w:sz w:val="20"/>
        <w:szCs w:val="20"/>
      </w:rPr>
      <w:tab/>
    </w:r>
    <w:r w:rsidRPr="00E64D9F">
      <w:rPr>
        <w:color w:val="000000" w:themeColor="text1"/>
        <w:sz w:val="20"/>
        <w:szCs w:val="20"/>
      </w:rPr>
      <w:tab/>
    </w:r>
    <w:r w:rsidRPr="00E64D9F">
      <w:rPr>
        <w:color w:val="000000" w:themeColor="text1"/>
        <w:sz w:val="20"/>
        <w:szCs w:val="20"/>
      </w:rPr>
      <w:fldChar w:fldCharType="begin"/>
    </w:r>
    <w:r w:rsidRPr="00E64D9F">
      <w:rPr>
        <w:color w:val="000000" w:themeColor="text1"/>
        <w:sz w:val="20"/>
        <w:szCs w:val="20"/>
      </w:rPr>
      <w:instrText>PAGE</w:instrText>
    </w:r>
    <w:r w:rsidRPr="00E64D9F">
      <w:rPr>
        <w:color w:val="000000" w:themeColor="text1"/>
        <w:sz w:val="20"/>
        <w:szCs w:val="20"/>
      </w:rPr>
      <w:fldChar w:fldCharType="separate"/>
    </w:r>
    <w:r>
      <w:rPr>
        <w:noProof/>
        <w:color w:val="000000" w:themeColor="text1"/>
        <w:sz w:val="20"/>
        <w:szCs w:val="20"/>
      </w:rPr>
      <w:t>1</w:t>
    </w:r>
    <w:r w:rsidRPr="00E64D9F">
      <w:rPr>
        <w:color w:val="000000" w:themeColor="text1"/>
        <w:sz w:val="20"/>
        <w:szCs w:val="20"/>
      </w:rPr>
      <w:fldChar w:fldCharType="end"/>
    </w:r>
  </w:p>
  <w:p w14:paraId="3EA64FB4" w14:textId="77777777" w:rsidR="00303736" w:rsidRPr="00E64D9F" w:rsidRDefault="00303736">
    <w:pP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8634" w14:textId="77777777" w:rsidR="006A1266" w:rsidRDefault="006A1266">
      <w:r>
        <w:separator/>
      </w:r>
    </w:p>
    <w:p w14:paraId="7D973475" w14:textId="77777777" w:rsidR="006A1266" w:rsidRDefault="006A1266"/>
  </w:footnote>
  <w:footnote w:type="continuationSeparator" w:id="0">
    <w:p w14:paraId="031E7506" w14:textId="77777777" w:rsidR="006A1266" w:rsidRDefault="006A1266">
      <w:r>
        <w:continuationSeparator/>
      </w:r>
    </w:p>
    <w:p w14:paraId="427C1F14" w14:textId="77777777" w:rsidR="006A1266" w:rsidRDefault="006A1266"/>
  </w:footnote>
  <w:footnote w:type="continuationNotice" w:id="1">
    <w:p w14:paraId="3E860155" w14:textId="77777777" w:rsidR="006A1266" w:rsidRDefault="006A1266"/>
    <w:p w14:paraId="35EDF524" w14:textId="77777777" w:rsidR="006A1266" w:rsidRDefault="006A1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780F" w14:textId="77777777" w:rsidR="00303736" w:rsidRDefault="00303736">
    <w:pPr>
      <w:pStyle w:val="Header"/>
    </w:pPr>
  </w:p>
  <w:p w14:paraId="48E29963" w14:textId="77777777" w:rsidR="00303736" w:rsidRDefault="00303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3" w:type="dxa"/>
      <w:shd w:val="clear" w:color="auto" w:fill="E4F2E0"/>
      <w:tblLook w:val="04A0" w:firstRow="1" w:lastRow="0" w:firstColumn="1" w:lastColumn="0" w:noHBand="0" w:noVBand="1"/>
    </w:tblPr>
    <w:tblGrid>
      <w:gridCol w:w="9039"/>
    </w:tblGrid>
    <w:tr w:rsidR="00AC790C" w:rsidRPr="000E4791" w14:paraId="4257E39E" w14:textId="77777777" w:rsidTr="00904479">
      <w:trPr>
        <w:trHeight w:val="1012"/>
      </w:trPr>
      <w:tc>
        <w:tcPr>
          <w:tcW w:w="9039" w:type="dxa"/>
          <w:shd w:val="clear" w:color="auto" w:fill="E4F2E0"/>
        </w:tcPr>
        <w:p w14:paraId="0FCF8756" w14:textId="22A66845" w:rsidR="00B221D5" w:rsidRPr="00B221D5" w:rsidRDefault="00AC790C" w:rsidP="00B221D5">
          <w:pPr>
            <w:pStyle w:val="Footer"/>
            <w:rPr>
              <w:b/>
              <w:sz w:val="18"/>
              <w:szCs w:val="18"/>
            </w:rPr>
          </w:pPr>
          <w:r w:rsidRPr="00EE2A41">
            <w:rPr>
              <w:b/>
              <w:sz w:val="18"/>
              <w:szCs w:val="18"/>
            </w:rPr>
            <w:t xml:space="preserve">Attachment </w:t>
          </w:r>
          <w:proofErr w:type="spellStart"/>
          <w:r w:rsidR="00B221D5" w:rsidRPr="00B221D5">
            <w:rPr>
              <w:b/>
              <w:sz w:val="18"/>
              <w:szCs w:val="18"/>
            </w:rPr>
            <w:t>AusPAR</w:t>
          </w:r>
          <w:proofErr w:type="spellEnd"/>
          <w:r w:rsidR="00B221D5" w:rsidRPr="00B221D5">
            <w:rPr>
              <w:b/>
              <w:sz w:val="18"/>
              <w:szCs w:val="18"/>
            </w:rPr>
            <w:t xml:space="preserve"> - </w:t>
          </w:r>
          <w:proofErr w:type="spellStart"/>
          <w:r w:rsidR="00B221D5" w:rsidRPr="00B221D5">
            <w:rPr>
              <w:b/>
              <w:sz w:val="18"/>
              <w:szCs w:val="18"/>
            </w:rPr>
            <w:t>Columvi</w:t>
          </w:r>
          <w:proofErr w:type="spellEnd"/>
          <w:r w:rsidR="00B221D5" w:rsidRPr="00B221D5">
            <w:rPr>
              <w:b/>
              <w:sz w:val="18"/>
              <w:szCs w:val="18"/>
            </w:rPr>
            <w:t xml:space="preserve"> - </w:t>
          </w:r>
          <w:proofErr w:type="spellStart"/>
          <w:r w:rsidR="00B221D5" w:rsidRPr="00B221D5">
            <w:rPr>
              <w:b/>
              <w:sz w:val="18"/>
              <w:szCs w:val="18"/>
            </w:rPr>
            <w:t>glofitamab</w:t>
          </w:r>
          <w:proofErr w:type="spellEnd"/>
          <w:r w:rsidR="00B221D5" w:rsidRPr="00B221D5">
            <w:rPr>
              <w:b/>
              <w:sz w:val="18"/>
              <w:szCs w:val="18"/>
            </w:rPr>
            <w:t xml:space="preserve"> – Roche Product Pty Ltd - PM-2022-01989-1-6</w:t>
          </w:r>
        </w:p>
        <w:p w14:paraId="113BE89F" w14:textId="3ABBA9D6" w:rsidR="00AC790C" w:rsidRPr="000E4791" w:rsidRDefault="00B221D5" w:rsidP="00B221D5">
          <w:pPr>
            <w:pStyle w:val="Footer"/>
            <w:rPr>
              <w:b/>
              <w:sz w:val="18"/>
              <w:szCs w:val="18"/>
            </w:rPr>
          </w:pPr>
          <w:r w:rsidRPr="00B221D5">
            <w:rPr>
              <w:b/>
              <w:sz w:val="18"/>
              <w:szCs w:val="18"/>
            </w:rPr>
            <w:t>Date of finalisation: 18 December 2024</w:t>
          </w:r>
          <w:r w:rsidR="00AC790C" w:rsidRPr="00B221D5">
            <w:rPr>
              <w:b/>
              <w:sz w:val="18"/>
              <w:szCs w:val="18"/>
            </w:rPr>
            <w:t xml:space="preserve">. This is the Product Information that was approved with the submission described in this </w:t>
          </w:r>
          <w:proofErr w:type="spellStart"/>
          <w:r w:rsidR="00AC790C" w:rsidRPr="00B221D5">
            <w:rPr>
              <w:b/>
              <w:sz w:val="18"/>
              <w:szCs w:val="18"/>
            </w:rPr>
            <w:t>AusPAR</w:t>
          </w:r>
          <w:proofErr w:type="spellEnd"/>
          <w:r w:rsidR="00AC790C" w:rsidRPr="00B221D5">
            <w:rPr>
              <w:b/>
              <w:sz w:val="18"/>
              <w:szCs w:val="18"/>
            </w:rPr>
            <w:t xml:space="preserve">. It may have been superseded. For the most recent PI, please refer to the TGA website at </w:t>
          </w:r>
          <w:r w:rsidR="00AC790C" w:rsidRPr="007E3C4B">
            <w:rPr>
              <w:bCs/>
              <w:sz w:val="18"/>
              <w:szCs w:val="18"/>
            </w:rPr>
            <w:t>&lt;</w:t>
          </w:r>
          <w:hyperlink r:id="rId1" w:history="1">
            <w:r w:rsidR="007E3C4B" w:rsidRPr="007E3C4B">
              <w:rPr>
                <w:rStyle w:val="Hyperlink"/>
                <w:bCs/>
                <w:sz w:val="18"/>
                <w:szCs w:val="18"/>
              </w:rPr>
              <w:t>https://www.tga.gov.au/products/australian-register-therapeutic-goods-artg/product-information-pi</w:t>
            </w:r>
          </w:hyperlink>
          <w:r w:rsidR="00B56DB7" w:rsidRPr="007E3C4B">
            <w:rPr>
              <w:bCs/>
              <w:sz w:val="18"/>
              <w:szCs w:val="18"/>
            </w:rPr>
            <w:t>&gt;</w:t>
          </w:r>
        </w:p>
      </w:tc>
    </w:tr>
  </w:tbl>
  <w:p w14:paraId="3B2D6EDB" w14:textId="121D831F" w:rsidR="00303736" w:rsidRDefault="00303736">
    <w:pPr>
      <w:pStyle w:val="Header"/>
    </w:pPr>
  </w:p>
  <w:p w14:paraId="5902915D" w14:textId="77777777" w:rsidR="00303736" w:rsidRPr="00E64D9F" w:rsidRDefault="00303736">
    <w:pP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3CD7" w14:textId="77777777" w:rsidR="00303736" w:rsidRDefault="00303736" w:rsidP="00513230">
    <w:pPr>
      <w:jc w:val="center"/>
    </w:pPr>
  </w:p>
  <w:p w14:paraId="6C60C5BE" w14:textId="77777777" w:rsidR="00303736" w:rsidRDefault="00303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61169B0"/>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701CCF"/>
    <w:multiLevelType w:val="hybridMultilevel"/>
    <w:tmpl w:val="3F6C68E8"/>
    <w:lvl w:ilvl="0" w:tplc="D02A8C54">
      <w:start w:val="1"/>
      <w:numFmt w:val="bullet"/>
      <w:pStyle w:val="ListBullet"/>
      <w:lvlText w:val=""/>
      <w:lvlJc w:val="left"/>
      <w:pPr>
        <w:tabs>
          <w:tab w:val="num" w:pos="432"/>
        </w:tabs>
        <w:ind w:left="432" w:hanging="432"/>
      </w:pPr>
      <w:rPr>
        <w:rFonts w:ascii="Symbol" w:hAnsi="Symbol" w:hint="default"/>
      </w:rPr>
    </w:lvl>
    <w:lvl w:ilvl="1" w:tplc="0780078C" w:tentative="1">
      <w:start w:val="1"/>
      <w:numFmt w:val="bullet"/>
      <w:lvlText w:val="o"/>
      <w:lvlJc w:val="left"/>
      <w:pPr>
        <w:tabs>
          <w:tab w:val="num" w:pos="1440"/>
        </w:tabs>
        <w:ind w:left="1440" w:hanging="360"/>
      </w:pPr>
      <w:rPr>
        <w:rFonts w:ascii="Courier New" w:hAnsi="Courier New" w:cs="Courier New" w:hint="default"/>
      </w:rPr>
    </w:lvl>
    <w:lvl w:ilvl="2" w:tplc="E13EA512" w:tentative="1">
      <w:start w:val="1"/>
      <w:numFmt w:val="bullet"/>
      <w:lvlText w:val=""/>
      <w:lvlJc w:val="left"/>
      <w:pPr>
        <w:tabs>
          <w:tab w:val="num" w:pos="2160"/>
        </w:tabs>
        <w:ind w:left="2160" w:hanging="360"/>
      </w:pPr>
      <w:rPr>
        <w:rFonts w:ascii="Wingdings" w:hAnsi="Wingdings" w:hint="default"/>
      </w:rPr>
    </w:lvl>
    <w:lvl w:ilvl="3" w:tplc="368C24D2" w:tentative="1">
      <w:start w:val="1"/>
      <w:numFmt w:val="bullet"/>
      <w:lvlText w:val=""/>
      <w:lvlJc w:val="left"/>
      <w:pPr>
        <w:tabs>
          <w:tab w:val="num" w:pos="2880"/>
        </w:tabs>
        <w:ind w:left="2880" w:hanging="360"/>
      </w:pPr>
      <w:rPr>
        <w:rFonts w:ascii="Symbol" w:hAnsi="Symbol" w:hint="default"/>
      </w:rPr>
    </w:lvl>
    <w:lvl w:ilvl="4" w:tplc="CD84DAB4" w:tentative="1">
      <w:start w:val="1"/>
      <w:numFmt w:val="bullet"/>
      <w:lvlText w:val="o"/>
      <w:lvlJc w:val="left"/>
      <w:pPr>
        <w:tabs>
          <w:tab w:val="num" w:pos="3600"/>
        </w:tabs>
        <w:ind w:left="3600" w:hanging="360"/>
      </w:pPr>
      <w:rPr>
        <w:rFonts w:ascii="Courier New" w:hAnsi="Courier New" w:cs="Courier New" w:hint="default"/>
      </w:rPr>
    </w:lvl>
    <w:lvl w:ilvl="5" w:tplc="C582C242" w:tentative="1">
      <w:start w:val="1"/>
      <w:numFmt w:val="bullet"/>
      <w:lvlText w:val=""/>
      <w:lvlJc w:val="left"/>
      <w:pPr>
        <w:tabs>
          <w:tab w:val="num" w:pos="4320"/>
        </w:tabs>
        <w:ind w:left="4320" w:hanging="360"/>
      </w:pPr>
      <w:rPr>
        <w:rFonts w:ascii="Wingdings" w:hAnsi="Wingdings" w:hint="default"/>
      </w:rPr>
    </w:lvl>
    <w:lvl w:ilvl="6" w:tplc="E41A6D4E" w:tentative="1">
      <w:start w:val="1"/>
      <w:numFmt w:val="bullet"/>
      <w:lvlText w:val=""/>
      <w:lvlJc w:val="left"/>
      <w:pPr>
        <w:tabs>
          <w:tab w:val="num" w:pos="5040"/>
        </w:tabs>
        <w:ind w:left="5040" w:hanging="360"/>
      </w:pPr>
      <w:rPr>
        <w:rFonts w:ascii="Symbol" w:hAnsi="Symbol" w:hint="default"/>
      </w:rPr>
    </w:lvl>
    <w:lvl w:ilvl="7" w:tplc="CF20929E" w:tentative="1">
      <w:start w:val="1"/>
      <w:numFmt w:val="bullet"/>
      <w:lvlText w:val="o"/>
      <w:lvlJc w:val="left"/>
      <w:pPr>
        <w:tabs>
          <w:tab w:val="num" w:pos="5760"/>
        </w:tabs>
        <w:ind w:left="5760" w:hanging="360"/>
      </w:pPr>
      <w:rPr>
        <w:rFonts w:ascii="Courier New" w:hAnsi="Courier New" w:cs="Courier New" w:hint="default"/>
      </w:rPr>
    </w:lvl>
    <w:lvl w:ilvl="8" w:tplc="1B6A09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47012900"/>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B5392D"/>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5721DDD"/>
    <w:multiLevelType w:val="hybridMultilevel"/>
    <w:tmpl w:val="BAC46EC0"/>
    <w:lvl w:ilvl="0" w:tplc="D6C6E1F2">
      <w:start w:val="1"/>
      <w:numFmt w:val="lowerLetter"/>
      <w:pStyle w:val="ListAlpha"/>
      <w:lvlText w:val="%1)"/>
      <w:lvlJc w:val="left"/>
      <w:pPr>
        <w:tabs>
          <w:tab w:val="num" w:pos="432"/>
        </w:tabs>
        <w:ind w:left="432" w:hanging="432"/>
      </w:pPr>
      <w:rPr>
        <w:rFonts w:hint="default"/>
      </w:rPr>
    </w:lvl>
    <w:lvl w:ilvl="1" w:tplc="BF105B58" w:tentative="1">
      <w:start w:val="1"/>
      <w:numFmt w:val="lowerLetter"/>
      <w:lvlText w:val="%2."/>
      <w:lvlJc w:val="left"/>
      <w:pPr>
        <w:tabs>
          <w:tab w:val="num" w:pos="1440"/>
        </w:tabs>
        <w:ind w:left="1440" w:hanging="360"/>
      </w:pPr>
    </w:lvl>
    <w:lvl w:ilvl="2" w:tplc="C5BAF70C" w:tentative="1">
      <w:start w:val="1"/>
      <w:numFmt w:val="lowerRoman"/>
      <w:lvlText w:val="%3."/>
      <w:lvlJc w:val="right"/>
      <w:pPr>
        <w:tabs>
          <w:tab w:val="num" w:pos="2160"/>
        </w:tabs>
        <w:ind w:left="2160" w:hanging="180"/>
      </w:pPr>
    </w:lvl>
    <w:lvl w:ilvl="3" w:tplc="44060D58" w:tentative="1">
      <w:start w:val="1"/>
      <w:numFmt w:val="decimal"/>
      <w:lvlText w:val="%4."/>
      <w:lvlJc w:val="left"/>
      <w:pPr>
        <w:tabs>
          <w:tab w:val="num" w:pos="2880"/>
        </w:tabs>
        <w:ind w:left="2880" w:hanging="360"/>
      </w:pPr>
    </w:lvl>
    <w:lvl w:ilvl="4" w:tplc="4ADC6FCA" w:tentative="1">
      <w:start w:val="1"/>
      <w:numFmt w:val="lowerLetter"/>
      <w:lvlText w:val="%5."/>
      <w:lvlJc w:val="left"/>
      <w:pPr>
        <w:tabs>
          <w:tab w:val="num" w:pos="3600"/>
        </w:tabs>
        <w:ind w:left="3600" w:hanging="360"/>
      </w:pPr>
    </w:lvl>
    <w:lvl w:ilvl="5" w:tplc="11FA077E" w:tentative="1">
      <w:start w:val="1"/>
      <w:numFmt w:val="lowerRoman"/>
      <w:lvlText w:val="%6."/>
      <w:lvlJc w:val="right"/>
      <w:pPr>
        <w:tabs>
          <w:tab w:val="num" w:pos="4320"/>
        </w:tabs>
        <w:ind w:left="4320" w:hanging="180"/>
      </w:pPr>
    </w:lvl>
    <w:lvl w:ilvl="6" w:tplc="A9B63F74" w:tentative="1">
      <w:start w:val="1"/>
      <w:numFmt w:val="decimal"/>
      <w:lvlText w:val="%7."/>
      <w:lvlJc w:val="left"/>
      <w:pPr>
        <w:tabs>
          <w:tab w:val="num" w:pos="5040"/>
        </w:tabs>
        <w:ind w:left="5040" w:hanging="360"/>
      </w:pPr>
    </w:lvl>
    <w:lvl w:ilvl="7" w:tplc="97C86AD2" w:tentative="1">
      <w:start w:val="1"/>
      <w:numFmt w:val="lowerLetter"/>
      <w:lvlText w:val="%8."/>
      <w:lvlJc w:val="left"/>
      <w:pPr>
        <w:tabs>
          <w:tab w:val="num" w:pos="5760"/>
        </w:tabs>
        <w:ind w:left="5760" w:hanging="360"/>
      </w:pPr>
    </w:lvl>
    <w:lvl w:ilvl="8" w:tplc="8FC8578C" w:tentative="1">
      <w:start w:val="1"/>
      <w:numFmt w:val="lowerRoman"/>
      <w:lvlText w:val="%9."/>
      <w:lvlJc w:val="right"/>
      <w:pPr>
        <w:tabs>
          <w:tab w:val="num" w:pos="6480"/>
        </w:tabs>
        <w:ind w:left="6480" w:hanging="180"/>
      </w:pPr>
    </w:lvl>
  </w:abstractNum>
  <w:abstractNum w:abstractNumId="7"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8F2889"/>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7101041">
    <w:abstractNumId w:val="9"/>
  </w:num>
  <w:num w:numId="2" w16cid:durableId="1320964544">
    <w:abstractNumId w:val="3"/>
  </w:num>
  <w:num w:numId="3" w16cid:durableId="1736513120">
    <w:abstractNumId w:val="0"/>
  </w:num>
  <w:num w:numId="4" w16cid:durableId="229463798">
    <w:abstractNumId w:val="7"/>
  </w:num>
  <w:num w:numId="5" w16cid:durableId="1010375141">
    <w:abstractNumId w:val="2"/>
  </w:num>
  <w:num w:numId="6" w16cid:durableId="482432985">
    <w:abstractNumId w:val="8"/>
  </w:num>
  <w:num w:numId="7" w16cid:durableId="757099476">
    <w:abstractNumId w:val="4"/>
  </w:num>
  <w:num w:numId="8" w16cid:durableId="1276980339">
    <w:abstractNumId w:val="5"/>
  </w:num>
  <w:num w:numId="9" w16cid:durableId="756291812">
    <w:abstractNumId w:val="1"/>
  </w:num>
  <w:num w:numId="10" w16cid:durableId="53503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AU" w:vendorID="64" w:dllVersion="6" w:nlCheck="1" w:checkStyle="1"/>
  <w:activeWritingStyle w:appName="MSWord" w:lang="en-CA" w:vendorID="64" w:dllVersion="6" w:nlCheck="1" w:checkStyle="1"/>
  <w:activeWritingStyle w:appName="MSWord" w:lang="en-NZ" w:vendorID="64" w:dllVersion="0" w:nlCheck="1" w:checkStyle="0"/>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B"/>
    <w:rsid w:val="00011DA2"/>
    <w:rsid w:val="00015CB3"/>
    <w:rsid w:val="000359B6"/>
    <w:rsid w:val="000414F1"/>
    <w:rsid w:val="000418ED"/>
    <w:rsid w:val="00045105"/>
    <w:rsid w:val="00071CAC"/>
    <w:rsid w:val="00077B89"/>
    <w:rsid w:val="0008620B"/>
    <w:rsid w:val="00094598"/>
    <w:rsid w:val="000A665B"/>
    <w:rsid w:val="000B5BF3"/>
    <w:rsid w:val="000C560F"/>
    <w:rsid w:val="000D3E13"/>
    <w:rsid w:val="000D589E"/>
    <w:rsid w:val="000E2E73"/>
    <w:rsid w:val="000F5C56"/>
    <w:rsid w:val="00104E0B"/>
    <w:rsid w:val="0010546D"/>
    <w:rsid w:val="001234ED"/>
    <w:rsid w:val="001305E9"/>
    <w:rsid w:val="00162DF3"/>
    <w:rsid w:val="001678B4"/>
    <w:rsid w:val="0017154A"/>
    <w:rsid w:val="00177498"/>
    <w:rsid w:val="00177D8C"/>
    <w:rsid w:val="00193B06"/>
    <w:rsid w:val="0019418A"/>
    <w:rsid w:val="001A0C8D"/>
    <w:rsid w:val="001B485F"/>
    <w:rsid w:val="001C4518"/>
    <w:rsid w:val="001E2087"/>
    <w:rsid w:val="001F143B"/>
    <w:rsid w:val="00200518"/>
    <w:rsid w:val="00205A38"/>
    <w:rsid w:val="00213ABE"/>
    <w:rsid w:val="00222CFC"/>
    <w:rsid w:val="00233F9C"/>
    <w:rsid w:val="002370C1"/>
    <w:rsid w:val="00247CCB"/>
    <w:rsid w:val="002522CB"/>
    <w:rsid w:val="00257C32"/>
    <w:rsid w:val="002909E4"/>
    <w:rsid w:val="002C244A"/>
    <w:rsid w:val="002E49E0"/>
    <w:rsid w:val="002F016C"/>
    <w:rsid w:val="0030038B"/>
    <w:rsid w:val="00302709"/>
    <w:rsid w:val="00303736"/>
    <w:rsid w:val="00316D64"/>
    <w:rsid w:val="0032310E"/>
    <w:rsid w:val="003320D4"/>
    <w:rsid w:val="00362C7F"/>
    <w:rsid w:val="00363C7F"/>
    <w:rsid w:val="0037495B"/>
    <w:rsid w:val="003760C0"/>
    <w:rsid w:val="003A138D"/>
    <w:rsid w:val="003B183A"/>
    <w:rsid w:val="003C685C"/>
    <w:rsid w:val="003D11B7"/>
    <w:rsid w:val="003E2D72"/>
    <w:rsid w:val="003E51CC"/>
    <w:rsid w:val="003E58D6"/>
    <w:rsid w:val="003F4DF6"/>
    <w:rsid w:val="004031E9"/>
    <w:rsid w:val="00407592"/>
    <w:rsid w:val="00407719"/>
    <w:rsid w:val="004667E1"/>
    <w:rsid w:val="004701D9"/>
    <w:rsid w:val="004712BE"/>
    <w:rsid w:val="0048190E"/>
    <w:rsid w:val="004B1688"/>
    <w:rsid w:val="004D2130"/>
    <w:rsid w:val="004D5CBC"/>
    <w:rsid w:val="004F1432"/>
    <w:rsid w:val="00513230"/>
    <w:rsid w:val="00517995"/>
    <w:rsid w:val="00526479"/>
    <w:rsid w:val="00577BAB"/>
    <w:rsid w:val="0058141F"/>
    <w:rsid w:val="005904B8"/>
    <w:rsid w:val="00594C19"/>
    <w:rsid w:val="00597A0D"/>
    <w:rsid w:val="005A2864"/>
    <w:rsid w:val="005A2E65"/>
    <w:rsid w:val="005A3FB6"/>
    <w:rsid w:val="005A438E"/>
    <w:rsid w:val="005C384C"/>
    <w:rsid w:val="005F3F64"/>
    <w:rsid w:val="005F4F1C"/>
    <w:rsid w:val="00601523"/>
    <w:rsid w:val="0060329B"/>
    <w:rsid w:val="00615052"/>
    <w:rsid w:val="0062200E"/>
    <w:rsid w:val="00624397"/>
    <w:rsid w:val="006258DD"/>
    <w:rsid w:val="00644D3D"/>
    <w:rsid w:val="006452A5"/>
    <w:rsid w:val="0064777B"/>
    <w:rsid w:val="0065198E"/>
    <w:rsid w:val="00652264"/>
    <w:rsid w:val="00674CFD"/>
    <w:rsid w:val="006A1266"/>
    <w:rsid w:val="006A6B50"/>
    <w:rsid w:val="006B75A4"/>
    <w:rsid w:val="006C73C2"/>
    <w:rsid w:val="006F052E"/>
    <w:rsid w:val="006F3F72"/>
    <w:rsid w:val="006F5A75"/>
    <w:rsid w:val="00713D0C"/>
    <w:rsid w:val="00717D4D"/>
    <w:rsid w:val="0073549F"/>
    <w:rsid w:val="00745108"/>
    <w:rsid w:val="0079539A"/>
    <w:rsid w:val="007A36ED"/>
    <w:rsid w:val="007B38B4"/>
    <w:rsid w:val="007C2A68"/>
    <w:rsid w:val="007E3C4B"/>
    <w:rsid w:val="00811FEA"/>
    <w:rsid w:val="00834C48"/>
    <w:rsid w:val="0086361F"/>
    <w:rsid w:val="00867BED"/>
    <w:rsid w:val="0087549F"/>
    <w:rsid w:val="008903F2"/>
    <w:rsid w:val="008955B6"/>
    <w:rsid w:val="00896CDA"/>
    <w:rsid w:val="008B04CD"/>
    <w:rsid w:val="008C0CC9"/>
    <w:rsid w:val="008C1E69"/>
    <w:rsid w:val="008D412A"/>
    <w:rsid w:val="008E0232"/>
    <w:rsid w:val="008F3947"/>
    <w:rsid w:val="008F7646"/>
    <w:rsid w:val="00902EBE"/>
    <w:rsid w:val="00916F62"/>
    <w:rsid w:val="0092286F"/>
    <w:rsid w:val="00926DAE"/>
    <w:rsid w:val="00934295"/>
    <w:rsid w:val="00934B00"/>
    <w:rsid w:val="009B3628"/>
    <w:rsid w:val="009F294E"/>
    <w:rsid w:val="009F4C5B"/>
    <w:rsid w:val="009F6DE0"/>
    <w:rsid w:val="00A01A37"/>
    <w:rsid w:val="00A05347"/>
    <w:rsid w:val="00A07584"/>
    <w:rsid w:val="00A32939"/>
    <w:rsid w:val="00A3616E"/>
    <w:rsid w:val="00A363EE"/>
    <w:rsid w:val="00A44065"/>
    <w:rsid w:val="00A51821"/>
    <w:rsid w:val="00A536D4"/>
    <w:rsid w:val="00A8585F"/>
    <w:rsid w:val="00A9262D"/>
    <w:rsid w:val="00A97F83"/>
    <w:rsid w:val="00AA34E8"/>
    <w:rsid w:val="00AA36E3"/>
    <w:rsid w:val="00AA60D3"/>
    <w:rsid w:val="00AA7BC6"/>
    <w:rsid w:val="00AB5A9E"/>
    <w:rsid w:val="00AC1B30"/>
    <w:rsid w:val="00AC3AC7"/>
    <w:rsid w:val="00AC790C"/>
    <w:rsid w:val="00AF42E5"/>
    <w:rsid w:val="00B1134D"/>
    <w:rsid w:val="00B1498F"/>
    <w:rsid w:val="00B221D5"/>
    <w:rsid w:val="00B328F1"/>
    <w:rsid w:val="00B365E8"/>
    <w:rsid w:val="00B56DB7"/>
    <w:rsid w:val="00B719B6"/>
    <w:rsid w:val="00B92E5D"/>
    <w:rsid w:val="00B94DA3"/>
    <w:rsid w:val="00BA0878"/>
    <w:rsid w:val="00BB2798"/>
    <w:rsid w:val="00BD4F6F"/>
    <w:rsid w:val="00BF3458"/>
    <w:rsid w:val="00C050E1"/>
    <w:rsid w:val="00C06B31"/>
    <w:rsid w:val="00C114D0"/>
    <w:rsid w:val="00C153DB"/>
    <w:rsid w:val="00C34EBB"/>
    <w:rsid w:val="00C568D3"/>
    <w:rsid w:val="00C73D42"/>
    <w:rsid w:val="00C92DFA"/>
    <w:rsid w:val="00C96D3B"/>
    <w:rsid w:val="00C97612"/>
    <w:rsid w:val="00CB6D43"/>
    <w:rsid w:val="00CC6729"/>
    <w:rsid w:val="00CE2C9F"/>
    <w:rsid w:val="00CF1AAF"/>
    <w:rsid w:val="00CF3BFF"/>
    <w:rsid w:val="00D01156"/>
    <w:rsid w:val="00D128EC"/>
    <w:rsid w:val="00D260BB"/>
    <w:rsid w:val="00D315EF"/>
    <w:rsid w:val="00D40551"/>
    <w:rsid w:val="00D43038"/>
    <w:rsid w:val="00D51AAF"/>
    <w:rsid w:val="00D52399"/>
    <w:rsid w:val="00D66E19"/>
    <w:rsid w:val="00D9164F"/>
    <w:rsid w:val="00D9427A"/>
    <w:rsid w:val="00D95689"/>
    <w:rsid w:val="00DA022F"/>
    <w:rsid w:val="00DA16D7"/>
    <w:rsid w:val="00DB7BBC"/>
    <w:rsid w:val="00DF235A"/>
    <w:rsid w:val="00E02FF7"/>
    <w:rsid w:val="00E03FA4"/>
    <w:rsid w:val="00E155F3"/>
    <w:rsid w:val="00E21CCD"/>
    <w:rsid w:val="00E362D0"/>
    <w:rsid w:val="00E44B26"/>
    <w:rsid w:val="00E5739D"/>
    <w:rsid w:val="00E64D9F"/>
    <w:rsid w:val="00E741A2"/>
    <w:rsid w:val="00E76E30"/>
    <w:rsid w:val="00E8439C"/>
    <w:rsid w:val="00E94AEB"/>
    <w:rsid w:val="00EC0C20"/>
    <w:rsid w:val="00EF14E5"/>
    <w:rsid w:val="00F13801"/>
    <w:rsid w:val="00F245CC"/>
    <w:rsid w:val="00F36856"/>
    <w:rsid w:val="00F46469"/>
    <w:rsid w:val="00F477E2"/>
    <w:rsid w:val="00F50311"/>
    <w:rsid w:val="00F5220C"/>
    <w:rsid w:val="00F55668"/>
    <w:rsid w:val="00F77EC4"/>
    <w:rsid w:val="00F95221"/>
    <w:rsid w:val="00F97494"/>
    <w:rsid w:val="00FC73E0"/>
    <w:rsid w:val="00FF138B"/>
    <w:rsid w:val="00FF21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2500"/>
  <w15:docId w15:val="{5A6B33A3-EA53-462A-B65A-054F30F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qFormat/>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aliases w:val="Header Table"/>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B7BBC"/>
    <w:pPr>
      <w:spacing w:after="200"/>
    </w:pPr>
    <w:rPr>
      <w:iCs/>
      <w:color w:val="auto"/>
      <w:sz w:val="22"/>
      <w:szCs w:val="18"/>
    </w:rPr>
  </w:style>
  <w:style w:type="character" w:styleId="CommentReference">
    <w:name w:val="annotation reference"/>
    <w:basedOn w:val="DefaultParagraphFont"/>
    <w:uiPriority w:val="99"/>
    <w:semiHidden/>
    <w:unhideWhenUsed/>
    <w:rsid w:val="00C97612"/>
    <w:rPr>
      <w:sz w:val="16"/>
      <w:szCs w:val="16"/>
    </w:rPr>
  </w:style>
  <w:style w:type="paragraph" w:styleId="CommentText">
    <w:name w:val="annotation text"/>
    <w:basedOn w:val="Normal"/>
    <w:link w:val="CommentTextChar"/>
    <w:uiPriority w:val="99"/>
    <w:semiHidden/>
    <w:unhideWhenUsed/>
    <w:rsid w:val="00C97612"/>
    <w:rPr>
      <w:sz w:val="20"/>
      <w:szCs w:val="20"/>
    </w:rPr>
  </w:style>
  <w:style w:type="character" w:customStyle="1" w:styleId="CommentTextChar">
    <w:name w:val="Comment Text Char"/>
    <w:basedOn w:val="DefaultParagraphFont"/>
    <w:link w:val="CommentText"/>
    <w:uiPriority w:val="99"/>
    <w:semiHidden/>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Paragraph">
    <w:name w:val="Paragraph"/>
    <w:basedOn w:val="Normal"/>
    <w:link w:val="ParagraphChar"/>
    <w:qFormat/>
    <w:rsid w:val="00247CCB"/>
    <w:pPr>
      <w:pBdr>
        <w:top w:val="none" w:sz="0" w:space="0" w:color="auto"/>
        <w:left w:val="none" w:sz="0" w:space="0" w:color="auto"/>
        <w:bottom w:val="none" w:sz="0" w:space="0" w:color="auto"/>
        <w:right w:val="none" w:sz="0" w:space="0" w:color="auto"/>
        <w:between w:val="none" w:sz="0" w:space="0" w:color="auto"/>
      </w:pBdr>
      <w:spacing w:after="250" w:line="300" w:lineRule="atLeast"/>
    </w:pPr>
    <w:rPr>
      <w:rFonts w:ascii="Arial" w:eastAsia="SimSun" w:hAnsi="Arial"/>
      <w:color w:val="auto"/>
      <w:sz w:val="22"/>
      <w:lang w:val="en-US" w:eastAsia="zh-CN"/>
    </w:rPr>
  </w:style>
  <w:style w:type="paragraph" w:customStyle="1" w:styleId="ParagraphList">
    <w:name w:val="Paragraph List"/>
    <w:basedOn w:val="Paragraph"/>
    <w:next w:val="Paragraph"/>
    <w:rsid w:val="00247CCB"/>
    <w:pPr>
      <w:keepNext/>
      <w:spacing w:after="100"/>
    </w:pPr>
  </w:style>
  <w:style w:type="paragraph" w:customStyle="1" w:styleId="TableCell10Center">
    <w:name w:val="Table Cell 10 Center"/>
    <w:basedOn w:val="TableCell10Left"/>
    <w:rsid w:val="00247CCB"/>
    <w:pPr>
      <w:jc w:val="center"/>
    </w:pPr>
  </w:style>
  <w:style w:type="paragraph" w:customStyle="1" w:styleId="TableCell10Left">
    <w:name w:val="Table Cell 10 Left"/>
    <w:basedOn w:val="Normal"/>
    <w:rsid w:val="00247CCB"/>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paragraph" w:customStyle="1" w:styleId="TabFigFooter">
    <w:name w:val="TabFig Footer"/>
    <w:basedOn w:val="Normal"/>
    <w:rsid w:val="00247CCB"/>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45" w:hanging="216"/>
    </w:pPr>
    <w:rPr>
      <w:rFonts w:ascii="Arial" w:eastAsia="SimSun" w:hAnsi="Arial"/>
      <w:color w:val="auto"/>
      <w:sz w:val="20"/>
      <w:lang w:val="en-US" w:eastAsia="zh-CN"/>
    </w:rPr>
  </w:style>
  <w:style w:type="paragraph" w:styleId="ListBullet">
    <w:name w:val="List Bullet"/>
    <w:aliases w:val="List Bulleted"/>
    <w:basedOn w:val="Normal"/>
    <w:link w:val="ListBulletChar"/>
    <w:rsid w:val="00247CCB"/>
    <w:pPr>
      <w:numPr>
        <w:numId w:val="5"/>
      </w:numPr>
      <w:pBdr>
        <w:top w:val="none" w:sz="0" w:space="0" w:color="auto"/>
        <w:left w:val="none" w:sz="0" w:space="0" w:color="auto"/>
        <w:bottom w:val="none" w:sz="0" w:space="0" w:color="auto"/>
        <w:right w:val="none" w:sz="0" w:space="0" w:color="auto"/>
        <w:between w:val="none" w:sz="0" w:space="0" w:color="auto"/>
      </w:pBdr>
      <w:spacing w:after="100" w:line="280" w:lineRule="atLeast"/>
    </w:pPr>
    <w:rPr>
      <w:rFonts w:ascii="Arial" w:eastAsia="SimSun" w:hAnsi="Arial"/>
      <w:color w:val="auto"/>
      <w:sz w:val="22"/>
      <w:lang w:val="en-US" w:eastAsia="zh-CN"/>
    </w:rPr>
  </w:style>
  <w:style w:type="paragraph" w:customStyle="1" w:styleId="TableTitle">
    <w:name w:val="Table Title"/>
    <w:aliases w:val="bold"/>
    <w:basedOn w:val="Normal"/>
    <w:next w:val="Paragraph"/>
    <w:link w:val="TableTitleChar"/>
    <w:rsid w:val="00247CCB"/>
    <w:pPr>
      <w:keepNext/>
      <w:keepLines/>
      <w:pBdr>
        <w:top w:val="none" w:sz="0" w:space="0" w:color="auto"/>
        <w:left w:val="none" w:sz="0" w:space="0" w:color="auto"/>
        <w:bottom w:val="none" w:sz="0" w:space="0" w:color="auto"/>
        <w:right w:val="none" w:sz="0" w:space="0" w:color="auto"/>
        <w:between w:val="none" w:sz="0" w:space="0" w:color="auto"/>
      </w:pBdr>
      <w:tabs>
        <w:tab w:val="left" w:pos="1152"/>
      </w:tabs>
      <w:spacing w:before="40" w:after="160" w:line="280" w:lineRule="exact"/>
      <w:ind w:left="1152" w:hanging="1152"/>
    </w:pPr>
    <w:rPr>
      <w:rFonts w:ascii="Arial" w:eastAsia="SimSun" w:hAnsi="Arial"/>
      <w:b/>
      <w:color w:val="auto"/>
      <w:lang w:val="en-US" w:eastAsia="zh-CN"/>
    </w:rPr>
  </w:style>
  <w:style w:type="paragraph" w:customStyle="1" w:styleId="ParagraphSpace">
    <w:name w:val="Paragraph Space"/>
    <w:basedOn w:val="Paragraph"/>
    <w:next w:val="Paragraph"/>
    <w:rsid w:val="00247CCB"/>
    <w:pPr>
      <w:spacing w:after="0" w:line="120" w:lineRule="exact"/>
    </w:pPr>
  </w:style>
  <w:style w:type="character" w:customStyle="1" w:styleId="ParagraphChar">
    <w:name w:val="Paragraph Char"/>
    <w:link w:val="Paragraph"/>
    <w:qFormat/>
    <w:rsid w:val="00247CCB"/>
    <w:rPr>
      <w:rFonts w:ascii="Arial" w:eastAsia="SimSun" w:hAnsi="Arial"/>
      <w:color w:val="auto"/>
      <w:sz w:val="22"/>
      <w:lang w:val="en-US" w:eastAsia="zh-CN"/>
    </w:rPr>
  </w:style>
  <w:style w:type="character" w:customStyle="1" w:styleId="TableTitleChar">
    <w:name w:val="Table Title Char"/>
    <w:aliases w:val="(major) Char1,H1 Char1,Heading 1 (part) Char,Heading 1 Char1,Heading 11 Char1,Level 1 Char,Lv1 Char1,NDA Heading 1 Char1,Outline1 Char,PHX_Heading 1 Char1,Part Char1,Titol 1 Char1,Titre 11 Char1,h1 Char1,heading 1 Char1,myheading Char1"/>
    <w:link w:val="TableTitle"/>
    <w:locked/>
    <w:rsid w:val="00247CCB"/>
    <w:rPr>
      <w:rFonts w:ascii="Arial" w:eastAsia="SimSun" w:hAnsi="Arial"/>
      <w:b/>
      <w:color w:val="auto"/>
      <w:lang w:val="en-US" w:eastAsia="zh-CN"/>
    </w:rPr>
  </w:style>
  <w:style w:type="character" w:customStyle="1" w:styleId="ListBulletChar">
    <w:name w:val="List Bullet Char"/>
    <w:aliases w:val="List Bulleted Char"/>
    <w:link w:val="ListBullet"/>
    <w:rsid w:val="00247CCB"/>
    <w:rPr>
      <w:rFonts w:ascii="Arial" w:eastAsia="SimSun" w:hAnsi="Arial"/>
      <w:color w:val="auto"/>
      <w:sz w:val="22"/>
      <w:lang w:val="en-US" w:eastAsia="zh-CN"/>
    </w:rPr>
  </w:style>
  <w:style w:type="paragraph" w:customStyle="1" w:styleId="ListText">
    <w:name w:val="List Text"/>
    <w:basedOn w:val="Normal"/>
    <w:rsid w:val="003320D4"/>
    <w:pPr>
      <w:pBdr>
        <w:top w:val="none" w:sz="0" w:space="0" w:color="auto"/>
        <w:left w:val="none" w:sz="0" w:space="0" w:color="auto"/>
        <w:bottom w:val="none" w:sz="0" w:space="0" w:color="auto"/>
        <w:right w:val="none" w:sz="0" w:space="0" w:color="auto"/>
        <w:between w:val="none" w:sz="0" w:space="0" w:color="auto"/>
      </w:pBdr>
      <w:spacing w:after="100" w:line="280" w:lineRule="atLeast"/>
      <w:ind w:left="432"/>
    </w:pPr>
    <w:rPr>
      <w:rFonts w:ascii="Arial" w:eastAsia="SimSun" w:hAnsi="Arial"/>
      <w:color w:val="auto"/>
      <w:sz w:val="22"/>
      <w:lang w:val="en-US" w:eastAsia="zh-CN"/>
    </w:rPr>
  </w:style>
  <w:style w:type="paragraph" w:customStyle="1" w:styleId="ListAlpha">
    <w:name w:val="List Alpha"/>
    <w:basedOn w:val="Normal"/>
    <w:rsid w:val="00E03FA4"/>
    <w:pPr>
      <w:numPr>
        <w:numId w:val="10"/>
      </w:numPr>
      <w:pBdr>
        <w:top w:val="none" w:sz="0" w:space="0" w:color="auto"/>
        <w:left w:val="none" w:sz="0" w:space="0" w:color="auto"/>
        <w:bottom w:val="none" w:sz="0" w:space="0" w:color="auto"/>
        <w:right w:val="none" w:sz="0" w:space="0" w:color="auto"/>
        <w:between w:val="none" w:sz="0" w:space="0" w:color="auto"/>
      </w:pBdr>
      <w:spacing w:after="100" w:line="280" w:lineRule="atLeast"/>
    </w:pPr>
    <w:rPr>
      <w:rFonts w:ascii="Arial" w:eastAsia="SimSun" w:hAnsi="Arial"/>
      <w:color w:val="auto"/>
      <w:sz w:val="22"/>
      <w:lang w:val="en-US" w:eastAsia="zh-CN"/>
    </w:rPr>
  </w:style>
  <w:style w:type="paragraph" w:styleId="NoSpacing">
    <w:name w:val="No Spacing"/>
    <w:uiPriority w:val="1"/>
    <w:qFormat/>
    <w:rsid w:val="00F13801"/>
  </w:style>
  <w:style w:type="paragraph" w:customStyle="1" w:styleId="BibliXRef">
    <w:name w:val="BibliXRef"/>
    <w:basedOn w:val="Normal"/>
    <w:rsid w:val="00F46469"/>
    <w:pPr>
      <w:pBdr>
        <w:top w:val="none" w:sz="0" w:space="0" w:color="auto"/>
        <w:left w:val="none" w:sz="0" w:space="0" w:color="auto"/>
        <w:bottom w:val="none" w:sz="0" w:space="0" w:color="auto"/>
        <w:right w:val="none" w:sz="0" w:space="0" w:color="auto"/>
        <w:between w:val="none" w:sz="0" w:space="0" w:color="auto"/>
      </w:pBdr>
      <w:spacing w:after="170" w:line="280" w:lineRule="exact"/>
    </w:pPr>
    <w:rPr>
      <w:rFonts w:ascii="Arial" w:hAnsi="Arial"/>
      <w:b/>
      <w:color w:val="auto"/>
      <w:sz w:val="18"/>
      <w:lang w:val="en-US" w:eastAsia="de-DE"/>
    </w:rPr>
  </w:style>
  <w:style w:type="paragraph" w:styleId="NormalWeb">
    <w:name w:val="Normal (Web)"/>
    <w:basedOn w:val="Normal"/>
    <w:uiPriority w:val="99"/>
    <w:semiHidden/>
    <w:unhideWhenUsed/>
    <w:rsid w:val="00A440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AU"/>
    </w:rPr>
  </w:style>
  <w:style w:type="character" w:styleId="FollowedHyperlink">
    <w:name w:val="FollowedHyperlink"/>
    <w:basedOn w:val="DefaultParagraphFont"/>
    <w:uiPriority w:val="99"/>
    <w:semiHidden/>
    <w:unhideWhenUsed/>
    <w:rsid w:val="00AC790C"/>
    <w:rPr>
      <w:color w:val="800080" w:themeColor="followedHyperlink"/>
      <w:u w:val="single"/>
    </w:rPr>
  </w:style>
  <w:style w:type="character" w:styleId="UnresolvedMention">
    <w:name w:val="Unresolved Mention"/>
    <w:basedOn w:val="DefaultParagraphFont"/>
    <w:uiPriority w:val="99"/>
    <w:semiHidden/>
    <w:unhideWhenUsed/>
    <w:rsid w:val="00B5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192156998">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996230599">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 w:id="1378507657">
      <w:bodyDiv w:val="1"/>
      <w:marLeft w:val="0"/>
      <w:marRight w:val="0"/>
      <w:marTop w:val="0"/>
      <w:marBottom w:val="0"/>
      <w:divBdr>
        <w:top w:val="none" w:sz="0" w:space="0" w:color="auto"/>
        <w:left w:val="none" w:sz="0" w:space="0" w:color="auto"/>
        <w:bottom w:val="none" w:sz="0" w:space="0" w:color="auto"/>
        <w:right w:val="none" w:sz="0" w:space="0" w:color="auto"/>
      </w:divBdr>
    </w:div>
    <w:div w:id="1798639948">
      <w:bodyDiv w:val="1"/>
      <w:marLeft w:val="0"/>
      <w:marRight w:val="0"/>
      <w:marTop w:val="0"/>
      <w:marBottom w:val="0"/>
      <w:divBdr>
        <w:top w:val="none" w:sz="0" w:space="0" w:color="auto"/>
        <w:left w:val="none" w:sz="0" w:space="0" w:color="auto"/>
        <w:bottom w:val="none" w:sz="0" w:space="0" w:color="auto"/>
        <w:right w:val="none" w:sz="0" w:space="0" w:color="auto"/>
      </w:divBdr>
      <w:divsChild>
        <w:div w:id="20206225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yperlink" Target="https://medinfo.roche.com/au/en.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ga.gov.au/reporting-problems" TargetMode="External"/><Relationship Id="rId12" Type="http://schemas.openxmlformats.org/officeDocument/2006/relationships/image" Target="media/image4.sv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RegANZ\Templates\Product%20Information\Data%20Sheet%20and%20Product%20Information%20(DSPI)%20Template-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Data Sheet and Product Information (DSPI) Template-v5.dotx</Template>
  <TotalTime>59</TotalTime>
  <Pages>24</Pages>
  <Words>7992</Words>
  <Characters>44598</Characters>
  <Application>Microsoft Office Word</Application>
  <DocSecurity>0</DocSecurity>
  <Lines>1274</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Columvi</dc:title>
  <dc:creator/>
  <cp:lastModifiedBy>PITKIN, Brendan</cp:lastModifiedBy>
  <cp:revision>10</cp:revision>
  <dcterms:created xsi:type="dcterms:W3CDTF">2025-02-17T02:15:00Z</dcterms:created>
  <dcterms:modified xsi:type="dcterms:W3CDTF">2025-02-27T23:15:00Z</dcterms:modified>
</cp:coreProperties>
</file>