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202AF" w14:textId="77777777" w:rsidR="00F02AEC" w:rsidRDefault="00F02AEC" w:rsidP="00B03B68"/>
    <w:p w14:paraId="7B7D9F1B" w14:textId="77777777" w:rsidR="00692401" w:rsidRDefault="00692401" w:rsidP="00B03B68"/>
    <w:p w14:paraId="1D4DBD1B" w14:textId="77777777" w:rsidR="00692401" w:rsidRDefault="00692401" w:rsidP="00B03B68"/>
    <w:p w14:paraId="4A5C76AC" w14:textId="77777777" w:rsidR="00692401" w:rsidRDefault="00692401" w:rsidP="0095170C">
      <w:pPr>
        <w:pStyle w:val="Title"/>
      </w:pPr>
      <w:r w:rsidRPr="00692401">
        <w:t>Notice of interim decisions to amend (or not amend) the current Poisons Standard</w:t>
      </w:r>
    </w:p>
    <w:p w14:paraId="5841715C" w14:textId="7FEC8B17" w:rsidR="00692401" w:rsidRPr="00B03B68" w:rsidRDefault="00130CDB" w:rsidP="0095170C">
      <w:pPr>
        <w:pStyle w:val="Subtitle"/>
        <w:ind w:left="0"/>
        <w:sectPr w:rsidR="00692401" w:rsidRPr="00B03B6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r>
        <w:t>13</w:t>
      </w:r>
      <w:r w:rsidR="00692401" w:rsidRPr="00074990">
        <w:t xml:space="preserve"> </w:t>
      </w:r>
      <w:r w:rsidR="005A7366">
        <w:t>December</w:t>
      </w:r>
      <w:r w:rsidR="007004FB" w:rsidRPr="00074990">
        <w:t xml:space="preserve"> </w:t>
      </w:r>
      <w:r w:rsidR="00692401" w:rsidRPr="00074990">
        <w:t>20</w:t>
      </w:r>
      <w:r w:rsidR="00074990" w:rsidRPr="00074990">
        <w:t>24</w:t>
      </w:r>
    </w:p>
    <w:p w14:paraId="61A6BE32" w14:textId="77777777" w:rsidR="00F02AEC" w:rsidRPr="00CC381E" w:rsidRDefault="00F02AEC" w:rsidP="00CC381E">
      <w:pPr>
        <w:pStyle w:val="LegalSubheading"/>
        <w:rPr>
          <w:b/>
          <w:bCs/>
        </w:rPr>
      </w:pPr>
      <w:r w:rsidRPr="00CC381E">
        <w:rPr>
          <w:b/>
          <w:bCs/>
        </w:rPr>
        <w:lastRenderedPageBreak/>
        <w:t>Copyright</w:t>
      </w:r>
    </w:p>
    <w:p w14:paraId="54DB73F5" w14:textId="77777777" w:rsidR="00930D58" w:rsidRPr="00CC381E" w:rsidRDefault="00F02AEC" w:rsidP="00CC381E">
      <w:pPr>
        <w:pStyle w:val="LegalSubheading"/>
      </w:pPr>
      <w:r w:rsidRPr="00CC381E">
        <w:t>© Commonwealth of Australia 202</w:t>
      </w:r>
      <w:r w:rsidR="0095170C" w:rsidRPr="00074990">
        <w:t>4</w:t>
      </w:r>
      <w:r w:rsidRPr="00CC381E">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Copyright Act 1968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2" w:history="1">
        <w:r w:rsidR="00074990" w:rsidRPr="004062D3">
          <w:rPr>
            <w:rStyle w:val="Hyperlink"/>
          </w:rPr>
          <w:t>tga.copyright@tga.gov.au</w:t>
        </w:r>
      </w:hyperlink>
      <w:r w:rsidRPr="00CC381E">
        <w:t>.</w:t>
      </w:r>
    </w:p>
    <w:p w14:paraId="01FC5826" w14:textId="77777777" w:rsidR="0090744F" w:rsidRPr="00CC381E" w:rsidRDefault="0090744F" w:rsidP="00CC381E">
      <w:pPr>
        <w:pStyle w:val="LegalSubheading"/>
        <w:rPr>
          <w:b/>
          <w:bCs/>
        </w:rPr>
      </w:pPr>
      <w:r w:rsidRPr="00CC381E">
        <w:rPr>
          <w:b/>
          <w:bCs/>
        </w:rPr>
        <w:t>Confidentiality</w:t>
      </w:r>
    </w:p>
    <w:p w14:paraId="48CE4AA0" w14:textId="77777777" w:rsidR="00CC381E" w:rsidRDefault="0090744F" w:rsidP="00751544">
      <w:pPr>
        <w:pStyle w:val="LegalSubheading"/>
      </w:pPr>
      <w:r w:rsidRPr="00CC381E">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sdt>
      <w:sdtPr>
        <w:rPr>
          <w:rFonts w:eastAsiaTheme="minorHAnsi" w:cstheme="minorBidi"/>
          <w:b w:val="0"/>
          <w:color w:val="auto"/>
          <w:sz w:val="20"/>
        </w:rPr>
        <w:id w:val="21514769"/>
        <w:docPartObj>
          <w:docPartGallery w:val="Table of Contents"/>
          <w:docPartUnique/>
        </w:docPartObj>
      </w:sdtPr>
      <w:sdtEndPr/>
      <w:sdtContent>
        <w:p w14:paraId="2D11A509" w14:textId="77777777" w:rsidR="00F02AEC" w:rsidRPr="00B03B68" w:rsidRDefault="00F02AEC" w:rsidP="000579C9">
          <w:pPr>
            <w:pStyle w:val="NonTOCheading2"/>
          </w:pPr>
          <w:r w:rsidRPr="00B03B68">
            <w:t>Contents</w:t>
          </w:r>
        </w:p>
        <w:p w14:paraId="13B71E66" w14:textId="4314CD2A" w:rsidR="00A45E26"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B03B68">
            <w:fldChar w:fldCharType="begin"/>
          </w:r>
          <w:r w:rsidRPr="00B03B68">
            <w:instrText xml:space="preserve"> TOC \h \z \u \t "Heading 2,1,Heading 3,2,Heading 4,3" </w:instrText>
          </w:r>
          <w:r w:rsidRPr="00B03B68">
            <w:fldChar w:fldCharType="separate"/>
          </w:r>
          <w:hyperlink w:anchor="_Toc184826038" w:history="1">
            <w:r w:rsidR="00A45E26" w:rsidRPr="009F29F6">
              <w:rPr>
                <w:rStyle w:val="Hyperlink"/>
                <w:noProof/>
              </w:rPr>
              <w:t>Interim decision in relation to intravenous potassium salts</w:t>
            </w:r>
            <w:r w:rsidR="00A45E26">
              <w:rPr>
                <w:noProof/>
                <w:webHidden/>
              </w:rPr>
              <w:tab/>
            </w:r>
            <w:r w:rsidR="00A45E26">
              <w:rPr>
                <w:noProof/>
                <w:webHidden/>
              </w:rPr>
              <w:fldChar w:fldCharType="begin"/>
            </w:r>
            <w:r w:rsidR="00A45E26">
              <w:rPr>
                <w:noProof/>
                <w:webHidden/>
              </w:rPr>
              <w:instrText xml:space="preserve"> PAGEREF _Toc184826038 \h </w:instrText>
            </w:r>
            <w:r w:rsidR="00A45E26">
              <w:rPr>
                <w:noProof/>
                <w:webHidden/>
              </w:rPr>
            </w:r>
            <w:r w:rsidR="00A45E26">
              <w:rPr>
                <w:noProof/>
                <w:webHidden/>
              </w:rPr>
              <w:fldChar w:fldCharType="separate"/>
            </w:r>
            <w:r w:rsidR="00A45E26">
              <w:rPr>
                <w:noProof/>
                <w:webHidden/>
              </w:rPr>
              <w:t>5</w:t>
            </w:r>
            <w:r w:rsidR="00A45E26">
              <w:rPr>
                <w:noProof/>
                <w:webHidden/>
              </w:rPr>
              <w:fldChar w:fldCharType="end"/>
            </w:r>
          </w:hyperlink>
        </w:p>
        <w:p w14:paraId="7315F509" w14:textId="738F282F" w:rsidR="00A45E26" w:rsidRDefault="00A45E26">
          <w:pPr>
            <w:pStyle w:val="TOC3"/>
            <w:rPr>
              <w:rFonts w:asciiTheme="minorHAnsi" w:eastAsiaTheme="minorEastAsia" w:hAnsiTheme="minorHAnsi" w:cstheme="minorBidi"/>
              <w:noProof/>
              <w:color w:val="auto"/>
              <w:kern w:val="2"/>
              <w:sz w:val="24"/>
              <w:szCs w:val="24"/>
              <w:lang w:eastAsia="en-AU"/>
              <w14:ligatures w14:val="standardContextual"/>
            </w:rPr>
          </w:pPr>
          <w:hyperlink w:anchor="_Toc184826039" w:history="1">
            <w:r w:rsidRPr="009F29F6">
              <w:rPr>
                <w:rStyle w:val="Hyperlink"/>
                <w:noProof/>
              </w:rPr>
              <w:t>Proposal</w:t>
            </w:r>
            <w:r>
              <w:rPr>
                <w:noProof/>
                <w:webHidden/>
              </w:rPr>
              <w:tab/>
            </w:r>
            <w:r>
              <w:rPr>
                <w:noProof/>
                <w:webHidden/>
              </w:rPr>
              <w:fldChar w:fldCharType="begin"/>
            </w:r>
            <w:r>
              <w:rPr>
                <w:noProof/>
                <w:webHidden/>
              </w:rPr>
              <w:instrText xml:space="preserve"> PAGEREF _Toc184826039 \h </w:instrText>
            </w:r>
            <w:r>
              <w:rPr>
                <w:noProof/>
                <w:webHidden/>
              </w:rPr>
            </w:r>
            <w:r>
              <w:rPr>
                <w:noProof/>
                <w:webHidden/>
              </w:rPr>
              <w:fldChar w:fldCharType="separate"/>
            </w:r>
            <w:r>
              <w:rPr>
                <w:noProof/>
                <w:webHidden/>
              </w:rPr>
              <w:t>5</w:t>
            </w:r>
            <w:r>
              <w:rPr>
                <w:noProof/>
                <w:webHidden/>
              </w:rPr>
              <w:fldChar w:fldCharType="end"/>
            </w:r>
          </w:hyperlink>
        </w:p>
        <w:p w14:paraId="2C664D23" w14:textId="33935D01" w:rsidR="00A45E26" w:rsidRDefault="00A45E26">
          <w:pPr>
            <w:pStyle w:val="TOC3"/>
            <w:rPr>
              <w:rFonts w:asciiTheme="minorHAnsi" w:eastAsiaTheme="minorEastAsia" w:hAnsiTheme="minorHAnsi" w:cstheme="minorBidi"/>
              <w:noProof/>
              <w:color w:val="auto"/>
              <w:kern w:val="2"/>
              <w:sz w:val="24"/>
              <w:szCs w:val="24"/>
              <w:lang w:eastAsia="en-AU"/>
              <w14:ligatures w14:val="standardContextual"/>
            </w:rPr>
          </w:pPr>
          <w:hyperlink w:anchor="_Toc184826040" w:history="1">
            <w:r w:rsidRPr="009F29F6">
              <w:rPr>
                <w:rStyle w:val="Hyperlink"/>
                <w:noProof/>
              </w:rPr>
              <w:t>Interim decision</w:t>
            </w:r>
            <w:r>
              <w:rPr>
                <w:noProof/>
                <w:webHidden/>
              </w:rPr>
              <w:tab/>
            </w:r>
            <w:r>
              <w:rPr>
                <w:noProof/>
                <w:webHidden/>
              </w:rPr>
              <w:fldChar w:fldCharType="begin"/>
            </w:r>
            <w:r>
              <w:rPr>
                <w:noProof/>
                <w:webHidden/>
              </w:rPr>
              <w:instrText xml:space="preserve"> PAGEREF _Toc184826040 \h </w:instrText>
            </w:r>
            <w:r>
              <w:rPr>
                <w:noProof/>
                <w:webHidden/>
              </w:rPr>
            </w:r>
            <w:r>
              <w:rPr>
                <w:noProof/>
                <w:webHidden/>
              </w:rPr>
              <w:fldChar w:fldCharType="separate"/>
            </w:r>
            <w:r>
              <w:rPr>
                <w:noProof/>
                <w:webHidden/>
              </w:rPr>
              <w:t>5</w:t>
            </w:r>
            <w:r>
              <w:rPr>
                <w:noProof/>
                <w:webHidden/>
              </w:rPr>
              <w:fldChar w:fldCharType="end"/>
            </w:r>
          </w:hyperlink>
        </w:p>
        <w:p w14:paraId="6BA9FCB9" w14:textId="28DB299A" w:rsidR="00A45E26" w:rsidRDefault="00A45E26">
          <w:pPr>
            <w:pStyle w:val="TOC3"/>
            <w:rPr>
              <w:rFonts w:asciiTheme="minorHAnsi" w:eastAsiaTheme="minorEastAsia" w:hAnsiTheme="minorHAnsi" w:cstheme="minorBidi"/>
              <w:noProof/>
              <w:color w:val="auto"/>
              <w:kern w:val="2"/>
              <w:sz w:val="24"/>
              <w:szCs w:val="24"/>
              <w:lang w:eastAsia="en-AU"/>
              <w14:ligatures w14:val="standardContextual"/>
            </w:rPr>
          </w:pPr>
          <w:hyperlink w:anchor="_Toc184826041" w:history="1">
            <w:r w:rsidRPr="009F29F6">
              <w:rPr>
                <w:rStyle w:val="Hyperlink"/>
                <w:noProof/>
              </w:rPr>
              <w:t>Materials considered</w:t>
            </w:r>
            <w:r>
              <w:rPr>
                <w:noProof/>
                <w:webHidden/>
              </w:rPr>
              <w:tab/>
            </w:r>
            <w:r>
              <w:rPr>
                <w:noProof/>
                <w:webHidden/>
              </w:rPr>
              <w:fldChar w:fldCharType="begin"/>
            </w:r>
            <w:r>
              <w:rPr>
                <w:noProof/>
                <w:webHidden/>
              </w:rPr>
              <w:instrText xml:space="preserve"> PAGEREF _Toc184826041 \h </w:instrText>
            </w:r>
            <w:r>
              <w:rPr>
                <w:noProof/>
                <w:webHidden/>
              </w:rPr>
            </w:r>
            <w:r>
              <w:rPr>
                <w:noProof/>
                <w:webHidden/>
              </w:rPr>
              <w:fldChar w:fldCharType="separate"/>
            </w:r>
            <w:r>
              <w:rPr>
                <w:noProof/>
                <w:webHidden/>
              </w:rPr>
              <w:t>5</w:t>
            </w:r>
            <w:r>
              <w:rPr>
                <w:noProof/>
                <w:webHidden/>
              </w:rPr>
              <w:fldChar w:fldCharType="end"/>
            </w:r>
          </w:hyperlink>
        </w:p>
        <w:p w14:paraId="73512A35" w14:textId="4F931F3C" w:rsidR="00A45E26" w:rsidRDefault="00A45E26">
          <w:pPr>
            <w:pStyle w:val="TOC3"/>
            <w:rPr>
              <w:rFonts w:asciiTheme="minorHAnsi" w:eastAsiaTheme="minorEastAsia" w:hAnsiTheme="minorHAnsi" w:cstheme="minorBidi"/>
              <w:noProof/>
              <w:color w:val="auto"/>
              <w:kern w:val="2"/>
              <w:sz w:val="24"/>
              <w:szCs w:val="24"/>
              <w:lang w:eastAsia="en-AU"/>
              <w14:ligatures w14:val="standardContextual"/>
            </w:rPr>
          </w:pPr>
          <w:hyperlink w:anchor="_Toc184826042" w:history="1">
            <w:r w:rsidRPr="009F29F6">
              <w:rPr>
                <w:rStyle w:val="Hyperlink"/>
                <w:noProof/>
              </w:rPr>
              <w:t>Summary of Committee advice to the Delegate</w:t>
            </w:r>
            <w:r>
              <w:rPr>
                <w:noProof/>
                <w:webHidden/>
              </w:rPr>
              <w:tab/>
            </w:r>
            <w:r>
              <w:rPr>
                <w:noProof/>
                <w:webHidden/>
              </w:rPr>
              <w:fldChar w:fldCharType="begin"/>
            </w:r>
            <w:r>
              <w:rPr>
                <w:noProof/>
                <w:webHidden/>
              </w:rPr>
              <w:instrText xml:space="preserve"> PAGEREF _Toc184826042 \h </w:instrText>
            </w:r>
            <w:r>
              <w:rPr>
                <w:noProof/>
                <w:webHidden/>
              </w:rPr>
            </w:r>
            <w:r>
              <w:rPr>
                <w:noProof/>
                <w:webHidden/>
              </w:rPr>
              <w:fldChar w:fldCharType="separate"/>
            </w:r>
            <w:r>
              <w:rPr>
                <w:noProof/>
                <w:webHidden/>
              </w:rPr>
              <w:t>6</w:t>
            </w:r>
            <w:r>
              <w:rPr>
                <w:noProof/>
                <w:webHidden/>
              </w:rPr>
              <w:fldChar w:fldCharType="end"/>
            </w:r>
          </w:hyperlink>
        </w:p>
        <w:p w14:paraId="0BCD2DC4" w14:textId="4EABAC10" w:rsidR="00A45E26" w:rsidRDefault="00A45E26">
          <w:pPr>
            <w:pStyle w:val="TOC3"/>
            <w:rPr>
              <w:rFonts w:asciiTheme="minorHAnsi" w:eastAsiaTheme="minorEastAsia" w:hAnsiTheme="minorHAnsi" w:cstheme="minorBidi"/>
              <w:noProof/>
              <w:color w:val="auto"/>
              <w:kern w:val="2"/>
              <w:sz w:val="24"/>
              <w:szCs w:val="24"/>
              <w:lang w:eastAsia="en-AU"/>
              <w14:ligatures w14:val="standardContextual"/>
            </w:rPr>
          </w:pPr>
          <w:hyperlink w:anchor="_Toc184826043" w:history="1">
            <w:r w:rsidRPr="009F29F6">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_Toc184826043 \h </w:instrText>
            </w:r>
            <w:r>
              <w:rPr>
                <w:noProof/>
                <w:webHidden/>
              </w:rPr>
            </w:r>
            <w:r>
              <w:rPr>
                <w:noProof/>
                <w:webHidden/>
              </w:rPr>
              <w:fldChar w:fldCharType="separate"/>
            </w:r>
            <w:r>
              <w:rPr>
                <w:noProof/>
                <w:webHidden/>
              </w:rPr>
              <w:t>7</w:t>
            </w:r>
            <w:r>
              <w:rPr>
                <w:noProof/>
                <w:webHidden/>
              </w:rPr>
              <w:fldChar w:fldCharType="end"/>
            </w:r>
          </w:hyperlink>
        </w:p>
        <w:p w14:paraId="59616B14" w14:textId="652273C1" w:rsidR="00A45E26" w:rsidRDefault="00A45E26">
          <w:pPr>
            <w:pStyle w:val="TOC3"/>
            <w:rPr>
              <w:rFonts w:asciiTheme="minorHAnsi" w:eastAsiaTheme="minorEastAsia" w:hAnsiTheme="minorHAnsi" w:cstheme="minorBidi"/>
              <w:noProof/>
              <w:color w:val="auto"/>
              <w:kern w:val="2"/>
              <w:sz w:val="24"/>
              <w:szCs w:val="24"/>
              <w:lang w:eastAsia="en-AU"/>
              <w14:ligatures w14:val="standardContextual"/>
            </w:rPr>
          </w:pPr>
          <w:hyperlink w:anchor="_Toc184826044" w:history="1">
            <w:r w:rsidRPr="009F29F6">
              <w:rPr>
                <w:rStyle w:val="Hyperlink"/>
                <w:noProof/>
              </w:rPr>
              <w:t>Implementation date</w:t>
            </w:r>
            <w:r>
              <w:rPr>
                <w:noProof/>
                <w:webHidden/>
              </w:rPr>
              <w:tab/>
            </w:r>
            <w:r>
              <w:rPr>
                <w:noProof/>
                <w:webHidden/>
              </w:rPr>
              <w:fldChar w:fldCharType="begin"/>
            </w:r>
            <w:r>
              <w:rPr>
                <w:noProof/>
                <w:webHidden/>
              </w:rPr>
              <w:instrText xml:space="preserve"> PAGEREF _Toc184826044 \h </w:instrText>
            </w:r>
            <w:r>
              <w:rPr>
                <w:noProof/>
                <w:webHidden/>
              </w:rPr>
            </w:r>
            <w:r>
              <w:rPr>
                <w:noProof/>
                <w:webHidden/>
              </w:rPr>
              <w:fldChar w:fldCharType="separate"/>
            </w:r>
            <w:r>
              <w:rPr>
                <w:noProof/>
                <w:webHidden/>
              </w:rPr>
              <w:t>9</w:t>
            </w:r>
            <w:r>
              <w:rPr>
                <w:noProof/>
                <w:webHidden/>
              </w:rPr>
              <w:fldChar w:fldCharType="end"/>
            </w:r>
          </w:hyperlink>
        </w:p>
        <w:p w14:paraId="0955C4EC" w14:textId="2E1D0C3B" w:rsidR="00A45E26" w:rsidRDefault="00A45E2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826045" w:history="1">
            <w:r w:rsidRPr="009F29F6">
              <w:rPr>
                <w:rStyle w:val="Hyperlink"/>
                <w:noProof/>
              </w:rPr>
              <w:t>Interim decision in relation to nicotinic acid</w:t>
            </w:r>
            <w:r>
              <w:rPr>
                <w:noProof/>
                <w:webHidden/>
              </w:rPr>
              <w:tab/>
            </w:r>
            <w:r>
              <w:rPr>
                <w:noProof/>
                <w:webHidden/>
              </w:rPr>
              <w:fldChar w:fldCharType="begin"/>
            </w:r>
            <w:r>
              <w:rPr>
                <w:noProof/>
                <w:webHidden/>
              </w:rPr>
              <w:instrText xml:space="preserve"> PAGEREF _Toc184826045 \h </w:instrText>
            </w:r>
            <w:r>
              <w:rPr>
                <w:noProof/>
                <w:webHidden/>
              </w:rPr>
            </w:r>
            <w:r>
              <w:rPr>
                <w:noProof/>
                <w:webHidden/>
              </w:rPr>
              <w:fldChar w:fldCharType="separate"/>
            </w:r>
            <w:r>
              <w:rPr>
                <w:noProof/>
                <w:webHidden/>
              </w:rPr>
              <w:t>9</w:t>
            </w:r>
            <w:r>
              <w:rPr>
                <w:noProof/>
                <w:webHidden/>
              </w:rPr>
              <w:fldChar w:fldCharType="end"/>
            </w:r>
          </w:hyperlink>
        </w:p>
        <w:p w14:paraId="3A703F5E" w14:textId="40BC7022" w:rsidR="00A45E26" w:rsidRDefault="00A45E26">
          <w:pPr>
            <w:pStyle w:val="TOC3"/>
            <w:rPr>
              <w:rFonts w:asciiTheme="minorHAnsi" w:eastAsiaTheme="minorEastAsia" w:hAnsiTheme="minorHAnsi" w:cstheme="minorBidi"/>
              <w:noProof/>
              <w:color w:val="auto"/>
              <w:kern w:val="2"/>
              <w:sz w:val="24"/>
              <w:szCs w:val="24"/>
              <w:lang w:eastAsia="en-AU"/>
              <w14:ligatures w14:val="standardContextual"/>
            </w:rPr>
          </w:pPr>
          <w:hyperlink w:anchor="_Toc184826046" w:history="1">
            <w:r w:rsidRPr="009F29F6">
              <w:rPr>
                <w:rStyle w:val="Hyperlink"/>
                <w:noProof/>
              </w:rPr>
              <w:t>Proposal</w:t>
            </w:r>
            <w:r>
              <w:rPr>
                <w:noProof/>
                <w:webHidden/>
              </w:rPr>
              <w:tab/>
            </w:r>
            <w:r>
              <w:rPr>
                <w:noProof/>
                <w:webHidden/>
              </w:rPr>
              <w:fldChar w:fldCharType="begin"/>
            </w:r>
            <w:r>
              <w:rPr>
                <w:noProof/>
                <w:webHidden/>
              </w:rPr>
              <w:instrText xml:space="preserve"> PAGEREF _Toc184826046 \h </w:instrText>
            </w:r>
            <w:r>
              <w:rPr>
                <w:noProof/>
                <w:webHidden/>
              </w:rPr>
            </w:r>
            <w:r>
              <w:rPr>
                <w:noProof/>
                <w:webHidden/>
              </w:rPr>
              <w:fldChar w:fldCharType="separate"/>
            </w:r>
            <w:r>
              <w:rPr>
                <w:noProof/>
                <w:webHidden/>
              </w:rPr>
              <w:t>9</w:t>
            </w:r>
            <w:r>
              <w:rPr>
                <w:noProof/>
                <w:webHidden/>
              </w:rPr>
              <w:fldChar w:fldCharType="end"/>
            </w:r>
          </w:hyperlink>
        </w:p>
        <w:p w14:paraId="7F3BC45F" w14:textId="21F7E3CA" w:rsidR="00A45E26" w:rsidRDefault="00A45E26">
          <w:pPr>
            <w:pStyle w:val="TOC3"/>
            <w:rPr>
              <w:rFonts w:asciiTheme="minorHAnsi" w:eastAsiaTheme="minorEastAsia" w:hAnsiTheme="minorHAnsi" w:cstheme="minorBidi"/>
              <w:noProof/>
              <w:color w:val="auto"/>
              <w:kern w:val="2"/>
              <w:sz w:val="24"/>
              <w:szCs w:val="24"/>
              <w:lang w:eastAsia="en-AU"/>
              <w14:ligatures w14:val="standardContextual"/>
            </w:rPr>
          </w:pPr>
          <w:hyperlink w:anchor="_Toc184826047" w:history="1">
            <w:r w:rsidRPr="009F29F6">
              <w:rPr>
                <w:rStyle w:val="Hyperlink"/>
                <w:noProof/>
              </w:rPr>
              <w:t>Interim decision</w:t>
            </w:r>
            <w:r>
              <w:rPr>
                <w:noProof/>
                <w:webHidden/>
              </w:rPr>
              <w:tab/>
            </w:r>
            <w:r>
              <w:rPr>
                <w:noProof/>
                <w:webHidden/>
              </w:rPr>
              <w:fldChar w:fldCharType="begin"/>
            </w:r>
            <w:r>
              <w:rPr>
                <w:noProof/>
                <w:webHidden/>
              </w:rPr>
              <w:instrText xml:space="preserve"> PAGEREF _Toc184826047 \h </w:instrText>
            </w:r>
            <w:r>
              <w:rPr>
                <w:noProof/>
                <w:webHidden/>
              </w:rPr>
            </w:r>
            <w:r>
              <w:rPr>
                <w:noProof/>
                <w:webHidden/>
              </w:rPr>
              <w:fldChar w:fldCharType="separate"/>
            </w:r>
            <w:r>
              <w:rPr>
                <w:noProof/>
                <w:webHidden/>
              </w:rPr>
              <w:t>9</w:t>
            </w:r>
            <w:r>
              <w:rPr>
                <w:noProof/>
                <w:webHidden/>
              </w:rPr>
              <w:fldChar w:fldCharType="end"/>
            </w:r>
          </w:hyperlink>
        </w:p>
        <w:p w14:paraId="32E97ECD" w14:textId="3E81C6C1" w:rsidR="00A45E26" w:rsidRDefault="00A45E26">
          <w:pPr>
            <w:pStyle w:val="TOC3"/>
            <w:rPr>
              <w:rFonts w:asciiTheme="minorHAnsi" w:eastAsiaTheme="minorEastAsia" w:hAnsiTheme="minorHAnsi" w:cstheme="minorBidi"/>
              <w:noProof/>
              <w:color w:val="auto"/>
              <w:kern w:val="2"/>
              <w:sz w:val="24"/>
              <w:szCs w:val="24"/>
              <w:lang w:eastAsia="en-AU"/>
              <w14:ligatures w14:val="standardContextual"/>
            </w:rPr>
          </w:pPr>
          <w:hyperlink w:anchor="_Toc184826048" w:history="1">
            <w:r w:rsidRPr="009F29F6">
              <w:rPr>
                <w:rStyle w:val="Hyperlink"/>
                <w:noProof/>
              </w:rPr>
              <w:t>Materials considered</w:t>
            </w:r>
            <w:r>
              <w:rPr>
                <w:noProof/>
                <w:webHidden/>
              </w:rPr>
              <w:tab/>
            </w:r>
            <w:r>
              <w:rPr>
                <w:noProof/>
                <w:webHidden/>
              </w:rPr>
              <w:fldChar w:fldCharType="begin"/>
            </w:r>
            <w:r>
              <w:rPr>
                <w:noProof/>
                <w:webHidden/>
              </w:rPr>
              <w:instrText xml:space="preserve"> PAGEREF _Toc184826048 \h </w:instrText>
            </w:r>
            <w:r>
              <w:rPr>
                <w:noProof/>
                <w:webHidden/>
              </w:rPr>
            </w:r>
            <w:r>
              <w:rPr>
                <w:noProof/>
                <w:webHidden/>
              </w:rPr>
              <w:fldChar w:fldCharType="separate"/>
            </w:r>
            <w:r>
              <w:rPr>
                <w:noProof/>
                <w:webHidden/>
              </w:rPr>
              <w:t>10</w:t>
            </w:r>
            <w:r>
              <w:rPr>
                <w:noProof/>
                <w:webHidden/>
              </w:rPr>
              <w:fldChar w:fldCharType="end"/>
            </w:r>
          </w:hyperlink>
        </w:p>
        <w:p w14:paraId="42B255EA" w14:textId="3EFEF91C" w:rsidR="00A45E26" w:rsidRDefault="00A45E26">
          <w:pPr>
            <w:pStyle w:val="TOC3"/>
            <w:rPr>
              <w:rFonts w:asciiTheme="minorHAnsi" w:eastAsiaTheme="minorEastAsia" w:hAnsiTheme="minorHAnsi" w:cstheme="minorBidi"/>
              <w:noProof/>
              <w:color w:val="auto"/>
              <w:kern w:val="2"/>
              <w:sz w:val="24"/>
              <w:szCs w:val="24"/>
              <w:lang w:eastAsia="en-AU"/>
              <w14:ligatures w14:val="standardContextual"/>
            </w:rPr>
          </w:pPr>
          <w:hyperlink w:anchor="_Toc184826049" w:history="1">
            <w:r w:rsidRPr="009F29F6">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_Toc184826049 \h </w:instrText>
            </w:r>
            <w:r>
              <w:rPr>
                <w:noProof/>
                <w:webHidden/>
              </w:rPr>
            </w:r>
            <w:r>
              <w:rPr>
                <w:noProof/>
                <w:webHidden/>
              </w:rPr>
              <w:fldChar w:fldCharType="separate"/>
            </w:r>
            <w:r>
              <w:rPr>
                <w:noProof/>
                <w:webHidden/>
              </w:rPr>
              <w:t>10</w:t>
            </w:r>
            <w:r>
              <w:rPr>
                <w:noProof/>
                <w:webHidden/>
              </w:rPr>
              <w:fldChar w:fldCharType="end"/>
            </w:r>
          </w:hyperlink>
        </w:p>
        <w:p w14:paraId="4E96CADF" w14:textId="00F6E679" w:rsidR="00A45E26" w:rsidRDefault="00A45E26">
          <w:pPr>
            <w:pStyle w:val="TOC3"/>
            <w:rPr>
              <w:rFonts w:asciiTheme="minorHAnsi" w:eastAsiaTheme="minorEastAsia" w:hAnsiTheme="minorHAnsi" w:cstheme="minorBidi"/>
              <w:noProof/>
              <w:color w:val="auto"/>
              <w:kern w:val="2"/>
              <w:sz w:val="24"/>
              <w:szCs w:val="24"/>
              <w:lang w:eastAsia="en-AU"/>
              <w14:ligatures w14:val="standardContextual"/>
            </w:rPr>
          </w:pPr>
          <w:hyperlink w:anchor="_Toc184826050" w:history="1">
            <w:r w:rsidRPr="009F29F6">
              <w:rPr>
                <w:rStyle w:val="Hyperlink"/>
                <w:noProof/>
              </w:rPr>
              <w:t>Implementation date</w:t>
            </w:r>
            <w:r>
              <w:rPr>
                <w:noProof/>
                <w:webHidden/>
              </w:rPr>
              <w:tab/>
            </w:r>
            <w:r>
              <w:rPr>
                <w:noProof/>
                <w:webHidden/>
              </w:rPr>
              <w:fldChar w:fldCharType="begin"/>
            </w:r>
            <w:r>
              <w:rPr>
                <w:noProof/>
                <w:webHidden/>
              </w:rPr>
              <w:instrText xml:space="preserve"> PAGEREF _Toc184826050 \h </w:instrText>
            </w:r>
            <w:r>
              <w:rPr>
                <w:noProof/>
                <w:webHidden/>
              </w:rPr>
            </w:r>
            <w:r>
              <w:rPr>
                <w:noProof/>
                <w:webHidden/>
              </w:rPr>
              <w:fldChar w:fldCharType="separate"/>
            </w:r>
            <w:r>
              <w:rPr>
                <w:noProof/>
                <w:webHidden/>
              </w:rPr>
              <w:t>11</w:t>
            </w:r>
            <w:r>
              <w:rPr>
                <w:noProof/>
                <w:webHidden/>
              </w:rPr>
              <w:fldChar w:fldCharType="end"/>
            </w:r>
          </w:hyperlink>
        </w:p>
        <w:p w14:paraId="48848E63" w14:textId="09F1B730" w:rsidR="00F02AEC" w:rsidRPr="00B03B68" w:rsidRDefault="00F02AEC" w:rsidP="00B03B68">
          <w:r w:rsidRPr="00B03B68">
            <w:fldChar w:fldCharType="end"/>
          </w:r>
        </w:p>
      </w:sdtContent>
    </w:sdt>
    <w:p w14:paraId="205758C3" w14:textId="77777777" w:rsidR="00F02AEC" w:rsidRPr="00B03B68" w:rsidRDefault="00F02AEC" w:rsidP="00B03B68">
      <w:r w:rsidRPr="00B03B68">
        <w:br w:type="page"/>
      </w:r>
    </w:p>
    <w:p w14:paraId="75C92AF0" w14:textId="06B1F219" w:rsidR="00F17EF1" w:rsidRPr="0010225D" w:rsidRDefault="00F17EF1" w:rsidP="00F17EF1">
      <w:pPr>
        <w:keepNext/>
        <w:keepLines/>
        <w:spacing w:before="480" w:line="240" w:lineRule="atLeast"/>
        <w:outlineLvl w:val="1"/>
        <w:rPr>
          <w:rFonts w:eastAsia="Times New Roman" w:cs="Times New Roman"/>
          <w:b/>
          <w:bCs/>
          <w:i/>
          <w:iCs/>
          <w:color w:val="001871"/>
          <w:sz w:val="38"/>
          <w:szCs w:val="38"/>
        </w:rPr>
      </w:pPr>
      <w:r w:rsidRPr="0010225D">
        <w:rPr>
          <w:rFonts w:eastAsia="Times New Roman" w:cs="Times New Roman"/>
          <w:b/>
          <w:bCs/>
          <w:color w:val="001871"/>
          <w:sz w:val="38"/>
          <w:szCs w:val="38"/>
        </w:rPr>
        <w:lastRenderedPageBreak/>
        <w:t>Notice of interim decisions made under Regulation 42ZCZ</w:t>
      </w:r>
      <w:r>
        <w:rPr>
          <w:rFonts w:eastAsia="Times New Roman" w:cs="Times New Roman"/>
          <w:b/>
          <w:bCs/>
          <w:color w:val="001871"/>
          <w:sz w:val="38"/>
          <w:szCs w:val="38"/>
        </w:rPr>
        <w:t>V</w:t>
      </w:r>
      <w:r w:rsidR="007955D7">
        <w:rPr>
          <w:rFonts w:eastAsia="Times New Roman" w:cs="Times New Roman"/>
          <w:b/>
          <w:bCs/>
          <w:color w:val="001871"/>
          <w:sz w:val="38"/>
          <w:szCs w:val="38"/>
        </w:rPr>
        <w:t xml:space="preserve"> and 42ZCZN</w:t>
      </w:r>
      <w:r w:rsidRPr="0010225D">
        <w:rPr>
          <w:rFonts w:eastAsia="Times New Roman" w:cs="Times New Roman"/>
          <w:b/>
          <w:bCs/>
          <w:color w:val="001871"/>
          <w:sz w:val="38"/>
          <w:szCs w:val="38"/>
        </w:rPr>
        <w:t xml:space="preserve"> of the </w:t>
      </w:r>
      <w:r w:rsidRPr="0010225D">
        <w:rPr>
          <w:rFonts w:eastAsia="Times New Roman" w:cs="Times New Roman"/>
          <w:b/>
          <w:bCs/>
          <w:i/>
          <w:iCs/>
          <w:color w:val="001871"/>
          <w:sz w:val="38"/>
          <w:szCs w:val="38"/>
        </w:rPr>
        <w:t>Therapeutic Goods Regulations 1990</w:t>
      </w:r>
    </w:p>
    <w:p w14:paraId="4181308C" w14:textId="14F857AB" w:rsidR="00F17EF1" w:rsidRPr="0010225D" w:rsidRDefault="00F17EF1" w:rsidP="00F17EF1">
      <w:pPr>
        <w:rPr>
          <w:rFonts w:cs="Arial"/>
        </w:rPr>
      </w:pPr>
      <w:r w:rsidRPr="0010225D">
        <w:rPr>
          <w:rFonts w:cs="Arial"/>
        </w:rPr>
        <w:t xml:space="preserve">This publication constitutes a notice for the purposes of regulation </w:t>
      </w:r>
      <w:r w:rsidR="007955D7">
        <w:rPr>
          <w:rFonts w:cs="Arial"/>
        </w:rPr>
        <w:t>42ZCZP</w:t>
      </w:r>
      <w:r w:rsidRPr="0010225D">
        <w:rPr>
          <w:rFonts w:cs="Arial"/>
        </w:rPr>
        <w:t xml:space="preserve"> of the </w:t>
      </w:r>
      <w:r w:rsidRPr="0010225D">
        <w:rPr>
          <w:rFonts w:cs="Arial"/>
          <w:i/>
          <w:iCs/>
        </w:rPr>
        <w:t>Therapeutic Goods Regulations 1990</w:t>
      </w:r>
      <w:r w:rsidRPr="0010225D">
        <w:rPr>
          <w:rFonts w:cs="Arial"/>
        </w:rPr>
        <w:t xml:space="preserve"> (the </w:t>
      </w:r>
      <w:r w:rsidRPr="0010225D">
        <w:rPr>
          <w:rFonts w:cs="Arial"/>
          <w:b/>
          <w:bCs/>
        </w:rPr>
        <w:t>Regulations</w:t>
      </w:r>
      <w:r w:rsidRPr="0010225D">
        <w:rPr>
          <w:rFonts w:cs="Arial"/>
        </w:rPr>
        <w:t xml:space="preserve">). </w:t>
      </w:r>
      <w:r>
        <w:rPr>
          <w:rFonts w:cs="Arial"/>
        </w:rPr>
        <w:t xml:space="preserve">This </w:t>
      </w:r>
      <w:r w:rsidRPr="0010225D">
        <w:rPr>
          <w:rFonts w:cs="Arial"/>
        </w:rPr>
        <w:t>notice sets out:</w:t>
      </w:r>
    </w:p>
    <w:p w14:paraId="14305257" w14:textId="7F826592" w:rsidR="00F17EF1" w:rsidRDefault="00F17EF1" w:rsidP="00F17EF1">
      <w:pPr>
        <w:numPr>
          <w:ilvl w:val="0"/>
          <w:numId w:val="7"/>
        </w:numPr>
        <w:spacing w:before="120" w:after="180" w:line="240" w:lineRule="atLeast"/>
        <w:rPr>
          <w:rFonts w:eastAsia="Cambria" w:cs="Arial"/>
        </w:rPr>
      </w:pPr>
      <w:r w:rsidRPr="0010225D">
        <w:rPr>
          <w:rFonts w:eastAsia="Cambria" w:cs="Arial"/>
        </w:rPr>
        <w:t>the interim decision</w:t>
      </w:r>
      <w:r w:rsidR="00270B01">
        <w:rPr>
          <w:rFonts w:eastAsia="Cambria" w:cs="Arial"/>
        </w:rPr>
        <w:t xml:space="preserve"> for nicotinic acid</w:t>
      </w:r>
      <w:r w:rsidRPr="0010225D">
        <w:rPr>
          <w:rFonts w:eastAsia="Cambria" w:cs="Arial"/>
        </w:rPr>
        <w:t xml:space="preserve"> made by a delegate of the Secretary under regulation 42ZCZ</w:t>
      </w:r>
      <w:r>
        <w:rPr>
          <w:rFonts w:eastAsia="Cambria" w:cs="Arial"/>
        </w:rPr>
        <w:t>V</w:t>
      </w:r>
      <w:r w:rsidRPr="0010225D">
        <w:rPr>
          <w:rFonts w:eastAsia="Cambria" w:cs="Arial"/>
        </w:rPr>
        <w:t xml:space="preserve"> in relation to proposed amendments to the current Poisons Standard which were </w:t>
      </w:r>
      <w:r>
        <w:rPr>
          <w:rFonts w:eastAsia="Cambria" w:cs="Arial"/>
        </w:rPr>
        <w:t xml:space="preserve">not </w:t>
      </w:r>
      <w:r w:rsidRPr="0010225D">
        <w:rPr>
          <w:rFonts w:eastAsia="Cambria" w:cs="Arial"/>
        </w:rPr>
        <w:t>referred to an expert advisory committee</w:t>
      </w:r>
      <w:r w:rsidRPr="0010225D">
        <w:rPr>
          <w:rFonts w:eastAsia="Cambria" w:cs="Arial"/>
          <w:vertAlign w:val="superscript"/>
        </w:rPr>
        <w:footnoteReference w:id="1"/>
      </w:r>
      <w:r w:rsidRPr="0010225D">
        <w:rPr>
          <w:rFonts w:eastAsia="Cambria" w:cs="Arial"/>
        </w:rPr>
        <w:t xml:space="preserve"> under subdivision 3D.</w:t>
      </w:r>
      <w:r>
        <w:rPr>
          <w:rFonts w:eastAsia="Cambria" w:cs="Arial"/>
        </w:rPr>
        <w:t>3</w:t>
      </w:r>
      <w:r w:rsidRPr="0010225D">
        <w:rPr>
          <w:rFonts w:eastAsia="Cambria" w:cs="Arial"/>
        </w:rPr>
        <w:t xml:space="preserve"> of the Regulations</w:t>
      </w:r>
      <w:r>
        <w:rPr>
          <w:rFonts w:eastAsia="Cambria" w:cs="Arial"/>
        </w:rPr>
        <w:t>.</w:t>
      </w:r>
    </w:p>
    <w:p w14:paraId="2390CEC3" w14:textId="03DCD33D" w:rsidR="007955D7" w:rsidRPr="0010225D" w:rsidRDefault="007955D7" w:rsidP="00F17EF1">
      <w:pPr>
        <w:numPr>
          <w:ilvl w:val="0"/>
          <w:numId w:val="7"/>
        </w:numPr>
        <w:spacing w:before="120" w:after="180" w:line="240" w:lineRule="atLeast"/>
        <w:rPr>
          <w:rFonts w:eastAsia="Cambria" w:cs="Arial"/>
        </w:rPr>
      </w:pPr>
      <w:r w:rsidRPr="007955D7">
        <w:rPr>
          <w:rFonts w:eastAsia="Cambria" w:cs="Arial"/>
        </w:rPr>
        <w:t>the interim decision</w:t>
      </w:r>
      <w:r w:rsidR="00270B01">
        <w:rPr>
          <w:rFonts w:eastAsia="Cambria" w:cs="Arial"/>
        </w:rPr>
        <w:t xml:space="preserve"> for intravenous potassium salts</w:t>
      </w:r>
      <w:r w:rsidRPr="007955D7">
        <w:rPr>
          <w:rFonts w:eastAsia="Cambria" w:cs="Arial"/>
        </w:rPr>
        <w:t xml:space="preserve"> made by a delegate of the Secretary under regulation 42ZCZN in relation to proposed amendments to the current Poisons Standard which were referred to an expert advisory committee under subdivision 3D.2 of the Regulations in </w:t>
      </w:r>
      <w:r>
        <w:rPr>
          <w:rFonts w:eastAsia="Cambria" w:cs="Arial"/>
        </w:rPr>
        <w:t>June</w:t>
      </w:r>
      <w:r w:rsidRPr="007955D7">
        <w:rPr>
          <w:rFonts w:eastAsia="Cambria" w:cs="Arial"/>
        </w:rPr>
        <w:t xml:space="preserve"> 2024;</w:t>
      </w:r>
    </w:p>
    <w:p w14:paraId="1CD3812A" w14:textId="77777777" w:rsidR="00F17EF1" w:rsidRPr="0010225D" w:rsidRDefault="00F17EF1" w:rsidP="00F17EF1">
      <w:pPr>
        <w:numPr>
          <w:ilvl w:val="0"/>
          <w:numId w:val="7"/>
        </w:numPr>
        <w:spacing w:before="120" w:after="180" w:line="240" w:lineRule="atLeast"/>
        <w:rPr>
          <w:rFonts w:eastAsia="Cambria" w:cs="Arial"/>
        </w:rPr>
      </w:pPr>
      <w:r w:rsidRPr="0010225D">
        <w:rPr>
          <w:rFonts w:eastAsia="Cambria" w:cs="Arial"/>
        </w:rPr>
        <w:t>the proposed date of effect of the proposed amendments (in circumstances where the interim decision proposes an amendment to the current Poisons Standard).</w:t>
      </w:r>
    </w:p>
    <w:p w14:paraId="790EEC84" w14:textId="5084819A" w:rsidR="00F17EF1" w:rsidRPr="0010225D" w:rsidRDefault="00F17EF1" w:rsidP="00F17EF1">
      <w:pPr>
        <w:rPr>
          <w:rFonts w:cs="Arial"/>
        </w:rPr>
      </w:pPr>
      <w:r>
        <w:rPr>
          <w:rFonts w:cs="Arial"/>
        </w:rPr>
        <w:t>I</w:t>
      </w:r>
      <w:r w:rsidRPr="0010225D">
        <w:rPr>
          <w:rFonts w:cs="Arial"/>
        </w:rPr>
        <w:t xml:space="preserve">nterested persons (including the applicant requesting the amendment) are invited to make submissions to the Secretary in relation to these interim decisions on or before </w:t>
      </w:r>
      <w:r w:rsidR="005A43C3">
        <w:rPr>
          <w:rFonts w:cs="Arial"/>
        </w:rPr>
        <w:t>7 January 2024</w:t>
      </w:r>
      <w:r w:rsidRPr="0010225D">
        <w:rPr>
          <w:rFonts w:cs="Arial"/>
        </w:rPr>
        <w:t>.</w:t>
      </w:r>
    </w:p>
    <w:p w14:paraId="4C947000" w14:textId="77777777" w:rsidR="00F17EF1" w:rsidRPr="0010225D" w:rsidRDefault="00F17EF1" w:rsidP="00F17EF1">
      <w:pPr>
        <w:rPr>
          <w:rFonts w:cs="Arial"/>
        </w:rPr>
      </w:pPr>
      <w:r w:rsidRPr="0010225D">
        <w:rPr>
          <w:rFonts w:cs="Arial"/>
        </w:rPr>
        <w:t xml:space="preserve">Submissions should be provided through our </w:t>
      </w:r>
      <w:hyperlink r:id="rId13" w:tgtFrame="_blank" w:history="1">
        <w:r w:rsidRPr="0010225D">
          <w:rPr>
            <w:rFonts w:cs="Arial"/>
            <w:color w:val="0000FF"/>
            <w:u w:val="single"/>
          </w:rPr>
          <w:t>consultation hub</w:t>
        </w:r>
      </w:hyperlink>
      <w:r w:rsidRPr="0010225D">
        <w:rPr>
          <w:rFonts w:cs="Arial"/>
        </w:rPr>
        <w:t>. Submissions will be considered by the Delegate in making the final decision.</w:t>
      </w:r>
    </w:p>
    <w:p w14:paraId="75998723" w14:textId="77777777" w:rsidR="00F17EF1" w:rsidRDefault="00F17EF1" w:rsidP="00F17EF1">
      <w:pPr>
        <w:rPr>
          <w:rFonts w:cs="Arial"/>
          <w:b/>
          <w:bCs/>
        </w:rPr>
      </w:pPr>
    </w:p>
    <w:p w14:paraId="1DE2536F" w14:textId="77777777" w:rsidR="00F17EF1" w:rsidRPr="00BE0D83" w:rsidRDefault="00F17EF1" w:rsidP="00F17EF1">
      <w:pPr>
        <w:rPr>
          <w:rFonts w:cs="Arial"/>
          <w:b/>
          <w:bCs/>
        </w:rPr>
      </w:pPr>
      <w:r w:rsidRPr="00BE0D83">
        <w:rPr>
          <w:rFonts w:cs="Arial"/>
          <w:b/>
          <w:bCs/>
        </w:rPr>
        <w:t>Defined terms</w:t>
      </w:r>
    </w:p>
    <w:p w14:paraId="0EA79DC6" w14:textId="77777777" w:rsidR="00F17EF1" w:rsidRPr="00BE0D83" w:rsidRDefault="00F17EF1" w:rsidP="00F17EF1">
      <w:pPr>
        <w:rPr>
          <w:rFonts w:cs="Arial"/>
        </w:rPr>
      </w:pPr>
      <w:r w:rsidRPr="00BE0D83">
        <w:rPr>
          <w:rFonts w:cs="Arial"/>
        </w:rPr>
        <w:t>In this notice the following defined terms are used in addition to those above:</w:t>
      </w:r>
    </w:p>
    <w:p w14:paraId="4F5C5D3E" w14:textId="77777777" w:rsidR="00F17EF1" w:rsidRPr="00BE0D83" w:rsidRDefault="00F17EF1" w:rsidP="00132F02">
      <w:pPr>
        <w:pStyle w:val="ListBullet"/>
      </w:pPr>
      <w:r w:rsidRPr="00BE0D83">
        <w:t xml:space="preserve">the </w:t>
      </w:r>
      <w:r w:rsidRPr="000718BF">
        <w:t>Therapeutic Goods Act 1989</w:t>
      </w:r>
      <w:r w:rsidRPr="00BE0D83">
        <w:t xml:space="preserve"> (Cth) (the </w:t>
      </w:r>
      <w:r w:rsidRPr="00B653E0">
        <w:rPr>
          <w:b/>
          <w:bCs/>
        </w:rPr>
        <w:t>Act</w:t>
      </w:r>
      <w:r w:rsidRPr="00BE0D83">
        <w:t>)</w:t>
      </w:r>
    </w:p>
    <w:p w14:paraId="2571E2B9" w14:textId="77777777" w:rsidR="00F17EF1" w:rsidRPr="00BE0D83" w:rsidRDefault="00F17EF1" w:rsidP="00132F02">
      <w:pPr>
        <w:pStyle w:val="ListBullet"/>
      </w:pPr>
      <w:r w:rsidRPr="00BE0D83">
        <w:t xml:space="preserve">the Scheduling Policy Framework 2018 (the </w:t>
      </w:r>
      <w:r w:rsidRPr="00B653E0">
        <w:rPr>
          <w:b/>
          <w:bCs/>
        </w:rPr>
        <w:t>SPF</w:t>
      </w:r>
      <w:r w:rsidRPr="00BE0D83">
        <w:t>)</w:t>
      </w:r>
    </w:p>
    <w:p w14:paraId="1D13ACD3" w14:textId="77777777" w:rsidR="00F17EF1" w:rsidRPr="00BE0D83" w:rsidRDefault="00F17EF1" w:rsidP="00132F02">
      <w:pPr>
        <w:pStyle w:val="ListBullet"/>
      </w:pPr>
      <w:r w:rsidRPr="00BE0D83">
        <w:t xml:space="preserve">the Scheduling handbook: Guidance for amending the Poisons Standard (the </w:t>
      </w:r>
      <w:r w:rsidRPr="00B653E0">
        <w:rPr>
          <w:b/>
          <w:bCs/>
        </w:rPr>
        <w:t>Handbook</w:t>
      </w:r>
      <w:r w:rsidRPr="00BE0D83">
        <w:t>), and</w:t>
      </w:r>
    </w:p>
    <w:p w14:paraId="16D9D76C" w14:textId="77777777" w:rsidR="00F17EF1" w:rsidRPr="00BE0D83" w:rsidRDefault="00F17EF1" w:rsidP="00132F02">
      <w:pPr>
        <w:pStyle w:val="ListBullet"/>
      </w:pPr>
      <w:r w:rsidRPr="00BE0D83">
        <w:t xml:space="preserve">the Therapeutic Goods Administration (the </w:t>
      </w:r>
      <w:r w:rsidRPr="00B653E0">
        <w:rPr>
          <w:b/>
          <w:bCs/>
        </w:rPr>
        <w:t>TGA</w:t>
      </w:r>
      <w:r w:rsidRPr="00BE0D83">
        <w:t>).</w:t>
      </w:r>
    </w:p>
    <w:p w14:paraId="597985E4" w14:textId="2AFECD17" w:rsidR="00315F26" w:rsidRPr="00B03B68" w:rsidRDefault="00F17EF1" w:rsidP="00392F07">
      <w:r w:rsidRPr="00BE0D83">
        <w:rPr>
          <w:rFonts w:cs="Arial"/>
        </w:rPr>
        <w:t>Note: additional terms are also be defined for individual decisions.</w:t>
      </w:r>
      <w:r w:rsidR="009421DD" w:rsidRPr="00B03B68">
        <w:br w:type="page"/>
      </w:r>
    </w:p>
    <w:p w14:paraId="26126195" w14:textId="77777777" w:rsidR="00315F26" w:rsidRPr="00B03B68" w:rsidRDefault="00315F26" w:rsidP="00A45E26">
      <w:pPr>
        <w:pStyle w:val="Heading2"/>
      </w:pPr>
      <w:bookmarkStart w:id="0" w:name="_Toc171513556"/>
      <w:bookmarkStart w:id="1" w:name="_Toc184826038"/>
      <w:r w:rsidRPr="00B03B68">
        <w:lastRenderedPageBreak/>
        <w:t xml:space="preserve">Interim decision in relation to </w:t>
      </w:r>
      <w:r>
        <w:t>intravenous potassium salts</w:t>
      </w:r>
      <w:bookmarkEnd w:id="0"/>
      <w:bookmarkEnd w:id="1"/>
    </w:p>
    <w:p w14:paraId="2A365E3B" w14:textId="77777777" w:rsidR="00315F26" w:rsidRPr="00B03B68" w:rsidRDefault="00315F26" w:rsidP="00315F26">
      <w:pPr>
        <w:pStyle w:val="Heading4"/>
      </w:pPr>
      <w:bookmarkStart w:id="2" w:name="_Toc171513557"/>
      <w:bookmarkStart w:id="3" w:name="_Toc184826039"/>
      <w:r w:rsidRPr="00B03B68">
        <w:t>Proposal</w:t>
      </w:r>
      <w:bookmarkEnd w:id="2"/>
      <w:bookmarkEnd w:id="3"/>
    </w:p>
    <w:p w14:paraId="02C9D3C1" w14:textId="77777777" w:rsidR="00315F26" w:rsidRPr="00B03B68" w:rsidRDefault="00315F26" w:rsidP="00315F26">
      <w:r w:rsidRPr="00594663">
        <w:t xml:space="preserve">The Delegate received an application to </w:t>
      </w:r>
      <w:r>
        <w:t>create a</w:t>
      </w:r>
      <w:r w:rsidRPr="00594663">
        <w:t xml:space="preserve"> </w:t>
      </w:r>
      <w:r>
        <w:t>new Prescription Only medicine (</w:t>
      </w:r>
      <w:r w:rsidRPr="00594663">
        <w:t>Schedule 4</w:t>
      </w:r>
      <w:r>
        <w:t>)</w:t>
      </w:r>
      <w:r w:rsidRPr="00594663">
        <w:t xml:space="preserve"> entry </w:t>
      </w:r>
      <w:r>
        <w:t xml:space="preserve">for </w:t>
      </w:r>
      <w:r w:rsidRPr="00594663">
        <w:t xml:space="preserve">preparations of potassium salts for injection or infusion. Potassium salts for intravenous </w:t>
      </w:r>
      <w:r>
        <w:t xml:space="preserve">(IV) </w:t>
      </w:r>
      <w:r w:rsidRPr="00594663">
        <w:t>administration are currently unscheduled.</w:t>
      </w:r>
    </w:p>
    <w:p w14:paraId="13CD502F" w14:textId="77777777" w:rsidR="00315F26" w:rsidRPr="00B03B68" w:rsidRDefault="00315F26" w:rsidP="00315F26">
      <w:pPr>
        <w:pStyle w:val="Heading4"/>
      </w:pPr>
      <w:bookmarkStart w:id="4" w:name="_Toc171513558"/>
      <w:bookmarkStart w:id="5" w:name="_Toc184826040"/>
      <w:r w:rsidRPr="00B03B68">
        <w:t>Interim decision</w:t>
      </w:r>
      <w:bookmarkEnd w:id="4"/>
      <w:bookmarkEnd w:id="5"/>
    </w:p>
    <w:p w14:paraId="4689CFFA" w14:textId="77777777" w:rsidR="00315F26" w:rsidRPr="00594663" w:rsidRDefault="00315F26" w:rsidP="00315F26">
      <w:pPr>
        <w:rPr>
          <w:rFonts w:cs="Arial"/>
        </w:rPr>
      </w:pPr>
      <w:r w:rsidRPr="00594663">
        <w:rPr>
          <w:rFonts w:cs="Arial"/>
        </w:rPr>
        <w:t>Pursuant to regulation 42ZCZN of the Regulations, the Delegate has, in relation to the proposed amendment, made an interim decision create a new entry for potassium salts in Schedule 4 of the Poisons Standard as follows:</w:t>
      </w:r>
      <w:r>
        <w:rPr>
          <w:rStyle w:val="FootnoteReference"/>
          <w:rFonts w:cs="Arial"/>
        </w:rPr>
        <w:footnoteReference w:id="2"/>
      </w:r>
    </w:p>
    <w:p w14:paraId="2FFC7D71" w14:textId="77777777" w:rsidR="00315F26" w:rsidRPr="00594663" w:rsidRDefault="00315F26" w:rsidP="00315F26">
      <w:pPr>
        <w:pStyle w:val="paragraph"/>
        <w:spacing w:before="0" w:beforeAutospacing="0" w:after="0" w:afterAutospacing="0"/>
        <w:ind w:left="425"/>
        <w:textAlignment w:val="baseline"/>
        <w:rPr>
          <w:rStyle w:val="eop"/>
          <w:rFonts w:ascii="Arial" w:hAnsi="Arial" w:cs="Arial"/>
          <w:b/>
          <w:bCs/>
          <w:color w:val="000000"/>
          <w:sz w:val="20"/>
          <w:szCs w:val="20"/>
        </w:rPr>
      </w:pPr>
      <w:bookmarkStart w:id="6" w:name="_Toc171513559"/>
      <w:r w:rsidRPr="00594663">
        <w:rPr>
          <w:rStyle w:val="normaltextrun"/>
          <w:rFonts w:ascii="Arial" w:eastAsia="Cambria" w:hAnsi="Arial" w:cs="Arial"/>
          <w:b/>
          <w:bCs/>
          <w:color w:val="000000"/>
          <w:sz w:val="20"/>
          <w:szCs w:val="20"/>
        </w:rPr>
        <w:t>Schedule 4 – New Entry</w:t>
      </w:r>
      <w:r w:rsidRPr="00594663">
        <w:rPr>
          <w:rStyle w:val="eop"/>
          <w:rFonts w:ascii="Arial" w:hAnsi="Arial" w:cs="Arial"/>
          <w:b/>
          <w:bCs/>
          <w:color w:val="000000"/>
          <w:sz w:val="20"/>
          <w:szCs w:val="20"/>
        </w:rPr>
        <w:t> </w:t>
      </w:r>
    </w:p>
    <w:p w14:paraId="046526CE" w14:textId="77777777" w:rsidR="00315F26" w:rsidRPr="00594663" w:rsidRDefault="00315F26" w:rsidP="00315F26">
      <w:pPr>
        <w:pStyle w:val="paragraph"/>
        <w:spacing w:before="0" w:beforeAutospacing="0" w:after="0" w:afterAutospacing="0"/>
        <w:ind w:left="330"/>
        <w:textAlignment w:val="baseline"/>
        <w:rPr>
          <w:rFonts w:ascii="Arial" w:hAnsi="Arial" w:cs="Arial"/>
          <w:color w:val="000000"/>
          <w:sz w:val="20"/>
          <w:szCs w:val="20"/>
        </w:rPr>
      </w:pPr>
    </w:p>
    <w:p w14:paraId="378E5CA4" w14:textId="77777777" w:rsidR="00315F26" w:rsidRPr="00594663" w:rsidRDefault="00315F26" w:rsidP="00315F26">
      <w:pPr>
        <w:pStyle w:val="paragraph"/>
        <w:spacing w:before="0" w:beforeAutospacing="0" w:after="0" w:afterAutospacing="0"/>
        <w:ind w:left="567"/>
        <w:textAlignment w:val="baseline"/>
        <w:rPr>
          <w:rStyle w:val="normaltextrun"/>
          <w:rFonts w:ascii="Arial" w:eastAsia="Cambria" w:hAnsi="Arial" w:cs="Arial"/>
          <w:color w:val="00B050"/>
          <w:sz w:val="20"/>
          <w:szCs w:val="20"/>
          <w:u w:val="single"/>
        </w:rPr>
      </w:pPr>
      <w:r w:rsidRPr="00594663">
        <w:rPr>
          <w:rStyle w:val="normaltextrun"/>
          <w:rFonts w:ascii="Arial" w:eastAsia="Cambria" w:hAnsi="Arial" w:cs="Arial"/>
          <w:color w:val="00B050"/>
          <w:sz w:val="20"/>
          <w:szCs w:val="20"/>
          <w:u w:val="single"/>
        </w:rPr>
        <w:t xml:space="preserve">POTASSIUM SALTS, including chloride, phosphate or acetate salts of potassium alone or in any combination, in preparations for therapeutic use for </w:t>
      </w:r>
      <w:r>
        <w:rPr>
          <w:rStyle w:val="normaltextrun"/>
          <w:rFonts w:ascii="Arial" w:eastAsia="Cambria" w:hAnsi="Arial" w:cs="Arial"/>
          <w:color w:val="00B050"/>
          <w:sz w:val="20"/>
          <w:szCs w:val="20"/>
          <w:u w:val="single"/>
        </w:rPr>
        <w:t>i</w:t>
      </w:r>
      <w:r w:rsidRPr="00594663">
        <w:rPr>
          <w:rStyle w:val="normaltextrun"/>
          <w:rFonts w:ascii="Arial" w:eastAsia="Cambria" w:hAnsi="Arial" w:cs="Arial"/>
          <w:color w:val="00B050"/>
          <w:sz w:val="20"/>
          <w:szCs w:val="20"/>
          <w:u w:val="single"/>
        </w:rPr>
        <w:t xml:space="preserve">njection or infusion </w:t>
      </w:r>
      <w:r w:rsidRPr="00594663">
        <w:rPr>
          <w:rStyle w:val="normaltextrun"/>
          <w:rFonts w:ascii="Arial" w:eastAsia="Cambria" w:hAnsi="Arial" w:cs="Arial"/>
          <w:b/>
          <w:bCs/>
          <w:color w:val="00B050"/>
          <w:sz w:val="20"/>
          <w:szCs w:val="20"/>
          <w:u w:val="single"/>
        </w:rPr>
        <w:t>except</w:t>
      </w:r>
      <w:r w:rsidRPr="00594663">
        <w:rPr>
          <w:rStyle w:val="normaltextrun"/>
          <w:rFonts w:ascii="Arial" w:eastAsia="Cambria" w:hAnsi="Arial" w:cs="Arial"/>
          <w:color w:val="00B050"/>
          <w:sz w:val="20"/>
          <w:szCs w:val="20"/>
          <w:u w:val="single"/>
        </w:rPr>
        <w:t>:</w:t>
      </w:r>
    </w:p>
    <w:p w14:paraId="6B84D512" w14:textId="77777777" w:rsidR="00315F26" w:rsidRPr="00594663" w:rsidRDefault="00315F26" w:rsidP="00315F26">
      <w:pPr>
        <w:pStyle w:val="paragraph"/>
        <w:numPr>
          <w:ilvl w:val="0"/>
          <w:numId w:val="15"/>
        </w:numPr>
        <w:spacing w:before="0" w:beforeAutospacing="0" w:after="0" w:afterAutospacing="0"/>
        <w:ind w:left="1077" w:hanging="357"/>
        <w:textAlignment w:val="baseline"/>
        <w:rPr>
          <w:rStyle w:val="normaltextrun"/>
          <w:rFonts w:ascii="Arial" w:eastAsia="Cambria" w:hAnsi="Arial" w:cs="Arial"/>
          <w:color w:val="00B050"/>
          <w:sz w:val="20"/>
          <w:szCs w:val="20"/>
          <w:u w:val="single"/>
        </w:rPr>
      </w:pPr>
      <w:r w:rsidRPr="00594663">
        <w:rPr>
          <w:rStyle w:val="normaltextrun"/>
          <w:rFonts w:ascii="Arial" w:eastAsia="Cambria" w:hAnsi="Arial" w:cs="Arial"/>
          <w:color w:val="00B050"/>
          <w:sz w:val="20"/>
          <w:szCs w:val="20"/>
          <w:u w:val="single"/>
        </w:rPr>
        <w:t xml:space="preserve">those with </w:t>
      </w:r>
      <w:r>
        <w:rPr>
          <w:rStyle w:val="normaltextrun"/>
          <w:rFonts w:ascii="Arial" w:eastAsia="Cambria" w:hAnsi="Arial" w:cs="Arial"/>
          <w:color w:val="00B050"/>
          <w:sz w:val="20"/>
          <w:szCs w:val="20"/>
          <w:u w:val="single"/>
        </w:rPr>
        <w:t xml:space="preserve">a </w:t>
      </w:r>
      <w:r w:rsidRPr="00594663">
        <w:rPr>
          <w:rStyle w:val="normaltextrun"/>
          <w:rFonts w:ascii="Arial" w:eastAsia="Cambria" w:hAnsi="Arial" w:cs="Arial"/>
          <w:color w:val="00B050"/>
          <w:sz w:val="20"/>
          <w:szCs w:val="20"/>
          <w:u w:val="single"/>
        </w:rPr>
        <w:t>concentration of less than 10 mmol/100 mL of potassium; AND</w:t>
      </w:r>
    </w:p>
    <w:p w14:paraId="61EEF70B" w14:textId="77777777" w:rsidR="00315F26" w:rsidRPr="00594663" w:rsidRDefault="00315F26" w:rsidP="00315F26">
      <w:pPr>
        <w:pStyle w:val="paragraph"/>
        <w:numPr>
          <w:ilvl w:val="0"/>
          <w:numId w:val="15"/>
        </w:numPr>
        <w:spacing w:before="0" w:beforeAutospacing="0" w:after="0" w:afterAutospacing="0"/>
        <w:ind w:left="1077" w:hanging="357"/>
        <w:textAlignment w:val="baseline"/>
        <w:rPr>
          <w:rStyle w:val="normaltextrun"/>
          <w:rFonts w:ascii="Arial" w:eastAsia="Cambria" w:hAnsi="Arial" w:cs="Arial"/>
          <w:color w:val="00B050"/>
          <w:sz w:val="20"/>
          <w:szCs w:val="20"/>
          <w:u w:val="single"/>
        </w:rPr>
      </w:pPr>
      <w:r w:rsidRPr="00594663">
        <w:rPr>
          <w:rStyle w:val="normaltextrun"/>
          <w:rFonts w:ascii="Arial" w:eastAsia="Cambria" w:hAnsi="Arial" w:cs="Arial"/>
          <w:color w:val="00B050"/>
          <w:sz w:val="20"/>
          <w:szCs w:val="20"/>
          <w:u w:val="single"/>
        </w:rPr>
        <w:t>pre-mixed infusion bags with a total amount of</w:t>
      </w:r>
      <w:r>
        <w:rPr>
          <w:rStyle w:val="normaltextrun"/>
          <w:rFonts w:ascii="Arial" w:eastAsia="Cambria" w:hAnsi="Arial" w:cs="Arial"/>
          <w:color w:val="00B050"/>
          <w:sz w:val="20"/>
          <w:szCs w:val="20"/>
          <w:u w:val="single"/>
        </w:rPr>
        <w:t xml:space="preserve"> </w:t>
      </w:r>
      <w:r w:rsidRPr="00594663">
        <w:rPr>
          <w:rStyle w:val="normaltextrun"/>
          <w:rFonts w:ascii="Arial" w:eastAsia="Cambria" w:hAnsi="Arial" w:cs="Arial"/>
          <w:color w:val="00B050"/>
          <w:sz w:val="20"/>
          <w:szCs w:val="20"/>
          <w:u w:val="single"/>
        </w:rPr>
        <w:t xml:space="preserve">25 </w:t>
      </w:r>
      <w:r>
        <w:rPr>
          <w:rStyle w:val="normaltextrun"/>
          <w:rFonts w:ascii="Arial" w:eastAsia="Cambria" w:hAnsi="Arial" w:cs="Arial"/>
          <w:color w:val="00B050"/>
          <w:sz w:val="20"/>
          <w:szCs w:val="20"/>
          <w:u w:val="single"/>
        </w:rPr>
        <w:t xml:space="preserve">mmol </w:t>
      </w:r>
      <w:r w:rsidRPr="00594663">
        <w:rPr>
          <w:rStyle w:val="normaltextrun"/>
          <w:rFonts w:ascii="Arial" w:eastAsia="Cambria" w:hAnsi="Arial" w:cs="Arial"/>
          <w:color w:val="00B050"/>
          <w:sz w:val="20"/>
          <w:szCs w:val="20"/>
          <w:u w:val="single"/>
        </w:rPr>
        <w:t xml:space="preserve">or less of potassium per bag </w:t>
      </w:r>
    </w:p>
    <w:p w14:paraId="2788433B" w14:textId="77777777" w:rsidR="00315F26" w:rsidRPr="00594663" w:rsidRDefault="00315F26" w:rsidP="00315F26">
      <w:pPr>
        <w:pStyle w:val="paragraph"/>
        <w:spacing w:before="0" w:beforeAutospacing="0" w:after="0" w:afterAutospacing="0"/>
        <w:ind w:left="615"/>
        <w:textAlignment w:val="baseline"/>
        <w:rPr>
          <w:rFonts w:ascii="Arial" w:hAnsi="Arial" w:cs="Arial"/>
          <w:color w:val="000000"/>
          <w:sz w:val="20"/>
          <w:szCs w:val="20"/>
        </w:rPr>
      </w:pPr>
      <w:r w:rsidRPr="00594663">
        <w:rPr>
          <w:rStyle w:val="eop"/>
          <w:rFonts w:ascii="Arial" w:hAnsi="Arial" w:cs="Arial"/>
          <w:color w:val="00B050"/>
          <w:sz w:val="20"/>
          <w:szCs w:val="20"/>
        </w:rPr>
        <w:t> </w:t>
      </w:r>
    </w:p>
    <w:p w14:paraId="3187E6EE" w14:textId="77777777" w:rsidR="00315F26" w:rsidRPr="00594663" w:rsidRDefault="00315F26" w:rsidP="00315F26">
      <w:pPr>
        <w:pStyle w:val="paragraph"/>
        <w:spacing w:before="0" w:beforeAutospacing="0" w:after="0" w:afterAutospacing="0"/>
        <w:ind w:left="425"/>
        <w:textAlignment w:val="baseline"/>
        <w:rPr>
          <w:rStyle w:val="eop"/>
          <w:rFonts w:ascii="Arial" w:hAnsi="Arial" w:cs="Arial"/>
          <w:b/>
          <w:bCs/>
          <w:color w:val="000000"/>
          <w:sz w:val="20"/>
          <w:szCs w:val="20"/>
        </w:rPr>
      </w:pPr>
      <w:r w:rsidRPr="00594663">
        <w:rPr>
          <w:rStyle w:val="normaltextrun"/>
          <w:rFonts w:ascii="Arial" w:eastAsia="Cambria" w:hAnsi="Arial" w:cs="Arial"/>
          <w:b/>
          <w:bCs/>
          <w:color w:val="000000"/>
          <w:sz w:val="20"/>
          <w:szCs w:val="20"/>
        </w:rPr>
        <w:t>INDEX</w:t>
      </w:r>
      <w:r w:rsidRPr="00594663">
        <w:rPr>
          <w:rStyle w:val="eop"/>
          <w:rFonts w:ascii="Arial" w:hAnsi="Arial" w:cs="Arial"/>
          <w:b/>
          <w:bCs/>
          <w:color w:val="000000"/>
          <w:sz w:val="20"/>
          <w:szCs w:val="20"/>
        </w:rPr>
        <w:t> </w:t>
      </w:r>
    </w:p>
    <w:p w14:paraId="45B310A7" w14:textId="77777777" w:rsidR="00315F26" w:rsidRPr="00594663" w:rsidRDefault="00315F26" w:rsidP="00315F26">
      <w:pPr>
        <w:pStyle w:val="paragraph"/>
        <w:spacing w:before="0" w:beforeAutospacing="0" w:after="0" w:afterAutospacing="0"/>
        <w:ind w:left="330"/>
        <w:textAlignment w:val="baseline"/>
        <w:rPr>
          <w:rFonts w:ascii="Arial" w:hAnsi="Arial" w:cs="Arial"/>
          <w:color w:val="000000"/>
          <w:sz w:val="20"/>
          <w:szCs w:val="20"/>
        </w:rPr>
      </w:pPr>
    </w:p>
    <w:p w14:paraId="0192A87E" w14:textId="77777777" w:rsidR="00315F26" w:rsidRPr="00594663" w:rsidRDefault="00315F26" w:rsidP="00315F26">
      <w:pPr>
        <w:pStyle w:val="paragraph"/>
        <w:spacing w:before="0" w:beforeAutospacing="0" w:after="0" w:afterAutospacing="0"/>
        <w:ind w:left="567"/>
        <w:textAlignment w:val="baseline"/>
        <w:rPr>
          <w:rFonts w:ascii="Arial" w:hAnsi="Arial" w:cs="Arial"/>
          <w:color w:val="000000"/>
          <w:sz w:val="20"/>
          <w:szCs w:val="20"/>
        </w:rPr>
      </w:pPr>
      <w:r w:rsidRPr="00594663">
        <w:rPr>
          <w:rStyle w:val="normaltextrun"/>
          <w:rFonts w:ascii="Arial" w:eastAsia="Cambria" w:hAnsi="Arial" w:cs="Arial"/>
          <w:color w:val="00B050"/>
          <w:sz w:val="20"/>
          <w:szCs w:val="20"/>
          <w:u w:val="single"/>
        </w:rPr>
        <w:t>POTASSIUM SALTS</w:t>
      </w:r>
      <w:r w:rsidRPr="00594663">
        <w:rPr>
          <w:rStyle w:val="eop"/>
          <w:rFonts w:ascii="Arial" w:hAnsi="Arial" w:cs="Arial"/>
          <w:color w:val="00B050"/>
          <w:sz w:val="20"/>
          <w:szCs w:val="20"/>
        </w:rPr>
        <w:t> </w:t>
      </w:r>
    </w:p>
    <w:p w14:paraId="7256AABC" w14:textId="77777777" w:rsidR="00315F26" w:rsidRPr="00594663" w:rsidRDefault="00315F26" w:rsidP="00315F26">
      <w:pPr>
        <w:pStyle w:val="paragraph"/>
        <w:spacing w:before="0" w:beforeAutospacing="0" w:after="0" w:afterAutospacing="0"/>
        <w:ind w:left="567"/>
        <w:textAlignment w:val="baseline"/>
        <w:rPr>
          <w:rFonts w:ascii="Arial" w:hAnsi="Arial" w:cs="Arial"/>
          <w:color w:val="000000"/>
          <w:sz w:val="20"/>
          <w:szCs w:val="20"/>
        </w:rPr>
      </w:pPr>
      <w:r w:rsidRPr="00594663">
        <w:rPr>
          <w:rStyle w:val="normaltextrun"/>
          <w:rFonts w:ascii="Arial" w:eastAsia="Cambria" w:hAnsi="Arial" w:cs="Arial"/>
          <w:color w:val="00B050"/>
          <w:sz w:val="20"/>
          <w:szCs w:val="20"/>
          <w:u w:val="single"/>
        </w:rPr>
        <w:t>cross reference: POTASSIUM CHLORIDE, POTASSIUM PHOSPHATE, POTASSIUM DIHYDROGEN PHOSPHATE, POTASSIUM ACETATE</w:t>
      </w:r>
      <w:r w:rsidRPr="00594663">
        <w:rPr>
          <w:rStyle w:val="eop"/>
          <w:rFonts w:ascii="Arial" w:hAnsi="Arial" w:cs="Arial"/>
          <w:color w:val="00B050"/>
          <w:sz w:val="20"/>
          <w:szCs w:val="20"/>
        </w:rPr>
        <w:t> </w:t>
      </w:r>
    </w:p>
    <w:p w14:paraId="01E0DAA6" w14:textId="77777777" w:rsidR="00315F26" w:rsidRPr="00594663" w:rsidRDefault="00315F26" w:rsidP="00315F26">
      <w:pPr>
        <w:pStyle w:val="paragraph"/>
        <w:spacing w:before="0" w:beforeAutospacing="0" w:after="0" w:afterAutospacing="0"/>
        <w:ind w:left="567"/>
        <w:textAlignment w:val="baseline"/>
        <w:rPr>
          <w:rFonts w:ascii="Arial" w:hAnsi="Arial" w:cs="Arial"/>
          <w:color w:val="000000"/>
          <w:sz w:val="20"/>
          <w:szCs w:val="20"/>
        </w:rPr>
      </w:pPr>
      <w:r w:rsidRPr="00594663">
        <w:rPr>
          <w:rStyle w:val="normaltextrun"/>
          <w:rFonts w:ascii="Arial" w:eastAsia="Cambria" w:hAnsi="Arial" w:cs="Arial"/>
          <w:color w:val="00B050"/>
          <w:sz w:val="20"/>
          <w:szCs w:val="20"/>
          <w:u w:val="single"/>
        </w:rPr>
        <w:t>Schedule 4</w:t>
      </w:r>
      <w:r w:rsidRPr="00594663">
        <w:rPr>
          <w:rStyle w:val="eop"/>
          <w:rFonts w:ascii="Arial" w:hAnsi="Arial" w:cs="Arial"/>
          <w:color w:val="00B050"/>
          <w:sz w:val="20"/>
          <w:szCs w:val="20"/>
        </w:rPr>
        <w:t> </w:t>
      </w:r>
    </w:p>
    <w:p w14:paraId="2A30C3FC" w14:textId="77777777" w:rsidR="00315F26" w:rsidRPr="00B03B68" w:rsidRDefault="00315F26" w:rsidP="00315F26">
      <w:pPr>
        <w:pStyle w:val="Heading4"/>
      </w:pPr>
      <w:bookmarkStart w:id="7" w:name="_Toc184826041"/>
      <w:r w:rsidRPr="00B03B68">
        <w:t>Materials considered</w:t>
      </w:r>
      <w:bookmarkEnd w:id="6"/>
      <w:bookmarkEnd w:id="7"/>
    </w:p>
    <w:p w14:paraId="2BDB5E70" w14:textId="77777777" w:rsidR="00315F26" w:rsidRPr="00A91836" w:rsidRDefault="00315F26" w:rsidP="00315F26">
      <w:pPr>
        <w:rPr>
          <w:rFonts w:cs="Arial"/>
        </w:rPr>
      </w:pPr>
      <w:r w:rsidRPr="00A91836">
        <w:rPr>
          <w:rFonts w:cs="Arial"/>
        </w:rPr>
        <w:t>In making this interim decision, the Delegate considered the following material:</w:t>
      </w:r>
    </w:p>
    <w:p w14:paraId="19C2A889" w14:textId="77777777" w:rsidR="00315F26" w:rsidRPr="00A91836" w:rsidRDefault="00315F26" w:rsidP="00132F02">
      <w:pPr>
        <w:pStyle w:val="ListBullet"/>
      </w:pPr>
      <w:r w:rsidRPr="00A91836">
        <w:t>The</w:t>
      </w:r>
      <w:sdt>
        <w:sdtPr>
          <w:alias w:val="Hyperlink to TGA website"/>
          <w:tag w:val="Hyperlink to TGA website"/>
          <w:id w:val="-1968344990"/>
          <w:placeholder>
            <w:docPart w:val="E1DC0961EC264C7CB95C829F6FEFE5DA"/>
          </w:placeholder>
        </w:sdtPr>
        <w:sdtEndPr/>
        <w:sdtContent>
          <w:r w:rsidRPr="00A91836">
            <w:t xml:space="preserve"> application</w:t>
          </w:r>
        </w:sdtContent>
      </w:sdt>
      <w:r w:rsidRPr="00A91836">
        <w:t xml:space="preserve"> to amend the current Poisons Standard with respect to </w:t>
      </w:r>
      <w:sdt>
        <w:sdtPr>
          <w:id w:val="-928889532"/>
          <w:placeholder>
            <w:docPart w:val="889B0E1554BC4C268DB3209E04122899"/>
          </w:placeholder>
        </w:sdtPr>
        <w:sdtEndPr/>
        <w:sdtContent>
          <w:r w:rsidRPr="00A91836">
            <w:t>potassium salts</w:t>
          </w:r>
        </w:sdtContent>
      </w:sdt>
      <w:r w:rsidRPr="00A91836">
        <w:t xml:space="preserve"> (the </w:t>
      </w:r>
      <w:r w:rsidRPr="00F47C0A">
        <w:rPr>
          <w:b/>
          <w:bCs/>
        </w:rPr>
        <w:t>Application</w:t>
      </w:r>
      <w:r w:rsidRPr="00A91836">
        <w:t>)</w:t>
      </w:r>
    </w:p>
    <w:p w14:paraId="5BC84BF0" w14:textId="77777777" w:rsidR="00315F26" w:rsidRPr="00A91836" w:rsidRDefault="00315F26" w:rsidP="00132F02">
      <w:pPr>
        <w:pStyle w:val="ListBullet"/>
      </w:pPr>
      <w:r w:rsidRPr="00A91836">
        <w:t>T</w:t>
      </w:r>
      <w:sdt>
        <w:sdtPr>
          <w:id w:val="-1805536372"/>
          <w:placeholder>
            <w:docPart w:val="A1CDC187D19C41B282D6F32771B5711B"/>
          </w:placeholder>
        </w:sdtPr>
        <w:sdtEndPr/>
        <w:sdtContent>
          <w:r w:rsidRPr="00A91836">
            <w:t xml:space="preserve">he 3 </w:t>
          </w:r>
          <w:hyperlink r:id="rId14" w:history="1">
            <w:r w:rsidRPr="00A91836">
              <w:rPr>
                <w:rStyle w:val="Hyperlink"/>
                <w:rFonts w:cs="Arial"/>
              </w:rPr>
              <w:t>public submissions</w:t>
            </w:r>
          </w:hyperlink>
          <w:r w:rsidRPr="00A91836">
            <w:t xml:space="preserve">, with 2 including a written component, received in response to the </w:t>
          </w:r>
          <w:r w:rsidRPr="00A91836">
            <w:br/>
          </w:r>
          <w:hyperlink r:id="rId15" w:history="1">
            <w:r w:rsidRPr="00A91836">
              <w:rPr>
                <w:rStyle w:val="Hyperlink"/>
                <w:rFonts w:cs="Arial"/>
              </w:rPr>
              <w:t>pre-meeting consultation</w:t>
            </w:r>
          </w:hyperlink>
          <w:r w:rsidRPr="00A91836">
            <w:t xml:space="preserve"> </w:t>
          </w:r>
        </w:sdtContent>
      </w:sdt>
      <w:r w:rsidRPr="00A91836">
        <w:t>and a targeted consultation with hospital pharmacy representative peak body - Advanced Pharmacy Australia</w:t>
      </w:r>
      <w:r w:rsidRPr="00F47C0A">
        <w:rPr>
          <w:color w:val="2B2B2B"/>
          <w:shd w:val="clear" w:color="auto" w:fill="FFFFFF"/>
        </w:rPr>
        <w:t xml:space="preserve"> (AdPha)</w:t>
      </w:r>
      <w:r w:rsidRPr="00A91836">
        <w:t xml:space="preserve"> (the </w:t>
      </w:r>
      <w:r w:rsidRPr="00F47C0A">
        <w:rPr>
          <w:b/>
          <w:bCs/>
        </w:rPr>
        <w:t>Submissions</w:t>
      </w:r>
      <w:r w:rsidRPr="00A91836">
        <w:t>)</w:t>
      </w:r>
    </w:p>
    <w:p w14:paraId="2E160A8F" w14:textId="77777777" w:rsidR="00315F26" w:rsidRPr="00A91836" w:rsidRDefault="00315F26" w:rsidP="00132F02">
      <w:pPr>
        <w:pStyle w:val="ListBullet"/>
      </w:pPr>
      <w:r w:rsidRPr="00A91836">
        <w:t>T</w:t>
      </w:r>
      <w:sdt>
        <w:sdtPr>
          <w:id w:val="1840569746"/>
          <w:placeholder>
            <w:docPart w:val="889B0E1554BC4C268DB3209E04122899"/>
          </w:placeholder>
        </w:sdtPr>
        <w:sdtEndPr/>
        <w:sdtContent>
          <w:r w:rsidRPr="00A91836">
            <w:t>he advice received from the 37</w:t>
          </w:r>
          <w:r w:rsidRPr="00A91836">
            <w:rPr>
              <w:vertAlign w:val="superscript"/>
            </w:rPr>
            <w:t>th</w:t>
          </w:r>
          <w:r w:rsidRPr="00A91836">
            <w:t xml:space="preserve"> meeting of the Advisory Committee on Medicines and Chemicals Scheduling in Joint session</w:t>
          </w:r>
        </w:sdtContent>
      </w:sdt>
      <w:r w:rsidRPr="00A91836">
        <w:t xml:space="preserve"> (the </w:t>
      </w:r>
      <w:r w:rsidRPr="00F47C0A">
        <w:rPr>
          <w:b/>
          <w:bCs/>
        </w:rPr>
        <w:t>Committee</w:t>
      </w:r>
      <w:r w:rsidRPr="00A91836">
        <w:t>)</w:t>
      </w:r>
    </w:p>
    <w:p w14:paraId="1E9FD7A8" w14:textId="77777777" w:rsidR="00315F26" w:rsidRPr="00A91836" w:rsidRDefault="00315F26" w:rsidP="00132F02">
      <w:pPr>
        <w:pStyle w:val="ListBullet"/>
      </w:pPr>
      <w:r w:rsidRPr="00A91836">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75211B59" w14:textId="77777777" w:rsidR="00315F26" w:rsidRPr="00B03B68" w:rsidRDefault="00315F26" w:rsidP="00132F02">
      <w:pPr>
        <w:pStyle w:val="ListBullet"/>
      </w:pPr>
      <w:r w:rsidRPr="00B03B68">
        <w:t>The SPF</w:t>
      </w:r>
    </w:p>
    <w:p w14:paraId="122324F0" w14:textId="77777777" w:rsidR="00315F26" w:rsidRPr="00B03B68" w:rsidRDefault="00315F26" w:rsidP="00132F02">
      <w:pPr>
        <w:pStyle w:val="ListBullet"/>
      </w:pPr>
      <w:r w:rsidRPr="00B03B68">
        <w:t>The Handbook</w:t>
      </w:r>
    </w:p>
    <w:p w14:paraId="694CCB8C" w14:textId="77777777" w:rsidR="00315F26" w:rsidRPr="00B03B68" w:rsidRDefault="00315F26" w:rsidP="00315F26">
      <w:pPr>
        <w:pStyle w:val="Heading4"/>
      </w:pPr>
      <w:bookmarkStart w:id="8" w:name="_Toc171513560"/>
      <w:bookmarkStart w:id="9" w:name="_Toc184826042"/>
      <w:r w:rsidRPr="00B03B68">
        <w:lastRenderedPageBreak/>
        <w:t>Summary of Committee advice to the Delegate</w:t>
      </w:r>
      <w:bookmarkEnd w:id="8"/>
      <w:bookmarkEnd w:id="9"/>
    </w:p>
    <w:p w14:paraId="4229BB30" w14:textId="77777777" w:rsidR="00315F26" w:rsidRPr="00A91836" w:rsidRDefault="00315F26" w:rsidP="00315F26">
      <w:pPr>
        <w:rPr>
          <w:rFonts w:eastAsia="Calibri" w:cs="Arial"/>
        </w:rPr>
      </w:pPr>
      <w:r w:rsidRPr="00A91836">
        <w:rPr>
          <w:rFonts w:eastAsia="Calibri" w:cs="Arial"/>
        </w:rPr>
        <w:t>The Committee agreed on the principles for the creation of a Schedule 4 entry for IV potassium salts. The wording and any concentration thresholds in the Poisons Standard to be created should be decided following further consultation and input – in particular, with hospital pharmacists.</w:t>
      </w:r>
    </w:p>
    <w:p w14:paraId="55FEE78B" w14:textId="77777777" w:rsidR="00315F26" w:rsidRPr="00A91836" w:rsidRDefault="00315F26" w:rsidP="00315F26">
      <w:pPr>
        <w:rPr>
          <w:rFonts w:eastAsia="Calibri" w:cs="Arial"/>
        </w:rPr>
      </w:pPr>
      <w:r w:rsidRPr="00A91836">
        <w:rPr>
          <w:rFonts w:eastAsia="Calibri" w:cs="Arial"/>
        </w:rPr>
        <w:t>It was agreed the intent of the Schedule 4 entry should:</w:t>
      </w:r>
    </w:p>
    <w:p w14:paraId="2F05A7CC" w14:textId="77777777" w:rsidR="00315F26" w:rsidRPr="00A91836" w:rsidRDefault="00315F26" w:rsidP="00132F02">
      <w:pPr>
        <w:numPr>
          <w:ilvl w:val="0"/>
          <w:numId w:val="22"/>
        </w:numPr>
        <w:spacing w:before="120" w:after="180" w:line="240" w:lineRule="atLeast"/>
        <w:ind w:left="714" w:hanging="357"/>
        <w:rPr>
          <w:rFonts w:eastAsia="Cambria" w:cs="Arial"/>
        </w:rPr>
      </w:pPr>
      <w:r w:rsidRPr="00A91836">
        <w:rPr>
          <w:rFonts w:eastAsia="Cambria" w:cs="Arial"/>
        </w:rPr>
        <w:t>include intravenous and injectable potassium salt products used for potassium replacement, which have a high concentration of potassium and can be life threatening if administered incorrectly.</w:t>
      </w:r>
    </w:p>
    <w:p w14:paraId="070310F5" w14:textId="77777777" w:rsidR="00315F26" w:rsidRPr="00A91836" w:rsidRDefault="00315F26" w:rsidP="00132F02">
      <w:pPr>
        <w:numPr>
          <w:ilvl w:val="0"/>
          <w:numId w:val="22"/>
        </w:numPr>
        <w:spacing w:before="120" w:after="180" w:line="240" w:lineRule="atLeast"/>
        <w:ind w:left="714" w:hanging="357"/>
        <w:rPr>
          <w:rFonts w:eastAsia="Cambria" w:cs="Arial"/>
        </w:rPr>
      </w:pPr>
      <w:r w:rsidRPr="00A91836">
        <w:rPr>
          <w:rFonts w:eastAsia="Cambria" w:cs="Arial"/>
        </w:rPr>
        <w:t>consider including larger bags (500 mL and 1 L bags) with a total amount of potassium that might cause hyperkalaemia and severe adverse effects if administered incorrectly.</w:t>
      </w:r>
    </w:p>
    <w:p w14:paraId="1BAE444C" w14:textId="77777777" w:rsidR="00315F26" w:rsidRPr="00A91836" w:rsidRDefault="00315F26" w:rsidP="00132F02">
      <w:pPr>
        <w:numPr>
          <w:ilvl w:val="0"/>
          <w:numId w:val="22"/>
        </w:numPr>
        <w:spacing w:before="120" w:after="180" w:line="240" w:lineRule="atLeast"/>
        <w:ind w:left="714" w:hanging="357"/>
        <w:rPr>
          <w:rFonts w:eastAsia="Cambria" w:cs="Arial"/>
        </w:rPr>
      </w:pPr>
      <w:r w:rsidRPr="00A91836">
        <w:rPr>
          <w:rFonts w:eastAsia="Cambria" w:cs="Arial"/>
        </w:rPr>
        <w:t>consider including supply of extemporaneously manufactured products but could exclude premade products.</w:t>
      </w:r>
    </w:p>
    <w:p w14:paraId="077EE16B" w14:textId="77777777" w:rsidR="00315F26" w:rsidRPr="00A91836" w:rsidRDefault="00315F26" w:rsidP="00132F02">
      <w:pPr>
        <w:numPr>
          <w:ilvl w:val="0"/>
          <w:numId w:val="22"/>
        </w:numPr>
        <w:spacing w:before="120" w:after="180" w:line="240" w:lineRule="atLeast"/>
        <w:ind w:left="714" w:hanging="357"/>
        <w:rPr>
          <w:rFonts w:eastAsia="Cambria" w:cs="Arial"/>
        </w:rPr>
      </w:pPr>
      <w:r w:rsidRPr="00A91836">
        <w:rPr>
          <w:rFonts w:eastAsia="Cambria" w:cs="Arial"/>
        </w:rPr>
        <w:t>consider excluding products used for total parenteral nutrition which are supplied through hospitals, noting that such products are already exempt through Appendix A of the Poisons Standard.</w:t>
      </w:r>
    </w:p>
    <w:p w14:paraId="299A7620" w14:textId="77777777" w:rsidR="00315F26" w:rsidRPr="00A91836" w:rsidRDefault="00315F26" w:rsidP="00132F02">
      <w:pPr>
        <w:rPr>
          <w:rFonts w:cs="Arial"/>
        </w:rPr>
      </w:pPr>
      <w:r w:rsidRPr="00A91836">
        <w:rPr>
          <w:rFonts w:cs="Arial"/>
        </w:rPr>
        <w:t>The Committee recommended that the scheduling of potassium salts for intravenous use in Schedule</w:t>
      </w:r>
      <w:r w:rsidRPr="00F47C0A">
        <w:rPr>
          <w:rFonts w:eastAsia="Times New Roman" w:cs="Arial"/>
        </w:rPr>
        <w:t> </w:t>
      </w:r>
      <w:r w:rsidRPr="00A91836">
        <w:rPr>
          <w:rFonts w:cs="Arial"/>
        </w:rPr>
        <w:t xml:space="preserve">4 is appropriate. The Committee recommended a potential implementation date of </w:t>
      </w:r>
      <w:r w:rsidRPr="00A91836">
        <w:rPr>
          <w:rFonts w:cs="Arial"/>
          <w:b/>
          <w:bCs/>
        </w:rPr>
        <w:t xml:space="preserve">1 October 2025 </w:t>
      </w:r>
      <w:r w:rsidRPr="00A91836">
        <w:rPr>
          <w:rFonts w:cs="Arial"/>
        </w:rPr>
        <w:t>as further consultation on the potential impacts in the hospital setting should be sought.</w:t>
      </w:r>
    </w:p>
    <w:p w14:paraId="25B28291" w14:textId="77777777" w:rsidR="00315F26" w:rsidRPr="00F27100" w:rsidRDefault="00315F26" w:rsidP="00132F02">
      <w:pPr>
        <w:rPr>
          <w:rFonts w:cs="Arial"/>
        </w:rPr>
      </w:pPr>
      <w:r w:rsidRPr="00F27100">
        <w:rPr>
          <w:rFonts w:cs="Arial"/>
        </w:rPr>
        <w:t>The Committee recommended that the wording of the entry should be</w:t>
      </w:r>
      <w:r>
        <w:rPr>
          <w:rFonts w:cs="Arial"/>
        </w:rPr>
        <w:t xml:space="preserve"> </w:t>
      </w:r>
      <w:r w:rsidRPr="00F27100">
        <w:rPr>
          <w:rFonts w:cs="Arial"/>
        </w:rPr>
        <w:t>developed by the Delegate pending further advice on suitable cut-off values and impact on hospitals.</w:t>
      </w:r>
    </w:p>
    <w:p w14:paraId="4C47BF74" w14:textId="77777777" w:rsidR="00315F26" w:rsidRPr="00B03B68" w:rsidRDefault="00315F26" w:rsidP="00132F02">
      <w:r w:rsidRPr="00B03B68">
        <w:t xml:space="preserve">Members agreed that the relevant matters under subsection 52E(1) of the Act included: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 </w:t>
      </w:r>
    </w:p>
    <w:p w14:paraId="7788A99E" w14:textId="77777777" w:rsidR="00315F26" w:rsidRPr="00B03B68" w:rsidRDefault="00315F26" w:rsidP="00315F26">
      <w:r w:rsidRPr="00B03B68">
        <w:t>The reasons for the advice included:</w:t>
      </w:r>
    </w:p>
    <w:p w14:paraId="50E0027E" w14:textId="77777777" w:rsidR="00315F26" w:rsidRPr="00BB054C" w:rsidRDefault="00315F26" w:rsidP="00315F26">
      <w:pPr>
        <w:pStyle w:val="Heading5"/>
        <w:numPr>
          <w:ilvl w:val="0"/>
          <w:numId w:val="21"/>
        </w:numPr>
        <w:ind w:left="360"/>
      </w:pPr>
      <w:r w:rsidRPr="00BB054C">
        <w:t>the risks and benefits of the use of a substance</w:t>
      </w:r>
    </w:p>
    <w:p w14:paraId="3CCC6B6C" w14:textId="77777777" w:rsidR="00315F26" w:rsidRPr="00B03B68" w:rsidRDefault="00315F26" w:rsidP="00315F26">
      <w:pPr>
        <w:pStyle w:val="Heading6"/>
      </w:pPr>
      <w:r w:rsidRPr="00B03B68">
        <w:t>Risks:</w:t>
      </w:r>
    </w:p>
    <w:p w14:paraId="0941EB4D" w14:textId="77777777" w:rsidR="00315F26" w:rsidRPr="00F82AB6" w:rsidRDefault="00315F26" w:rsidP="00315F26">
      <w:pPr>
        <w:pStyle w:val="ListBullet2"/>
        <w:ind w:left="924" w:hanging="357"/>
      </w:pPr>
      <w:r w:rsidRPr="00F82AB6">
        <w:t>Risks of inadvertent hyperkalaemia which can potentially be life threatening.</w:t>
      </w:r>
    </w:p>
    <w:p w14:paraId="40EC8D03" w14:textId="77777777" w:rsidR="00315F26" w:rsidRPr="00F82AB6" w:rsidRDefault="00315F26" w:rsidP="00315F26">
      <w:pPr>
        <w:pStyle w:val="ListBullet2"/>
        <w:ind w:left="924" w:hanging="357"/>
      </w:pPr>
      <w:r w:rsidRPr="00F82AB6">
        <w:t>Rapid IV administration or overdose may cause cardiac arrest. </w:t>
      </w:r>
    </w:p>
    <w:p w14:paraId="4DEA9417" w14:textId="77777777" w:rsidR="00315F26" w:rsidRPr="00F82AB6" w:rsidRDefault="00315F26" w:rsidP="00315F26">
      <w:pPr>
        <w:pStyle w:val="ListBullet2"/>
        <w:ind w:left="924" w:hanging="357"/>
      </w:pPr>
      <w:r w:rsidRPr="00F82AB6">
        <w:t>Cardiac depression, arrythmia, death.  </w:t>
      </w:r>
    </w:p>
    <w:p w14:paraId="3B4014B1" w14:textId="77777777" w:rsidR="00315F26" w:rsidRPr="00F82AB6" w:rsidRDefault="00315F26" w:rsidP="00315F26">
      <w:pPr>
        <w:pStyle w:val="ListBullet2"/>
        <w:ind w:left="924" w:hanging="357"/>
      </w:pPr>
      <w:r w:rsidRPr="00F82AB6">
        <w:t>Fluid overload </w:t>
      </w:r>
    </w:p>
    <w:p w14:paraId="24669814" w14:textId="77777777" w:rsidR="00315F26" w:rsidRPr="00F82AB6" w:rsidRDefault="00315F26" w:rsidP="00315F26">
      <w:pPr>
        <w:pStyle w:val="ListBullet2"/>
        <w:ind w:left="924" w:hanging="357"/>
      </w:pPr>
      <w:r w:rsidRPr="00F82AB6">
        <w:t>Peripheral vein extravasation/thrombophlebitis.  </w:t>
      </w:r>
    </w:p>
    <w:p w14:paraId="0EE4FF93" w14:textId="77777777" w:rsidR="00315F26" w:rsidRPr="00B03B68" w:rsidRDefault="00315F26" w:rsidP="00315F26">
      <w:pPr>
        <w:pStyle w:val="Heading6"/>
      </w:pPr>
      <w:r w:rsidRPr="00B03B68">
        <w:t>Benefits:</w:t>
      </w:r>
    </w:p>
    <w:p w14:paraId="022D68BF" w14:textId="77777777" w:rsidR="00315F26" w:rsidRPr="00F82AB6" w:rsidRDefault="00315F26" w:rsidP="00315F26">
      <w:pPr>
        <w:pStyle w:val="ListBullet2"/>
        <w:ind w:left="924" w:hanging="357"/>
      </w:pPr>
      <w:r w:rsidRPr="00F82AB6">
        <w:t>Prevention and treatment of moderate to severe potassium deficiency (hypokalaemia) when oral therapy is not possible or rapid replacement is necessary.  </w:t>
      </w:r>
    </w:p>
    <w:p w14:paraId="23181FA9" w14:textId="77777777" w:rsidR="00315F26" w:rsidRPr="00F82AB6" w:rsidRDefault="00315F26" w:rsidP="00315F26">
      <w:pPr>
        <w:pStyle w:val="ListBullet2"/>
        <w:ind w:left="924" w:hanging="357"/>
      </w:pPr>
      <w:r w:rsidRPr="00F82AB6">
        <w:t>Moderate to severe potassium deficiency can lead to life threatening complications including arrhythmias, paralysis and rhabdomyolysis.  </w:t>
      </w:r>
    </w:p>
    <w:p w14:paraId="6F8359AE" w14:textId="77777777" w:rsidR="00315F26" w:rsidRPr="00B03B68" w:rsidRDefault="00315F26" w:rsidP="00315F26">
      <w:pPr>
        <w:pStyle w:val="Heading5"/>
      </w:pPr>
      <w:r w:rsidRPr="00B03B68">
        <w:lastRenderedPageBreak/>
        <w:t>the purposes for which a substance is to be used and the extent of use of a substance</w:t>
      </w:r>
    </w:p>
    <w:p w14:paraId="1D145D67" w14:textId="77777777" w:rsidR="00315F26" w:rsidRPr="00F82AB6" w:rsidRDefault="00315F26" w:rsidP="00315F26">
      <w:pPr>
        <w:pStyle w:val="ListBullet2"/>
        <w:ind w:left="924" w:hanging="357"/>
      </w:pPr>
      <w:r w:rsidRPr="00F82AB6">
        <w:t>Intravenous potassium is used for the prevention and treatment of moderate to severe potassium deficiency (hypokalaemia) when oral therapy is not possible or rapid replacement is necessary. </w:t>
      </w:r>
    </w:p>
    <w:p w14:paraId="314FEF31" w14:textId="77777777" w:rsidR="00315F26" w:rsidRPr="00F82AB6" w:rsidRDefault="00315F26" w:rsidP="00315F26">
      <w:pPr>
        <w:pStyle w:val="ListBullet2"/>
        <w:ind w:left="924" w:hanging="357"/>
      </w:pPr>
      <w:r w:rsidRPr="00F82AB6">
        <w:t>Potassium chloride at high concentration is also used for parenteral administration (for nutritional reasons). </w:t>
      </w:r>
    </w:p>
    <w:p w14:paraId="6297FC2C" w14:textId="77777777" w:rsidR="00315F26" w:rsidRPr="00F82AB6" w:rsidRDefault="00315F26" w:rsidP="00315F26">
      <w:pPr>
        <w:pStyle w:val="ListBullet2"/>
        <w:ind w:left="924" w:hanging="357"/>
      </w:pPr>
      <w:r w:rsidRPr="00F82AB6">
        <w:t>Potassium chloride and potassium acetate: treatment of hypokalaemia, digitalis intoxication. </w:t>
      </w:r>
    </w:p>
    <w:p w14:paraId="7BB207DC" w14:textId="77777777" w:rsidR="00315F26" w:rsidRPr="00F82AB6" w:rsidRDefault="00315F26" w:rsidP="00315F26">
      <w:pPr>
        <w:pStyle w:val="ListBullet2"/>
        <w:ind w:left="924" w:hanging="357"/>
      </w:pPr>
      <w:r w:rsidRPr="00F82AB6">
        <w:t>Potassium phosphate: treatment of hypophosphatemia </w:t>
      </w:r>
    </w:p>
    <w:p w14:paraId="77E487FE" w14:textId="77777777" w:rsidR="00315F26" w:rsidRPr="00B03B68" w:rsidRDefault="00315F26" w:rsidP="00315F26">
      <w:pPr>
        <w:pStyle w:val="Heading5"/>
      </w:pPr>
      <w:r w:rsidRPr="00B03B68">
        <w:t>the toxicity of a substance</w:t>
      </w:r>
    </w:p>
    <w:p w14:paraId="15420BE5" w14:textId="77777777" w:rsidR="00315F26" w:rsidRPr="00F82AB6" w:rsidRDefault="00315F26" w:rsidP="00315F26">
      <w:pPr>
        <w:pStyle w:val="ListBullet2"/>
        <w:ind w:left="924" w:hanging="357"/>
      </w:pPr>
      <w:r w:rsidRPr="00F82AB6">
        <w:t>Injection of undiluted solution or infusion without controlled rate of delivery, such as rapid administration, can cause cardiac arrest or death. </w:t>
      </w:r>
    </w:p>
    <w:p w14:paraId="21CF03F8" w14:textId="77777777" w:rsidR="00315F26" w:rsidRPr="00B03B68" w:rsidRDefault="00315F26" w:rsidP="00315F26">
      <w:pPr>
        <w:pStyle w:val="Heading5"/>
      </w:pPr>
      <w:r w:rsidRPr="00B03B68">
        <w:t>the dosage, formulation, labelling, packaging and presentation of a substance</w:t>
      </w:r>
    </w:p>
    <w:p w14:paraId="1DD80847" w14:textId="77777777" w:rsidR="00315F26" w:rsidRPr="00F82AB6" w:rsidRDefault="00315F26" w:rsidP="00315F26">
      <w:pPr>
        <w:pStyle w:val="ListBullet2"/>
        <w:ind w:left="924" w:hanging="357"/>
      </w:pPr>
      <w:r w:rsidRPr="00F82AB6">
        <w:t>80 products containing potassium chloride for injection and infusion on ARTG. </w:t>
      </w:r>
    </w:p>
    <w:p w14:paraId="03C254B4" w14:textId="77777777" w:rsidR="00315F26" w:rsidRPr="00F82AB6" w:rsidRDefault="00315F26" w:rsidP="00315F26">
      <w:pPr>
        <w:pStyle w:val="ListBullet2"/>
        <w:ind w:left="924" w:hanging="357"/>
      </w:pPr>
      <w:r w:rsidRPr="00F82AB6">
        <w:t>The strength and dose of intravenous potassium salts is described in millimoles. Therefore, the labelling of products should display the strength in millimoles. </w:t>
      </w:r>
    </w:p>
    <w:p w14:paraId="513826C0" w14:textId="77777777" w:rsidR="00315F26" w:rsidRPr="00F82AB6" w:rsidRDefault="00315F26" w:rsidP="00315F26">
      <w:pPr>
        <w:pStyle w:val="ListBullet2"/>
        <w:ind w:left="924" w:hanging="357"/>
      </w:pPr>
      <w:r w:rsidRPr="00F82AB6">
        <w:t>Various pack sizes of concentrated solutions from 10 mL ampoule to 100 mL infusion</w:t>
      </w:r>
    </w:p>
    <w:p w14:paraId="723377C7" w14:textId="77777777" w:rsidR="00315F26" w:rsidRPr="00B03B68" w:rsidRDefault="00315F26" w:rsidP="00315F26">
      <w:pPr>
        <w:pStyle w:val="Heading5"/>
      </w:pPr>
      <w:r w:rsidRPr="00B03B68">
        <w:t>the potential for abuse of a substance</w:t>
      </w:r>
    </w:p>
    <w:p w14:paraId="3B86F9F1" w14:textId="77777777" w:rsidR="00315F26" w:rsidRPr="00F82AB6" w:rsidRDefault="00315F26" w:rsidP="00315F26">
      <w:pPr>
        <w:pStyle w:val="ListBullet2"/>
        <w:ind w:left="924" w:hanging="357"/>
      </w:pPr>
      <w:r w:rsidRPr="00F82AB6">
        <w:t>High potential for inadvertent misuse.  </w:t>
      </w:r>
    </w:p>
    <w:p w14:paraId="442F54B6" w14:textId="77777777" w:rsidR="00315F26" w:rsidRPr="00F82AB6" w:rsidRDefault="00315F26" w:rsidP="00315F26">
      <w:pPr>
        <w:pStyle w:val="ListBullet2"/>
        <w:ind w:left="924" w:hanging="357"/>
      </w:pPr>
      <w:r w:rsidRPr="00F82AB6">
        <w:t>May</w:t>
      </w:r>
      <w:r>
        <w:t xml:space="preserve"> </w:t>
      </w:r>
      <w:r w:rsidRPr="00F82AB6">
        <w:t>be misused as a ‘wellness therapy’ or hangover treatment. </w:t>
      </w:r>
    </w:p>
    <w:p w14:paraId="66D1B2DD" w14:textId="77777777" w:rsidR="00315F26" w:rsidRPr="00F82AB6" w:rsidRDefault="00315F26" w:rsidP="00315F26">
      <w:pPr>
        <w:pStyle w:val="ListBullet2"/>
        <w:ind w:left="924" w:hanging="357"/>
      </w:pPr>
      <w:r w:rsidRPr="00F82AB6">
        <w:t>Given its cardiotoxic properties, potassium chloride has been included, albeit rarely used, in assisted dying protocols. </w:t>
      </w:r>
    </w:p>
    <w:p w14:paraId="15C7C5F1" w14:textId="77777777" w:rsidR="00315F26" w:rsidRPr="00F82AB6" w:rsidRDefault="00315F26" w:rsidP="00315F26">
      <w:pPr>
        <w:pStyle w:val="ListBullet2"/>
        <w:ind w:left="924" w:hanging="357"/>
      </w:pPr>
      <w:r w:rsidRPr="00F82AB6">
        <w:t>Although rare, lethal injection of concentrated intravenous potassium chloride has been used in suicide. </w:t>
      </w:r>
    </w:p>
    <w:p w14:paraId="2C01797B" w14:textId="77777777" w:rsidR="00315F26" w:rsidRPr="00B03B68" w:rsidRDefault="00315F26" w:rsidP="00315F26">
      <w:pPr>
        <w:pStyle w:val="Heading5"/>
      </w:pPr>
      <w:r w:rsidRPr="00B03B68">
        <w:t>any other matters that the Secretary considers necessary to protect public health</w:t>
      </w:r>
    </w:p>
    <w:p w14:paraId="4F9E2FBC" w14:textId="77777777" w:rsidR="00315F26" w:rsidRPr="00F82AB6" w:rsidRDefault="00315F26" w:rsidP="00315F26">
      <w:pPr>
        <w:pStyle w:val="ListBullet2"/>
        <w:ind w:left="924" w:hanging="357"/>
      </w:pPr>
      <w:bookmarkStart w:id="10" w:name="_Toc171513561"/>
      <w:r w:rsidRPr="00F82AB6">
        <w:t>Consideration of regulation and controls in other jurisdictions e.g., in the UK and USA – intravenous potassium chloride is a prescription only medicine. </w:t>
      </w:r>
    </w:p>
    <w:p w14:paraId="029A2727" w14:textId="77777777" w:rsidR="00315F26" w:rsidRPr="00F82AB6" w:rsidRDefault="00315F26" w:rsidP="00315F26">
      <w:pPr>
        <w:pStyle w:val="ListBullet2"/>
        <w:ind w:left="924" w:hanging="357"/>
      </w:pPr>
      <w:r w:rsidRPr="00F82AB6">
        <w:t>Impacts on users and may change prescribing practice (possibility of need for dual prescribing – fluid chart and prescription).  </w:t>
      </w:r>
    </w:p>
    <w:p w14:paraId="6EDCAD33" w14:textId="77777777" w:rsidR="00315F26" w:rsidRPr="00F82AB6" w:rsidRDefault="00315F26" w:rsidP="00315F26">
      <w:pPr>
        <w:pStyle w:val="ListBullet2"/>
        <w:ind w:left="924" w:hanging="357"/>
      </w:pPr>
      <w:r w:rsidRPr="00F82AB6">
        <w:t xml:space="preserve">Delegate should consider cut off levels so that low strength products and </w:t>
      </w:r>
      <w:r>
        <w:t>total parenteral nutrition</w:t>
      </w:r>
      <w:r w:rsidRPr="00F82AB6">
        <w:t xml:space="preserve"> products are not captured. </w:t>
      </w:r>
    </w:p>
    <w:p w14:paraId="22ED79EA" w14:textId="77777777" w:rsidR="00315F26" w:rsidRPr="00F82AB6" w:rsidRDefault="00315F26" w:rsidP="00315F26">
      <w:pPr>
        <w:pStyle w:val="ListBullet2"/>
        <w:ind w:left="924" w:hanging="357"/>
      </w:pPr>
      <w:r w:rsidRPr="00F82AB6">
        <w:t>10 mmol in 10 mL to capture the ampoules only and not any of the premixed bags  </w:t>
      </w:r>
    </w:p>
    <w:p w14:paraId="2A28F75B" w14:textId="77777777" w:rsidR="00270B01" w:rsidRDefault="00270B01">
      <w:pPr>
        <w:rPr>
          <w:rFonts w:eastAsia="Cambria" w:cs="Times New Roman"/>
          <w:bCs/>
          <w:color w:val="001871"/>
          <w:sz w:val="28"/>
          <w:szCs w:val="26"/>
        </w:rPr>
      </w:pPr>
      <w:bookmarkStart w:id="11" w:name="_Toc184826043"/>
      <w:r>
        <w:br w:type="page"/>
      </w:r>
    </w:p>
    <w:p w14:paraId="0B6ABE48" w14:textId="49A06AAB" w:rsidR="00315F26" w:rsidRPr="00B03B68" w:rsidRDefault="00315F26" w:rsidP="00315F26">
      <w:pPr>
        <w:pStyle w:val="Heading4"/>
      </w:pPr>
      <w:r w:rsidRPr="00B03B68">
        <w:lastRenderedPageBreak/>
        <w:t>Reasons for the interim decision (including findings on material questions of fact)</w:t>
      </w:r>
      <w:bookmarkEnd w:id="10"/>
      <w:bookmarkEnd w:id="11"/>
    </w:p>
    <w:p w14:paraId="19129372" w14:textId="77777777" w:rsidR="00315F26" w:rsidRPr="00B75181" w:rsidRDefault="00315F26" w:rsidP="00132F02">
      <w:r w:rsidRPr="00B75181">
        <w:t>I agree with the Committee's findings on the relevant provisions of section 52E of the Act.</w:t>
      </w:r>
    </w:p>
    <w:p w14:paraId="78AF343C" w14:textId="77777777" w:rsidR="00315F26" w:rsidRDefault="00315F26" w:rsidP="00132F02">
      <w:pPr>
        <w:pStyle w:val="ListBullet2"/>
        <w:numPr>
          <w:ilvl w:val="0"/>
          <w:numId w:val="0"/>
        </w:numPr>
        <w:spacing w:before="0" w:after="120" w:line="259" w:lineRule="auto"/>
        <w:rPr>
          <w:rFonts w:eastAsiaTheme="minorHAnsi" w:cstheme="minorBidi"/>
        </w:rPr>
      </w:pPr>
      <w:r w:rsidRPr="00B75181">
        <w:rPr>
          <w:rFonts w:eastAsiaTheme="minorHAnsi" w:cstheme="minorBidi"/>
        </w:rPr>
        <w:t>I have made an interim decision to amend the Poisons Standard with regard to potassium salts</w:t>
      </w:r>
      <w:r>
        <w:rPr>
          <w:rFonts w:eastAsiaTheme="minorHAnsi" w:cstheme="minorBidi"/>
        </w:rPr>
        <w:t xml:space="preserve"> </w:t>
      </w:r>
      <w:r w:rsidRPr="00A97476">
        <w:rPr>
          <w:rFonts w:eastAsiaTheme="minorHAnsi" w:cstheme="minorBidi"/>
        </w:rPr>
        <w:t xml:space="preserve">in preparations for therapeutic use for </w:t>
      </w:r>
      <w:r>
        <w:rPr>
          <w:rFonts w:eastAsiaTheme="minorHAnsi" w:cstheme="minorBidi"/>
        </w:rPr>
        <w:t>i</w:t>
      </w:r>
      <w:r w:rsidRPr="00A97476">
        <w:rPr>
          <w:rFonts w:eastAsiaTheme="minorHAnsi" w:cstheme="minorBidi"/>
        </w:rPr>
        <w:t>njection or infusion</w:t>
      </w:r>
      <w:r>
        <w:rPr>
          <w:rFonts w:eastAsiaTheme="minorHAnsi" w:cstheme="minorBidi"/>
        </w:rPr>
        <w:t xml:space="preserve">. </w:t>
      </w:r>
      <w:r w:rsidRPr="00B75181">
        <w:rPr>
          <w:rFonts w:eastAsiaTheme="minorHAnsi" w:cstheme="minorBidi"/>
        </w:rPr>
        <w:t>In making this decision I have balanced the potential benefits</w:t>
      </w:r>
      <w:r>
        <w:rPr>
          <w:rFonts w:eastAsiaTheme="minorHAnsi" w:cstheme="minorBidi"/>
        </w:rPr>
        <w:t xml:space="preserve"> of increased prescriber oversight</w:t>
      </w:r>
      <w:r w:rsidRPr="00B75181">
        <w:rPr>
          <w:rFonts w:eastAsiaTheme="minorHAnsi" w:cstheme="minorBidi"/>
        </w:rPr>
        <w:t xml:space="preserve"> </w:t>
      </w:r>
      <w:r>
        <w:rPr>
          <w:rFonts w:eastAsiaTheme="minorHAnsi" w:cstheme="minorBidi"/>
        </w:rPr>
        <w:t xml:space="preserve">against the unintended possibility </w:t>
      </w:r>
      <w:r w:rsidRPr="00B75181">
        <w:rPr>
          <w:rFonts w:eastAsiaTheme="minorHAnsi" w:cstheme="minorBidi"/>
        </w:rPr>
        <w:t xml:space="preserve">of </w:t>
      </w:r>
      <w:r>
        <w:rPr>
          <w:rFonts w:eastAsiaTheme="minorHAnsi" w:cstheme="minorBidi"/>
        </w:rPr>
        <w:t>de</w:t>
      </w:r>
      <w:r w:rsidRPr="00B75181">
        <w:rPr>
          <w:rFonts w:eastAsiaTheme="minorHAnsi" w:cstheme="minorBidi"/>
        </w:rPr>
        <w:t>creasing access to potassium salts used for the treatment of hypokalaemia, digitalis intoxication and treatment of hypophosphatemia.</w:t>
      </w:r>
    </w:p>
    <w:p w14:paraId="7473C7FF" w14:textId="77777777" w:rsidR="00315F26" w:rsidRPr="00B75181" w:rsidRDefault="00315F26" w:rsidP="00132F02">
      <w:pPr>
        <w:pStyle w:val="ListBullet2"/>
        <w:numPr>
          <w:ilvl w:val="0"/>
          <w:numId w:val="0"/>
        </w:numPr>
        <w:spacing w:before="0" w:after="120" w:line="259" w:lineRule="auto"/>
        <w:rPr>
          <w:rFonts w:eastAsiaTheme="minorHAnsi" w:cstheme="minorBidi"/>
        </w:rPr>
      </w:pPr>
      <w:r>
        <w:rPr>
          <w:rFonts w:eastAsiaTheme="minorHAnsi" w:cstheme="minorBidi"/>
        </w:rPr>
        <w:t xml:space="preserve">I have considered the risk of potassium salts remaining unscheduled and the </w:t>
      </w:r>
      <w:r w:rsidRPr="00EE57BE">
        <w:rPr>
          <w:rFonts w:eastAsiaTheme="minorHAnsi" w:cstheme="minorBidi"/>
        </w:rPr>
        <w:t>potential for administration in “wellness” settings</w:t>
      </w:r>
      <w:r>
        <w:rPr>
          <w:rFonts w:eastAsiaTheme="minorHAnsi" w:cstheme="minorBidi"/>
        </w:rPr>
        <w:t xml:space="preserve"> </w:t>
      </w:r>
      <w:r w:rsidRPr="00EE57BE">
        <w:rPr>
          <w:rFonts w:eastAsiaTheme="minorHAnsi" w:cstheme="minorBidi"/>
        </w:rPr>
        <w:t>or</w:t>
      </w:r>
      <w:r>
        <w:rPr>
          <w:rFonts w:eastAsiaTheme="minorHAnsi" w:cstheme="minorBidi"/>
        </w:rPr>
        <w:t xml:space="preserve"> as a</w:t>
      </w:r>
      <w:r w:rsidRPr="00EE57BE">
        <w:rPr>
          <w:rFonts w:eastAsiaTheme="minorHAnsi" w:cstheme="minorBidi"/>
        </w:rPr>
        <w:t xml:space="preserve"> hangover treatment</w:t>
      </w:r>
      <w:r>
        <w:rPr>
          <w:rFonts w:eastAsiaTheme="minorHAnsi" w:cstheme="minorBidi"/>
        </w:rPr>
        <w:t xml:space="preserve">, in the absence of prescription controls. </w:t>
      </w:r>
      <w:r w:rsidRPr="00EE57BE">
        <w:rPr>
          <w:rFonts w:eastAsiaTheme="minorHAnsi" w:cstheme="minorBidi"/>
        </w:rPr>
        <w:t>If</w:t>
      </w:r>
      <w:r>
        <w:rPr>
          <w:rFonts w:eastAsiaTheme="minorHAnsi" w:cstheme="minorBidi"/>
        </w:rPr>
        <w:t xml:space="preserve"> left</w:t>
      </w:r>
      <w:r w:rsidRPr="00EE57BE">
        <w:rPr>
          <w:rFonts w:eastAsiaTheme="minorHAnsi" w:cstheme="minorBidi"/>
        </w:rPr>
        <w:t xml:space="preserve"> unscheduled, there is a risk that untrained or unregistered people might purchase it for injection</w:t>
      </w:r>
      <w:r>
        <w:rPr>
          <w:rFonts w:eastAsiaTheme="minorHAnsi" w:cstheme="minorBidi"/>
        </w:rPr>
        <w:t>, which could result</w:t>
      </w:r>
      <w:r w:rsidRPr="00EE57BE">
        <w:rPr>
          <w:rFonts w:eastAsiaTheme="minorHAnsi" w:cstheme="minorBidi"/>
        </w:rPr>
        <w:t xml:space="preserve"> in infection related deaths</w:t>
      </w:r>
      <w:r>
        <w:rPr>
          <w:rFonts w:eastAsiaTheme="minorHAnsi" w:cstheme="minorBidi"/>
        </w:rPr>
        <w:t xml:space="preserve">, as has been seen with </w:t>
      </w:r>
      <w:r w:rsidRPr="00EE57BE">
        <w:rPr>
          <w:rFonts w:eastAsiaTheme="minorHAnsi" w:cstheme="minorBidi"/>
        </w:rPr>
        <w:t>high dose vitamin C injection use outside of hospitals</w:t>
      </w:r>
      <w:r>
        <w:rPr>
          <w:rFonts w:eastAsiaTheme="minorHAnsi" w:cstheme="minorBidi"/>
        </w:rPr>
        <w:t>.</w:t>
      </w:r>
    </w:p>
    <w:p w14:paraId="18CC788D" w14:textId="77777777" w:rsidR="00315F26" w:rsidRDefault="00315F26" w:rsidP="00132F02">
      <w:r w:rsidRPr="00B75181">
        <w:t xml:space="preserve">I have considered the </w:t>
      </w:r>
      <w:r>
        <w:t>2</w:t>
      </w:r>
      <w:r w:rsidRPr="00B75181">
        <w:t xml:space="preserve"> written public submissions received during the pre-meeting consultation period. Both written responses received were fully supportive of the applicant’s proposal. One further response was received and indicated support for the proposal while not providing reasons for their support, noting that the submissions were all in favour of the scheduling proposal.</w:t>
      </w:r>
    </w:p>
    <w:p w14:paraId="773976E3" w14:textId="77777777" w:rsidR="00315F26" w:rsidRPr="006820B0" w:rsidRDefault="00315F26" w:rsidP="00132F02">
      <w:r w:rsidRPr="006820B0">
        <w:t>Within hospital settings, I note that all Australian jurisdictions have rigorous protocols for the management, storage, charting and administration of potassium and they have been managing potassium salts in preparations for injection or infusions for many years.</w:t>
      </w:r>
    </w:p>
    <w:p w14:paraId="7292CF1C" w14:textId="77777777" w:rsidR="00315F26" w:rsidRPr="00F45E29" w:rsidRDefault="00315F26" w:rsidP="00132F02">
      <w:r>
        <w:t xml:space="preserve">Feedback was received from the hospital pharmacy representative peak body, Advanced Pharmacy Australia </w:t>
      </w:r>
      <w:r w:rsidRPr="00F45E29">
        <w:t>(AdPha)</w:t>
      </w:r>
      <w:r>
        <w:t>, for the proposed S</w:t>
      </w:r>
      <w:r w:rsidRPr="00FE2ED4">
        <w:t>chedule 4</w:t>
      </w:r>
      <w:r>
        <w:t xml:space="preserve"> entry for </w:t>
      </w:r>
      <w:r w:rsidRPr="00FE2ED4">
        <w:t>intravenous potassium salts</w:t>
      </w:r>
      <w:r>
        <w:t xml:space="preserve">. In its view, it is not </w:t>
      </w:r>
      <w:r w:rsidRPr="00F47C0A">
        <w:rPr>
          <w:rFonts w:eastAsia="Times New Roman"/>
          <w:lang w:eastAsia="zh-CN"/>
        </w:rPr>
        <w:t>envisage</w:t>
      </w:r>
      <w:r>
        <w:rPr>
          <w:rFonts w:eastAsia="Times New Roman"/>
          <w:lang w:eastAsia="zh-CN"/>
        </w:rPr>
        <w:t>d</w:t>
      </w:r>
      <w:r w:rsidRPr="00F47C0A">
        <w:rPr>
          <w:rFonts w:eastAsia="Times New Roman"/>
          <w:lang w:eastAsia="zh-CN"/>
        </w:rPr>
        <w:t xml:space="preserve"> that a </w:t>
      </w:r>
      <w:r>
        <w:rPr>
          <w:rFonts w:eastAsia="Times New Roman"/>
          <w:lang w:eastAsia="zh-CN"/>
        </w:rPr>
        <w:t>S</w:t>
      </w:r>
      <w:r w:rsidRPr="00F47C0A">
        <w:rPr>
          <w:rFonts w:eastAsia="Times New Roman"/>
          <w:lang w:eastAsia="zh-CN"/>
        </w:rPr>
        <w:t xml:space="preserve">chedule 4 listing for intravenous potassium salts will impede patient access </w:t>
      </w:r>
      <w:r>
        <w:rPr>
          <w:rFonts w:eastAsia="Times New Roman"/>
          <w:lang w:eastAsia="zh-CN"/>
        </w:rPr>
        <w:t>or the</w:t>
      </w:r>
      <w:r w:rsidRPr="00F47C0A">
        <w:rPr>
          <w:rFonts w:eastAsia="Times New Roman"/>
          <w:lang w:eastAsia="zh-CN"/>
        </w:rPr>
        <w:t xml:space="preserve"> established workflows of care in the hospital and health service environment, </w:t>
      </w:r>
      <w:r>
        <w:rPr>
          <w:rFonts w:eastAsia="Times New Roman"/>
          <w:lang w:eastAsia="zh-CN"/>
        </w:rPr>
        <w:t>if</w:t>
      </w:r>
      <w:r w:rsidRPr="00F47C0A">
        <w:rPr>
          <w:rFonts w:eastAsia="Times New Roman"/>
          <w:lang w:eastAsia="zh-CN"/>
        </w:rPr>
        <w:t xml:space="preserve"> reasonable steps are taken to ensure Nurse Practitioners can continue to prescribe and chart them in hospital settings</w:t>
      </w:r>
      <w:r w:rsidRPr="00B16377">
        <w:rPr>
          <w:rFonts w:eastAsia="Times New Roman"/>
          <w:lang w:eastAsia="zh-CN"/>
        </w:rPr>
        <w:t>.</w:t>
      </w:r>
      <w:r w:rsidRPr="00B16377">
        <w:t xml:space="preserve"> </w:t>
      </w:r>
      <w:r w:rsidRPr="00B16377">
        <w:rPr>
          <w:rFonts w:eastAsia="Times New Roman"/>
          <w:lang w:eastAsia="zh-CN"/>
        </w:rPr>
        <w:t>AdPha supports increased safety measures to reduce inappropriate use of intravenous potassium salts, as misuse can be fatal</w:t>
      </w:r>
      <w:r w:rsidRPr="006B1AF5">
        <w:rPr>
          <w:rFonts w:eastAsia="Times New Roman"/>
          <w:lang w:eastAsia="zh-CN"/>
        </w:rPr>
        <w:t>.</w:t>
      </w:r>
    </w:p>
    <w:p w14:paraId="05204DB3" w14:textId="77777777" w:rsidR="00315F26" w:rsidRPr="00F41FCD" w:rsidRDefault="00315F26" w:rsidP="00132F02">
      <w:pPr>
        <w:pStyle w:val="paragraph"/>
        <w:spacing w:before="0" w:beforeAutospacing="0" w:after="120" w:afterAutospacing="0" w:line="259" w:lineRule="auto"/>
        <w:rPr>
          <w:rFonts w:cs="Arial"/>
        </w:rPr>
      </w:pPr>
      <w:r w:rsidRPr="00F47C0A">
        <w:rPr>
          <w:rFonts w:ascii="Arial" w:hAnsi="Arial" w:cs="Arial"/>
          <w:sz w:val="20"/>
          <w:szCs w:val="20"/>
        </w:rPr>
        <w:t>The risks involved in the administration of these products are documented and a Schedule 4 entry is intended to reflect the dangers posed to human health and safety through the use of these products. It is not intended to further inconvenience hospital activities. It is my understanding that most hospital protocols ensure that dosage forms containing stronger concentrations of potassium salts, including ampoules, are not available on general wards. Ampoules are generally restricted to specific departments, such as emergency department and critical care units and/or locked in a medication safe.</w:t>
      </w:r>
    </w:p>
    <w:p w14:paraId="43518E7D" w14:textId="77777777" w:rsidR="00315F26" w:rsidRDefault="00315F26" w:rsidP="00132F02">
      <w:r>
        <w:t>I have considered that concentrated solutions of potassium salts, when administered intravenously, or through any other injection route, meet with the SPF factors for Schedule 4. This includes vials of diluted potassium salts and the mini bags containing 10 mmol in 100 mL. In considering exemptions from a Schedule 4 entry, I have considered that a higher concentration of potassium in a fluid poses a greater risk commensurate to a Schedule 4 entry. The total volume is a factor which can contribute to the risk of adverse events, if not carefully administered under instruction of a medical practitioner. Consequently, I have chosen to include a concentration cut off and a total volume to address the risks posed.</w:t>
      </w:r>
    </w:p>
    <w:p w14:paraId="2AD42FAC" w14:textId="77777777" w:rsidR="00315F26" w:rsidRDefault="00315F26" w:rsidP="00315F26">
      <w:r>
        <w:rPr>
          <w:rFonts w:eastAsia="Times New Roman"/>
          <w:lang w:eastAsia="en-AU"/>
        </w:rPr>
        <w:t>P</w:t>
      </w:r>
      <w:r w:rsidRPr="00E4015B">
        <w:rPr>
          <w:rFonts w:eastAsia="Times New Roman"/>
          <w:lang w:eastAsia="en-AU"/>
        </w:rPr>
        <w:t>remix bags are first line treatment</w:t>
      </w:r>
      <w:r>
        <w:rPr>
          <w:rFonts w:eastAsia="Times New Roman"/>
          <w:lang w:eastAsia="en-AU"/>
        </w:rPr>
        <w:t xml:space="preserve">s </w:t>
      </w:r>
      <w:r w:rsidRPr="00E4015B">
        <w:rPr>
          <w:rFonts w:eastAsia="Times New Roman"/>
          <w:lang w:eastAsia="en-AU"/>
        </w:rPr>
        <w:t xml:space="preserve">and </w:t>
      </w:r>
      <w:r>
        <w:rPr>
          <w:rFonts w:eastAsia="Times New Roman"/>
          <w:lang w:eastAsia="en-AU"/>
        </w:rPr>
        <w:t xml:space="preserve">are </w:t>
      </w:r>
      <w:r w:rsidRPr="00E4015B">
        <w:rPr>
          <w:rFonts w:eastAsia="Times New Roman"/>
          <w:lang w:eastAsia="en-AU"/>
        </w:rPr>
        <w:t>safer to use in all settings</w:t>
      </w:r>
      <w:r>
        <w:rPr>
          <w:rFonts w:eastAsia="Times New Roman"/>
          <w:lang w:eastAsia="en-AU"/>
        </w:rPr>
        <w:t>,</w:t>
      </w:r>
      <w:r w:rsidRPr="00E4015B">
        <w:rPr>
          <w:rFonts w:eastAsia="Times New Roman"/>
          <w:lang w:eastAsia="en-AU"/>
        </w:rPr>
        <w:t xml:space="preserve"> however</w:t>
      </w:r>
      <w:r>
        <w:rPr>
          <w:rFonts w:eastAsia="Times New Roman"/>
          <w:lang w:eastAsia="en-AU"/>
        </w:rPr>
        <w:t>,</w:t>
      </w:r>
      <w:r w:rsidRPr="00E4015B">
        <w:rPr>
          <w:rFonts w:eastAsia="Times New Roman"/>
          <w:lang w:eastAsia="en-AU"/>
        </w:rPr>
        <w:t xml:space="preserve"> they are still not without risk.</w:t>
      </w:r>
      <w:r>
        <w:rPr>
          <w:rFonts w:eastAsia="Times New Roman"/>
          <w:lang w:eastAsia="en-AU"/>
        </w:rPr>
        <w:t xml:space="preserve"> When additional potassium is added by a registered health practitioner, there is still a </w:t>
      </w:r>
      <w:r>
        <w:t>greater risk to the patient than premixed bags. Bags with additional potassium present an increased risk as the patient may receive a bolus of concentrated potassium which would cause an adverse incident. Both a premixed bag, and that with additional potassium added, have a risk of causing adverse incidents if infused at too fast a rate. I have considered whether pre-mixed bags could be exempt from the Schedule 4 entry. However, an overly rapid infusion rate or incorrect medicine selection could also have catastrophic consequences for the patient. To minimise this risk, I have not excluded the majority of premixed infusion bags from the Schedule 4 entry, except those manufactured in lower doses and at lower concentrations.</w:t>
      </w:r>
    </w:p>
    <w:p w14:paraId="2935A04B" w14:textId="77777777" w:rsidR="00315F26" w:rsidRDefault="00315F26" w:rsidP="00315F26">
      <w:pPr>
        <w:rPr>
          <w:highlight w:val="yellow"/>
        </w:rPr>
      </w:pPr>
      <w:r w:rsidRPr="008B03C4">
        <w:lastRenderedPageBreak/>
        <w:t>I have decided at this stage to exclude lower dose, premixed electrolyte combination bags with multiple ingredients</w:t>
      </w:r>
      <w:r w:rsidRPr="00F47C0A">
        <w:t>.</w:t>
      </w:r>
      <w:r>
        <w:t xml:space="preserve"> </w:t>
      </w:r>
      <w:r w:rsidRPr="00F47C0A">
        <w:t xml:space="preserve">These pre-mixed formulations have a lower risk of a bolus dose being administered as potassium is not added manually at </w:t>
      </w:r>
      <w:r>
        <w:t xml:space="preserve">the </w:t>
      </w:r>
      <w:r w:rsidRPr="00F47C0A">
        <w:t xml:space="preserve">point of dispensing, but rather </w:t>
      </w:r>
      <w:r>
        <w:t>added during</w:t>
      </w:r>
      <w:r w:rsidRPr="00F47C0A">
        <w:t xml:space="preserve"> </w:t>
      </w:r>
      <w:r>
        <w:t>the</w:t>
      </w:r>
      <w:r w:rsidRPr="00F47C0A">
        <w:t xml:space="preserve"> manufacturing process, resulting in the production of a standardised uniform (homogenous) mixture.</w:t>
      </w:r>
    </w:p>
    <w:p w14:paraId="095329AD" w14:textId="77777777" w:rsidR="00315F26" w:rsidRDefault="00315F26" w:rsidP="00315F26">
      <w:r w:rsidRPr="009C21CF">
        <w:t xml:space="preserve">While in most jurisdictions, IV potassium is prescribed in hospitals using a fluid chart, there were concerns </w:t>
      </w:r>
      <w:r>
        <w:t xml:space="preserve">raised by the Committee </w:t>
      </w:r>
      <w:r w:rsidRPr="009C21CF">
        <w:t>that prescribers may also chart on the patient medication chart, resulting in d</w:t>
      </w:r>
      <w:r>
        <w:t>uplicate</w:t>
      </w:r>
      <w:r w:rsidRPr="009C21CF">
        <w:t xml:space="preserve"> prescribing and potential for </w:t>
      </w:r>
      <w:r>
        <w:t>an increase in</w:t>
      </w:r>
      <w:r w:rsidRPr="009C21CF">
        <w:t xml:space="preserve"> medication errors. It is my intention that a change to the scheduling of potassium does not generate further unforeseen impacts, such as workflow issues, storage or accessibility issues in the hospital environment. </w:t>
      </w:r>
      <w:r>
        <w:t xml:space="preserve">Further, I acknowledge the importance of the accessibility of these products </w:t>
      </w:r>
      <w:r w:rsidRPr="00BF7CDE">
        <w:t xml:space="preserve">required during diabetes ketoacidosis and invite further submissions from affected non-prescribers on this </w:t>
      </w:r>
      <w:r>
        <w:t>interim decision</w:t>
      </w:r>
      <w:r w:rsidRPr="00BF7CDE">
        <w:t>.</w:t>
      </w:r>
    </w:p>
    <w:p w14:paraId="56728FD0" w14:textId="77777777" w:rsidR="00315F26" w:rsidRDefault="00315F26" w:rsidP="00315F26">
      <w:r>
        <w:t>I note that most international jurisdictions, including the UK and USA, regulate intravenous potassium as prescription only medicines.</w:t>
      </w:r>
    </w:p>
    <w:p w14:paraId="040400B9" w14:textId="77777777" w:rsidR="00315F26" w:rsidRDefault="00315F26" w:rsidP="00315F26">
      <w:r>
        <w:t>I note also that medicine bags for total parenteral nutrition, prepared in hospital by pharmacists and dietitians, are exempt from Scheduling under Appendix A of the Poisons Standard.</w:t>
      </w:r>
    </w:p>
    <w:p w14:paraId="289C6ABD" w14:textId="77777777" w:rsidR="00315F26" w:rsidRDefault="00315F26" w:rsidP="00315F26">
      <w:r>
        <w:t>I have decided to depart from the Committee’s</w:t>
      </w:r>
      <w:r w:rsidRPr="00A91836">
        <w:rPr>
          <w:rFonts w:cs="Arial"/>
        </w:rPr>
        <w:t xml:space="preserve"> recommended implementation date of </w:t>
      </w:r>
      <w:r w:rsidRPr="00BD24A7">
        <w:rPr>
          <w:rFonts w:cs="Arial"/>
        </w:rPr>
        <w:t>1 October 2025</w:t>
      </w:r>
      <w:r>
        <w:rPr>
          <w:rFonts w:cs="Arial"/>
        </w:rPr>
        <w:t xml:space="preserve"> and allow for a greater transition time for industry and to accommodate for changes that may have to occur within health professional settings. </w:t>
      </w:r>
    </w:p>
    <w:p w14:paraId="13B78A9D" w14:textId="77777777" w:rsidR="00315F26" w:rsidRPr="00B03B68" w:rsidRDefault="00315F26" w:rsidP="00315F26">
      <w:pPr>
        <w:pStyle w:val="Heading4"/>
      </w:pPr>
      <w:bookmarkStart w:id="12" w:name="_Toc171513562"/>
      <w:bookmarkStart w:id="13" w:name="_Toc184826044"/>
      <w:r w:rsidRPr="00B03B68">
        <w:t>Implementation date</w:t>
      </w:r>
      <w:bookmarkEnd w:id="12"/>
      <w:bookmarkEnd w:id="13"/>
    </w:p>
    <w:p w14:paraId="4274E68D" w14:textId="47A4C14A" w:rsidR="00F02AEC" w:rsidRPr="00392F07" w:rsidRDefault="00315F26" w:rsidP="00315F26">
      <w:pPr>
        <w:rPr>
          <w:b/>
          <w:bCs/>
        </w:rPr>
      </w:pPr>
      <w:r w:rsidRPr="00392F07">
        <w:rPr>
          <w:b/>
          <w:bCs/>
        </w:rPr>
        <w:t>1 June 2026</w:t>
      </w:r>
    </w:p>
    <w:p w14:paraId="009749DB" w14:textId="77777777" w:rsidR="00392F07" w:rsidRPr="00B03B68" w:rsidRDefault="00392F07" w:rsidP="00392F07">
      <w:pPr>
        <w:pStyle w:val="Heading2"/>
      </w:pPr>
      <w:bookmarkStart w:id="14" w:name="_Toc183342394"/>
      <w:bookmarkStart w:id="15" w:name="_Toc184826045"/>
      <w:r w:rsidRPr="00B03B68">
        <w:t xml:space="preserve">Interim decision </w:t>
      </w:r>
      <w:r>
        <w:t>in relation to nicotinic acid</w:t>
      </w:r>
      <w:bookmarkEnd w:id="14"/>
      <w:bookmarkEnd w:id="15"/>
    </w:p>
    <w:p w14:paraId="46F8F9B3" w14:textId="77777777" w:rsidR="00392F07" w:rsidRPr="00B03B68" w:rsidRDefault="00392F07" w:rsidP="00392F07">
      <w:pPr>
        <w:pStyle w:val="Heading4"/>
      </w:pPr>
      <w:bookmarkStart w:id="16" w:name="_Toc183342395"/>
      <w:bookmarkStart w:id="17" w:name="_Toc184826046"/>
      <w:r w:rsidRPr="00B03B68">
        <w:t>Proposal</w:t>
      </w:r>
      <w:bookmarkEnd w:id="16"/>
      <w:bookmarkEnd w:id="17"/>
    </w:p>
    <w:p w14:paraId="58902922" w14:textId="77777777" w:rsidR="00392F07" w:rsidRPr="00B03B68" w:rsidRDefault="00392F07" w:rsidP="00392F07">
      <w:r w:rsidRPr="000871F7">
        <w:t xml:space="preserve">The </w:t>
      </w:r>
      <w:r>
        <w:t xml:space="preserve">Delegate </w:t>
      </w:r>
      <w:r w:rsidRPr="00F34CCF">
        <w:rPr>
          <w:rFonts w:cs="Arial"/>
        </w:rPr>
        <w:t xml:space="preserve">received an application </w:t>
      </w:r>
      <w:r w:rsidRPr="000871F7">
        <w:t xml:space="preserve">to create a new </w:t>
      </w:r>
      <w:r>
        <w:t xml:space="preserve">Schedule 5 entry for the use of nicotinic acid as an agricultural chemical and to amend the Schedule 4 entry to include preparations for animal therapeutic use when packed and labelled for injection. </w:t>
      </w:r>
    </w:p>
    <w:p w14:paraId="2D86F23E" w14:textId="77777777" w:rsidR="00392F07" w:rsidRDefault="00392F07" w:rsidP="00392F07">
      <w:pPr>
        <w:pStyle w:val="Heading4"/>
      </w:pPr>
      <w:bookmarkStart w:id="18" w:name="_Toc183342396"/>
      <w:bookmarkStart w:id="19" w:name="_Toc184826047"/>
      <w:r w:rsidRPr="00B03B68">
        <w:t>Interim decision</w:t>
      </w:r>
      <w:bookmarkEnd w:id="18"/>
      <w:bookmarkEnd w:id="19"/>
    </w:p>
    <w:p w14:paraId="61A2C69A" w14:textId="4ED3FCD6" w:rsidR="00132F02" w:rsidRPr="00721DB5" w:rsidRDefault="00392F07" w:rsidP="00392F07">
      <w:pPr>
        <w:rPr>
          <w:rFonts w:cs="Arial"/>
        </w:rPr>
      </w:pPr>
      <w:r w:rsidRPr="00721DB5">
        <w:rPr>
          <w:rFonts w:cs="Arial"/>
        </w:rPr>
        <w:t xml:space="preserve">Pursuant to </w:t>
      </w:r>
      <w:r>
        <w:rPr>
          <w:rFonts w:cs="Arial"/>
        </w:rPr>
        <w:t xml:space="preserve">regulation </w:t>
      </w:r>
      <w:r w:rsidRPr="009403E7">
        <w:rPr>
          <w:rFonts w:cs="Arial"/>
        </w:rPr>
        <w:t>42ZCZV</w:t>
      </w:r>
      <w:r>
        <w:rPr>
          <w:rFonts w:cs="Arial"/>
        </w:rPr>
        <w:t xml:space="preserve"> of the Regulations</w:t>
      </w:r>
      <w:r w:rsidRPr="00721DB5">
        <w:rPr>
          <w:rFonts w:cs="Arial"/>
        </w:rPr>
        <w:t>, a Delegate of the Secretary has made a</w:t>
      </w:r>
      <w:r>
        <w:rPr>
          <w:rFonts w:cs="Arial"/>
        </w:rPr>
        <w:t>n interim</w:t>
      </w:r>
      <w:r w:rsidRPr="00721DB5">
        <w:rPr>
          <w:rFonts w:cs="Arial"/>
        </w:rPr>
        <w:t xml:space="preserve"> decision to amend the current Poisons Standard in relation to </w:t>
      </w:r>
      <w:r>
        <w:rPr>
          <w:rFonts w:cs="Arial"/>
        </w:rPr>
        <w:t xml:space="preserve">nicotinic acid </w:t>
      </w:r>
      <w:r w:rsidRPr="00721DB5">
        <w:rPr>
          <w:rFonts w:cs="Arial"/>
        </w:rPr>
        <w:t>as follows:</w:t>
      </w:r>
      <w:r w:rsidRPr="00721DB5">
        <w:rPr>
          <w:rStyle w:val="FootnoteReference"/>
          <w:rFonts w:cs="Arial"/>
        </w:rPr>
        <w:footnoteReference w:id="3"/>
      </w:r>
    </w:p>
    <w:p w14:paraId="256D01E1" w14:textId="77777777" w:rsidR="00392F07" w:rsidRDefault="00392F07" w:rsidP="00392F07">
      <w:pPr>
        <w:spacing w:before="100" w:beforeAutospacing="1"/>
        <w:ind w:left="425"/>
        <w:rPr>
          <w:rFonts w:cs="Arial"/>
          <w:b/>
          <w:bCs/>
        </w:rPr>
      </w:pPr>
      <w:r>
        <w:rPr>
          <w:rFonts w:cs="Arial"/>
          <w:b/>
          <w:bCs/>
        </w:rPr>
        <w:t xml:space="preserve">Schedule 5 – New Entry </w:t>
      </w:r>
    </w:p>
    <w:p w14:paraId="61EDD0C1" w14:textId="77777777" w:rsidR="00392F07" w:rsidRPr="00815718" w:rsidRDefault="00392F07" w:rsidP="00392F07">
      <w:pPr>
        <w:pStyle w:val="ScheduleA"/>
        <w:tabs>
          <w:tab w:val="clear" w:pos="2977"/>
        </w:tabs>
        <w:spacing w:after="120" w:line="259" w:lineRule="auto"/>
        <w:ind w:left="709" w:right="0" w:firstLine="0"/>
        <w:jc w:val="both"/>
        <w:rPr>
          <w:rFonts w:ascii="Arial" w:hAnsi="Arial" w:cs="Arial"/>
          <w:color w:val="00B050"/>
          <w:sz w:val="20"/>
          <w:szCs w:val="20"/>
          <w:u w:val="single"/>
        </w:rPr>
      </w:pPr>
      <w:r w:rsidRPr="003C7191">
        <w:rPr>
          <w:rFonts w:ascii="Arial" w:hAnsi="Arial" w:cs="Arial"/>
          <w:color w:val="00B050"/>
          <w:sz w:val="20"/>
          <w:szCs w:val="20"/>
          <w:u w:val="single"/>
        </w:rPr>
        <w:t>NICOTINIC ACID when packed and labelled for use as an agricultural chemical.</w:t>
      </w:r>
    </w:p>
    <w:p w14:paraId="7B6E68E8" w14:textId="77777777" w:rsidR="00392F07" w:rsidRDefault="00392F07" w:rsidP="00392F07">
      <w:pPr>
        <w:ind w:left="425"/>
        <w:rPr>
          <w:rFonts w:cs="Arial"/>
        </w:rPr>
      </w:pPr>
      <w:r w:rsidRPr="00075E2D">
        <w:rPr>
          <w:rFonts w:cs="Arial"/>
          <w:b/>
          <w:bCs/>
        </w:rPr>
        <w:t xml:space="preserve">Schedule </w:t>
      </w:r>
      <w:r w:rsidRPr="00473FE8">
        <w:rPr>
          <w:rFonts w:cs="Arial"/>
          <w:b/>
          <w:bCs/>
        </w:rPr>
        <w:t>4 – Amend Entry</w:t>
      </w:r>
    </w:p>
    <w:p w14:paraId="55BB8298" w14:textId="77777777" w:rsidR="00392F07" w:rsidRPr="00694F18" w:rsidRDefault="00392F07" w:rsidP="00392F07">
      <w:pPr>
        <w:ind w:left="709"/>
        <w:rPr>
          <w:rFonts w:cs="Arial"/>
        </w:rPr>
      </w:pPr>
      <w:r w:rsidRPr="00694F18">
        <w:rPr>
          <w:rFonts w:cs="Arial"/>
        </w:rPr>
        <w:t>NICOTINIC ACID in preparations:</w:t>
      </w:r>
    </w:p>
    <w:p w14:paraId="158DD3DE" w14:textId="5B3B74F9" w:rsidR="00392F07" w:rsidRPr="00132F02" w:rsidRDefault="00392F07" w:rsidP="00B732C4">
      <w:pPr>
        <w:pStyle w:val="ListParagraph"/>
        <w:numPr>
          <w:ilvl w:val="0"/>
          <w:numId w:val="25"/>
        </w:numPr>
        <w:tabs>
          <w:tab w:val="num" w:pos="5038"/>
        </w:tabs>
        <w:spacing w:line="360" w:lineRule="auto"/>
        <w:ind w:left="1145" w:hanging="357"/>
        <w:rPr>
          <w:rFonts w:cs="Arial"/>
        </w:rPr>
      </w:pPr>
      <w:r w:rsidRPr="00132F02">
        <w:rPr>
          <w:rFonts w:cs="Arial"/>
        </w:rPr>
        <w:t xml:space="preserve">for human therapeutic use </w:t>
      </w:r>
      <w:r w:rsidRPr="00132F02">
        <w:rPr>
          <w:rFonts w:cs="Arial"/>
          <w:b/>
          <w:bCs/>
        </w:rPr>
        <w:t>except:</w:t>
      </w:r>
    </w:p>
    <w:p w14:paraId="0B9CAF1D" w14:textId="77777777" w:rsidR="00132F02" w:rsidRDefault="00392F07" w:rsidP="00B732C4">
      <w:pPr>
        <w:pStyle w:val="ListParagraph"/>
        <w:numPr>
          <w:ilvl w:val="0"/>
          <w:numId w:val="26"/>
        </w:numPr>
        <w:tabs>
          <w:tab w:val="left" w:pos="1440"/>
        </w:tabs>
        <w:spacing w:after="120" w:line="360" w:lineRule="auto"/>
        <w:rPr>
          <w:rFonts w:cs="Arial"/>
        </w:rPr>
      </w:pPr>
      <w:r w:rsidRPr="00132F02">
        <w:rPr>
          <w:rFonts w:cs="Arial"/>
        </w:rPr>
        <w:t>when separately specified in these Schedules; or</w:t>
      </w:r>
    </w:p>
    <w:p w14:paraId="456A9E08" w14:textId="77777777" w:rsidR="00132F02" w:rsidRDefault="00392F07" w:rsidP="00B732C4">
      <w:pPr>
        <w:pStyle w:val="ListParagraph"/>
        <w:numPr>
          <w:ilvl w:val="0"/>
          <w:numId w:val="26"/>
        </w:numPr>
        <w:tabs>
          <w:tab w:val="left" w:pos="1440"/>
        </w:tabs>
        <w:spacing w:after="120" w:line="360" w:lineRule="auto"/>
        <w:rPr>
          <w:rFonts w:cs="Arial"/>
        </w:rPr>
      </w:pPr>
      <w:r w:rsidRPr="00132F02">
        <w:rPr>
          <w:rFonts w:cs="Arial"/>
        </w:rPr>
        <w:t>in preparations containing 100 mg or less of nicotinic acid per dosage unit; or</w:t>
      </w:r>
    </w:p>
    <w:p w14:paraId="19D52781" w14:textId="37F176E2" w:rsidR="00392F07" w:rsidRPr="00132F02" w:rsidRDefault="00392F07" w:rsidP="00B732C4">
      <w:pPr>
        <w:pStyle w:val="ListParagraph"/>
        <w:numPr>
          <w:ilvl w:val="0"/>
          <w:numId w:val="26"/>
        </w:numPr>
        <w:tabs>
          <w:tab w:val="left" w:pos="1440"/>
        </w:tabs>
        <w:spacing w:after="120" w:line="360" w:lineRule="auto"/>
        <w:rPr>
          <w:rFonts w:cs="Arial"/>
        </w:rPr>
      </w:pPr>
      <w:r w:rsidRPr="00132F02">
        <w:rPr>
          <w:rFonts w:cs="Arial"/>
        </w:rPr>
        <w:t>nicotinamide.</w:t>
      </w:r>
    </w:p>
    <w:p w14:paraId="21594B65" w14:textId="43022D8F" w:rsidR="00392F07" w:rsidRPr="00B732C4" w:rsidRDefault="00392F07" w:rsidP="00B732C4">
      <w:pPr>
        <w:pStyle w:val="ListParagraph"/>
        <w:numPr>
          <w:ilvl w:val="0"/>
          <w:numId w:val="25"/>
        </w:numPr>
        <w:ind w:left="1145" w:hanging="357"/>
        <w:rPr>
          <w:color w:val="00B050"/>
          <w:u w:val="single"/>
        </w:rPr>
      </w:pPr>
      <w:r w:rsidRPr="00B732C4">
        <w:rPr>
          <w:color w:val="00B050"/>
          <w:u w:val="single"/>
        </w:rPr>
        <w:t>for animal therapeutic use when packed and labelled for injection.</w:t>
      </w:r>
    </w:p>
    <w:p w14:paraId="79AE18C3" w14:textId="77777777" w:rsidR="00392F07" w:rsidRPr="00C34F1B" w:rsidRDefault="00392F07" w:rsidP="00392F07">
      <w:pPr>
        <w:ind w:left="425"/>
      </w:pPr>
      <w:r w:rsidRPr="00B653E0">
        <w:rPr>
          <w:b/>
          <w:bCs/>
        </w:rPr>
        <w:lastRenderedPageBreak/>
        <w:t>Index – Amend entry</w:t>
      </w:r>
    </w:p>
    <w:p w14:paraId="26F8DE16" w14:textId="77777777" w:rsidR="00392F07" w:rsidRPr="00B653E0" w:rsidRDefault="00392F07" w:rsidP="00392F07">
      <w:pPr>
        <w:ind w:left="709"/>
        <w:contextualSpacing/>
        <w:rPr>
          <w:b/>
          <w:bCs/>
        </w:rPr>
      </w:pPr>
      <w:r w:rsidRPr="00514CC4">
        <w:rPr>
          <w:b/>
          <w:bCs/>
        </w:rPr>
        <w:t>NIC</w:t>
      </w:r>
      <w:r w:rsidRPr="00B653E0">
        <w:rPr>
          <w:b/>
          <w:bCs/>
        </w:rPr>
        <w:t xml:space="preserve">OTINIC ACID </w:t>
      </w:r>
    </w:p>
    <w:p w14:paraId="346CC58A" w14:textId="77777777" w:rsidR="00392F07" w:rsidRDefault="00392F07" w:rsidP="00392F07">
      <w:pPr>
        <w:ind w:left="709"/>
        <w:contextualSpacing/>
      </w:pPr>
      <w:r w:rsidRPr="00514CC4">
        <w:t>cross reference: NICOTINAMIDE</w:t>
      </w:r>
    </w:p>
    <w:p w14:paraId="4BE306EA" w14:textId="77777777" w:rsidR="00392F07" w:rsidRPr="00B653E0" w:rsidRDefault="00392F07" w:rsidP="00392F07">
      <w:pPr>
        <w:ind w:left="709"/>
      </w:pPr>
      <w:r w:rsidRPr="00C34F1B">
        <w:rPr>
          <w:color w:val="00B050"/>
          <w:u w:val="single"/>
        </w:rPr>
        <w:t xml:space="preserve">Schedule </w:t>
      </w:r>
      <w:r>
        <w:rPr>
          <w:color w:val="00B050"/>
          <w:u w:val="single"/>
        </w:rPr>
        <w:t>5</w:t>
      </w:r>
      <w:r w:rsidRPr="00E2181E">
        <w:br/>
      </w:r>
      <w:r w:rsidRPr="00B653E0">
        <w:t xml:space="preserve">Schedule </w:t>
      </w:r>
      <w:r>
        <w:t>4</w:t>
      </w:r>
      <w:r>
        <w:br/>
        <w:t>Schedule 3</w:t>
      </w:r>
    </w:p>
    <w:p w14:paraId="5F8D194B" w14:textId="77777777" w:rsidR="00392F07" w:rsidRPr="00B03B68" w:rsidRDefault="00392F07" w:rsidP="00392F07">
      <w:pPr>
        <w:pStyle w:val="Heading4"/>
      </w:pPr>
      <w:bookmarkStart w:id="20" w:name="_Toc183342397"/>
      <w:bookmarkStart w:id="21" w:name="_Toc184826048"/>
      <w:r w:rsidRPr="00B03B68">
        <w:t>Materials considered</w:t>
      </w:r>
      <w:bookmarkEnd w:id="20"/>
      <w:bookmarkEnd w:id="21"/>
    </w:p>
    <w:p w14:paraId="43104DBA" w14:textId="77777777" w:rsidR="00392F07" w:rsidRPr="00B03B68" w:rsidRDefault="00392F07" w:rsidP="00392F07">
      <w:r w:rsidRPr="00B03B68">
        <w:t>In making this interim decision, the Delegate considered the following material:</w:t>
      </w:r>
    </w:p>
    <w:p w14:paraId="6382BF98" w14:textId="77777777" w:rsidR="00392F07" w:rsidRPr="00720870" w:rsidRDefault="00392F07" w:rsidP="00B732C4">
      <w:pPr>
        <w:pStyle w:val="ListBullet"/>
        <w:numPr>
          <w:ilvl w:val="0"/>
          <w:numId w:val="25"/>
        </w:numPr>
        <w:ind w:left="357" w:hanging="357"/>
        <w:rPr>
          <w:rFonts w:cs="Arial"/>
        </w:rPr>
      </w:pPr>
      <w:r w:rsidRPr="00F34CCF">
        <w:t>The application to amend the current Poisons Standard with respect to nic</w:t>
      </w:r>
      <w:r>
        <w:t>otinic acid</w:t>
      </w:r>
      <w:r w:rsidRPr="00F34CCF">
        <w:t xml:space="preserve"> (the </w:t>
      </w:r>
      <w:r w:rsidRPr="00B653E0">
        <w:rPr>
          <w:b/>
          <w:bCs/>
        </w:rPr>
        <w:t>Application</w:t>
      </w:r>
      <w:r w:rsidRPr="00F34CCF">
        <w:t>)</w:t>
      </w:r>
    </w:p>
    <w:p w14:paraId="29FD210F" w14:textId="77777777" w:rsidR="00392F07" w:rsidRPr="001C3E09" w:rsidRDefault="00392F07" w:rsidP="00B732C4">
      <w:pPr>
        <w:pStyle w:val="ListBullet"/>
        <w:numPr>
          <w:ilvl w:val="0"/>
          <w:numId w:val="25"/>
        </w:numPr>
        <w:ind w:left="357" w:hanging="357"/>
      </w:pPr>
      <w:r w:rsidRPr="001C3E09">
        <w:t xml:space="preserve">Subsection 52E(1) of </w:t>
      </w:r>
      <w:r w:rsidRPr="001C3E09">
        <w:rPr>
          <w:i/>
        </w:rPr>
        <w:t>the Therapeutic Goods Act 1989</w:t>
      </w:r>
      <w:r w:rsidRPr="001C3E09">
        <w:t xml:space="preserve">,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 </w:t>
      </w:r>
    </w:p>
    <w:p w14:paraId="6EE9F312" w14:textId="77777777" w:rsidR="00392F07" w:rsidRPr="001C3E09" w:rsidRDefault="00392F07" w:rsidP="00B732C4">
      <w:pPr>
        <w:pStyle w:val="ListBullet"/>
        <w:numPr>
          <w:ilvl w:val="0"/>
          <w:numId w:val="25"/>
        </w:numPr>
        <w:ind w:left="357" w:hanging="357"/>
      </w:pPr>
      <w:r>
        <w:t>T</w:t>
      </w:r>
      <w:r w:rsidRPr="001C3E09">
        <w:t>he SPF, and</w:t>
      </w:r>
    </w:p>
    <w:p w14:paraId="201EE357" w14:textId="77777777" w:rsidR="00392F07" w:rsidRPr="001C3E09" w:rsidRDefault="00392F07" w:rsidP="00B732C4">
      <w:pPr>
        <w:pStyle w:val="ListBullet"/>
        <w:numPr>
          <w:ilvl w:val="0"/>
          <w:numId w:val="25"/>
        </w:numPr>
        <w:ind w:left="357" w:hanging="357"/>
      </w:pPr>
      <w:r w:rsidRPr="001C3E09">
        <w:t>The Handbook.</w:t>
      </w:r>
    </w:p>
    <w:p w14:paraId="5C04465D" w14:textId="77777777" w:rsidR="00392F07" w:rsidRPr="00B03B68" w:rsidRDefault="00392F07" w:rsidP="00392F07">
      <w:pPr>
        <w:pStyle w:val="Heading4"/>
      </w:pPr>
      <w:bookmarkStart w:id="22" w:name="_Toc183342398"/>
      <w:bookmarkStart w:id="23" w:name="_Toc184826049"/>
      <w:r w:rsidRPr="00B03B68">
        <w:t>Reasons for the interim decision (including findings on material questions of fact)</w:t>
      </w:r>
      <w:bookmarkEnd w:id="22"/>
      <w:bookmarkEnd w:id="23"/>
    </w:p>
    <w:p w14:paraId="2B0C3BBF" w14:textId="77777777" w:rsidR="00392F07" w:rsidRPr="003C7191" w:rsidRDefault="00392F07" w:rsidP="00392F07">
      <w:pPr>
        <w:pStyle w:val="ScheduleA"/>
        <w:tabs>
          <w:tab w:val="clear" w:pos="2977"/>
        </w:tabs>
        <w:spacing w:after="120" w:line="259" w:lineRule="auto"/>
        <w:ind w:left="0" w:right="0" w:firstLine="0"/>
        <w:rPr>
          <w:rFonts w:ascii="Arial" w:hAnsi="Arial" w:cs="Arial"/>
          <w:sz w:val="20"/>
          <w:szCs w:val="20"/>
        </w:rPr>
      </w:pPr>
      <w:r w:rsidRPr="003C7191">
        <w:rPr>
          <w:rFonts w:ascii="Arial" w:hAnsi="Arial" w:cs="Arial"/>
          <w:sz w:val="20"/>
          <w:szCs w:val="20"/>
        </w:rPr>
        <w:t xml:space="preserve">I have </w:t>
      </w:r>
      <w:r>
        <w:rPr>
          <w:rFonts w:ascii="Arial" w:hAnsi="Arial" w:cs="Arial"/>
          <w:sz w:val="20"/>
          <w:szCs w:val="20"/>
        </w:rPr>
        <w:t xml:space="preserve">made an interim </w:t>
      </w:r>
      <w:r w:rsidRPr="003C7191">
        <w:rPr>
          <w:rFonts w:ascii="Arial" w:hAnsi="Arial" w:cs="Arial"/>
          <w:sz w:val="20"/>
          <w:szCs w:val="20"/>
        </w:rPr>
        <w:t>deci</w:t>
      </w:r>
      <w:r>
        <w:rPr>
          <w:rFonts w:ascii="Arial" w:hAnsi="Arial" w:cs="Arial"/>
          <w:sz w:val="20"/>
          <w:szCs w:val="20"/>
        </w:rPr>
        <w:t>sion</w:t>
      </w:r>
      <w:r w:rsidRPr="003C7191">
        <w:rPr>
          <w:rFonts w:ascii="Arial" w:hAnsi="Arial" w:cs="Arial"/>
          <w:sz w:val="20"/>
          <w:szCs w:val="20"/>
        </w:rPr>
        <w:t xml:space="preserve"> to amend the entry in Schedule 4 and create a new entry in </w:t>
      </w:r>
      <w:r>
        <w:rPr>
          <w:rFonts w:ascii="Arial" w:hAnsi="Arial" w:cs="Arial"/>
          <w:sz w:val="20"/>
          <w:szCs w:val="20"/>
        </w:rPr>
        <w:br/>
      </w:r>
      <w:r w:rsidRPr="003C7191">
        <w:rPr>
          <w:rFonts w:ascii="Arial" w:hAnsi="Arial" w:cs="Arial"/>
          <w:sz w:val="20"/>
          <w:szCs w:val="20"/>
        </w:rPr>
        <w:t xml:space="preserve">Schedule 5 in </w:t>
      </w:r>
      <w:r>
        <w:rPr>
          <w:rFonts w:ascii="Arial" w:hAnsi="Arial" w:cs="Arial"/>
          <w:sz w:val="20"/>
          <w:szCs w:val="20"/>
        </w:rPr>
        <w:t>relation to nicotinic acid</w:t>
      </w:r>
      <w:r w:rsidRPr="003C7191">
        <w:rPr>
          <w:rFonts w:ascii="Arial" w:hAnsi="Arial" w:cs="Arial"/>
          <w:sz w:val="20"/>
          <w:szCs w:val="20"/>
        </w:rPr>
        <w:t xml:space="preserve">. </w:t>
      </w:r>
      <w:r>
        <w:rPr>
          <w:rFonts w:ascii="Arial" w:hAnsi="Arial" w:cs="Arial"/>
          <w:sz w:val="20"/>
          <w:szCs w:val="20"/>
        </w:rPr>
        <w:t>V</w:t>
      </w:r>
      <w:r w:rsidRPr="003C7191">
        <w:rPr>
          <w:rFonts w:ascii="Arial" w:hAnsi="Arial" w:cs="Arial"/>
          <w:sz w:val="20"/>
          <w:szCs w:val="20"/>
        </w:rPr>
        <w:t xml:space="preserve">eterinary and agricultural use of nicotinic acid have not been previously considered for scheduling. I have found the use of nicotinic acid as an agricultural chemical </w:t>
      </w:r>
      <w:r>
        <w:rPr>
          <w:rFonts w:ascii="Arial" w:hAnsi="Arial" w:cs="Arial"/>
          <w:sz w:val="20"/>
          <w:szCs w:val="20"/>
        </w:rPr>
        <w:t>to have</w:t>
      </w:r>
      <w:r w:rsidRPr="003C7191">
        <w:rPr>
          <w:rFonts w:ascii="Arial" w:hAnsi="Arial" w:cs="Arial"/>
          <w:sz w:val="20"/>
          <w:szCs w:val="20"/>
        </w:rPr>
        <w:t xml:space="preserve"> a low potential for causing harm and is consistent with </w:t>
      </w:r>
      <w:r>
        <w:rPr>
          <w:rFonts w:ascii="Arial" w:hAnsi="Arial" w:cs="Arial"/>
          <w:sz w:val="20"/>
          <w:szCs w:val="20"/>
        </w:rPr>
        <w:t xml:space="preserve">the factors for </w:t>
      </w:r>
      <w:r w:rsidRPr="003C7191">
        <w:rPr>
          <w:rFonts w:ascii="Arial" w:hAnsi="Arial" w:cs="Arial"/>
          <w:sz w:val="20"/>
          <w:szCs w:val="20"/>
        </w:rPr>
        <w:t>Schedul</w:t>
      </w:r>
      <w:r>
        <w:rPr>
          <w:rFonts w:ascii="Arial" w:hAnsi="Arial" w:cs="Arial"/>
          <w:sz w:val="20"/>
          <w:szCs w:val="20"/>
        </w:rPr>
        <w:t xml:space="preserve">e </w:t>
      </w:r>
      <w:r w:rsidRPr="003C7191">
        <w:rPr>
          <w:rFonts w:ascii="Arial" w:hAnsi="Arial" w:cs="Arial"/>
          <w:sz w:val="20"/>
          <w:szCs w:val="20"/>
        </w:rPr>
        <w:t>5</w:t>
      </w:r>
      <w:r>
        <w:rPr>
          <w:rFonts w:ascii="Arial" w:hAnsi="Arial" w:cs="Arial"/>
          <w:sz w:val="20"/>
          <w:szCs w:val="20"/>
        </w:rPr>
        <w:t xml:space="preserve"> with appropriate labelling</w:t>
      </w:r>
      <w:r w:rsidRPr="003C7191">
        <w:rPr>
          <w:rFonts w:ascii="Arial" w:hAnsi="Arial" w:cs="Arial"/>
          <w:sz w:val="20"/>
          <w:szCs w:val="20"/>
        </w:rPr>
        <w:t xml:space="preserve">. </w:t>
      </w:r>
      <w:r>
        <w:rPr>
          <w:rFonts w:ascii="Arial" w:hAnsi="Arial" w:cs="Arial"/>
          <w:sz w:val="20"/>
          <w:szCs w:val="20"/>
        </w:rPr>
        <w:t>I have also decided to</w:t>
      </w:r>
      <w:r w:rsidRPr="003C7191">
        <w:rPr>
          <w:rFonts w:ascii="Arial" w:hAnsi="Arial" w:cs="Arial"/>
          <w:sz w:val="20"/>
          <w:szCs w:val="20"/>
        </w:rPr>
        <w:t xml:space="preserve"> require veterinary oversight f</w:t>
      </w:r>
      <w:r>
        <w:rPr>
          <w:rFonts w:ascii="Arial" w:hAnsi="Arial" w:cs="Arial"/>
          <w:sz w:val="20"/>
          <w:szCs w:val="20"/>
        </w:rPr>
        <w:t>or</w:t>
      </w:r>
      <w:r w:rsidRPr="003C7191">
        <w:rPr>
          <w:rFonts w:ascii="Arial" w:hAnsi="Arial" w:cs="Arial"/>
          <w:sz w:val="20"/>
          <w:szCs w:val="20"/>
        </w:rPr>
        <w:t xml:space="preserve"> injectable formulations </w:t>
      </w:r>
      <w:r>
        <w:rPr>
          <w:rFonts w:ascii="Arial" w:hAnsi="Arial" w:cs="Arial"/>
          <w:sz w:val="20"/>
          <w:szCs w:val="20"/>
        </w:rPr>
        <w:t>containing</w:t>
      </w:r>
      <w:r w:rsidRPr="003C7191">
        <w:rPr>
          <w:rFonts w:ascii="Arial" w:hAnsi="Arial" w:cs="Arial"/>
          <w:sz w:val="20"/>
          <w:szCs w:val="20"/>
        </w:rPr>
        <w:t xml:space="preserve"> nicotinic acid</w:t>
      </w:r>
      <w:r>
        <w:rPr>
          <w:rFonts w:ascii="Arial" w:hAnsi="Arial" w:cs="Arial"/>
          <w:sz w:val="20"/>
          <w:szCs w:val="20"/>
        </w:rPr>
        <w:t xml:space="preserve"> that are used</w:t>
      </w:r>
      <w:r w:rsidRPr="003C7191">
        <w:rPr>
          <w:rFonts w:ascii="Arial" w:hAnsi="Arial" w:cs="Arial"/>
          <w:sz w:val="20"/>
          <w:szCs w:val="20"/>
        </w:rPr>
        <w:t xml:space="preserve"> for</w:t>
      </w:r>
      <w:r>
        <w:rPr>
          <w:rFonts w:ascii="Arial" w:hAnsi="Arial" w:cs="Arial"/>
          <w:sz w:val="20"/>
          <w:szCs w:val="20"/>
        </w:rPr>
        <w:t xml:space="preserve"> animal</w:t>
      </w:r>
      <w:r w:rsidRPr="003C7191">
        <w:rPr>
          <w:rFonts w:ascii="Arial" w:hAnsi="Arial" w:cs="Arial"/>
          <w:sz w:val="20"/>
          <w:szCs w:val="20"/>
        </w:rPr>
        <w:t xml:space="preserve"> therapeutic use</w:t>
      </w:r>
      <w:r>
        <w:rPr>
          <w:rFonts w:ascii="Arial" w:hAnsi="Arial" w:cs="Arial"/>
          <w:sz w:val="20"/>
          <w:szCs w:val="20"/>
        </w:rPr>
        <w:t xml:space="preserve"> due to</w:t>
      </w:r>
      <w:r w:rsidRPr="003C7191">
        <w:rPr>
          <w:rFonts w:ascii="Arial" w:hAnsi="Arial" w:cs="Arial"/>
          <w:sz w:val="20"/>
          <w:szCs w:val="20"/>
        </w:rPr>
        <w:t xml:space="preserve"> </w:t>
      </w:r>
      <w:r>
        <w:rPr>
          <w:rFonts w:ascii="Arial" w:hAnsi="Arial" w:cs="Arial"/>
          <w:sz w:val="20"/>
          <w:szCs w:val="20"/>
        </w:rPr>
        <w:t xml:space="preserve">the risks, and complexity, of this dosage form. </w:t>
      </w:r>
    </w:p>
    <w:p w14:paraId="0F5CDFB0" w14:textId="77777777" w:rsidR="00392F07" w:rsidRPr="003C7191" w:rsidRDefault="00392F07" w:rsidP="00392F07">
      <w:pPr>
        <w:spacing w:before="240"/>
        <w:jc w:val="both"/>
        <w:rPr>
          <w:rFonts w:cs="Arial"/>
          <w:u w:val="single"/>
        </w:rPr>
      </w:pPr>
      <w:bookmarkStart w:id="24" w:name="_Hlk183457045"/>
      <w:r w:rsidRPr="003C7191">
        <w:rPr>
          <w:rFonts w:cs="Arial"/>
          <w:u w:val="single"/>
        </w:rPr>
        <w:t>Agricultural use of nicotinic acid</w:t>
      </w:r>
    </w:p>
    <w:bookmarkEnd w:id="24"/>
    <w:p w14:paraId="78FE197B" w14:textId="43FD2CA6" w:rsidR="00392F07" w:rsidRPr="003C7191" w:rsidRDefault="00392F07" w:rsidP="00392F07">
      <w:pPr>
        <w:rPr>
          <w:rFonts w:cs="Arial"/>
        </w:rPr>
      </w:pPr>
      <w:r>
        <w:rPr>
          <w:rFonts w:cs="Arial"/>
        </w:rPr>
        <w:t>In relation to s 52E(1)(a) and (b) of the Act, t</w:t>
      </w:r>
      <w:r w:rsidRPr="003C7191">
        <w:rPr>
          <w:rFonts w:cs="Arial"/>
        </w:rPr>
        <w:t>he proposal</w:t>
      </w:r>
      <w:r>
        <w:rPr>
          <w:rFonts w:cs="Arial"/>
        </w:rPr>
        <w:t xml:space="preserve"> is for</w:t>
      </w:r>
      <w:r w:rsidRPr="003C7191">
        <w:rPr>
          <w:rFonts w:cs="Arial"/>
        </w:rPr>
        <w:t xml:space="preserve"> </w:t>
      </w:r>
      <w:r>
        <w:rPr>
          <w:rFonts w:cs="Arial"/>
        </w:rPr>
        <w:t xml:space="preserve">the </w:t>
      </w:r>
      <w:r w:rsidRPr="003C7191">
        <w:rPr>
          <w:rFonts w:cs="Arial"/>
        </w:rPr>
        <w:t xml:space="preserve">first-time use of nicotinic </w:t>
      </w:r>
      <w:bookmarkStart w:id="25" w:name="_Hlk183457276"/>
      <w:r w:rsidRPr="003C7191">
        <w:rPr>
          <w:rFonts w:cs="Arial"/>
        </w:rPr>
        <w:t xml:space="preserve">acid </w:t>
      </w:r>
      <w:r>
        <w:rPr>
          <w:rFonts w:cs="Arial"/>
        </w:rPr>
        <w:t>as</w:t>
      </w:r>
      <w:r w:rsidRPr="003C7191">
        <w:rPr>
          <w:rFonts w:cs="Arial"/>
        </w:rPr>
        <w:t xml:space="preserve"> an </w:t>
      </w:r>
      <w:r>
        <w:rPr>
          <w:rFonts w:cs="Arial"/>
        </w:rPr>
        <w:t xml:space="preserve">active ingredient in an herbicidal formulation. </w:t>
      </w:r>
      <w:bookmarkEnd w:id="25"/>
      <w:r>
        <w:rPr>
          <w:rFonts w:cs="Arial"/>
        </w:rPr>
        <w:t xml:space="preserve">It has been proposed for professional use as a </w:t>
      </w:r>
      <w:r w:rsidR="00B732C4">
        <w:rPr>
          <w:rFonts w:cs="Arial"/>
        </w:rPr>
        <w:t>synergist, to</w:t>
      </w:r>
      <w:r>
        <w:rPr>
          <w:rFonts w:cs="Arial"/>
        </w:rPr>
        <w:t xml:space="preserve"> enhance the effectiveness of the herbicide in the formulation. I note that nicotinic acid itself does not have herbicidal activity. </w:t>
      </w:r>
      <w:r w:rsidRPr="003C7191">
        <w:rPr>
          <w:rFonts w:cs="Arial"/>
        </w:rPr>
        <w:t>Th</w:t>
      </w:r>
      <w:r>
        <w:rPr>
          <w:rFonts w:cs="Arial"/>
        </w:rPr>
        <w:t>is use of nicotinic acid is intended</w:t>
      </w:r>
      <w:r w:rsidRPr="003C7191">
        <w:rPr>
          <w:rFonts w:cs="Arial"/>
        </w:rPr>
        <w:t xml:space="preserve"> to enhance the performance of the herbicide against a range of grass weeds in various food crops, turf and lawns.</w:t>
      </w:r>
    </w:p>
    <w:p w14:paraId="47248CE1" w14:textId="77777777" w:rsidR="00392F07" w:rsidRPr="003C7191" w:rsidRDefault="00392F07" w:rsidP="00392F07">
      <w:pPr>
        <w:rPr>
          <w:rFonts w:cs="Arial"/>
        </w:rPr>
      </w:pPr>
      <w:r>
        <w:rPr>
          <w:rFonts w:cs="Arial"/>
        </w:rPr>
        <w:t xml:space="preserve">I have reviewed the toxicity of nicotinic acid and its risks from the proposed agricultural use in accordance with s 52E(1)(a) and (c) of the Act. </w:t>
      </w:r>
      <w:r w:rsidRPr="003C7191">
        <w:rPr>
          <w:rFonts w:cs="Arial"/>
        </w:rPr>
        <w:t>Nicotinic acid is not a skin sensitiser or irritant but is a slight to moderate eye irritant. The toxicity profile of nicotinic acid</w:t>
      </w:r>
      <w:r>
        <w:rPr>
          <w:rFonts w:cs="Arial"/>
        </w:rPr>
        <w:t xml:space="preserve"> meets the following scheduling factors for Schedule 5: </w:t>
      </w:r>
    </w:p>
    <w:p w14:paraId="603D5DB1" w14:textId="77777777" w:rsidR="00392F07" w:rsidRPr="00CA7412" w:rsidRDefault="00392F07" w:rsidP="00392F07">
      <w:pPr>
        <w:pStyle w:val="BodyText"/>
        <w:numPr>
          <w:ilvl w:val="0"/>
          <w:numId w:val="24"/>
        </w:numPr>
        <w:spacing w:after="120" w:line="259" w:lineRule="auto"/>
        <w:rPr>
          <w:rFonts w:cs="Arial"/>
        </w:rPr>
      </w:pPr>
      <w:r w:rsidRPr="00B653E0">
        <w:rPr>
          <w:rFonts w:ascii="Arial" w:hAnsi="Arial" w:cs="Arial"/>
          <w:sz w:val="20"/>
          <w:szCs w:val="20"/>
        </w:rPr>
        <w:t xml:space="preserve">Nicotinic acid has a low health hazard consistent with Scheduling Factor 2 for Schedule 5 of the SPF. It is not genotoxic and did not produce maternal or foetal toxicity </w:t>
      </w:r>
      <w:r>
        <w:rPr>
          <w:rFonts w:ascii="Arial" w:hAnsi="Arial" w:cs="Arial"/>
          <w:sz w:val="20"/>
          <w:szCs w:val="20"/>
        </w:rPr>
        <w:t xml:space="preserve">at doses </w:t>
      </w:r>
      <w:r w:rsidRPr="00B653E0">
        <w:rPr>
          <w:rFonts w:ascii="Arial" w:hAnsi="Arial" w:cs="Arial"/>
          <w:sz w:val="20"/>
          <w:szCs w:val="20"/>
        </w:rPr>
        <w:t>up to 200</w:t>
      </w:r>
      <w:r>
        <w:rPr>
          <w:rFonts w:ascii="Arial" w:hAnsi="Arial" w:cs="Arial"/>
          <w:sz w:val="20"/>
          <w:szCs w:val="20"/>
        </w:rPr>
        <w:t> </w:t>
      </w:r>
      <w:r w:rsidRPr="00B653E0">
        <w:rPr>
          <w:rFonts w:ascii="Arial" w:hAnsi="Arial" w:cs="Arial"/>
          <w:sz w:val="20"/>
          <w:szCs w:val="20"/>
        </w:rPr>
        <w:t xml:space="preserve">mg/kg bw/d. The repeat dose toxicity data showed a no observed adverse effect level (NOAEL) of 50 mg/kg bw/day with effects at higher doses limited to slight changes in bodyweight and relative kidney size. </w:t>
      </w:r>
    </w:p>
    <w:p w14:paraId="2D4033DB" w14:textId="77777777" w:rsidR="00392F07" w:rsidRPr="008E42C9" w:rsidRDefault="00392F07" w:rsidP="00392F07">
      <w:pPr>
        <w:pStyle w:val="BodyText"/>
        <w:numPr>
          <w:ilvl w:val="0"/>
          <w:numId w:val="24"/>
        </w:numPr>
        <w:spacing w:after="120" w:line="259" w:lineRule="auto"/>
        <w:rPr>
          <w:rFonts w:cs="Arial"/>
        </w:rPr>
      </w:pPr>
      <w:r w:rsidRPr="00B347AB">
        <w:rPr>
          <w:rFonts w:ascii="Arial" w:hAnsi="Arial" w:cs="Arial"/>
          <w:sz w:val="20"/>
          <w:szCs w:val="20"/>
        </w:rPr>
        <w:t>The acute oral, dermal and inhalational toxicity values of nicotinic acid show it</w:t>
      </w:r>
      <w:r>
        <w:rPr>
          <w:rFonts w:ascii="Arial" w:hAnsi="Arial" w:cs="Arial"/>
          <w:sz w:val="20"/>
          <w:szCs w:val="20"/>
        </w:rPr>
        <w:t xml:space="preserve"> </w:t>
      </w:r>
      <w:r w:rsidRPr="008E42C9">
        <w:rPr>
          <w:rFonts w:ascii="Arial" w:hAnsi="Arial" w:cs="Arial"/>
          <w:sz w:val="20"/>
          <w:szCs w:val="20"/>
        </w:rPr>
        <w:t>h</w:t>
      </w:r>
      <w:r w:rsidRPr="00B347AB">
        <w:rPr>
          <w:rFonts w:ascii="Arial" w:hAnsi="Arial" w:cs="Arial"/>
          <w:sz w:val="20"/>
          <w:szCs w:val="20"/>
        </w:rPr>
        <w:t>as low toxicity</w:t>
      </w:r>
      <w:r>
        <w:rPr>
          <w:rFonts w:ascii="Arial" w:hAnsi="Arial" w:cs="Arial"/>
          <w:sz w:val="20"/>
          <w:szCs w:val="20"/>
        </w:rPr>
        <w:t>. In addition, it is non-corrosive</w:t>
      </w:r>
      <w:r w:rsidRPr="00B347AB">
        <w:rPr>
          <w:rFonts w:ascii="Arial" w:hAnsi="Arial" w:cs="Arial"/>
          <w:sz w:val="20"/>
          <w:szCs w:val="20"/>
        </w:rPr>
        <w:t>, which is aligned with Scheduling Factor 1 for Schedule 5 of the SPF.</w:t>
      </w:r>
    </w:p>
    <w:p w14:paraId="13122942" w14:textId="77777777" w:rsidR="00392F07" w:rsidRDefault="00392F07" w:rsidP="00392F07">
      <w:pPr>
        <w:rPr>
          <w:rFonts w:cs="Arial"/>
        </w:rPr>
      </w:pPr>
      <w:r>
        <w:rPr>
          <w:rFonts w:cs="Arial"/>
        </w:rPr>
        <w:t xml:space="preserve">In relation to s 52E(1)(d) of the Act, the proposed product contains 10 mg/kg of nicotinic acid in a water dispersible granule formulation in a range of pack sizes </w:t>
      </w:r>
      <w:r w:rsidRPr="003C7191">
        <w:rPr>
          <w:rFonts w:cs="Arial"/>
        </w:rPr>
        <w:t xml:space="preserve">from 250 g to 25 kg. The product will be </w:t>
      </w:r>
      <w:r w:rsidRPr="003C7191">
        <w:rPr>
          <w:rFonts w:cs="Arial"/>
        </w:rPr>
        <w:lastRenderedPageBreak/>
        <w:t xml:space="preserve">packed in </w:t>
      </w:r>
      <w:r w:rsidRPr="002512D4">
        <w:rPr>
          <w:rFonts w:cs="Arial"/>
        </w:rPr>
        <w:t>High Density Polyethylene</w:t>
      </w:r>
      <w:r>
        <w:rPr>
          <w:rFonts w:cs="Arial"/>
        </w:rPr>
        <w:t xml:space="preserve"> (</w:t>
      </w:r>
      <w:r w:rsidRPr="003C7191">
        <w:rPr>
          <w:rFonts w:cs="Arial"/>
        </w:rPr>
        <w:t>HDPE</w:t>
      </w:r>
      <w:r>
        <w:rPr>
          <w:rFonts w:cs="Arial"/>
        </w:rPr>
        <w:t>)</w:t>
      </w:r>
      <w:r w:rsidRPr="003C7191">
        <w:rPr>
          <w:rFonts w:cs="Arial"/>
        </w:rPr>
        <w:t xml:space="preserve"> containers with tamper evident closures with a self-adhesive labels and leaflets or directly printed on to the bags.</w:t>
      </w:r>
      <w:r>
        <w:rPr>
          <w:rFonts w:cs="Arial"/>
        </w:rPr>
        <w:t xml:space="preserve"> The product will be applied</w:t>
      </w:r>
      <w:r w:rsidRPr="00816265">
        <w:rPr>
          <w:rFonts w:cs="Arial"/>
        </w:rPr>
        <w:t xml:space="preserve"> at sowing and pre- and post-emergence of weeds using handheld or backpack sprayers or ground booms.</w:t>
      </w:r>
    </w:p>
    <w:p w14:paraId="3AC59481" w14:textId="77777777" w:rsidR="00392F07" w:rsidRDefault="00392F07" w:rsidP="00392F07">
      <w:pPr>
        <w:rPr>
          <w:rFonts w:cs="Arial"/>
        </w:rPr>
      </w:pPr>
      <w:r>
        <w:rPr>
          <w:rFonts w:cs="Arial"/>
        </w:rPr>
        <w:t xml:space="preserve">The product is intended for professional use and is to include specific warnings and appropriate label instructions overseen by the regulator (Australian Pesticides and Veterinary Medicines Authority). </w:t>
      </w:r>
      <w:r w:rsidRPr="00816265">
        <w:rPr>
          <w:rFonts w:cs="Arial"/>
        </w:rPr>
        <w:t>I note that the proposed herbicide product</w:t>
      </w:r>
      <w:r>
        <w:rPr>
          <w:rFonts w:cs="Arial"/>
        </w:rPr>
        <w:t>s that nicotinic acid is to be used with,</w:t>
      </w:r>
      <w:r w:rsidRPr="00816265">
        <w:rPr>
          <w:rFonts w:cs="Arial"/>
        </w:rPr>
        <w:t xml:space="preserve"> h</w:t>
      </w:r>
      <w:r>
        <w:rPr>
          <w:rFonts w:cs="Arial"/>
        </w:rPr>
        <w:t>ave</w:t>
      </w:r>
      <w:r w:rsidRPr="00816265">
        <w:rPr>
          <w:rFonts w:cs="Arial"/>
        </w:rPr>
        <w:t xml:space="preserve"> higher toxicit</w:t>
      </w:r>
      <w:r>
        <w:rPr>
          <w:rFonts w:cs="Arial"/>
        </w:rPr>
        <w:t>ies</w:t>
      </w:r>
      <w:r w:rsidRPr="00816265">
        <w:rPr>
          <w:rFonts w:cs="Arial"/>
        </w:rPr>
        <w:t xml:space="preserve"> arising from other ingredients</w:t>
      </w:r>
      <w:r>
        <w:rPr>
          <w:rFonts w:cs="Arial"/>
        </w:rPr>
        <w:t xml:space="preserve"> in their formulation. To minimise the risks to the user, safety measures such as wearing cotton overalls, goggles, and chemical resistant gloves will be required. Additionally, the APVMA will require buffer zones for ground boom applications to prevent bystander exposure. There will also be re-entry label statements that restrict access to treated areas until the product has dried. This precaution is particularly relevant to any turf and lawn applications in public areas, where the public may otherwise re-enter before the product has dried.</w:t>
      </w:r>
      <w:r>
        <w:t xml:space="preserve"> </w:t>
      </w:r>
    </w:p>
    <w:p w14:paraId="48DEF64C" w14:textId="77777777" w:rsidR="00392F07" w:rsidRPr="003C7191" w:rsidRDefault="00392F07" w:rsidP="00392F07">
      <w:pPr>
        <w:rPr>
          <w:rFonts w:cs="Arial"/>
        </w:rPr>
      </w:pPr>
      <w:r>
        <w:rPr>
          <w:rFonts w:cs="Arial"/>
        </w:rPr>
        <w:t>Due to the low toxicity of nicotinic acid and the proposed use pattern, I am of the view there is a</w:t>
      </w:r>
      <w:r w:rsidRPr="004B2D38">
        <w:rPr>
          <w:rFonts w:cs="Arial"/>
        </w:rPr>
        <w:t xml:space="preserve"> low potential for causing harm</w:t>
      </w:r>
      <w:r>
        <w:rPr>
          <w:rFonts w:cs="Arial"/>
        </w:rPr>
        <w:t xml:space="preserve">, </w:t>
      </w:r>
      <w:r w:rsidRPr="004B2D38">
        <w:rPr>
          <w:rFonts w:cs="Arial"/>
        </w:rPr>
        <w:t>the extent of which can be reduced using appropriate packaging with simple warnings and safety directions on the label</w:t>
      </w:r>
      <w:r>
        <w:rPr>
          <w:rFonts w:cs="Arial"/>
        </w:rPr>
        <w:t xml:space="preserve"> as proposed by the APVMA.</w:t>
      </w:r>
    </w:p>
    <w:p w14:paraId="2C9BAEDB" w14:textId="77777777" w:rsidR="00392F07" w:rsidRPr="003C7191" w:rsidRDefault="00392F07" w:rsidP="00392F07">
      <w:pPr>
        <w:pStyle w:val="ScheduleA"/>
        <w:tabs>
          <w:tab w:val="clear" w:pos="2977"/>
        </w:tabs>
        <w:spacing w:before="120" w:after="120"/>
        <w:ind w:left="0" w:right="-51" w:firstLine="0"/>
        <w:jc w:val="both"/>
        <w:rPr>
          <w:rFonts w:ascii="Arial" w:hAnsi="Arial" w:cs="Arial"/>
          <w:sz w:val="20"/>
          <w:szCs w:val="20"/>
          <w:u w:val="single"/>
        </w:rPr>
      </w:pPr>
      <w:r w:rsidRPr="003C7191">
        <w:rPr>
          <w:rFonts w:ascii="Arial" w:hAnsi="Arial" w:cs="Arial"/>
          <w:sz w:val="20"/>
          <w:szCs w:val="20"/>
          <w:u w:val="single"/>
        </w:rPr>
        <w:t>Veterinary use of nicotinic acid</w:t>
      </w:r>
    </w:p>
    <w:p w14:paraId="6B8FDAF4" w14:textId="77777777" w:rsidR="00392F07" w:rsidRDefault="00392F07" w:rsidP="00392F07">
      <w:pPr>
        <w:pStyle w:val="ScheduleA"/>
        <w:tabs>
          <w:tab w:val="clear" w:pos="2977"/>
        </w:tabs>
        <w:spacing w:after="120" w:line="259" w:lineRule="auto"/>
        <w:ind w:left="0" w:right="0" w:firstLine="0"/>
        <w:rPr>
          <w:rFonts w:ascii="Arial" w:hAnsi="Arial" w:cs="Arial"/>
          <w:sz w:val="20"/>
          <w:szCs w:val="20"/>
        </w:rPr>
      </w:pPr>
      <w:r w:rsidRPr="003C7191">
        <w:rPr>
          <w:rFonts w:ascii="Arial" w:hAnsi="Arial" w:cs="Arial"/>
          <w:sz w:val="20"/>
          <w:szCs w:val="20"/>
        </w:rPr>
        <w:t xml:space="preserve">In relation to s 52E(a) and (b) of the Act, nicotinic acid is an essential vitamin and is widely available. Nicotinic acid belongs to the vitamin B3 class and is required for the functioning of a wide range of enzymes that are vital for humans and other animals. A variety of foods naturally contain, or are fortified with, nicotinic acid. It is also used in dietary supplements and for the treatment of vitamin deficiencies and other medical conditions occurring in humans and animals. </w:t>
      </w:r>
    </w:p>
    <w:p w14:paraId="08CFA2DA" w14:textId="77777777" w:rsidR="00392F07" w:rsidRPr="003C7191" w:rsidRDefault="00392F07" w:rsidP="00392F07">
      <w:pPr>
        <w:pStyle w:val="ScheduleA"/>
        <w:tabs>
          <w:tab w:val="clear" w:pos="2977"/>
        </w:tabs>
        <w:spacing w:after="120" w:line="259" w:lineRule="auto"/>
        <w:ind w:left="0" w:right="0" w:firstLine="0"/>
        <w:rPr>
          <w:rFonts w:ascii="Arial" w:hAnsi="Arial" w:cs="Arial"/>
          <w:sz w:val="20"/>
          <w:szCs w:val="20"/>
        </w:rPr>
      </w:pPr>
      <w:r w:rsidRPr="003C7191">
        <w:rPr>
          <w:rFonts w:ascii="Arial" w:hAnsi="Arial" w:cs="Arial"/>
          <w:sz w:val="20"/>
          <w:szCs w:val="20"/>
        </w:rPr>
        <w:t>The use of nicotinic acid in animals in Australia is to treat vitamin B deficiencies or to restore lost energy during strenuous exercise, particularly in dogs and horses. There are 4 products listed on the Public Chemical Registration Information System (PubCRIS) database. They are available as oral supplement</w:t>
      </w:r>
      <w:r>
        <w:rPr>
          <w:rFonts w:ascii="Arial" w:hAnsi="Arial" w:cs="Arial"/>
          <w:sz w:val="20"/>
          <w:szCs w:val="20"/>
        </w:rPr>
        <w:t>s</w:t>
      </w:r>
      <w:r w:rsidRPr="003C7191">
        <w:rPr>
          <w:rFonts w:ascii="Arial" w:hAnsi="Arial" w:cs="Arial"/>
          <w:sz w:val="20"/>
          <w:szCs w:val="20"/>
        </w:rPr>
        <w:t xml:space="preserve"> or injection</w:t>
      </w:r>
      <w:r>
        <w:rPr>
          <w:rFonts w:ascii="Arial" w:hAnsi="Arial" w:cs="Arial"/>
          <w:sz w:val="20"/>
          <w:szCs w:val="20"/>
        </w:rPr>
        <w:t>s</w:t>
      </w:r>
      <w:r w:rsidRPr="003C7191">
        <w:rPr>
          <w:rFonts w:ascii="Arial" w:hAnsi="Arial" w:cs="Arial"/>
          <w:sz w:val="20"/>
          <w:szCs w:val="20"/>
        </w:rPr>
        <w:t>. Two of these products are administered by</w:t>
      </w:r>
      <w:r>
        <w:rPr>
          <w:rFonts w:ascii="Arial" w:hAnsi="Arial" w:cs="Arial"/>
          <w:sz w:val="20"/>
          <w:szCs w:val="20"/>
        </w:rPr>
        <w:t xml:space="preserve"> intramuscular</w:t>
      </w:r>
      <w:r w:rsidRPr="003C7191">
        <w:rPr>
          <w:rFonts w:ascii="Arial" w:hAnsi="Arial" w:cs="Arial"/>
          <w:sz w:val="20"/>
          <w:szCs w:val="20"/>
        </w:rPr>
        <w:t xml:space="preserve"> injection</w:t>
      </w:r>
      <w:r>
        <w:rPr>
          <w:rFonts w:ascii="Arial" w:hAnsi="Arial" w:cs="Arial"/>
          <w:sz w:val="20"/>
          <w:szCs w:val="20"/>
        </w:rPr>
        <w:t xml:space="preserve">, one of which is also labelled for slow intravenous injection. Injecting animals requires </w:t>
      </w:r>
      <w:r w:rsidRPr="003C7191">
        <w:rPr>
          <w:rFonts w:ascii="Arial" w:hAnsi="Arial" w:cs="Arial"/>
          <w:sz w:val="20"/>
          <w:szCs w:val="20"/>
        </w:rPr>
        <w:t xml:space="preserve">specialised handling for administration </w:t>
      </w:r>
      <w:r>
        <w:rPr>
          <w:rFonts w:ascii="Arial" w:hAnsi="Arial" w:cs="Arial"/>
          <w:sz w:val="20"/>
          <w:szCs w:val="20"/>
        </w:rPr>
        <w:t xml:space="preserve">e.g. precise vein access, accurate control of the injection rate and needle stability which are </w:t>
      </w:r>
      <w:r w:rsidRPr="003C7191">
        <w:rPr>
          <w:rFonts w:ascii="Arial" w:hAnsi="Arial" w:cs="Arial"/>
          <w:sz w:val="20"/>
          <w:szCs w:val="20"/>
        </w:rPr>
        <w:t>consistent with Scheduling Factor 2 f</w:t>
      </w:r>
      <w:r>
        <w:rPr>
          <w:rFonts w:ascii="Arial" w:hAnsi="Arial" w:cs="Arial"/>
          <w:sz w:val="20"/>
          <w:szCs w:val="20"/>
        </w:rPr>
        <w:t>or</w:t>
      </w:r>
      <w:r w:rsidRPr="003C7191">
        <w:rPr>
          <w:rFonts w:ascii="Arial" w:hAnsi="Arial" w:cs="Arial"/>
          <w:sz w:val="20"/>
          <w:szCs w:val="20"/>
        </w:rPr>
        <w:t xml:space="preserve"> Schedule 4 of the SPF.</w:t>
      </w:r>
      <w:r>
        <w:rPr>
          <w:rFonts w:ascii="Arial" w:hAnsi="Arial" w:cs="Arial"/>
          <w:sz w:val="20"/>
          <w:szCs w:val="20"/>
        </w:rPr>
        <w:t xml:space="preserve"> Injecting horses or dogs without appropriate training present risks to the user, including bites, kicks, or sudden movements that can cause physical injury. Risks to humans includes needle stick injuries that present infection risks. Improper preparation or technique can also harm the animal by causing infection or injecting into blood vessels or striking nerves. </w:t>
      </w:r>
      <w:r w:rsidRPr="003C7191">
        <w:rPr>
          <w:rFonts w:ascii="Arial" w:hAnsi="Arial" w:cs="Arial"/>
          <w:sz w:val="20"/>
          <w:szCs w:val="20"/>
        </w:rPr>
        <w:t xml:space="preserve">Therefore, </w:t>
      </w:r>
      <w:r>
        <w:rPr>
          <w:rFonts w:ascii="Arial" w:hAnsi="Arial" w:cs="Arial"/>
          <w:sz w:val="20"/>
          <w:szCs w:val="20"/>
        </w:rPr>
        <w:t xml:space="preserve">I am of the view </w:t>
      </w:r>
      <w:r w:rsidRPr="003C7191">
        <w:rPr>
          <w:rFonts w:ascii="Arial" w:hAnsi="Arial" w:cs="Arial"/>
          <w:sz w:val="20"/>
          <w:szCs w:val="20"/>
        </w:rPr>
        <w:t xml:space="preserve">veterinary medicines </w:t>
      </w:r>
      <w:r>
        <w:rPr>
          <w:rFonts w:ascii="Arial" w:hAnsi="Arial" w:cs="Arial"/>
          <w:sz w:val="20"/>
          <w:szCs w:val="20"/>
        </w:rPr>
        <w:t xml:space="preserve">that </w:t>
      </w:r>
      <w:r w:rsidRPr="003C7191">
        <w:rPr>
          <w:rFonts w:ascii="Arial" w:hAnsi="Arial" w:cs="Arial"/>
          <w:sz w:val="20"/>
          <w:szCs w:val="20"/>
        </w:rPr>
        <w:t>contain nicotinic acid</w:t>
      </w:r>
      <w:r>
        <w:rPr>
          <w:rFonts w:ascii="Arial" w:hAnsi="Arial" w:cs="Arial"/>
          <w:sz w:val="20"/>
          <w:szCs w:val="20"/>
        </w:rPr>
        <w:t xml:space="preserve"> </w:t>
      </w:r>
      <w:r w:rsidRPr="003C7191">
        <w:rPr>
          <w:rFonts w:ascii="Arial" w:hAnsi="Arial" w:cs="Arial"/>
          <w:sz w:val="20"/>
          <w:szCs w:val="20"/>
        </w:rPr>
        <w:t xml:space="preserve">and </w:t>
      </w:r>
      <w:r>
        <w:rPr>
          <w:rFonts w:ascii="Arial" w:hAnsi="Arial" w:cs="Arial"/>
          <w:sz w:val="20"/>
          <w:szCs w:val="20"/>
        </w:rPr>
        <w:t xml:space="preserve">are </w:t>
      </w:r>
      <w:r w:rsidRPr="003C7191">
        <w:rPr>
          <w:rFonts w:ascii="Arial" w:hAnsi="Arial" w:cs="Arial"/>
          <w:sz w:val="20"/>
          <w:szCs w:val="20"/>
        </w:rPr>
        <w:t xml:space="preserve">administered by </w:t>
      </w:r>
      <w:r>
        <w:rPr>
          <w:rFonts w:ascii="Arial" w:hAnsi="Arial" w:cs="Arial"/>
          <w:sz w:val="20"/>
          <w:szCs w:val="20"/>
        </w:rPr>
        <w:t>injection should be restricted to</w:t>
      </w:r>
      <w:r w:rsidRPr="003C7191">
        <w:rPr>
          <w:rFonts w:ascii="Arial" w:hAnsi="Arial" w:cs="Arial"/>
          <w:sz w:val="20"/>
          <w:szCs w:val="20"/>
        </w:rPr>
        <w:t xml:space="preserve"> Schedule 4</w:t>
      </w:r>
      <w:r>
        <w:rPr>
          <w:rFonts w:ascii="Arial" w:hAnsi="Arial" w:cs="Arial"/>
          <w:sz w:val="20"/>
          <w:szCs w:val="20"/>
        </w:rPr>
        <w:t xml:space="preserve">. </w:t>
      </w:r>
    </w:p>
    <w:p w14:paraId="20A7415D" w14:textId="77777777" w:rsidR="00392F07" w:rsidRDefault="00392F07" w:rsidP="00392F07">
      <w:r w:rsidRPr="003C7191">
        <w:rPr>
          <w:rFonts w:cs="Arial"/>
        </w:rPr>
        <w:t xml:space="preserve">Following the human health risk assessment conducted by the APVMA in relation to a proposed nicotinic </w:t>
      </w:r>
      <w:r>
        <w:rPr>
          <w:rFonts w:cs="Arial"/>
        </w:rPr>
        <w:t xml:space="preserve">acid </w:t>
      </w:r>
      <w:r w:rsidRPr="003C7191">
        <w:rPr>
          <w:rFonts w:cs="Arial"/>
        </w:rPr>
        <w:t xml:space="preserve">product for agricultural use, I have decided to </w:t>
      </w:r>
      <w:r>
        <w:rPr>
          <w:rFonts w:cs="Arial"/>
        </w:rPr>
        <w:t xml:space="preserve">create a </w:t>
      </w:r>
      <w:r w:rsidRPr="003C7191">
        <w:rPr>
          <w:rFonts w:cs="Arial"/>
        </w:rPr>
        <w:t xml:space="preserve">Schedule 5 </w:t>
      </w:r>
      <w:r>
        <w:rPr>
          <w:rFonts w:cs="Arial"/>
        </w:rPr>
        <w:t xml:space="preserve">entry for nicotinic acid </w:t>
      </w:r>
      <w:r w:rsidRPr="003C7191">
        <w:rPr>
          <w:rFonts w:cs="Arial"/>
        </w:rPr>
        <w:t>when it is packed and labelled for use as an agricultural chemical</w:t>
      </w:r>
      <w:r>
        <w:rPr>
          <w:rFonts w:cs="Arial"/>
        </w:rPr>
        <w:t xml:space="preserve">. </w:t>
      </w:r>
      <w:r w:rsidRPr="003C7191">
        <w:rPr>
          <w:rFonts w:cs="Arial"/>
        </w:rPr>
        <w:t>Based on the available</w:t>
      </w:r>
      <w:r>
        <w:rPr>
          <w:rFonts w:cs="Arial"/>
        </w:rPr>
        <w:t xml:space="preserve"> toxicity</w:t>
      </w:r>
      <w:r w:rsidRPr="003C7191">
        <w:rPr>
          <w:rFonts w:cs="Arial"/>
        </w:rPr>
        <w:t xml:space="preserve"> data and use patterns, I </w:t>
      </w:r>
      <w:r>
        <w:rPr>
          <w:rFonts w:cs="Arial"/>
        </w:rPr>
        <w:t>concur</w:t>
      </w:r>
      <w:r w:rsidRPr="003C7191">
        <w:rPr>
          <w:rFonts w:cs="Arial"/>
        </w:rPr>
        <w:t xml:space="preserve"> with the APVMA that it is appropriate to </w:t>
      </w:r>
      <w:r>
        <w:rPr>
          <w:rFonts w:cs="Arial"/>
        </w:rPr>
        <w:t>limit the access of</w:t>
      </w:r>
      <w:r w:rsidRPr="003C7191">
        <w:rPr>
          <w:rFonts w:cs="Arial"/>
        </w:rPr>
        <w:t xml:space="preserve"> veterinary medicines containing nicotinic acid that are administered by injection </w:t>
      </w:r>
      <w:r>
        <w:rPr>
          <w:rFonts w:cs="Arial"/>
        </w:rPr>
        <w:t>to</w:t>
      </w:r>
      <w:r w:rsidRPr="003C7191">
        <w:rPr>
          <w:rFonts w:cs="Arial"/>
        </w:rPr>
        <w:t xml:space="preserve"> Schedule 4. </w:t>
      </w:r>
    </w:p>
    <w:p w14:paraId="4B836127" w14:textId="77777777" w:rsidR="00392F07" w:rsidRPr="005B22ED" w:rsidRDefault="00392F07" w:rsidP="00392F07">
      <w:pPr>
        <w:pStyle w:val="Heading4"/>
      </w:pPr>
      <w:bookmarkStart w:id="26" w:name="_Toc184826050"/>
      <w:r w:rsidRPr="00F34CCF">
        <w:t>Implementation date</w:t>
      </w:r>
      <w:bookmarkEnd w:id="26"/>
    </w:p>
    <w:p w14:paraId="32792B69" w14:textId="77777777" w:rsidR="00132F02" w:rsidRDefault="00392F07" w:rsidP="00B03B68">
      <w:pPr>
        <w:rPr>
          <w:b/>
          <w:bCs/>
        </w:rPr>
      </w:pPr>
      <w:r w:rsidRPr="00F34CCF">
        <w:rPr>
          <w:b/>
          <w:bCs/>
        </w:rPr>
        <w:t xml:space="preserve">1 </w:t>
      </w:r>
      <w:r>
        <w:rPr>
          <w:b/>
          <w:bCs/>
        </w:rPr>
        <w:t>February</w:t>
      </w:r>
      <w:r w:rsidRPr="00F34CCF">
        <w:rPr>
          <w:b/>
          <w:bCs/>
        </w:rPr>
        <w:t xml:space="preserve"> 2025</w:t>
      </w:r>
    </w:p>
    <w:p w14:paraId="596CE911" w14:textId="77777777" w:rsidR="00132F02" w:rsidRDefault="00132F02" w:rsidP="00B03B68">
      <w:pPr>
        <w:rPr>
          <w:b/>
          <w:bCs/>
        </w:rPr>
      </w:pPr>
    </w:p>
    <w:p w14:paraId="328A3980" w14:textId="77777777" w:rsidR="00132F02" w:rsidRDefault="00132F02" w:rsidP="00B03B68">
      <w:pPr>
        <w:rPr>
          <w:b/>
          <w:bCs/>
        </w:rPr>
      </w:pPr>
    </w:p>
    <w:p w14:paraId="77F9397F" w14:textId="42362730" w:rsidR="005A34E2" w:rsidRPr="00392F07" w:rsidRDefault="005A34E2" w:rsidP="00B03B68">
      <w:pPr>
        <w:rPr>
          <w:b/>
          <w:bCs/>
        </w:rPr>
      </w:pPr>
      <w:r w:rsidRPr="00B03B68">
        <w:br w:type="page"/>
      </w:r>
    </w:p>
    <w:p w14:paraId="2F1FBAF1" w14:textId="77777777" w:rsidR="00F02AEC" w:rsidRPr="00B03B68" w:rsidRDefault="00F02AEC" w:rsidP="00B03B68">
      <w:pPr>
        <w:sectPr w:rsidR="00F02AEC" w:rsidRPr="00B03B68" w:rsidSect="00074990">
          <w:headerReference w:type="default" r:id="rId16"/>
          <w:footerReference w:type="default" r:id="rId17"/>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B03B68" w14:paraId="72A8148D" w14:textId="77777777" w:rsidTr="00074990">
        <w:trPr>
          <w:trHeight w:hRule="exact" w:val="565"/>
          <w:jc w:val="center"/>
        </w:trPr>
        <w:tc>
          <w:tcPr>
            <w:tcW w:w="9145" w:type="dxa"/>
          </w:tcPr>
          <w:p w14:paraId="6F53887D" w14:textId="77777777" w:rsidR="00F02AEC" w:rsidRPr="00B03B68" w:rsidRDefault="00F02AEC" w:rsidP="000579C9">
            <w:pPr>
              <w:pStyle w:val="TGASignoff"/>
            </w:pPr>
            <w:r w:rsidRPr="00B03B68">
              <w:lastRenderedPageBreak/>
              <w:t>Therapeutic Goods Administration</w:t>
            </w:r>
          </w:p>
        </w:tc>
      </w:tr>
      <w:tr w:rsidR="00F02AEC" w:rsidRPr="00B03B68" w14:paraId="1CA37E01" w14:textId="77777777" w:rsidTr="00074990">
        <w:trPr>
          <w:trHeight w:val="963"/>
          <w:jc w:val="center"/>
        </w:trPr>
        <w:tc>
          <w:tcPr>
            <w:tcW w:w="9145" w:type="dxa"/>
            <w:tcMar>
              <w:top w:w="28" w:type="dxa"/>
            </w:tcMar>
          </w:tcPr>
          <w:p w14:paraId="352949DA" w14:textId="77777777" w:rsidR="00F02AEC" w:rsidRPr="00B03B68" w:rsidRDefault="00F02AEC" w:rsidP="000579C9">
            <w:pPr>
              <w:pStyle w:val="Address"/>
              <w:jc w:val="center"/>
            </w:pPr>
            <w:r w:rsidRPr="00B03B68">
              <w:t>PO Box 100 Woden ACT 2606 Australia</w:t>
            </w:r>
          </w:p>
          <w:p w14:paraId="0C0307F1" w14:textId="77777777" w:rsidR="00F02AEC" w:rsidRPr="00B03B68" w:rsidRDefault="00F02AEC" w:rsidP="000579C9">
            <w:pPr>
              <w:jc w:val="center"/>
            </w:pPr>
            <w:r w:rsidRPr="00B03B68">
              <w:t xml:space="preserve">Email: </w:t>
            </w:r>
            <w:hyperlink r:id="rId18" w:history="1">
              <w:r w:rsidRPr="00B03B68">
                <w:rPr>
                  <w:rStyle w:val="Hyperlink"/>
                </w:rPr>
                <w:t>info@tga.gov.au</w:t>
              </w:r>
            </w:hyperlink>
            <w:r w:rsidRPr="00B03B68">
              <w:t xml:space="preserve">  Phone: 1800 020 653  Fax: 02 6203 1605</w:t>
            </w:r>
          </w:p>
          <w:p w14:paraId="6B54508F" w14:textId="77777777" w:rsidR="00F02AEC" w:rsidRPr="00B03B68" w:rsidRDefault="000579C9" w:rsidP="000579C9">
            <w:pPr>
              <w:jc w:val="center"/>
            </w:pPr>
            <w:r>
              <w:t xml:space="preserve">Web: </w:t>
            </w:r>
            <w:hyperlink r:id="rId19" w:history="1">
              <w:r>
                <w:rPr>
                  <w:rStyle w:val="Hyperlink"/>
                </w:rPr>
                <w:t>tga.gov.au</w:t>
              </w:r>
            </w:hyperlink>
          </w:p>
        </w:tc>
      </w:tr>
      <w:tr w:rsidR="00F02AEC" w:rsidRPr="00B03B68" w14:paraId="0BE47096" w14:textId="77777777" w:rsidTr="00074990">
        <w:trPr>
          <w:trHeight w:val="251"/>
          <w:jc w:val="center"/>
        </w:trPr>
        <w:tc>
          <w:tcPr>
            <w:tcW w:w="9145" w:type="dxa"/>
            <w:tcMar>
              <w:top w:w="28" w:type="dxa"/>
            </w:tcMar>
          </w:tcPr>
          <w:p w14:paraId="4725B02C" w14:textId="77777777" w:rsidR="00F02AEC" w:rsidRPr="00B03B68" w:rsidRDefault="00F02AEC" w:rsidP="00B03B68"/>
        </w:tc>
      </w:tr>
    </w:tbl>
    <w:p w14:paraId="55BFF3D9" w14:textId="77777777" w:rsidR="00101619" w:rsidRPr="00B03B68" w:rsidRDefault="00101619" w:rsidP="00B03B68"/>
    <w:sectPr w:rsidR="00101619" w:rsidRPr="00B03B68" w:rsidSect="00074990">
      <w:headerReference w:type="first" r:id="rId20"/>
      <w:footerReference w:type="first" r:id="rId2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1930B" w14:textId="77777777" w:rsidR="0039546E" w:rsidRDefault="0039546E" w:rsidP="00F02AEC">
      <w:pPr>
        <w:spacing w:after="0" w:line="240" w:lineRule="auto"/>
      </w:pPr>
      <w:r>
        <w:separator/>
      </w:r>
    </w:p>
  </w:endnote>
  <w:endnote w:type="continuationSeparator" w:id="0">
    <w:p w14:paraId="4F851B42" w14:textId="77777777" w:rsidR="0039546E" w:rsidRDefault="0039546E"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1769950E" w14:textId="77777777" w:rsidTr="00074990">
      <w:trPr>
        <w:trHeight w:val="423"/>
      </w:trPr>
      <w:tc>
        <w:tcPr>
          <w:tcW w:w="4360" w:type="dxa"/>
          <w:tcBorders>
            <w:top w:val="single" w:sz="4" w:space="0" w:color="auto"/>
          </w:tcBorders>
        </w:tcPr>
        <w:p w14:paraId="1B246ACE" w14:textId="77777777" w:rsidR="00F02AEC" w:rsidRDefault="00F02AEC" w:rsidP="00074990">
          <w:pPr>
            <w:pStyle w:val="Footer"/>
          </w:pPr>
        </w:p>
        <w:p w14:paraId="5F222193" w14:textId="77777777" w:rsidR="00F02AEC" w:rsidRPr="00257138" w:rsidRDefault="00F02AEC" w:rsidP="000749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3B6EDBD8" w14:textId="77777777" w:rsidR="00F02AEC" w:rsidRDefault="00F02AEC" w:rsidP="00074990">
              <w:pPr>
                <w:pStyle w:val="Footer"/>
                <w:jc w:val="right"/>
              </w:pPr>
            </w:p>
            <w:p w14:paraId="26F4C656" w14:textId="77777777" w:rsidR="00F02AEC" w:rsidRPr="00257138" w:rsidRDefault="00F02AEC" w:rsidP="0007499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AB4A25">
                <w:fldChar w:fldCharType="begin"/>
              </w:r>
              <w:r w:rsidR="00AB4A25">
                <w:instrText xml:space="preserve"> NUMPAGES  </w:instrText>
              </w:r>
              <w:r w:rsidR="00AB4A25">
                <w:fldChar w:fldCharType="separate"/>
              </w:r>
              <w:r>
                <w:rPr>
                  <w:noProof/>
                </w:rPr>
                <w:t>2</w:t>
              </w:r>
              <w:r w:rsidR="00AB4A25">
                <w:rPr>
                  <w:noProof/>
                </w:rPr>
                <w:fldChar w:fldCharType="end"/>
              </w:r>
            </w:p>
          </w:sdtContent>
        </w:sdt>
      </w:tc>
    </w:tr>
    <w:tr w:rsidR="00F02AEC" w:rsidRPr="00257138" w14:paraId="0D90DF66" w14:textId="77777777" w:rsidTr="00074990">
      <w:trPr>
        <w:trHeight w:val="263"/>
      </w:trPr>
      <w:tc>
        <w:tcPr>
          <w:tcW w:w="4360" w:type="dxa"/>
        </w:tcPr>
        <w:p w14:paraId="4887FC53" w14:textId="77777777" w:rsidR="00F02AEC" w:rsidRPr="00257138" w:rsidRDefault="00F02AEC" w:rsidP="00074990">
          <w:pPr>
            <w:pStyle w:val="Footer"/>
          </w:pPr>
          <w:r w:rsidRPr="00257138">
            <w:t xml:space="preserve">V1.0 </w:t>
          </w:r>
          <w:r>
            <w:t>Month</w:t>
          </w:r>
          <w:r w:rsidRPr="00257138">
            <w:t xml:space="preserve"> 201</w:t>
          </w:r>
          <w:r>
            <w:t>2</w:t>
          </w:r>
        </w:p>
      </w:tc>
      <w:tc>
        <w:tcPr>
          <w:tcW w:w="4360" w:type="dxa"/>
        </w:tcPr>
        <w:p w14:paraId="23E7C582" w14:textId="77777777" w:rsidR="00F02AEC" w:rsidRPr="00257138" w:rsidRDefault="00F02AEC" w:rsidP="00074990">
          <w:pPr>
            <w:pStyle w:val="Footer"/>
            <w:jc w:val="right"/>
          </w:pPr>
        </w:p>
      </w:tc>
    </w:tr>
  </w:tbl>
  <w:p w14:paraId="09D7175C" w14:textId="77777777" w:rsidR="00F02AEC" w:rsidRPr="00826007" w:rsidRDefault="00F02AEC" w:rsidP="00074990">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F2DA5" w14:textId="77777777" w:rsidR="00F02AEC" w:rsidRDefault="00F02AEC" w:rsidP="00074990">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5212A2" w14:paraId="1A478208" w14:textId="77777777" w:rsidTr="00074990">
      <w:trPr>
        <w:trHeight w:val="423"/>
      </w:trPr>
      <w:tc>
        <w:tcPr>
          <w:tcW w:w="7338" w:type="dxa"/>
          <w:tcBorders>
            <w:top w:val="single" w:sz="4" w:space="0" w:color="auto"/>
          </w:tcBorders>
        </w:tcPr>
        <w:p w14:paraId="5B59BE01" w14:textId="3AF3314F" w:rsidR="00F02AEC" w:rsidRPr="00417551" w:rsidRDefault="000579C9" w:rsidP="000579C9">
          <w:pPr>
            <w:pStyle w:val="Footer"/>
            <w:rPr>
              <w:sz w:val="16"/>
              <w:szCs w:val="16"/>
            </w:rPr>
          </w:pPr>
          <w:r w:rsidRPr="00417551">
            <w:rPr>
              <w:sz w:val="16"/>
              <w:szCs w:val="16"/>
            </w:rPr>
            <w:t>Notice of interim decisions to amend (or not amend) the current Poisons Standard (</w:t>
          </w:r>
          <w:r w:rsidR="00284CF0" w:rsidRPr="00417551">
            <w:rPr>
              <w:sz w:val="16"/>
              <w:szCs w:val="16"/>
            </w:rPr>
            <w:t>ACMS #45, ACCS #39, Joint ACMS-ACCS #37, June 2024)</w:t>
          </w:r>
          <w:r w:rsidR="00F02AEC" w:rsidRPr="00417551">
            <w:rPr>
              <w:sz w:val="16"/>
              <w:szCs w:val="16"/>
            </w:rPr>
            <w:br/>
          </w:r>
        </w:p>
      </w:tc>
      <w:tc>
        <w:tcPr>
          <w:tcW w:w="1734" w:type="dxa"/>
          <w:tcBorders>
            <w:top w:val="single" w:sz="4" w:space="0" w:color="auto"/>
          </w:tcBorders>
        </w:tcPr>
        <w:sdt>
          <w:sdtPr>
            <w:id w:val="11571659"/>
            <w:docPartObj>
              <w:docPartGallery w:val="Page Numbers (Top of Page)"/>
              <w:docPartUnique/>
            </w:docPartObj>
          </w:sdtPr>
          <w:sdtEndPr/>
          <w:sdtContent>
            <w:p w14:paraId="1CDB0B26" w14:textId="77777777" w:rsidR="00F02AEC" w:rsidRPr="005212A2" w:rsidRDefault="00F02AEC" w:rsidP="000579C9">
              <w:pPr>
                <w:pStyle w:val="Footer"/>
                <w:jc w:val="right"/>
              </w:pPr>
              <w:r w:rsidRPr="000579C9">
                <w:t>Page</w:t>
              </w:r>
              <w:r w:rsidRPr="005212A2">
                <w:t xml:space="preserve"> </w:t>
              </w:r>
              <w:r w:rsidRPr="005212A2">
                <w:fldChar w:fldCharType="begin"/>
              </w:r>
              <w:r w:rsidRPr="005212A2">
                <w:instrText xml:space="preserve"> PAGE </w:instrText>
              </w:r>
              <w:r w:rsidRPr="005212A2">
                <w:fldChar w:fldCharType="separate"/>
              </w:r>
              <w:r w:rsidRPr="005212A2">
                <w:rPr>
                  <w:noProof/>
                </w:rPr>
                <w:t>6</w:t>
              </w:r>
              <w:r w:rsidRPr="005212A2">
                <w:rPr>
                  <w:noProof/>
                </w:rPr>
                <w:fldChar w:fldCharType="end"/>
              </w:r>
              <w:r w:rsidRPr="005212A2">
                <w:t xml:space="preserve"> of </w:t>
              </w:r>
              <w:r w:rsidR="00AB4A25">
                <w:fldChar w:fldCharType="begin"/>
              </w:r>
              <w:r w:rsidR="00AB4A25">
                <w:instrText xml:space="preserve"> NUMPAGES  </w:instrText>
              </w:r>
              <w:r w:rsidR="00AB4A25">
                <w:fldChar w:fldCharType="separate"/>
              </w:r>
              <w:r w:rsidRPr="005212A2">
                <w:rPr>
                  <w:noProof/>
                </w:rPr>
                <w:t>7</w:t>
              </w:r>
              <w:r w:rsidR="00AB4A25">
                <w:rPr>
                  <w:noProof/>
                </w:rPr>
                <w:fldChar w:fldCharType="end"/>
              </w:r>
            </w:p>
          </w:sdtContent>
        </w:sdt>
      </w:tc>
    </w:tr>
  </w:tbl>
  <w:p w14:paraId="44541C7C" w14:textId="77777777" w:rsidR="00F02AEC" w:rsidRPr="0090744F" w:rsidRDefault="00F02AEC" w:rsidP="00074990">
    <w:pPr>
      <w:pStyle w:val="Footer"/>
      <w:tabs>
        <w:tab w:val="left" w:pos="7620"/>
        <w:tab w:val="right" w:pos="8504"/>
      </w:tabs>
      <w:rPr>
        <w:rFonts w:asciiTheme="minorHAnsi" w:hAnsiTheme="minorHAnsi"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E6D84" w14:textId="77777777" w:rsidR="00101619" w:rsidRPr="008E3C43" w:rsidRDefault="00101619" w:rsidP="00074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04BBF" w14:textId="77777777" w:rsidR="0039546E" w:rsidRDefault="0039546E" w:rsidP="00F02AEC">
      <w:pPr>
        <w:spacing w:after="0" w:line="240" w:lineRule="auto"/>
      </w:pPr>
      <w:r>
        <w:separator/>
      </w:r>
    </w:p>
  </w:footnote>
  <w:footnote w:type="continuationSeparator" w:id="0">
    <w:p w14:paraId="7B45BD41" w14:textId="77777777" w:rsidR="0039546E" w:rsidRDefault="0039546E" w:rsidP="00F02AEC">
      <w:pPr>
        <w:spacing w:after="0" w:line="240" w:lineRule="auto"/>
      </w:pPr>
      <w:r>
        <w:continuationSeparator/>
      </w:r>
    </w:p>
  </w:footnote>
  <w:footnote w:id="1">
    <w:p w14:paraId="7BA1E362" w14:textId="77777777" w:rsidR="00F17EF1" w:rsidRDefault="00F17EF1" w:rsidP="00F17EF1">
      <w:pPr>
        <w:pStyle w:val="FootnoteText"/>
      </w:pPr>
      <w:r>
        <w:rPr>
          <w:rStyle w:val="FootnoteReference"/>
        </w:rPr>
        <w:footnoteRef/>
      </w:r>
      <w:r>
        <w:t xml:space="preserve"> </w:t>
      </w:r>
      <w:r w:rsidRPr="009421DD">
        <w:rPr>
          <w:rFonts w:asciiTheme="minorHAnsi" w:hAnsiTheme="minorHAnsi" w:cstheme="minorHAnsi"/>
          <w:sz w:val="18"/>
          <w:szCs w:val="18"/>
        </w:rPr>
        <w:t xml:space="preserve">Established under sections 52B and 52C of the </w:t>
      </w:r>
      <w:r w:rsidRPr="009421DD">
        <w:rPr>
          <w:rFonts w:asciiTheme="minorHAnsi" w:hAnsiTheme="minorHAnsi" w:cstheme="minorHAnsi"/>
          <w:i/>
          <w:iCs/>
          <w:sz w:val="18"/>
          <w:szCs w:val="18"/>
        </w:rPr>
        <w:t>Therapeutic Goods Act 1989</w:t>
      </w:r>
      <w:r w:rsidRPr="009421DD">
        <w:rPr>
          <w:rFonts w:asciiTheme="minorHAnsi" w:hAnsiTheme="minorHAnsi" w:cstheme="minorHAnsi"/>
          <w:sz w:val="18"/>
          <w:szCs w:val="18"/>
        </w:rPr>
        <w:t xml:space="preserve"> (Cth).</w:t>
      </w:r>
    </w:p>
  </w:footnote>
  <w:footnote w:id="2">
    <w:p w14:paraId="60CD92FA" w14:textId="77777777" w:rsidR="00315F26" w:rsidRDefault="00315F26" w:rsidP="00315F26">
      <w:pPr>
        <w:pStyle w:val="FootnoteText"/>
      </w:pPr>
      <w:r>
        <w:rPr>
          <w:rStyle w:val="FootnoteReference"/>
        </w:rPr>
        <w:footnoteRef/>
      </w:r>
      <w:r>
        <w:t xml:space="preserve"> </w:t>
      </w:r>
      <w:r w:rsidRPr="005C39AC">
        <w:t>Proposed additions are shown in green underlined font, proposed deletions are shown in red strikethrough font, and text without this formatting represents the current text in the Poisons Standard.</w:t>
      </w:r>
    </w:p>
  </w:footnote>
  <w:footnote w:id="3">
    <w:p w14:paraId="62100E7B" w14:textId="77777777" w:rsidR="00392F07" w:rsidRPr="0094436E" w:rsidRDefault="00392F07" w:rsidP="00392F07">
      <w:pPr>
        <w:pStyle w:val="FootnoteText"/>
        <w:rPr>
          <w:rFonts w:cs="Arial"/>
          <w:szCs w:val="16"/>
        </w:rPr>
      </w:pPr>
      <w:r w:rsidRPr="0094436E">
        <w:rPr>
          <w:rStyle w:val="FootnoteReference"/>
          <w:rFonts w:cs="Arial"/>
          <w:szCs w:val="16"/>
        </w:rPr>
        <w:footnoteRef/>
      </w:r>
      <w:r w:rsidRPr="0094436E">
        <w:rPr>
          <w:rFonts w:cs="Arial"/>
          <w:szCs w:val="16"/>
        </w:rPr>
        <w:t xml:space="preserve"> </w:t>
      </w:r>
      <w:r w:rsidRPr="0094436E">
        <w:rPr>
          <w:rFonts w:cs="Arial"/>
          <w:color w:val="000000" w:themeColor="text1"/>
          <w:szCs w:val="16"/>
        </w:rPr>
        <w:t>Proposed additions are shown in green underlined font, proposed deletions are shown in red strikethrough font, and text without this formatting represents the current text in the Poisons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3D65B"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14E619BD" w14:textId="77777777" w:rsidTr="00074990">
      <w:trPr>
        <w:trHeight w:hRule="exact" w:val="8845"/>
      </w:trPr>
      <w:tc>
        <w:tcPr>
          <w:tcW w:w="11964" w:type="dxa"/>
          <w:vAlign w:val="center"/>
        </w:tcPr>
        <w:p w14:paraId="143A1FE4" w14:textId="77777777" w:rsidR="00F02AEC" w:rsidRPr="002B29B2" w:rsidRDefault="00F02AEC" w:rsidP="00074990">
          <w:pPr>
            <w:ind w:left="-57"/>
            <w:rPr>
              <w:noProof/>
            </w:rPr>
          </w:pPr>
        </w:p>
      </w:tc>
    </w:tr>
  </w:tbl>
  <w:p w14:paraId="5A762C12" w14:textId="77777777" w:rsidR="00F02AEC" w:rsidRDefault="00CB0550" w:rsidP="00074990">
    <w:pPr>
      <w:rPr>
        <w:noProof/>
      </w:rPr>
    </w:pPr>
    <w:r>
      <w:rPr>
        <w:noProof/>
        <w:lang w:eastAsia="en-AU"/>
      </w:rPr>
      <w:drawing>
        <wp:anchor distT="0" distB="0" distL="114300" distR="114300" simplePos="0" relativeHeight="251659264" behindDoc="0" locked="0" layoutInCell="1" allowOverlap="1" wp14:anchorId="12186BBE" wp14:editId="4DEA2101">
          <wp:simplePos x="0" y="0"/>
          <wp:positionH relativeFrom="column">
            <wp:posOffset>-400050</wp:posOffset>
          </wp:positionH>
          <wp:positionV relativeFrom="paragraph">
            <wp:posOffset>-116205</wp:posOffset>
          </wp:positionV>
          <wp:extent cx="2676525" cy="621665"/>
          <wp:effectExtent l="0" t="0" r="9525" b="6985"/>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57216" behindDoc="0" locked="0" layoutInCell="0" allowOverlap="1" wp14:anchorId="2A00FA0F" wp14:editId="0285CB00">
          <wp:simplePos x="0" y="0"/>
          <wp:positionH relativeFrom="page">
            <wp:align>left</wp:align>
          </wp:positionH>
          <wp:positionV relativeFrom="page">
            <wp:posOffset>3239495</wp:posOffset>
          </wp:positionV>
          <wp:extent cx="7663815" cy="432309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9C3AC" w14:textId="77777777" w:rsidR="00F02AEC" w:rsidRPr="005212A2" w:rsidRDefault="00F02AEC" w:rsidP="000579C9">
    <w:pPr>
      <w:pStyle w:val="Header"/>
    </w:pPr>
    <w:r w:rsidRPr="005212A2">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AD181" w14:textId="77777777" w:rsidR="00101619" w:rsidRPr="00FE501F" w:rsidRDefault="00101619" w:rsidP="000749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1F4F19"/>
    <w:multiLevelType w:val="hybridMultilevel"/>
    <w:tmpl w:val="6EA076E6"/>
    <w:lvl w:ilvl="0" w:tplc="9BD4AB2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8EB46AE"/>
    <w:multiLevelType w:val="hybridMultilevel"/>
    <w:tmpl w:val="68EA339E"/>
    <w:lvl w:ilvl="0" w:tplc="4910445C">
      <w:start w:val="2"/>
      <w:numFmt w:val="bullet"/>
      <w:lvlText w:val="-"/>
      <w:lvlJc w:val="left"/>
      <w:pPr>
        <w:ind w:left="720" w:hanging="360"/>
      </w:pPr>
      <w:rPr>
        <w:rFonts w:ascii="Cambria" w:eastAsiaTheme="minorEastAsia" w:hAnsi="Cambri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053F11"/>
    <w:multiLevelType w:val="multilevel"/>
    <w:tmpl w:val="9CF4C65E"/>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4524B67"/>
    <w:multiLevelType w:val="hybridMultilevel"/>
    <w:tmpl w:val="798E9FE8"/>
    <w:lvl w:ilvl="0" w:tplc="1E2ABA9C">
      <w:start w:val="1"/>
      <w:numFmt w:val="lowerLetter"/>
      <w:lvlText w:val="(%1)"/>
      <w:lvlJc w:val="left"/>
      <w:pPr>
        <w:ind w:left="1148" w:hanging="360"/>
      </w:pPr>
      <w:rPr>
        <w:rFonts w:hint="default"/>
      </w:rPr>
    </w:lvl>
    <w:lvl w:ilvl="1" w:tplc="0C090019" w:tentative="1">
      <w:start w:val="1"/>
      <w:numFmt w:val="lowerLetter"/>
      <w:lvlText w:val="%2."/>
      <w:lvlJc w:val="left"/>
      <w:pPr>
        <w:ind w:left="1868" w:hanging="360"/>
      </w:pPr>
    </w:lvl>
    <w:lvl w:ilvl="2" w:tplc="0C09001B" w:tentative="1">
      <w:start w:val="1"/>
      <w:numFmt w:val="lowerRoman"/>
      <w:lvlText w:val="%3."/>
      <w:lvlJc w:val="right"/>
      <w:pPr>
        <w:ind w:left="2588" w:hanging="180"/>
      </w:pPr>
    </w:lvl>
    <w:lvl w:ilvl="3" w:tplc="0C09000F" w:tentative="1">
      <w:start w:val="1"/>
      <w:numFmt w:val="decimal"/>
      <w:lvlText w:val="%4."/>
      <w:lvlJc w:val="left"/>
      <w:pPr>
        <w:ind w:left="3308" w:hanging="360"/>
      </w:pPr>
    </w:lvl>
    <w:lvl w:ilvl="4" w:tplc="0C090019" w:tentative="1">
      <w:start w:val="1"/>
      <w:numFmt w:val="lowerLetter"/>
      <w:lvlText w:val="%5."/>
      <w:lvlJc w:val="left"/>
      <w:pPr>
        <w:ind w:left="4028" w:hanging="360"/>
      </w:pPr>
    </w:lvl>
    <w:lvl w:ilvl="5" w:tplc="0C09001B" w:tentative="1">
      <w:start w:val="1"/>
      <w:numFmt w:val="lowerRoman"/>
      <w:lvlText w:val="%6."/>
      <w:lvlJc w:val="right"/>
      <w:pPr>
        <w:ind w:left="4748" w:hanging="180"/>
      </w:pPr>
    </w:lvl>
    <w:lvl w:ilvl="6" w:tplc="0C09000F" w:tentative="1">
      <w:start w:val="1"/>
      <w:numFmt w:val="decimal"/>
      <w:lvlText w:val="%7."/>
      <w:lvlJc w:val="left"/>
      <w:pPr>
        <w:ind w:left="5468" w:hanging="360"/>
      </w:pPr>
    </w:lvl>
    <w:lvl w:ilvl="7" w:tplc="0C090019" w:tentative="1">
      <w:start w:val="1"/>
      <w:numFmt w:val="lowerLetter"/>
      <w:lvlText w:val="%8."/>
      <w:lvlJc w:val="left"/>
      <w:pPr>
        <w:ind w:left="6188" w:hanging="360"/>
      </w:pPr>
    </w:lvl>
    <w:lvl w:ilvl="8" w:tplc="0C09001B" w:tentative="1">
      <w:start w:val="1"/>
      <w:numFmt w:val="lowerRoman"/>
      <w:lvlText w:val="%9."/>
      <w:lvlJc w:val="right"/>
      <w:pPr>
        <w:ind w:left="6908" w:hanging="180"/>
      </w:p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720" w:hanging="360"/>
      </w:pPr>
      <w:rPr>
        <w:rFonts w:ascii="Arial" w:eastAsia="Cambria"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F13E9"/>
    <w:multiLevelType w:val="multilevel"/>
    <w:tmpl w:val="BB3A2BA2"/>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ABD74D0"/>
    <w:multiLevelType w:val="hybridMultilevel"/>
    <w:tmpl w:val="23FE21D4"/>
    <w:lvl w:ilvl="0" w:tplc="180E42A8">
      <w:start w:val="1"/>
      <w:numFmt w:val="lowerRoman"/>
      <w:pStyle w:val="ListBulleti"/>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22DD262E"/>
    <w:multiLevelType w:val="hybridMultilevel"/>
    <w:tmpl w:val="7C681CF4"/>
    <w:lvl w:ilvl="0" w:tplc="3410C290">
      <w:start w:val="1"/>
      <w:numFmt w:val="lowerLetter"/>
      <w:pStyle w:val="Numberbullet2"/>
      <w:lvlText w:val="%1)"/>
      <w:lvlJc w:val="left"/>
      <w:pPr>
        <w:ind w:left="1145" w:hanging="360"/>
      </w:pPr>
    </w:lvl>
    <w:lvl w:ilvl="1" w:tplc="0C090019">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9" w15:restartNumberingAfterBreak="0">
    <w:nsid w:val="24D77801"/>
    <w:multiLevelType w:val="hybridMultilevel"/>
    <w:tmpl w:val="0EDC7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924211"/>
    <w:multiLevelType w:val="hybridMultilevel"/>
    <w:tmpl w:val="EE84D3F2"/>
    <w:lvl w:ilvl="0" w:tplc="B05AE1EC">
      <w:start w:val="1"/>
      <w:numFmt w:val="lowerLetter"/>
      <w:pStyle w:val="ListBulleta"/>
      <w:lvlText w:val="(%1)"/>
      <w:lvlJc w:val="left"/>
      <w:pPr>
        <w:ind w:left="1146" w:hanging="360"/>
      </w:pPr>
      <w:rPr>
        <w:strike w:val="0"/>
        <w:color w:val="auto"/>
      </w:rPr>
    </w:lvl>
    <w:lvl w:ilvl="1" w:tplc="82683A20">
      <w:start w:val="1"/>
      <w:numFmt w:val="lowerLetter"/>
      <w:lvlText w:val="%2)"/>
      <w:lvlJc w:val="left"/>
      <w:pPr>
        <w:ind w:left="1866" w:hanging="360"/>
      </w:pPr>
      <w:rPr>
        <w:rFonts w:hint="default"/>
      </w:r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1" w15:restartNumberingAfterBreak="0">
    <w:nsid w:val="326348C8"/>
    <w:multiLevelType w:val="hybridMultilevel"/>
    <w:tmpl w:val="AD229662"/>
    <w:lvl w:ilvl="0" w:tplc="90C683D6">
      <w:start w:val="10"/>
      <w:numFmt w:val="lowerLetter"/>
      <w:pStyle w:val="Style2"/>
      <w:lvlText w:val="(%1)"/>
      <w:lvlJc w:val="left"/>
      <w:pPr>
        <w:ind w:left="1506" w:hanging="360"/>
      </w:pPr>
      <w:rPr>
        <w:rFonts w:hint="default"/>
        <w:strike w:val="0"/>
        <w:color w:val="00B050"/>
        <w:u w:val="single"/>
      </w:r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12" w15:restartNumberingAfterBreak="0">
    <w:nsid w:val="40D73A5B"/>
    <w:multiLevelType w:val="hybridMultilevel"/>
    <w:tmpl w:val="DE8E77E2"/>
    <w:lvl w:ilvl="0" w:tplc="927E7242">
      <w:start w:val="1"/>
      <w:numFmt w:val="bullet"/>
      <w:lvlText w:val=""/>
      <w:lvlJc w:val="left"/>
      <w:pPr>
        <w:ind w:left="720" w:hanging="360"/>
      </w:pPr>
      <w:rPr>
        <w:rFonts w:ascii="Symbol" w:hAnsi="Symbol"/>
      </w:rPr>
    </w:lvl>
    <w:lvl w:ilvl="1" w:tplc="E8549852">
      <w:start w:val="1"/>
      <w:numFmt w:val="bullet"/>
      <w:lvlText w:val=""/>
      <w:lvlJc w:val="left"/>
      <w:pPr>
        <w:ind w:left="720" w:hanging="360"/>
      </w:pPr>
      <w:rPr>
        <w:rFonts w:ascii="Symbol" w:hAnsi="Symbol"/>
      </w:rPr>
    </w:lvl>
    <w:lvl w:ilvl="2" w:tplc="FF18C2E8">
      <w:start w:val="1"/>
      <w:numFmt w:val="bullet"/>
      <w:lvlText w:val=""/>
      <w:lvlJc w:val="left"/>
      <w:pPr>
        <w:ind w:left="720" w:hanging="360"/>
      </w:pPr>
      <w:rPr>
        <w:rFonts w:ascii="Symbol" w:hAnsi="Symbol"/>
      </w:rPr>
    </w:lvl>
    <w:lvl w:ilvl="3" w:tplc="C644B7D8">
      <w:start w:val="1"/>
      <w:numFmt w:val="bullet"/>
      <w:lvlText w:val=""/>
      <w:lvlJc w:val="left"/>
      <w:pPr>
        <w:ind w:left="720" w:hanging="360"/>
      </w:pPr>
      <w:rPr>
        <w:rFonts w:ascii="Symbol" w:hAnsi="Symbol"/>
      </w:rPr>
    </w:lvl>
    <w:lvl w:ilvl="4" w:tplc="476A3350">
      <w:start w:val="1"/>
      <w:numFmt w:val="bullet"/>
      <w:lvlText w:val=""/>
      <w:lvlJc w:val="left"/>
      <w:pPr>
        <w:ind w:left="720" w:hanging="360"/>
      </w:pPr>
      <w:rPr>
        <w:rFonts w:ascii="Symbol" w:hAnsi="Symbol"/>
      </w:rPr>
    </w:lvl>
    <w:lvl w:ilvl="5" w:tplc="EC6EF486">
      <w:start w:val="1"/>
      <w:numFmt w:val="bullet"/>
      <w:lvlText w:val=""/>
      <w:lvlJc w:val="left"/>
      <w:pPr>
        <w:ind w:left="720" w:hanging="360"/>
      </w:pPr>
      <w:rPr>
        <w:rFonts w:ascii="Symbol" w:hAnsi="Symbol"/>
      </w:rPr>
    </w:lvl>
    <w:lvl w:ilvl="6" w:tplc="647AF7A8">
      <w:start w:val="1"/>
      <w:numFmt w:val="bullet"/>
      <w:lvlText w:val=""/>
      <w:lvlJc w:val="left"/>
      <w:pPr>
        <w:ind w:left="720" w:hanging="360"/>
      </w:pPr>
      <w:rPr>
        <w:rFonts w:ascii="Symbol" w:hAnsi="Symbol"/>
      </w:rPr>
    </w:lvl>
    <w:lvl w:ilvl="7" w:tplc="76D2B498">
      <w:start w:val="1"/>
      <w:numFmt w:val="bullet"/>
      <w:lvlText w:val=""/>
      <w:lvlJc w:val="left"/>
      <w:pPr>
        <w:ind w:left="720" w:hanging="360"/>
      </w:pPr>
      <w:rPr>
        <w:rFonts w:ascii="Symbol" w:hAnsi="Symbol"/>
      </w:rPr>
    </w:lvl>
    <w:lvl w:ilvl="8" w:tplc="A164E518">
      <w:start w:val="1"/>
      <w:numFmt w:val="bullet"/>
      <w:lvlText w:val=""/>
      <w:lvlJc w:val="left"/>
      <w:pPr>
        <w:ind w:left="720" w:hanging="360"/>
      </w:pPr>
      <w:rPr>
        <w:rFonts w:ascii="Symbol" w:hAnsi="Symbol"/>
      </w:rPr>
    </w:lvl>
  </w:abstractNum>
  <w:abstractNum w:abstractNumId="13" w15:restartNumberingAfterBreak="0">
    <w:nsid w:val="4A487F84"/>
    <w:multiLevelType w:val="hybridMultilevel"/>
    <w:tmpl w:val="8B18908C"/>
    <w:lvl w:ilvl="0" w:tplc="50F67CBA">
      <w:start w:val="1"/>
      <w:numFmt w:val="lowerRoman"/>
      <w:lvlText w:val="%1."/>
      <w:lvlJc w:val="left"/>
      <w:pPr>
        <w:ind w:left="1868" w:hanging="720"/>
      </w:pPr>
      <w:rPr>
        <w:rFonts w:hint="default"/>
      </w:rPr>
    </w:lvl>
    <w:lvl w:ilvl="1" w:tplc="0C090019" w:tentative="1">
      <w:start w:val="1"/>
      <w:numFmt w:val="lowerLetter"/>
      <w:lvlText w:val="%2."/>
      <w:lvlJc w:val="left"/>
      <w:pPr>
        <w:ind w:left="2228" w:hanging="360"/>
      </w:pPr>
    </w:lvl>
    <w:lvl w:ilvl="2" w:tplc="0C09001B" w:tentative="1">
      <w:start w:val="1"/>
      <w:numFmt w:val="lowerRoman"/>
      <w:lvlText w:val="%3."/>
      <w:lvlJc w:val="right"/>
      <w:pPr>
        <w:ind w:left="2948" w:hanging="180"/>
      </w:pPr>
    </w:lvl>
    <w:lvl w:ilvl="3" w:tplc="0C09000F" w:tentative="1">
      <w:start w:val="1"/>
      <w:numFmt w:val="decimal"/>
      <w:lvlText w:val="%4."/>
      <w:lvlJc w:val="left"/>
      <w:pPr>
        <w:ind w:left="3668" w:hanging="360"/>
      </w:pPr>
    </w:lvl>
    <w:lvl w:ilvl="4" w:tplc="0C090019" w:tentative="1">
      <w:start w:val="1"/>
      <w:numFmt w:val="lowerLetter"/>
      <w:lvlText w:val="%5."/>
      <w:lvlJc w:val="left"/>
      <w:pPr>
        <w:ind w:left="4388" w:hanging="360"/>
      </w:pPr>
    </w:lvl>
    <w:lvl w:ilvl="5" w:tplc="0C09001B" w:tentative="1">
      <w:start w:val="1"/>
      <w:numFmt w:val="lowerRoman"/>
      <w:lvlText w:val="%6."/>
      <w:lvlJc w:val="right"/>
      <w:pPr>
        <w:ind w:left="5108" w:hanging="180"/>
      </w:pPr>
    </w:lvl>
    <w:lvl w:ilvl="6" w:tplc="0C09000F" w:tentative="1">
      <w:start w:val="1"/>
      <w:numFmt w:val="decimal"/>
      <w:lvlText w:val="%7."/>
      <w:lvlJc w:val="left"/>
      <w:pPr>
        <w:ind w:left="5828" w:hanging="360"/>
      </w:pPr>
    </w:lvl>
    <w:lvl w:ilvl="7" w:tplc="0C090019" w:tentative="1">
      <w:start w:val="1"/>
      <w:numFmt w:val="lowerLetter"/>
      <w:lvlText w:val="%8."/>
      <w:lvlJc w:val="left"/>
      <w:pPr>
        <w:ind w:left="6548" w:hanging="360"/>
      </w:pPr>
    </w:lvl>
    <w:lvl w:ilvl="8" w:tplc="0C09001B" w:tentative="1">
      <w:start w:val="1"/>
      <w:numFmt w:val="lowerRoman"/>
      <w:lvlText w:val="%9."/>
      <w:lvlJc w:val="right"/>
      <w:pPr>
        <w:ind w:left="7268" w:hanging="180"/>
      </w:pPr>
    </w:lvl>
  </w:abstractNum>
  <w:abstractNum w:abstractNumId="14" w15:restartNumberingAfterBreak="0">
    <w:nsid w:val="50336B0D"/>
    <w:multiLevelType w:val="hybridMultilevel"/>
    <w:tmpl w:val="93D6F948"/>
    <w:lvl w:ilvl="0" w:tplc="F270368A">
      <w:start w:val="1"/>
      <w:numFmt w:val="lowerRoman"/>
      <w:pStyle w:val="Numberbullet3"/>
      <w:lvlText w:val="%1)"/>
      <w:lvlJc w:val="right"/>
      <w:pPr>
        <w:ind w:left="1505" w:hanging="360"/>
      </w:p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15" w15:restartNumberingAfterBreak="0">
    <w:nsid w:val="5C631426"/>
    <w:multiLevelType w:val="hybridMultilevel"/>
    <w:tmpl w:val="D3A61D1E"/>
    <w:lvl w:ilvl="0" w:tplc="6CBE42CA">
      <w:start w:val="1"/>
      <w:numFmt w:val="lowerLetter"/>
      <w:pStyle w:val="Heading5"/>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FC51E88"/>
    <w:multiLevelType w:val="hybridMultilevel"/>
    <w:tmpl w:val="0F044E18"/>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B71FEF"/>
    <w:multiLevelType w:val="hybridMultilevel"/>
    <w:tmpl w:val="B4500F6A"/>
    <w:lvl w:ilvl="0" w:tplc="A8BA9590">
      <w:start w:val="1"/>
      <w:numFmt w:val="bullet"/>
      <w:lvlText w:val=""/>
      <w:lvlJc w:val="left"/>
      <w:pPr>
        <w:ind w:left="720" w:hanging="360"/>
      </w:pPr>
      <w:rPr>
        <w:rFonts w:ascii="Symbol" w:hAnsi="Symbol"/>
      </w:rPr>
    </w:lvl>
    <w:lvl w:ilvl="1" w:tplc="5560C528">
      <w:start w:val="1"/>
      <w:numFmt w:val="bullet"/>
      <w:lvlText w:val=""/>
      <w:lvlJc w:val="left"/>
      <w:pPr>
        <w:ind w:left="720" w:hanging="360"/>
      </w:pPr>
      <w:rPr>
        <w:rFonts w:ascii="Symbol" w:hAnsi="Symbol"/>
      </w:rPr>
    </w:lvl>
    <w:lvl w:ilvl="2" w:tplc="254E9750">
      <w:start w:val="1"/>
      <w:numFmt w:val="bullet"/>
      <w:lvlText w:val=""/>
      <w:lvlJc w:val="left"/>
      <w:pPr>
        <w:ind w:left="720" w:hanging="360"/>
      </w:pPr>
      <w:rPr>
        <w:rFonts w:ascii="Symbol" w:hAnsi="Symbol"/>
      </w:rPr>
    </w:lvl>
    <w:lvl w:ilvl="3" w:tplc="78968A44">
      <w:start w:val="1"/>
      <w:numFmt w:val="bullet"/>
      <w:lvlText w:val=""/>
      <w:lvlJc w:val="left"/>
      <w:pPr>
        <w:ind w:left="720" w:hanging="360"/>
      </w:pPr>
      <w:rPr>
        <w:rFonts w:ascii="Symbol" w:hAnsi="Symbol"/>
      </w:rPr>
    </w:lvl>
    <w:lvl w:ilvl="4" w:tplc="DF4855CA">
      <w:start w:val="1"/>
      <w:numFmt w:val="bullet"/>
      <w:lvlText w:val=""/>
      <w:lvlJc w:val="left"/>
      <w:pPr>
        <w:ind w:left="720" w:hanging="360"/>
      </w:pPr>
      <w:rPr>
        <w:rFonts w:ascii="Symbol" w:hAnsi="Symbol"/>
      </w:rPr>
    </w:lvl>
    <w:lvl w:ilvl="5" w:tplc="A670B8EE">
      <w:start w:val="1"/>
      <w:numFmt w:val="bullet"/>
      <w:lvlText w:val=""/>
      <w:lvlJc w:val="left"/>
      <w:pPr>
        <w:ind w:left="720" w:hanging="360"/>
      </w:pPr>
      <w:rPr>
        <w:rFonts w:ascii="Symbol" w:hAnsi="Symbol"/>
      </w:rPr>
    </w:lvl>
    <w:lvl w:ilvl="6" w:tplc="FE40820C">
      <w:start w:val="1"/>
      <w:numFmt w:val="bullet"/>
      <w:lvlText w:val=""/>
      <w:lvlJc w:val="left"/>
      <w:pPr>
        <w:ind w:left="720" w:hanging="360"/>
      </w:pPr>
      <w:rPr>
        <w:rFonts w:ascii="Symbol" w:hAnsi="Symbol"/>
      </w:rPr>
    </w:lvl>
    <w:lvl w:ilvl="7" w:tplc="88C09542">
      <w:start w:val="1"/>
      <w:numFmt w:val="bullet"/>
      <w:lvlText w:val=""/>
      <w:lvlJc w:val="left"/>
      <w:pPr>
        <w:ind w:left="720" w:hanging="360"/>
      </w:pPr>
      <w:rPr>
        <w:rFonts w:ascii="Symbol" w:hAnsi="Symbol"/>
      </w:rPr>
    </w:lvl>
    <w:lvl w:ilvl="8" w:tplc="6D7CD046">
      <w:start w:val="1"/>
      <w:numFmt w:val="bullet"/>
      <w:lvlText w:val=""/>
      <w:lvlJc w:val="left"/>
      <w:pPr>
        <w:ind w:left="720" w:hanging="360"/>
      </w:pPr>
      <w:rPr>
        <w:rFonts w:ascii="Symbol" w:hAnsi="Symbol"/>
      </w:rPr>
    </w:lvl>
  </w:abstractNum>
  <w:abstractNum w:abstractNumId="18" w15:restartNumberingAfterBreak="0">
    <w:nsid w:val="7916197A"/>
    <w:multiLevelType w:val="hybridMultilevel"/>
    <w:tmpl w:val="2F16AF22"/>
    <w:lvl w:ilvl="0" w:tplc="4910445C">
      <w:start w:val="2"/>
      <w:numFmt w:val="bullet"/>
      <w:lvlText w:val="-"/>
      <w:lvlJc w:val="left"/>
      <w:pPr>
        <w:ind w:left="720" w:hanging="360"/>
      </w:pPr>
      <w:rPr>
        <w:rFonts w:ascii="Cambria" w:eastAsiaTheme="minorEastAsia" w:hAnsi="Cambri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A421763"/>
    <w:multiLevelType w:val="hybridMultilevel"/>
    <w:tmpl w:val="E9A8737A"/>
    <w:lvl w:ilvl="0" w:tplc="0C090001">
      <w:start w:val="1"/>
      <w:numFmt w:val="bullet"/>
      <w:pStyle w:val="Body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1097230">
    <w:abstractNumId w:val="3"/>
  </w:num>
  <w:num w:numId="2" w16cid:durableId="870067104">
    <w:abstractNumId w:val="6"/>
  </w:num>
  <w:num w:numId="3" w16cid:durableId="776367075">
    <w:abstractNumId w:val="0"/>
  </w:num>
  <w:num w:numId="4" w16cid:durableId="350569323">
    <w:abstractNumId w:val="5"/>
  </w:num>
  <w:num w:numId="5" w16cid:durableId="671222171">
    <w:abstractNumId w:val="10"/>
  </w:num>
  <w:num w:numId="6" w16cid:durableId="852691286">
    <w:abstractNumId w:val="7"/>
  </w:num>
  <w:num w:numId="7" w16cid:durableId="1062169600">
    <w:abstractNumId w:val="6"/>
  </w:num>
  <w:num w:numId="8" w16cid:durableId="11732394">
    <w:abstractNumId w:val="8"/>
  </w:num>
  <w:num w:numId="9" w16cid:durableId="2103913646">
    <w:abstractNumId w:val="14"/>
  </w:num>
  <w:num w:numId="10" w16cid:durableId="1479374813">
    <w:abstractNumId w:val="3"/>
  </w:num>
  <w:num w:numId="11" w16cid:durableId="1408653107">
    <w:abstractNumId w:val="17"/>
  </w:num>
  <w:num w:numId="12" w16cid:durableId="1055815737">
    <w:abstractNumId w:val="12"/>
  </w:num>
  <w:num w:numId="13" w16cid:durableId="121122285">
    <w:abstractNumId w:val="10"/>
    <w:lvlOverride w:ilvl="0">
      <w:startOverride w:val="1"/>
    </w:lvlOverride>
  </w:num>
  <w:num w:numId="14" w16cid:durableId="1511136608">
    <w:abstractNumId w:val="11"/>
  </w:num>
  <w:num w:numId="15" w16cid:durableId="643705503">
    <w:abstractNumId w:val="1"/>
  </w:num>
  <w:num w:numId="16" w16cid:durableId="1485004089">
    <w:abstractNumId w:val="9"/>
  </w:num>
  <w:num w:numId="17" w16cid:durableId="294994160">
    <w:abstractNumId w:val="16"/>
  </w:num>
  <w:num w:numId="18" w16cid:durableId="80417668">
    <w:abstractNumId w:val="15"/>
  </w:num>
  <w:num w:numId="19" w16cid:durableId="572007071">
    <w:abstractNumId w:val="15"/>
    <w:lvlOverride w:ilvl="0">
      <w:startOverride w:val="1"/>
    </w:lvlOverride>
  </w:num>
  <w:num w:numId="20" w16cid:durableId="1985969676">
    <w:abstractNumId w:val="15"/>
    <w:lvlOverride w:ilvl="0">
      <w:startOverride w:val="1"/>
    </w:lvlOverride>
  </w:num>
  <w:num w:numId="21" w16cid:durableId="1645349668">
    <w:abstractNumId w:val="15"/>
    <w:lvlOverride w:ilvl="0">
      <w:startOverride w:val="1"/>
    </w:lvlOverride>
  </w:num>
  <w:num w:numId="22" w16cid:durableId="1157722947">
    <w:abstractNumId w:val="2"/>
  </w:num>
  <w:num w:numId="23" w16cid:durableId="934023491">
    <w:abstractNumId w:val="19"/>
  </w:num>
  <w:num w:numId="24" w16cid:durableId="253442795">
    <w:abstractNumId w:val="18"/>
  </w:num>
  <w:num w:numId="25" w16cid:durableId="751203012">
    <w:abstractNumId w:val="4"/>
  </w:num>
  <w:num w:numId="26" w16cid:durableId="189847312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3B"/>
    <w:rsid w:val="00000F5C"/>
    <w:rsid w:val="000071A4"/>
    <w:rsid w:val="00031548"/>
    <w:rsid w:val="000579C9"/>
    <w:rsid w:val="00066A9C"/>
    <w:rsid w:val="000718BF"/>
    <w:rsid w:val="00074990"/>
    <w:rsid w:val="000871F7"/>
    <w:rsid w:val="00087220"/>
    <w:rsid w:val="00090E7F"/>
    <w:rsid w:val="00091EE3"/>
    <w:rsid w:val="00094B81"/>
    <w:rsid w:val="000A3CAD"/>
    <w:rsid w:val="000A4597"/>
    <w:rsid w:val="000A7B7F"/>
    <w:rsid w:val="000C762D"/>
    <w:rsid w:val="000C7E9E"/>
    <w:rsid w:val="000D398C"/>
    <w:rsid w:val="000D70C8"/>
    <w:rsid w:val="000D7877"/>
    <w:rsid w:val="000E2074"/>
    <w:rsid w:val="000E22B7"/>
    <w:rsid w:val="000E45C7"/>
    <w:rsid w:val="000E6ADB"/>
    <w:rsid w:val="000F1155"/>
    <w:rsid w:val="000F27F2"/>
    <w:rsid w:val="00101619"/>
    <w:rsid w:val="00103384"/>
    <w:rsid w:val="001175DD"/>
    <w:rsid w:val="0012473C"/>
    <w:rsid w:val="00130CDB"/>
    <w:rsid w:val="00132F02"/>
    <w:rsid w:val="001330F6"/>
    <w:rsid w:val="00137F08"/>
    <w:rsid w:val="0014199B"/>
    <w:rsid w:val="00154719"/>
    <w:rsid w:val="001565A8"/>
    <w:rsid w:val="00166FF4"/>
    <w:rsid w:val="001721DC"/>
    <w:rsid w:val="00175CD8"/>
    <w:rsid w:val="00177F9C"/>
    <w:rsid w:val="00187D38"/>
    <w:rsid w:val="00192DCF"/>
    <w:rsid w:val="00197A07"/>
    <w:rsid w:val="001A5C54"/>
    <w:rsid w:val="001B08AC"/>
    <w:rsid w:val="001D1693"/>
    <w:rsid w:val="001E3587"/>
    <w:rsid w:val="001E6510"/>
    <w:rsid w:val="002008D8"/>
    <w:rsid w:val="00205945"/>
    <w:rsid w:val="0022240B"/>
    <w:rsid w:val="002252F0"/>
    <w:rsid w:val="0023031D"/>
    <w:rsid w:val="002460B9"/>
    <w:rsid w:val="00255228"/>
    <w:rsid w:val="0026342B"/>
    <w:rsid w:val="00264B9E"/>
    <w:rsid w:val="00270B01"/>
    <w:rsid w:val="00284CF0"/>
    <w:rsid w:val="002A2130"/>
    <w:rsid w:val="002A6A67"/>
    <w:rsid w:val="002B0C65"/>
    <w:rsid w:val="002B2D4A"/>
    <w:rsid w:val="002B5A28"/>
    <w:rsid w:val="002B7DAC"/>
    <w:rsid w:val="002C0F07"/>
    <w:rsid w:val="002C501D"/>
    <w:rsid w:val="002C7C3B"/>
    <w:rsid w:val="002D038D"/>
    <w:rsid w:val="002D1160"/>
    <w:rsid w:val="002D3FDB"/>
    <w:rsid w:val="002D6D0D"/>
    <w:rsid w:val="002F04E2"/>
    <w:rsid w:val="002F1913"/>
    <w:rsid w:val="003008D8"/>
    <w:rsid w:val="0030499C"/>
    <w:rsid w:val="00313D83"/>
    <w:rsid w:val="00315F26"/>
    <w:rsid w:val="00334E7E"/>
    <w:rsid w:val="003364A9"/>
    <w:rsid w:val="003422B7"/>
    <w:rsid w:val="00346786"/>
    <w:rsid w:val="0035444D"/>
    <w:rsid w:val="00392F07"/>
    <w:rsid w:val="0039546E"/>
    <w:rsid w:val="003B31F2"/>
    <w:rsid w:val="003B3C86"/>
    <w:rsid w:val="003C3F3C"/>
    <w:rsid w:val="003F5C37"/>
    <w:rsid w:val="003F5D67"/>
    <w:rsid w:val="003F6469"/>
    <w:rsid w:val="0040213A"/>
    <w:rsid w:val="00406E89"/>
    <w:rsid w:val="00417551"/>
    <w:rsid w:val="004246B8"/>
    <w:rsid w:val="0042518D"/>
    <w:rsid w:val="004255FA"/>
    <w:rsid w:val="00431287"/>
    <w:rsid w:val="004338DD"/>
    <w:rsid w:val="00434B48"/>
    <w:rsid w:val="00436314"/>
    <w:rsid w:val="004424BC"/>
    <w:rsid w:val="00446C41"/>
    <w:rsid w:val="00463BED"/>
    <w:rsid w:val="00466417"/>
    <w:rsid w:val="004667F5"/>
    <w:rsid w:val="00471801"/>
    <w:rsid w:val="00474550"/>
    <w:rsid w:val="00486551"/>
    <w:rsid w:val="004A1CD9"/>
    <w:rsid w:val="004A64F2"/>
    <w:rsid w:val="004B3B77"/>
    <w:rsid w:val="004D7B3C"/>
    <w:rsid w:val="004E5BC0"/>
    <w:rsid w:val="004F7D0A"/>
    <w:rsid w:val="005015D3"/>
    <w:rsid w:val="005167A9"/>
    <w:rsid w:val="00517732"/>
    <w:rsid w:val="00520288"/>
    <w:rsid w:val="005212A2"/>
    <w:rsid w:val="00522B11"/>
    <w:rsid w:val="005266AA"/>
    <w:rsid w:val="00531034"/>
    <w:rsid w:val="00533784"/>
    <w:rsid w:val="00551491"/>
    <w:rsid w:val="005656F7"/>
    <w:rsid w:val="00572B2E"/>
    <w:rsid w:val="005765EF"/>
    <w:rsid w:val="0058575E"/>
    <w:rsid w:val="0058767F"/>
    <w:rsid w:val="00590D0F"/>
    <w:rsid w:val="00594004"/>
    <w:rsid w:val="00594663"/>
    <w:rsid w:val="005A1258"/>
    <w:rsid w:val="005A20D5"/>
    <w:rsid w:val="005A34E2"/>
    <w:rsid w:val="005A43C3"/>
    <w:rsid w:val="005A7366"/>
    <w:rsid w:val="005B0702"/>
    <w:rsid w:val="005C39AC"/>
    <w:rsid w:val="005D5471"/>
    <w:rsid w:val="005E0799"/>
    <w:rsid w:val="005E1CDC"/>
    <w:rsid w:val="005E2D9D"/>
    <w:rsid w:val="005E631F"/>
    <w:rsid w:val="005F3844"/>
    <w:rsid w:val="006101F2"/>
    <w:rsid w:val="00610820"/>
    <w:rsid w:val="00615BC6"/>
    <w:rsid w:val="006228C9"/>
    <w:rsid w:val="0062702A"/>
    <w:rsid w:val="00632DD1"/>
    <w:rsid w:val="00646A43"/>
    <w:rsid w:val="0065705D"/>
    <w:rsid w:val="00660A72"/>
    <w:rsid w:val="006622A9"/>
    <w:rsid w:val="00664AE4"/>
    <w:rsid w:val="00667C36"/>
    <w:rsid w:val="006757DB"/>
    <w:rsid w:val="00677932"/>
    <w:rsid w:val="006804F6"/>
    <w:rsid w:val="00682F92"/>
    <w:rsid w:val="0068540D"/>
    <w:rsid w:val="006865DD"/>
    <w:rsid w:val="00691DCE"/>
    <w:rsid w:val="00692401"/>
    <w:rsid w:val="00692E22"/>
    <w:rsid w:val="0069484E"/>
    <w:rsid w:val="006A0122"/>
    <w:rsid w:val="006A1F0B"/>
    <w:rsid w:val="006A3F6E"/>
    <w:rsid w:val="006A4D44"/>
    <w:rsid w:val="006C46D9"/>
    <w:rsid w:val="006C4C82"/>
    <w:rsid w:val="006C7A82"/>
    <w:rsid w:val="006E63B5"/>
    <w:rsid w:val="006F24DD"/>
    <w:rsid w:val="006F72E6"/>
    <w:rsid w:val="007004FB"/>
    <w:rsid w:val="00702274"/>
    <w:rsid w:val="007078FB"/>
    <w:rsid w:val="0071063C"/>
    <w:rsid w:val="00724B63"/>
    <w:rsid w:val="00734B4F"/>
    <w:rsid w:val="007408ED"/>
    <w:rsid w:val="00746990"/>
    <w:rsid w:val="00746C25"/>
    <w:rsid w:val="00751544"/>
    <w:rsid w:val="0075172C"/>
    <w:rsid w:val="007615D6"/>
    <w:rsid w:val="007907FE"/>
    <w:rsid w:val="007955D7"/>
    <w:rsid w:val="007B0F4F"/>
    <w:rsid w:val="007B2BFE"/>
    <w:rsid w:val="007B5171"/>
    <w:rsid w:val="007C5D92"/>
    <w:rsid w:val="007D0120"/>
    <w:rsid w:val="007E5150"/>
    <w:rsid w:val="007E5371"/>
    <w:rsid w:val="007F0A77"/>
    <w:rsid w:val="00800A58"/>
    <w:rsid w:val="00800CAD"/>
    <w:rsid w:val="00806C16"/>
    <w:rsid w:val="00815BAA"/>
    <w:rsid w:val="00817892"/>
    <w:rsid w:val="0082372E"/>
    <w:rsid w:val="008329DB"/>
    <w:rsid w:val="008349FE"/>
    <w:rsid w:val="00840750"/>
    <w:rsid w:val="008410B1"/>
    <w:rsid w:val="008537AB"/>
    <w:rsid w:val="00863A28"/>
    <w:rsid w:val="00870D45"/>
    <w:rsid w:val="00872E4D"/>
    <w:rsid w:val="0088476F"/>
    <w:rsid w:val="00896C38"/>
    <w:rsid w:val="008B1340"/>
    <w:rsid w:val="008B6F93"/>
    <w:rsid w:val="008C3425"/>
    <w:rsid w:val="008D5005"/>
    <w:rsid w:val="008E45F1"/>
    <w:rsid w:val="008E47CE"/>
    <w:rsid w:val="00900E92"/>
    <w:rsid w:val="00901EE5"/>
    <w:rsid w:val="009031DD"/>
    <w:rsid w:val="0090744F"/>
    <w:rsid w:val="009132A2"/>
    <w:rsid w:val="00915A60"/>
    <w:rsid w:val="0092029F"/>
    <w:rsid w:val="00930D58"/>
    <w:rsid w:val="00931300"/>
    <w:rsid w:val="00931EFB"/>
    <w:rsid w:val="00940003"/>
    <w:rsid w:val="009406C4"/>
    <w:rsid w:val="009421DD"/>
    <w:rsid w:val="0095170C"/>
    <w:rsid w:val="0097349D"/>
    <w:rsid w:val="009803BB"/>
    <w:rsid w:val="00984249"/>
    <w:rsid w:val="009905C4"/>
    <w:rsid w:val="0099143E"/>
    <w:rsid w:val="009A7948"/>
    <w:rsid w:val="009B2B9F"/>
    <w:rsid w:val="009D1E46"/>
    <w:rsid w:val="009D6FFF"/>
    <w:rsid w:val="009E156C"/>
    <w:rsid w:val="009E37E6"/>
    <w:rsid w:val="009E68A6"/>
    <w:rsid w:val="00A042CD"/>
    <w:rsid w:val="00A2324D"/>
    <w:rsid w:val="00A2526D"/>
    <w:rsid w:val="00A40B3A"/>
    <w:rsid w:val="00A41E83"/>
    <w:rsid w:val="00A44821"/>
    <w:rsid w:val="00A45E26"/>
    <w:rsid w:val="00A51291"/>
    <w:rsid w:val="00A52D56"/>
    <w:rsid w:val="00A80578"/>
    <w:rsid w:val="00A8353F"/>
    <w:rsid w:val="00A95C7E"/>
    <w:rsid w:val="00A96BB1"/>
    <w:rsid w:val="00A97476"/>
    <w:rsid w:val="00AA6A33"/>
    <w:rsid w:val="00AB4A25"/>
    <w:rsid w:val="00AB6DDA"/>
    <w:rsid w:val="00AB785C"/>
    <w:rsid w:val="00AB7AE6"/>
    <w:rsid w:val="00AB7B01"/>
    <w:rsid w:val="00AB7CBF"/>
    <w:rsid w:val="00AC730D"/>
    <w:rsid w:val="00AD1DF7"/>
    <w:rsid w:val="00AD69F2"/>
    <w:rsid w:val="00AD6B6E"/>
    <w:rsid w:val="00AE37B7"/>
    <w:rsid w:val="00AF269B"/>
    <w:rsid w:val="00AF4797"/>
    <w:rsid w:val="00B00C76"/>
    <w:rsid w:val="00B03B68"/>
    <w:rsid w:val="00B063A1"/>
    <w:rsid w:val="00B134DB"/>
    <w:rsid w:val="00B46BC0"/>
    <w:rsid w:val="00B602D5"/>
    <w:rsid w:val="00B64F59"/>
    <w:rsid w:val="00B709A0"/>
    <w:rsid w:val="00B732C4"/>
    <w:rsid w:val="00B840F2"/>
    <w:rsid w:val="00B85319"/>
    <w:rsid w:val="00B86ECA"/>
    <w:rsid w:val="00B90317"/>
    <w:rsid w:val="00B91DDC"/>
    <w:rsid w:val="00B94C08"/>
    <w:rsid w:val="00B96678"/>
    <w:rsid w:val="00B977DF"/>
    <w:rsid w:val="00BB054C"/>
    <w:rsid w:val="00BB0FCE"/>
    <w:rsid w:val="00BB3352"/>
    <w:rsid w:val="00BB6773"/>
    <w:rsid w:val="00BC0390"/>
    <w:rsid w:val="00BC0949"/>
    <w:rsid w:val="00BD4C76"/>
    <w:rsid w:val="00BE0D83"/>
    <w:rsid w:val="00BF6B60"/>
    <w:rsid w:val="00C1097B"/>
    <w:rsid w:val="00C16445"/>
    <w:rsid w:val="00C418D9"/>
    <w:rsid w:val="00C435BF"/>
    <w:rsid w:val="00C47479"/>
    <w:rsid w:val="00C62A59"/>
    <w:rsid w:val="00C71924"/>
    <w:rsid w:val="00C77F41"/>
    <w:rsid w:val="00C91B2B"/>
    <w:rsid w:val="00CA3301"/>
    <w:rsid w:val="00CA5B4B"/>
    <w:rsid w:val="00CB0550"/>
    <w:rsid w:val="00CB4F51"/>
    <w:rsid w:val="00CB5348"/>
    <w:rsid w:val="00CC381E"/>
    <w:rsid w:val="00CC434E"/>
    <w:rsid w:val="00CD03DE"/>
    <w:rsid w:val="00CF3718"/>
    <w:rsid w:val="00CF5539"/>
    <w:rsid w:val="00D02664"/>
    <w:rsid w:val="00D06DD9"/>
    <w:rsid w:val="00D078BE"/>
    <w:rsid w:val="00D13F8A"/>
    <w:rsid w:val="00D6796A"/>
    <w:rsid w:val="00D750E1"/>
    <w:rsid w:val="00D86D27"/>
    <w:rsid w:val="00D918D5"/>
    <w:rsid w:val="00D92963"/>
    <w:rsid w:val="00D92FD7"/>
    <w:rsid w:val="00D960DB"/>
    <w:rsid w:val="00D97437"/>
    <w:rsid w:val="00DB06E3"/>
    <w:rsid w:val="00DE1602"/>
    <w:rsid w:val="00DF0452"/>
    <w:rsid w:val="00DF62EA"/>
    <w:rsid w:val="00E008B8"/>
    <w:rsid w:val="00E2080C"/>
    <w:rsid w:val="00E4380A"/>
    <w:rsid w:val="00E53D3F"/>
    <w:rsid w:val="00E55BAE"/>
    <w:rsid w:val="00E562E4"/>
    <w:rsid w:val="00E75D64"/>
    <w:rsid w:val="00E81CC3"/>
    <w:rsid w:val="00E86063"/>
    <w:rsid w:val="00E92478"/>
    <w:rsid w:val="00EA2645"/>
    <w:rsid w:val="00EC424C"/>
    <w:rsid w:val="00ED5F5D"/>
    <w:rsid w:val="00EE0E9A"/>
    <w:rsid w:val="00EE3AA2"/>
    <w:rsid w:val="00EE57BE"/>
    <w:rsid w:val="00EF4D44"/>
    <w:rsid w:val="00EF577B"/>
    <w:rsid w:val="00F02AEC"/>
    <w:rsid w:val="00F04409"/>
    <w:rsid w:val="00F124E1"/>
    <w:rsid w:val="00F14E79"/>
    <w:rsid w:val="00F17EF1"/>
    <w:rsid w:val="00F2283B"/>
    <w:rsid w:val="00F27100"/>
    <w:rsid w:val="00F55DD1"/>
    <w:rsid w:val="00F56000"/>
    <w:rsid w:val="00F56466"/>
    <w:rsid w:val="00F63A70"/>
    <w:rsid w:val="00F72BFA"/>
    <w:rsid w:val="00F74199"/>
    <w:rsid w:val="00F82AB6"/>
    <w:rsid w:val="00FA2512"/>
    <w:rsid w:val="00FA49C3"/>
    <w:rsid w:val="00FA52BC"/>
    <w:rsid w:val="00FB361D"/>
    <w:rsid w:val="00FC78A8"/>
    <w:rsid w:val="00FD31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C0C5F"/>
  <w15:docId w15:val="{6B0714BE-298B-4F06-A321-8F0D8743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54C"/>
    <w:rPr>
      <w:rFonts w:ascii="Arial" w:hAnsi="Arial"/>
    </w:rPr>
  </w:style>
  <w:style w:type="paragraph" w:styleId="Heading1">
    <w:name w:val="heading 1"/>
    <w:basedOn w:val="Normal"/>
    <w:next w:val="Normal"/>
    <w:link w:val="Heading1Char"/>
    <w:uiPriority w:val="9"/>
    <w:qFormat/>
    <w:rsid w:val="00CC38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C381E"/>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CC381E"/>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531034"/>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uiPriority w:val="9"/>
    <w:rsid w:val="00BB054C"/>
    <w:pPr>
      <w:keepNext/>
      <w:keepLines/>
      <w:numPr>
        <w:numId w:val="18"/>
      </w:numPr>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594004"/>
    <w:pPr>
      <w:keepNext/>
      <w:keepLines/>
      <w:spacing w:before="240" w:line="240" w:lineRule="atLeast"/>
      <w:ind w:firstLine="720"/>
      <w:outlineLvl w:val="5"/>
    </w:pPr>
    <w:rPr>
      <w:rFonts w:eastAsia="Times New Roman" w:cs="Times New Roman"/>
      <w:bCs/>
      <w:color w:val="001871"/>
      <w:sz w:val="24"/>
      <w:szCs w:val="21"/>
    </w:rPr>
  </w:style>
  <w:style w:type="paragraph" w:styleId="Heading7">
    <w:name w:val="heading 7"/>
    <w:basedOn w:val="Normal"/>
    <w:next w:val="Normal"/>
    <w:link w:val="Heading7Char"/>
    <w:uiPriority w:val="9"/>
    <w:rsid w:val="00CC381E"/>
    <w:pPr>
      <w:keepNext/>
      <w:keepLines/>
      <w:spacing w:before="240" w:after="60" w:line="180" w:lineRule="atLeast"/>
      <w:ind w:left="1296" w:hanging="1296"/>
      <w:outlineLvl w:val="6"/>
    </w:pPr>
    <w:rPr>
      <w:rFonts w:ascii="Cambria" w:eastAsia="Times New Roman" w:hAnsi="Cambria" w:cs="Times New Roman"/>
      <w:bCs/>
      <w:i/>
      <w:szCs w:val="22"/>
    </w:rPr>
  </w:style>
  <w:style w:type="paragraph" w:styleId="Heading8">
    <w:name w:val="heading 8"/>
    <w:basedOn w:val="Normal"/>
    <w:next w:val="Normal"/>
    <w:link w:val="Heading8Char"/>
    <w:autoRedefine/>
    <w:uiPriority w:val="9"/>
    <w:semiHidden/>
    <w:unhideWhenUsed/>
    <w:qFormat/>
    <w:rsid w:val="00CC381E"/>
    <w:pPr>
      <w:keepNext/>
      <w:keepLines/>
      <w:spacing w:before="200" w:after="0" w:line="240" w:lineRule="atLeast"/>
      <w:ind w:left="1440" w:hanging="1440"/>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CC381E"/>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CC381E"/>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character" w:customStyle="1" w:styleId="Heading2Char">
    <w:name w:val="Heading 2 Char"/>
    <w:basedOn w:val="DefaultParagraphFont"/>
    <w:link w:val="Heading2"/>
    <w:rsid w:val="00CC381E"/>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CC381E"/>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531034"/>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BB054C"/>
    <w:rPr>
      <w:rFonts w:ascii="Arial" w:eastAsia="Times New Roman" w:hAnsi="Arial" w:cs="Times New Roman"/>
      <w:bCs/>
      <w:i/>
      <w:color w:val="001871"/>
      <w:sz w:val="26"/>
      <w:szCs w:val="26"/>
    </w:rPr>
  </w:style>
  <w:style w:type="character" w:customStyle="1" w:styleId="Heading6Char">
    <w:name w:val="Heading 6 Char"/>
    <w:basedOn w:val="DefaultParagraphFont"/>
    <w:link w:val="Heading6"/>
    <w:uiPriority w:val="9"/>
    <w:rsid w:val="00594004"/>
    <w:rPr>
      <w:rFonts w:ascii="Arial" w:eastAsia="Times New Roman" w:hAnsi="Arial" w:cs="Times New Roman"/>
      <w:bCs/>
      <w:color w:val="001871"/>
      <w:sz w:val="24"/>
      <w:szCs w:val="21"/>
    </w:rPr>
  </w:style>
  <w:style w:type="paragraph" w:styleId="Date">
    <w:name w:val="Date"/>
    <w:basedOn w:val="Normal"/>
    <w:next w:val="Normal"/>
    <w:link w:val="DateChar"/>
    <w:uiPriority w:val="99"/>
    <w:rsid w:val="00CC381E"/>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CC381E"/>
    <w:rPr>
      <w:rFonts w:ascii="Arial" w:eastAsia="Cambria" w:hAnsi="Arial" w:cs="Times New Roman"/>
      <w:color w:val="333F4A"/>
      <w:sz w:val="28"/>
    </w:rPr>
  </w:style>
  <w:style w:type="paragraph" w:styleId="Footer">
    <w:name w:val="footer"/>
    <w:basedOn w:val="Normal"/>
    <w:link w:val="FooterChar"/>
    <w:uiPriority w:val="99"/>
    <w:rsid w:val="00CC381E"/>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CC381E"/>
    <w:rPr>
      <w:rFonts w:ascii="Arial" w:eastAsia="Cambria" w:hAnsi="Arial" w:cs="Times New Roman"/>
      <w:color w:val="333F4A"/>
      <w:sz w:val="17"/>
    </w:rPr>
  </w:style>
  <w:style w:type="paragraph" w:styleId="Header">
    <w:name w:val="header"/>
    <w:basedOn w:val="Normal"/>
    <w:link w:val="HeaderChar"/>
    <w:uiPriority w:val="99"/>
    <w:rsid w:val="00CC381E"/>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CC381E"/>
    <w:rPr>
      <w:rFonts w:ascii="Arial" w:eastAsia="Cambria" w:hAnsi="Arial" w:cs="Times New Roman"/>
      <w:color w:val="333F4A"/>
      <w:sz w:val="17"/>
    </w:rPr>
  </w:style>
  <w:style w:type="character" w:styleId="Hyperlink">
    <w:name w:val="Hyperlink"/>
    <w:aliases w:val="OECD Hyperlink"/>
    <w:basedOn w:val="DefaultParagraphFont"/>
    <w:uiPriority w:val="99"/>
    <w:unhideWhenUsed/>
    <w:rsid w:val="00CC381E"/>
    <w:rPr>
      <w:rFonts w:ascii="Arial" w:hAnsi="Arial"/>
      <w:color w:val="0000FF"/>
      <w:u w:val="single"/>
    </w:rPr>
  </w:style>
  <w:style w:type="paragraph" w:customStyle="1" w:styleId="LegalCopy">
    <w:name w:val="Legal Copy"/>
    <w:basedOn w:val="Footer"/>
    <w:rsid w:val="00CC381E"/>
  </w:style>
  <w:style w:type="paragraph" w:customStyle="1" w:styleId="LegalSubheading">
    <w:name w:val="Legal Subheading"/>
    <w:basedOn w:val="Normal"/>
    <w:rsid w:val="00CC381E"/>
    <w:pPr>
      <w:outlineLvl w:val="1"/>
    </w:pPr>
    <w:rPr>
      <w:sz w:val="17"/>
    </w:rPr>
  </w:style>
  <w:style w:type="paragraph" w:styleId="ListBullet">
    <w:name w:val="List Bullet"/>
    <w:basedOn w:val="Normal"/>
    <w:link w:val="ListBulletChar"/>
    <w:autoRedefine/>
    <w:uiPriority w:val="2"/>
    <w:qFormat/>
    <w:rsid w:val="00132F02"/>
    <w:pPr>
      <w:numPr>
        <w:numId w:val="7"/>
      </w:numPr>
      <w:spacing w:before="120" w:after="180" w:line="240" w:lineRule="atLeast"/>
      <w:ind w:left="357" w:hanging="357"/>
    </w:pPr>
    <w:rPr>
      <w:rFonts w:eastAsia="Cambria" w:cs="Times New Roman"/>
    </w:rPr>
  </w:style>
  <w:style w:type="paragraph" w:styleId="ListBullet2">
    <w:name w:val="List Bullet 2"/>
    <w:basedOn w:val="Normal"/>
    <w:uiPriority w:val="2"/>
    <w:qFormat/>
    <w:rsid w:val="006101F2"/>
    <w:pPr>
      <w:numPr>
        <w:ilvl w:val="1"/>
        <w:numId w:val="7"/>
      </w:numPr>
      <w:spacing w:before="120" w:after="180" w:line="240" w:lineRule="atLeast"/>
    </w:pPr>
    <w:rPr>
      <w:rFonts w:eastAsia="Cambria" w:cs="Times New Roman"/>
    </w:rPr>
  </w:style>
  <w:style w:type="paragraph" w:styleId="ListBullet3">
    <w:name w:val="List Bullet 3"/>
    <w:basedOn w:val="Normal"/>
    <w:uiPriority w:val="2"/>
    <w:qFormat/>
    <w:rsid w:val="00CC381E"/>
    <w:pPr>
      <w:numPr>
        <w:numId w:val="4"/>
      </w:numPr>
      <w:spacing w:before="120" w:after="180" w:line="240" w:lineRule="atLeast"/>
    </w:pPr>
    <w:rPr>
      <w:rFonts w:eastAsia="Cambria" w:cs="Times New Roman"/>
      <w:color w:val="333F48"/>
    </w:rPr>
  </w:style>
  <w:style w:type="numbering" w:customStyle="1" w:styleId="ListBullets">
    <w:name w:val="ListBullets"/>
    <w:uiPriority w:val="99"/>
    <w:locked/>
    <w:rsid w:val="00CC381E"/>
    <w:pPr>
      <w:numPr>
        <w:numId w:val="2"/>
      </w:numPr>
    </w:pPr>
  </w:style>
  <w:style w:type="paragraph" w:customStyle="1" w:styleId="Numberbullet0">
    <w:name w:val="Number bullet"/>
    <w:basedOn w:val="ListBullet"/>
    <w:uiPriority w:val="3"/>
    <w:qFormat/>
    <w:rsid w:val="00CC381E"/>
    <w:pPr>
      <w:numPr>
        <w:numId w:val="10"/>
      </w:numPr>
    </w:pPr>
  </w:style>
  <w:style w:type="paragraph" w:customStyle="1" w:styleId="Numberbullet2">
    <w:name w:val="Number bullet 2"/>
    <w:basedOn w:val="ListBullet2"/>
    <w:uiPriority w:val="3"/>
    <w:qFormat/>
    <w:rsid w:val="00CC381E"/>
    <w:pPr>
      <w:numPr>
        <w:ilvl w:val="0"/>
        <w:numId w:val="8"/>
      </w:numPr>
    </w:pPr>
  </w:style>
  <w:style w:type="paragraph" w:customStyle="1" w:styleId="Numberbullet3">
    <w:name w:val="Number bullet 3"/>
    <w:basedOn w:val="Normal"/>
    <w:uiPriority w:val="3"/>
    <w:qFormat/>
    <w:rsid w:val="002A2130"/>
    <w:pPr>
      <w:numPr>
        <w:numId w:val="9"/>
      </w:numPr>
      <w:spacing w:before="120" w:after="180" w:line="240" w:lineRule="atLeast"/>
    </w:pPr>
    <w:rPr>
      <w:rFonts w:eastAsia="Cambria" w:cs="Times New Roman"/>
      <w:color w:val="333F48"/>
    </w:rPr>
  </w:style>
  <w:style w:type="numbering" w:customStyle="1" w:styleId="NumberBullet">
    <w:name w:val="NumberBullet"/>
    <w:uiPriority w:val="99"/>
    <w:locked/>
    <w:rsid w:val="00CC381E"/>
    <w:pPr>
      <w:numPr>
        <w:numId w:val="1"/>
      </w:numPr>
    </w:pPr>
  </w:style>
  <w:style w:type="paragraph" w:styleId="Subtitle">
    <w:name w:val="Subtitle"/>
    <w:basedOn w:val="Normal"/>
    <w:link w:val="SubtitleChar"/>
    <w:uiPriority w:val="11"/>
    <w:rsid w:val="00CC381E"/>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CC381E"/>
    <w:rPr>
      <w:rFonts w:ascii="Arial" w:eastAsia="Times New Roman" w:hAnsi="Arial" w:cs="Times New Roman"/>
      <w:bCs/>
      <w:iCs/>
      <w:color w:val="006BA6"/>
      <w:sz w:val="40"/>
      <w:szCs w:val="24"/>
    </w:rPr>
  </w:style>
  <w:style w:type="table" w:styleId="TableGrid">
    <w:name w:val="Table Grid"/>
    <w:basedOn w:val="TableNormal"/>
    <w:uiPriority w:val="59"/>
    <w:rsid w:val="00CC381E"/>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CC381E"/>
    <w:pPr>
      <w:spacing w:before="120" w:after="360" w:line="240" w:lineRule="atLeast"/>
      <w:jc w:val="center"/>
    </w:pPr>
    <w:rPr>
      <w:rFonts w:eastAsia="Cambria" w:cs="Times New Roman"/>
      <w:b/>
      <w:color w:val="333F48"/>
      <w:sz w:val="28"/>
    </w:rPr>
  </w:style>
  <w:style w:type="paragraph" w:styleId="Title">
    <w:name w:val="Title"/>
    <w:link w:val="TitleChar"/>
    <w:uiPriority w:val="10"/>
    <w:rsid w:val="00CC381E"/>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CC381E"/>
    <w:rPr>
      <w:rFonts w:ascii="Arial" w:eastAsia="Times New Roman" w:hAnsi="Arial" w:cs="Times New Roman"/>
      <w:color w:val="001871"/>
      <w:spacing w:val="5"/>
      <w:kern w:val="28"/>
      <w:sz w:val="52"/>
      <w:szCs w:val="52"/>
    </w:rPr>
  </w:style>
  <w:style w:type="paragraph" w:styleId="TOC1">
    <w:name w:val="toc 1"/>
    <w:basedOn w:val="Normal"/>
    <w:next w:val="Normal"/>
    <w:autoRedefine/>
    <w:uiPriority w:val="39"/>
    <w:unhideWhenUsed/>
    <w:rsid w:val="00CC381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CC381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CC381E"/>
    <w:pPr>
      <w:keepNext/>
      <w:keepLines/>
      <w:tabs>
        <w:tab w:val="right" w:leader="hyphen" w:pos="8505"/>
      </w:tabs>
      <w:spacing w:before="60" w:after="0" w:line="240" w:lineRule="atLeast"/>
      <w:ind w:left="851"/>
    </w:pPr>
    <w:rPr>
      <w:rFonts w:eastAsia="Cambria" w:cs="Times New Roman"/>
      <w:color w:val="333F48"/>
      <w:sz w:val="22"/>
    </w:rPr>
  </w:style>
  <w:style w:type="paragraph" w:styleId="FootnoteText">
    <w:name w:val="footnote text"/>
    <w:basedOn w:val="Normal"/>
    <w:link w:val="FootnoteTextChar"/>
    <w:rsid w:val="00CC381E"/>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CC381E"/>
    <w:rPr>
      <w:rFonts w:ascii="Arial" w:eastAsia="Cambria" w:hAnsi="Arial" w:cs="Times New Roman"/>
      <w:color w:val="333F48"/>
      <w:sz w:val="16"/>
    </w:rPr>
  </w:style>
  <w:style w:type="character" w:styleId="FootnoteReference">
    <w:name w:val="footnote reference"/>
    <w:basedOn w:val="DefaultParagraphFont"/>
    <w:uiPriority w:val="99"/>
    <w:unhideWhenUsed/>
    <w:rsid w:val="00CC381E"/>
    <w:rPr>
      <w:vertAlign w:val="superscript"/>
    </w:rPr>
  </w:style>
  <w:style w:type="paragraph" w:customStyle="1" w:styleId="NonTOCheading2">
    <w:name w:val="Non TOC heading 2"/>
    <w:basedOn w:val="Normal"/>
    <w:next w:val="Normal"/>
    <w:rsid w:val="00CC381E"/>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CC381E"/>
    <w:pPr>
      <w:pBdr>
        <w:bottom w:val="none" w:sz="0" w:space="0" w:color="auto"/>
      </w:pBdr>
      <w:spacing w:line="240" w:lineRule="atLeast"/>
    </w:pPr>
  </w:style>
  <w:style w:type="paragraph" w:customStyle="1" w:styleId="Tabledescription">
    <w:name w:val="Table description"/>
    <w:basedOn w:val="Normal"/>
    <w:next w:val="Normal"/>
    <w:rsid w:val="00CC381E"/>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CC381E"/>
    <w:pPr>
      <w:keepNext/>
      <w:spacing w:before="120" w:after="180" w:line="240" w:lineRule="atLeast"/>
    </w:pPr>
    <w:rPr>
      <w:rFonts w:eastAsia="Cambria" w:cs="Times New Roman"/>
      <w:b/>
      <w:color w:val="333F48"/>
    </w:rPr>
  </w:style>
  <w:style w:type="paragraph" w:customStyle="1" w:styleId="Address">
    <w:name w:val="Address"/>
    <w:basedOn w:val="Normal"/>
    <w:rsid w:val="00CC381E"/>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CC381E"/>
    <w:pPr>
      <w:tabs>
        <w:tab w:val="left" w:pos="425"/>
      </w:tabs>
    </w:pPr>
  </w:style>
  <w:style w:type="paragraph" w:customStyle="1" w:styleId="ListBullet-donotcross">
    <w:name w:val="List Bullet - do not (cross)"/>
    <w:basedOn w:val="ListBullet"/>
    <w:autoRedefine/>
    <w:uiPriority w:val="1"/>
    <w:qFormat/>
    <w:rsid w:val="00CC381E"/>
    <w:rPr>
      <w:rFonts w:eastAsiaTheme="minorHAnsi" w:cstheme="minorBidi"/>
      <w:szCs w:val="22"/>
    </w:rPr>
  </w:style>
  <w:style w:type="table" w:customStyle="1" w:styleId="TGABlack2023">
    <w:name w:val="TGA Black 2023"/>
    <w:basedOn w:val="TableTGAblue2023"/>
    <w:uiPriority w:val="99"/>
    <w:rsid w:val="00CC381E"/>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CC381E"/>
    <w:rPr>
      <w:sz w:val="16"/>
      <w:szCs w:val="16"/>
    </w:rPr>
  </w:style>
  <w:style w:type="paragraph" w:styleId="CommentText">
    <w:name w:val="annotation text"/>
    <w:basedOn w:val="Normal"/>
    <w:link w:val="CommentTextChar"/>
    <w:uiPriority w:val="99"/>
    <w:unhideWhenUsed/>
    <w:rsid w:val="00CC381E"/>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CC381E"/>
    <w:rPr>
      <w:rFonts w:ascii="Cambria" w:eastAsia="Cambria" w:hAnsi="Cambria" w:cs="Times New Roman"/>
    </w:rPr>
  </w:style>
  <w:style w:type="numbering" w:customStyle="1" w:styleId="NumberBullet1">
    <w:name w:val="NumberBullet1"/>
    <w:uiPriority w:val="99"/>
    <w:locked/>
    <w:rsid w:val="00CC381E"/>
  </w:style>
  <w:style w:type="table" w:customStyle="1" w:styleId="TableGrid1">
    <w:name w:val="Table Grid1"/>
    <w:basedOn w:val="TableNormal"/>
    <w:next w:val="TableGrid"/>
    <w:uiPriority w:val="39"/>
    <w:rsid w:val="002008D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381E"/>
    <w:rPr>
      <w:color w:val="808080"/>
    </w:rPr>
  </w:style>
  <w:style w:type="character" w:customStyle="1" w:styleId="Heading7Char">
    <w:name w:val="Heading 7 Char"/>
    <w:basedOn w:val="DefaultParagraphFont"/>
    <w:link w:val="Heading7"/>
    <w:uiPriority w:val="9"/>
    <w:rsid w:val="00CC381E"/>
    <w:rPr>
      <w:rFonts w:ascii="Cambria" w:eastAsia="Times New Roman" w:hAnsi="Cambria" w:cs="Times New Roman"/>
      <w:bCs/>
      <w:i/>
      <w:szCs w:val="22"/>
    </w:rPr>
  </w:style>
  <w:style w:type="character" w:styleId="SubtleReference">
    <w:name w:val="Subtle Reference"/>
    <w:basedOn w:val="DefaultParagraphFont"/>
    <w:uiPriority w:val="31"/>
    <w:qFormat/>
    <w:rsid w:val="00CC381E"/>
    <w:rPr>
      <w:rFonts w:ascii="Arial" w:hAnsi="Arial"/>
      <w:smallCaps/>
      <w:color w:val="0D0D0D" w:themeColor="text1" w:themeTint="F2"/>
    </w:rPr>
  </w:style>
  <w:style w:type="character" w:styleId="SubtleEmphasis">
    <w:name w:val="Subtle Emphasis"/>
    <w:basedOn w:val="DefaultParagraphFont"/>
    <w:uiPriority w:val="19"/>
    <w:qFormat/>
    <w:rsid w:val="00CC381E"/>
    <w:rPr>
      <w:rFonts w:ascii="Arial" w:hAnsi="Arial"/>
      <w:i/>
      <w:iCs/>
      <w:color w:val="000000" w:themeColor="text1"/>
    </w:rPr>
  </w:style>
  <w:style w:type="paragraph" w:styleId="CommentSubject">
    <w:name w:val="annotation subject"/>
    <w:basedOn w:val="CommentText"/>
    <w:next w:val="CommentText"/>
    <w:link w:val="CommentSubjectChar"/>
    <w:uiPriority w:val="99"/>
    <w:semiHidden/>
    <w:unhideWhenUsed/>
    <w:rsid w:val="00CC381E"/>
    <w:rPr>
      <w:b/>
      <w:bCs/>
    </w:rPr>
  </w:style>
  <w:style w:type="character" w:customStyle="1" w:styleId="CommentSubjectChar">
    <w:name w:val="Comment Subject Char"/>
    <w:basedOn w:val="CommentTextChar"/>
    <w:link w:val="CommentSubject"/>
    <w:uiPriority w:val="99"/>
    <w:semiHidden/>
    <w:rsid w:val="00CC381E"/>
    <w:rPr>
      <w:rFonts w:ascii="Cambria" w:eastAsia="Cambria" w:hAnsi="Cambria" w:cs="Times New Roman"/>
      <w:b/>
      <w:bCs/>
    </w:rPr>
  </w:style>
  <w:style w:type="paragraph" w:styleId="NoSpacing">
    <w:name w:val="No Spacing"/>
    <w:autoRedefine/>
    <w:uiPriority w:val="1"/>
    <w:qFormat/>
    <w:rsid w:val="00CC381E"/>
    <w:pPr>
      <w:spacing w:after="0" w:line="240" w:lineRule="auto"/>
    </w:pPr>
    <w:rPr>
      <w:rFonts w:ascii="Arial" w:hAnsi="Arial"/>
      <w:color w:val="000000" w:themeColor="text1"/>
      <w:sz w:val="22"/>
    </w:rPr>
  </w:style>
  <w:style w:type="character" w:styleId="Emphasis">
    <w:name w:val="Emphasis"/>
    <w:basedOn w:val="DefaultParagraphFont"/>
    <w:uiPriority w:val="20"/>
    <w:qFormat/>
    <w:rsid w:val="00CC381E"/>
    <w:rPr>
      <w:rFonts w:ascii="Arial" w:hAnsi="Arial"/>
      <w:i/>
      <w:iCs/>
    </w:rPr>
  </w:style>
  <w:style w:type="character" w:styleId="Strong">
    <w:name w:val="Strong"/>
    <w:basedOn w:val="DefaultParagraphFont"/>
    <w:uiPriority w:val="22"/>
    <w:qFormat/>
    <w:rsid w:val="00CC381E"/>
    <w:rPr>
      <w:rFonts w:ascii="Arial" w:hAnsi="Arial"/>
      <w:b/>
      <w:bCs/>
      <w:color w:val="000000" w:themeColor="text1"/>
    </w:rPr>
  </w:style>
  <w:style w:type="paragraph" w:styleId="Quote">
    <w:name w:val="Quote"/>
    <w:basedOn w:val="Normal"/>
    <w:next w:val="Normal"/>
    <w:link w:val="QuoteChar"/>
    <w:autoRedefine/>
    <w:uiPriority w:val="29"/>
    <w:qFormat/>
    <w:rsid w:val="00CC381E"/>
    <w:pPr>
      <w:spacing w:before="200" w:after="160"/>
      <w:ind w:left="864" w:right="864"/>
      <w:jc w:val="center"/>
    </w:pPr>
    <w:rPr>
      <w:i/>
      <w:iCs/>
    </w:rPr>
  </w:style>
  <w:style w:type="character" w:customStyle="1" w:styleId="QuoteChar">
    <w:name w:val="Quote Char"/>
    <w:basedOn w:val="DefaultParagraphFont"/>
    <w:link w:val="Quote"/>
    <w:uiPriority w:val="29"/>
    <w:rsid w:val="00CC381E"/>
    <w:rPr>
      <w:rFonts w:ascii="Arial" w:hAnsi="Arial"/>
      <w:i/>
      <w:iCs/>
    </w:rPr>
  </w:style>
  <w:style w:type="character" w:styleId="BookTitle">
    <w:name w:val="Book Title"/>
    <w:basedOn w:val="DefaultParagraphFont"/>
    <w:uiPriority w:val="33"/>
    <w:qFormat/>
    <w:rsid w:val="00CC381E"/>
    <w:rPr>
      <w:rFonts w:ascii="Arial" w:hAnsi="Arial"/>
      <w:b/>
      <w:bCs/>
      <w:i/>
      <w:iCs/>
      <w:spacing w:val="5"/>
    </w:rPr>
  </w:style>
  <w:style w:type="paragraph" w:styleId="ListParagraph">
    <w:name w:val="List Paragraph"/>
    <w:basedOn w:val="ListBullet"/>
    <w:autoRedefine/>
    <w:uiPriority w:val="34"/>
    <w:qFormat/>
    <w:rsid w:val="00CC381E"/>
    <w:pPr>
      <w:contextualSpacing/>
    </w:pPr>
  </w:style>
  <w:style w:type="paragraph" w:styleId="BalloonText">
    <w:name w:val="Balloon Text"/>
    <w:basedOn w:val="Normal"/>
    <w:link w:val="BalloonTextChar"/>
    <w:uiPriority w:val="99"/>
    <w:semiHidden/>
    <w:unhideWhenUsed/>
    <w:rsid w:val="00CC381E"/>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CC381E"/>
    <w:rPr>
      <w:rFonts w:ascii="Tahoma" w:eastAsia="Cambria" w:hAnsi="Tahoma" w:cs="Tahoma"/>
      <w:sz w:val="16"/>
      <w:szCs w:val="16"/>
    </w:rPr>
  </w:style>
  <w:style w:type="paragraph" w:customStyle="1" w:styleId="Default">
    <w:name w:val="Default"/>
    <w:rsid w:val="00CC381E"/>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styleId="DocumentMap">
    <w:name w:val="Document Map"/>
    <w:basedOn w:val="Normal"/>
    <w:link w:val="DocumentMapChar"/>
    <w:uiPriority w:val="99"/>
    <w:semiHidden/>
    <w:unhideWhenUsed/>
    <w:rsid w:val="00CC381E"/>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CC381E"/>
    <w:rPr>
      <w:rFonts w:ascii="Tahoma" w:eastAsia="Cambria" w:hAnsi="Tahoma" w:cs="Tahoma"/>
      <w:sz w:val="16"/>
      <w:szCs w:val="16"/>
    </w:rPr>
  </w:style>
  <w:style w:type="character" w:styleId="EndnoteReference">
    <w:name w:val="endnote reference"/>
    <w:basedOn w:val="DefaultParagraphFont"/>
    <w:uiPriority w:val="99"/>
    <w:semiHidden/>
    <w:unhideWhenUsed/>
    <w:rsid w:val="00CC381E"/>
    <w:rPr>
      <w:vertAlign w:val="superscript"/>
    </w:rPr>
  </w:style>
  <w:style w:type="paragraph" w:styleId="EndnoteText">
    <w:name w:val="endnote text"/>
    <w:basedOn w:val="FootnoteText"/>
    <w:link w:val="EndnoteTextChar"/>
    <w:semiHidden/>
    <w:unhideWhenUsed/>
    <w:rsid w:val="00CC381E"/>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CC381E"/>
    <w:rPr>
      <w:rFonts w:eastAsia="Cambria"/>
      <w:sz w:val="16"/>
      <w:szCs w:val="22"/>
    </w:rPr>
  </w:style>
  <w:style w:type="character" w:styleId="FollowedHyperlink">
    <w:name w:val="FollowedHyperlink"/>
    <w:basedOn w:val="DefaultParagraphFont"/>
    <w:semiHidden/>
    <w:unhideWhenUsed/>
    <w:rsid w:val="00CC381E"/>
    <w:rPr>
      <w:color w:val="800080"/>
      <w:u w:val="single"/>
    </w:rPr>
  </w:style>
  <w:style w:type="character" w:customStyle="1" w:styleId="fontstyle01">
    <w:name w:val="fontstyle01"/>
    <w:basedOn w:val="DefaultParagraphFont"/>
    <w:rsid w:val="00CC381E"/>
    <w:rPr>
      <w:rFonts w:ascii="Cambria" w:hAnsi="Cambria" w:hint="default"/>
      <w:b w:val="0"/>
      <w:bCs w:val="0"/>
      <w:i w:val="0"/>
      <w:iCs w:val="0"/>
      <w:color w:val="000000"/>
      <w:sz w:val="22"/>
      <w:szCs w:val="22"/>
    </w:rPr>
  </w:style>
  <w:style w:type="character" w:customStyle="1" w:styleId="fontstyle21">
    <w:name w:val="fontstyle21"/>
    <w:basedOn w:val="DefaultParagraphFont"/>
    <w:rsid w:val="00CC381E"/>
    <w:rPr>
      <w:rFonts w:ascii="Cambria-Bold" w:hAnsi="Cambria-Bold" w:hint="default"/>
      <w:b/>
      <w:bCs/>
      <w:i w:val="0"/>
      <w:iCs w:val="0"/>
      <w:color w:val="000000"/>
      <w:sz w:val="22"/>
      <w:szCs w:val="22"/>
    </w:rPr>
  </w:style>
  <w:style w:type="paragraph" w:customStyle="1" w:styleId="HeaderNoLine0">
    <w:name w:val="Header No Line"/>
    <w:basedOn w:val="Header"/>
    <w:rsid w:val="00CC381E"/>
    <w:pPr>
      <w:pBdr>
        <w:bottom w:val="none" w:sz="0" w:space="0" w:color="auto"/>
      </w:pBdr>
    </w:pPr>
    <w:rPr>
      <w:rFonts w:ascii="Cambria" w:hAnsi="Cambria"/>
      <w:color w:val="auto"/>
    </w:rPr>
  </w:style>
  <w:style w:type="character" w:customStyle="1" w:styleId="Heading1Char">
    <w:name w:val="Heading 1 Char"/>
    <w:basedOn w:val="DefaultParagraphFont"/>
    <w:link w:val="Heading1"/>
    <w:uiPriority w:val="9"/>
    <w:rsid w:val="00CC381E"/>
    <w:rPr>
      <w:rFonts w:asciiTheme="majorHAnsi" w:eastAsiaTheme="majorEastAsia" w:hAnsiTheme="majorHAnsi" w:cstheme="majorBidi"/>
      <w:color w:val="2F5496" w:themeColor="accent1" w:themeShade="BF"/>
      <w:sz w:val="32"/>
      <w:szCs w:val="32"/>
    </w:rPr>
  </w:style>
  <w:style w:type="character" w:customStyle="1" w:styleId="Heading8Char">
    <w:name w:val="Heading 8 Char"/>
    <w:basedOn w:val="DefaultParagraphFont"/>
    <w:link w:val="Heading8"/>
    <w:uiPriority w:val="9"/>
    <w:semiHidden/>
    <w:rsid w:val="00CC381E"/>
    <w:rPr>
      <w:rFonts w:ascii="Arial" w:eastAsiaTheme="majorEastAsia" w:hAnsi="Arial" w:cstheme="majorBidi"/>
    </w:rPr>
  </w:style>
  <w:style w:type="character" w:customStyle="1" w:styleId="Heading9Char">
    <w:name w:val="Heading 9 Char"/>
    <w:basedOn w:val="DefaultParagraphFont"/>
    <w:link w:val="Heading9"/>
    <w:uiPriority w:val="9"/>
    <w:semiHidden/>
    <w:rsid w:val="00CC381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CC381E"/>
    <w:rPr>
      <w:rFonts w:ascii="Arial" w:hAnsi="Arial"/>
      <w:i/>
      <w:iCs/>
      <w:color w:val="auto"/>
    </w:rPr>
  </w:style>
  <w:style w:type="character" w:styleId="IntenseReference">
    <w:name w:val="Intense Reference"/>
    <w:basedOn w:val="DefaultParagraphFont"/>
    <w:uiPriority w:val="32"/>
    <w:qFormat/>
    <w:rsid w:val="00CC381E"/>
    <w:rPr>
      <w:rFonts w:ascii="Arial" w:hAnsi="Arial"/>
      <w:b/>
      <w:bCs/>
      <w:smallCaps/>
      <w:color w:val="1F3864" w:themeColor="accent1" w:themeShade="80"/>
      <w:spacing w:val="5"/>
    </w:rPr>
  </w:style>
  <w:style w:type="paragraph" w:customStyle="1" w:styleId="Legislation">
    <w:name w:val="Legislation"/>
    <w:basedOn w:val="Normal"/>
    <w:qFormat/>
    <w:rsid w:val="00CC381E"/>
    <w:pPr>
      <w:jc w:val="center"/>
    </w:pPr>
    <w:rPr>
      <w:i/>
      <w:color w:val="333F48"/>
    </w:rPr>
  </w:style>
  <w:style w:type="paragraph" w:customStyle="1" w:styleId="Legislation-list">
    <w:name w:val="Legislation-list"/>
    <w:basedOn w:val="Numberbullet0"/>
    <w:rsid w:val="00CC381E"/>
    <w:pPr>
      <w:numPr>
        <w:numId w:val="3"/>
      </w:numPr>
      <w:jc w:val="center"/>
    </w:pPr>
    <w:rPr>
      <w:i/>
    </w:rPr>
  </w:style>
  <w:style w:type="table" w:styleId="LightList-Accent1">
    <w:name w:val="Light List Accent 1"/>
    <w:basedOn w:val="TableNormal"/>
    <w:uiPriority w:val="61"/>
    <w:rsid w:val="00CC381E"/>
    <w:pPr>
      <w:spacing w:after="0" w:line="240" w:lineRule="auto"/>
    </w:pPr>
    <w:rPr>
      <w:rFonts w:eastAsiaTheme="minorEastAsia"/>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Accent2">
    <w:name w:val="Light Shading Accent 2"/>
    <w:basedOn w:val="TableNormal"/>
    <w:uiPriority w:val="60"/>
    <w:rsid w:val="00CC381E"/>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CC381E"/>
    <w:pPr>
      <w:spacing w:after="0" w:line="240" w:lineRule="auto"/>
    </w:pPr>
    <w:rPr>
      <w:rFonts w:ascii="Cambria" w:eastAsia="Cambria" w:hAnsi="Cambria"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Bulleta">
    <w:name w:val="List Bullet (a)"/>
    <w:basedOn w:val="ListBullet"/>
    <w:link w:val="ListBulletaChar"/>
    <w:autoRedefine/>
    <w:uiPriority w:val="1"/>
    <w:qFormat/>
    <w:rsid w:val="00C91B2B"/>
    <w:pPr>
      <w:numPr>
        <w:numId w:val="5"/>
      </w:numPr>
    </w:pPr>
  </w:style>
  <w:style w:type="paragraph" w:customStyle="1" w:styleId="ListBulleti">
    <w:name w:val="List Bullet (i)"/>
    <w:basedOn w:val="ListBullet"/>
    <w:autoRedefine/>
    <w:uiPriority w:val="1"/>
    <w:qFormat/>
    <w:rsid w:val="00BB3352"/>
    <w:pPr>
      <w:numPr>
        <w:numId w:val="6"/>
      </w:numPr>
    </w:pPr>
  </w:style>
  <w:style w:type="numbering" w:customStyle="1" w:styleId="ListBullets1">
    <w:name w:val="ListBullets1"/>
    <w:uiPriority w:val="99"/>
    <w:rsid w:val="00CC381E"/>
  </w:style>
  <w:style w:type="table" w:styleId="MediumGrid2-Accent5">
    <w:name w:val="Medium Grid 2 Accent 5"/>
    <w:basedOn w:val="TableNormal"/>
    <w:uiPriority w:val="68"/>
    <w:rsid w:val="00CC381E"/>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NormalWeb">
    <w:name w:val="Normal (Web)"/>
    <w:basedOn w:val="Normal"/>
    <w:uiPriority w:val="99"/>
    <w:semiHidden/>
    <w:unhideWhenUsed/>
    <w:rsid w:val="00CC381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otation">
    <w:name w:val="Quotation"/>
    <w:basedOn w:val="Normal"/>
    <w:next w:val="Normal"/>
    <w:autoRedefine/>
    <w:uiPriority w:val="4"/>
    <w:qFormat/>
    <w:rsid w:val="00CC381E"/>
    <w:pPr>
      <w:spacing w:before="120" w:after="180" w:line="240" w:lineRule="atLeast"/>
      <w:ind w:left="425"/>
    </w:pPr>
    <w:rPr>
      <w:rFonts w:eastAsia="Cambria" w:cs="Times New Roman"/>
    </w:rPr>
  </w:style>
  <w:style w:type="paragraph" w:customStyle="1" w:styleId="Reference">
    <w:name w:val="Reference"/>
    <w:basedOn w:val="Normal"/>
    <w:rsid w:val="00CC381E"/>
    <w:pPr>
      <w:spacing w:before="40" w:after="0" w:line="240" w:lineRule="atLeast"/>
      <w:ind w:left="170" w:hanging="170"/>
    </w:pPr>
    <w:rPr>
      <w:rFonts w:ascii="Cambria" w:eastAsia="Cambria" w:hAnsi="Cambria" w:cs="Times New Roman"/>
      <w:sz w:val="19"/>
    </w:rPr>
  </w:style>
  <w:style w:type="character" w:customStyle="1" w:styleId="Style1">
    <w:name w:val="Style1"/>
    <w:basedOn w:val="DefaultParagraphFont"/>
    <w:uiPriority w:val="1"/>
    <w:rsid w:val="00CC381E"/>
    <w:rPr>
      <w:rFonts w:ascii="Cambria" w:hAnsi="Cambria"/>
      <w:sz w:val="22"/>
    </w:rPr>
  </w:style>
  <w:style w:type="table" w:customStyle="1" w:styleId="TableTGAblack">
    <w:name w:val="Table TGA black"/>
    <w:basedOn w:val="TableNormal"/>
    <w:uiPriority w:val="99"/>
    <w:rsid w:val="00CC381E"/>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table" w:customStyle="1" w:styleId="TableTGAblue">
    <w:name w:val="Table TGA blue"/>
    <w:basedOn w:val="TableNormal"/>
    <w:uiPriority w:val="99"/>
    <w:qFormat/>
    <w:rsid w:val="00CC381E"/>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TableTitle0">
    <w:name w:val="Table Title"/>
    <w:basedOn w:val="Normal"/>
    <w:next w:val="Normal"/>
    <w:autoRedefine/>
    <w:qFormat/>
    <w:rsid w:val="00CC381E"/>
    <w:pPr>
      <w:spacing w:before="180" w:after="180" w:line="240" w:lineRule="atLeast"/>
    </w:pPr>
    <w:rPr>
      <w:rFonts w:eastAsia="Cambria" w:cs="Times New Roman"/>
      <w:b/>
    </w:rPr>
  </w:style>
  <w:style w:type="paragraph" w:styleId="TOC4">
    <w:name w:val="toc 4"/>
    <w:basedOn w:val="Normal"/>
    <w:next w:val="Normal"/>
    <w:autoRedefine/>
    <w:uiPriority w:val="39"/>
    <w:semiHidden/>
    <w:unhideWhenUsed/>
    <w:rsid w:val="00CC381E"/>
    <w:pPr>
      <w:tabs>
        <w:tab w:val="right" w:leader="hyphen" w:pos="8505"/>
      </w:tabs>
      <w:spacing w:before="120" w:after="100" w:line="240" w:lineRule="atLeast"/>
      <w:ind w:left="1276"/>
    </w:pPr>
    <w:rPr>
      <w:rFonts w:ascii="Cambria" w:eastAsia="Cambria" w:hAnsi="Cambria" w:cs="Times New Roman"/>
    </w:rPr>
  </w:style>
  <w:style w:type="paragraph" w:styleId="TOC5">
    <w:name w:val="toc 5"/>
    <w:basedOn w:val="Normal"/>
    <w:next w:val="Normal"/>
    <w:autoRedefine/>
    <w:uiPriority w:val="39"/>
    <w:semiHidden/>
    <w:unhideWhenUsed/>
    <w:rsid w:val="00CC381E"/>
    <w:pPr>
      <w:tabs>
        <w:tab w:val="right" w:leader="dot" w:pos="8505"/>
      </w:tabs>
      <w:spacing w:before="120" w:after="100" w:line="240" w:lineRule="atLeast"/>
      <w:ind w:left="1701"/>
    </w:pPr>
    <w:rPr>
      <w:rFonts w:ascii="Cambria" w:eastAsia="Cambria" w:hAnsi="Cambria" w:cs="Times New Roman"/>
      <w:noProof/>
    </w:rPr>
  </w:style>
  <w:style w:type="paragraph" w:styleId="TOC6">
    <w:name w:val="toc 6"/>
    <w:basedOn w:val="Normal"/>
    <w:next w:val="Normal"/>
    <w:autoRedefine/>
    <w:uiPriority w:val="39"/>
    <w:semiHidden/>
    <w:unhideWhenUsed/>
    <w:rsid w:val="00CC381E"/>
    <w:pPr>
      <w:tabs>
        <w:tab w:val="right" w:pos="8505"/>
      </w:tabs>
      <w:spacing w:before="120" w:after="100" w:line="240" w:lineRule="atLeast"/>
      <w:ind w:left="2126"/>
    </w:pPr>
    <w:rPr>
      <w:rFonts w:ascii="Cambria" w:eastAsia="Cambria" w:hAnsi="Cambria" w:cs="Times New Roman"/>
    </w:rPr>
  </w:style>
  <w:style w:type="paragraph" w:styleId="TOC7">
    <w:name w:val="toc 7"/>
    <w:basedOn w:val="Normal"/>
    <w:next w:val="Normal"/>
    <w:autoRedefine/>
    <w:uiPriority w:val="39"/>
    <w:semiHidden/>
    <w:unhideWhenUsed/>
    <w:rsid w:val="00CC381E"/>
    <w:pPr>
      <w:spacing w:before="120" w:after="100" w:line="240" w:lineRule="atLeast"/>
      <w:ind w:left="2211"/>
    </w:pPr>
    <w:rPr>
      <w:rFonts w:ascii="Cambria" w:eastAsia="Cambria" w:hAnsi="Cambria" w:cs="Times New Roman"/>
    </w:rPr>
  </w:style>
  <w:style w:type="paragraph" w:styleId="TOC9">
    <w:name w:val="toc 9"/>
    <w:basedOn w:val="Normal"/>
    <w:next w:val="Normal"/>
    <w:autoRedefine/>
    <w:uiPriority w:val="39"/>
    <w:semiHidden/>
    <w:unhideWhenUsed/>
    <w:rsid w:val="00CC381E"/>
    <w:pPr>
      <w:spacing w:before="120" w:after="100" w:line="240" w:lineRule="atLeast"/>
      <w:ind w:left="1760"/>
    </w:pPr>
    <w:rPr>
      <w:rFonts w:ascii="Cambria" w:eastAsia="Cambria" w:hAnsi="Cambria" w:cs="Times New Roman"/>
    </w:rPr>
  </w:style>
  <w:style w:type="paragraph" w:styleId="TOCHeading">
    <w:name w:val="TOC Heading"/>
    <w:basedOn w:val="Heading1"/>
    <w:next w:val="Normal"/>
    <w:uiPriority w:val="39"/>
    <w:unhideWhenUsed/>
    <w:qFormat/>
    <w:rsid w:val="00CC381E"/>
    <w:pPr>
      <w:outlineLvl w:val="9"/>
    </w:pPr>
    <w:rPr>
      <w:lang w:val="en-US"/>
    </w:rPr>
  </w:style>
  <w:style w:type="character" w:styleId="UnresolvedMention">
    <w:name w:val="Unresolved Mention"/>
    <w:basedOn w:val="DefaultParagraphFont"/>
    <w:uiPriority w:val="99"/>
    <w:semiHidden/>
    <w:unhideWhenUsed/>
    <w:rsid w:val="00CC381E"/>
    <w:rPr>
      <w:color w:val="605E5C"/>
      <w:shd w:val="clear" w:color="auto" w:fill="E1DFDD"/>
    </w:rPr>
  </w:style>
  <w:style w:type="paragraph" w:styleId="Revision">
    <w:name w:val="Revision"/>
    <w:hidden/>
    <w:uiPriority w:val="99"/>
    <w:semiHidden/>
    <w:rsid w:val="00531034"/>
    <w:pPr>
      <w:spacing w:after="0" w:line="240" w:lineRule="auto"/>
    </w:pPr>
    <w:rPr>
      <w:rFonts w:ascii="Arial" w:hAnsi="Arial"/>
    </w:rPr>
  </w:style>
  <w:style w:type="character" w:customStyle="1" w:styleId="normaltextrun">
    <w:name w:val="normaltextrun"/>
    <w:basedOn w:val="DefaultParagraphFont"/>
    <w:rsid w:val="00533784"/>
  </w:style>
  <w:style w:type="character" w:customStyle="1" w:styleId="eop">
    <w:name w:val="eop"/>
    <w:basedOn w:val="DefaultParagraphFont"/>
    <w:rsid w:val="00533784"/>
  </w:style>
  <w:style w:type="paragraph" w:customStyle="1" w:styleId="paragraph">
    <w:name w:val="paragraph"/>
    <w:basedOn w:val="Normal"/>
    <w:rsid w:val="0053378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yle2">
    <w:name w:val="Style2"/>
    <w:basedOn w:val="ListBulleta"/>
    <w:link w:val="Style2Char"/>
    <w:qFormat/>
    <w:rsid w:val="006F72E6"/>
    <w:pPr>
      <w:numPr>
        <w:numId w:val="14"/>
      </w:numPr>
      <w:ind w:left="1134"/>
    </w:pPr>
    <w:rPr>
      <w:color w:val="00B050"/>
      <w:u w:val="single"/>
    </w:rPr>
  </w:style>
  <w:style w:type="character" w:customStyle="1" w:styleId="ListBulletChar">
    <w:name w:val="List Bullet Char"/>
    <w:basedOn w:val="DefaultParagraphFont"/>
    <w:link w:val="ListBullet"/>
    <w:uiPriority w:val="2"/>
    <w:rsid w:val="00132F02"/>
    <w:rPr>
      <w:rFonts w:ascii="Arial" w:eastAsia="Cambria" w:hAnsi="Arial" w:cs="Times New Roman"/>
    </w:rPr>
  </w:style>
  <w:style w:type="character" w:customStyle="1" w:styleId="ListBulletaChar">
    <w:name w:val="List Bullet (a) Char"/>
    <w:basedOn w:val="ListBulletChar"/>
    <w:link w:val="ListBulleta"/>
    <w:uiPriority w:val="1"/>
    <w:rsid w:val="006F72E6"/>
    <w:rPr>
      <w:rFonts w:ascii="Arial" w:eastAsia="Cambria" w:hAnsi="Arial" w:cs="Times New Roman"/>
    </w:rPr>
  </w:style>
  <w:style w:type="character" w:customStyle="1" w:styleId="Style2Char">
    <w:name w:val="Style2 Char"/>
    <w:basedOn w:val="ListBulletaChar"/>
    <w:link w:val="Style2"/>
    <w:rsid w:val="006F72E6"/>
    <w:rPr>
      <w:rFonts w:ascii="Arial" w:eastAsia="Cambria" w:hAnsi="Arial" w:cs="Times New Roman"/>
      <w:color w:val="00B050"/>
      <w:u w:val="single"/>
    </w:rPr>
  </w:style>
  <w:style w:type="paragraph" w:customStyle="1" w:styleId="ScheduleA">
    <w:name w:val="Schedule (A)"/>
    <w:basedOn w:val="Normal"/>
    <w:uiPriority w:val="99"/>
    <w:rsid w:val="00392F07"/>
    <w:pPr>
      <w:tabs>
        <w:tab w:val="left" w:pos="2977"/>
      </w:tabs>
      <w:spacing w:after="240" w:line="240" w:lineRule="auto"/>
      <w:ind w:left="2977" w:right="1418" w:hanging="709"/>
    </w:pPr>
    <w:rPr>
      <w:rFonts w:ascii="Times New Roman" w:eastAsia="Times New Roman" w:hAnsi="Times New Roman" w:cs="Times New Roman"/>
      <w:sz w:val="24"/>
      <w:szCs w:val="24"/>
    </w:rPr>
  </w:style>
  <w:style w:type="paragraph" w:styleId="BodyText">
    <w:name w:val="Body Text"/>
    <w:basedOn w:val="Normal"/>
    <w:link w:val="BodyTextChar"/>
    <w:uiPriority w:val="99"/>
    <w:rsid w:val="00392F07"/>
    <w:pPr>
      <w:numPr>
        <w:numId w:val="23"/>
      </w:numPr>
      <w:spacing w:after="240"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rsid w:val="00392F07"/>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0196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nsultations.health.gov.au" TargetMode="External"/><Relationship Id="rId18"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sultations.tga.gov.au/tga/scheduling-pre-meeting-june-2024/user_uploads/pre-meeting-public-notice---12-june-2024-2.pdf"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nsultations.tga.gov.au/tga/scheduling-pre-meeting-june-2024/"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sb\OneDrive%20-%20Department%20of%20Health\Desktop\June%202024%20-%20Template%20-%20Public%20notice%20of%20interim%20decisions%20-%20ACMS%23XX%20ACCS%23XX%20Joint%20ACMS-ACCS%23XX.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1DC0961EC264C7CB95C829F6FEFE5DA"/>
        <w:category>
          <w:name w:val="General"/>
          <w:gallery w:val="placeholder"/>
        </w:category>
        <w:types>
          <w:type w:val="bbPlcHdr"/>
        </w:types>
        <w:behaviors>
          <w:behavior w:val="content"/>
        </w:behaviors>
        <w:guid w:val="{017C4954-6EDF-4BE4-A754-A23A99ECDEF2}"/>
      </w:docPartPr>
      <w:docPartBody>
        <w:p w:rsidR="006B164B" w:rsidRDefault="006B164B" w:rsidP="006B164B">
          <w:pPr>
            <w:pStyle w:val="E1DC0961EC264C7CB95C829F6FEFE5DA"/>
          </w:pPr>
          <w:r w:rsidRPr="0077627B">
            <w:rPr>
              <w:rStyle w:val="PlaceholderText"/>
            </w:rPr>
            <w:t>Click or tap here to enter text.</w:t>
          </w:r>
        </w:p>
      </w:docPartBody>
    </w:docPart>
    <w:docPart>
      <w:docPartPr>
        <w:name w:val="889B0E1554BC4C268DB3209E04122899"/>
        <w:category>
          <w:name w:val="General"/>
          <w:gallery w:val="placeholder"/>
        </w:category>
        <w:types>
          <w:type w:val="bbPlcHdr"/>
        </w:types>
        <w:behaviors>
          <w:behavior w:val="content"/>
        </w:behaviors>
        <w:guid w:val="{24543D9D-0319-498E-9C10-1BD9B2FC9C33}"/>
      </w:docPartPr>
      <w:docPartBody>
        <w:p w:rsidR="006B164B" w:rsidRDefault="006B164B" w:rsidP="006B164B">
          <w:pPr>
            <w:pStyle w:val="889B0E1554BC4C268DB3209E04122899"/>
          </w:pPr>
          <w:r w:rsidRPr="0077627B">
            <w:rPr>
              <w:rStyle w:val="PlaceholderText"/>
            </w:rPr>
            <w:t>Click or tap here to enter text.</w:t>
          </w:r>
        </w:p>
      </w:docPartBody>
    </w:docPart>
    <w:docPart>
      <w:docPartPr>
        <w:name w:val="A1CDC187D19C41B282D6F32771B5711B"/>
        <w:category>
          <w:name w:val="General"/>
          <w:gallery w:val="placeholder"/>
        </w:category>
        <w:types>
          <w:type w:val="bbPlcHdr"/>
        </w:types>
        <w:behaviors>
          <w:behavior w:val="content"/>
        </w:behaviors>
        <w:guid w:val="{507554AE-74DF-41FC-8FB3-EDF64811B159}"/>
      </w:docPartPr>
      <w:docPartBody>
        <w:p w:rsidR="006B164B" w:rsidRDefault="006B164B" w:rsidP="006B164B">
          <w:pPr>
            <w:pStyle w:val="A1CDC187D19C41B282D6F32771B5711B"/>
          </w:pPr>
          <w:r w:rsidRPr="00B210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41"/>
    <w:rsid w:val="00075699"/>
    <w:rsid w:val="000A1866"/>
    <w:rsid w:val="000B7059"/>
    <w:rsid w:val="001313F7"/>
    <w:rsid w:val="00143983"/>
    <w:rsid w:val="00147E66"/>
    <w:rsid w:val="001674DF"/>
    <w:rsid w:val="001D28B6"/>
    <w:rsid w:val="001D6945"/>
    <w:rsid w:val="002255B6"/>
    <w:rsid w:val="00250350"/>
    <w:rsid w:val="00266860"/>
    <w:rsid w:val="002B6428"/>
    <w:rsid w:val="002E1D70"/>
    <w:rsid w:val="00391E13"/>
    <w:rsid w:val="003B7069"/>
    <w:rsid w:val="003D3DD2"/>
    <w:rsid w:val="00400419"/>
    <w:rsid w:val="004338DD"/>
    <w:rsid w:val="004424BC"/>
    <w:rsid w:val="004A16C1"/>
    <w:rsid w:val="005577A1"/>
    <w:rsid w:val="00582584"/>
    <w:rsid w:val="00584CCA"/>
    <w:rsid w:val="005A5662"/>
    <w:rsid w:val="005D64E3"/>
    <w:rsid w:val="00600641"/>
    <w:rsid w:val="0061617C"/>
    <w:rsid w:val="00623751"/>
    <w:rsid w:val="00645BA7"/>
    <w:rsid w:val="006A5F84"/>
    <w:rsid w:val="006B164B"/>
    <w:rsid w:val="007645B1"/>
    <w:rsid w:val="00791C2A"/>
    <w:rsid w:val="008020B5"/>
    <w:rsid w:val="00816C24"/>
    <w:rsid w:val="00864281"/>
    <w:rsid w:val="00882CE5"/>
    <w:rsid w:val="00883299"/>
    <w:rsid w:val="008E2E43"/>
    <w:rsid w:val="00901EE5"/>
    <w:rsid w:val="0092479B"/>
    <w:rsid w:val="00932996"/>
    <w:rsid w:val="009A5ACC"/>
    <w:rsid w:val="009F0E2E"/>
    <w:rsid w:val="009F5F85"/>
    <w:rsid w:val="00A519C7"/>
    <w:rsid w:val="00B2079F"/>
    <w:rsid w:val="00B42BB2"/>
    <w:rsid w:val="00BA015A"/>
    <w:rsid w:val="00BB3FEF"/>
    <w:rsid w:val="00BB4109"/>
    <w:rsid w:val="00BC0349"/>
    <w:rsid w:val="00BF6D99"/>
    <w:rsid w:val="00C11F24"/>
    <w:rsid w:val="00C17FE9"/>
    <w:rsid w:val="00C30150"/>
    <w:rsid w:val="00C56181"/>
    <w:rsid w:val="00CC0DE4"/>
    <w:rsid w:val="00CF44C2"/>
    <w:rsid w:val="00D02664"/>
    <w:rsid w:val="00D06ACA"/>
    <w:rsid w:val="00D101A9"/>
    <w:rsid w:val="00D17EE8"/>
    <w:rsid w:val="00D915DE"/>
    <w:rsid w:val="00D964CF"/>
    <w:rsid w:val="00DF27DA"/>
    <w:rsid w:val="00E471E6"/>
    <w:rsid w:val="00E63DA4"/>
    <w:rsid w:val="00EA7E09"/>
    <w:rsid w:val="00F06D64"/>
    <w:rsid w:val="00F30D01"/>
    <w:rsid w:val="00F70441"/>
    <w:rsid w:val="00F80CDF"/>
    <w:rsid w:val="00FA52BC"/>
    <w:rsid w:val="00FF1D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64B"/>
    <w:rPr>
      <w:color w:val="808080"/>
    </w:rPr>
  </w:style>
  <w:style w:type="paragraph" w:customStyle="1" w:styleId="E1DC0961EC264C7CB95C829F6FEFE5DA">
    <w:name w:val="E1DC0961EC264C7CB95C829F6FEFE5DA"/>
    <w:rsid w:val="006B164B"/>
    <w:pPr>
      <w:spacing w:line="278" w:lineRule="auto"/>
    </w:pPr>
    <w:rPr>
      <w:sz w:val="24"/>
      <w:szCs w:val="24"/>
    </w:rPr>
  </w:style>
  <w:style w:type="paragraph" w:customStyle="1" w:styleId="889B0E1554BC4C268DB3209E04122899">
    <w:name w:val="889B0E1554BC4C268DB3209E04122899"/>
    <w:rsid w:val="006B164B"/>
    <w:pPr>
      <w:spacing w:line="278" w:lineRule="auto"/>
    </w:pPr>
    <w:rPr>
      <w:sz w:val="24"/>
      <w:szCs w:val="24"/>
    </w:rPr>
  </w:style>
  <w:style w:type="paragraph" w:customStyle="1" w:styleId="A1CDC187D19C41B282D6F32771B5711B">
    <w:name w:val="A1CDC187D19C41B282D6F32771B5711B"/>
    <w:rsid w:val="006B164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A4F9-C0C3-4113-8249-266DBC06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June 2024 - Template - Public notice of interim decisions - ACMS#XX ACCS#XX Joint ACMS-ACCS#XX.dotm</Template>
  <TotalTime>4</TotalTime>
  <Pages>12</Pages>
  <Words>3915</Words>
  <Characters>22321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26184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decisions to amend (or not amend) the current Poisons Standard</dc:title>
  <dc:subject/>
  <dc:creator>Therapeutic Goods Administration</dc:creator>
  <cp:keywords/>
  <dc:description/>
  <cp:lastModifiedBy>PITKIN, Brendan</cp:lastModifiedBy>
  <cp:revision>6</cp:revision>
  <dcterms:created xsi:type="dcterms:W3CDTF">2024-12-13T04:27:00Z</dcterms:created>
  <dcterms:modified xsi:type="dcterms:W3CDTF">2024-12-13T04:32:00Z</dcterms:modified>
</cp:coreProperties>
</file>