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1E8DAF" w14:textId="08D8350D" w:rsidR="008136A8" w:rsidRPr="001E4550" w:rsidRDefault="007B0D62">
      <w:pPr>
        <w:tabs>
          <w:tab w:val="left" w:pos="284"/>
        </w:tabs>
        <w:spacing w:after="480" w:line="240" w:lineRule="auto"/>
        <w:rPr>
          <w:rFonts w:asciiTheme="majorHAnsi" w:hAnsiTheme="majorHAnsi"/>
        </w:rPr>
      </w:pPr>
      <w:r w:rsidRPr="008E2EA1">
        <w:rPr>
          <w:noProof/>
          <w:lang w:eastAsia="ja-JP"/>
        </w:rPr>
        <mc:AlternateContent>
          <mc:Choice Requires="wps">
            <w:drawing>
              <wp:inline distT="0" distB="0" distL="0" distR="0" wp14:anchorId="585A53BE" wp14:editId="1C4B71FF">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D91D0" w14:textId="77777777" w:rsidR="008136A8" w:rsidRDefault="007B0D62">
                            <w:pPr>
                              <w:spacing w:after="0"/>
                              <w:rPr>
                                <w:rFonts w:ascii="Wingdings 3" w:hAnsi="Wingdings 3"/>
                                <w:sz w:val="24"/>
                              </w:rPr>
                            </w:pPr>
                            <w:r>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585A53BE"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7D8D91D0" w14:textId="77777777" w:rsidR="008136A8" w:rsidRDefault="007B0D62">
                      <w:pPr>
                        <w:spacing w:after="0"/>
                        <w:rPr>
                          <w:rFonts w:ascii="Wingdings 3" w:hAnsi="Wingdings 3"/>
                          <w:sz w:val="24"/>
                        </w:rPr>
                      </w:pPr>
                      <w:r>
                        <w:rPr>
                          <w:rFonts w:ascii="SimSun" w:eastAsia="SimSun" w:hAnsi="SimSun" w:cs="Arial" w:hint="eastAsia"/>
                          <w:sz w:val="40"/>
                        </w:rPr>
                        <w:t>▼</w:t>
                      </w:r>
                    </w:p>
                  </w:txbxContent>
                </v:textbox>
                <w10:anchorlock/>
              </v:shape>
            </w:pict>
          </mc:Fallback>
        </mc:AlternateContent>
      </w:r>
      <w:r w:rsidR="001A3992" w:rsidRPr="001E4550">
        <w:rPr>
          <w:rFonts w:asciiTheme="majorHAnsi" w:hAnsiTheme="majorHAnsi"/>
        </w:rPr>
        <w:t>This</w:t>
      </w:r>
      <w:r w:rsidRPr="001E4550">
        <w:rPr>
          <w:rFonts w:asciiTheme="majorHAnsi" w:hAnsiTheme="majorHAnsi"/>
        </w:rPr>
        <w:t xml:space="preserve"> medicinal product is subject to additional monitoring in Australia. This will allow quick identification of new safety information. Healthcare professionals are asked to report any suspected adverse events at </w:t>
      </w:r>
      <w:hyperlink r:id="rId11" w:history="1">
        <w:r w:rsidRPr="001E4550">
          <w:rPr>
            <w:rStyle w:val="Hyperlink"/>
            <w:rFonts w:asciiTheme="majorHAnsi" w:hAnsiTheme="majorHAnsi"/>
          </w:rPr>
          <w:t>www.tga.gov.au/reporting-problems</w:t>
        </w:r>
      </w:hyperlink>
      <w:r w:rsidRPr="001E4550">
        <w:rPr>
          <w:rFonts w:asciiTheme="majorHAnsi" w:hAnsiTheme="majorHAnsi"/>
        </w:rPr>
        <w:t>.</w:t>
      </w:r>
    </w:p>
    <w:p w14:paraId="542E576D" w14:textId="02E1B1D8" w:rsidR="008136A8" w:rsidRPr="001E4550" w:rsidRDefault="007B0D62">
      <w:pPr>
        <w:pStyle w:val="Heading1"/>
        <w:numPr>
          <w:ilvl w:val="0"/>
          <w:numId w:val="0"/>
        </w:numPr>
        <w:rPr>
          <w:rFonts w:eastAsia="SimSun"/>
          <w:caps w:val="0"/>
        </w:rPr>
      </w:pPr>
      <w:r w:rsidRPr="001E4550">
        <w:rPr>
          <w:rFonts w:eastAsia="SimSun"/>
        </w:rPr>
        <w:t>Australian Product Information</w:t>
      </w:r>
      <w:r w:rsidRPr="001E4550">
        <w:rPr>
          <w:rFonts w:eastAsia="SimSun"/>
          <w:caps w:val="0"/>
        </w:rPr>
        <w:t xml:space="preserve"> – Vafseo</w:t>
      </w:r>
      <w:r w:rsidRPr="001E4550">
        <w:rPr>
          <w:vertAlign w:val="superscript"/>
        </w:rPr>
        <w:t>®</w:t>
      </w:r>
      <w:r w:rsidRPr="001E4550">
        <w:t xml:space="preserve"> </w:t>
      </w:r>
      <w:r w:rsidRPr="001E4550">
        <w:rPr>
          <w:rFonts w:eastAsia="SimSun"/>
          <w:caps w:val="0"/>
        </w:rPr>
        <w:t>(VADADUSTAT) TABLETS</w:t>
      </w:r>
    </w:p>
    <w:p w14:paraId="290DA991" w14:textId="77777777" w:rsidR="008136A8" w:rsidRPr="001E4550" w:rsidRDefault="008136A8"/>
    <w:p w14:paraId="10DCDD2C" w14:textId="5D5F0E71" w:rsidR="008136A8" w:rsidRPr="001E4550" w:rsidRDefault="007B0D62">
      <w:pPr>
        <w:pStyle w:val="Heading1"/>
      </w:pPr>
      <w:r w:rsidRPr="001E4550">
        <w:t>Name of the medicine</w:t>
      </w:r>
    </w:p>
    <w:p w14:paraId="22B9EB7B" w14:textId="49D0F574" w:rsidR="008136A8" w:rsidRPr="00DF70B4" w:rsidRDefault="007B0D62">
      <w:pPr>
        <w:rPr>
          <w:rFonts w:asciiTheme="majorHAnsi" w:hAnsiTheme="majorHAnsi" w:cstheme="minorHAnsi"/>
        </w:rPr>
      </w:pPr>
      <w:r w:rsidRPr="00DF70B4">
        <w:rPr>
          <w:rFonts w:asciiTheme="majorHAnsi" w:hAnsiTheme="majorHAnsi" w:cstheme="minorHAnsi"/>
        </w:rPr>
        <w:t>Vadadustat</w:t>
      </w:r>
    </w:p>
    <w:p w14:paraId="041D9C08" w14:textId="17E7CBBF" w:rsidR="008136A8" w:rsidRPr="001E4550" w:rsidRDefault="007B0D62">
      <w:pPr>
        <w:pStyle w:val="Heading1"/>
        <w:spacing w:before="0" w:after="120"/>
      </w:pPr>
      <w:r w:rsidRPr="001E4550">
        <w:t>Qualitative and quantitative composition</w:t>
      </w:r>
    </w:p>
    <w:p w14:paraId="47344229" w14:textId="386E645F" w:rsidR="008136A8" w:rsidRPr="00DF70B4" w:rsidRDefault="007B0D62">
      <w:pPr>
        <w:spacing w:after="0"/>
        <w:rPr>
          <w:rFonts w:asciiTheme="majorHAnsi" w:hAnsiTheme="majorHAnsi" w:cstheme="minorHAnsi"/>
          <w:u w:val="single"/>
        </w:rPr>
      </w:pPr>
      <w:r w:rsidRPr="00DF70B4">
        <w:rPr>
          <w:rFonts w:asciiTheme="majorHAnsi" w:hAnsiTheme="majorHAnsi" w:cstheme="minorHAnsi"/>
          <w:u w:val="single"/>
        </w:rPr>
        <w:t>Vafseo 150 mg film-coated tablets</w:t>
      </w:r>
    </w:p>
    <w:p w14:paraId="7D45E673" w14:textId="0F110FA7" w:rsidR="008136A8" w:rsidRPr="00DF70B4" w:rsidRDefault="007B0D62">
      <w:pPr>
        <w:rPr>
          <w:rFonts w:asciiTheme="majorHAnsi" w:hAnsiTheme="majorHAnsi" w:cstheme="minorHAnsi"/>
        </w:rPr>
      </w:pPr>
      <w:r w:rsidRPr="00DF70B4">
        <w:rPr>
          <w:rFonts w:asciiTheme="majorHAnsi" w:hAnsiTheme="majorHAnsi" w:cstheme="minorHAnsi"/>
        </w:rPr>
        <w:t>Each 150 mg film-coated tablet contains 150 mg of vadadustat</w:t>
      </w:r>
    </w:p>
    <w:p w14:paraId="7DA6B359" w14:textId="7E0D664D" w:rsidR="008136A8" w:rsidRPr="00DF70B4" w:rsidRDefault="007B0D62">
      <w:pPr>
        <w:spacing w:after="0"/>
        <w:rPr>
          <w:rFonts w:asciiTheme="majorHAnsi" w:hAnsiTheme="majorHAnsi" w:cstheme="minorHAnsi"/>
          <w:u w:val="single"/>
        </w:rPr>
      </w:pPr>
      <w:r w:rsidRPr="00DF70B4">
        <w:rPr>
          <w:rFonts w:asciiTheme="majorHAnsi" w:hAnsiTheme="majorHAnsi" w:cstheme="minorHAnsi"/>
          <w:u w:val="single"/>
        </w:rPr>
        <w:t>Vafseo 300 mg film-coated tablets</w:t>
      </w:r>
    </w:p>
    <w:p w14:paraId="231E66EA" w14:textId="1C922C52" w:rsidR="008136A8" w:rsidRPr="00DF70B4" w:rsidRDefault="007B0D62">
      <w:pPr>
        <w:rPr>
          <w:rFonts w:asciiTheme="majorHAnsi" w:hAnsiTheme="majorHAnsi" w:cstheme="minorHAnsi"/>
        </w:rPr>
      </w:pPr>
      <w:r w:rsidRPr="00DF70B4">
        <w:rPr>
          <w:rFonts w:asciiTheme="majorHAnsi" w:hAnsiTheme="majorHAnsi" w:cstheme="minorHAnsi"/>
        </w:rPr>
        <w:t>Each 300 mg film-coated tablet contains 300 mg of vadadustat</w:t>
      </w:r>
    </w:p>
    <w:p w14:paraId="605EF21A" w14:textId="631A9759" w:rsidR="008136A8" w:rsidRPr="00DF70B4" w:rsidRDefault="007B0D62">
      <w:pPr>
        <w:spacing w:after="0"/>
        <w:rPr>
          <w:rFonts w:asciiTheme="majorHAnsi" w:hAnsiTheme="majorHAnsi" w:cstheme="minorHAnsi"/>
          <w:u w:val="single"/>
        </w:rPr>
      </w:pPr>
      <w:r w:rsidRPr="00DF70B4">
        <w:rPr>
          <w:rFonts w:asciiTheme="majorHAnsi" w:hAnsiTheme="majorHAnsi" w:cstheme="minorHAnsi"/>
          <w:u w:val="single"/>
        </w:rPr>
        <w:t>Vafseo 450 mg film-coated tablets</w:t>
      </w:r>
    </w:p>
    <w:p w14:paraId="357ABA25" w14:textId="77777777" w:rsidR="008136A8" w:rsidRPr="00DF70B4" w:rsidRDefault="007B0D62">
      <w:pPr>
        <w:rPr>
          <w:rFonts w:asciiTheme="majorHAnsi" w:hAnsiTheme="majorHAnsi" w:cstheme="minorHAnsi"/>
        </w:rPr>
      </w:pPr>
      <w:r w:rsidRPr="00DF70B4">
        <w:rPr>
          <w:rFonts w:asciiTheme="majorHAnsi" w:hAnsiTheme="majorHAnsi" w:cstheme="minorHAnsi"/>
        </w:rPr>
        <w:t>Each 450 mg film-coated tablet contains 450 mg of vadadustat</w:t>
      </w:r>
    </w:p>
    <w:p w14:paraId="5857B23E" w14:textId="4F76163D" w:rsidR="008136A8" w:rsidRPr="00DF70B4" w:rsidRDefault="007B0D62">
      <w:pPr>
        <w:rPr>
          <w:rFonts w:asciiTheme="majorHAnsi" w:hAnsiTheme="majorHAnsi" w:cstheme="minorHAnsi"/>
        </w:rPr>
      </w:pPr>
      <w:r w:rsidRPr="00DF70B4">
        <w:rPr>
          <w:rFonts w:asciiTheme="majorHAnsi" w:hAnsiTheme="majorHAnsi" w:cstheme="minorHAnsi"/>
        </w:rPr>
        <w:t>For the full list of excipients, see section 6.1 List of excipients.</w:t>
      </w:r>
    </w:p>
    <w:p w14:paraId="00400FEF" w14:textId="77777777" w:rsidR="008136A8" w:rsidRPr="001E4550" w:rsidRDefault="008136A8">
      <w:pPr>
        <w:rPr>
          <w:rFonts w:asciiTheme="majorHAnsi" w:hAnsiTheme="majorHAnsi" w:cstheme="minorHAnsi"/>
        </w:rPr>
      </w:pPr>
    </w:p>
    <w:p w14:paraId="7B7B027A" w14:textId="045EBB96" w:rsidR="008136A8" w:rsidRPr="001E4550" w:rsidRDefault="007B0D62">
      <w:pPr>
        <w:pStyle w:val="Heading1"/>
        <w:spacing w:before="0" w:after="120"/>
      </w:pPr>
      <w:r w:rsidRPr="001E4550">
        <w:t>Pharmaceutical form</w:t>
      </w:r>
    </w:p>
    <w:p w14:paraId="2909547E" w14:textId="5F796293" w:rsidR="008136A8" w:rsidRPr="00DF70B4" w:rsidRDefault="007B0D62">
      <w:pPr>
        <w:spacing w:line="240" w:lineRule="auto"/>
        <w:rPr>
          <w:rFonts w:asciiTheme="majorHAnsi" w:hAnsiTheme="majorHAnsi" w:cstheme="minorHAnsi"/>
        </w:rPr>
      </w:pPr>
      <w:r w:rsidRPr="00DF70B4">
        <w:rPr>
          <w:rFonts w:asciiTheme="majorHAnsi" w:hAnsiTheme="majorHAnsi" w:cstheme="minorHAnsi"/>
        </w:rPr>
        <w:t>Film-coated tablet</w:t>
      </w:r>
    </w:p>
    <w:p w14:paraId="65FB1E58" w14:textId="759BB468" w:rsidR="008136A8" w:rsidRPr="00DF70B4" w:rsidRDefault="007B0D62">
      <w:pPr>
        <w:spacing w:after="0" w:line="240" w:lineRule="auto"/>
        <w:rPr>
          <w:rFonts w:asciiTheme="majorHAnsi" w:hAnsiTheme="majorHAnsi" w:cstheme="minorHAnsi"/>
          <w:u w:val="single"/>
        </w:rPr>
      </w:pPr>
      <w:r w:rsidRPr="00DF70B4">
        <w:rPr>
          <w:rFonts w:asciiTheme="majorHAnsi" w:hAnsiTheme="majorHAnsi" w:cstheme="minorHAnsi"/>
          <w:u w:val="single"/>
        </w:rPr>
        <w:t>Vafseo 150 mg film-coated tablets</w:t>
      </w:r>
    </w:p>
    <w:p w14:paraId="2B13C0B1" w14:textId="4EC79C49" w:rsidR="008136A8" w:rsidRPr="00DF70B4" w:rsidRDefault="007B0D62">
      <w:pPr>
        <w:spacing w:line="240" w:lineRule="auto"/>
        <w:rPr>
          <w:rFonts w:asciiTheme="majorHAnsi" w:hAnsiTheme="majorHAnsi" w:cstheme="minorHAnsi"/>
        </w:rPr>
      </w:pPr>
      <w:r w:rsidRPr="00DF70B4">
        <w:rPr>
          <w:rFonts w:asciiTheme="majorHAnsi" w:hAnsiTheme="majorHAnsi" w:cstheme="minorHAnsi"/>
        </w:rPr>
        <w:t>Round, white tablets debossed with “VDT” on one side and “150” on the other side.</w:t>
      </w:r>
    </w:p>
    <w:p w14:paraId="2FD407B7" w14:textId="7164EA3F" w:rsidR="008136A8" w:rsidRPr="00DF70B4" w:rsidRDefault="007B0D62">
      <w:pPr>
        <w:spacing w:after="0" w:line="240" w:lineRule="auto"/>
        <w:rPr>
          <w:rFonts w:asciiTheme="majorHAnsi" w:hAnsiTheme="majorHAnsi" w:cstheme="minorHAnsi"/>
          <w:u w:val="single"/>
        </w:rPr>
      </w:pPr>
      <w:r w:rsidRPr="00DF70B4">
        <w:rPr>
          <w:rFonts w:asciiTheme="majorHAnsi" w:hAnsiTheme="majorHAnsi" w:cstheme="minorHAnsi"/>
          <w:u w:val="single"/>
        </w:rPr>
        <w:t xml:space="preserve">Vafseo 300 mg film-coated tablets </w:t>
      </w:r>
    </w:p>
    <w:p w14:paraId="404D84C9" w14:textId="5AC37229" w:rsidR="008136A8" w:rsidRPr="00DF70B4" w:rsidRDefault="007B0D62">
      <w:pPr>
        <w:spacing w:line="240" w:lineRule="auto"/>
        <w:rPr>
          <w:rFonts w:asciiTheme="majorHAnsi" w:hAnsiTheme="majorHAnsi" w:cstheme="minorHAnsi"/>
        </w:rPr>
      </w:pPr>
      <w:r w:rsidRPr="00DF70B4">
        <w:rPr>
          <w:rFonts w:asciiTheme="majorHAnsi" w:hAnsiTheme="majorHAnsi" w:cstheme="minorHAnsi"/>
        </w:rPr>
        <w:t>Oval, yellow tablets debossed with “VDT” on one side and “300” on the other side.</w:t>
      </w:r>
    </w:p>
    <w:p w14:paraId="78EBDA46" w14:textId="477B6574" w:rsidR="008136A8" w:rsidRPr="00DF70B4" w:rsidRDefault="007B0D62">
      <w:pPr>
        <w:spacing w:after="0" w:line="240" w:lineRule="auto"/>
        <w:rPr>
          <w:rFonts w:asciiTheme="majorHAnsi" w:hAnsiTheme="majorHAnsi" w:cstheme="minorHAnsi"/>
          <w:u w:val="single"/>
        </w:rPr>
      </w:pPr>
      <w:r w:rsidRPr="00DF70B4">
        <w:rPr>
          <w:rFonts w:asciiTheme="majorHAnsi" w:hAnsiTheme="majorHAnsi" w:cstheme="minorHAnsi"/>
          <w:u w:val="single"/>
        </w:rPr>
        <w:t xml:space="preserve">Vafseo 450 mg film-coated tablets </w:t>
      </w:r>
    </w:p>
    <w:p w14:paraId="2A0FA511" w14:textId="353C5092" w:rsidR="008136A8" w:rsidRPr="00DF70B4" w:rsidRDefault="007B0D62">
      <w:pPr>
        <w:spacing w:line="240" w:lineRule="auto"/>
        <w:rPr>
          <w:rFonts w:asciiTheme="majorHAnsi" w:hAnsiTheme="majorHAnsi" w:cstheme="minorHAnsi"/>
        </w:rPr>
      </w:pPr>
      <w:r w:rsidRPr="00DF70B4">
        <w:rPr>
          <w:rFonts w:asciiTheme="majorHAnsi" w:hAnsiTheme="majorHAnsi" w:cstheme="minorHAnsi"/>
        </w:rPr>
        <w:t>Oval, pink tablets debossed with “VDT” on one side and “450” on the other side.</w:t>
      </w:r>
    </w:p>
    <w:p w14:paraId="76646EF6" w14:textId="77777777" w:rsidR="008136A8" w:rsidRPr="00DF70B4" w:rsidRDefault="008136A8">
      <w:pPr>
        <w:spacing w:line="240" w:lineRule="auto"/>
        <w:rPr>
          <w:rFonts w:asciiTheme="majorHAnsi" w:hAnsiTheme="majorHAnsi" w:cstheme="minorHAnsi"/>
        </w:rPr>
      </w:pPr>
    </w:p>
    <w:p w14:paraId="391AF689" w14:textId="77777777" w:rsidR="008136A8" w:rsidRPr="001E4550" w:rsidRDefault="007B0D62">
      <w:pPr>
        <w:pStyle w:val="Heading1"/>
        <w:spacing w:before="0" w:after="120"/>
      </w:pPr>
      <w:r w:rsidRPr="001E4550">
        <w:t>Clinical particulars</w:t>
      </w:r>
    </w:p>
    <w:p w14:paraId="5A70B51E" w14:textId="184E3C5B" w:rsidR="008136A8" w:rsidRPr="001E4550" w:rsidRDefault="007B0D62">
      <w:pPr>
        <w:pStyle w:val="Heading2"/>
        <w:spacing w:before="0" w:after="120"/>
      </w:pPr>
      <w:r w:rsidRPr="001E4550">
        <w:t xml:space="preserve">Therapeutic indications </w:t>
      </w:r>
    </w:p>
    <w:p w14:paraId="02573941" w14:textId="27705DAC" w:rsidR="008136A8" w:rsidRPr="00DF70B4" w:rsidRDefault="007B0D62">
      <w:pPr>
        <w:autoSpaceDE w:val="0"/>
        <w:autoSpaceDN w:val="0"/>
        <w:adjustRightInd w:val="0"/>
        <w:spacing w:after="0" w:line="240" w:lineRule="auto"/>
        <w:rPr>
          <w:rFonts w:asciiTheme="majorHAnsi" w:hAnsiTheme="majorHAnsi"/>
        </w:rPr>
      </w:pPr>
      <w:r w:rsidRPr="00DF70B4">
        <w:rPr>
          <w:rFonts w:asciiTheme="majorHAnsi" w:hAnsiTheme="majorHAnsi"/>
        </w:rPr>
        <w:t>Vafseo is indicated for the treatment of anaemia associated with chronic kidney disease (CKD) in adults on chronic maintenance dialysis.</w:t>
      </w:r>
    </w:p>
    <w:p w14:paraId="705ADEE4" w14:textId="77777777" w:rsidR="008136A8" w:rsidRPr="001E4550" w:rsidRDefault="008136A8">
      <w:pPr>
        <w:autoSpaceDE w:val="0"/>
        <w:autoSpaceDN w:val="0"/>
        <w:adjustRightInd w:val="0"/>
        <w:spacing w:after="0" w:line="240" w:lineRule="auto"/>
      </w:pPr>
    </w:p>
    <w:p w14:paraId="30E12773" w14:textId="08E5FE90" w:rsidR="008136A8" w:rsidRPr="001E4550" w:rsidRDefault="007B0D62" w:rsidP="00CF4F62">
      <w:pPr>
        <w:pStyle w:val="Heading2"/>
        <w:keepNext/>
        <w:spacing w:before="0" w:after="120"/>
        <w:ind w:left="578" w:hanging="578"/>
      </w:pPr>
      <w:r w:rsidRPr="001E4550">
        <w:lastRenderedPageBreak/>
        <w:t xml:space="preserve">Dose and method of administration </w:t>
      </w:r>
    </w:p>
    <w:p w14:paraId="5A73D6D6" w14:textId="7501BD40" w:rsidR="008136A8" w:rsidRPr="001E4550" w:rsidRDefault="007B0D62">
      <w:pPr>
        <w:pStyle w:val="Heading3"/>
        <w:spacing w:before="0" w:after="120"/>
      </w:pPr>
      <w:r w:rsidRPr="001E4550">
        <w:t>Dosage</w:t>
      </w:r>
    </w:p>
    <w:p w14:paraId="6357B3EB" w14:textId="77777777" w:rsidR="008136A8" w:rsidRPr="00DF70B4" w:rsidRDefault="007B0D62">
      <w:pPr>
        <w:pStyle w:val="Heading4"/>
        <w:rPr>
          <w:rFonts w:cstheme="minorHAnsi"/>
        </w:rPr>
      </w:pPr>
      <w:r w:rsidRPr="00DF70B4">
        <w:t>Dose initiation</w:t>
      </w:r>
    </w:p>
    <w:p w14:paraId="369E1810" w14:textId="0992405B" w:rsidR="008136A8" w:rsidRPr="001E4550" w:rsidRDefault="007B0D62">
      <w:pPr>
        <w:rPr>
          <w:rFonts w:asciiTheme="majorHAnsi" w:hAnsiTheme="majorHAnsi"/>
        </w:rPr>
      </w:pPr>
      <w:r w:rsidRPr="00DF70B4">
        <w:rPr>
          <w:rFonts w:asciiTheme="majorHAnsi" w:hAnsiTheme="majorHAnsi"/>
        </w:rPr>
        <w:t>The recommended starting dose is 300 mg once daily. Do not increase the dose more frequently than once every 4 weeks. Decreases in dose can occur more frequently.</w:t>
      </w:r>
    </w:p>
    <w:p w14:paraId="00510F76" w14:textId="77777777" w:rsidR="008136A8" w:rsidRPr="001E4550" w:rsidRDefault="007B0D62">
      <w:pPr>
        <w:spacing w:after="0"/>
        <w:rPr>
          <w:rFonts w:asciiTheme="majorHAnsi" w:hAnsiTheme="majorHAnsi"/>
          <w:i/>
          <w:iCs/>
        </w:rPr>
      </w:pPr>
      <w:r w:rsidRPr="001E4550">
        <w:rPr>
          <w:rFonts w:asciiTheme="majorHAnsi" w:hAnsiTheme="majorHAnsi"/>
          <w:i/>
          <w:iCs/>
        </w:rPr>
        <w:t>Patients converting from an erythropoiesis-stimulating agent (ESA)</w:t>
      </w:r>
    </w:p>
    <w:p w14:paraId="36A10D64" w14:textId="1CC65DCA" w:rsidR="002D666D" w:rsidRPr="001E4550" w:rsidRDefault="7D6D46B4" w:rsidP="0000612E">
      <w:pPr>
        <w:rPr>
          <w:rFonts w:asciiTheme="majorHAnsi" w:hAnsiTheme="majorHAnsi"/>
        </w:rPr>
      </w:pPr>
      <w:r w:rsidRPr="001E4550">
        <w:rPr>
          <w:rFonts w:asciiTheme="majorHAnsi" w:hAnsiTheme="majorHAnsi"/>
        </w:rPr>
        <w:t>When converting from an ESA to V</w:t>
      </w:r>
      <w:r w:rsidR="00E605AF" w:rsidRPr="001E4550">
        <w:rPr>
          <w:rFonts w:asciiTheme="majorHAnsi" w:hAnsiTheme="majorHAnsi"/>
        </w:rPr>
        <w:t>afseo</w:t>
      </w:r>
      <w:r w:rsidRPr="001E4550">
        <w:rPr>
          <w:rFonts w:asciiTheme="majorHAnsi" w:hAnsiTheme="majorHAnsi"/>
        </w:rPr>
        <w:t xml:space="preserve">, the recommended starting dose is 300 mg </w:t>
      </w:r>
      <w:r w:rsidR="00525675" w:rsidRPr="001E4550">
        <w:rPr>
          <w:rFonts w:asciiTheme="majorHAnsi" w:hAnsiTheme="majorHAnsi"/>
        </w:rPr>
        <w:t xml:space="preserve">once </w:t>
      </w:r>
      <w:r w:rsidRPr="001E4550">
        <w:rPr>
          <w:rFonts w:asciiTheme="majorHAnsi" w:hAnsiTheme="majorHAnsi"/>
        </w:rPr>
        <w:t>daily.</w:t>
      </w:r>
      <w:r w:rsidR="004178C8" w:rsidRPr="001E4550">
        <w:rPr>
          <w:rFonts w:asciiTheme="majorHAnsi" w:hAnsiTheme="majorHAnsi"/>
        </w:rPr>
        <w:t xml:space="preserve"> </w:t>
      </w:r>
      <w:r w:rsidR="002D666D" w:rsidRPr="001E4550">
        <w:rPr>
          <w:rFonts w:asciiTheme="majorHAnsi" w:hAnsiTheme="majorHAnsi"/>
        </w:rPr>
        <w:t xml:space="preserve">The </w:t>
      </w:r>
      <w:r w:rsidR="00A30379" w:rsidRPr="001E4550">
        <w:rPr>
          <w:rFonts w:asciiTheme="majorHAnsi" w:hAnsiTheme="majorHAnsi"/>
        </w:rPr>
        <w:t xml:space="preserve">ESA must be stopped before </w:t>
      </w:r>
      <w:r w:rsidR="00C20A11" w:rsidRPr="001E4550">
        <w:rPr>
          <w:rFonts w:asciiTheme="majorHAnsi" w:hAnsiTheme="majorHAnsi"/>
        </w:rPr>
        <w:t>initiating</w:t>
      </w:r>
      <w:r w:rsidR="004178C8" w:rsidRPr="001E4550">
        <w:rPr>
          <w:rFonts w:asciiTheme="majorHAnsi" w:hAnsiTheme="majorHAnsi"/>
        </w:rPr>
        <w:t xml:space="preserve"> Vafseo.</w:t>
      </w:r>
    </w:p>
    <w:p w14:paraId="071D5844" w14:textId="58430028" w:rsidR="008136A8" w:rsidRPr="001E4550" w:rsidRDefault="007B0D62">
      <w:pPr>
        <w:rPr>
          <w:rFonts w:asciiTheme="majorHAnsi" w:hAnsiTheme="majorHAnsi"/>
        </w:rPr>
      </w:pPr>
      <w:r w:rsidRPr="001E4550">
        <w:rPr>
          <w:rFonts w:asciiTheme="majorHAnsi" w:hAnsiTheme="majorHAnsi"/>
        </w:rPr>
        <w:t>Those patients converting from a high baseline dose of ESA may experience an initial decline in Hb levels before gradually returning to baseline Hb levels by Weeks 16 to 20 (see section 5.1 Pharmacodynamic properties</w:t>
      </w:r>
      <w:r w:rsidRPr="001E4550">
        <w:t xml:space="preserve"> </w:t>
      </w:r>
      <w:r w:rsidRPr="001E4550">
        <w:rPr>
          <w:rFonts w:asciiTheme="majorHAnsi" w:hAnsiTheme="majorHAnsi"/>
        </w:rPr>
        <w:t>for course Hb during treatment in individual studies). Taking into account the gradual rise in Hb with Vafseo, rescue therapy in the form of red blood cells (RBC) transfusion or ESA treatment may be considered during the transition phase if Hb values fall below 90 g/L or response is considered not acceptable (see section 4.4 Special warnings and precautions for use).</w:t>
      </w:r>
      <w:r w:rsidRPr="001E4550">
        <w:t xml:space="preserve"> </w:t>
      </w:r>
      <w:r w:rsidRPr="001E4550">
        <w:rPr>
          <w:rFonts w:asciiTheme="majorHAnsi" w:hAnsiTheme="majorHAnsi"/>
        </w:rPr>
        <w:t>Patients receiving RBC transfusions are recommended to continue Vafseo treatment during the transfusion period. Vafseo should be paused for those patients receiving temporary ESA rescue treatment and may be resumed when Hb levels are ≥10</w:t>
      </w:r>
      <w:r w:rsidR="00DA756E" w:rsidRPr="001E4550">
        <w:rPr>
          <w:rFonts w:asciiTheme="majorHAnsi" w:hAnsiTheme="majorHAnsi"/>
        </w:rPr>
        <w:t>0</w:t>
      </w:r>
      <w:r w:rsidRPr="001E4550">
        <w:rPr>
          <w:rFonts w:asciiTheme="majorHAnsi" w:hAnsiTheme="majorHAnsi"/>
        </w:rPr>
        <w:t xml:space="preserve"> g/L. Depending on the ESA employed, the pause in Vafseo treatment should be extended to: </w:t>
      </w:r>
    </w:p>
    <w:p w14:paraId="0BCFCDA5" w14:textId="3303214D" w:rsidR="008136A8" w:rsidRPr="001E4550" w:rsidRDefault="007B0D62">
      <w:pPr>
        <w:pStyle w:val="ListParagraph"/>
        <w:numPr>
          <w:ilvl w:val="0"/>
          <w:numId w:val="16"/>
        </w:numPr>
        <w:rPr>
          <w:rFonts w:asciiTheme="majorHAnsi" w:hAnsiTheme="majorHAnsi"/>
        </w:rPr>
      </w:pPr>
      <w:r w:rsidRPr="001E4550">
        <w:rPr>
          <w:rFonts w:asciiTheme="majorHAnsi" w:hAnsiTheme="majorHAnsi"/>
        </w:rPr>
        <w:t xml:space="preserve">2 days after last dose of epoetin </w:t>
      </w:r>
    </w:p>
    <w:p w14:paraId="3E10FB79" w14:textId="75989EA0" w:rsidR="008136A8" w:rsidRPr="001E4550" w:rsidRDefault="007B0D62">
      <w:pPr>
        <w:pStyle w:val="ListParagraph"/>
        <w:numPr>
          <w:ilvl w:val="0"/>
          <w:numId w:val="16"/>
        </w:numPr>
        <w:rPr>
          <w:rFonts w:asciiTheme="majorHAnsi" w:hAnsiTheme="majorHAnsi"/>
        </w:rPr>
      </w:pPr>
      <w:r w:rsidRPr="001E4550">
        <w:rPr>
          <w:rFonts w:asciiTheme="majorHAnsi" w:hAnsiTheme="majorHAnsi"/>
        </w:rPr>
        <w:t xml:space="preserve">7 days after last dose of darbepoetin alfa </w:t>
      </w:r>
    </w:p>
    <w:p w14:paraId="2C8C2434" w14:textId="7EB49A32" w:rsidR="008136A8" w:rsidRPr="001E4550" w:rsidRDefault="007B0D62">
      <w:pPr>
        <w:pStyle w:val="ListParagraph"/>
        <w:numPr>
          <w:ilvl w:val="0"/>
          <w:numId w:val="16"/>
        </w:numPr>
        <w:rPr>
          <w:rFonts w:asciiTheme="majorHAnsi" w:hAnsiTheme="majorHAnsi"/>
        </w:rPr>
      </w:pPr>
      <w:r w:rsidRPr="001E4550">
        <w:rPr>
          <w:rFonts w:asciiTheme="majorHAnsi" w:hAnsiTheme="majorHAnsi"/>
        </w:rPr>
        <w:t>14 days after last dose of methoxy polyethylene glycol-epoetin beta.</w:t>
      </w:r>
    </w:p>
    <w:p w14:paraId="1755B12A" w14:textId="2B8C4214" w:rsidR="008136A8" w:rsidRPr="001E4550" w:rsidRDefault="007B0D62">
      <w:pPr>
        <w:rPr>
          <w:rFonts w:asciiTheme="majorHAnsi" w:hAnsiTheme="majorHAnsi"/>
        </w:rPr>
      </w:pPr>
      <w:r w:rsidRPr="001E4550">
        <w:rPr>
          <w:rFonts w:asciiTheme="majorHAnsi" w:hAnsiTheme="majorHAnsi"/>
        </w:rPr>
        <w:t>Following ESA rescue, Vafseo should be resumed at the prior dose or one dose higher, with subsequent titration according to the dose titration guidelines given below in this section.</w:t>
      </w:r>
    </w:p>
    <w:p w14:paraId="5ACBD8B8" w14:textId="0925ECA5" w:rsidR="008136A8" w:rsidRPr="00DF70B4" w:rsidRDefault="00213E2B">
      <w:pPr>
        <w:pStyle w:val="Heading4"/>
        <w:rPr>
          <w:rFonts w:cstheme="minorHAnsi"/>
        </w:rPr>
      </w:pPr>
      <w:r w:rsidRPr="00DF70B4">
        <w:t xml:space="preserve">Dose titration </w:t>
      </w:r>
    </w:p>
    <w:p w14:paraId="5945EA60" w14:textId="2D9F9DF1" w:rsidR="008136A8" w:rsidRPr="00DF70B4" w:rsidRDefault="007B0D62">
      <w:pPr>
        <w:rPr>
          <w:rFonts w:asciiTheme="majorHAnsi" w:hAnsiTheme="majorHAnsi"/>
        </w:rPr>
      </w:pPr>
      <w:r w:rsidRPr="00DF70B4">
        <w:rPr>
          <w:rFonts w:asciiTheme="majorHAnsi" w:hAnsiTheme="majorHAnsi"/>
        </w:rPr>
        <w:t xml:space="preserve">When initiating or adjusting therapy, monitor Hb levels every two weeks until stable, then monitor at least monthly. Dose adjustment should be done in increments of 150 mg within the range of 150 mg to a maximum recommended daily dose of 600 mg to achieve or maintain Hb levels within 100 to 120 g/L. </w:t>
      </w:r>
    </w:p>
    <w:p w14:paraId="1D1D37FA" w14:textId="5F7B027C" w:rsidR="008136A8" w:rsidRPr="00DF70B4" w:rsidRDefault="007B0D62">
      <w:pPr>
        <w:rPr>
          <w:rFonts w:asciiTheme="majorHAnsi" w:hAnsiTheme="majorHAnsi" w:cstheme="minorHAnsi"/>
        </w:rPr>
      </w:pPr>
      <w:r w:rsidRPr="00DF70B4">
        <w:rPr>
          <w:rFonts w:asciiTheme="majorHAnsi" w:hAnsiTheme="majorHAnsi" w:cstheme="minorHAnsi"/>
        </w:rPr>
        <w:t>When adjusting the dose, consider the patient’s clinical condition; Hb variability; Hb rate of rise and rate of decline; and Vafseo responsiveness. A single Hb excursion may not require a dosing change. </w:t>
      </w:r>
    </w:p>
    <w:p w14:paraId="04F936FC" w14:textId="0108D1BF" w:rsidR="008136A8" w:rsidRPr="00DF70B4" w:rsidRDefault="007B0D62">
      <w:pPr>
        <w:pStyle w:val="ListParagraph"/>
        <w:numPr>
          <w:ilvl w:val="0"/>
          <w:numId w:val="13"/>
        </w:numPr>
        <w:tabs>
          <w:tab w:val="left" w:pos="567"/>
        </w:tabs>
        <w:ind w:left="924" w:hanging="357"/>
        <w:rPr>
          <w:rFonts w:asciiTheme="majorHAnsi" w:hAnsiTheme="majorHAnsi"/>
        </w:rPr>
      </w:pPr>
      <w:r w:rsidRPr="00DF70B4">
        <w:rPr>
          <w:rFonts w:asciiTheme="majorHAnsi" w:hAnsiTheme="majorHAnsi"/>
        </w:rPr>
        <w:t xml:space="preserve">If the Hb level exceeds 130 g/L, interrupt the dose </w:t>
      </w:r>
      <w:r w:rsidR="00990DFB" w:rsidRPr="00DF70B4">
        <w:rPr>
          <w:rFonts w:asciiTheme="majorHAnsi" w:hAnsiTheme="majorHAnsi"/>
        </w:rPr>
        <w:t>of</w:t>
      </w:r>
      <w:r w:rsidR="00990DFB" w:rsidRPr="001E4550">
        <w:rPr>
          <w:rFonts w:asciiTheme="majorHAnsi" w:hAnsiTheme="majorHAnsi"/>
        </w:rPr>
        <w:t xml:space="preserve"> </w:t>
      </w:r>
      <w:r w:rsidRPr="00DF70B4">
        <w:rPr>
          <w:rFonts w:asciiTheme="majorHAnsi" w:hAnsiTheme="majorHAnsi"/>
        </w:rPr>
        <w:t xml:space="preserve">Vafseo until Hb is less than or equal to 120 g/L then resume with dose that is 150 mg less than dose prior to interruption. </w:t>
      </w:r>
    </w:p>
    <w:p w14:paraId="36321EE5" w14:textId="092B4C21" w:rsidR="008136A8" w:rsidRPr="00DF70B4" w:rsidRDefault="007B0D62">
      <w:pPr>
        <w:pStyle w:val="ListParagraph"/>
        <w:numPr>
          <w:ilvl w:val="0"/>
          <w:numId w:val="13"/>
        </w:numPr>
        <w:tabs>
          <w:tab w:val="left" w:pos="567"/>
        </w:tabs>
        <w:spacing w:after="0"/>
        <w:rPr>
          <w:rFonts w:asciiTheme="majorHAnsi" w:hAnsiTheme="majorHAnsi" w:cstheme="minorHAnsi"/>
        </w:rPr>
      </w:pPr>
      <w:r w:rsidRPr="00DF70B4">
        <w:rPr>
          <w:rFonts w:asciiTheme="majorHAnsi" w:hAnsiTheme="majorHAnsi" w:cstheme="minorHAnsi"/>
        </w:rPr>
        <w:t>If the Hb rises rapidly (e.g., more than 10 g/L in any 2-week period or more than 20 g/L in 4 weeks), interrupt or adjust the dose as indicated in Table 1 below.</w:t>
      </w:r>
    </w:p>
    <w:p w14:paraId="690660FF" w14:textId="77777777" w:rsidR="008136A8" w:rsidRPr="00DF70B4" w:rsidRDefault="008136A8">
      <w:pPr>
        <w:rPr>
          <w:rFonts w:asciiTheme="majorHAnsi" w:hAnsiTheme="majorHAnsi" w:cstheme="minorHAnsi"/>
        </w:rPr>
      </w:pPr>
    </w:p>
    <w:p w14:paraId="4FF98742" w14:textId="7DBE218E" w:rsidR="008136A8" w:rsidRPr="00DF70B4" w:rsidRDefault="007B0D62" w:rsidP="00CF4F62">
      <w:pPr>
        <w:rPr>
          <w:rFonts w:asciiTheme="majorHAnsi" w:hAnsiTheme="majorHAnsi" w:cstheme="minorHAnsi"/>
        </w:rPr>
      </w:pPr>
      <w:r w:rsidRPr="00DF70B4">
        <w:rPr>
          <w:rFonts w:asciiTheme="majorHAnsi" w:hAnsiTheme="majorHAnsi" w:cstheme="minorHAnsi"/>
        </w:rPr>
        <w:lastRenderedPageBreak/>
        <w:t>Treatment should not be continued beyond 24 weeks of therapy if a clinically meaningful increase in Hb levels is not achieved. Alternative explanations for an inadequate response should be sought and treated before re-starting Vafseo (see Table1).</w:t>
      </w:r>
    </w:p>
    <w:p w14:paraId="295876DC" w14:textId="77777777" w:rsidR="008136A8" w:rsidRPr="00DF70B4" w:rsidRDefault="008136A8">
      <w:pPr>
        <w:tabs>
          <w:tab w:val="left" w:pos="567"/>
        </w:tabs>
        <w:spacing w:after="0" w:line="240" w:lineRule="auto"/>
        <w:rPr>
          <w:rFonts w:asciiTheme="majorHAnsi" w:hAnsiTheme="majorHAnsi" w:cstheme="minorHAnsi"/>
        </w:rPr>
      </w:pPr>
    </w:p>
    <w:p w14:paraId="4D59C5CD" w14:textId="68FF6AAB" w:rsidR="008136A8" w:rsidRPr="00DF70B4" w:rsidRDefault="007B0D62">
      <w:pPr>
        <w:spacing w:line="240" w:lineRule="auto"/>
        <w:rPr>
          <w:rFonts w:asciiTheme="majorHAnsi" w:hAnsiTheme="majorHAnsi" w:cstheme="minorHAnsi"/>
          <w:b/>
          <w:bCs/>
        </w:rPr>
      </w:pPr>
      <w:r w:rsidRPr="00DF70B4">
        <w:rPr>
          <w:rFonts w:asciiTheme="majorHAnsi" w:hAnsiTheme="majorHAnsi" w:cstheme="minorHAnsi"/>
          <w:b/>
        </w:rPr>
        <w:t>Table 1</w:t>
      </w:r>
      <w:r w:rsidRPr="00DF70B4">
        <w:rPr>
          <w:rFonts w:asciiTheme="majorHAnsi" w:hAnsiTheme="majorHAnsi" w:cstheme="minorHAnsi"/>
          <w:b/>
          <w:bCs/>
        </w:rPr>
        <w:t>: Vafseo dose titration</w:t>
      </w:r>
    </w:p>
    <w:tbl>
      <w:tblPr>
        <w:tblStyle w:val="TableGrid"/>
        <w:tblW w:w="0" w:type="auto"/>
        <w:tblLook w:val="04A0" w:firstRow="1" w:lastRow="0" w:firstColumn="1" w:lastColumn="0" w:noHBand="0" w:noVBand="1"/>
      </w:tblPr>
      <w:tblGrid>
        <w:gridCol w:w="1660"/>
        <w:gridCol w:w="1684"/>
        <w:gridCol w:w="2262"/>
        <w:gridCol w:w="1684"/>
        <w:gridCol w:w="1731"/>
      </w:tblGrid>
      <w:tr w:rsidR="008136A8" w:rsidRPr="001E4550" w14:paraId="15048085" w14:textId="77777777">
        <w:tc>
          <w:tcPr>
            <w:tcW w:w="1660" w:type="dxa"/>
            <w:tcBorders>
              <w:top w:val="nil"/>
              <w:left w:val="nil"/>
              <w:bottom w:val="single" w:sz="4" w:space="0" w:color="auto"/>
              <w:right w:val="single" w:sz="4" w:space="0" w:color="auto"/>
            </w:tcBorders>
            <w:shd w:val="clear" w:color="auto" w:fill="D9D9D9" w:themeFill="background1" w:themeFillShade="D9"/>
            <w:vAlign w:val="center"/>
          </w:tcPr>
          <w:p w14:paraId="0647C722" w14:textId="77777777" w:rsidR="008136A8" w:rsidRPr="00DF70B4" w:rsidRDefault="008136A8">
            <w:pPr>
              <w:jc w:val="center"/>
              <w:rPr>
                <w:rFonts w:asciiTheme="majorHAnsi" w:hAnsiTheme="majorHAnsi" w:cs="Times New Roman"/>
                <w:b/>
                <w:bCs/>
                <w:sz w:val="20"/>
                <w:szCs w:val="20"/>
                <w:lang w:val="en-AU"/>
              </w:rPr>
            </w:pPr>
          </w:p>
        </w:tc>
        <w:tc>
          <w:tcPr>
            <w:tcW w:w="7361" w:type="dxa"/>
            <w:gridSpan w:val="4"/>
            <w:tcBorders>
              <w:left w:val="single" w:sz="4" w:space="0" w:color="auto"/>
              <w:bottom w:val="single" w:sz="4" w:space="0" w:color="auto"/>
            </w:tcBorders>
            <w:shd w:val="clear" w:color="auto" w:fill="D9D9D9" w:themeFill="background1" w:themeFillShade="D9"/>
            <w:vAlign w:val="center"/>
          </w:tcPr>
          <w:p w14:paraId="0FBCE614" w14:textId="29AC12F7" w:rsidR="008136A8" w:rsidRPr="00DF70B4" w:rsidRDefault="007B0D62">
            <w:pPr>
              <w:jc w:val="center"/>
              <w:rPr>
                <w:rFonts w:asciiTheme="majorHAnsi" w:hAnsiTheme="majorHAnsi" w:cs="Times New Roman"/>
                <w:b/>
                <w:bCs/>
                <w:sz w:val="20"/>
                <w:szCs w:val="20"/>
                <w:lang w:val="en-AU"/>
              </w:rPr>
            </w:pPr>
            <w:r w:rsidRPr="001E4550">
              <w:rPr>
                <w:rFonts w:asciiTheme="majorHAnsi" w:hAnsiTheme="majorHAnsi" w:cs="Times New Roman"/>
                <w:b/>
                <w:bCs/>
                <w:sz w:val="20"/>
                <w:szCs w:val="20"/>
              </w:rPr>
              <w:t>Current Hb value</w:t>
            </w:r>
          </w:p>
        </w:tc>
      </w:tr>
      <w:tr w:rsidR="008136A8" w:rsidRPr="001E4550" w14:paraId="571DF472" w14:textId="77777777">
        <w:tc>
          <w:tcPr>
            <w:tcW w:w="1660" w:type="dxa"/>
            <w:tcBorders>
              <w:top w:val="single" w:sz="4" w:space="0" w:color="auto"/>
              <w:bottom w:val="single" w:sz="4" w:space="0" w:color="auto"/>
            </w:tcBorders>
            <w:shd w:val="clear" w:color="auto" w:fill="D9D9D9" w:themeFill="background1" w:themeFillShade="D9"/>
            <w:vAlign w:val="center"/>
          </w:tcPr>
          <w:p w14:paraId="3390CF26" w14:textId="49605656" w:rsidR="008136A8" w:rsidRPr="00DF70B4" w:rsidRDefault="007B0D62">
            <w:pPr>
              <w:jc w:val="center"/>
              <w:rPr>
                <w:rFonts w:asciiTheme="majorHAnsi" w:hAnsiTheme="majorHAnsi" w:cs="Times New Roman"/>
                <w:b/>
                <w:bCs/>
                <w:sz w:val="20"/>
                <w:szCs w:val="20"/>
                <w:lang w:val="en-AU"/>
              </w:rPr>
            </w:pPr>
            <w:r w:rsidRPr="001E4550">
              <w:rPr>
                <w:rFonts w:asciiTheme="majorHAnsi" w:hAnsiTheme="majorHAnsi" w:cs="Times New Roman"/>
                <w:b/>
                <w:bCs/>
                <w:sz w:val="20"/>
                <w:szCs w:val="20"/>
              </w:rPr>
              <w:t>Change in Hb value</w:t>
            </w:r>
          </w:p>
        </w:tc>
        <w:tc>
          <w:tcPr>
            <w:tcW w:w="1684" w:type="dxa"/>
            <w:tcBorders>
              <w:bottom w:val="single" w:sz="4" w:space="0" w:color="auto"/>
            </w:tcBorders>
            <w:shd w:val="clear" w:color="auto" w:fill="D9D9D9" w:themeFill="background1" w:themeFillShade="D9"/>
            <w:vAlign w:val="center"/>
          </w:tcPr>
          <w:p w14:paraId="5567B653" w14:textId="4279FBB4" w:rsidR="008136A8" w:rsidRPr="00DF70B4" w:rsidRDefault="007B0D62">
            <w:pPr>
              <w:jc w:val="center"/>
              <w:rPr>
                <w:rFonts w:asciiTheme="majorHAnsi" w:hAnsiTheme="majorHAnsi" w:cs="Times New Roman"/>
                <w:b/>
                <w:bCs/>
                <w:sz w:val="20"/>
                <w:szCs w:val="20"/>
                <w:lang w:val="en-AU"/>
              </w:rPr>
            </w:pPr>
            <w:r w:rsidRPr="001E4550">
              <w:rPr>
                <w:rFonts w:asciiTheme="majorHAnsi" w:hAnsiTheme="majorHAnsi" w:cs="Times New Roman"/>
                <w:b/>
                <w:bCs/>
                <w:sz w:val="20"/>
                <w:szCs w:val="20"/>
              </w:rPr>
              <w:t>Less than 100 g/L</w:t>
            </w:r>
          </w:p>
        </w:tc>
        <w:tc>
          <w:tcPr>
            <w:tcW w:w="2262" w:type="dxa"/>
            <w:tcBorders>
              <w:bottom w:val="single" w:sz="4" w:space="0" w:color="auto"/>
            </w:tcBorders>
            <w:shd w:val="clear" w:color="auto" w:fill="D9D9D9" w:themeFill="background1" w:themeFillShade="D9"/>
            <w:vAlign w:val="center"/>
          </w:tcPr>
          <w:p w14:paraId="06CA7FF9" w14:textId="26C62570" w:rsidR="008136A8" w:rsidRPr="00DF70B4" w:rsidRDefault="007B0D62">
            <w:pPr>
              <w:jc w:val="center"/>
              <w:rPr>
                <w:rFonts w:asciiTheme="majorHAnsi" w:hAnsiTheme="majorHAnsi" w:cs="Times New Roman"/>
                <w:b/>
                <w:bCs/>
                <w:sz w:val="20"/>
                <w:szCs w:val="20"/>
                <w:lang w:val="en-AU"/>
              </w:rPr>
            </w:pPr>
            <w:r w:rsidRPr="001E4550">
              <w:rPr>
                <w:rFonts w:asciiTheme="majorHAnsi" w:hAnsiTheme="majorHAnsi" w:cs="Times New Roman"/>
                <w:b/>
                <w:bCs/>
                <w:sz w:val="20"/>
                <w:szCs w:val="20"/>
              </w:rPr>
              <w:t>100 to 120 g/L</w:t>
            </w:r>
          </w:p>
        </w:tc>
        <w:tc>
          <w:tcPr>
            <w:tcW w:w="1684" w:type="dxa"/>
            <w:tcBorders>
              <w:bottom w:val="single" w:sz="4" w:space="0" w:color="auto"/>
            </w:tcBorders>
            <w:shd w:val="clear" w:color="auto" w:fill="D9D9D9" w:themeFill="background1" w:themeFillShade="D9"/>
            <w:vAlign w:val="center"/>
          </w:tcPr>
          <w:p w14:paraId="219C2390" w14:textId="68D52255" w:rsidR="008136A8" w:rsidRPr="00DF70B4" w:rsidRDefault="007B0D62">
            <w:pPr>
              <w:jc w:val="center"/>
              <w:rPr>
                <w:rFonts w:asciiTheme="majorHAnsi" w:hAnsiTheme="majorHAnsi" w:cs="Times New Roman"/>
                <w:b/>
                <w:bCs/>
                <w:sz w:val="20"/>
                <w:szCs w:val="20"/>
                <w:lang w:val="en-AU"/>
              </w:rPr>
            </w:pPr>
            <w:r w:rsidRPr="001E4550">
              <w:rPr>
                <w:rFonts w:asciiTheme="majorHAnsi" w:hAnsiTheme="majorHAnsi" w:cs="Times New Roman"/>
                <w:b/>
                <w:bCs/>
                <w:sz w:val="20"/>
                <w:szCs w:val="20"/>
              </w:rPr>
              <w:t>Greater than 120 g/L but less than 130 g/L</w:t>
            </w:r>
          </w:p>
        </w:tc>
        <w:tc>
          <w:tcPr>
            <w:tcW w:w="1731" w:type="dxa"/>
            <w:tcBorders>
              <w:bottom w:val="single" w:sz="4" w:space="0" w:color="auto"/>
            </w:tcBorders>
            <w:shd w:val="clear" w:color="auto" w:fill="D9D9D9" w:themeFill="background1" w:themeFillShade="D9"/>
            <w:vAlign w:val="center"/>
          </w:tcPr>
          <w:p w14:paraId="7E0D1650" w14:textId="777817B4" w:rsidR="008136A8" w:rsidRPr="00DF70B4" w:rsidRDefault="007B0D62">
            <w:pPr>
              <w:jc w:val="center"/>
              <w:rPr>
                <w:rFonts w:asciiTheme="majorHAnsi" w:hAnsiTheme="majorHAnsi" w:cs="Times New Roman"/>
                <w:b/>
                <w:bCs/>
                <w:sz w:val="20"/>
                <w:szCs w:val="20"/>
                <w:lang w:val="en-AU"/>
              </w:rPr>
            </w:pPr>
            <w:r w:rsidRPr="001E4550">
              <w:rPr>
                <w:rFonts w:asciiTheme="majorHAnsi" w:hAnsiTheme="majorHAnsi" w:cs="Times New Roman"/>
                <w:b/>
                <w:bCs/>
                <w:sz w:val="20"/>
                <w:szCs w:val="20"/>
              </w:rPr>
              <w:t>130 g/L or greater</w:t>
            </w:r>
          </w:p>
        </w:tc>
      </w:tr>
      <w:tr w:rsidR="008136A8" w:rsidRPr="001E4550" w14:paraId="7826521A" w14:textId="77777777">
        <w:tc>
          <w:tcPr>
            <w:tcW w:w="1660" w:type="dxa"/>
            <w:shd w:val="clear" w:color="auto" w:fill="D9D9D9" w:themeFill="background1" w:themeFillShade="D9"/>
            <w:vAlign w:val="center"/>
          </w:tcPr>
          <w:p w14:paraId="33379D25" w14:textId="18036F0B" w:rsidR="008136A8" w:rsidRPr="00DF70B4" w:rsidRDefault="007B0D62">
            <w:pPr>
              <w:rPr>
                <w:rFonts w:asciiTheme="majorHAnsi" w:hAnsiTheme="majorHAnsi" w:cs="Times New Roman"/>
                <w:sz w:val="20"/>
                <w:szCs w:val="20"/>
                <w:lang w:val="en-AU"/>
              </w:rPr>
            </w:pPr>
            <w:r w:rsidRPr="001E4550">
              <w:rPr>
                <w:rFonts w:asciiTheme="majorHAnsi" w:hAnsiTheme="majorHAnsi" w:cs="Times New Roman"/>
                <w:b/>
                <w:bCs/>
                <w:sz w:val="20"/>
                <w:szCs w:val="20"/>
                <w:u w:val="single"/>
              </w:rPr>
              <w:t>No rise</w:t>
            </w:r>
            <w:r w:rsidRPr="001E4550">
              <w:rPr>
                <w:rFonts w:asciiTheme="majorHAnsi" w:hAnsiTheme="majorHAnsi" w:cs="Times New Roman"/>
                <w:b/>
                <w:bCs/>
                <w:sz w:val="20"/>
                <w:szCs w:val="20"/>
              </w:rPr>
              <w:t xml:space="preserve"> in Hb greater than 10 g/L in 2-week period or more than 20 g/L in 4 weeks</w:t>
            </w:r>
          </w:p>
          <w:p w14:paraId="77946536" w14:textId="77777777" w:rsidR="008136A8" w:rsidRPr="00DF70B4" w:rsidRDefault="008136A8">
            <w:pPr>
              <w:rPr>
                <w:rFonts w:asciiTheme="majorHAnsi" w:hAnsiTheme="majorHAnsi" w:cs="Times New Roman"/>
                <w:sz w:val="20"/>
                <w:szCs w:val="20"/>
                <w:lang w:val="en-AU"/>
              </w:rPr>
            </w:pPr>
          </w:p>
        </w:tc>
        <w:tc>
          <w:tcPr>
            <w:tcW w:w="1684" w:type="dxa"/>
            <w:shd w:val="clear" w:color="auto" w:fill="auto"/>
            <w:vAlign w:val="center"/>
          </w:tcPr>
          <w:p w14:paraId="12FBC17B" w14:textId="77777777" w:rsidR="008136A8" w:rsidRPr="00DF70B4" w:rsidRDefault="007B0D62">
            <w:pPr>
              <w:jc w:val="center"/>
              <w:rPr>
                <w:rFonts w:asciiTheme="majorHAnsi" w:hAnsiTheme="majorHAnsi"/>
                <w:sz w:val="20"/>
                <w:szCs w:val="20"/>
                <w:lang w:val="en-AU"/>
              </w:rPr>
            </w:pPr>
            <w:r w:rsidRPr="001E4550">
              <w:rPr>
                <w:rFonts w:asciiTheme="majorHAnsi" w:hAnsiTheme="majorHAnsi"/>
                <w:sz w:val="20"/>
                <w:szCs w:val="20"/>
              </w:rPr>
              <w:t>150 mg increase if no dose increase in past 4 weeks</w:t>
            </w:r>
          </w:p>
        </w:tc>
        <w:tc>
          <w:tcPr>
            <w:tcW w:w="2262" w:type="dxa"/>
            <w:shd w:val="clear" w:color="auto" w:fill="auto"/>
            <w:vAlign w:val="center"/>
          </w:tcPr>
          <w:p w14:paraId="5F3A3EB5" w14:textId="77777777" w:rsidR="008136A8" w:rsidRPr="00DF70B4" w:rsidRDefault="007B0D62">
            <w:pPr>
              <w:jc w:val="center"/>
              <w:rPr>
                <w:rFonts w:asciiTheme="majorHAnsi" w:hAnsiTheme="majorHAnsi"/>
                <w:sz w:val="20"/>
                <w:szCs w:val="20"/>
                <w:lang w:val="en-AU"/>
              </w:rPr>
            </w:pPr>
            <w:r w:rsidRPr="001E4550">
              <w:rPr>
                <w:rFonts w:asciiTheme="majorHAnsi" w:hAnsiTheme="majorHAnsi"/>
                <w:sz w:val="20"/>
                <w:szCs w:val="20"/>
              </w:rPr>
              <w:t>Maintain dose</w:t>
            </w:r>
          </w:p>
        </w:tc>
        <w:tc>
          <w:tcPr>
            <w:tcW w:w="1684" w:type="dxa"/>
            <w:shd w:val="clear" w:color="auto" w:fill="auto"/>
            <w:vAlign w:val="center"/>
          </w:tcPr>
          <w:p w14:paraId="58849A57" w14:textId="77777777" w:rsidR="008136A8" w:rsidRPr="00DF70B4" w:rsidRDefault="007B0D62">
            <w:pPr>
              <w:jc w:val="center"/>
              <w:rPr>
                <w:rFonts w:asciiTheme="majorHAnsi" w:hAnsiTheme="majorHAnsi"/>
                <w:sz w:val="20"/>
                <w:szCs w:val="20"/>
                <w:lang w:val="en-AU"/>
              </w:rPr>
            </w:pPr>
            <w:r w:rsidRPr="001E4550">
              <w:rPr>
                <w:rFonts w:asciiTheme="majorHAnsi" w:hAnsiTheme="majorHAnsi"/>
                <w:sz w:val="20"/>
                <w:szCs w:val="20"/>
              </w:rPr>
              <w:t>150 mg reduction</w:t>
            </w:r>
          </w:p>
        </w:tc>
        <w:tc>
          <w:tcPr>
            <w:tcW w:w="1731" w:type="dxa"/>
            <w:vMerge w:val="restart"/>
            <w:shd w:val="clear" w:color="auto" w:fill="auto"/>
          </w:tcPr>
          <w:p w14:paraId="7221EDB8" w14:textId="0FDCFB76" w:rsidR="008136A8" w:rsidRPr="00DF70B4" w:rsidRDefault="007B0D62">
            <w:pPr>
              <w:rPr>
                <w:rFonts w:asciiTheme="majorHAnsi" w:hAnsiTheme="majorHAnsi"/>
                <w:sz w:val="20"/>
                <w:szCs w:val="20"/>
                <w:lang w:val="en-AU"/>
              </w:rPr>
            </w:pPr>
            <w:r w:rsidRPr="001E4550">
              <w:rPr>
                <w:rFonts w:asciiTheme="majorHAnsi" w:hAnsiTheme="majorHAnsi"/>
                <w:sz w:val="20"/>
                <w:szCs w:val="20"/>
              </w:rPr>
              <w:t>Interrupt the dose of Vafseo until Hb is less than or equal to 120 g/L then resume with dose that is 150 mg less than dose prior to interruption.</w:t>
            </w:r>
          </w:p>
          <w:p w14:paraId="1AA99E30" w14:textId="77777777" w:rsidR="008136A8" w:rsidRPr="00DF70B4" w:rsidRDefault="007B0D62">
            <w:pPr>
              <w:rPr>
                <w:rFonts w:asciiTheme="majorHAnsi" w:hAnsiTheme="majorHAnsi"/>
                <w:sz w:val="20"/>
                <w:szCs w:val="20"/>
                <w:lang w:val="en-AU"/>
              </w:rPr>
            </w:pPr>
            <w:r w:rsidRPr="001E4550">
              <w:rPr>
                <w:rFonts w:asciiTheme="majorHAnsi" w:hAnsiTheme="majorHAnsi"/>
                <w:sz w:val="20"/>
                <w:szCs w:val="20"/>
              </w:rPr>
              <w:t>If patient was on 150 mg prior to interruption, then resume with 150 mg.</w:t>
            </w:r>
          </w:p>
        </w:tc>
      </w:tr>
      <w:tr w:rsidR="008136A8" w:rsidRPr="001E4550" w14:paraId="3280BE67" w14:textId="77777777">
        <w:tc>
          <w:tcPr>
            <w:tcW w:w="1660" w:type="dxa"/>
            <w:shd w:val="clear" w:color="auto" w:fill="D9D9D9" w:themeFill="background1" w:themeFillShade="D9"/>
            <w:vAlign w:val="center"/>
          </w:tcPr>
          <w:p w14:paraId="7128B843" w14:textId="41B48F03" w:rsidR="008136A8" w:rsidRPr="00DF70B4" w:rsidRDefault="007B0D62">
            <w:pPr>
              <w:rPr>
                <w:rFonts w:asciiTheme="majorHAnsi" w:hAnsiTheme="majorHAnsi" w:cs="Times New Roman"/>
                <w:sz w:val="20"/>
                <w:szCs w:val="20"/>
                <w:lang w:val="en-AU"/>
              </w:rPr>
            </w:pPr>
            <w:r w:rsidRPr="001E4550">
              <w:rPr>
                <w:rFonts w:asciiTheme="majorHAnsi" w:hAnsiTheme="majorHAnsi" w:cs="Times New Roman"/>
                <w:b/>
                <w:bCs/>
                <w:sz w:val="20"/>
                <w:szCs w:val="20"/>
              </w:rPr>
              <w:t>Hb rise more than 10 g/L in any 2-week period or more than 20 g/L in 4 weeks</w:t>
            </w:r>
          </w:p>
          <w:p w14:paraId="4231D641" w14:textId="77777777" w:rsidR="008136A8" w:rsidRPr="00DF70B4" w:rsidRDefault="008136A8">
            <w:pPr>
              <w:rPr>
                <w:rFonts w:asciiTheme="majorHAnsi" w:hAnsiTheme="majorHAnsi" w:cs="Times New Roman"/>
                <w:sz w:val="20"/>
                <w:szCs w:val="20"/>
                <w:lang w:val="en-AU"/>
              </w:rPr>
            </w:pPr>
          </w:p>
        </w:tc>
        <w:tc>
          <w:tcPr>
            <w:tcW w:w="1684" w:type="dxa"/>
            <w:shd w:val="clear" w:color="auto" w:fill="auto"/>
            <w:vAlign w:val="center"/>
          </w:tcPr>
          <w:p w14:paraId="0CF55575" w14:textId="385192BC" w:rsidR="008136A8" w:rsidRPr="00DF70B4" w:rsidRDefault="007B0D62">
            <w:pPr>
              <w:jc w:val="center"/>
              <w:rPr>
                <w:rFonts w:asciiTheme="majorHAnsi" w:hAnsiTheme="majorHAnsi"/>
                <w:sz w:val="20"/>
                <w:szCs w:val="20"/>
                <w:lang w:val="en-AU"/>
              </w:rPr>
            </w:pPr>
            <w:r w:rsidRPr="001E4550">
              <w:rPr>
                <w:rFonts w:asciiTheme="majorHAnsi" w:hAnsiTheme="majorHAnsi"/>
                <w:sz w:val="20"/>
                <w:szCs w:val="20"/>
              </w:rPr>
              <w:t>150 mg reduction or maintain* dose</w:t>
            </w:r>
          </w:p>
        </w:tc>
        <w:tc>
          <w:tcPr>
            <w:tcW w:w="2262" w:type="dxa"/>
            <w:shd w:val="clear" w:color="auto" w:fill="auto"/>
            <w:vAlign w:val="center"/>
          </w:tcPr>
          <w:p w14:paraId="3ADC14D0" w14:textId="56068460" w:rsidR="008136A8" w:rsidRPr="00DF70B4" w:rsidRDefault="007B0D62">
            <w:pPr>
              <w:jc w:val="center"/>
              <w:rPr>
                <w:rFonts w:asciiTheme="majorHAnsi" w:hAnsiTheme="majorHAnsi"/>
                <w:sz w:val="20"/>
                <w:szCs w:val="20"/>
                <w:lang w:val="en-AU"/>
              </w:rPr>
            </w:pPr>
            <w:r w:rsidRPr="001E4550">
              <w:rPr>
                <w:rFonts w:asciiTheme="majorHAnsi" w:hAnsiTheme="majorHAnsi"/>
                <w:sz w:val="20"/>
                <w:szCs w:val="20"/>
              </w:rPr>
              <w:t>150 mg reduction or maintain* dose</w:t>
            </w:r>
          </w:p>
        </w:tc>
        <w:tc>
          <w:tcPr>
            <w:tcW w:w="1684" w:type="dxa"/>
            <w:shd w:val="clear" w:color="auto" w:fill="auto"/>
            <w:vAlign w:val="center"/>
          </w:tcPr>
          <w:p w14:paraId="281748F4" w14:textId="77777777" w:rsidR="008136A8" w:rsidRPr="00DF70B4" w:rsidRDefault="007B0D62">
            <w:pPr>
              <w:jc w:val="center"/>
              <w:rPr>
                <w:rFonts w:asciiTheme="majorHAnsi" w:hAnsiTheme="majorHAnsi"/>
                <w:sz w:val="20"/>
                <w:szCs w:val="20"/>
                <w:lang w:val="en-AU"/>
              </w:rPr>
            </w:pPr>
            <w:r w:rsidRPr="001E4550">
              <w:rPr>
                <w:rFonts w:asciiTheme="majorHAnsi" w:hAnsiTheme="majorHAnsi"/>
                <w:sz w:val="20"/>
                <w:szCs w:val="20"/>
              </w:rPr>
              <w:t>150 mg reduction</w:t>
            </w:r>
          </w:p>
        </w:tc>
        <w:tc>
          <w:tcPr>
            <w:tcW w:w="1731" w:type="dxa"/>
            <w:vMerge/>
            <w:shd w:val="clear" w:color="auto" w:fill="C6D9F1" w:themeFill="text2" w:themeFillTint="33"/>
          </w:tcPr>
          <w:p w14:paraId="205686DE" w14:textId="77777777" w:rsidR="008136A8" w:rsidRPr="00DF70B4" w:rsidRDefault="008136A8">
            <w:pPr>
              <w:rPr>
                <w:lang w:val="en-AU"/>
              </w:rPr>
            </w:pPr>
          </w:p>
        </w:tc>
      </w:tr>
    </w:tbl>
    <w:p w14:paraId="3E5542CC" w14:textId="7639032C" w:rsidR="008136A8" w:rsidRPr="001E4550" w:rsidRDefault="007B0D62">
      <w:pPr>
        <w:rPr>
          <w:rFonts w:asciiTheme="majorHAnsi" w:hAnsiTheme="majorHAnsi"/>
        </w:rPr>
      </w:pPr>
      <w:r w:rsidRPr="001E4550">
        <w:rPr>
          <w:rFonts w:asciiTheme="majorHAnsi" w:hAnsiTheme="majorHAnsi"/>
        </w:rPr>
        <w:t>* Dose reduction may not be required in case of a single Hb value.</w:t>
      </w:r>
    </w:p>
    <w:p w14:paraId="13010B59" w14:textId="18628ADC" w:rsidR="008136A8" w:rsidRPr="00DF70B4" w:rsidRDefault="007B0D62">
      <w:pPr>
        <w:pStyle w:val="Heading4"/>
      </w:pPr>
      <w:r w:rsidRPr="00DF70B4">
        <w:t xml:space="preserve">Monitoring </w:t>
      </w:r>
    </w:p>
    <w:p w14:paraId="2D2070FA" w14:textId="239BF670" w:rsidR="008136A8" w:rsidRPr="00DF70B4" w:rsidRDefault="007B0D62">
      <w:pPr>
        <w:rPr>
          <w:rFonts w:asciiTheme="majorHAnsi" w:hAnsiTheme="majorHAnsi"/>
        </w:rPr>
      </w:pPr>
      <w:r w:rsidRPr="00DF70B4">
        <w:rPr>
          <w:rFonts w:asciiTheme="majorHAnsi" w:hAnsiTheme="majorHAnsi"/>
        </w:rPr>
        <w:t>When initiating or adjusting therapy, monitor Hb levels every two weeks until stable, then monitor at least monthly.</w:t>
      </w:r>
    </w:p>
    <w:p w14:paraId="7CF4DACD" w14:textId="2BA785A8" w:rsidR="008136A8" w:rsidRPr="00DF70B4" w:rsidRDefault="007B0D62">
      <w:pPr>
        <w:rPr>
          <w:rFonts w:asciiTheme="majorHAnsi" w:hAnsiTheme="majorHAnsi"/>
        </w:rPr>
      </w:pPr>
      <w:r w:rsidRPr="00DF70B4">
        <w:rPr>
          <w:rFonts w:asciiTheme="majorHAnsi" w:hAnsiTheme="majorHAnsi"/>
        </w:rPr>
        <w:t xml:space="preserve">ALT, AST, and bilirubin must be evaluated prior to the initiation of Vafseo, </w:t>
      </w:r>
      <w:r w:rsidRPr="001E4550">
        <w:rPr>
          <w:rFonts w:asciiTheme="majorHAnsi" w:hAnsiTheme="majorHAnsi"/>
        </w:rPr>
        <w:t>monthly</w:t>
      </w:r>
      <w:r w:rsidRPr="00DF70B4">
        <w:rPr>
          <w:rFonts w:asciiTheme="majorHAnsi" w:hAnsiTheme="majorHAnsi"/>
        </w:rPr>
        <w:t xml:space="preserve"> for three months after initiation and as clinically indicated thereafter</w:t>
      </w:r>
      <w:r w:rsidRPr="001E4550">
        <w:rPr>
          <w:rFonts w:asciiTheme="majorHAnsi" w:hAnsiTheme="majorHAnsi"/>
        </w:rPr>
        <w:t xml:space="preserve">, </w:t>
      </w:r>
      <w:r w:rsidRPr="00DF70B4">
        <w:rPr>
          <w:rFonts w:asciiTheme="majorHAnsi" w:hAnsiTheme="majorHAnsi"/>
        </w:rPr>
        <w:t xml:space="preserve">see </w:t>
      </w:r>
      <w:r w:rsidRPr="001E4550">
        <w:rPr>
          <w:rFonts w:asciiTheme="majorHAnsi" w:hAnsiTheme="majorHAnsi"/>
        </w:rPr>
        <w:t>s</w:t>
      </w:r>
      <w:r w:rsidRPr="00DF70B4">
        <w:rPr>
          <w:rFonts w:asciiTheme="majorHAnsi" w:hAnsiTheme="majorHAnsi"/>
        </w:rPr>
        <w:t>ection 4.4</w:t>
      </w:r>
      <w:r w:rsidRPr="001E4550">
        <w:rPr>
          <w:rFonts w:asciiTheme="majorHAnsi" w:hAnsiTheme="majorHAnsi"/>
        </w:rPr>
        <w:t xml:space="preserve"> Special warnings and precautions for use</w:t>
      </w:r>
      <w:r w:rsidRPr="00DF70B4">
        <w:rPr>
          <w:rFonts w:asciiTheme="majorHAnsi" w:hAnsiTheme="majorHAnsi"/>
        </w:rPr>
        <w:t>.</w:t>
      </w:r>
    </w:p>
    <w:p w14:paraId="556032EF" w14:textId="77777777" w:rsidR="008136A8" w:rsidRPr="00DF70B4" w:rsidRDefault="008136A8">
      <w:pPr>
        <w:rPr>
          <w:rFonts w:asciiTheme="majorHAnsi" w:hAnsiTheme="majorHAnsi"/>
        </w:rPr>
      </w:pPr>
    </w:p>
    <w:p w14:paraId="5A6AE2CA" w14:textId="079473D1" w:rsidR="008136A8" w:rsidRPr="001E4550" w:rsidRDefault="007B0D62">
      <w:pPr>
        <w:pStyle w:val="Heading3"/>
        <w:spacing w:before="0" w:after="120"/>
      </w:pPr>
      <w:r w:rsidRPr="001E4550">
        <w:t>Method of administration</w:t>
      </w:r>
    </w:p>
    <w:p w14:paraId="148FA8AA" w14:textId="3C9921FB" w:rsidR="008136A8" w:rsidRPr="00DF70B4" w:rsidRDefault="007B0D62">
      <w:pPr>
        <w:rPr>
          <w:rFonts w:asciiTheme="majorHAnsi" w:hAnsiTheme="majorHAnsi"/>
        </w:rPr>
      </w:pPr>
      <w:r w:rsidRPr="00DF70B4">
        <w:rPr>
          <w:rFonts w:asciiTheme="majorHAnsi" w:hAnsiTheme="majorHAnsi"/>
        </w:rPr>
        <w:t>The film-coated tablet is administered orally with or without food and should be swallowed whole without chewing.</w:t>
      </w:r>
      <w:r w:rsidR="3026E9F1" w:rsidRPr="00DF70B4">
        <w:rPr>
          <w:rFonts w:asciiTheme="majorHAnsi" w:hAnsiTheme="majorHAnsi"/>
        </w:rPr>
        <w:t xml:space="preserve"> </w:t>
      </w:r>
    </w:p>
    <w:p w14:paraId="134D38FB" w14:textId="0EF41BDC" w:rsidR="008136A8" w:rsidRPr="00DF70B4" w:rsidRDefault="00ED3C0F">
      <w:pPr>
        <w:rPr>
          <w:rFonts w:asciiTheme="majorHAnsi" w:hAnsiTheme="majorHAnsi" w:cstheme="minorHAnsi"/>
        </w:rPr>
      </w:pPr>
      <w:r w:rsidRPr="00DF70B4">
        <w:rPr>
          <w:rFonts w:asciiTheme="majorHAnsi" w:hAnsiTheme="majorHAnsi" w:cstheme="minorHAnsi"/>
        </w:rPr>
        <w:t>Vafseo can be taken at any time before, during, or after dialysis.</w:t>
      </w:r>
    </w:p>
    <w:p w14:paraId="0691854F" w14:textId="77777777" w:rsidR="008136A8" w:rsidRPr="00DF70B4" w:rsidRDefault="008136A8">
      <w:pPr>
        <w:rPr>
          <w:rFonts w:asciiTheme="majorHAnsi" w:hAnsiTheme="majorHAnsi" w:cstheme="minorHAnsi"/>
        </w:rPr>
      </w:pPr>
    </w:p>
    <w:p w14:paraId="0BCA7877" w14:textId="3CCF3F91" w:rsidR="008136A8" w:rsidRPr="001E4550" w:rsidRDefault="007B0D62">
      <w:pPr>
        <w:pStyle w:val="Heading3"/>
        <w:rPr>
          <w:b w:val="0"/>
          <w:bCs w:val="0"/>
        </w:rPr>
      </w:pPr>
      <w:r w:rsidRPr="001E4550">
        <w:t>Dosage adjustment</w:t>
      </w:r>
    </w:p>
    <w:p w14:paraId="5BDADDFE" w14:textId="77777777" w:rsidR="008136A8" w:rsidRPr="00DF70B4" w:rsidRDefault="007B0D62">
      <w:pPr>
        <w:pStyle w:val="Heading4"/>
        <w:rPr>
          <w:rFonts w:cstheme="minorHAnsi"/>
        </w:rPr>
      </w:pPr>
      <w:r w:rsidRPr="00DF70B4">
        <w:t>Elderly</w:t>
      </w:r>
    </w:p>
    <w:p w14:paraId="76833A74" w14:textId="2E6E59EB" w:rsidR="008136A8" w:rsidRPr="00DF70B4" w:rsidRDefault="007B0D62">
      <w:pPr>
        <w:rPr>
          <w:rFonts w:asciiTheme="majorHAnsi" w:hAnsiTheme="majorHAnsi" w:cstheme="minorHAnsi"/>
        </w:rPr>
      </w:pPr>
      <w:r w:rsidRPr="00DF70B4">
        <w:rPr>
          <w:rFonts w:asciiTheme="majorHAnsi" w:hAnsiTheme="majorHAnsi" w:cstheme="minorHAnsi"/>
        </w:rPr>
        <w:t xml:space="preserve">No dose adjustment is recommended for elderly patients, see section 5.2 Pharmacokinetic properties. </w:t>
      </w:r>
    </w:p>
    <w:p w14:paraId="4C8AA41B" w14:textId="77777777" w:rsidR="008136A8" w:rsidRPr="00DF70B4" w:rsidRDefault="008136A8">
      <w:pPr>
        <w:rPr>
          <w:rFonts w:asciiTheme="majorHAnsi" w:hAnsiTheme="majorHAnsi" w:cstheme="minorHAnsi"/>
        </w:rPr>
      </w:pPr>
    </w:p>
    <w:p w14:paraId="23666489" w14:textId="77777777" w:rsidR="008136A8" w:rsidRPr="00DF70B4" w:rsidRDefault="007B0D62">
      <w:pPr>
        <w:pStyle w:val="Heading4"/>
        <w:rPr>
          <w:rFonts w:cstheme="minorHAnsi"/>
        </w:rPr>
      </w:pPr>
      <w:r w:rsidRPr="00DF70B4">
        <w:t>Renal impairment</w:t>
      </w:r>
    </w:p>
    <w:p w14:paraId="2A2BA0EE" w14:textId="709820BA" w:rsidR="008136A8" w:rsidRPr="00DF70B4" w:rsidRDefault="007B0D62">
      <w:pPr>
        <w:rPr>
          <w:rFonts w:asciiTheme="majorHAnsi" w:hAnsiTheme="majorHAnsi" w:cstheme="minorHAnsi"/>
        </w:rPr>
      </w:pPr>
      <w:r w:rsidRPr="00DF70B4">
        <w:rPr>
          <w:rFonts w:asciiTheme="majorHAnsi" w:hAnsiTheme="majorHAnsi" w:cstheme="minorHAnsi"/>
        </w:rPr>
        <w:t>No dose adjustment is needed in patients with renal impairment, see section 5.2 Pharmacokinetic properties.</w:t>
      </w:r>
    </w:p>
    <w:p w14:paraId="6D2A4597" w14:textId="77777777" w:rsidR="008136A8" w:rsidRPr="00DF70B4" w:rsidRDefault="008136A8">
      <w:pPr>
        <w:rPr>
          <w:rFonts w:asciiTheme="majorHAnsi" w:hAnsiTheme="majorHAnsi" w:cstheme="minorHAnsi"/>
        </w:rPr>
      </w:pPr>
    </w:p>
    <w:p w14:paraId="66C99709" w14:textId="189D681E" w:rsidR="008136A8" w:rsidRPr="00DF70B4" w:rsidRDefault="007B0D62">
      <w:pPr>
        <w:pStyle w:val="Heading4"/>
        <w:rPr>
          <w:rFonts w:cstheme="minorHAnsi"/>
        </w:rPr>
      </w:pPr>
      <w:r w:rsidRPr="00DF70B4">
        <w:t>Hepatic impairment</w:t>
      </w:r>
    </w:p>
    <w:p w14:paraId="605AFCE9" w14:textId="732BE17C" w:rsidR="008136A8" w:rsidRPr="00DF70B4" w:rsidRDefault="007B0D62">
      <w:pPr>
        <w:rPr>
          <w:rFonts w:asciiTheme="majorHAnsi" w:hAnsiTheme="majorHAnsi" w:cstheme="minorHAnsi"/>
        </w:rPr>
      </w:pPr>
      <w:r w:rsidRPr="00DF70B4">
        <w:rPr>
          <w:rFonts w:asciiTheme="majorHAnsi" w:hAnsiTheme="majorHAnsi" w:cstheme="minorHAnsi"/>
        </w:rPr>
        <w:t xml:space="preserve">No dose adjustment is needed in patients with mild or moderate hepatic impairment. </w:t>
      </w:r>
      <w:r w:rsidRPr="00DF70B4">
        <w:rPr>
          <w:rFonts w:asciiTheme="majorHAnsi" w:hAnsiTheme="majorHAnsi"/>
        </w:rPr>
        <w:t xml:space="preserve">Vafseo is not recommended for use </w:t>
      </w:r>
      <w:r w:rsidRPr="00DF70B4">
        <w:rPr>
          <w:rFonts w:asciiTheme="majorHAnsi" w:hAnsiTheme="majorHAnsi" w:cstheme="minorHAnsi"/>
        </w:rPr>
        <w:t xml:space="preserve">in patients with severe hepatic impairment </w:t>
      </w:r>
      <w:r w:rsidRPr="00DF70B4">
        <w:rPr>
          <w:rFonts w:asciiTheme="majorHAnsi" w:hAnsiTheme="majorHAnsi"/>
        </w:rPr>
        <w:t>(Child-Pugh class C) as the safety and efficacy have not been evaluated in this population (see sections 4.4 Special warnings and precautions for use and</w:t>
      </w:r>
      <w:r w:rsidRPr="00DF70B4">
        <w:rPr>
          <w:rFonts w:asciiTheme="majorHAnsi" w:hAnsiTheme="majorHAnsi" w:cstheme="minorHAnsi"/>
        </w:rPr>
        <w:t xml:space="preserve"> 5.2 Pharmacokinetic properties).</w:t>
      </w:r>
    </w:p>
    <w:p w14:paraId="22B8CCDB" w14:textId="77777777" w:rsidR="008136A8" w:rsidRPr="00DF70B4" w:rsidRDefault="008136A8">
      <w:pPr>
        <w:rPr>
          <w:rFonts w:asciiTheme="majorHAnsi" w:hAnsiTheme="majorHAnsi" w:cstheme="minorHAnsi"/>
        </w:rPr>
      </w:pPr>
    </w:p>
    <w:p w14:paraId="3AF94353" w14:textId="0C3AD764" w:rsidR="008136A8" w:rsidRPr="00DF70B4" w:rsidRDefault="007B0D62">
      <w:pPr>
        <w:pStyle w:val="Heading3"/>
        <w:rPr>
          <w:rFonts w:cstheme="minorHAnsi"/>
          <w:b w:val="0"/>
          <w:bCs w:val="0"/>
        </w:rPr>
      </w:pPr>
      <w:r w:rsidRPr="00DF70B4">
        <w:t xml:space="preserve">Important administration </w:t>
      </w:r>
      <w:r w:rsidRPr="00DF70B4">
        <w:rPr>
          <w:rFonts w:cstheme="minorHAnsi"/>
        </w:rPr>
        <w:t>instructions</w:t>
      </w:r>
    </w:p>
    <w:p w14:paraId="0798ABA3" w14:textId="77777777" w:rsidR="008136A8" w:rsidRPr="00DF70B4" w:rsidRDefault="007B0D62">
      <w:pPr>
        <w:pStyle w:val="Heading4"/>
        <w:rPr>
          <w:rFonts w:cstheme="minorHAnsi"/>
        </w:rPr>
      </w:pPr>
      <w:r w:rsidRPr="00DF70B4">
        <w:t>Evaluation of iron stores and nutritional factors</w:t>
      </w:r>
    </w:p>
    <w:p w14:paraId="06FD2F96" w14:textId="69B006E3" w:rsidR="008136A8" w:rsidRPr="00DF70B4" w:rsidRDefault="007B0D62">
      <w:pPr>
        <w:rPr>
          <w:rFonts w:asciiTheme="majorHAnsi" w:hAnsiTheme="majorHAnsi" w:cstheme="minorHAnsi"/>
        </w:rPr>
      </w:pPr>
      <w:r w:rsidRPr="00DF70B4">
        <w:rPr>
          <w:rFonts w:asciiTheme="majorHAnsi" w:hAnsiTheme="majorHAnsi" w:cstheme="minorHAnsi"/>
        </w:rPr>
        <w:t xml:space="preserve">Evaluate the iron status in all patients before and during treatment. Administer supplemental iron therapy when serum ferritin is less than 100 mcg/L or when serum transferrin saturation is less than 20%. </w:t>
      </w:r>
    </w:p>
    <w:p w14:paraId="7DBF1B8E" w14:textId="77777777" w:rsidR="008136A8" w:rsidRPr="00DF70B4" w:rsidRDefault="008136A8">
      <w:pPr>
        <w:rPr>
          <w:rFonts w:asciiTheme="majorHAnsi" w:hAnsiTheme="majorHAnsi" w:cstheme="minorHAnsi"/>
        </w:rPr>
      </w:pPr>
    </w:p>
    <w:p w14:paraId="3A1736C7" w14:textId="2B1A2E8B" w:rsidR="008136A8" w:rsidRPr="00DF70B4" w:rsidRDefault="007B0D62">
      <w:pPr>
        <w:pStyle w:val="Heading4"/>
      </w:pPr>
      <w:r w:rsidRPr="00DF70B4">
        <w:t>Oral iron, phosphate binders and other medicinal products whose primary component consists of multivalent cations</w:t>
      </w:r>
    </w:p>
    <w:p w14:paraId="279D4D5B" w14:textId="69EFC391" w:rsidR="008136A8" w:rsidRPr="00DF70B4" w:rsidRDefault="007B0D62">
      <w:pPr>
        <w:rPr>
          <w:rFonts w:asciiTheme="majorHAnsi" w:hAnsiTheme="majorHAnsi" w:cstheme="minorHAnsi"/>
        </w:rPr>
      </w:pPr>
      <w:r w:rsidRPr="00DF70B4">
        <w:rPr>
          <w:rFonts w:asciiTheme="majorHAnsi" w:hAnsiTheme="majorHAnsi" w:cstheme="minorHAnsi"/>
        </w:rPr>
        <w:t xml:space="preserve">Vafseo should be administered at least 1 hour before oral iron supplements, products whose primary component consists of iron or iron-containing phosphate binders. As vadadustat may form a chelate with multivalent cations, Vafseo should be administered at least 1 hour before or 2 hours after non-iron-containing phosphate binders or other medicinal products whose primary component consists of multivalent cations such as calcium, magnesium or aluminium (see section 4.5 Interactions with other medicines and other forms of interactions). </w:t>
      </w:r>
    </w:p>
    <w:p w14:paraId="1A8750D7" w14:textId="77777777" w:rsidR="008136A8" w:rsidRPr="00DF70B4" w:rsidRDefault="008136A8">
      <w:pPr>
        <w:rPr>
          <w:rFonts w:asciiTheme="majorHAnsi" w:hAnsiTheme="majorHAnsi" w:cstheme="minorHAnsi"/>
        </w:rPr>
      </w:pPr>
    </w:p>
    <w:p w14:paraId="58AD6676" w14:textId="77777777" w:rsidR="008136A8" w:rsidRPr="00DF70B4" w:rsidRDefault="007B0D62">
      <w:pPr>
        <w:pStyle w:val="Heading4"/>
        <w:rPr>
          <w:rFonts w:cstheme="minorHAnsi"/>
        </w:rPr>
      </w:pPr>
      <w:r w:rsidRPr="00DF70B4">
        <w:t xml:space="preserve">Other causes of anaemia </w:t>
      </w:r>
    </w:p>
    <w:p w14:paraId="0F40A4DF" w14:textId="2E2E927B" w:rsidR="008136A8" w:rsidRPr="00DF70B4" w:rsidRDefault="007B0D62">
      <w:pPr>
        <w:rPr>
          <w:rFonts w:asciiTheme="majorHAnsi" w:hAnsiTheme="majorHAnsi" w:cstheme="minorHAnsi"/>
        </w:rPr>
      </w:pPr>
      <w:r w:rsidRPr="00DF70B4">
        <w:rPr>
          <w:rFonts w:asciiTheme="majorHAnsi" w:hAnsiTheme="majorHAnsi" w:cstheme="minorHAnsi"/>
        </w:rPr>
        <w:t xml:space="preserve">Assess other causes of anaemia (e.g., vitamin deficiency, other metabolic or chronic inflammatory conditions, bleeding, etc.) before initiating Vafseo. </w:t>
      </w:r>
    </w:p>
    <w:p w14:paraId="07D60366" w14:textId="77777777" w:rsidR="008136A8" w:rsidRPr="00DF70B4" w:rsidRDefault="008136A8">
      <w:pPr>
        <w:rPr>
          <w:rFonts w:asciiTheme="majorHAnsi" w:hAnsiTheme="majorHAnsi" w:cstheme="minorHAnsi"/>
        </w:rPr>
      </w:pPr>
    </w:p>
    <w:p w14:paraId="3E01B6FC" w14:textId="77777777" w:rsidR="008136A8" w:rsidRPr="00DF70B4" w:rsidRDefault="007B0D62">
      <w:pPr>
        <w:pStyle w:val="Heading3"/>
        <w:rPr>
          <w:rFonts w:cstheme="minorHAnsi"/>
        </w:rPr>
      </w:pPr>
      <w:r w:rsidRPr="00DF70B4">
        <w:t>Missed dose</w:t>
      </w:r>
    </w:p>
    <w:p w14:paraId="62D5AF52" w14:textId="210510F4" w:rsidR="008136A8" w:rsidRPr="00DF70B4" w:rsidRDefault="007B0D62">
      <w:pPr>
        <w:rPr>
          <w:rFonts w:asciiTheme="majorHAnsi" w:hAnsiTheme="majorHAnsi" w:cstheme="minorHAnsi"/>
        </w:rPr>
      </w:pPr>
      <w:r w:rsidRPr="00DF70B4">
        <w:rPr>
          <w:rFonts w:asciiTheme="majorHAnsi" w:hAnsiTheme="majorHAnsi" w:cstheme="minorHAnsi"/>
        </w:rPr>
        <w:t>If a dose is missed, patients should take the dose as soon as they remember during the same day and then patients should take the next dose at the usual time the next day. Patients should not take a double dose.</w:t>
      </w:r>
    </w:p>
    <w:p w14:paraId="63C603D7" w14:textId="77777777" w:rsidR="008136A8" w:rsidRPr="00DF70B4" w:rsidRDefault="008136A8">
      <w:pPr>
        <w:rPr>
          <w:rFonts w:asciiTheme="majorHAnsi" w:hAnsiTheme="majorHAnsi" w:cstheme="minorHAnsi"/>
        </w:rPr>
      </w:pPr>
    </w:p>
    <w:p w14:paraId="48B341AA" w14:textId="27568246" w:rsidR="008136A8" w:rsidRPr="001E4550" w:rsidRDefault="007B0D62">
      <w:pPr>
        <w:pStyle w:val="Heading2"/>
        <w:spacing w:before="0" w:after="120"/>
      </w:pPr>
      <w:r w:rsidRPr="001E4550">
        <w:lastRenderedPageBreak/>
        <w:t>Contraindications</w:t>
      </w:r>
    </w:p>
    <w:p w14:paraId="3CD07B2A" w14:textId="282A82A9" w:rsidR="008136A8" w:rsidRPr="00DF70B4" w:rsidRDefault="007B0D62">
      <w:pPr>
        <w:rPr>
          <w:rFonts w:asciiTheme="majorHAnsi" w:hAnsiTheme="majorHAnsi" w:cstheme="minorHAnsi"/>
        </w:rPr>
      </w:pPr>
      <w:r w:rsidRPr="00DF70B4">
        <w:rPr>
          <w:rFonts w:asciiTheme="majorHAnsi" w:hAnsiTheme="majorHAnsi" w:cstheme="minorHAnsi"/>
        </w:rPr>
        <w:t>Hypersensitivity to the active substance or to any of the excipients listed in section 6.1 List of excipients.</w:t>
      </w:r>
    </w:p>
    <w:p w14:paraId="7A6A9B1D" w14:textId="77777777" w:rsidR="008136A8" w:rsidRPr="00DF70B4" w:rsidRDefault="008136A8">
      <w:pPr>
        <w:rPr>
          <w:rFonts w:asciiTheme="majorHAnsi" w:hAnsiTheme="majorHAnsi" w:cstheme="minorHAnsi"/>
        </w:rPr>
      </w:pPr>
    </w:p>
    <w:p w14:paraId="45FBCEE1" w14:textId="5100AC46" w:rsidR="008136A8" w:rsidRPr="001E4550" w:rsidRDefault="007B0D62">
      <w:pPr>
        <w:pStyle w:val="Heading2"/>
        <w:spacing w:before="0" w:after="120"/>
      </w:pPr>
      <w:r w:rsidRPr="001E4550">
        <w:t>Special warnings and precautions for use</w:t>
      </w:r>
    </w:p>
    <w:p w14:paraId="47F8DADE" w14:textId="4D7BE644" w:rsidR="008136A8" w:rsidRPr="001E4550" w:rsidRDefault="007B0D62">
      <w:pPr>
        <w:pStyle w:val="Heading3"/>
      </w:pPr>
      <w:r w:rsidRPr="001E4550">
        <w:t>Cardiovascular and mortality risk</w:t>
      </w:r>
    </w:p>
    <w:p w14:paraId="70B07D4D" w14:textId="6CCDBA22" w:rsidR="008136A8" w:rsidRPr="00DF70B4" w:rsidRDefault="00D647F1">
      <w:pPr>
        <w:rPr>
          <w:rFonts w:asciiTheme="majorHAnsi" w:hAnsiTheme="majorHAnsi"/>
        </w:rPr>
      </w:pPr>
      <w:r w:rsidRPr="00DF70B4">
        <w:rPr>
          <w:rFonts w:asciiTheme="majorHAnsi" w:hAnsiTheme="majorHAnsi"/>
        </w:rPr>
        <w:t>In controlled clinical trials, patients with dialysis-dependent (DD) CKD treated with Vafseo, experienced similar risks for major cardiovascular events (all-cause mortality, non-fatal stroke and myocardial infarction</w:t>
      </w:r>
      <w:r w:rsidR="00796B87" w:rsidRPr="00DF70B4">
        <w:rPr>
          <w:rFonts w:asciiTheme="majorHAnsi" w:hAnsiTheme="majorHAnsi"/>
        </w:rPr>
        <w:t xml:space="preserve"> </w:t>
      </w:r>
      <w:r w:rsidRPr="00DF70B4">
        <w:rPr>
          <w:rFonts w:asciiTheme="majorHAnsi" w:hAnsiTheme="majorHAnsi"/>
        </w:rPr>
        <w:t>[MI]), compared to darbepoetin alfa (see section 5.1 Pharmacodynamic properties).</w:t>
      </w:r>
      <w:r w:rsidR="00F920F5" w:rsidRPr="00DF70B4">
        <w:rPr>
          <w:rFonts w:asciiTheme="majorHAnsi" w:hAnsiTheme="majorHAnsi"/>
        </w:rPr>
        <w:t xml:space="preserve"> </w:t>
      </w:r>
    </w:p>
    <w:p w14:paraId="04246576" w14:textId="68D1C6AE" w:rsidR="008136A8" w:rsidRPr="00DF70B4" w:rsidRDefault="007B0D62">
      <w:pPr>
        <w:rPr>
          <w:rFonts w:asciiTheme="majorHAnsi" w:hAnsiTheme="majorHAnsi"/>
        </w:rPr>
      </w:pPr>
      <w:r w:rsidRPr="00DF70B4">
        <w:rPr>
          <w:rFonts w:asciiTheme="majorHAnsi" w:hAnsiTheme="majorHAnsi"/>
        </w:rPr>
        <w:t>Patients with signs and symptoms of serious adverse cardiovascular reactions or stroke should be promptly evaluated and treated according to standard of care. The decision to interrupt or discontinue treatment should be based on a benefit-risk consideration for the individual patient.</w:t>
      </w:r>
    </w:p>
    <w:p w14:paraId="6ADE5D2D" w14:textId="77777777" w:rsidR="008136A8" w:rsidRPr="00DF70B4" w:rsidRDefault="008136A8">
      <w:pPr>
        <w:rPr>
          <w:rFonts w:asciiTheme="majorHAnsi" w:hAnsiTheme="majorHAnsi"/>
        </w:rPr>
      </w:pPr>
    </w:p>
    <w:p w14:paraId="348A1D3B" w14:textId="69E75A2D" w:rsidR="008136A8" w:rsidRPr="001E4550" w:rsidRDefault="007B0D62">
      <w:pPr>
        <w:pStyle w:val="Heading3"/>
      </w:pPr>
      <w:r w:rsidRPr="001E4550">
        <w:t>Thromboembolic events</w:t>
      </w:r>
    </w:p>
    <w:p w14:paraId="02919E34" w14:textId="62793976" w:rsidR="006812DC" w:rsidRPr="00DF70B4" w:rsidRDefault="006812DC" w:rsidP="00655B10">
      <w:pPr>
        <w:rPr>
          <w:rFonts w:asciiTheme="majorHAnsi" w:hAnsiTheme="majorHAnsi"/>
        </w:rPr>
      </w:pPr>
      <w:r w:rsidRPr="00DF70B4">
        <w:rPr>
          <w:rFonts w:asciiTheme="majorHAnsi" w:hAnsiTheme="majorHAnsi"/>
        </w:rPr>
        <w:t xml:space="preserve">Thromboembolic events </w:t>
      </w:r>
      <w:r w:rsidR="00CC64B4" w:rsidRPr="00DF70B4">
        <w:rPr>
          <w:rFonts w:asciiTheme="majorHAnsi" w:hAnsiTheme="majorHAnsi"/>
        </w:rPr>
        <w:t xml:space="preserve">such as </w:t>
      </w:r>
      <w:r w:rsidR="006934B3" w:rsidRPr="00DF70B4">
        <w:rPr>
          <w:rFonts w:asciiTheme="majorHAnsi" w:hAnsiTheme="majorHAnsi"/>
        </w:rPr>
        <w:t>vascular access thrombosis (VAT)</w:t>
      </w:r>
      <w:r w:rsidR="00833473" w:rsidRPr="00DF70B4">
        <w:rPr>
          <w:rFonts w:asciiTheme="majorHAnsi" w:hAnsiTheme="majorHAnsi"/>
        </w:rPr>
        <w:t xml:space="preserve"> (arteriovenous graft thrombosis and arteriovenous fistula thrombosis) </w:t>
      </w:r>
      <w:r w:rsidRPr="00DF70B4">
        <w:rPr>
          <w:rFonts w:asciiTheme="majorHAnsi" w:hAnsiTheme="majorHAnsi"/>
        </w:rPr>
        <w:t xml:space="preserve">were reported as very common amongst the patients </w:t>
      </w:r>
      <w:r w:rsidR="000449C4" w:rsidRPr="00DF70B4">
        <w:rPr>
          <w:rFonts w:asciiTheme="majorHAnsi" w:hAnsiTheme="majorHAnsi"/>
        </w:rPr>
        <w:t>from two active</w:t>
      </w:r>
      <w:r w:rsidR="00013A8C" w:rsidRPr="00DF70B4">
        <w:rPr>
          <w:rFonts w:asciiTheme="majorHAnsi" w:hAnsiTheme="majorHAnsi"/>
        </w:rPr>
        <w:t>-controlled</w:t>
      </w:r>
      <w:r w:rsidR="00A75610" w:rsidRPr="00DF70B4">
        <w:rPr>
          <w:rFonts w:asciiTheme="majorHAnsi" w:hAnsiTheme="majorHAnsi"/>
        </w:rPr>
        <w:t xml:space="preserve"> </w:t>
      </w:r>
      <w:r w:rsidR="00013A8C" w:rsidRPr="00DF70B4">
        <w:rPr>
          <w:rFonts w:asciiTheme="majorHAnsi" w:hAnsiTheme="majorHAnsi"/>
        </w:rPr>
        <w:t>clinical trials</w:t>
      </w:r>
      <w:r w:rsidR="009E3062" w:rsidRPr="00DF70B4">
        <w:rPr>
          <w:rFonts w:asciiTheme="majorHAnsi" w:hAnsiTheme="majorHAnsi"/>
        </w:rPr>
        <w:t xml:space="preserve"> in CKD</w:t>
      </w:r>
      <w:r w:rsidRPr="00DF70B4">
        <w:rPr>
          <w:rFonts w:asciiTheme="majorHAnsi" w:hAnsiTheme="majorHAnsi"/>
        </w:rPr>
        <w:t xml:space="preserve"> (see </w:t>
      </w:r>
      <w:r w:rsidR="00C663D0" w:rsidRPr="00DF70B4">
        <w:rPr>
          <w:rFonts w:asciiTheme="majorHAnsi" w:hAnsiTheme="majorHAnsi"/>
        </w:rPr>
        <w:t>s</w:t>
      </w:r>
      <w:r w:rsidRPr="00DF70B4">
        <w:rPr>
          <w:rFonts w:asciiTheme="majorHAnsi" w:hAnsiTheme="majorHAnsi"/>
        </w:rPr>
        <w:t>ection 4.8</w:t>
      </w:r>
      <w:r w:rsidR="00834489" w:rsidRPr="00DF70B4">
        <w:rPr>
          <w:rFonts w:asciiTheme="majorHAnsi" w:hAnsiTheme="majorHAnsi"/>
        </w:rPr>
        <w:t xml:space="preserve"> Adverse effects (undesirable effects)</w:t>
      </w:r>
      <w:r w:rsidRPr="00DF70B4">
        <w:rPr>
          <w:rFonts w:asciiTheme="majorHAnsi" w:hAnsiTheme="majorHAnsi"/>
        </w:rPr>
        <w:t xml:space="preserve">). Therefore, patients with pre-existing risk factors for </w:t>
      </w:r>
      <w:r w:rsidR="00934825" w:rsidRPr="00DF70B4">
        <w:rPr>
          <w:rFonts w:asciiTheme="majorHAnsi" w:hAnsiTheme="majorHAnsi"/>
        </w:rPr>
        <w:t>thromboembolic events</w:t>
      </w:r>
      <w:r w:rsidRPr="00DF70B4">
        <w:rPr>
          <w:rFonts w:asciiTheme="majorHAnsi" w:hAnsiTheme="majorHAnsi"/>
        </w:rPr>
        <w:t xml:space="preserve"> and prior history of </w:t>
      </w:r>
      <w:r w:rsidR="00934825" w:rsidRPr="00DF70B4">
        <w:rPr>
          <w:rFonts w:asciiTheme="majorHAnsi" w:hAnsiTheme="majorHAnsi"/>
        </w:rPr>
        <w:t>thromboembolic events</w:t>
      </w:r>
      <w:r w:rsidRPr="00DF70B4">
        <w:rPr>
          <w:rFonts w:asciiTheme="majorHAnsi" w:hAnsiTheme="majorHAnsi"/>
        </w:rPr>
        <w:t xml:space="preserve"> (e.g., deep venous thrombosis, pulmonary embolism, and cerebral vascular accident) should be monitored carefully.</w:t>
      </w:r>
    </w:p>
    <w:p w14:paraId="49EB29DF" w14:textId="4A634B2D" w:rsidR="008136A8" w:rsidRPr="00DF70B4" w:rsidRDefault="007B0D62">
      <w:pPr>
        <w:rPr>
          <w:rFonts w:asciiTheme="majorHAnsi" w:hAnsiTheme="majorHAnsi"/>
        </w:rPr>
      </w:pPr>
      <w:r w:rsidRPr="00DF70B4">
        <w:rPr>
          <w:rFonts w:asciiTheme="majorHAnsi" w:hAnsiTheme="majorHAnsi"/>
        </w:rPr>
        <w:t xml:space="preserve">VAT is a common occurrence in patients receiving </w:t>
      </w:r>
      <w:r w:rsidR="005058FA" w:rsidRPr="001E4550">
        <w:rPr>
          <w:rFonts w:asciiTheme="majorHAnsi" w:hAnsiTheme="majorHAnsi"/>
        </w:rPr>
        <w:t>haemodialysis</w:t>
      </w:r>
      <w:r w:rsidRPr="00DF70B4">
        <w:rPr>
          <w:rFonts w:asciiTheme="majorHAnsi" w:hAnsiTheme="majorHAnsi"/>
        </w:rPr>
        <w:t>, therefore patients should be monitored carefully. Patients with signs and symptoms of thromboembolic events should be promptly evaluated and treated according to standard of care. The decision to interrupt or discontinue treatment should be based on a benefit-risk consideration for the individual patient.</w:t>
      </w:r>
    </w:p>
    <w:p w14:paraId="4B729B44" w14:textId="77777777" w:rsidR="008136A8" w:rsidRPr="00DF70B4" w:rsidRDefault="008136A8">
      <w:pPr>
        <w:rPr>
          <w:rFonts w:asciiTheme="majorHAnsi" w:hAnsiTheme="majorHAnsi"/>
        </w:rPr>
      </w:pPr>
    </w:p>
    <w:p w14:paraId="58024929" w14:textId="1367E129" w:rsidR="008136A8" w:rsidRPr="00DF70B4" w:rsidRDefault="00C11FB3">
      <w:pPr>
        <w:pStyle w:val="Heading3"/>
        <w:rPr>
          <w:rFonts w:cstheme="minorHAnsi"/>
        </w:rPr>
      </w:pPr>
      <w:r w:rsidRPr="00DF70B4">
        <w:t xml:space="preserve">Hepatic impairment  </w:t>
      </w:r>
    </w:p>
    <w:p w14:paraId="6AF0F92B" w14:textId="109825CE" w:rsidR="008136A8" w:rsidRPr="00DF70B4" w:rsidRDefault="007B0D62">
      <w:pPr>
        <w:rPr>
          <w:rFonts w:asciiTheme="majorHAnsi" w:hAnsiTheme="majorHAnsi"/>
        </w:rPr>
      </w:pPr>
      <w:r w:rsidRPr="00DF70B4">
        <w:rPr>
          <w:rFonts w:asciiTheme="majorHAnsi" w:hAnsiTheme="majorHAnsi"/>
        </w:rPr>
        <w:t>Vafseo is not recommended for use in patients with severe hepatic impairment (Child-Pugh class C)</w:t>
      </w:r>
      <w:r w:rsidRPr="001E4550">
        <w:rPr>
          <w:rFonts w:asciiTheme="majorHAnsi" w:hAnsiTheme="majorHAnsi"/>
        </w:rPr>
        <w:t xml:space="preserve"> (</w:t>
      </w:r>
      <w:r w:rsidRPr="00DF70B4">
        <w:rPr>
          <w:rFonts w:asciiTheme="majorHAnsi" w:hAnsiTheme="majorHAnsi"/>
        </w:rPr>
        <w:t xml:space="preserve">see </w:t>
      </w:r>
      <w:r w:rsidRPr="001E4550">
        <w:rPr>
          <w:rFonts w:asciiTheme="majorHAnsi" w:hAnsiTheme="majorHAnsi"/>
        </w:rPr>
        <w:t>s</w:t>
      </w:r>
      <w:r w:rsidRPr="00DF70B4">
        <w:rPr>
          <w:rFonts w:asciiTheme="majorHAnsi" w:hAnsiTheme="majorHAnsi"/>
        </w:rPr>
        <w:t>ection 5.2</w:t>
      </w:r>
      <w:r w:rsidRPr="001E4550">
        <w:rPr>
          <w:rFonts w:asciiTheme="majorHAnsi" w:hAnsiTheme="majorHAnsi"/>
        </w:rPr>
        <w:t xml:space="preserve"> Pharmacokinetic properties</w:t>
      </w:r>
      <w:r w:rsidRPr="00DF70B4">
        <w:rPr>
          <w:rFonts w:asciiTheme="majorHAnsi" w:hAnsiTheme="majorHAnsi"/>
        </w:rPr>
        <w:t>).</w:t>
      </w:r>
      <w:r w:rsidR="00E5218A" w:rsidRPr="00DF70B4">
        <w:rPr>
          <w:rFonts w:asciiTheme="majorHAnsi" w:hAnsiTheme="majorHAnsi"/>
        </w:rPr>
        <w:t xml:space="preserve"> Limited data is available in patients with </w:t>
      </w:r>
      <w:r w:rsidR="002D742D" w:rsidRPr="00DF70B4">
        <w:rPr>
          <w:rFonts w:asciiTheme="majorHAnsi" w:hAnsiTheme="majorHAnsi"/>
        </w:rPr>
        <w:t xml:space="preserve">moderate hepatic impairment (see </w:t>
      </w:r>
      <w:r w:rsidR="00CC40A2" w:rsidRPr="001E4550">
        <w:rPr>
          <w:rFonts w:asciiTheme="majorHAnsi" w:hAnsiTheme="majorHAnsi"/>
        </w:rPr>
        <w:t>s</w:t>
      </w:r>
      <w:r w:rsidR="002D742D" w:rsidRPr="00DF70B4">
        <w:rPr>
          <w:rFonts w:asciiTheme="majorHAnsi" w:hAnsiTheme="majorHAnsi"/>
        </w:rPr>
        <w:t>ection 5.2 Pharmacokinetic Properties).</w:t>
      </w:r>
    </w:p>
    <w:p w14:paraId="381602A3" w14:textId="77777777" w:rsidR="008136A8" w:rsidRPr="00DF70B4" w:rsidRDefault="008136A8">
      <w:pPr>
        <w:rPr>
          <w:rFonts w:asciiTheme="majorHAnsi" w:hAnsiTheme="majorHAnsi"/>
        </w:rPr>
      </w:pPr>
    </w:p>
    <w:p w14:paraId="4EFA9BB7" w14:textId="6A44C456" w:rsidR="008136A8" w:rsidRPr="00DF70B4" w:rsidRDefault="007B0D62">
      <w:pPr>
        <w:pStyle w:val="Heading3"/>
        <w:rPr>
          <w:rFonts w:cstheme="minorHAnsi"/>
        </w:rPr>
      </w:pPr>
      <w:r w:rsidRPr="001E4550">
        <w:t>Hepatotoxicity</w:t>
      </w:r>
    </w:p>
    <w:p w14:paraId="0E1DDD1E" w14:textId="420D9647" w:rsidR="008136A8" w:rsidRPr="00DF70B4" w:rsidRDefault="007B0D62">
      <w:pPr>
        <w:rPr>
          <w:rFonts w:asciiTheme="majorHAnsi" w:hAnsiTheme="majorHAnsi" w:cstheme="minorHAnsi"/>
        </w:rPr>
      </w:pPr>
      <w:r w:rsidRPr="00DF70B4">
        <w:rPr>
          <w:rFonts w:asciiTheme="majorHAnsi" w:hAnsiTheme="majorHAnsi" w:cstheme="minorHAnsi"/>
        </w:rPr>
        <w:t>An increase in ALT, AST and/or bilirubin attributed to Vafseo was reported (see section 4.8 Adverse effects (undesirable effects)). ALT, AST, and bilirubin must be evaluated prior to the initiation of Vafseo, monthly for three months after initiation and as clinically indicated thereafter (see section 4.2 Dose and method of administration).</w:t>
      </w:r>
    </w:p>
    <w:p w14:paraId="34715D83" w14:textId="65DD23AC" w:rsidR="008136A8" w:rsidRPr="00DF70B4" w:rsidRDefault="007B0D62">
      <w:pPr>
        <w:rPr>
          <w:rFonts w:asciiTheme="majorHAnsi" w:hAnsiTheme="majorHAnsi"/>
        </w:rPr>
      </w:pPr>
      <w:r w:rsidRPr="00DF70B4">
        <w:rPr>
          <w:rFonts w:asciiTheme="majorHAnsi" w:hAnsiTheme="majorHAnsi"/>
        </w:rPr>
        <w:lastRenderedPageBreak/>
        <w:t xml:space="preserve">Vafseo must be discontinued if ALT or AST elevations &gt; 3x Upper Limit of Normal (ULN) are accompanied by a bilirubin increase &gt; 2x ULN, or if there is persistent ALT or AST &gt; 3x ULN (see </w:t>
      </w:r>
      <w:r w:rsidRPr="001E4550">
        <w:rPr>
          <w:rFonts w:asciiTheme="majorHAnsi" w:hAnsiTheme="majorHAnsi"/>
        </w:rPr>
        <w:t>s</w:t>
      </w:r>
      <w:r w:rsidRPr="00DF70B4">
        <w:rPr>
          <w:rFonts w:asciiTheme="majorHAnsi" w:hAnsiTheme="majorHAnsi"/>
        </w:rPr>
        <w:t>ections 4.2</w:t>
      </w:r>
      <w:r w:rsidRPr="001E4550">
        <w:rPr>
          <w:rFonts w:asciiTheme="majorHAnsi" w:hAnsiTheme="majorHAnsi"/>
        </w:rPr>
        <w:t xml:space="preserve"> Dose and method of administration, and 4.8 Adverse effects (undesirable effects)</w:t>
      </w:r>
      <w:r w:rsidRPr="00DF70B4">
        <w:rPr>
          <w:rFonts w:asciiTheme="majorHAnsi" w:hAnsiTheme="majorHAnsi"/>
        </w:rPr>
        <w:t>.</w:t>
      </w:r>
    </w:p>
    <w:p w14:paraId="466ED03C" w14:textId="77777777" w:rsidR="008136A8" w:rsidRPr="00DF70B4" w:rsidRDefault="008136A8">
      <w:pPr>
        <w:rPr>
          <w:rFonts w:asciiTheme="majorHAnsi" w:hAnsiTheme="majorHAnsi"/>
        </w:rPr>
      </w:pPr>
    </w:p>
    <w:p w14:paraId="3E75462E" w14:textId="63EA514A" w:rsidR="008136A8" w:rsidRPr="001E4550" w:rsidRDefault="007B0D62">
      <w:pPr>
        <w:pStyle w:val="Heading3"/>
      </w:pPr>
      <w:r w:rsidRPr="001E4550">
        <w:t>Worsening of hypertension</w:t>
      </w:r>
    </w:p>
    <w:p w14:paraId="4ED5C430" w14:textId="348FFD5B" w:rsidR="008136A8" w:rsidRPr="00DF70B4" w:rsidRDefault="007B0D62">
      <w:pPr>
        <w:rPr>
          <w:rFonts w:asciiTheme="majorHAnsi" w:hAnsiTheme="majorHAnsi" w:cstheme="minorHAnsi"/>
        </w:rPr>
      </w:pPr>
      <w:r w:rsidRPr="00DF70B4">
        <w:rPr>
          <w:rFonts w:asciiTheme="majorHAnsi" w:hAnsiTheme="majorHAnsi" w:cstheme="minorHAnsi"/>
        </w:rPr>
        <w:t>Hypertension is one of the leading causes of CKD and is also a complication of CKD. Administration of Vafseo in patients with CKD may be associated with worsening of hypertension (see section 4.8 Adverse effects (undesirable effects)). Blood pressure should be monitored before initiation and regularly thereafter at a frequency determined by a patient’s individual situation and local clinical practices. Patients should be advised on the importance to comply with antihypertensive therapy and monitoring of blood pressure.</w:t>
      </w:r>
    </w:p>
    <w:p w14:paraId="5FC5EE58" w14:textId="77777777" w:rsidR="008136A8" w:rsidRPr="00DF70B4" w:rsidRDefault="008136A8">
      <w:pPr>
        <w:rPr>
          <w:rFonts w:asciiTheme="majorHAnsi" w:hAnsiTheme="majorHAnsi" w:cstheme="minorHAnsi"/>
        </w:rPr>
      </w:pPr>
    </w:p>
    <w:p w14:paraId="5C7808E7" w14:textId="7E52CD1D" w:rsidR="008136A8" w:rsidRPr="001E4550" w:rsidRDefault="007B0D62">
      <w:pPr>
        <w:pStyle w:val="Heading3"/>
      </w:pPr>
      <w:r w:rsidRPr="001E4550">
        <w:t>Seizures</w:t>
      </w:r>
    </w:p>
    <w:p w14:paraId="5A35761D" w14:textId="5A4AC6FD" w:rsidR="008136A8" w:rsidRPr="00DF70B4" w:rsidRDefault="007B0D62">
      <w:pPr>
        <w:rPr>
          <w:rFonts w:asciiTheme="majorHAnsi" w:hAnsiTheme="majorHAnsi" w:cstheme="minorHAnsi"/>
        </w:rPr>
      </w:pPr>
      <w:r w:rsidRPr="00DF70B4">
        <w:rPr>
          <w:rFonts w:asciiTheme="majorHAnsi" w:hAnsiTheme="majorHAnsi" w:cstheme="minorHAnsi"/>
        </w:rPr>
        <w:t>Vafseo should be used with caution in patients with a history of seizures or fits, epilepsy or medical conditions associated with a predisposition to seizure activity such as central nervous system (CNS) infections. Seizures were reported in patients receiving vadadustat (see section 4.8 Adverse effects (undesirable effects)). The decision to interrupt or discontinue treatment should be based on a benefit-risk consideration for the individual patient.</w:t>
      </w:r>
    </w:p>
    <w:p w14:paraId="211F75AC" w14:textId="77777777" w:rsidR="008136A8" w:rsidRPr="00DF70B4" w:rsidRDefault="008136A8">
      <w:pPr>
        <w:rPr>
          <w:rFonts w:asciiTheme="majorHAnsi" w:hAnsiTheme="majorHAnsi" w:cstheme="minorHAnsi"/>
        </w:rPr>
      </w:pPr>
    </w:p>
    <w:p w14:paraId="4FD84683" w14:textId="5F6CE50A" w:rsidR="008136A8" w:rsidRPr="00DF70B4" w:rsidRDefault="007B0D62">
      <w:pPr>
        <w:pStyle w:val="Heading3"/>
      </w:pPr>
      <w:r w:rsidRPr="00DF70B4">
        <w:t>Initial decrease in Hb levels in patients converting from ESA</w:t>
      </w:r>
    </w:p>
    <w:p w14:paraId="777CF613" w14:textId="4A97F7BF" w:rsidR="008136A8" w:rsidRPr="00DF70B4" w:rsidRDefault="007B0D62">
      <w:pPr>
        <w:rPr>
          <w:rFonts w:asciiTheme="majorHAnsi" w:hAnsiTheme="majorHAnsi" w:cstheme="minorHAnsi"/>
        </w:rPr>
      </w:pPr>
      <w:r w:rsidRPr="00DF70B4">
        <w:rPr>
          <w:rFonts w:asciiTheme="majorHAnsi" w:hAnsiTheme="majorHAnsi" w:cstheme="minorHAnsi"/>
        </w:rPr>
        <w:t>Hb levels may initially decrease when converting patients from an ESA to Vafseo especially in patients who were on high baseline ESA doses. Generally, the higher the baseline ESA dose, the deeper the initial decrease in Hb levels will be before levels gradually return to baseline Hb by Weeks 16 to 20 (see section 5.1 Pharmacodynamic properties for course of Hb during treatment in individual studies). Rescue therapy such as RBC transfusion or ESA treatment may be considered during the transition phase if Hb values fall below 90 g/L or if response is considered not acceptable. Patients receiving RBC transfusions are recommended to continue Vafseo treatment during the transfusion period. Vafseo should be paused temporarily during ESA rescue treatment and may be resumed when Hb levels are ≥10</w:t>
      </w:r>
      <w:r w:rsidR="000D0EE5" w:rsidRPr="00DF70B4">
        <w:rPr>
          <w:rFonts w:asciiTheme="majorHAnsi" w:hAnsiTheme="majorHAnsi" w:cstheme="minorHAnsi"/>
        </w:rPr>
        <w:t>0</w:t>
      </w:r>
      <w:r w:rsidRPr="00DF70B4">
        <w:rPr>
          <w:rFonts w:asciiTheme="majorHAnsi" w:hAnsiTheme="majorHAnsi" w:cstheme="minorHAnsi"/>
        </w:rPr>
        <w:t xml:space="preserve"> g/L (see section 4.2 Dose and Method Administration).</w:t>
      </w:r>
    </w:p>
    <w:p w14:paraId="485F6708" w14:textId="77777777" w:rsidR="008136A8" w:rsidRPr="00DF70B4" w:rsidRDefault="008136A8">
      <w:pPr>
        <w:rPr>
          <w:rFonts w:asciiTheme="majorHAnsi" w:hAnsiTheme="majorHAnsi" w:cstheme="minorHAnsi"/>
        </w:rPr>
      </w:pPr>
    </w:p>
    <w:p w14:paraId="4DBE77F8" w14:textId="68CA9D1A" w:rsidR="008136A8" w:rsidRPr="001E4550" w:rsidRDefault="00B022DB">
      <w:pPr>
        <w:pStyle w:val="Heading3"/>
        <w:spacing w:before="0" w:after="120"/>
      </w:pPr>
      <w:r w:rsidRPr="001E4550">
        <w:t>Use in the elderly</w:t>
      </w:r>
    </w:p>
    <w:p w14:paraId="673CC8E4" w14:textId="3FF9CDAE" w:rsidR="008136A8" w:rsidRPr="00DF70B4" w:rsidRDefault="007B0D62">
      <w:pPr>
        <w:rPr>
          <w:rFonts w:asciiTheme="majorHAnsi" w:hAnsiTheme="majorHAnsi" w:cstheme="minorHAnsi"/>
        </w:rPr>
      </w:pPr>
      <w:r w:rsidRPr="00DF70B4">
        <w:rPr>
          <w:rFonts w:asciiTheme="majorHAnsi" w:hAnsiTheme="majorHAnsi" w:cstheme="minorHAnsi"/>
        </w:rPr>
        <w:t>No dose adjustment is recommended for elderly patients, see section 5.2 Pharmacokinetic properties.</w:t>
      </w:r>
    </w:p>
    <w:p w14:paraId="3C635543" w14:textId="77777777" w:rsidR="008136A8" w:rsidRPr="001E4550" w:rsidRDefault="008136A8"/>
    <w:p w14:paraId="1F0D39D7" w14:textId="763B8202" w:rsidR="008136A8" w:rsidRPr="001E4550" w:rsidRDefault="007B0D62">
      <w:pPr>
        <w:pStyle w:val="Heading3"/>
        <w:spacing w:before="0" w:after="120"/>
      </w:pPr>
      <w:r w:rsidRPr="001E4550">
        <w:lastRenderedPageBreak/>
        <w:t>Paediatric use</w:t>
      </w:r>
    </w:p>
    <w:p w14:paraId="09664F64" w14:textId="6D5460E1" w:rsidR="008136A8" w:rsidRPr="00DF70B4" w:rsidRDefault="007B0D62">
      <w:pPr>
        <w:rPr>
          <w:rFonts w:asciiTheme="majorHAnsi" w:hAnsiTheme="majorHAnsi" w:cstheme="minorHAnsi"/>
        </w:rPr>
      </w:pPr>
      <w:r w:rsidRPr="00DF70B4">
        <w:rPr>
          <w:rFonts w:asciiTheme="majorHAnsi" w:hAnsiTheme="majorHAnsi" w:cstheme="minorHAnsi"/>
        </w:rPr>
        <w:t>The safety and efficacy of Vafseo in the paediatric population have not been established. No data are available.</w:t>
      </w:r>
    </w:p>
    <w:p w14:paraId="158C8243" w14:textId="77777777" w:rsidR="008136A8" w:rsidRPr="00DF70B4" w:rsidRDefault="008136A8">
      <w:pPr>
        <w:rPr>
          <w:rFonts w:asciiTheme="majorHAnsi" w:hAnsiTheme="majorHAnsi" w:cstheme="minorHAnsi"/>
        </w:rPr>
      </w:pPr>
    </w:p>
    <w:p w14:paraId="5970B14A" w14:textId="0608453C" w:rsidR="008136A8" w:rsidRPr="001E4550" w:rsidRDefault="007B0D62">
      <w:pPr>
        <w:pStyle w:val="Heading3"/>
        <w:spacing w:before="0" w:after="120"/>
      </w:pPr>
      <w:r w:rsidRPr="001E4550">
        <w:t>Effects on laboratory tests</w:t>
      </w:r>
    </w:p>
    <w:p w14:paraId="0654C7D2" w14:textId="79019780" w:rsidR="008136A8" w:rsidRPr="001E4550" w:rsidRDefault="007B0D62">
      <w:pPr>
        <w:rPr>
          <w:rFonts w:asciiTheme="majorHAnsi" w:hAnsiTheme="majorHAnsi"/>
        </w:rPr>
      </w:pPr>
      <w:r w:rsidRPr="001E4550">
        <w:rPr>
          <w:rFonts w:asciiTheme="majorHAnsi" w:hAnsiTheme="majorHAnsi"/>
        </w:rPr>
        <w:t>No data available.</w:t>
      </w:r>
    </w:p>
    <w:p w14:paraId="279778D3" w14:textId="77777777" w:rsidR="008136A8" w:rsidRPr="001E4550" w:rsidRDefault="008136A8">
      <w:pPr>
        <w:rPr>
          <w:rFonts w:asciiTheme="majorHAnsi" w:hAnsiTheme="majorHAnsi"/>
        </w:rPr>
      </w:pPr>
    </w:p>
    <w:p w14:paraId="03F5307E" w14:textId="3FBB3943" w:rsidR="008136A8" w:rsidRPr="001E4550" w:rsidRDefault="007B0D62">
      <w:pPr>
        <w:pStyle w:val="Heading2"/>
        <w:keepNext/>
        <w:keepLines/>
        <w:spacing w:before="0" w:after="120"/>
      </w:pPr>
      <w:r w:rsidRPr="001E4550">
        <w:t>Interactions with other medicines and other forms of interactions</w:t>
      </w:r>
    </w:p>
    <w:p w14:paraId="738FE40B" w14:textId="0FF92725" w:rsidR="008136A8" w:rsidRPr="001E4550" w:rsidRDefault="007B0D62">
      <w:pPr>
        <w:pStyle w:val="Heading3"/>
      </w:pPr>
      <w:r w:rsidRPr="001E4550">
        <w:t xml:space="preserve">Effect of other medicinal products on the pharmacokinetics of vadadustat </w:t>
      </w:r>
    </w:p>
    <w:p w14:paraId="58E840F6" w14:textId="3DB5A3BC" w:rsidR="008136A8" w:rsidRPr="00DF70B4" w:rsidRDefault="007B0D62">
      <w:pPr>
        <w:pStyle w:val="Heading4"/>
      </w:pPr>
      <w:r w:rsidRPr="00DF70B4">
        <w:t>Iron supplements, phosphate binders and other medicinal products whose primary component consists of multivalent cations</w:t>
      </w:r>
    </w:p>
    <w:p w14:paraId="66A2D2FD" w14:textId="390242B3" w:rsidR="008136A8" w:rsidRPr="00DF70B4" w:rsidRDefault="007B0D62">
      <w:pPr>
        <w:rPr>
          <w:rFonts w:asciiTheme="majorHAnsi" w:hAnsiTheme="majorHAnsi" w:cstheme="minorHAnsi"/>
        </w:rPr>
      </w:pPr>
      <w:r w:rsidRPr="00DF70B4">
        <w:rPr>
          <w:rFonts w:asciiTheme="majorHAnsi" w:hAnsiTheme="majorHAnsi" w:cstheme="minorHAnsi"/>
        </w:rPr>
        <w:t>Co-administration with oral iron supplements (e.g., ferric citrate, ferrous sulphate, sodium ferrous citrate), oral products which whose primary component consists of iron, iron-containing phosphate binders (e.g., ferric citrate, sucroferric oxyhydroxide) and non-iron-containing phosphate binders (calcium acetate, sevelamer carbonate) decreases the exposure (C</w:t>
      </w:r>
      <w:r w:rsidRPr="00DF70B4">
        <w:rPr>
          <w:rFonts w:asciiTheme="majorHAnsi" w:hAnsiTheme="majorHAnsi" w:cstheme="minorHAnsi"/>
          <w:vertAlign w:val="subscript"/>
        </w:rPr>
        <w:t>max</w:t>
      </w:r>
      <w:r w:rsidRPr="00DF70B4">
        <w:rPr>
          <w:rFonts w:asciiTheme="majorHAnsi" w:hAnsiTheme="majorHAnsi" w:cstheme="minorHAnsi"/>
        </w:rPr>
        <w:t xml:space="preserve"> and AUC) of vadadustat. The co administration of each oral iron-based drug reduced the bioavailability of vadadustat up to 90% and 92% in terms of the AUC</w:t>
      </w:r>
      <w:r w:rsidRPr="00DF70B4">
        <w:rPr>
          <w:rFonts w:asciiTheme="majorHAnsi" w:hAnsiTheme="majorHAnsi" w:cstheme="minorHAnsi"/>
          <w:vertAlign w:val="subscript"/>
        </w:rPr>
        <w:t xml:space="preserve">∞ </w:t>
      </w:r>
      <w:r w:rsidRPr="00DF70B4">
        <w:rPr>
          <w:rFonts w:asciiTheme="majorHAnsi" w:hAnsiTheme="majorHAnsi" w:cstheme="minorHAnsi"/>
        </w:rPr>
        <w:t>and C</w:t>
      </w:r>
      <w:r w:rsidRPr="00DF70B4">
        <w:rPr>
          <w:rFonts w:asciiTheme="majorHAnsi" w:hAnsiTheme="majorHAnsi" w:cstheme="minorHAnsi"/>
          <w:vertAlign w:val="subscript"/>
        </w:rPr>
        <w:t>max</w:t>
      </w:r>
      <w:r w:rsidRPr="00DF70B4">
        <w:rPr>
          <w:rFonts w:asciiTheme="majorHAnsi" w:hAnsiTheme="majorHAnsi" w:cstheme="minorHAnsi"/>
        </w:rPr>
        <w:t>. The co-administration of non-iron-containing phosphate binders reduced the bioavailability of vadadustat up to 55% and 52% for AUC</w:t>
      </w:r>
      <w:r w:rsidRPr="00DF70B4">
        <w:rPr>
          <w:rFonts w:asciiTheme="majorHAnsi" w:hAnsiTheme="majorHAnsi" w:cstheme="minorHAnsi"/>
          <w:vertAlign w:val="subscript"/>
        </w:rPr>
        <w:t>∞</w:t>
      </w:r>
      <w:r w:rsidRPr="00DF70B4">
        <w:rPr>
          <w:rFonts w:asciiTheme="majorHAnsi" w:hAnsiTheme="majorHAnsi" w:cstheme="minorHAnsi"/>
        </w:rPr>
        <w:t xml:space="preserve"> and C</w:t>
      </w:r>
      <w:r w:rsidRPr="00DF70B4">
        <w:rPr>
          <w:rFonts w:asciiTheme="majorHAnsi" w:hAnsiTheme="majorHAnsi" w:cstheme="minorHAnsi"/>
          <w:vertAlign w:val="subscript"/>
        </w:rPr>
        <w:t>max</w:t>
      </w:r>
      <w:r w:rsidRPr="00DF70B4">
        <w:rPr>
          <w:rFonts w:asciiTheme="majorHAnsi" w:hAnsiTheme="majorHAnsi" w:cstheme="minorHAnsi"/>
        </w:rPr>
        <w:t>.</w:t>
      </w:r>
    </w:p>
    <w:p w14:paraId="0F851A31" w14:textId="489F1448" w:rsidR="008136A8" w:rsidRPr="00DF70B4" w:rsidRDefault="007B0D62">
      <w:pPr>
        <w:rPr>
          <w:rFonts w:asciiTheme="majorHAnsi" w:hAnsiTheme="majorHAnsi"/>
        </w:rPr>
      </w:pPr>
      <w:r w:rsidRPr="00DF70B4">
        <w:rPr>
          <w:rFonts w:asciiTheme="majorHAnsi" w:hAnsiTheme="majorHAnsi"/>
        </w:rPr>
        <w:t>Vafseo should be administered at least 1 hour before oral iron supplements, products whose primary component consists of iron or iron-containing phosphate binders. As vadadustat may form a chelate with multivalent cations Vafseo should be administered at least 1 hour before or 2 hours after non-iron-containing phosphate binders or other medicinal products whose primary component consists of multivalent cations such as calcium, magnesium or aluminium.</w:t>
      </w:r>
    </w:p>
    <w:p w14:paraId="579C8E5B" w14:textId="77777777" w:rsidR="008136A8" w:rsidRPr="00DF70B4" w:rsidRDefault="008136A8">
      <w:pPr>
        <w:rPr>
          <w:rFonts w:asciiTheme="majorHAnsi" w:hAnsiTheme="majorHAnsi"/>
        </w:rPr>
      </w:pPr>
    </w:p>
    <w:p w14:paraId="123E7C6F" w14:textId="412E69D1" w:rsidR="008136A8" w:rsidRPr="00DF70B4" w:rsidRDefault="007B0D62">
      <w:pPr>
        <w:pStyle w:val="Heading4"/>
      </w:pPr>
      <w:r w:rsidRPr="00DF70B4">
        <w:t>Organic anion transporter (OAT) OAT1/OAT3 inhibitors</w:t>
      </w:r>
    </w:p>
    <w:p w14:paraId="0238755C" w14:textId="5E61654B" w:rsidR="008136A8" w:rsidRPr="00DF70B4" w:rsidRDefault="007B0D62">
      <w:pPr>
        <w:rPr>
          <w:rFonts w:asciiTheme="majorHAnsi" w:hAnsiTheme="majorHAnsi"/>
        </w:rPr>
      </w:pPr>
      <w:r w:rsidRPr="00DF70B4">
        <w:rPr>
          <w:rFonts w:asciiTheme="majorHAnsi" w:hAnsiTheme="majorHAnsi"/>
        </w:rPr>
        <w:t xml:space="preserve">Co-administration with probenecid, an OAT1/OAT3 inhibitor, increased vadadustat AUC values almost 2-fold. If co-administration with strong or moderate OAT1 or OAT3 inhibitors (e.g. benzylpenicillin, teriflunomide or p-aminohippuric acid) occurs, patients should be managed cautiously and evaluated for excessive effects of vadadustat. For potential adverse reactions and dose adjustment in case of rapid Hb rise please refer to sections 4.8 </w:t>
      </w:r>
      <w:r w:rsidRPr="00DF70B4">
        <w:rPr>
          <w:rFonts w:asciiTheme="majorHAnsi" w:hAnsiTheme="majorHAnsi" w:cstheme="minorHAnsi"/>
        </w:rPr>
        <w:t>Adverse effects (undesirable effects)</w:t>
      </w:r>
      <w:r w:rsidRPr="00DF70B4">
        <w:rPr>
          <w:rFonts w:asciiTheme="majorHAnsi" w:hAnsiTheme="majorHAnsi"/>
        </w:rPr>
        <w:t xml:space="preserve"> and 4.2 </w:t>
      </w:r>
      <w:r w:rsidRPr="00DF70B4">
        <w:rPr>
          <w:rFonts w:asciiTheme="majorHAnsi" w:hAnsiTheme="majorHAnsi" w:cstheme="minorHAnsi"/>
        </w:rPr>
        <w:t>Dose and Method Administration</w:t>
      </w:r>
      <w:r w:rsidRPr="00DF70B4">
        <w:rPr>
          <w:rFonts w:asciiTheme="majorHAnsi" w:hAnsiTheme="majorHAnsi"/>
        </w:rPr>
        <w:t>.</w:t>
      </w:r>
    </w:p>
    <w:p w14:paraId="7BDD0ACB" w14:textId="77777777" w:rsidR="008136A8" w:rsidRPr="00DF70B4" w:rsidRDefault="008136A8">
      <w:pPr>
        <w:rPr>
          <w:rFonts w:asciiTheme="majorHAnsi" w:hAnsiTheme="majorHAnsi"/>
        </w:rPr>
      </w:pPr>
    </w:p>
    <w:p w14:paraId="55596332" w14:textId="19D9E1A1" w:rsidR="008136A8" w:rsidRPr="001E4550" w:rsidRDefault="007B0D62">
      <w:pPr>
        <w:pStyle w:val="Heading3"/>
      </w:pPr>
      <w:r w:rsidRPr="001E4550">
        <w:lastRenderedPageBreak/>
        <w:t>Effect of vadadustat on the pharmacokinetics of other medicinal products</w:t>
      </w:r>
    </w:p>
    <w:p w14:paraId="613F54FF" w14:textId="5A3E4C1B" w:rsidR="008136A8" w:rsidRPr="00DF70B4" w:rsidRDefault="007B0D62">
      <w:pPr>
        <w:pStyle w:val="Heading4"/>
      </w:pPr>
      <w:r w:rsidRPr="00DF70B4">
        <w:t xml:space="preserve">BCRP substrates </w:t>
      </w:r>
    </w:p>
    <w:p w14:paraId="55ACA0B0" w14:textId="419644FD" w:rsidR="008136A8" w:rsidRPr="00DF70B4" w:rsidRDefault="007B0D62">
      <w:pPr>
        <w:rPr>
          <w:rFonts w:asciiTheme="majorHAnsi" w:hAnsiTheme="majorHAnsi" w:cstheme="minorHAnsi"/>
        </w:rPr>
      </w:pPr>
      <w:r w:rsidRPr="00DF70B4">
        <w:rPr>
          <w:rFonts w:asciiTheme="majorHAnsi" w:hAnsiTheme="majorHAnsi" w:cstheme="minorHAnsi"/>
        </w:rPr>
        <w:t>Vadadustat may increase the AUC of BCRP substrates when co-administered. Dose adjustment of co-prescribed BCRP substrates may be needed. The following have been studied (see Table 2).</w:t>
      </w:r>
    </w:p>
    <w:p w14:paraId="34995CA1" w14:textId="24FFCC11" w:rsidR="008136A8" w:rsidRPr="00DF70B4" w:rsidRDefault="007B0D62">
      <w:pPr>
        <w:spacing w:line="240" w:lineRule="auto"/>
        <w:rPr>
          <w:rFonts w:asciiTheme="majorHAnsi" w:hAnsiTheme="majorHAnsi" w:cstheme="minorHAnsi"/>
          <w:b/>
          <w:bCs/>
        </w:rPr>
      </w:pPr>
      <w:r w:rsidRPr="00DF70B4">
        <w:rPr>
          <w:rFonts w:asciiTheme="majorHAnsi" w:hAnsiTheme="majorHAnsi" w:cstheme="minorHAnsi"/>
          <w:b/>
        </w:rPr>
        <w:t>Table 2</w:t>
      </w:r>
      <w:r w:rsidRPr="00DF70B4">
        <w:rPr>
          <w:rFonts w:asciiTheme="majorHAnsi" w:hAnsiTheme="majorHAnsi" w:cstheme="minorHAnsi"/>
          <w:b/>
          <w:bCs/>
        </w:rPr>
        <w:t xml:space="preserve">: </w:t>
      </w:r>
      <w:r w:rsidRPr="001E4550">
        <w:rPr>
          <w:rFonts w:asciiTheme="majorHAnsi" w:hAnsiTheme="majorHAnsi" w:cs="Times New Roman"/>
          <w:b/>
          <w:bCs/>
        </w:rPr>
        <w:t xml:space="preserve">Potential clinically significant drug interactions between vadadustat and BCRP substrates </w:t>
      </w:r>
    </w:p>
    <w:tbl>
      <w:tblPr>
        <w:tblStyle w:val="TableGrid"/>
        <w:tblW w:w="90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50"/>
        <w:gridCol w:w="3227"/>
        <w:gridCol w:w="3703"/>
      </w:tblGrid>
      <w:tr w:rsidR="008136A8" w:rsidRPr="001E4550" w14:paraId="77CADFEB" w14:textId="77777777">
        <w:tc>
          <w:tcPr>
            <w:tcW w:w="2150" w:type="dxa"/>
          </w:tcPr>
          <w:p w14:paraId="37DA81D5" w14:textId="04445E5A" w:rsidR="008136A8" w:rsidRPr="00DF70B4" w:rsidRDefault="007B0D62">
            <w:pPr>
              <w:rPr>
                <w:rFonts w:asciiTheme="majorHAnsi" w:hAnsiTheme="majorHAnsi" w:cs="Times New Roman"/>
                <w:b/>
                <w:bCs/>
                <w:sz w:val="20"/>
                <w:szCs w:val="20"/>
                <w:lang w:val="en-AU"/>
              </w:rPr>
            </w:pPr>
            <w:r w:rsidRPr="001E4550">
              <w:rPr>
                <w:rFonts w:asciiTheme="majorHAnsi" w:hAnsiTheme="majorHAnsi" w:cs="Times New Roman"/>
                <w:b/>
                <w:bCs/>
                <w:sz w:val="20"/>
                <w:szCs w:val="20"/>
              </w:rPr>
              <w:t>Co-administered drug</w:t>
            </w:r>
          </w:p>
        </w:tc>
        <w:tc>
          <w:tcPr>
            <w:tcW w:w="3227" w:type="dxa"/>
          </w:tcPr>
          <w:p w14:paraId="54B3A597" w14:textId="4DE462AF" w:rsidR="008136A8" w:rsidRPr="00DF70B4" w:rsidRDefault="007B0D62">
            <w:pPr>
              <w:rPr>
                <w:rFonts w:asciiTheme="majorHAnsi" w:hAnsiTheme="majorHAnsi" w:cs="Times New Roman"/>
                <w:b/>
                <w:bCs/>
                <w:sz w:val="20"/>
                <w:szCs w:val="20"/>
                <w:lang w:val="en-AU"/>
              </w:rPr>
            </w:pPr>
            <w:r w:rsidRPr="001E4550">
              <w:rPr>
                <w:rFonts w:asciiTheme="majorHAnsi" w:hAnsiTheme="majorHAnsi" w:cs="Times New Roman"/>
                <w:b/>
                <w:bCs/>
                <w:sz w:val="20"/>
                <w:szCs w:val="20"/>
              </w:rPr>
              <w:t>Effect on concentration</w:t>
            </w:r>
          </w:p>
        </w:tc>
        <w:tc>
          <w:tcPr>
            <w:tcW w:w="3703" w:type="dxa"/>
          </w:tcPr>
          <w:p w14:paraId="0AE46A33" w14:textId="4DAAB20F" w:rsidR="008136A8" w:rsidRPr="00DF70B4" w:rsidRDefault="007B0D62">
            <w:pPr>
              <w:rPr>
                <w:rFonts w:asciiTheme="majorHAnsi" w:hAnsiTheme="majorHAnsi" w:cs="Times New Roman"/>
                <w:b/>
                <w:bCs/>
                <w:sz w:val="20"/>
                <w:szCs w:val="20"/>
                <w:lang w:val="en-AU"/>
              </w:rPr>
            </w:pPr>
            <w:r w:rsidRPr="001E4550">
              <w:rPr>
                <w:rFonts w:asciiTheme="majorHAnsi" w:hAnsiTheme="majorHAnsi" w:cs="Times New Roman"/>
                <w:b/>
                <w:bCs/>
                <w:sz w:val="20"/>
                <w:szCs w:val="20"/>
              </w:rPr>
              <w:t xml:space="preserve">Clinical comment </w:t>
            </w:r>
          </w:p>
        </w:tc>
      </w:tr>
      <w:tr w:rsidR="008136A8" w:rsidRPr="001E4550" w14:paraId="5D2F908E" w14:textId="77777777">
        <w:tc>
          <w:tcPr>
            <w:tcW w:w="2150" w:type="dxa"/>
          </w:tcPr>
          <w:p w14:paraId="3CFD3FD2" w14:textId="287DC52A" w:rsidR="008136A8" w:rsidRPr="00DF70B4" w:rsidRDefault="007B0D62">
            <w:pPr>
              <w:rPr>
                <w:rFonts w:asciiTheme="majorHAnsi" w:hAnsiTheme="majorHAnsi" w:cs="Times New Roman"/>
                <w:sz w:val="20"/>
                <w:lang w:val="en-AU"/>
              </w:rPr>
            </w:pPr>
            <w:r w:rsidRPr="001E4550">
              <w:rPr>
                <w:rFonts w:asciiTheme="majorHAnsi" w:hAnsiTheme="majorHAnsi" w:cs="Times New Roman"/>
                <w:sz w:val="20"/>
              </w:rPr>
              <w:t>Sulfasalazine</w:t>
            </w:r>
          </w:p>
        </w:tc>
        <w:tc>
          <w:tcPr>
            <w:tcW w:w="3227" w:type="dxa"/>
          </w:tcPr>
          <w:p w14:paraId="5A862218" w14:textId="77777777" w:rsidR="008136A8" w:rsidRPr="00DF70B4" w:rsidRDefault="007B0D62">
            <w:pPr>
              <w:rPr>
                <w:rFonts w:asciiTheme="majorHAnsi" w:hAnsiTheme="majorHAnsi" w:cs="Times New Roman"/>
                <w:sz w:val="20"/>
                <w:lang w:val="en-AU"/>
              </w:rPr>
            </w:pPr>
            <w:r w:rsidRPr="001E4550">
              <w:rPr>
                <w:rFonts w:asciiTheme="majorHAnsi" w:hAnsiTheme="majorHAnsi" w:cs="Times New Roman"/>
                <w:sz w:val="20"/>
              </w:rPr>
              <w:t>4.5-fold ↑ sulfasalazine AUC; no substantial change in active metabolites exposure</w:t>
            </w:r>
          </w:p>
        </w:tc>
        <w:tc>
          <w:tcPr>
            <w:tcW w:w="3703" w:type="dxa"/>
          </w:tcPr>
          <w:p w14:paraId="66D6E582" w14:textId="77777777" w:rsidR="008136A8" w:rsidRPr="00DF70B4" w:rsidRDefault="007B0D62">
            <w:pPr>
              <w:rPr>
                <w:rFonts w:asciiTheme="majorHAnsi" w:hAnsiTheme="majorHAnsi" w:cs="Times New Roman"/>
                <w:sz w:val="20"/>
                <w:lang w:val="en-AU"/>
              </w:rPr>
            </w:pPr>
            <w:r w:rsidRPr="001E4550">
              <w:rPr>
                <w:rFonts w:asciiTheme="majorHAnsi" w:hAnsiTheme="majorHAnsi" w:cs="Times New Roman"/>
                <w:sz w:val="20"/>
              </w:rPr>
              <w:t>Monitor for signs of adverse effects of sulfasalazine.</w:t>
            </w:r>
          </w:p>
        </w:tc>
      </w:tr>
      <w:tr w:rsidR="008136A8" w:rsidRPr="001E4550" w14:paraId="55A7613C" w14:textId="77777777">
        <w:tc>
          <w:tcPr>
            <w:tcW w:w="2150" w:type="dxa"/>
          </w:tcPr>
          <w:p w14:paraId="04C979BF" w14:textId="7C019C51" w:rsidR="008136A8" w:rsidRPr="00DF70B4" w:rsidRDefault="007B0D62">
            <w:pPr>
              <w:rPr>
                <w:rFonts w:asciiTheme="majorHAnsi" w:hAnsiTheme="majorHAnsi" w:cs="Times New Roman"/>
                <w:sz w:val="20"/>
                <w:lang w:val="en-AU"/>
              </w:rPr>
            </w:pPr>
            <w:r w:rsidRPr="001E4550">
              <w:rPr>
                <w:rFonts w:asciiTheme="majorHAnsi" w:hAnsiTheme="majorHAnsi" w:cs="Times New Roman"/>
                <w:sz w:val="20"/>
              </w:rPr>
              <w:t>Simvastatin</w:t>
            </w:r>
          </w:p>
        </w:tc>
        <w:tc>
          <w:tcPr>
            <w:tcW w:w="3227" w:type="dxa"/>
          </w:tcPr>
          <w:p w14:paraId="405045EA" w14:textId="77777777" w:rsidR="008136A8" w:rsidRPr="00DF70B4" w:rsidRDefault="007B0D62">
            <w:pPr>
              <w:rPr>
                <w:rFonts w:asciiTheme="majorHAnsi" w:hAnsiTheme="majorHAnsi" w:cs="Times New Roman"/>
                <w:sz w:val="20"/>
                <w:lang w:val="en-AU"/>
              </w:rPr>
            </w:pPr>
            <w:r w:rsidRPr="001E4550">
              <w:rPr>
                <w:rFonts w:asciiTheme="majorHAnsi" w:hAnsiTheme="majorHAnsi" w:cs="Times New Roman"/>
                <w:sz w:val="20"/>
              </w:rPr>
              <w:t>~2-fold ↑ simvastatin AUC</w:t>
            </w:r>
          </w:p>
        </w:tc>
        <w:tc>
          <w:tcPr>
            <w:tcW w:w="3703" w:type="dxa"/>
          </w:tcPr>
          <w:p w14:paraId="6296FE51" w14:textId="64D6DB3D" w:rsidR="008136A8" w:rsidRPr="00DF70B4" w:rsidRDefault="007B0D62">
            <w:pPr>
              <w:rPr>
                <w:rFonts w:asciiTheme="majorHAnsi" w:hAnsiTheme="majorHAnsi"/>
                <w:sz w:val="20"/>
                <w:lang w:val="en-AU"/>
              </w:rPr>
            </w:pPr>
            <w:r w:rsidRPr="001E4550">
              <w:rPr>
                <w:rFonts w:asciiTheme="majorHAnsi" w:hAnsiTheme="majorHAnsi" w:cs="Times New Roman"/>
                <w:sz w:val="20"/>
              </w:rPr>
              <w:t>Consider limiting the dose of simvastatin in CKD patients on Vafseo to 20 mg daily. Monitor for signs of adverse effects of simvastatin.</w:t>
            </w:r>
          </w:p>
        </w:tc>
      </w:tr>
      <w:tr w:rsidR="008136A8" w:rsidRPr="001E4550" w14:paraId="1FC318D0" w14:textId="77777777">
        <w:tc>
          <w:tcPr>
            <w:tcW w:w="2150" w:type="dxa"/>
          </w:tcPr>
          <w:p w14:paraId="114A25A6" w14:textId="21A5B144" w:rsidR="008136A8" w:rsidRPr="00DF70B4" w:rsidRDefault="007B0D62">
            <w:pPr>
              <w:rPr>
                <w:rFonts w:asciiTheme="majorHAnsi" w:hAnsiTheme="majorHAnsi" w:cs="Times New Roman"/>
                <w:sz w:val="20"/>
                <w:lang w:val="en-AU"/>
              </w:rPr>
            </w:pPr>
            <w:r w:rsidRPr="001E4550">
              <w:rPr>
                <w:rFonts w:asciiTheme="majorHAnsi" w:hAnsiTheme="majorHAnsi" w:cs="Times New Roman"/>
                <w:sz w:val="20"/>
              </w:rPr>
              <w:t>Rosuvastatin</w:t>
            </w:r>
          </w:p>
        </w:tc>
        <w:tc>
          <w:tcPr>
            <w:tcW w:w="3227" w:type="dxa"/>
          </w:tcPr>
          <w:p w14:paraId="64930587" w14:textId="77777777" w:rsidR="008136A8" w:rsidRPr="00DF70B4" w:rsidRDefault="007B0D62">
            <w:pPr>
              <w:rPr>
                <w:rFonts w:asciiTheme="majorHAnsi" w:hAnsiTheme="majorHAnsi" w:cs="Times New Roman"/>
                <w:sz w:val="20"/>
                <w:lang w:val="en-AU"/>
              </w:rPr>
            </w:pPr>
            <w:r w:rsidRPr="001E4550">
              <w:rPr>
                <w:rFonts w:asciiTheme="majorHAnsi" w:hAnsiTheme="majorHAnsi" w:cs="Times New Roman"/>
                <w:sz w:val="20"/>
              </w:rPr>
              <w:t>2- to 3-fold ↑rosuvastatin AUC and C</w:t>
            </w:r>
            <w:r w:rsidRPr="001E4550">
              <w:rPr>
                <w:rFonts w:asciiTheme="majorHAnsi" w:hAnsiTheme="majorHAnsi" w:cs="Times New Roman"/>
                <w:sz w:val="20"/>
                <w:vertAlign w:val="subscript"/>
              </w:rPr>
              <w:t>max</w:t>
            </w:r>
          </w:p>
        </w:tc>
        <w:tc>
          <w:tcPr>
            <w:tcW w:w="3703" w:type="dxa"/>
          </w:tcPr>
          <w:p w14:paraId="7747FD08" w14:textId="6C8E4C13" w:rsidR="008136A8" w:rsidRPr="00DF70B4" w:rsidRDefault="007B0D62">
            <w:pPr>
              <w:rPr>
                <w:rFonts w:asciiTheme="majorHAnsi" w:hAnsiTheme="majorHAnsi" w:cs="Times New Roman"/>
                <w:sz w:val="20"/>
                <w:lang w:val="en-AU"/>
              </w:rPr>
            </w:pPr>
            <w:r w:rsidRPr="001E4550">
              <w:rPr>
                <w:rFonts w:asciiTheme="majorHAnsi" w:hAnsiTheme="majorHAnsi" w:cs="Times New Roman"/>
                <w:sz w:val="20"/>
              </w:rPr>
              <w:t>Consider limiting the dose of rosuvastatin in CKD patients on Vafseo to 10 mg daily. Monitor for signs of adverse effects of rosuvastatin.</w:t>
            </w:r>
          </w:p>
        </w:tc>
      </w:tr>
    </w:tbl>
    <w:p w14:paraId="6631E2EE" w14:textId="77777777" w:rsidR="008136A8" w:rsidRPr="00DF70B4" w:rsidRDefault="008136A8">
      <w:pPr>
        <w:rPr>
          <w:rFonts w:asciiTheme="majorHAnsi" w:hAnsiTheme="majorHAnsi" w:cstheme="minorHAnsi"/>
        </w:rPr>
      </w:pPr>
    </w:p>
    <w:p w14:paraId="3A9CA2F1" w14:textId="28086C5D" w:rsidR="008136A8" w:rsidRPr="00DF70B4" w:rsidRDefault="007B0D62">
      <w:pPr>
        <w:rPr>
          <w:rFonts w:asciiTheme="majorHAnsi" w:hAnsiTheme="majorHAnsi" w:cstheme="minorHAnsi"/>
        </w:rPr>
      </w:pPr>
      <w:r w:rsidRPr="00DF70B4">
        <w:rPr>
          <w:rFonts w:asciiTheme="majorHAnsi" w:hAnsiTheme="majorHAnsi" w:cstheme="minorHAnsi"/>
        </w:rPr>
        <w:t>In addition to sulfasalazine, simvastatin, and rosuvastatin, monitor for signs of excessive effects of co-administered BCRP substrates such as fluvastatin, nelfinavir, pitavastatin, and topotecan, and for the need of their dose reduction.</w:t>
      </w:r>
    </w:p>
    <w:p w14:paraId="1D6CB234" w14:textId="77777777" w:rsidR="008136A8" w:rsidRPr="00DF70B4" w:rsidRDefault="008136A8">
      <w:pPr>
        <w:rPr>
          <w:rFonts w:asciiTheme="majorHAnsi" w:hAnsiTheme="majorHAnsi" w:cstheme="minorHAnsi"/>
        </w:rPr>
      </w:pPr>
    </w:p>
    <w:p w14:paraId="298663A6" w14:textId="23A99C77" w:rsidR="008136A8" w:rsidRPr="00DF70B4" w:rsidRDefault="007B0D62">
      <w:pPr>
        <w:pStyle w:val="Heading4"/>
        <w:rPr>
          <w:rFonts w:cstheme="minorHAnsi"/>
        </w:rPr>
      </w:pPr>
      <w:r w:rsidRPr="00DF70B4">
        <w:t xml:space="preserve">OAT3 </w:t>
      </w:r>
      <w:r w:rsidRPr="00DF70B4">
        <w:rPr>
          <w:rFonts w:cstheme="minorHAnsi"/>
        </w:rPr>
        <w:t>substrates</w:t>
      </w:r>
    </w:p>
    <w:p w14:paraId="51238DB4" w14:textId="3CC8669D" w:rsidR="008136A8" w:rsidRPr="00DF70B4" w:rsidRDefault="007B0D62">
      <w:pPr>
        <w:rPr>
          <w:rFonts w:asciiTheme="majorHAnsi" w:hAnsiTheme="majorHAnsi" w:cstheme="minorHAnsi"/>
        </w:rPr>
      </w:pPr>
      <w:r w:rsidRPr="00DF70B4">
        <w:rPr>
          <w:rFonts w:asciiTheme="majorHAnsi" w:hAnsiTheme="majorHAnsi" w:cstheme="minorHAnsi"/>
        </w:rPr>
        <w:t xml:space="preserve">Vadadustat may increase the AUC of OAT3 substrates when co-administered. The AUC of furosemide (40 mg) increased 2-fold following multiple doses of Vafseo (600 mg once daily). Monitor for signs of excessive effects of co-administered OAT3 substrates such as famotidine, furosemide, methotrexate, olmesartan, sitagliptin, and zidovudine. </w:t>
      </w:r>
    </w:p>
    <w:p w14:paraId="252291C6" w14:textId="7235E8DF" w:rsidR="008136A8" w:rsidRPr="00DF70B4" w:rsidRDefault="007B0D62">
      <w:pPr>
        <w:rPr>
          <w:rFonts w:asciiTheme="majorHAnsi" w:hAnsiTheme="majorHAnsi" w:cstheme="minorHAnsi"/>
        </w:rPr>
      </w:pPr>
      <w:r w:rsidRPr="00DF70B4">
        <w:rPr>
          <w:rFonts w:asciiTheme="majorHAnsi" w:hAnsiTheme="majorHAnsi" w:cstheme="minorHAnsi"/>
        </w:rPr>
        <w:t xml:space="preserve">Dose adjustment of concomitantly administered OAT3 substrate may be needed. </w:t>
      </w:r>
    </w:p>
    <w:p w14:paraId="5EDCCA3F" w14:textId="77777777" w:rsidR="008136A8" w:rsidRPr="00DF70B4" w:rsidRDefault="008136A8">
      <w:pPr>
        <w:rPr>
          <w:rFonts w:asciiTheme="majorHAnsi" w:hAnsiTheme="majorHAnsi" w:cstheme="minorHAnsi"/>
        </w:rPr>
      </w:pPr>
    </w:p>
    <w:p w14:paraId="7FB05058" w14:textId="5A6815FD" w:rsidR="008136A8" w:rsidRPr="00DF70B4" w:rsidRDefault="007B0D62">
      <w:pPr>
        <w:pStyle w:val="Heading4"/>
        <w:rPr>
          <w:rFonts w:cstheme="minorHAnsi"/>
        </w:rPr>
      </w:pPr>
      <w:r w:rsidRPr="00DF70B4">
        <w:t xml:space="preserve">CYP2B6 substrates </w:t>
      </w:r>
    </w:p>
    <w:p w14:paraId="5F95FE36" w14:textId="2C9E4035" w:rsidR="008136A8" w:rsidRPr="001E4550" w:rsidRDefault="007B0D62">
      <w:pPr>
        <w:rPr>
          <w:rFonts w:asciiTheme="majorHAnsi" w:hAnsiTheme="majorHAnsi"/>
        </w:rPr>
      </w:pPr>
      <w:r w:rsidRPr="001E4550">
        <w:rPr>
          <w:rFonts w:asciiTheme="majorHAnsi" w:hAnsiTheme="majorHAnsi"/>
        </w:rPr>
        <w:t xml:space="preserve">Vadadustat was considered to be an inducer of CYP2B6 in </w:t>
      </w:r>
      <w:r w:rsidRPr="001E4550">
        <w:rPr>
          <w:rFonts w:asciiTheme="majorHAnsi" w:hAnsiTheme="majorHAnsi"/>
          <w:i/>
          <w:iCs/>
        </w:rPr>
        <w:t>in vitro</w:t>
      </w:r>
      <w:r w:rsidRPr="001E4550">
        <w:rPr>
          <w:rFonts w:asciiTheme="majorHAnsi" w:hAnsiTheme="majorHAnsi"/>
        </w:rPr>
        <w:t xml:space="preserve"> experiments. However, this interaction has not been examined </w:t>
      </w:r>
      <w:r w:rsidRPr="001E4550">
        <w:rPr>
          <w:rFonts w:asciiTheme="majorHAnsi" w:hAnsiTheme="majorHAnsi"/>
          <w:i/>
          <w:iCs/>
        </w:rPr>
        <w:t>in vivo</w:t>
      </w:r>
      <w:r w:rsidRPr="001E4550">
        <w:rPr>
          <w:rFonts w:asciiTheme="majorHAnsi" w:hAnsiTheme="majorHAnsi"/>
        </w:rPr>
        <w:t xml:space="preserve">. </w:t>
      </w:r>
    </w:p>
    <w:p w14:paraId="19B48290" w14:textId="23292A8F" w:rsidR="008136A8" w:rsidRPr="00DF70B4" w:rsidRDefault="007B0D62">
      <w:pPr>
        <w:rPr>
          <w:rFonts w:asciiTheme="majorHAnsi" w:hAnsiTheme="majorHAnsi"/>
        </w:rPr>
      </w:pPr>
      <w:r w:rsidRPr="00DF70B4">
        <w:rPr>
          <w:rFonts w:asciiTheme="majorHAnsi" w:hAnsiTheme="majorHAnsi"/>
        </w:rPr>
        <w:t>Co-administration of Vadadustat with substrates of CYP2B6 (e.g. efavirenz, bupropio</w:t>
      </w:r>
      <w:r w:rsidRPr="001E4550">
        <w:rPr>
          <w:rFonts w:asciiTheme="majorHAnsi" w:hAnsiTheme="majorHAnsi"/>
        </w:rPr>
        <w:t>n</w:t>
      </w:r>
      <w:r w:rsidRPr="00DF70B4">
        <w:rPr>
          <w:rFonts w:asciiTheme="majorHAnsi" w:hAnsiTheme="majorHAnsi"/>
        </w:rPr>
        <w:t>) may alter the pharmacokinetics of these drugs, and therefore caution should be exercised when vadadustat is co-administered with CYP2B6 substrates.</w:t>
      </w:r>
    </w:p>
    <w:p w14:paraId="56604A94" w14:textId="77777777" w:rsidR="008136A8" w:rsidRPr="00DF70B4" w:rsidRDefault="008136A8">
      <w:pPr>
        <w:rPr>
          <w:rFonts w:asciiTheme="majorHAnsi" w:hAnsiTheme="majorHAnsi"/>
        </w:rPr>
      </w:pPr>
    </w:p>
    <w:p w14:paraId="52D9B040" w14:textId="66207156" w:rsidR="008136A8" w:rsidRPr="00DF70B4" w:rsidRDefault="007B0D62">
      <w:pPr>
        <w:pStyle w:val="Heading4"/>
      </w:pPr>
      <w:r w:rsidRPr="00DF70B4">
        <w:rPr>
          <w:i/>
        </w:rPr>
        <w:lastRenderedPageBreak/>
        <w:t>CYP2C9 substrates</w:t>
      </w:r>
    </w:p>
    <w:p w14:paraId="4C2D76BB" w14:textId="059F27FD" w:rsidR="008136A8" w:rsidRPr="00DF70B4" w:rsidRDefault="007B0D62">
      <w:pPr>
        <w:rPr>
          <w:rFonts w:asciiTheme="majorHAnsi" w:hAnsiTheme="majorHAnsi" w:cstheme="minorHAnsi"/>
        </w:rPr>
      </w:pPr>
      <w:r w:rsidRPr="00DF70B4">
        <w:rPr>
          <w:rFonts w:asciiTheme="majorHAnsi" w:hAnsiTheme="majorHAnsi" w:cstheme="minorHAnsi"/>
        </w:rPr>
        <w:t>Co-administration of vadadustat (600 mg) with celecoxib (200 mg) increased celecoxib C</w:t>
      </w:r>
      <w:r w:rsidRPr="00DF70B4">
        <w:rPr>
          <w:rFonts w:asciiTheme="majorHAnsi" w:hAnsiTheme="majorHAnsi" w:cstheme="minorHAnsi"/>
          <w:vertAlign w:val="subscript"/>
        </w:rPr>
        <w:t>max</w:t>
      </w:r>
      <w:r w:rsidRPr="00DF70B4">
        <w:rPr>
          <w:rFonts w:asciiTheme="majorHAnsi" w:hAnsiTheme="majorHAnsi" w:cstheme="minorHAnsi"/>
        </w:rPr>
        <w:t xml:space="preserve"> and AUC 60% and 11%, respectively. Patients receiving warfarin or other narrow therapeutic CYP2C9 substrates (e.g., phenytoin) must therefore be managed cautiously and evaluated for excessive effects when treated with vadadustat.</w:t>
      </w:r>
    </w:p>
    <w:p w14:paraId="2E7FDD61" w14:textId="77777777" w:rsidR="008136A8" w:rsidRPr="00DF70B4" w:rsidRDefault="008136A8">
      <w:pPr>
        <w:rPr>
          <w:rFonts w:asciiTheme="majorHAnsi" w:hAnsiTheme="majorHAnsi"/>
        </w:rPr>
      </w:pPr>
    </w:p>
    <w:p w14:paraId="6017FE1C" w14:textId="77777777" w:rsidR="008136A8" w:rsidRPr="00DF70B4" w:rsidRDefault="007B0D62">
      <w:pPr>
        <w:pStyle w:val="Heading4"/>
        <w:rPr>
          <w:i/>
          <w:iCs w:val="0"/>
        </w:rPr>
      </w:pPr>
      <w:r w:rsidRPr="00DF70B4">
        <w:rPr>
          <w:i/>
        </w:rPr>
        <w:t>CYP3A4 substrates</w:t>
      </w:r>
    </w:p>
    <w:p w14:paraId="137C55AF" w14:textId="52AEBFC3" w:rsidR="008136A8" w:rsidRPr="00DF70B4" w:rsidRDefault="007B0D62">
      <w:pPr>
        <w:rPr>
          <w:rFonts w:asciiTheme="majorHAnsi" w:hAnsiTheme="majorHAnsi" w:cstheme="minorHAnsi"/>
        </w:rPr>
      </w:pPr>
      <w:r w:rsidRPr="00DF70B4">
        <w:rPr>
          <w:rFonts w:asciiTheme="majorHAnsi" w:hAnsiTheme="majorHAnsi" w:cstheme="minorHAnsi"/>
        </w:rPr>
        <w:t xml:space="preserve">Based on </w:t>
      </w:r>
      <w:r w:rsidRPr="00DF70B4">
        <w:rPr>
          <w:rFonts w:asciiTheme="majorHAnsi" w:hAnsiTheme="majorHAnsi" w:cstheme="minorHAnsi"/>
          <w:i/>
          <w:iCs/>
        </w:rPr>
        <w:t>in vitro</w:t>
      </w:r>
      <w:r w:rsidRPr="00DF70B4">
        <w:rPr>
          <w:rFonts w:asciiTheme="majorHAnsi" w:hAnsiTheme="majorHAnsi" w:cstheme="minorHAnsi"/>
        </w:rPr>
        <w:t xml:space="preserve"> data, vadadustat may have a potential for CYP3A4 downregulation. Co-administration of vadadustat with CYP3A4 substrates may alter their pharmacokinetics and therefore caution should be exercised when vadadustat is co-administered with CYP3A4 substrates.</w:t>
      </w:r>
    </w:p>
    <w:p w14:paraId="23EFE86D" w14:textId="77777777" w:rsidR="008136A8" w:rsidRPr="001E4550" w:rsidRDefault="008136A8">
      <w:pPr>
        <w:spacing w:line="240" w:lineRule="auto"/>
        <w:ind w:left="567" w:hanging="567"/>
      </w:pPr>
    </w:p>
    <w:p w14:paraId="45B46CDF" w14:textId="77777777" w:rsidR="008136A8" w:rsidRPr="00DF70B4" w:rsidRDefault="007B0D62">
      <w:pPr>
        <w:pStyle w:val="Heading4"/>
        <w:rPr>
          <w:i/>
          <w:iCs w:val="0"/>
        </w:rPr>
      </w:pPr>
      <w:r w:rsidRPr="00DF70B4">
        <w:rPr>
          <w:i/>
        </w:rPr>
        <w:t>CYP2C8 substrates</w:t>
      </w:r>
    </w:p>
    <w:p w14:paraId="12628727" w14:textId="4B3121E9" w:rsidR="008136A8" w:rsidRPr="00DF70B4" w:rsidRDefault="007B0D62">
      <w:pPr>
        <w:rPr>
          <w:rFonts w:asciiTheme="majorHAnsi" w:hAnsiTheme="majorHAnsi"/>
        </w:rPr>
      </w:pPr>
      <w:r w:rsidRPr="00DF70B4">
        <w:rPr>
          <w:rFonts w:asciiTheme="majorHAnsi" w:hAnsiTheme="majorHAnsi" w:cstheme="minorHAnsi"/>
        </w:rPr>
        <w:t xml:space="preserve">Based on </w:t>
      </w:r>
      <w:r w:rsidRPr="00DF70B4">
        <w:rPr>
          <w:rFonts w:asciiTheme="majorHAnsi" w:hAnsiTheme="majorHAnsi" w:cstheme="minorHAnsi"/>
          <w:i/>
          <w:iCs/>
        </w:rPr>
        <w:t xml:space="preserve">in vitro </w:t>
      </w:r>
      <w:r w:rsidRPr="00DF70B4">
        <w:rPr>
          <w:rFonts w:asciiTheme="majorHAnsi" w:hAnsiTheme="majorHAnsi" w:cstheme="minorHAnsi"/>
        </w:rPr>
        <w:t>data, vadadustat may inhibit CYP2C8 and therefore may increase exposure to CYP2C8 substrates and therefore caution should be exercised when vadadustat is co-administered with CYP2C8 substrates.</w:t>
      </w:r>
    </w:p>
    <w:p w14:paraId="074C13B2" w14:textId="77777777" w:rsidR="008136A8" w:rsidRPr="00DF70B4" w:rsidRDefault="008136A8">
      <w:pPr>
        <w:rPr>
          <w:rFonts w:asciiTheme="majorHAnsi" w:hAnsiTheme="majorHAnsi"/>
        </w:rPr>
      </w:pPr>
    </w:p>
    <w:p w14:paraId="7D51E07A" w14:textId="77777777" w:rsidR="008136A8" w:rsidRPr="001E4550" w:rsidRDefault="007B0D62">
      <w:pPr>
        <w:pStyle w:val="Heading2"/>
        <w:spacing w:before="0" w:after="120"/>
      </w:pPr>
      <w:r w:rsidRPr="001E4550">
        <w:t xml:space="preserve">Fertility, pregnancy and lactation </w:t>
      </w:r>
    </w:p>
    <w:p w14:paraId="491DA3BA" w14:textId="5A407DD0" w:rsidR="008136A8" w:rsidRPr="001E4550" w:rsidRDefault="007B0D62">
      <w:pPr>
        <w:pStyle w:val="Heading3"/>
        <w:spacing w:before="0" w:after="120"/>
      </w:pPr>
      <w:r w:rsidRPr="001E4550">
        <w:t>Effects on fertility</w:t>
      </w:r>
    </w:p>
    <w:p w14:paraId="4A27A926" w14:textId="10302330" w:rsidR="008136A8" w:rsidRPr="00DF70B4" w:rsidRDefault="007B0D62">
      <w:pPr>
        <w:rPr>
          <w:rFonts w:asciiTheme="majorHAnsi" w:hAnsiTheme="majorHAnsi" w:cstheme="minorHAnsi"/>
        </w:rPr>
      </w:pPr>
      <w:r w:rsidRPr="00DF70B4">
        <w:rPr>
          <w:rFonts w:asciiTheme="majorHAnsi" w:hAnsiTheme="majorHAnsi" w:cstheme="minorHAnsi"/>
        </w:rPr>
        <w:t>Vadadustat did affect male or female fertility in rats at oral doses up to 120 mg/kg/day (yielding exposure [AUC] only marginally above that of patients at the maximum recommended human dose). The potential risk for humans is unknown.</w:t>
      </w:r>
    </w:p>
    <w:p w14:paraId="4BD3E990" w14:textId="77777777" w:rsidR="008136A8" w:rsidRPr="00DF70B4" w:rsidRDefault="008136A8"/>
    <w:p w14:paraId="111EF6B5" w14:textId="21C2A881" w:rsidR="008136A8" w:rsidRPr="001E4550" w:rsidRDefault="007B0D62">
      <w:pPr>
        <w:pStyle w:val="Heading3"/>
        <w:spacing w:before="0" w:after="120"/>
      </w:pPr>
      <w:r w:rsidRPr="001E4550">
        <w:t>Use in pregnancy – Pregnancy Category C</w:t>
      </w:r>
    </w:p>
    <w:p w14:paraId="78B1A09D" w14:textId="4888373B" w:rsidR="008136A8" w:rsidRPr="00DF70B4" w:rsidRDefault="007B0D62">
      <w:pPr>
        <w:rPr>
          <w:rFonts w:asciiTheme="majorHAnsi" w:hAnsiTheme="majorHAnsi" w:cstheme="minorHAnsi"/>
        </w:rPr>
      </w:pPr>
      <w:r w:rsidRPr="00DF70B4">
        <w:rPr>
          <w:rFonts w:asciiTheme="majorHAnsi" w:hAnsiTheme="majorHAnsi" w:cstheme="minorHAnsi"/>
        </w:rPr>
        <w:t xml:space="preserve">There are limited data for the use of vadadustat in pregnant women. </w:t>
      </w:r>
    </w:p>
    <w:p w14:paraId="11A05889" w14:textId="5E47DF6E" w:rsidR="008136A8" w:rsidRPr="001E4550" w:rsidRDefault="007B0D62">
      <w:r w:rsidRPr="00DF70B4">
        <w:rPr>
          <w:rFonts w:asciiTheme="majorHAnsi" w:hAnsiTheme="majorHAnsi" w:cstheme="minorHAnsi"/>
        </w:rPr>
        <w:t xml:space="preserve">Vadadustat did not cause malformations or embryofetal lethality in either the rat or the rabbit up to the highest dose level tested (160 mg/kg/day and 50 mg/kg/day, respectively), corresponding to 1.7 and 0.16 times the exposure in patients at the maximum recommended human dose of 600 mg. Development effects were noted only in the rat at 160 mg/kg/day, yielding 1.7 times the human exposure at the 600 mg dose; characterised as a decrease in </w:t>
      </w:r>
      <w:r w:rsidR="006464FB" w:rsidRPr="001E4550">
        <w:rPr>
          <w:rFonts w:asciiTheme="majorHAnsi" w:hAnsiTheme="majorHAnsi" w:cstheme="minorHAnsi"/>
        </w:rPr>
        <w:t>foetal</w:t>
      </w:r>
      <w:r w:rsidRPr="00DF70B4">
        <w:rPr>
          <w:rFonts w:asciiTheme="majorHAnsi" w:hAnsiTheme="majorHAnsi" w:cstheme="minorHAnsi"/>
        </w:rPr>
        <w:t xml:space="preserve"> body weight and a reduction in skeletal ossification, both of which were considered secondary to the decline in body weight and food consumption in the pregnant dams. </w:t>
      </w:r>
      <w:r w:rsidRPr="001E4550">
        <w:t xml:space="preserve"> </w:t>
      </w:r>
    </w:p>
    <w:p w14:paraId="509CE6D1" w14:textId="46E43DBF" w:rsidR="008136A8" w:rsidRPr="00DF70B4" w:rsidRDefault="007B0D62">
      <w:pPr>
        <w:rPr>
          <w:rFonts w:asciiTheme="majorHAnsi" w:hAnsiTheme="majorHAnsi" w:cstheme="minorHAnsi"/>
        </w:rPr>
      </w:pPr>
      <w:r w:rsidRPr="00DF70B4">
        <w:rPr>
          <w:rFonts w:asciiTheme="majorHAnsi" w:hAnsiTheme="majorHAnsi" w:cstheme="minorHAnsi"/>
        </w:rPr>
        <w:t xml:space="preserve">These embryofetal development studies offer only limited support for safety due to exposure in animals being below or only slightly higher than in patients. Vadadustat and/or its metabolites were shown to cross the placenta in rats, and the potential for adverse effects on development resulting from pharmacological activity in the </w:t>
      </w:r>
      <w:r w:rsidR="006464FB" w:rsidRPr="001E4550">
        <w:rPr>
          <w:rFonts w:asciiTheme="majorHAnsi" w:hAnsiTheme="majorHAnsi" w:cstheme="minorHAnsi"/>
        </w:rPr>
        <w:t>foetus</w:t>
      </w:r>
      <w:r w:rsidRPr="00DF70B4">
        <w:rPr>
          <w:rFonts w:asciiTheme="majorHAnsi" w:hAnsiTheme="majorHAnsi" w:cstheme="minorHAnsi"/>
        </w:rPr>
        <w:t xml:space="preserve"> cannot be excluded. Vafseo should only be used during pregnancy if the benefit justifies the potential risk to the </w:t>
      </w:r>
      <w:r w:rsidR="006A2EC0" w:rsidRPr="001E4550">
        <w:rPr>
          <w:rFonts w:asciiTheme="majorHAnsi" w:hAnsiTheme="majorHAnsi" w:cstheme="minorHAnsi"/>
        </w:rPr>
        <w:t>foetus</w:t>
      </w:r>
      <w:r w:rsidRPr="00DF70B4">
        <w:rPr>
          <w:rFonts w:asciiTheme="majorHAnsi" w:hAnsiTheme="majorHAnsi" w:cstheme="minorHAnsi"/>
        </w:rPr>
        <w:t>.</w:t>
      </w:r>
    </w:p>
    <w:p w14:paraId="789B9BBF" w14:textId="77777777" w:rsidR="008136A8" w:rsidRPr="00DF70B4" w:rsidRDefault="008136A8">
      <w:pPr>
        <w:rPr>
          <w:rFonts w:asciiTheme="majorHAnsi" w:hAnsiTheme="majorHAnsi" w:cstheme="minorHAnsi"/>
        </w:rPr>
      </w:pPr>
    </w:p>
    <w:p w14:paraId="6BEB32F3" w14:textId="4C55DCD0" w:rsidR="008136A8" w:rsidRPr="001E4550" w:rsidRDefault="007B0D62">
      <w:pPr>
        <w:pStyle w:val="Heading3"/>
        <w:spacing w:before="0" w:after="120"/>
      </w:pPr>
      <w:r w:rsidRPr="001E4550">
        <w:t>Use in lactation</w:t>
      </w:r>
    </w:p>
    <w:p w14:paraId="081DE1B9" w14:textId="7B495E46" w:rsidR="008136A8" w:rsidRPr="00DF70B4" w:rsidRDefault="007B0D62">
      <w:pPr>
        <w:rPr>
          <w:rFonts w:asciiTheme="majorHAnsi" w:hAnsiTheme="majorHAnsi"/>
        </w:rPr>
      </w:pPr>
      <w:r w:rsidRPr="00DF70B4">
        <w:rPr>
          <w:rFonts w:asciiTheme="majorHAnsi" w:hAnsiTheme="majorHAnsi"/>
        </w:rPr>
        <w:t xml:space="preserve">It is </w:t>
      </w:r>
      <w:r w:rsidRPr="00DF70B4">
        <w:rPr>
          <w:rFonts w:asciiTheme="majorHAnsi" w:eastAsia="Arial Unicode MS" w:hAnsiTheme="majorHAnsi" w:cs="Times New Roman"/>
          <w:lang w:eastAsia="zh-TW"/>
        </w:rPr>
        <w:t xml:space="preserve">unknown whether vadadustat is excreted in human breast milk. Vadadustat and/or its metabolites were shown to be readily excreted in milk in rats, with peak concentrations in milk more than double that in plasma, and overall exposure (AUC) more than six times greater. Vafseo should not be used in a woman who is breastfeeding given the risk of pharmacologically-mediated adverse events in the child. </w:t>
      </w:r>
      <w:r w:rsidRPr="00DF70B4">
        <w:rPr>
          <w:rFonts w:asciiTheme="majorHAnsi" w:hAnsiTheme="majorHAnsi"/>
        </w:rPr>
        <w:t>A decision must be made whether to discontinue breast-feeding or to discontinue Vafseo therapy taking into account the benefit of breast feeding for the child and benefit of therapy for the woman.</w:t>
      </w:r>
    </w:p>
    <w:p w14:paraId="200D7D8C" w14:textId="77777777" w:rsidR="008136A8" w:rsidRPr="00DF70B4" w:rsidRDefault="008136A8">
      <w:pPr>
        <w:rPr>
          <w:rFonts w:asciiTheme="majorHAnsi" w:hAnsiTheme="majorHAnsi"/>
        </w:rPr>
      </w:pPr>
    </w:p>
    <w:p w14:paraId="390E9322" w14:textId="77777777" w:rsidR="008136A8" w:rsidRPr="001E4550" w:rsidRDefault="007B0D62">
      <w:pPr>
        <w:pStyle w:val="Heading2"/>
        <w:spacing w:before="0" w:after="120"/>
      </w:pPr>
      <w:r w:rsidRPr="001E4550">
        <w:t xml:space="preserve">Effects on ability to drive and use machines </w:t>
      </w:r>
    </w:p>
    <w:p w14:paraId="13A571FD" w14:textId="13EF53A9" w:rsidR="008136A8" w:rsidRPr="00DF70B4" w:rsidRDefault="007B0D62">
      <w:pPr>
        <w:spacing w:line="240" w:lineRule="auto"/>
        <w:rPr>
          <w:rFonts w:asciiTheme="majorHAnsi" w:hAnsiTheme="majorHAnsi" w:cstheme="minorHAnsi"/>
        </w:rPr>
      </w:pPr>
      <w:r w:rsidRPr="00DF70B4">
        <w:rPr>
          <w:rFonts w:asciiTheme="majorHAnsi" w:hAnsiTheme="majorHAnsi" w:cstheme="minorHAnsi"/>
        </w:rPr>
        <w:t>Vafseo has no or negligible influence on the ability to drive and use machines.</w:t>
      </w:r>
    </w:p>
    <w:p w14:paraId="2A624DC7" w14:textId="77777777" w:rsidR="008136A8" w:rsidRPr="00DF70B4" w:rsidRDefault="008136A8">
      <w:pPr>
        <w:spacing w:line="240" w:lineRule="auto"/>
        <w:rPr>
          <w:rFonts w:asciiTheme="majorHAnsi" w:hAnsiTheme="majorHAnsi" w:cstheme="minorHAnsi"/>
        </w:rPr>
      </w:pPr>
    </w:p>
    <w:p w14:paraId="53BA5E49" w14:textId="3E4B8667" w:rsidR="008136A8" w:rsidRPr="001E4550" w:rsidRDefault="007B0D62">
      <w:pPr>
        <w:pStyle w:val="Heading2"/>
        <w:keepNext/>
        <w:keepLines/>
        <w:spacing w:before="0" w:after="120"/>
      </w:pPr>
      <w:r w:rsidRPr="001E4550">
        <w:t>Adverse effects (Undesirable effects)</w:t>
      </w:r>
    </w:p>
    <w:p w14:paraId="02C3559B" w14:textId="6D3DEBC7" w:rsidR="008136A8" w:rsidRPr="001E4550" w:rsidRDefault="007B0D62">
      <w:pPr>
        <w:pStyle w:val="Heading3"/>
      </w:pPr>
      <w:r w:rsidRPr="001E4550">
        <w:t>Summary of the safety profile</w:t>
      </w:r>
    </w:p>
    <w:p w14:paraId="1C868D90" w14:textId="3D21AF1D" w:rsidR="00E77240" w:rsidRPr="00DF70B4" w:rsidRDefault="3026E9F1" w:rsidP="00637921">
      <w:pPr>
        <w:autoSpaceDE w:val="0"/>
        <w:autoSpaceDN w:val="0"/>
        <w:adjustRightInd w:val="0"/>
        <w:rPr>
          <w:rFonts w:asciiTheme="majorHAnsi" w:hAnsiTheme="majorHAnsi"/>
        </w:rPr>
      </w:pPr>
      <w:r w:rsidRPr="00DF70B4">
        <w:rPr>
          <w:rFonts w:asciiTheme="majorHAnsi" w:hAnsiTheme="majorHAnsi"/>
        </w:rPr>
        <w:t xml:space="preserve">The adverse </w:t>
      </w:r>
      <w:r w:rsidR="00940754" w:rsidRPr="00DF70B4">
        <w:rPr>
          <w:rFonts w:asciiTheme="majorHAnsi" w:hAnsiTheme="majorHAnsi"/>
        </w:rPr>
        <w:t xml:space="preserve">events </w:t>
      </w:r>
      <w:r w:rsidR="00590F48" w:rsidRPr="001E4550">
        <w:rPr>
          <w:rFonts w:asciiTheme="majorHAnsi" w:hAnsiTheme="majorHAnsi"/>
        </w:rPr>
        <w:t xml:space="preserve">(AE) </w:t>
      </w:r>
      <w:r w:rsidRPr="00DF70B4">
        <w:rPr>
          <w:rFonts w:asciiTheme="majorHAnsi" w:hAnsiTheme="majorHAnsi"/>
        </w:rPr>
        <w:t xml:space="preserve">are based on pooled data from </w:t>
      </w:r>
      <w:r w:rsidR="008A5A1C" w:rsidRPr="00DF70B4">
        <w:rPr>
          <w:rFonts w:asciiTheme="majorHAnsi" w:hAnsiTheme="majorHAnsi"/>
        </w:rPr>
        <w:t xml:space="preserve">two </w:t>
      </w:r>
      <w:r w:rsidRPr="00DF70B4">
        <w:rPr>
          <w:rFonts w:asciiTheme="majorHAnsi" w:hAnsiTheme="majorHAnsi"/>
        </w:rPr>
        <w:t xml:space="preserve">active-controlled studies in </w:t>
      </w:r>
      <w:r w:rsidR="00B70616" w:rsidRPr="00DF70B4">
        <w:rPr>
          <w:rFonts w:asciiTheme="majorHAnsi" w:hAnsiTheme="majorHAnsi"/>
        </w:rPr>
        <w:t>DD-</w:t>
      </w:r>
      <w:r w:rsidRPr="00DF70B4">
        <w:rPr>
          <w:rFonts w:asciiTheme="majorHAnsi" w:hAnsiTheme="majorHAnsi"/>
        </w:rPr>
        <w:t>CKD</w:t>
      </w:r>
      <w:r w:rsidR="00F73D44" w:rsidRPr="00DF70B4">
        <w:rPr>
          <w:rFonts w:asciiTheme="majorHAnsi" w:hAnsiTheme="majorHAnsi"/>
        </w:rPr>
        <w:t xml:space="preserve"> </w:t>
      </w:r>
      <w:r w:rsidRPr="00DF70B4">
        <w:rPr>
          <w:rFonts w:asciiTheme="majorHAnsi" w:hAnsiTheme="majorHAnsi"/>
        </w:rPr>
        <w:t xml:space="preserve">of </w:t>
      </w:r>
      <w:r w:rsidR="00B70616" w:rsidRPr="00DF70B4">
        <w:rPr>
          <w:rFonts w:asciiTheme="majorHAnsi" w:hAnsiTheme="majorHAnsi"/>
        </w:rPr>
        <w:t xml:space="preserve">1947 </w:t>
      </w:r>
      <w:r w:rsidRPr="00DF70B4">
        <w:rPr>
          <w:rFonts w:asciiTheme="majorHAnsi" w:hAnsiTheme="majorHAnsi"/>
        </w:rPr>
        <w:t xml:space="preserve">patients treated with </w:t>
      </w:r>
      <w:r w:rsidR="003C4B8D" w:rsidRPr="00DF70B4">
        <w:rPr>
          <w:rFonts w:asciiTheme="majorHAnsi" w:hAnsiTheme="majorHAnsi"/>
        </w:rPr>
        <w:t xml:space="preserve">vadadustat </w:t>
      </w:r>
      <w:r w:rsidRPr="00DF70B4">
        <w:rPr>
          <w:rFonts w:asciiTheme="majorHAnsi" w:hAnsiTheme="majorHAnsi"/>
        </w:rPr>
        <w:t xml:space="preserve">and </w:t>
      </w:r>
      <w:r w:rsidR="00CF5A79" w:rsidRPr="00DF70B4">
        <w:rPr>
          <w:rFonts w:asciiTheme="majorHAnsi" w:hAnsiTheme="majorHAnsi"/>
        </w:rPr>
        <w:t xml:space="preserve">1955 </w:t>
      </w:r>
      <w:r w:rsidRPr="00DF70B4">
        <w:rPr>
          <w:rFonts w:asciiTheme="majorHAnsi" w:hAnsiTheme="majorHAnsi"/>
        </w:rPr>
        <w:t xml:space="preserve">treated with darbepoetin alfa, including </w:t>
      </w:r>
      <w:r w:rsidR="00CF5A79" w:rsidRPr="00DF70B4">
        <w:rPr>
          <w:rFonts w:asciiTheme="majorHAnsi" w:hAnsiTheme="majorHAnsi"/>
        </w:rPr>
        <w:t xml:space="preserve">1514 </w:t>
      </w:r>
      <w:r w:rsidRPr="00DF70B4">
        <w:rPr>
          <w:rFonts w:asciiTheme="majorHAnsi" w:hAnsiTheme="majorHAnsi"/>
        </w:rPr>
        <w:t xml:space="preserve">exposed for at least 6 months and </w:t>
      </w:r>
      <w:r w:rsidR="00CF5A79" w:rsidRPr="00DF70B4">
        <w:rPr>
          <w:rFonts w:asciiTheme="majorHAnsi" w:hAnsiTheme="majorHAnsi"/>
        </w:rPr>
        <w:t xml:space="preserve">1047 </w:t>
      </w:r>
      <w:r w:rsidRPr="00DF70B4">
        <w:rPr>
          <w:rFonts w:asciiTheme="majorHAnsi" w:hAnsiTheme="majorHAnsi"/>
        </w:rPr>
        <w:t xml:space="preserve">exposed for greater than one year to </w:t>
      </w:r>
      <w:r w:rsidR="003C4B8D" w:rsidRPr="00DF70B4">
        <w:rPr>
          <w:rFonts w:asciiTheme="majorHAnsi" w:hAnsiTheme="majorHAnsi"/>
        </w:rPr>
        <w:t>vadadustat</w:t>
      </w:r>
      <w:r w:rsidRPr="00DF70B4">
        <w:rPr>
          <w:rFonts w:asciiTheme="majorHAnsi" w:hAnsiTheme="majorHAnsi"/>
        </w:rPr>
        <w:t xml:space="preserve">. The population for </w:t>
      </w:r>
      <w:r w:rsidR="003C4B8D" w:rsidRPr="00DF70B4">
        <w:rPr>
          <w:rFonts w:asciiTheme="majorHAnsi" w:hAnsiTheme="majorHAnsi"/>
        </w:rPr>
        <w:t xml:space="preserve">vadadustat </w:t>
      </w:r>
      <w:r w:rsidRPr="00DF70B4">
        <w:rPr>
          <w:rFonts w:asciiTheme="majorHAnsi" w:hAnsiTheme="majorHAnsi"/>
        </w:rPr>
        <w:t xml:space="preserve">was 19 to </w:t>
      </w:r>
      <w:r w:rsidR="00072653" w:rsidRPr="00DF70B4">
        <w:rPr>
          <w:rFonts w:asciiTheme="majorHAnsi" w:hAnsiTheme="majorHAnsi"/>
        </w:rPr>
        <w:t xml:space="preserve">93 </w:t>
      </w:r>
      <w:r w:rsidRPr="00DF70B4">
        <w:rPr>
          <w:rFonts w:asciiTheme="majorHAnsi" w:hAnsiTheme="majorHAnsi"/>
        </w:rPr>
        <w:t xml:space="preserve">years of age, </w:t>
      </w:r>
      <w:r w:rsidR="006C32CA" w:rsidRPr="00DF70B4">
        <w:rPr>
          <w:rFonts w:asciiTheme="majorHAnsi" w:hAnsiTheme="majorHAnsi"/>
        </w:rPr>
        <w:t>55</w:t>
      </w:r>
      <w:r w:rsidRPr="00DF70B4">
        <w:rPr>
          <w:rFonts w:asciiTheme="majorHAnsi" w:hAnsiTheme="majorHAnsi"/>
        </w:rPr>
        <w:t>.</w:t>
      </w:r>
      <w:r w:rsidR="006C32CA" w:rsidRPr="00DF70B4">
        <w:rPr>
          <w:rFonts w:asciiTheme="majorHAnsi" w:hAnsiTheme="majorHAnsi"/>
        </w:rPr>
        <w:t>9</w:t>
      </w:r>
      <w:r w:rsidRPr="00DF70B4">
        <w:rPr>
          <w:rFonts w:asciiTheme="majorHAnsi" w:hAnsiTheme="majorHAnsi"/>
        </w:rPr>
        <w:t xml:space="preserve">% male, and the percentage of Caucasian, Hispanic, Black (including African Americans) and Asian patients was </w:t>
      </w:r>
      <w:r w:rsidR="006C32CA" w:rsidRPr="00DF70B4">
        <w:rPr>
          <w:rFonts w:asciiTheme="majorHAnsi" w:hAnsiTheme="majorHAnsi"/>
        </w:rPr>
        <w:t>64.5</w:t>
      </w:r>
      <w:r w:rsidRPr="00DF70B4">
        <w:rPr>
          <w:rFonts w:asciiTheme="majorHAnsi" w:hAnsiTheme="majorHAnsi"/>
        </w:rPr>
        <w:t xml:space="preserve">%, </w:t>
      </w:r>
      <w:r w:rsidR="006C32CA" w:rsidRPr="00DF70B4">
        <w:rPr>
          <w:rFonts w:asciiTheme="majorHAnsi" w:hAnsiTheme="majorHAnsi"/>
        </w:rPr>
        <w:t>38</w:t>
      </w:r>
      <w:r w:rsidRPr="00DF70B4">
        <w:rPr>
          <w:rFonts w:asciiTheme="majorHAnsi" w:hAnsiTheme="majorHAnsi"/>
        </w:rPr>
        <w:t>.</w:t>
      </w:r>
      <w:r w:rsidR="006C32CA" w:rsidRPr="00DF70B4">
        <w:rPr>
          <w:rFonts w:asciiTheme="majorHAnsi" w:hAnsiTheme="majorHAnsi"/>
        </w:rPr>
        <w:t>5</w:t>
      </w:r>
      <w:r w:rsidRPr="00DF70B4">
        <w:rPr>
          <w:rFonts w:asciiTheme="majorHAnsi" w:hAnsiTheme="majorHAnsi"/>
        </w:rPr>
        <w:t xml:space="preserve">%, </w:t>
      </w:r>
      <w:r w:rsidR="002C4FD3" w:rsidRPr="00DF70B4">
        <w:rPr>
          <w:rFonts w:asciiTheme="majorHAnsi" w:hAnsiTheme="majorHAnsi"/>
        </w:rPr>
        <w:t>24.1</w:t>
      </w:r>
      <w:r w:rsidRPr="00DF70B4">
        <w:rPr>
          <w:rFonts w:asciiTheme="majorHAnsi" w:hAnsiTheme="majorHAnsi"/>
        </w:rPr>
        <w:t xml:space="preserve">%, and </w:t>
      </w:r>
      <w:r w:rsidR="002C4FD3" w:rsidRPr="00DF70B4">
        <w:rPr>
          <w:rFonts w:asciiTheme="majorHAnsi" w:hAnsiTheme="majorHAnsi"/>
        </w:rPr>
        <w:t>4.5</w:t>
      </w:r>
      <w:r w:rsidRPr="00DF70B4">
        <w:rPr>
          <w:rFonts w:asciiTheme="majorHAnsi" w:hAnsiTheme="majorHAnsi"/>
        </w:rPr>
        <w:t>%, respectively.</w:t>
      </w:r>
    </w:p>
    <w:p w14:paraId="304DB110" w14:textId="73CD3E4A" w:rsidR="006C65BD" w:rsidRPr="001E4550" w:rsidRDefault="6982D199" w:rsidP="006C65BD">
      <w:pPr>
        <w:autoSpaceDE w:val="0"/>
        <w:autoSpaceDN w:val="0"/>
        <w:adjustRightInd w:val="0"/>
        <w:rPr>
          <w:rFonts w:asciiTheme="majorHAnsi" w:hAnsiTheme="majorHAnsi"/>
        </w:rPr>
      </w:pPr>
      <w:r w:rsidRPr="001E4550">
        <w:rPr>
          <w:rFonts w:asciiTheme="majorHAnsi" w:hAnsiTheme="majorHAnsi"/>
        </w:rPr>
        <w:t xml:space="preserve">The most frequent </w:t>
      </w:r>
      <w:r w:rsidR="006C65BD" w:rsidRPr="001E4550">
        <w:rPr>
          <w:rFonts w:asciiTheme="majorHAnsi" w:hAnsiTheme="majorHAnsi"/>
        </w:rPr>
        <w:t>AEs</w:t>
      </w:r>
      <w:r w:rsidR="009F2A50" w:rsidRPr="001E4550">
        <w:rPr>
          <w:rFonts w:asciiTheme="majorHAnsi" w:hAnsiTheme="majorHAnsi"/>
        </w:rPr>
        <w:t xml:space="preserve"> reported</w:t>
      </w:r>
      <w:r w:rsidRPr="001E4550">
        <w:rPr>
          <w:rFonts w:asciiTheme="majorHAnsi" w:hAnsiTheme="majorHAnsi"/>
        </w:rPr>
        <w:t xml:space="preserve"> in </w:t>
      </w:r>
      <w:r w:rsidR="009F2A50" w:rsidRPr="001E4550">
        <w:rPr>
          <w:rFonts w:asciiTheme="majorHAnsi" w:hAnsiTheme="majorHAnsi"/>
        </w:rPr>
        <w:t>the</w:t>
      </w:r>
      <w:r w:rsidRPr="001E4550">
        <w:rPr>
          <w:rFonts w:asciiTheme="majorHAnsi" w:hAnsiTheme="majorHAnsi"/>
        </w:rPr>
        <w:t xml:space="preserve"> vadadustat </w:t>
      </w:r>
      <w:r w:rsidR="009F2A50" w:rsidRPr="001E4550">
        <w:rPr>
          <w:rFonts w:asciiTheme="majorHAnsi" w:hAnsiTheme="majorHAnsi"/>
        </w:rPr>
        <w:t>and darbepoetin alfa treatment</w:t>
      </w:r>
      <w:r w:rsidR="005C3597" w:rsidRPr="001E4550">
        <w:rPr>
          <w:rFonts w:asciiTheme="majorHAnsi" w:hAnsiTheme="majorHAnsi"/>
        </w:rPr>
        <w:t xml:space="preserve"> groups </w:t>
      </w:r>
      <w:r w:rsidRPr="001E4550">
        <w:rPr>
          <w:rFonts w:asciiTheme="majorHAnsi" w:hAnsiTheme="majorHAnsi"/>
        </w:rPr>
        <w:t xml:space="preserve">were </w:t>
      </w:r>
      <w:r w:rsidR="005C3597" w:rsidRPr="001E4550">
        <w:rPr>
          <w:rFonts w:asciiTheme="majorHAnsi" w:hAnsiTheme="majorHAnsi"/>
        </w:rPr>
        <w:t xml:space="preserve">thromboembolic events (13.7% and 12.0%, respectively), diarrhoea (12.7% and 10.0%, respectively), </w:t>
      </w:r>
      <w:r w:rsidRPr="001E4550">
        <w:rPr>
          <w:rFonts w:asciiTheme="majorHAnsi" w:hAnsiTheme="majorHAnsi"/>
        </w:rPr>
        <w:t>hypertension (11.1%</w:t>
      </w:r>
      <w:r w:rsidR="005C3597" w:rsidRPr="001E4550">
        <w:rPr>
          <w:rFonts w:asciiTheme="majorHAnsi" w:hAnsiTheme="majorHAnsi"/>
        </w:rPr>
        <w:t xml:space="preserve"> and 13.6%, respectively</w:t>
      </w:r>
      <w:r w:rsidRPr="001E4550">
        <w:rPr>
          <w:rFonts w:asciiTheme="majorHAnsi" w:hAnsiTheme="majorHAnsi"/>
        </w:rPr>
        <w:t>), and</w:t>
      </w:r>
      <w:r w:rsidR="005C3597" w:rsidRPr="001E4550">
        <w:rPr>
          <w:rFonts w:asciiTheme="majorHAnsi" w:hAnsiTheme="majorHAnsi"/>
        </w:rPr>
        <w:t xml:space="preserve"> pneumonia (10.7% and 9.6%, respectively</w:t>
      </w:r>
      <w:r w:rsidR="00F66B00" w:rsidRPr="001E4550">
        <w:rPr>
          <w:rFonts w:asciiTheme="majorHAnsi" w:hAnsiTheme="majorHAnsi"/>
        </w:rPr>
        <w:t>)</w:t>
      </w:r>
      <w:r w:rsidRPr="001E4550">
        <w:rPr>
          <w:rFonts w:asciiTheme="majorHAnsi" w:hAnsiTheme="majorHAnsi"/>
        </w:rPr>
        <w:t>.</w:t>
      </w:r>
      <w:r w:rsidR="00ED747A" w:rsidRPr="001E4550">
        <w:rPr>
          <w:rFonts w:asciiTheme="majorHAnsi" w:hAnsiTheme="majorHAnsi"/>
        </w:rPr>
        <w:t xml:space="preserve"> </w:t>
      </w:r>
    </w:p>
    <w:p w14:paraId="69E71004" w14:textId="1CD61212" w:rsidR="004A3FF8" w:rsidRPr="001E4550" w:rsidRDefault="006C65BD" w:rsidP="6982D199">
      <w:pPr>
        <w:autoSpaceDE w:val="0"/>
        <w:autoSpaceDN w:val="0"/>
        <w:adjustRightInd w:val="0"/>
        <w:rPr>
          <w:rFonts w:asciiTheme="majorHAnsi" w:hAnsiTheme="majorHAnsi"/>
        </w:rPr>
      </w:pPr>
      <w:r w:rsidRPr="001E4550">
        <w:rPr>
          <w:rFonts w:asciiTheme="majorHAnsi" w:hAnsiTheme="majorHAnsi"/>
        </w:rPr>
        <w:t xml:space="preserve">Death was reported for </w:t>
      </w:r>
      <w:r w:rsidR="000E4B6D">
        <w:rPr>
          <w:rFonts w:asciiTheme="majorHAnsi" w:hAnsiTheme="majorHAnsi"/>
        </w:rPr>
        <w:t>11.9</w:t>
      </w:r>
      <w:r w:rsidRPr="001E4550">
        <w:rPr>
          <w:rFonts w:asciiTheme="majorHAnsi" w:hAnsiTheme="majorHAnsi"/>
        </w:rPr>
        <w:t xml:space="preserve">% and </w:t>
      </w:r>
      <w:r w:rsidR="00C334C6">
        <w:rPr>
          <w:rFonts w:asciiTheme="majorHAnsi" w:hAnsiTheme="majorHAnsi"/>
        </w:rPr>
        <w:t>13.9</w:t>
      </w:r>
      <w:r w:rsidRPr="001E4550">
        <w:rPr>
          <w:rFonts w:asciiTheme="majorHAnsi" w:hAnsiTheme="majorHAnsi"/>
        </w:rPr>
        <w:t>% of subjects in the vadadustat and darbepoetin alfa treatment groups, respectively.</w:t>
      </w:r>
    </w:p>
    <w:p w14:paraId="057CBABA" w14:textId="0290FAD5" w:rsidR="008136A8" w:rsidRPr="00DF70B4" w:rsidRDefault="007B0D62">
      <w:pPr>
        <w:autoSpaceDE w:val="0"/>
        <w:autoSpaceDN w:val="0"/>
        <w:adjustRightInd w:val="0"/>
        <w:spacing w:after="0" w:line="240" w:lineRule="auto"/>
        <w:rPr>
          <w:rFonts w:asciiTheme="majorHAnsi" w:hAnsiTheme="majorHAnsi" w:cstheme="minorHAnsi"/>
        </w:rPr>
      </w:pPr>
      <w:r w:rsidRPr="00DF70B4">
        <w:rPr>
          <w:rFonts w:asciiTheme="majorHAnsi" w:hAnsiTheme="majorHAnsi" w:cstheme="minorHAnsi"/>
        </w:rPr>
        <w:t xml:space="preserve">Table 3 lists the adverse </w:t>
      </w:r>
      <w:r w:rsidR="00B129F9" w:rsidRPr="001E4550">
        <w:rPr>
          <w:rFonts w:asciiTheme="majorHAnsi" w:hAnsiTheme="majorHAnsi" w:cstheme="minorHAnsi"/>
        </w:rPr>
        <w:t>events</w:t>
      </w:r>
      <w:r w:rsidR="00B129F9" w:rsidRPr="00DF70B4">
        <w:rPr>
          <w:rFonts w:asciiTheme="majorHAnsi" w:hAnsiTheme="majorHAnsi" w:cstheme="minorHAnsi"/>
        </w:rPr>
        <w:t xml:space="preserve"> </w:t>
      </w:r>
      <w:r w:rsidRPr="00DF70B4">
        <w:rPr>
          <w:rFonts w:asciiTheme="majorHAnsi" w:hAnsiTheme="majorHAnsi" w:cstheme="minorHAnsi"/>
        </w:rPr>
        <w:t xml:space="preserve">that occurred in at least 5% or greater of </w:t>
      </w:r>
      <w:r w:rsidR="003D6386" w:rsidRPr="00DF70B4">
        <w:rPr>
          <w:rFonts w:asciiTheme="majorHAnsi" w:hAnsiTheme="majorHAnsi" w:cstheme="minorHAnsi"/>
        </w:rPr>
        <w:t>DD-</w:t>
      </w:r>
      <w:r w:rsidRPr="00DF70B4">
        <w:rPr>
          <w:rFonts w:asciiTheme="majorHAnsi" w:hAnsiTheme="majorHAnsi" w:cstheme="minorHAnsi"/>
        </w:rPr>
        <w:t>CKD patients.</w:t>
      </w:r>
    </w:p>
    <w:p w14:paraId="152C0C06" w14:textId="55D6120D" w:rsidR="008136A8" w:rsidRPr="001E4550" w:rsidRDefault="008136A8">
      <w:pPr>
        <w:autoSpaceDE w:val="0"/>
        <w:autoSpaceDN w:val="0"/>
        <w:adjustRightInd w:val="0"/>
        <w:spacing w:after="0" w:line="240" w:lineRule="auto"/>
        <w:rPr>
          <w:rFonts w:asciiTheme="majorHAnsi" w:eastAsiaTheme="majorEastAsia" w:hAnsiTheme="majorHAnsi" w:cstheme="majorBidi"/>
          <w:b/>
          <w:bCs/>
        </w:rPr>
      </w:pPr>
    </w:p>
    <w:p w14:paraId="107F6EB1" w14:textId="0EF37055" w:rsidR="00B4363A" w:rsidRPr="001E4550" w:rsidRDefault="6982D199" w:rsidP="6982D199">
      <w:pPr>
        <w:autoSpaceDE w:val="0"/>
        <w:autoSpaceDN w:val="0"/>
        <w:adjustRightInd w:val="0"/>
        <w:spacing w:line="240" w:lineRule="auto"/>
        <w:rPr>
          <w:rFonts w:asciiTheme="majorHAnsi" w:eastAsiaTheme="majorEastAsia" w:hAnsiTheme="majorHAnsi" w:cstheme="majorBidi"/>
          <w:b/>
          <w:bCs/>
        </w:rPr>
      </w:pPr>
      <w:r w:rsidRPr="00DF70B4">
        <w:rPr>
          <w:rFonts w:asciiTheme="majorHAnsi" w:eastAsiaTheme="majorEastAsia" w:hAnsiTheme="majorHAnsi" w:cstheme="majorBidi"/>
          <w:b/>
        </w:rPr>
        <w:t xml:space="preserve">Table 3: </w:t>
      </w:r>
      <w:r w:rsidRPr="001E4550">
        <w:rPr>
          <w:rFonts w:asciiTheme="majorHAnsi" w:eastAsiaTheme="majorEastAsia" w:hAnsiTheme="majorHAnsi" w:cstheme="majorBidi"/>
          <w:b/>
          <w:bCs/>
        </w:rPr>
        <w:t xml:space="preserve">Adverse </w:t>
      </w:r>
      <w:r w:rsidR="00B129F9" w:rsidRPr="001E4550">
        <w:rPr>
          <w:rFonts w:asciiTheme="majorHAnsi" w:eastAsiaTheme="majorEastAsia" w:hAnsiTheme="majorHAnsi" w:cstheme="majorBidi"/>
          <w:b/>
          <w:bCs/>
        </w:rPr>
        <w:t xml:space="preserve">events </w:t>
      </w:r>
      <w:r w:rsidRPr="001E4550">
        <w:rPr>
          <w:rFonts w:asciiTheme="majorHAnsi" w:eastAsiaTheme="majorEastAsia" w:hAnsiTheme="majorHAnsi" w:cstheme="majorBidi"/>
          <w:b/>
          <w:bCs/>
        </w:rPr>
        <w:t xml:space="preserve">occurring in ≥ 5% of </w:t>
      </w:r>
      <w:r w:rsidR="00520789" w:rsidRPr="001E4550">
        <w:rPr>
          <w:rFonts w:asciiTheme="majorHAnsi" w:eastAsiaTheme="majorEastAsia" w:hAnsiTheme="majorHAnsi" w:cstheme="majorBidi"/>
          <w:b/>
          <w:bCs/>
        </w:rPr>
        <w:t>DD-</w:t>
      </w:r>
      <w:r w:rsidRPr="001E4550">
        <w:rPr>
          <w:rFonts w:asciiTheme="majorHAnsi" w:eastAsiaTheme="majorEastAsia" w:hAnsiTheme="majorHAnsi" w:cstheme="majorBidi"/>
          <w:b/>
          <w:bCs/>
        </w:rPr>
        <w:t>CKD patients</w:t>
      </w:r>
    </w:p>
    <w:tbl>
      <w:tblPr>
        <w:tblStyle w:val="TableGrid"/>
        <w:tblW w:w="0" w:type="auto"/>
        <w:tblInd w:w="-5" w:type="dxa"/>
        <w:tblLook w:val="04A0" w:firstRow="1" w:lastRow="0" w:firstColumn="1" w:lastColumn="0" w:noHBand="0" w:noVBand="1"/>
      </w:tblPr>
      <w:tblGrid>
        <w:gridCol w:w="5651"/>
        <w:gridCol w:w="1881"/>
        <w:gridCol w:w="1470"/>
        <w:gridCol w:w="19"/>
      </w:tblGrid>
      <w:tr w:rsidR="008136A8" w:rsidRPr="001E4550" w14:paraId="4B5E000C" w14:textId="77777777" w:rsidTr="00CF4F62">
        <w:trPr>
          <w:gridAfter w:val="1"/>
          <w:wAfter w:w="19" w:type="dxa"/>
          <w:tblHeader/>
        </w:trPr>
        <w:tc>
          <w:tcPr>
            <w:tcW w:w="5651" w:type="dxa"/>
          </w:tcPr>
          <w:p w14:paraId="155546DE" w14:textId="2C293424" w:rsidR="008136A8" w:rsidRPr="00DF70B4" w:rsidRDefault="007B0D62">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b/>
                <w:bCs/>
              </w:rPr>
              <w:t xml:space="preserve">Adverse </w:t>
            </w:r>
            <w:r w:rsidR="00B129F9" w:rsidRPr="001E4550">
              <w:rPr>
                <w:rFonts w:asciiTheme="majorHAnsi" w:hAnsiTheme="majorHAnsi" w:cs="Times New Roman"/>
                <w:b/>
                <w:bCs/>
              </w:rPr>
              <w:t>event</w:t>
            </w:r>
          </w:p>
        </w:tc>
        <w:tc>
          <w:tcPr>
            <w:tcW w:w="1881" w:type="dxa"/>
          </w:tcPr>
          <w:p w14:paraId="3B9255D3" w14:textId="77777777" w:rsidR="00B4363A" w:rsidRPr="00DF70B4" w:rsidRDefault="00B4363A" w:rsidP="00B4363A">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 xml:space="preserve">Patients </w:t>
            </w:r>
            <w:r w:rsidR="0043367F" w:rsidRPr="001E4550">
              <w:rPr>
                <w:rFonts w:asciiTheme="majorHAnsi" w:hAnsiTheme="majorHAnsi" w:cs="Times New Roman"/>
                <w:b/>
                <w:bCs/>
              </w:rPr>
              <w:t>t</w:t>
            </w:r>
            <w:r w:rsidRPr="001E4550">
              <w:rPr>
                <w:rFonts w:asciiTheme="majorHAnsi" w:hAnsiTheme="majorHAnsi" w:cs="Times New Roman"/>
                <w:b/>
                <w:bCs/>
              </w:rPr>
              <w:t>reated with</w:t>
            </w:r>
          </w:p>
          <w:p w14:paraId="77F3591D" w14:textId="77777777" w:rsidR="00B4363A" w:rsidRPr="00DF70B4" w:rsidRDefault="004B584D" w:rsidP="00B4363A">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vadadustat</w:t>
            </w:r>
          </w:p>
          <w:p w14:paraId="038C6CF2" w14:textId="366ACBAF" w:rsidR="00B4363A" w:rsidRPr="00DF70B4" w:rsidRDefault="00B4363A" w:rsidP="00B4363A">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(N</w:t>
            </w:r>
            <w:r w:rsidR="008127A4" w:rsidRPr="001E4550">
              <w:rPr>
                <w:rFonts w:asciiTheme="majorHAnsi" w:hAnsiTheme="majorHAnsi" w:cs="Times New Roman"/>
                <w:b/>
                <w:bCs/>
                <w:lang w:val="en-AU"/>
              </w:rPr>
              <w:t xml:space="preserve"> </w:t>
            </w:r>
            <w:r w:rsidRPr="001E4550">
              <w:rPr>
                <w:rFonts w:asciiTheme="majorHAnsi" w:hAnsiTheme="majorHAnsi" w:cs="Times New Roman"/>
                <w:b/>
                <w:bCs/>
              </w:rPr>
              <w:t>=</w:t>
            </w:r>
            <w:r w:rsidR="008127A4" w:rsidRPr="001E4550">
              <w:rPr>
                <w:rFonts w:asciiTheme="majorHAnsi" w:hAnsiTheme="majorHAnsi" w:cs="Times New Roman"/>
                <w:b/>
                <w:bCs/>
                <w:lang w:val="en-AU"/>
              </w:rPr>
              <w:t xml:space="preserve"> </w:t>
            </w:r>
            <w:r w:rsidR="00BB4FCB" w:rsidRPr="001E4550">
              <w:rPr>
                <w:rFonts w:asciiTheme="majorHAnsi" w:hAnsiTheme="majorHAnsi" w:cs="Times New Roman"/>
                <w:b/>
                <w:bCs/>
              </w:rPr>
              <w:t>1947</w:t>
            </w:r>
            <w:r w:rsidRPr="001E4550">
              <w:rPr>
                <w:rFonts w:asciiTheme="majorHAnsi" w:hAnsiTheme="majorHAnsi" w:cs="Times New Roman"/>
                <w:b/>
                <w:bCs/>
              </w:rPr>
              <w:t>)</w:t>
            </w:r>
          </w:p>
        </w:tc>
        <w:tc>
          <w:tcPr>
            <w:tcW w:w="1470" w:type="dxa"/>
          </w:tcPr>
          <w:p w14:paraId="20FC3C27" w14:textId="77777777" w:rsidR="00B4363A" w:rsidRPr="00DF70B4" w:rsidRDefault="00B4363A" w:rsidP="00B4363A">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 xml:space="preserve">Patients </w:t>
            </w:r>
            <w:r w:rsidR="0043367F" w:rsidRPr="001E4550">
              <w:rPr>
                <w:rFonts w:asciiTheme="majorHAnsi" w:hAnsiTheme="majorHAnsi" w:cs="Times New Roman"/>
                <w:b/>
                <w:bCs/>
              </w:rPr>
              <w:t>t</w:t>
            </w:r>
            <w:r w:rsidRPr="001E4550">
              <w:rPr>
                <w:rFonts w:asciiTheme="majorHAnsi" w:hAnsiTheme="majorHAnsi" w:cs="Times New Roman"/>
                <w:b/>
                <w:bCs/>
              </w:rPr>
              <w:t>reated with</w:t>
            </w:r>
          </w:p>
          <w:p w14:paraId="079C6008" w14:textId="77777777" w:rsidR="00B4363A" w:rsidRPr="00DF70B4" w:rsidRDefault="00B4363A" w:rsidP="00B4363A">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darbepoetin alfa</w:t>
            </w:r>
          </w:p>
          <w:p w14:paraId="3D3C3F87" w14:textId="4D7693EA" w:rsidR="00B4363A" w:rsidRPr="00DF70B4" w:rsidRDefault="00B4363A" w:rsidP="00B4363A">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 xml:space="preserve">(N = </w:t>
            </w:r>
            <w:r w:rsidR="00BB4FCB" w:rsidRPr="001E4550">
              <w:rPr>
                <w:rFonts w:asciiTheme="majorHAnsi" w:hAnsiTheme="majorHAnsi" w:cs="Times New Roman"/>
                <w:b/>
                <w:bCs/>
              </w:rPr>
              <w:t>1955</w:t>
            </w:r>
            <w:r w:rsidRPr="001E4550">
              <w:rPr>
                <w:rFonts w:asciiTheme="majorHAnsi" w:hAnsiTheme="majorHAnsi" w:cs="Times New Roman"/>
                <w:b/>
                <w:bCs/>
              </w:rPr>
              <w:t>)</w:t>
            </w:r>
          </w:p>
        </w:tc>
      </w:tr>
      <w:tr w:rsidR="008136A8" w:rsidRPr="001E4550" w14:paraId="32C8C451" w14:textId="77777777">
        <w:trPr>
          <w:gridAfter w:val="1"/>
          <w:wAfter w:w="19" w:type="dxa"/>
        </w:trPr>
        <w:tc>
          <w:tcPr>
            <w:tcW w:w="9002" w:type="dxa"/>
            <w:gridSpan w:val="3"/>
          </w:tcPr>
          <w:p w14:paraId="1EE0D7F0" w14:textId="4EC877E6" w:rsidR="008136A8" w:rsidRPr="00DF70B4" w:rsidRDefault="007B0D62">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Vascular disorders</w:t>
            </w:r>
          </w:p>
        </w:tc>
      </w:tr>
      <w:tr w:rsidR="008136A8" w:rsidRPr="001E4550" w14:paraId="51A9166D" w14:textId="77777777">
        <w:trPr>
          <w:gridAfter w:val="1"/>
          <w:wAfter w:w="19" w:type="dxa"/>
        </w:trPr>
        <w:tc>
          <w:tcPr>
            <w:tcW w:w="5651" w:type="dxa"/>
          </w:tcPr>
          <w:p w14:paraId="1F460340" w14:textId="6D44CE50" w:rsidR="008136A8" w:rsidRPr="00DF70B4" w:rsidRDefault="007B0D62">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Hypertension</w:t>
            </w:r>
          </w:p>
        </w:tc>
        <w:tc>
          <w:tcPr>
            <w:tcW w:w="1881" w:type="dxa"/>
          </w:tcPr>
          <w:p w14:paraId="5BF76000" w14:textId="59156507" w:rsidR="008136A8" w:rsidRPr="00DF70B4" w:rsidRDefault="00597C55">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11.1</w:t>
            </w:r>
            <w:r w:rsidR="007B0D62" w:rsidRPr="001E4550">
              <w:rPr>
                <w:rFonts w:asciiTheme="majorHAnsi" w:hAnsiTheme="majorHAnsi" w:cs="Times New Roman"/>
              </w:rPr>
              <w:t>%</w:t>
            </w:r>
          </w:p>
        </w:tc>
        <w:tc>
          <w:tcPr>
            <w:tcW w:w="1470" w:type="dxa"/>
          </w:tcPr>
          <w:p w14:paraId="3C2AD138" w14:textId="24D1A266" w:rsidR="008136A8" w:rsidRPr="00DF70B4" w:rsidRDefault="005007E1">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13.6</w:t>
            </w:r>
            <w:r w:rsidR="007B0D62" w:rsidRPr="001E4550">
              <w:rPr>
                <w:rFonts w:asciiTheme="majorHAnsi" w:hAnsiTheme="majorHAnsi" w:cs="Times New Roman"/>
              </w:rPr>
              <w:t>%</w:t>
            </w:r>
          </w:p>
        </w:tc>
      </w:tr>
      <w:tr w:rsidR="008136A8" w:rsidRPr="001E4550" w14:paraId="52D0F916" w14:textId="77777777">
        <w:trPr>
          <w:gridAfter w:val="1"/>
          <w:wAfter w:w="19" w:type="dxa"/>
        </w:trPr>
        <w:tc>
          <w:tcPr>
            <w:tcW w:w="5651" w:type="dxa"/>
          </w:tcPr>
          <w:p w14:paraId="53E1DBBA" w14:textId="4869371F" w:rsidR="008136A8" w:rsidRPr="00DF70B4" w:rsidRDefault="007B0D62">
            <w:pPr>
              <w:autoSpaceDE w:val="0"/>
              <w:autoSpaceDN w:val="0"/>
              <w:adjustRightInd w:val="0"/>
              <w:rPr>
                <w:rFonts w:asciiTheme="majorHAnsi" w:hAnsiTheme="majorHAnsi" w:cs="Times New Roman"/>
                <w:lang w:val="en-AU"/>
              </w:rPr>
            </w:pPr>
            <w:r w:rsidRPr="001E4550">
              <w:rPr>
                <w:rFonts w:asciiTheme="majorHAnsi" w:hAnsiTheme="majorHAnsi" w:cs="Times New Roman"/>
              </w:rPr>
              <w:t>Hypotension</w:t>
            </w:r>
          </w:p>
        </w:tc>
        <w:tc>
          <w:tcPr>
            <w:tcW w:w="1881" w:type="dxa"/>
          </w:tcPr>
          <w:p w14:paraId="1AB7517A" w14:textId="0F21CE53" w:rsidR="008136A8" w:rsidRPr="00DF70B4" w:rsidRDefault="005007E1">
            <w:pPr>
              <w:autoSpaceDE w:val="0"/>
              <w:autoSpaceDN w:val="0"/>
              <w:adjustRightInd w:val="0"/>
              <w:rPr>
                <w:rFonts w:asciiTheme="majorHAnsi" w:hAnsiTheme="majorHAnsi" w:cs="Times New Roman"/>
                <w:lang w:val="en-AU"/>
              </w:rPr>
            </w:pPr>
            <w:r w:rsidRPr="001E4550">
              <w:rPr>
                <w:rFonts w:asciiTheme="majorHAnsi" w:hAnsiTheme="majorHAnsi" w:cs="Times New Roman"/>
              </w:rPr>
              <w:t>7</w:t>
            </w:r>
            <w:r w:rsidR="007B0D62" w:rsidRPr="001E4550">
              <w:rPr>
                <w:rFonts w:asciiTheme="majorHAnsi" w:hAnsiTheme="majorHAnsi" w:cs="Times New Roman"/>
              </w:rPr>
              <w:t>.9%</w:t>
            </w:r>
          </w:p>
        </w:tc>
        <w:tc>
          <w:tcPr>
            <w:tcW w:w="1470" w:type="dxa"/>
          </w:tcPr>
          <w:p w14:paraId="05BD862C" w14:textId="1EF4FEF3" w:rsidR="008136A8" w:rsidRPr="00DF70B4" w:rsidRDefault="003662CF">
            <w:pPr>
              <w:autoSpaceDE w:val="0"/>
              <w:autoSpaceDN w:val="0"/>
              <w:adjustRightInd w:val="0"/>
              <w:rPr>
                <w:rFonts w:asciiTheme="majorHAnsi" w:hAnsiTheme="majorHAnsi" w:cs="Times New Roman"/>
                <w:lang w:val="en-AU"/>
              </w:rPr>
            </w:pPr>
            <w:r w:rsidRPr="001E4550">
              <w:rPr>
                <w:rFonts w:asciiTheme="majorHAnsi" w:hAnsiTheme="majorHAnsi" w:cs="Times New Roman"/>
              </w:rPr>
              <w:t>8.0</w:t>
            </w:r>
            <w:r w:rsidR="007B0D62" w:rsidRPr="001E4550">
              <w:rPr>
                <w:rFonts w:asciiTheme="majorHAnsi" w:hAnsiTheme="majorHAnsi" w:cs="Times New Roman"/>
              </w:rPr>
              <w:t>%</w:t>
            </w:r>
          </w:p>
        </w:tc>
      </w:tr>
      <w:tr w:rsidR="008136A8" w:rsidRPr="001E4550" w14:paraId="41CC283C" w14:textId="77777777">
        <w:trPr>
          <w:gridAfter w:val="1"/>
          <w:wAfter w:w="19" w:type="dxa"/>
        </w:trPr>
        <w:tc>
          <w:tcPr>
            <w:tcW w:w="9002" w:type="dxa"/>
            <w:gridSpan w:val="3"/>
          </w:tcPr>
          <w:p w14:paraId="4427B15D" w14:textId="4D12333B" w:rsidR="008136A8" w:rsidRPr="00DF70B4" w:rsidRDefault="007B0D62">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Gastrointestinal disorders</w:t>
            </w:r>
          </w:p>
        </w:tc>
      </w:tr>
      <w:tr w:rsidR="008136A8" w:rsidRPr="001E4550" w14:paraId="27AE1D90" w14:textId="77777777">
        <w:trPr>
          <w:gridAfter w:val="1"/>
          <w:wAfter w:w="19" w:type="dxa"/>
        </w:trPr>
        <w:tc>
          <w:tcPr>
            <w:tcW w:w="5651" w:type="dxa"/>
          </w:tcPr>
          <w:p w14:paraId="15276FDC" w14:textId="3BD1FF40" w:rsidR="008136A8" w:rsidRPr="00DF70B4" w:rsidRDefault="007B0D62">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lastRenderedPageBreak/>
              <w:t>Diarrhoea</w:t>
            </w:r>
          </w:p>
        </w:tc>
        <w:tc>
          <w:tcPr>
            <w:tcW w:w="1881" w:type="dxa"/>
          </w:tcPr>
          <w:p w14:paraId="24FB0E6F" w14:textId="09D92225" w:rsidR="008136A8" w:rsidRPr="00DF70B4" w:rsidRDefault="00EA0AEB">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12.7</w:t>
            </w:r>
            <w:r w:rsidR="007B0D62" w:rsidRPr="001E4550">
              <w:rPr>
                <w:rFonts w:asciiTheme="majorHAnsi" w:hAnsiTheme="majorHAnsi" w:cs="Times New Roman"/>
              </w:rPr>
              <w:t>%</w:t>
            </w:r>
          </w:p>
        </w:tc>
        <w:tc>
          <w:tcPr>
            <w:tcW w:w="1470" w:type="dxa"/>
          </w:tcPr>
          <w:p w14:paraId="4E65850D" w14:textId="0E46B949" w:rsidR="008136A8" w:rsidRPr="00DF70B4" w:rsidRDefault="0049768F">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10.0</w:t>
            </w:r>
            <w:r w:rsidR="007B0D62" w:rsidRPr="001E4550">
              <w:rPr>
                <w:rFonts w:asciiTheme="majorHAnsi" w:hAnsiTheme="majorHAnsi" w:cs="Times New Roman"/>
              </w:rPr>
              <w:t>%</w:t>
            </w:r>
          </w:p>
        </w:tc>
      </w:tr>
      <w:tr w:rsidR="008136A8" w:rsidRPr="001E4550" w14:paraId="1936B756" w14:textId="77777777">
        <w:trPr>
          <w:gridAfter w:val="1"/>
          <w:wAfter w:w="19" w:type="dxa"/>
        </w:trPr>
        <w:tc>
          <w:tcPr>
            <w:tcW w:w="5651" w:type="dxa"/>
          </w:tcPr>
          <w:p w14:paraId="3317B9D1" w14:textId="135086FB" w:rsidR="008136A8" w:rsidRPr="00DF70B4" w:rsidRDefault="007B0D62">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Nausea</w:t>
            </w:r>
          </w:p>
        </w:tc>
        <w:tc>
          <w:tcPr>
            <w:tcW w:w="1881" w:type="dxa"/>
          </w:tcPr>
          <w:p w14:paraId="30404E8F" w14:textId="4A3EEDD3" w:rsidR="008136A8" w:rsidRPr="00DF70B4" w:rsidRDefault="007B0D62">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8.</w:t>
            </w:r>
            <w:r w:rsidR="00EA0AEB" w:rsidRPr="001E4550">
              <w:rPr>
                <w:rFonts w:asciiTheme="majorHAnsi" w:hAnsiTheme="majorHAnsi" w:cs="Times New Roman"/>
              </w:rPr>
              <w:t>4</w:t>
            </w:r>
            <w:r w:rsidRPr="001E4550">
              <w:rPr>
                <w:rFonts w:asciiTheme="majorHAnsi" w:hAnsiTheme="majorHAnsi" w:cs="Times New Roman"/>
              </w:rPr>
              <w:t>%</w:t>
            </w:r>
          </w:p>
        </w:tc>
        <w:tc>
          <w:tcPr>
            <w:tcW w:w="1470" w:type="dxa"/>
          </w:tcPr>
          <w:p w14:paraId="2E12904D" w14:textId="0D019D20" w:rsidR="008136A8" w:rsidRPr="00DF70B4" w:rsidRDefault="007B0D62">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7.5%</w:t>
            </w:r>
          </w:p>
        </w:tc>
      </w:tr>
      <w:tr w:rsidR="008136A8" w:rsidRPr="001E4550" w14:paraId="2C590C12" w14:textId="77777777">
        <w:trPr>
          <w:gridAfter w:val="1"/>
          <w:wAfter w:w="19" w:type="dxa"/>
        </w:trPr>
        <w:tc>
          <w:tcPr>
            <w:tcW w:w="5651" w:type="dxa"/>
          </w:tcPr>
          <w:p w14:paraId="09D91CBB" w14:textId="704F6DE0" w:rsidR="008136A8" w:rsidRPr="00DF70B4" w:rsidRDefault="007B0D62">
            <w:pPr>
              <w:autoSpaceDE w:val="0"/>
              <w:autoSpaceDN w:val="0"/>
              <w:adjustRightInd w:val="0"/>
              <w:rPr>
                <w:rFonts w:asciiTheme="majorHAnsi" w:hAnsiTheme="majorHAnsi" w:cs="Times New Roman"/>
                <w:lang w:val="en-AU"/>
              </w:rPr>
            </w:pPr>
            <w:r w:rsidRPr="001E4550">
              <w:rPr>
                <w:rFonts w:asciiTheme="majorHAnsi" w:hAnsiTheme="majorHAnsi" w:cs="Times New Roman"/>
              </w:rPr>
              <w:t>Vomiting</w:t>
            </w:r>
          </w:p>
        </w:tc>
        <w:tc>
          <w:tcPr>
            <w:tcW w:w="1881" w:type="dxa"/>
          </w:tcPr>
          <w:p w14:paraId="692FE901" w14:textId="6B369C5B" w:rsidR="008136A8" w:rsidRPr="00DF70B4" w:rsidRDefault="007B0D62">
            <w:pPr>
              <w:autoSpaceDE w:val="0"/>
              <w:autoSpaceDN w:val="0"/>
              <w:adjustRightInd w:val="0"/>
              <w:rPr>
                <w:rFonts w:asciiTheme="majorHAnsi" w:hAnsiTheme="majorHAnsi" w:cs="Times New Roman"/>
                <w:lang w:val="en-AU"/>
              </w:rPr>
            </w:pPr>
            <w:r w:rsidRPr="001E4550">
              <w:rPr>
                <w:rFonts w:asciiTheme="majorHAnsi" w:hAnsiTheme="majorHAnsi" w:cs="Times New Roman"/>
              </w:rPr>
              <w:t>6.</w:t>
            </w:r>
            <w:r w:rsidR="00A44C69" w:rsidRPr="001E4550">
              <w:rPr>
                <w:rFonts w:asciiTheme="majorHAnsi" w:hAnsiTheme="majorHAnsi" w:cs="Times New Roman"/>
              </w:rPr>
              <w:t>8</w:t>
            </w:r>
            <w:r w:rsidRPr="001E4550">
              <w:rPr>
                <w:rFonts w:asciiTheme="majorHAnsi" w:hAnsiTheme="majorHAnsi" w:cs="Times New Roman"/>
              </w:rPr>
              <w:t>%</w:t>
            </w:r>
          </w:p>
        </w:tc>
        <w:tc>
          <w:tcPr>
            <w:tcW w:w="1470" w:type="dxa"/>
          </w:tcPr>
          <w:p w14:paraId="6E0AB89B" w14:textId="29192DB2" w:rsidR="008136A8" w:rsidRPr="00DF70B4" w:rsidRDefault="007B0D62">
            <w:pPr>
              <w:autoSpaceDE w:val="0"/>
              <w:autoSpaceDN w:val="0"/>
              <w:adjustRightInd w:val="0"/>
              <w:rPr>
                <w:rFonts w:asciiTheme="majorHAnsi" w:hAnsiTheme="majorHAnsi" w:cs="Times New Roman"/>
                <w:lang w:val="en-AU"/>
              </w:rPr>
            </w:pPr>
            <w:r w:rsidRPr="001E4550">
              <w:rPr>
                <w:rFonts w:asciiTheme="majorHAnsi" w:hAnsiTheme="majorHAnsi" w:cs="Times New Roman"/>
              </w:rPr>
              <w:t>6.</w:t>
            </w:r>
            <w:r w:rsidR="00944128" w:rsidRPr="001E4550">
              <w:rPr>
                <w:rFonts w:asciiTheme="majorHAnsi" w:hAnsiTheme="majorHAnsi" w:cs="Times New Roman"/>
              </w:rPr>
              <w:t>9</w:t>
            </w:r>
            <w:r w:rsidRPr="001E4550">
              <w:rPr>
                <w:rFonts w:asciiTheme="majorHAnsi" w:hAnsiTheme="majorHAnsi" w:cs="Times New Roman"/>
              </w:rPr>
              <w:t>%</w:t>
            </w:r>
          </w:p>
        </w:tc>
      </w:tr>
      <w:tr w:rsidR="00FF2F3E" w:rsidRPr="001E4550" w14:paraId="53B9A7E5" w14:textId="77777777" w:rsidTr="000701BC">
        <w:trPr>
          <w:gridAfter w:val="1"/>
          <w:wAfter w:w="19" w:type="dxa"/>
        </w:trPr>
        <w:tc>
          <w:tcPr>
            <w:tcW w:w="9002" w:type="dxa"/>
            <w:gridSpan w:val="3"/>
          </w:tcPr>
          <w:p w14:paraId="4A3AFAF0" w14:textId="15A76518" w:rsidR="00FF2F3E" w:rsidRPr="00DF70B4" w:rsidRDefault="001A499F">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Cardiac disorders</w:t>
            </w:r>
          </w:p>
        </w:tc>
      </w:tr>
      <w:tr w:rsidR="00FF2F3E" w:rsidRPr="001E4550" w14:paraId="23307114" w14:textId="77777777" w:rsidTr="00DF70B4">
        <w:trPr>
          <w:gridAfter w:val="1"/>
          <w:wAfter w:w="19" w:type="dxa"/>
        </w:trPr>
        <w:tc>
          <w:tcPr>
            <w:tcW w:w="5651" w:type="dxa"/>
          </w:tcPr>
          <w:p w14:paraId="510B6726" w14:textId="6CEEEC8E" w:rsidR="00FF2F3E" w:rsidRPr="00DF70B4" w:rsidRDefault="001A499F">
            <w:pPr>
              <w:autoSpaceDE w:val="0"/>
              <w:autoSpaceDN w:val="0"/>
              <w:adjustRightInd w:val="0"/>
              <w:rPr>
                <w:rFonts w:asciiTheme="majorHAnsi" w:hAnsiTheme="majorHAnsi" w:cs="Times New Roman"/>
                <w:lang w:val="en-AU"/>
              </w:rPr>
            </w:pPr>
            <w:r w:rsidRPr="001E4550">
              <w:rPr>
                <w:rFonts w:asciiTheme="majorHAnsi" w:hAnsiTheme="majorHAnsi" w:cs="Times New Roman"/>
              </w:rPr>
              <w:t>Atrial fibrillation</w:t>
            </w:r>
          </w:p>
        </w:tc>
        <w:tc>
          <w:tcPr>
            <w:tcW w:w="1881" w:type="dxa"/>
          </w:tcPr>
          <w:p w14:paraId="3D810136" w14:textId="388129F7" w:rsidR="00FF2F3E" w:rsidRPr="00DF70B4" w:rsidRDefault="001A499F">
            <w:pPr>
              <w:autoSpaceDE w:val="0"/>
              <w:autoSpaceDN w:val="0"/>
              <w:adjustRightInd w:val="0"/>
              <w:rPr>
                <w:rFonts w:asciiTheme="majorHAnsi" w:hAnsiTheme="majorHAnsi" w:cs="Times New Roman"/>
                <w:lang w:val="en-AU"/>
              </w:rPr>
            </w:pPr>
            <w:r w:rsidRPr="001E4550">
              <w:rPr>
                <w:rFonts w:asciiTheme="majorHAnsi" w:hAnsiTheme="majorHAnsi" w:cs="Times New Roman"/>
              </w:rPr>
              <w:t>3.8%</w:t>
            </w:r>
          </w:p>
        </w:tc>
        <w:tc>
          <w:tcPr>
            <w:tcW w:w="1470" w:type="dxa"/>
          </w:tcPr>
          <w:p w14:paraId="15E23C4F" w14:textId="10559243" w:rsidR="00FF2F3E" w:rsidRPr="00DF70B4" w:rsidRDefault="001A499F">
            <w:pPr>
              <w:autoSpaceDE w:val="0"/>
              <w:autoSpaceDN w:val="0"/>
              <w:adjustRightInd w:val="0"/>
              <w:rPr>
                <w:rFonts w:asciiTheme="majorHAnsi" w:hAnsiTheme="majorHAnsi" w:cs="Times New Roman"/>
                <w:lang w:val="en-AU"/>
              </w:rPr>
            </w:pPr>
            <w:r w:rsidRPr="001E4550">
              <w:rPr>
                <w:rFonts w:asciiTheme="majorHAnsi" w:hAnsiTheme="majorHAnsi" w:cs="Times New Roman"/>
              </w:rPr>
              <w:t>5.2%</w:t>
            </w:r>
          </w:p>
        </w:tc>
      </w:tr>
      <w:tr w:rsidR="00207980" w:rsidRPr="001E4550" w14:paraId="3367E9D4" w14:textId="77777777" w:rsidTr="000701BC">
        <w:trPr>
          <w:gridAfter w:val="1"/>
          <w:wAfter w:w="19" w:type="dxa"/>
        </w:trPr>
        <w:tc>
          <w:tcPr>
            <w:tcW w:w="9002" w:type="dxa"/>
            <w:gridSpan w:val="3"/>
          </w:tcPr>
          <w:p w14:paraId="50ADB790" w14:textId="346D1633" w:rsidR="00207980" w:rsidRPr="00DF70B4" w:rsidRDefault="00207980">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Infections and infestations</w:t>
            </w:r>
          </w:p>
        </w:tc>
      </w:tr>
      <w:tr w:rsidR="00B40C76" w:rsidRPr="001E4550" w14:paraId="1E199EC5" w14:textId="77777777">
        <w:trPr>
          <w:gridAfter w:val="1"/>
          <w:wAfter w:w="19" w:type="dxa"/>
        </w:trPr>
        <w:tc>
          <w:tcPr>
            <w:tcW w:w="5651" w:type="dxa"/>
          </w:tcPr>
          <w:p w14:paraId="0422617E" w14:textId="7DBDA810"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Pneumonia</w:t>
            </w:r>
          </w:p>
        </w:tc>
        <w:tc>
          <w:tcPr>
            <w:tcW w:w="1881" w:type="dxa"/>
          </w:tcPr>
          <w:p w14:paraId="3602DAB8" w14:textId="6FE57B59"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10.7</w:t>
            </w:r>
            <w:r w:rsidRPr="001E4550">
              <w:rPr>
                <w:rFonts w:asciiTheme="majorHAnsi" w:hAnsiTheme="majorHAnsi" w:cs="Times New Roman"/>
                <w:lang w:val="en-AU"/>
              </w:rPr>
              <w:t>%</w:t>
            </w:r>
          </w:p>
        </w:tc>
        <w:tc>
          <w:tcPr>
            <w:tcW w:w="1470" w:type="dxa"/>
          </w:tcPr>
          <w:p w14:paraId="268D844F" w14:textId="51BA0A2E"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9.6</w:t>
            </w:r>
            <w:r w:rsidRPr="001E4550">
              <w:rPr>
                <w:rFonts w:asciiTheme="majorHAnsi" w:hAnsiTheme="majorHAnsi" w:cs="Times New Roman"/>
                <w:lang w:val="en-AU"/>
              </w:rPr>
              <w:t>%</w:t>
            </w:r>
          </w:p>
        </w:tc>
      </w:tr>
      <w:tr w:rsidR="00B40C76" w:rsidRPr="001E4550" w14:paraId="37AF0022" w14:textId="77777777">
        <w:trPr>
          <w:gridAfter w:val="1"/>
          <w:wAfter w:w="19" w:type="dxa"/>
        </w:trPr>
        <w:tc>
          <w:tcPr>
            <w:tcW w:w="5651" w:type="dxa"/>
          </w:tcPr>
          <w:p w14:paraId="02FFEADD" w14:textId="7268B692"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Urinary tract infection</w:t>
            </w:r>
          </w:p>
        </w:tc>
        <w:tc>
          <w:tcPr>
            <w:tcW w:w="1881" w:type="dxa"/>
          </w:tcPr>
          <w:p w14:paraId="2EE1D7C5" w14:textId="3D5901FA"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6.2%</w:t>
            </w:r>
          </w:p>
        </w:tc>
        <w:tc>
          <w:tcPr>
            <w:tcW w:w="1470" w:type="dxa"/>
          </w:tcPr>
          <w:p w14:paraId="291F7A99" w14:textId="165743E1"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6.8%</w:t>
            </w:r>
          </w:p>
        </w:tc>
      </w:tr>
      <w:tr w:rsidR="00B40C76" w:rsidRPr="001E4550" w14:paraId="260AA1B7" w14:textId="77777777">
        <w:trPr>
          <w:gridAfter w:val="1"/>
          <w:wAfter w:w="19" w:type="dxa"/>
        </w:trPr>
        <w:tc>
          <w:tcPr>
            <w:tcW w:w="5651" w:type="dxa"/>
          </w:tcPr>
          <w:p w14:paraId="255AC74D" w14:textId="2EF220F2"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Upper respiratory tract infection</w:t>
            </w:r>
          </w:p>
        </w:tc>
        <w:tc>
          <w:tcPr>
            <w:tcW w:w="1881" w:type="dxa"/>
          </w:tcPr>
          <w:p w14:paraId="269CA42C" w14:textId="0DF2499A"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5.3%</w:t>
            </w:r>
          </w:p>
        </w:tc>
        <w:tc>
          <w:tcPr>
            <w:tcW w:w="1470" w:type="dxa"/>
          </w:tcPr>
          <w:p w14:paraId="62530599" w14:textId="373F9C7A" w:rsidR="00B40C76" w:rsidRPr="00DF70B4" w:rsidRDefault="00B40C76" w:rsidP="00B40C76">
            <w:pPr>
              <w:autoSpaceDE w:val="0"/>
              <w:autoSpaceDN w:val="0"/>
              <w:adjustRightInd w:val="0"/>
              <w:rPr>
                <w:rFonts w:asciiTheme="majorHAnsi" w:hAnsiTheme="majorHAnsi" w:cs="Times New Roman"/>
                <w:lang w:val="en-AU"/>
              </w:rPr>
            </w:pPr>
            <w:r w:rsidRPr="001E4550">
              <w:rPr>
                <w:rFonts w:asciiTheme="majorHAnsi" w:hAnsiTheme="majorHAnsi" w:cs="Times New Roman"/>
              </w:rPr>
              <w:t>6.2%</w:t>
            </w:r>
          </w:p>
        </w:tc>
      </w:tr>
      <w:tr w:rsidR="00D971E3" w:rsidRPr="001E4550" w14:paraId="2D1F45B8" w14:textId="77777777">
        <w:trPr>
          <w:gridAfter w:val="1"/>
          <w:wAfter w:w="19" w:type="dxa"/>
        </w:trPr>
        <w:tc>
          <w:tcPr>
            <w:tcW w:w="5651" w:type="dxa"/>
          </w:tcPr>
          <w:p w14:paraId="4CFEC716" w14:textId="5C21C9A8" w:rsidR="00D971E3" w:rsidRPr="00DF70B4" w:rsidRDefault="00D971E3"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Nasopharyngitis</w:t>
            </w:r>
          </w:p>
        </w:tc>
        <w:tc>
          <w:tcPr>
            <w:tcW w:w="1881" w:type="dxa"/>
          </w:tcPr>
          <w:p w14:paraId="65286990" w14:textId="174215B0" w:rsidR="00D971E3" w:rsidRPr="00DF70B4" w:rsidRDefault="00D971E3"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5.2%</w:t>
            </w:r>
          </w:p>
        </w:tc>
        <w:tc>
          <w:tcPr>
            <w:tcW w:w="1470" w:type="dxa"/>
          </w:tcPr>
          <w:p w14:paraId="5A669998" w14:textId="5D46CABE" w:rsidR="00D971E3" w:rsidRPr="00DF70B4" w:rsidRDefault="00D971E3"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4.7%</w:t>
            </w:r>
          </w:p>
        </w:tc>
      </w:tr>
      <w:tr w:rsidR="0097350D" w:rsidRPr="001E4550" w14:paraId="0B6ACA7F" w14:textId="77777777">
        <w:trPr>
          <w:gridAfter w:val="1"/>
          <w:wAfter w:w="19" w:type="dxa"/>
        </w:trPr>
        <w:tc>
          <w:tcPr>
            <w:tcW w:w="5651" w:type="dxa"/>
          </w:tcPr>
          <w:p w14:paraId="6BF35CE9" w14:textId="72007341" w:rsidR="0097350D" w:rsidRPr="00DF70B4" w:rsidRDefault="0097350D"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Sepsis</w:t>
            </w:r>
          </w:p>
        </w:tc>
        <w:tc>
          <w:tcPr>
            <w:tcW w:w="1881" w:type="dxa"/>
          </w:tcPr>
          <w:p w14:paraId="72405AAA" w14:textId="6BA393A3" w:rsidR="0097350D" w:rsidRPr="00DF70B4" w:rsidRDefault="0097350D"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4.9%</w:t>
            </w:r>
          </w:p>
        </w:tc>
        <w:tc>
          <w:tcPr>
            <w:tcW w:w="1470" w:type="dxa"/>
          </w:tcPr>
          <w:p w14:paraId="29E32E0F" w14:textId="4423A32B" w:rsidR="0097350D" w:rsidRPr="00DF70B4" w:rsidRDefault="00CE366A"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5.6%</w:t>
            </w:r>
          </w:p>
        </w:tc>
      </w:tr>
      <w:tr w:rsidR="00D971E3" w:rsidRPr="001E4550" w14:paraId="756FD404" w14:textId="77777777" w:rsidTr="000701BC">
        <w:trPr>
          <w:gridAfter w:val="1"/>
          <w:wAfter w:w="19" w:type="dxa"/>
        </w:trPr>
        <w:tc>
          <w:tcPr>
            <w:tcW w:w="9002" w:type="dxa"/>
            <w:gridSpan w:val="3"/>
          </w:tcPr>
          <w:p w14:paraId="1D9843DA" w14:textId="76284BC7" w:rsidR="00D971E3" w:rsidRPr="00DF70B4" w:rsidRDefault="00D971E3" w:rsidP="00D971E3">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Injury, poisoning and procedural complications</w:t>
            </w:r>
          </w:p>
        </w:tc>
      </w:tr>
      <w:tr w:rsidR="00603811" w:rsidRPr="001E4550" w14:paraId="7E4DA01A" w14:textId="77777777">
        <w:trPr>
          <w:gridAfter w:val="1"/>
          <w:wAfter w:w="19" w:type="dxa"/>
        </w:trPr>
        <w:tc>
          <w:tcPr>
            <w:tcW w:w="5651" w:type="dxa"/>
          </w:tcPr>
          <w:p w14:paraId="749DA646" w14:textId="10C52964" w:rsidR="00603811" w:rsidRPr="00DF70B4" w:rsidRDefault="00603811" w:rsidP="00603811">
            <w:pPr>
              <w:autoSpaceDE w:val="0"/>
              <w:autoSpaceDN w:val="0"/>
              <w:adjustRightInd w:val="0"/>
              <w:rPr>
                <w:rFonts w:asciiTheme="majorHAnsi" w:hAnsiTheme="majorHAnsi" w:cs="Times New Roman"/>
                <w:lang w:val="en-AU"/>
              </w:rPr>
            </w:pPr>
            <w:r w:rsidRPr="001E4550">
              <w:rPr>
                <w:rFonts w:asciiTheme="majorHAnsi" w:hAnsiTheme="majorHAnsi" w:cs="Times New Roman"/>
              </w:rPr>
              <w:t>Fall</w:t>
            </w:r>
          </w:p>
        </w:tc>
        <w:tc>
          <w:tcPr>
            <w:tcW w:w="1881" w:type="dxa"/>
          </w:tcPr>
          <w:p w14:paraId="5F00C543" w14:textId="76D19819" w:rsidR="00603811" w:rsidRPr="00DF70B4" w:rsidRDefault="00603811" w:rsidP="00603811">
            <w:pPr>
              <w:autoSpaceDE w:val="0"/>
              <w:autoSpaceDN w:val="0"/>
              <w:adjustRightInd w:val="0"/>
              <w:rPr>
                <w:rFonts w:asciiTheme="majorHAnsi" w:hAnsiTheme="majorHAnsi" w:cs="Times New Roman"/>
                <w:lang w:val="en-AU"/>
              </w:rPr>
            </w:pPr>
            <w:r w:rsidRPr="001E4550">
              <w:rPr>
                <w:rFonts w:asciiTheme="majorHAnsi" w:hAnsiTheme="majorHAnsi" w:cs="Times New Roman"/>
              </w:rPr>
              <w:t>8.3%</w:t>
            </w:r>
          </w:p>
        </w:tc>
        <w:tc>
          <w:tcPr>
            <w:tcW w:w="1470" w:type="dxa"/>
          </w:tcPr>
          <w:p w14:paraId="3B9C82AB" w14:textId="61C4EED1" w:rsidR="00603811" w:rsidRPr="00DF70B4" w:rsidRDefault="00603811" w:rsidP="00603811">
            <w:pPr>
              <w:autoSpaceDE w:val="0"/>
              <w:autoSpaceDN w:val="0"/>
              <w:adjustRightInd w:val="0"/>
              <w:rPr>
                <w:rFonts w:asciiTheme="majorHAnsi" w:hAnsiTheme="majorHAnsi" w:cs="Times New Roman"/>
                <w:lang w:val="en-AU"/>
              </w:rPr>
            </w:pPr>
            <w:r w:rsidRPr="001E4550">
              <w:rPr>
                <w:rFonts w:asciiTheme="majorHAnsi" w:hAnsiTheme="majorHAnsi" w:cs="Times New Roman"/>
              </w:rPr>
              <w:t>8.6%</w:t>
            </w:r>
          </w:p>
        </w:tc>
      </w:tr>
      <w:tr w:rsidR="00D971E3" w:rsidRPr="001E4550" w14:paraId="4DA3672B" w14:textId="77777777">
        <w:trPr>
          <w:gridAfter w:val="1"/>
          <w:wAfter w:w="19" w:type="dxa"/>
        </w:trPr>
        <w:tc>
          <w:tcPr>
            <w:tcW w:w="5651" w:type="dxa"/>
          </w:tcPr>
          <w:p w14:paraId="08DAF675" w14:textId="1BD8B8A2" w:rsidR="00D971E3" w:rsidRPr="00DF70B4" w:rsidRDefault="00D971E3"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Arteriovenous fistula thrombosis</w:t>
            </w:r>
          </w:p>
        </w:tc>
        <w:tc>
          <w:tcPr>
            <w:tcW w:w="1881" w:type="dxa"/>
          </w:tcPr>
          <w:p w14:paraId="532D9EA0" w14:textId="54ED6C17" w:rsidR="00D971E3" w:rsidRPr="00DF70B4" w:rsidRDefault="00D971E3"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5.8%</w:t>
            </w:r>
          </w:p>
        </w:tc>
        <w:tc>
          <w:tcPr>
            <w:tcW w:w="1470" w:type="dxa"/>
          </w:tcPr>
          <w:p w14:paraId="182B3BD7" w14:textId="5523B45F" w:rsidR="00D971E3" w:rsidRPr="00DF70B4" w:rsidRDefault="00D971E3" w:rsidP="00D971E3">
            <w:pPr>
              <w:autoSpaceDE w:val="0"/>
              <w:autoSpaceDN w:val="0"/>
              <w:adjustRightInd w:val="0"/>
              <w:rPr>
                <w:rFonts w:asciiTheme="majorHAnsi" w:hAnsiTheme="majorHAnsi" w:cs="Times New Roman"/>
                <w:lang w:val="en-AU"/>
              </w:rPr>
            </w:pPr>
            <w:r w:rsidRPr="001E4550">
              <w:rPr>
                <w:rFonts w:asciiTheme="majorHAnsi" w:hAnsiTheme="majorHAnsi" w:cs="Times New Roman"/>
              </w:rPr>
              <w:t>4.5%</w:t>
            </w:r>
          </w:p>
        </w:tc>
      </w:tr>
      <w:tr w:rsidR="00E34636" w:rsidRPr="001E4550" w14:paraId="35410447" w14:textId="77777777">
        <w:trPr>
          <w:gridAfter w:val="1"/>
          <w:wAfter w:w="19" w:type="dxa"/>
        </w:trPr>
        <w:tc>
          <w:tcPr>
            <w:tcW w:w="5651" w:type="dxa"/>
          </w:tcPr>
          <w:p w14:paraId="210D6919" w14:textId="76039CCD"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Dialysis related complication</w:t>
            </w:r>
          </w:p>
        </w:tc>
        <w:tc>
          <w:tcPr>
            <w:tcW w:w="1881" w:type="dxa"/>
          </w:tcPr>
          <w:p w14:paraId="1A85B90E" w14:textId="03A354A5"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5.4%</w:t>
            </w:r>
          </w:p>
        </w:tc>
        <w:tc>
          <w:tcPr>
            <w:tcW w:w="1470" w:type="dxa"/>
          </w:tcPr>
          <w:p w14:paraId="171900D1" w14:textId="2BF2EE46"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6.8%</w:t>
            </w:r>
          </w:p>
        </w:tc>
      </w:tr>
      <w:tr w:rsidR="00E34636" w:rsidRPr="001E4550" w14:paraId="33A535B6" w14:textId="77777777">
        <w:trPr>
          <w:gridAfter w:val="1"/>
          <w:wAfter w:w="19" w:type="dxa"/>
        </w:trPr>
        <w:tc>
          <w:tcPr>
            <w:tcW w:w="5651" w:type="dxa"/>
          </w:tcPr>
          <w:p w14:paraId="074089CA" w14:textId="7BD3BA4D"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Arteriovenous fistula site complication</w:t>
            </w:r>
          </w:p>
        </w:tc>
        <w:tc>
          <w:tcPr>
            <w:tcW w:w="1881" w:type="dxa"/>
          </w:tcPr>
          <w:p w14:paraId="51F2AF66" w14:textId="21FC3EE0"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5.2%</w:t>
            </w:r>
          </w:p>
        </w:tc>
        <w:tc>
          <w:tcPr>
            <w:tcW w:w="1470" w:type="dxa"/>
          </w:tcPr>
          <w:p w14:paraId="663FAB8D" w14:textId="2823FA51"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6.6%</w:t>
            </w:r>
          </w:p>
        </w:tc>
      </w:tr>
      <w:tr w:rsidR="00E34636" w:rsidRPr="001E4550" w14:paraId="3F397322" w14:textId="77777777">
        <w:trPr>
          <w:gridAfter w:val="1"/>
          <w:wAfter w:w="19" w:type="dxa"/>
        </w:trPr>
        <w:tc>
          <w:tcPr>
            <w:tcW w:w="9002" w:type="dxa"/>
            <w:gridSpan w:val="3"/>
          </w:tcPr>
          <w:p w14:paraId="7F5D7409" w14:textId="5F199B3C" w:rsidR="00E34636" w:rsidRPr="00DF70B4" w:rsidRDefault="00E34636" w:rsidP="00E34636">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Metabolism and nutrition disorders</w:t>
            </w:r>
          </w:p>
        </w:tc>
      </w:tr>
      <w:tr w:rsidR="006B739C" w:rsidRPr="001E4550" w14:paraId="33E3A8F1" w14:textId="77777777" w:rsidTr="004977E6">
        <w:trPr>
          <w:gridAfter w:val="1"/>
          <w:wAfter w:w="19" w:type="dxa"/>
        </w:trPr>
        <w:tc>
          <w:tcPr>
            <w:tcW w:w="5651" w:type="dxa"/>
          </w:tcPr>
          <w:p w14:paraId="51F30623" w14:textId="0C3936FA" w:rsidR="006B739C" w:rsidRPr="00DF70B4" w:rsidRDefault="006B739C" w:rsidP="006B739C">
            <w:pPr>
              <w:autoSpaceDE w:val="0"/>
              <w:autoSpaceDN w:val="0"/>
              <w:adjustRightInd w:val="0"/>
              <w:rPr>
                <w:rFonts w:asciiTheme="majorHAnsi" w:hAnsiTheme="majorHAnsi" w:cs="Times New Roman"/>
                <w:lang w:val="en-AU"/>
              </w:rPr>
            </w:pPr>
            <w:r w:rsidRPr="001E4550">
              <w:rPr>
                <w:rFonts w:asciiTheme="majorHAnsi" w:hAnsiTheme="majorHAnsi" w:cs="Times New Roman"/>
              </w:rPr>
              <w:t>Fluid overload</w:t>
            </w:r>
          </w:p>
        </w:tc>
        <w:tc>
          <w:tcPr>
            <w:tcW w:w="1881" w:type="dxa"/>
          </w:tcPr>
          <w:p w14:paraId="733F6040" w14:textId="09FEBD0F" w:rsidR="006B739C" w:rsidRPr="00DF70B4" w:rsidRDefault="006B739C" w:rsidP="006B739C">
            <w:pPr>
              <w:autoSpaceDE w:val="0"/>
              <w:autoSpaceDN w:val="0"/>
              <w:adjustRightInd w:val="0"/>
              <w:rPr>
                <w:rFonts w:asciiTheme="majorHAnsi" w:hAnsiTheme="majorHAnsi" w:cs="Times New Roman"/>
                <w:lang w:val="en-AU"/>
              </w:rPr>
            </w:pPr>
            <w:r w:rsidRPr="001E4550">
              <w:rPr>
                <w:rFonts w:asciiTheme="majorHAnsi" w:hAnsiTheme="majorHAnsi" w:cs="Times New Roman"/>
              </w:rPr>
              <w:t>8.7%</w:t>
            </w:r>
          </w:p>
        </w:tc>
        <w:tc>
          <w:tcPr>
            <w:tcW w:w="1470" w:type="dxa"/>
          </w:tcPr>
          <w:p w14:paraId="615C7AE6" w14:textId="0CA7B0AF" w:rsidR="006B739C" w:rsidRPr="00DF70B4" w:rsidRDefault="006B739C" w:rsidP="006B739C">
            <w:pPr>
              <w:autoSpaceDE w:val="0"/>
              <w:autoSpaceDN w:val="0"/>
              <w:adjustRightInd w:val="0"/>
              <w:rPr>
                <w:rFonts w:asciiTheme="majorHAnsi" w:hAnsiTheme="majorHAnsi" w:cs="Times New Roman"/>
                <w:lang w:val="en-AU"/>
              </w:rPr>
            </w:pPr>
            <w:r w:rsidRPr="001E4550">
              <w:rPr>
                <w:rFonts w:asciiTheme="majorHAnsi" w:hAnsiTheme="majorHAnsi" w:cs="Times New Roman"/>
              </w:rPr>
              <w:t>9.2%</w:t>
            </w:r>
          </w:p>
        </w:tc>
      </w:tr>
      <w:tr w:rsidR="00E34636" w:rsidRPr="001E4550" w14:paraId="15B05FB5" w14:textId="77777777" w:rsidTr="00DF70B4">
        <w:trPr>
          <w:gridAfter w:val="1"/>
          <w:wAfter w:w="19" w:type="dxa"/>
        </w:trPr>
        <w:tc>
          <w:tcPr>
            <w:tcW w:w="5651" w:type="dxa"/>
          </w:tcPr>
          <w:p w14:paraId="24D089BD" w14:textId="556FAB70" w:rsidR="00E34636" w:rsidRPr="00DF70B4" w:rsidRDefault="00E34636" w:rsidP="00E34636">
            <w:pPr>
              <w:autoSpaceDE w:val="0"/>
              <w:autoSpaceDN w:val="0"/>
              <w:adjustRightInd w:val="0"/>
              <w:rPr>
                <w:rFonts w:asciiTheme="majorHAnsi" w:hAnsiTheme="majorHAnsi" w:cs="Times New Roman"/>
                <w:lang w:val="en-AU"/>
              </w:rPr>
            </w:pPr>
            <w:r w:rsidRPr="00DF70B4">
              <w:rPr>
                <w:rFonts w:asciiTheme="majorHAnsi" w:hAnsiTheme="majorHAnsi" w:cs="Times New Roman"/>
              </w:rPr>
              <w:t>Hyperkalaemia</w:t>
            </w:r>
          </w:p>
        </w:tc>
        <w:tc>
          <w:tcPr>
            <w:tcW w:w="1881" w:type="dxa"/>
          </w:tcPr>
          <w:p w14:paraId="6F40E8BB" w14:textId="0DBCC1D0"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8.6</w:t>
            </w:r>
            <w:r w:rsidRPr="001E4550">
              <w:rPr>
                <w:rFonts w:asciiTheme="majorHAnsi" w:hAnsiTheme="majorHAnsi" w:cs="Times New Roman"/>
                <w:lang w:val="en-AU"/>
              </w:rPr>
              <w:t>%</w:t>
            </w:r>
          </w:p>
        </w:tc>
        <w:tc>
          <w:tcPr>
            <w:tcW w:w="1470" w:type="dxa"/>
          </w:tcPr>
          <w:p w14:paraId="13C55DE9" w14:textId="069EC5A4"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10.3</w:t>
            </w:r>
            <w:r w:rsidRPr="001E4550">
              <w:rPr>
                <w:rFonts w:asciiTheme="majorHAnsi" w:hAnsiTheme="majorHAnsi" w:cs="Times New Roman"/>
                <w:lang w:val="en-AU"/>
              </w:rPr>
              <w:t>%</w:t>
            </w:r>
          </w:p>
        </w:tc>
      </w:tr>
      <w:tr w:rsidR="003A35B2" w:rsidRPr="001E4550" w14:paraId="6B16C111" w14:textId="77777777">
        <w:trPr>
          <w:gridAfter w:val="1"/>
          <w:wAfter w:w="19" w:type="dxa"/>
        </w:trPr>
        <w:tc>
          <w:tcPr>
            <w:tcW w:w="9002" w:type="dxa"/>
            <w:gridSpan w:val="3"/>
          </w:tcPr>
          <w:p w14:paraId="2D853A35" w14:textId="7AC41FE4" w:rsidR="003A35B2" w:rsidRPr="00DF70B4" w:rsidRDefault="003A35B2" w:rsidP="003A35B2">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Musculoskeletal and connective tissue disorders</w:t>
            </w:r>
          </w:p>
        </w:tc>
      </w:tr>
      <w:tr w:rsidR="002D0521" w:rsidRPr="001E4550" w14:paraId="4236CB58" w14:textId="77777777" w:rsidTr="00DF70B4">
        <w:trPr>
          <w:gridAfter w:val="1"/>
          <w:wAfter w:w="19" w:type="dxa"/>
          <w:trHeight w:val="293"/>
        </w:trPr>
        <w:tc>
          <w:tcPr>
            <w:tcW w:w="5651" w:type="dxa"/>
          </w:tcPr>
          <w:p w14:paraId="57000B3B" w14:textId="510860FE" w:rsidR="002D0521" w:rsidRPr="00DF70B4" w:rsidRDefault="002D0521" w:rsidP="002D0521">
            <w:pPr>
              <w:autoSpaceDE w:val="0"/>
              <w:autoSpaceDN w:val="0"/>
              <w:adjustRightInd w:val="0"/>
              <w:rPr>
                <w:rFonts w:asciiTheme="majorHAnsi" w:hAnsiTheme="majorHAnsi" w:cs="Times New Roman"/>
                <w:b/>
                <w:bCs/>
                <w:lang w:val="en-AU"/>
              </w:rPr>
            </w:pPr>
            <w:r w:rsidRPr="001E4550">
              <w:rPr>
                <w:rFonts w:asciiTheme="majorHAnsi" w:hAnsiTheme="majorHAnsi" w:cs="Times New Roman"/>
              </w:rPr>
              <w:t>Pain in extremity</w:t>
            </w:r>
          </w:p>
        </w:tc>
        <w:tc>
          <w:tcPr>
            <w:tcW w:w="1881" w:type="dxa"/>
          </w:tcPr>
          <w:p w14:paraId="37BBB43F" w14:textId="290B4EE2" w:rsidR="002D0521" w:rsidRPr="00DF70B4" w:rsidRDefault="002D0521" w:rsidP="002D0521">
            <w:pPr>
              <w:autoSpaceDE w:val="0"/>
              <w:autoSpaceDN w:val="0"/>
              <w:adjustRightInd w:val="0"/>
              <w:rPr>
                <w:rFonts w:asciiTheme="majorHAnsi" w:hAnsiTheme="majorHAnsi" w:cs="Times New Roman"/>
                <w:b/>
                <w:bCs/>
                <w:lang w:val="en-AU"/>
              </w:rPr>
            </w:pPr>
            <w:r w:rsidRPr="001E4550">
              <w:rPr>
                <w:rFonts w:asciiTheme="majorHAnsi" w:hAnsiTheme="majorHAnsi" w:cs="Times New Roman"/>
              </w:rPr>
              <w:t>5.1%</w:t>
            </w:r>
          </w:p>
        </w:tc>
        <w:tc>
          <w:tcPr>
            <w:tcW w:w="1470" w:type="dxa"/>
          </w:tcPr>
          <w:p w14:paraId="407E23F9" w14:textId="2D3A1A33" w:rsidR="002D0521" w:rsidRPr="00DF70B4" w:rsidRDefault="002D0521" w:rsidP="002D0521">
            <w:pPr>
              <w:autoSpaceDE w:val="0"/>
              <w:autoSpaceDN w:val="0"/>
              <w:adjustRightInd w:val="0"/>
              <w:rPr>
                <w:rFonts w:asciiTheme="majorHAnsi" w:hAnsiTheme="majorHAnsi" w:cs="Times New Roman"/>
                <w:b/>
                <w:bCs/>
                <w:lang w:val="en-AU"/>
              </w:rPr>
            </w:pPr>
            <w:r w:rsidRPr="001E4550">
              <w:rPr>
                <w:rFonts w:asciiTheme="majorHAnsi" w:hAnsiTheme="majorHAnsi" w:cs="Times New Roman"/>
              </w:rPr>
              <w:t>6.3%</w:t>
            </w:r>
          </w:p>
        </w:tc>
      </w:tr>
      <w:tr w:rsidR="002D0521" w:rsidRPr="001E4550" w14:paraId="61A921F5" w14:textId="77777777" w:rsidTr="00DF70B4">
        <w:trPr>
          <w:gridAfter w:val="1"/>
          <w:wAfter w:w="19" w:type="dxa"/>
          <w:trHeight w:val="293"/>
        </w:trPr>
        <w:tc>
          <w:tcPr>
            <w:tcW w:w="5651" w:type="dxa"/>
          </w:tcPr>
          <w:p w14:paraId="4AE9134F" w14:textId="497DDCB2" w:rsidR="002D0521" w:rsidRPr="00DF70B4" w:rsidRDefault="002D0521" w:rsidP="002D0521">
            <w:pPr>
              <w:autoSpaceDE w:val="0"/>
              <w:autoSpaceDN w:val="0"/>
              <w:adjustRightInd w:val="0"/>
              <w:rPr>
                <w:rFonts w:asciiTheme="majorHAnsi" w:hAnsiTheme="majorHAnsi" w:cs="Times New Roman"/>
                <w:b/>
                <w:bCs/>
                <w:lang w:val="en-AU"/>
              </w:rPr>
            </w:pPr>
            <w:r w:rsidRPr="001E4550">
              <w:rPr>
                <w:rFonts w:asciiTheme="majorHAnsi" w:hAnsiTheme="majorHAnsi" w:cs="Times New Roman"/>
              </w:rPr>
              <w:t>Back pain</w:t>
            </w:r>
          </w:p>
        </w:tc>
        <w:tc>
          <w:tcPr>
            <w:tcW w:w="1881" w:type="dxa"/>
          </w:tcPr>
          <w:p w14:paraId="6A96A8C5" w14:textId="499B3D1F" w:rsidR="002D0521" w:rsidRPr="00DF70B4" w:rsidRDefault="002D0521" w:rsidP="002D0521">
            <w:pPr>
              <w:autoSpaceDE w:val="0"/>
              <w:autoSpaceDN w:val="0"/>
              <w:adjustRightInd w:val="0"/>
              <w:rPr>
                <w:rFonts w:asciiTheme="majorHAnsi" w:hAnsiTheme="majorHAnsi" w:cs="Times New Roman"/>
                <w:b/>
                <w:bCs/>
                <w:lang w:val="en-AU"/>
              </w:rPr>
            </w:pPr>
            <w:r w:rsidRPr="001E4550">
              <w:rPr>
                <w:rFonts w:asciiTheme="majorHAnsi" w:hAnsiTheme="majorHAnsi" w:cs="Times New Roman"/>
              </w:rPr>
              <w:t>4.3%</w:t>
            </w:r>
          </w:p>
        </w:tc>
        <w:tc>
          <w:tcPr>
            <w:tcW w:w="1470" w:type="dxa"/>
          </w:tcPr>
          <w:p w14:paraId="6F6DC846" w14:textId="7573851F" w:rsidR="002D0521" w:rsidRPr="00DF70B4" w:rsidRDefault="002D0521" w:rsidP="002D0521">
            <w:pPr>
              <w:autoSpaceDE w:val="0"/>
              <w:autoSpaceDN w:val="0"/>
              <w:adjustRightInd w:val="0"/>
              <w:rPr>
                <w:rFonts w:asciiTheme="majorHAnsi" w:hAnsiTheme="majorHAnsi" w:cs="Times New Roman"/>
                <w:b/>
                <w:bCs/>
                <w:lang w:val="en-AU"/>
              </w:rPr>
            </w:pPr>
            <w:r w:rsidRPr="001E4550">
              <w:rPr>
                <w:rFonts w:asciiTheme="majorHAnsi" w:hAnsiTheme="majorHAnsi" w:cs="Times New Roman"/>
              </w:rPr>
              <w:t>5.3%</w:t>
            </w:r>
          </w:p>
        </w:tc>
      </w:tr>
      <w:tr w:rsidR="00E34636" w:rsidRPr="001E4550" w14:paraId="440A0E6B" w14:textId="77777777">
        <w:trPr>
          <w:gridAfter w:val="1"/>
          <w:wAfter w:w="19" w:type="dxa"/>
        </w:trPr>
        <w:tc>
          <w:tcPr>
            <w:tcW w:w="9002" w:type="dxa"/>
            <w:gridSpan w:val="3"/>
          </w:tcPr>
          <w:p w14:paraId="74DFAD58" w14:textId="07DF198F" w:rsidR="00E34636" w:rsidRPr="00DF70B4" w:rsidRDefault="00E34636" w:rsidP="00E34636">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Nervous systems disorders</w:t>
            </w:r>
          </w:p>
        </w:tc>
      </w:tr>
      <w:tr w:rsidR="00E34636" w:rsidRPr="001E4550" w14:paraId="2428621B" w14:textId="77777777">
        <w:trPr>
          <w:gridAfter w:val="1"/>
          <w:wAfter w:w="19" w:type="dxa"/>
        </w:trPr>
        <w:tc>
          <w:tcPr>
            <w:tcW w:w="5651" w:type="dxa"/>
          </w:tcPr>
          <w:p w14:paraId="3336550B" w14:textId="0781C8E3" w:rsidR="00E34636" w:rsidRPr="00DF70B4" w:rsidRDefault="00E34636" w:rsidP="00E34636">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Headache</w:t>
            </w:r>
          </w:p>
        </w:tc>
        <w:tc>
          <w:tcPr>
            <w:tcW w:w="1881" w:type="dxa"/>
          </w:tcPr>
          <w:p w14:paraId="466948B5" w14:textId="6361E134" w:rsidR="00E34636" w:rsidRPr="00DF70B4" w:rsidRDefault="00E34636" w:rsidP="00E34636">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8.6%</w:t>
            </w:r>
          </w:p>
        </w:tc>
        <w:tc>
          <w:tcPr>
            <w:tcW w:w="1470" w:type="dxa"/>
          </w:tcPr>
          <w:p w14:paraId="50172D0E" w14:textId="3D09701E" w:rsidR="00E34636" w:rsidRPr="00DF70B4" w:rsidRDefault="00E34636" w:rsidP="00E34636">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7.5%</w:t>
            </w:r>
          </w:p>
        </w:tc>
      </w:tr>
      <w:tr w:rsidR="00E34636" w:rsidRPr="001E4550" w14:paraId="63712080" w14:textId="77777777">
        <w:trPr>
          <w:gridAfter w:val="1"/>
          <w:wAfter w:w="19" w:type="dxa"/>
        </w:trPr>
        <w:tc>
          <w:tcPr>
            <w:tcW w:w="9002" w:type="dxa"/>
            <w:gridSpan w:val="3"/>
          </w:tcPr>
          <w:p w14:paraId="7263383B" w14:textId="572F02E2" w:rsidR="00E34636" w:rsidRPr="00DF70B4" w:rsidRDefault="00E34636" w:rsidP="00E34636">
            <w:pPr>
              <w:autoSpaceDE w:val="0"/>
              <w:autoSpaceDN w:val="0"/>
              <w:adjustRightInd w:val="0"/>
              <w:rPr>
                <w:rFonts w:asciiTheme="majorHAnsi" w:hAnsiTheme="majorHAnsi" w:cs="Times New Roman"/>
                <w:b/>
                <w:bCs/>
                <w:lang w:val="en-AU"/>
              </w:rPr>
            </w:pPr>
            <w:r w:rsidRPr="001E4550">
              <w:rPr>
                <w:rFonts w:asciiTheme="majorHAnsi" w:hAnsiTheme="majorHAnsi" w:cs="Times New Roman"/>
                <w:b/>
                <w:bCs/>
              </w:rPr>
              <w:t>Respiratory, thoracic and mediastinal disorders</w:t>
            </w:r>
          </w:p>
        </w:tc>
      </w:tr>
      <w:tr w:rsidR="00E34636" w:rsidRPr="001E4550" w14:paraId="1959E77D" w14:textId="77777777">
        <w:tc>
          <w:tcPr>
            <w:tcW w:w="5651" w:type="dxa"/>
          </w:tcPr>
          <w:p w14:paraId="2139F603" w14:textId="21749B9B" w:rsidR="00E34636" w:rsidRPr="00DF70B4" w:rsidRDefault="00E34636" w:rsidP="00E34636">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Cough</w:t>
            </w:r>
          </w:p>
        </w:tc>
        <w:tc>
          <w:tcPr>
            <w:tcW w:w="1881" w:type="dxa"/>
          </w:tcPr>
          <w:p w14:paraId="479FA024" w14:textId="2E1EFBC7" w:rsidR="00E34636" w:rsidRPr="00DF70B4" w:rsidRDefault="00E34636" w:rsidP="00E34636">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5.6%</w:t>
            </w:r>
          </w:p>
        </w:tc>
        <w:tc>
          <w:tcPr>
            <w:tcW w:w="1489" w:type="dxa"/>
            <w:gridSpan w:val="2"/>
          </w:tcPr>
          <w:p w14:paraId="51CF50C1" w14:textId="75ADC2B4" w:rsidR="00E34636" w:rsidRPr="00DF70B4" w:rsidRDefault="00E34636" w:rsidP="00E34636">
            <w:pPr>
              <w:autoSpaceDE w:val="0"/>
              <w:autoSpaceDN w:val="0"/>
              <w:adjustRightInd w:val="0"/>
              <w:rPr>
                <w:rFonts w:asciiTheme="majorHAnsi" w:eastAsiaTheme="majorEastAsia" w:hAnsiTheme="majorHAnsi" w:cstheme="majorBidi"/>
                <w:b/>
                <w:bCs/>
                <w:lang w:val="en-AU"/>
              </w:rPr>
            </w:pPr>
            <w:r w:rsidRPr="001E4550">
              <w:rPr>
                <w:rFonts w:asciiTheme="majorHAnsi" w:hAnsiTheme="majorHAnsi" w:cs="Times New Roman"/>
              </w:rPr>
              <w:t>6.4%</w:t>
            </w:r>
          </w:p>
        </w:tc>
      </w:tr>
      <w:tr w:rsidR="00E34636" w:rsidRPr="001E4550" w14:paraId="783CB9A0" w14:textId="77777777">
        <w:tc>
          <w:tcPr>
            <w:tcW w:w="5651" w:type="dxa"/>
          </w:tcPr>
          <w:p w14:paraId="7A3EBEB3" w14:textId="404C3B61"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Dyspnoea</w:t>
            </w:r>
          </w:p>
        </w:tc>
        <w:tc>
          <w:tcPr>
            <w:tcW w:w="1881" w:type="dxa"/>
          </w:tcPr>
          <w:p w14:paraId="5426D4BC" w14:textId="6175A515"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5.4%</w:t>
            </w:r>
          </w:p>
        </w:tc>
        <w:tc>
          <w:tcPr>
            <w:tcW w:w="1489" w:type="dxa"/>
            <w:gridSpan w:val="2"/>
          </w:tcPr>
          <w:p w14:paraId="70BC05F0" w14:textId="7175952A" w:rsidR="00E34636" w:rsidRPr="00DF70B4" w:rsidRDefault="00E34636" w:rsidP="00E34636">
            <w:pPr>
              <w:autoSpaceDE w:val="0"/>
              <w:autoSpaceDN w:val="0"/>
              <w:adjustRightInd w:val="0"/>
              <w:rPr>
                <w:rFonts w:asciiTheme="majorHAnsi" w:hAnsiTheme="majorHAnsi" w:cs="Times New Roman"/>
                <w:lang w:val="en-AU"/>
              </w:rPr>
            </w:pPr>
            <w:r w:rsidRPr="001E4550">
              <w:rPr>
                <w:rFonts w:asciiTheme="majorHAnsi" w:hAnsiTheme="majorHAnsi" w:cs="Times New Roman"/>
              </w:rPr>
              <w:t>6.6%</w:t>
            </w:r>
          </w:p>
        </w:tc>
      </w:tr>
    </w:tbl>
    <w:p w14:paraId="2213D944" w14:textId="6FFA2EAF" w:rsidR="008136A8" w:rsidRPr="00DF70B4" w:rsidRDefault="008136A8">
      <w:pPr>
        <w:spacing w:line="240" w:lineRule="auto"/>
        <w:rPr>
          <w:rFonts w:asciiTheme="majorHAnsi" w:hAnsiTheme="majorHAnsi" w:cstheme="minorHAnsi"/>
          <w:u w:val="single"/>
        </w:rPr>
      </w:pPr>
    </w:p>
    <w:p w14:paraId="2C37134E" w14:textId="2015B75F" w:rsidR="0018413D" w:rsidRPr="00DF70B4" w:rsidRDefault="007B0D62">
      <w:pPr>
        <w:pStyle w:val="Heading4"/>
        <w:rPr>
          <w:rFonts w:cstheme="minorHAnsi"/>
        </w:rPr>
      </w:pPr>
      <w:r w:rsidRPr="00DF70B4">
        <w:t xml:space="preserve">Description of selected </w:t>
      </w:r>
      <w:r w:rsidR="00DB1A67">
        <w:t xml:space="preserve">serious </w:t>
      </w:r>
      <w:r w:rsidRPr="00DF70B4">
        <w:t xml:space="preserve">adverse </w:t>
      </w:r>
      <w:r w:rsidR="00DB1A67">
        <w:t>events</w:t>
      </w:r>
      <w:r w:rsidR="00DB1A67" w:rsidRPr="00DF70B4">
        <w:rPr>
          <w:rFonts w:cstheme="minorHAnsi"/>
        </w:rPr>
        <w:t xml:space="preserve"> </w:t>
      </w:r>
    </w:p>
    <w:p w14:paraId="2C7B70EE" w14:textId="65CF6C33" w:rsidR="008136A8" w:rsidRPr="001E4550" w:rsidDel="0038678A" w:rsidRDefault="007B0D62">
      <w:pPr>
        <w:rPr>
          <w:rFonts w:asciiTheme="majorHAnsi" w:hAnsiTheme="majorHAnsi"/>
          <w:i/>
        </w:rPr>
      </w:pPr>
      <w:r w:rsidRPr="001E4550" w:rsidDel="0038678A">
        <w:rPr>
          <w:rFonts w:asciiTheme="majorHAnsi" w:hAnsiTheme="majorHAnsi"/>
          <w:i/>
        </w:rPr>
        <w:t>Thromboembolic events</w:t>
      </w:r>
    </w:p>
    <w:p w14:paraId="2C0BD823" w14:textId="242BAA90" w:rsidR="008136A8" w:rsidRPr="001E4550" w:rsidDel="0038678A" w:rsidRDefault="007B0D62">
      <w:pPr>
        <w:rPr>
          <w:rFonts w:asciiTheme="majorHAnsi" w:hAnsiTheme="majorHAnsi"/>
        </w:rPr>
      </w:pPr>
      <w:r w:rsidRPr="001E4550" w:rsidDel="0038678A">
        <w:rPr>
          <w:rFonts w:asciiTheme="majorHAnsi" w:hAnsiTheme="majorHAnsi"/>
        </w:rPr>
        <w:t>Cerebrovascular accident events occurred in 0.8% vs 0.9% (0.5 vs 0.5 events/100 PY) in the vadadustat and darbepoetin alfa groups respectively.</w:t>
      </w:r>
    </w:p>
    <w:p w14:paraId="188B717B" w14:textId="50218CFB" w:rsidR="008136A8" w:rsidRPr="001E4550" w:rsidDel="0038678A" w:rsidRDefault="007B0D62">
      <w:pPr>
        <w:rPr>
          <w:rFonts w:asciiTheme="majorHAnsi" w:hAnsiTheme="majorHAnsi"/>
        </w:rPr>
      </w:pPr>
      <w:r w:rsidRPr="001E4550" w:rsidDel="0038678A">
        <w:rPr>
          <w:rFonts w:asciiTheme="majorHAnsi" w:hAnsiTheme="majorHAnsi"/>
        </w:rPr>
        <w:t>Deep vein thrombosis (DVT) events occurred in 0.7% vs 0.5% (0.4 vs 0.3 events/100 PY) in the vadadustat and darbepoetin alfa groups respectively.</w:t>
      </w:r>
    </w:p>
    <w:p w14:paraId="1D9E8F51" w14:textId="1E3E2DA7" w:rsidR="008136A8" w:rsidRPr="001E4550" w:rsidDel="0038678A" w:rsidRDefault="007B0D62">
      <w:pPr>
        <w:rPr>
          <w:rFonts w:asciiTheme="majorHAnsi" w:hAnsiTheme="majorHAnsi"/>
        </w:rPr>
      </w:pPr>
      <w:r w:rsidRPr="001E4550" w:rsidDel="0038678A">
        <w:rPr>
          <w:rFonts w:asciiTheme="majorHAnsi" w:hAnsiTheme="majorHAnsi"/>
        </w:rPr>
        <w:t>Pulmonary embolism events occurred in 0.3% vs 0.5% (0.2 vs 0.3 events/100 PY) in the vadadustat and darbepoetin alfa groups respectively.</w:t>
      </w:r>
    </w:p>
    <w:p w14:paraId="66ECD0DE" w14:textId="4E7535AF" w:rsidR="008136A8" w:rsidRPr="001E4550" w:rsidDel="0038678A" w:rsidRDefault="007B0D62">
      <w:pPr>
        <w:rPr>
          <w:rFonts w:asciiTheme="majorHAnsi" w:hAnsiTheme="majorHAnsi"/>
          <w:iCs/>
        </w:rPr>
      </w:pPr>
      <w:r w:rsidRPr="001E4550" w:rsidDel="0038678A">
        <w:rPr>
          <w:rFonts w:asciiTheme="majorHAnsi" w:hAnsiTheme="majorHAnsi"/>
        </w:rPr>
        <w:t>Transient ischaemic attack events occurred in 0.8% vs 0.4% (0.5 vs 0.3 events/100 PY) in the vadadustat and darbepoetin alfa groups respectively.</w:t>
      </w:r>
    </w:p>
    <w:p w14:paraId="2D6CF9D0" w14:textId="514FD860" w:rsidR="008136A8" w:rsidRPr="001E4550" w:rsidDel="0038678A" w:rsidRDefault="007B0D62">
      <w:pPr>
        <w:rPr>
          <w:rFonts w:asciiTheme="majorHAnsi" w:hAnsiTheme="majorHAnsi"/>
        </w:rPr>
      </w:pPr>
      <w:r w:rsidRPr="001E4550" w:rsidDel="0038678A">
        <w:rPr>
          <w:rFonts w:asciiTheme="majorHAnsi" w:hAnsiTheme="majorHAnsi"/>
        </w:rPr>
        <w:lastRenderedPageBreak/>
        <w:t>Acute MI events occurred in 4.3% vs 4.2% (3.1 vs 2.9 events/100 P.Y) in the vadadustat and darbepoetin alfa groups respectively.</w:t>
      </w:r>
    </w:p>
    <w:p w14:paraId="48B87528" w14:textId="71CA1A64" w:rsidR="008136A8" w:rsidRPr="001E4550" w:rsidDel="0038678A" w:rsidRDefault="007B0D62">
      <w:pPr>
        <w:rPr>
          <w:rFonts w:asciiTheme="majorHAnsi" w:hAnsiTheme="majorHAnsi"/>
        </w:rPr>
      </w:pPr>
      <w:r w:rsidRPr="001E4550" w:rsidDel="0038678A">
        <w:rPr>
          <w:rFonts w:asciiTheme="majorHAnsi" w:hAnsiTheme="majorHAnsi"/>
        </w:rPr>
        <w:t>Arteriovenous graft thrombosis events occurred in 1.1% vs 1.1% (0.9 vs 1.0 events/100 PY) in the vadadustat and darbepoetin alfa groups respectively.</w:t>
      </w:r>
    </w:p>
    <w:p w14:paraId="54086EB3" w14:textId="0BF94729" w:rsidR="008136A8" w:rsidRPr="001E4550" w:rsidDel="0038678A" w:rsidRDefault="007B0D62">
      <w:pPr>
        <w:rPr>
          <w:rFonts w:asciiTheme="majorHAnsi" w:hAnsiTheme="majorHAnsi"/>
        </w:rPr>
      </w:pPr>
      <w:r w:rsidRPr="001E4550" w:rsidDel="0038678A">
        <w:rPr>
          <w:rFonts w:asciiTheme="majorHAnsi" w:hAnsiTheme="majorHAnsi"/>
        </w:rPr>
        <w:t>Arteriovenous fistula thrombosis events occurred in 3.0% vs 2.3% (2.1 vs 1.6 events/100 PY) in the vadadustat and darbepoetin alfa groups respectively.</w:t>
      </w:r>
    </w:p>
    <w:p w14:paraId="118A5571" w14:textId="78C9D05D" w:rsidR="008136A8" w:rsidRPr="001E4550" w:rsidDel="0038678A" w:rsidRDefault="007B0D62">
      <w:pPr>
        <w:rPr>
          <w:rFonts w:asciiTheme="majorHAnsi" w:hAnsiTheme="majorHAnsi"/>
          <w:iCs/>
        </w:rPr>
      </w:pPr>
      <w:r w:rsidRPr="001E4550" w:rsidDel="0038678A">
        <w:rPr>
          <w:rFonts w:asciiTheme="majorHAnsi" w:hAnsiTheme="majorHAnsi"/>
          <w:iCs/>
        </w:rPr>
        <w:t>For information on cardiovascular and mortality risk and thromboembolism please see sections 4.4 Special Warnings and Precautions for Use and 5.1 Pharmacodynamic properties.</w:t>
      </w:r>
    </w:p>
    <w:p w14:paraId="3EEEF550" w14:textId="77777777" w:rsidR="008136A8" w:rsidRPr="001E4550" w:rsidRDefault="008136A8">
      <w:pPr>
        <w:rPr>
          <w:rFonts w:asciiTheme="majorHAnsi" w:hAnsiTheme="majorHAnsi" w:cstheme="minorHAnsi"/>
          <w:i/>
          <w:iCs/>
        </w:rPr>
      </w:pPr>
    </w:p>
    <w:p w14:paraId="6A8B8FF3" w14:textId="7C286AAF" w:rsidR="008136A8" w:rsidRPr="00DF70B4" w:rsidRDefault="007B0D62">
      <w:pPr>
        <w:pStyle w:val="Heading4"/>
        <w:rPr>
          <w:rFonts w:eastAsiaTheme="minorHAnsi" w:cstheme="minorHAnsi"/>
        </w:rPr>
      </w:pPr>
      <w:r w:rsidRPr="00DF70B4">
        <w:t>Des</w:t>
      </w:r>
      <w:r w:rsidRPr="00DF70B4">
        <w:rPr>
          <w:rFonts w:eastAsiaTheme="minorHAnsi" w:cstheme="minorHAnsi"/>
        </w:rPr>
        <w:t xml:space="preserve">cription of adverse </w:t>
      </w:r>
      <w:r w:rsidR="00B129F9" w:rsidRPr="001E4550">
        <w:rPr>
          <w:rFonts w:eastAsiaTheme="minorHAnsi" w:cstheme="minorHAnsi"/>
        </w:rPr>
        <w:t>events</w:t>
      </w:r>
      <w:r w:rsidR="00B129F9" w:rsidRPr="00DF70B4">
        <w:rPr>
          <w:rFonts w:eastAsiaTheme="minorHAnsi" w:cstheme="minorHAnsi"/>
        </w:rPr>
        <w:t xml:space="preserve"> </w:t>
      </w:r>
      <w:r w:rsidRPr="00DF70B4">
        <w:rPr>
          <w:rFonts w:eastAsiaTheme="minorHAnsi" w:cstheme="minorHAnsi"/>
        </w:rPr>
        <w:t>(less than 5%)</w:t>
      </w:r>
    </w:p>
    <w:p w14:paraId="132D76DD" w14:textId="77777777" w:rsidR="008136A8" w:rsidRPr="00DF70B4" w:rsidRDefault="008136A8">
      <w:pPr>
        <w:pStyle w:val="C-BodyText"/>
        <w:spacing w:before="0" w:after="0" w:line="240" w:lineRule="auto"/>
        <w:rPr>
          <w:rFonts w:asciiTheme="majorHAnsi" w:eastAsiaTheme="minorHAnsi" w:hAnsiTheme="majorHAnsi" w:cstheme="minorHAnsi"/>
          <w:sz w:val="22"/>
          <w:szCs w:val="22"/>
          <w:u w:val="single"/>
          <w:lang w:val="en-AU"/>
        </w:rPr>
      </w:pPr>
    </w:p>
    <w:p w14:paraId="57A9E95D" w14:textId="2033AA07" w:rsidR="008136A8" w:rsidRPr="00DF70B4" w:rsidRDefault="007B0D62">
      <w:pPr>
        <w:pStyle w:val="C-BodyText"/>
        <w:spacing w:before="0" w:after="0" w:line="276" w:lineRule="auto"/>
        <w:rPr>
          <w:rFonts w:asciiTheme="majorHAnsi" w:eastAsiaTheme="minorHAnsi" w:hAnsiTheme="majorHAnsi" w:cstheme="minorHAnsi"/>
          <w:i/>
          <w:iCs/>
          <w:sz w:val="22"/>
          <w:szCs w:val="22"/>
          <w:lang w:val="en-AU"/>
        </w:rPr>
      </w:pPr>
      <w:r w:rsidRPr="00DF70B4">
        <w:rPr>
          <w:rFonts w:asciiTheme="majorHAnsi" w:eastAsiaTheme="minorHAnsi" w:hAnsiTheme="majorHAnsi" w:cstheme="minorHAnsi"/>
          <w:i/>
          <w:iCs/>
          <w:sz w:val="22"/>
          <w:szCs w:val="22"/>
          <w:lang w:val="en-AU"/>
        </w:rPr>
        <w:t>Elevated liver enzymes and blood bilirubin increased</w:t>
      </w:r>
    </w:p>
    <w:p w14:paraId="49E8B580" w14:textId="77777777" w:rsidR="008136A8" w:rsidRPr="00DF70B4" w:rsidRDefault="008136A8">
      <w:pPr>
        <w:pStyle w:val="C-BodyText"/>
        <w:spacing w:before="0" w:after="0" w:line="276" w:lineRule="auto"/>
        <w:rPr>
          <w:rFonts w:asciiTheme="majorHAnsi" w:eastAsiaTheme="minorHAnsi" w:hAnsiTheme="majorHAnsi" w:cstheme="minorHAnsi"/>
          <w:i/>
          <w:iCs/>
          <w:sz w:val="22"/>
          <w:szCs w:val="22"/>
          <w:lang w:val="en-AU"/>
        </w:rPr>
      </w:pPr>
    </w:p>
    <w:p w14:paraId="4E0B1A6A" w14:textId="3591BE1A" w:rsidR="000348BA" w:rsidRPr="00DF70B4" w:rsidRDefault="3026E9F1" w:rsidP="000348BA">
      <w:pPr>
        <w:autoSpaceDE w:val="0"/>
        <w:autoSpaceDN w:val="0"/>
        <w:adjustRightInd w:val="0"/>
        <w:rPr>
          <w:rFonts w:asciiTheme="majorHAnsi" w:hAnsiTheme="majorHAnsi"/>
        </w:rPr>
      </w:pPr>
      <w:r w:rsidRPr="00DF70B4">
        <w:rPr>
          <w:rFonts w:asciiTheme="majorHAnsi" w:hAnsiTheme="majorHAnsi"/>
        </w:rPr>
        <w:t xml:space="preserve">Hepatocellular injury attributed to </w:t>
      </w:r>
      <w:r w:rsidR="00AA2702" w:rsidRPr="00DF70B4">
        <w:rPr>
          <w:rFonts w:asciiTheme="majorHAnsi" w:hAnsiTheme="majorHAnsi"/>
        </w:rPr>
        <w:t>vadadustat</w:t>
      </w:r>
      <w:r w:rsidRPr="00DF70B4">
        <w:rPr>
          <w:rFonts w:asciiTheme="majorHAnsi" w:hAnsiTheme="majorHAnsi"/>
        </w:rPr>
        <w:t xml:space="preserve"> was uncommonly reported </w:t>
      </w:r>
      <w:r w:rsidR="009428D9" w:rsidRPr="00DF70B4">
        <w:rPr>
          <w:rFonts w:asciiTheme="majorHAnsi" w:hAnsiTheme="majorHAnsi"/>
        </w:rPr>
        <w:t xml:space="preserve">for the </w:t>
      </w:r>
      <w:r w:rsidR="00803667">
        <w:rPr>
          <w:rFonts w:asciiTheme="majorHAnsi" w:hAnsiTheme="majorHAnsi"/>
        </w:rPr>
        <w:t>DD-CKD</w:t>
      </w:r>
      <w:r w:rsidR="00803667" w:rsidRPr="00DF70B4">
        <w:rPr>
          <w:rFonts w:asciiTheme="majorHAnsi" w:hAnsiTheme="majorHAnsi"/>
        </w:rPr>
        <w:t xml:space="preserve"> </w:t>
      </w:r>
      <w:r w:rsidR="009428D9" w:rsidRPr="00DF70B4">
        <w:rPr>
          <w:rFonts w:asciiTheme="majorHAnsi" w:hAnsiTheme="majorHAnsi"/>
        </w:rPr>
        <w:t xml:space="preserve">population </w:t>
      </w:r>
      <w:r w:rsidRPr="00DF70B4">
        <w:rPr>
          <w:rFonts w:asciiTheme="majorHAnsi" w:hAnsiTheme="majorHAnsi"/>
        </w:rPr>
        <w:t xml:space="preserve">(in less than 0.2% of patients). The majority of events were non-serious and all events were asymptomatic and resolved after discontinuation of </w:t>
      </w:r>
      <w:r w:rsidR="00AA2702" w:rsidRPr="00DF70B4">
        <w:rPr>
          <w:rFonts w:asciiTheme="majorHAnsi" w:hAnsiTheme="majorHAnsi"/>
        </w:rPr>
        <w:t>vadadustat</w:t>
      </w:r>
      <w:r w:rsidRPr="00DF70B4">
        <w:rPr>
          <w:rFonts w:asciiTheme="majorHAnsi" w:hAnsiTheme="majorHAnsi"/>
        </w:rPr>
        <w:t xml:space="preserve">. The time to onset was generally within the first 3 months of treatment. </w:t>
      </w:r>
      <w:r w:rsidR="000348BA" w:rsidRPr="00DF70B4" w:rsidDel="00163E11">
        <w:rPr>
          <w:rFonts w:asciiTheme="majorHAnsi" w:hAnsiTheme="majorHAnsi"/>
        </w:rPr>
        <w:t>Abnormal liver enzymes tests: elevated serum ALT (3x ULN), AST (3x ULN), and bilirubin (2x ULN) were seen in 1.8%, 1.</w:t>
      </w:r>
      <w:r w:rsidR="00F201FE" w:rsidRPr="00DF70B4">
        <w:rPr>
          <w:rFonts w:asciiTheme="majorHAnsi" w:hAnsiTheme="majorHAnsi"/>
        </w:rPr>
        <w:t>4</w:t>
      </w:r>
      <w:r w:rsidR="000348BA" w:rsidRPr="00DF70B4" w:rsidDel="00163E11">
        <w:rPr>
          <w:rFonts w:asciiTheme="majorHAnsi" w:hAnsiTheme="majorHAnsi"/>
        </w:rPr>
        <w:t>% and 0.</w:t>
      </w:r>
      <w:r w:rsidR="00966974" w:rsidRPr="00DF70B4">
        <w:rPr>
          <w:rFonts w:asciiTheme="majorHAnsi" w:hAnsiTheme="majorHAnsi"/>
        </w:rPr>
        <w:t>3</w:t>
      </w:r>
      <w:r w:rsidR="000348BA" w:rsidRPr="00DF70B4" w:rsidDel="00163E11">
        <w:rPr>
          <w:rFonts w:asciiTheme="majorHAnsi" w:hAnsiTheme="majorHAnsi"/>
        </w:rPr>
        <w:t>% of</w:t>
      </w:r>
      <w:r w:rsidR="00B3412B" w:rsidRPr="001E4550">
        <w:rPr>
          <w:rFonts w:asciiTheme="majorHAnsi" w:hAnsiTheme="majorHAnsi"/>
        </w:rPr>
        <w:t xml:space="preserve"> </w:t>
      </w:r>
      <w:r w:rsidR="0008369B" w:rsidRPr="001E4550">
        <w:rPr>
          <w:rFonts w:asciiTheme="majorHAnsi" w:hAnsiTheme="majorHAnsi"/>
        </w:rPr>
        <w:t>DD-</w:t>
      </w:r>
      <w:r w:rsidR="00B3412B" w:rsidRPr="001E4550">
        <w:rPr>
          <w:rFonts w:asciiTheme="majorHAnsi" w:hAnsiTheme="majorHAnsi"/>
        </w:rPr>
        <w:t>CKD</w:t>
      </w:r>
      <w:r w:rsidR="000348BA" w:rsidRPr="00DF70B4" w:rsidDel="00163E11">
        <w:rPr>
          <w:rFonts w:asciiTheme="majorHAnsi" w:hAnsiTheme="majorHAnsi"/>
        </w:rPr>
        <w:t xml:space="preserve"> patients treated with </w:t>
      </w:r>
      <w:r w:rsidR="00A23460" w:rsidRPr="00DF70B4">
        <w:rPr>
          <w:rFonts w:asciiTheme="majorHAnsi" w:hAnsiTheme="majorHAnsi"/>
        </w:rPr>
        <w:t>v</w:t>
      </w:r>
      <w:r w:rsidR="000348BA" w:rsidRPr="00DF70B4" w:rsidDel="00163E11">
        <w:rPr>
          <w:rFonts w:asciiTheme="majorHAnsi" w:hAnsiTheme="majorHAnsi"/>
        </w:rPr>
        <w:t>adadustat, respectively.</w:t>
      </w:r>
    </w:p>
    <w:p w14:paraId="3859CBC1" w14:textId="0A3A454E" w:rsidR="008136A8" w:rsidRPr="00DF70B4" w:rsidRDefault="007B0D62">
      <w:pPr>
        <w:autoSpaceDE w:val="0"/>
        <w:autoSpaceDN w:val="0"/>
        <w:adjustRightInd w:val="0"/>
        <w:rPr>
          <w:rFonts w:asciiTheme="majorHAnsi" w:hAnsiTheme="majorHAnsi"/>
        </w:rPr>
      </w:pPr>
      <w:r w:rsidRPr="00DF70B4">
        <w:rPr>
          <w:rFonts w:asciiTheme="majorHAnsi" w:hAnsiTheme="majorHAnsi"/>
        </w:rPr>
        <w:t>There was one serious adverse event of hepatocellular injury with jaundice in an NDD-CKD clinical trial patient which occurred approximately 8 weeks after initiating vadadustat. This case was multifactorial and resolved after vadadustat and other concomitant medicinal products were discontinued. This single case did not meet Hy’s law criteria due to a significantly elevated alkaline phosphatase (ALP), which preceded the bilirubin elevation, indicating cholestasis as a contributing factor to the elevated bilirubin.</w:t>
      </w:r>
    </w:p>
    <w:p w14:paraId="76A18CD3" w14:textId="1B857B2E" w:rsidR="008136A8" w:rsidRPr="00DF70B4" w:rsidRDefault="008136A8">
      <w:pPr>
        <w:autoSpaceDE w:val="0"/>
        <w:autoSpaceDN w:val="0"/>
        <w:adjustRightInd w:val="0"/>
        <w:rPr>
          <w:rFonts w:asciiTheme="majorHAnsi" w:hAnsiTheme="majorHAnsi"/>
        </w:rPr>
      </w:pPr>
    </w:p>
    <w:p w14:paraId="1679DB91" w14:textId="6A836CBE" w:rsidR="008136A8" w:rsidRPr="00DF70B4" w:rsidRDefault="007B0D62">
      <w:pPr>
        <w:tabs>
          <w:tab w:val="left" w:pos="567"/>
        </w:tabs>
        <w:spacing w:line="260" w:lineRule="exact"/>
        <w:rPr>
          <w:rFonts w:asciiTheme="majorHAnsi" w:eastAsia="Times New Roman" w:hAnsiTheme="majorHAnsi" w:cs="Times New Roman"/>
        </w:rPr>
      </w:pPr>
      <w:r w:rsidRPr="00DF70B4">
        <w:rPr>
          <w:rFonts w:asciiTheme="majorHAnsi" w:eastAsia="Times New Roman" w:hAnsiTheme="majorHAnsi" w:cs="Times New Roman"/>
          <w:i/>
        </w:rPr>
        <w:t xml:space="preserve">Seizures </w:t>
      </w:r>
    </w:p>
    <w:p w14:paraId="59858708" w14:textId="479F98A2" w:rsidR="008136A8" w:rsidRPr="00DF70B4" w:rsidRDefault="00E3302A">
      <w:pPr>
        <w:tabs>
          <w:tab w:val="left" w:pos="567"/>
        </w:tabs>
        <w:rPr>
          <w:rFonts w:asciiTheme="majorHAnsi" w:eastAsia="Times New Roman" w:hAnsiTheme="majorHAnsi" w:cs="Times New Roman"/>
        </w:rPr>
      </w:pPr>
      <w:r w:rsidRPr="00DF70B4">
        <w:rPr>
          <w:rFonts w:asciiTheme="majorHAnsi" w:eastAsia="Times New Roman" w:hAnsiTheme="majorHAnsi" w:cs="Times New Roman"/>
        </w:rPr>
        <w:t>In DD-CKD patients, seizures occurred in 1.</w:t>
      </w:r>
      <w:r w:rsidRPr="00FB2861">
        <w:rPr>
          <w:rFonts w:asciiTheme="majorHAnsi" w:eastAsia="Times New Roman" w:hAnsiTheme="majorHAnsi" w:cs="Times New Roman"/>
          <w:lang w:val="en-GB"/>
        </w:rPr>
        <w:t>6</w:t>
      </w:r>
      <w:r w:rsidRPr="00DF70B4">
        <w:rPr>
          <w:rFonts w:asciiTheme="majorHAnsi" w:eastAsia="Times New Roman" w:hAnsiTheme="majorHAnsi" w:cs="Times New Roman"/>
        </w:rPr>
        <w:t>% (</w:t>
      </w:r>
      <w:r w:rsidRPr="00FB2861">
        <w:rPr>
          <w:rFonts w:asciiTheme="majorHAnsi" w:eastAsia="Times New Roman" w:hAnsiTheme="majorHAnsi" w:cs="Times New Roman"/>
          <w:lang w:val="en-GB"/>
        </w:rPr>
        <w:t xml:space="preserve">1.1 </w:t>
      </w:r>
      <w:r w:rsidRPr="00DF70B4">
        <w:rPr>
          <w:rFonts w:asciiTheme="majorHAnsi" w:eastAsia="Times New Roman" w:hAnsiTheme="majorHAnsi" w:cs="Times New Roman"/>
        </w:rPr>
        <w:t>patients with events per 100 PY of exposure) in the vadadustat group, and 1.</w:t>
      </w:r>
      <w:r w:rsidRPr="00FB2861">
        <w:rPr>
          <w:rFonts w:asciiTheme="majorHAnsi" w:eastAsia="Times New Roman" w:hAnsiTheme="majorHAnsi" w:cs="Times New Roman"/>
          <w:lang w:val="en-GB"/>
        </w:rPr>
        <w:t>6</w:t>
      </w:r>
      <w:r w:rsidRPr="00DF70B4">
        <w:rPr>
          <w:rFonts w:asciiTheme="majorHAnsi" w:eastAsia="Times New Roman" w:hAnsiTheme="majorHAnsi" w:cs="Times New Roman"/>
        </w:rPr>
        <w:t>% (</w:t>
      </w:r>
      <w:r w:rsidRPr="00FB2861">
        <w:rPr>
          <w:rFonts w:asciiTheme="majorHAnsi" w:eastAsia="Times New Roman" w:hAnsiTheme="majorHAnsi" w:cs="Times New Roman"/>
          <w:lang w:val="en-GB"/>
        </w:rPr>
        <w:t xml:space="preserve">1.3 </w:t>
      </w:r>
      <w:r w:rsidRPr="00DF70B4">
        <w:rPr>
          <w:rFonts w:asciiTheme="majorHAnsi" w:eastAsia="Times New Roman" w:hAnsiTheme="majorHAnsi" w:cs="Times New Roman"/>
        </w:rPr>
        <w:t>patients with events per 100 PY of exposure) in the darbepoetin alfa group (see section 4.4 Special warnings and precautions for use).</w:t>
      </w:r>
    </w:p>
    <w:p w14:paraId="5B56D83A" w14:textId="2879393B" w:rsidR="005E4318" w:rsidRPr="00DF70B4" w:rsidRDefault="005E4318">
      <w:pPr>
        <w:tabs>
          <w:tab w:val="left" w:pos="567"/>
        </w:tabs>
        <w:rPr>
          <w:rFonts w:asciiTheme="majorHAnsi" w:eastAsia="Times New Roman" w:hAnsiTheme="majorHAnsi" w:cs="Times New Roman"/>
        </w:rPr>
      </w:pPr>
    </w:p>
    <w:p w14:paraId="2FC0003F" w14:textId="77777777" w:rsidR="008136A8" w:rsidRPr="001E4550" w:rsidRDefault="007B0D62">
      <w:pPr>
        <w:pStyle w:val="Heading3"/>
        <w:spacing w:after="240"/>
      </w:pPr>
      <w:r w:rsidRPr="001E4550">
        <w:t>Reporting suspected adverse effects</w:t>
      </w:r>
    </w:p>
    <w:p w14:paraId="73D62FAC" w14:textId="77777777" w:rsidR="008136A8" w:rsidRPr="00DF70B4" w:rsidRDefault="007B0D62">
      <w:pPr>
        <w:rPr>
          <w:rFonts w:asciiTheme="majorHAnsi" w:hAnsiTheme="majorHAnsi" w:cstheme="minorHAnsi"/>
        </w:rPr>
      </w:pPr>
      <w:r w:rsidRPr="00DF70B4">
        <w:rPr>
          <w:rFonts w:asciiTheme="majorHAnsi" w:hAnsiTheme="majorHAnsi" w:cstheme="minorHAnsi"/>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DF70B4">
          <w:rPr>
            <w:rStyle w:val="Hyperlink"/>
            <w:rFonts w:asciiTheme="majorHAnsi" w:hAnsiTheme="majorHAnsi" w:cstheme="minorHAnsi"/>
          </w:rPr>
          <w:t>www.tga.gov.au/reporting-problems</w:t>
        </w:r>
      </w:hyperlink>
      <w:r w:rsidRPr="00DF70B4">
        <w:rPr>
          <w:rFonts w:asciiTheme="majorHAnsi" w:hAnsiTheme="majorHAnsi" w:cstheme="minorHAnsi"/>
        </w:rPr>
        <w:t>.</w:t>
      </w:r>
    </w:p>
    <w:p w14:paraId="15D115AD" w14:textId="77777777" w:rsidR="008136A8" w:rsidRPr="001E4550" w:rsidRDefault="008136A8"/>
    <w:p w14:paraId="7AEFE1ED" w14:textId="170B4A2D" w:rsidR="008136A8" w:rsidRPr="001E4550" w:rsidRDefault="007B0D62">
      <w:pPr>
        <w:pStyle w:val="Heading2"/>
        <w:keepNext/>
        <w:keepLines/>
        <w:spacing w:before="0" w:after="120"/>
      </w:pPr>
      <w:r w:rsidRPr="001E4550">
        <w:t>Overdose</w:t>
      </w:r>
    </w:p>
    <w:p w14:paraId="27296476" w14:textId="3336AF1B" w:rsidR="008136A8" w:rsidRPr="00DF70B4" w:rsidRDefault="007B0D62">
      <w:pPr>
        <w:rPr>
          <w:rFonts w:asciiTheme="majorHAnsi" w:hAnsiTheme="majorHAnsi"/>
        </w:rPr>
      </w:pPr>
      <w:r w:rsidRPr="00DF70B4">
        <w:rPr>
          <w:rFonts w:asciiTheme="majorHAnsi" w:hAnsiTheme="majorHAnsi"/>
        </w:rPr>
        <w:t xml:space="preserve">Vadadustat overdose may result in extensions of the pharmacologic effects such as increased Hb and secondary </w:t>
      </w:r>
      <w:r w:rsidR="006464FB" w:rsidRPr="001E4550">
        <w:rPr>
          <w:rFonts w:asciiTheme="majorHAnsi" w:hAnsiTheme="majorHAnsi"/>
        </w:rPr>
        <w:t>polycythaemia</w:t>
      </w:r>
      <w:r w:rsidRPr="00DF70B4">
        <w:rPr>
          <w:rFonts w:asciiTheme="majorHAnsi" w:hAnsiTheme="majorHAnsi"/>
        </w:rPr>
        <w:t>. Symptoms of vadadustat overdose should be managed as clinically appropriate (e.g., reduction of Vafseo dose or discontinuation) and careful monitoring and treated as clinically indicated. Approximately 16% of the vadadustat dose is removed by dialysis.</w:t>
      </w:r>
    </w:p>
    <w:p w14:paraId="5FBB3875" w14:textId="77777777" w:rsidR="008136A8" w:rsidRPr="00DF70B4" w:rsidRDefault="007B0D62">
      <w:pPr>
        <w:rPr>
          <w:rFonts w:asciiTheme="majorHAnsi" w:hAnsiTheme="majorHAnsi" w:cstheme="minorHAnsi"/>
        </w:rPr>
      </w:pPr>
      <w:r w:rsidRPr="00DF70B4">
        <w:rPr>
          <w:rFonts w:asciiTheme="majorHAnsi" w:hAnsiTheme="majorHAnsi" w:cstheme="minorHAnsi"/>
        </w:rPr>
        <w:t>For information on the management of overdose, contact the Poisons Information Centre on 13 11 26 (Australia).</w:t>
      </w:r>
    </w:p>
    <w:p w14:paraId="2BC02F79" w14:textId="77777777" w:rsidR="008136A8" w:rsidRPr="001E4550" w:rsidRDefault="008136A8"/>
    <w:p w14:paraId="1E14BA2F" w14:textId="77777777" w:rsidR="008136A8" w:rsidRPr="00DF70B4" w:rsidRDefault="007B0D62">
      <w:pPr>
        <w:pStyle w:val="Heading1"/>
        <w:spacing w:before="0" w:after="120"/>
      </w:pPr>
      <w:r w:rsidRPr="00DF70B4">
        <w:t>Pharmacological properties</w:t>
      </w:r>
    </w:p>
    <w:p w14:paraId="24694C90" w14:textId="14BB5211" w:rsidR="008136A8" w:rsidRPr="001E4550" w:rsidRDefault="007B0D62">
      <w:pPr>
        <w:rPr>
          <w:rFonts w:asciiTheme="majorHAnsi" w:hAnsiTheme="majorHAnsi"/>
        </w:rPr>
      </w:pPr>
      <w:r w:rsidRPr="001E4550">
        <w:rPr>
          <w:rFonts w:asciiTheme="majorHAnsi" w:hAnsiTheme="majorHAnsi"/>
        </w:rPr>
        <w:t xml:space="preserve">Pharmacotherapeutic group: Anti-anaemic preparations, </w:t>
      </w:r>
      <w:r w:rsidR="001A521E" w:rsidRPr="001E4550">
        <w:rPr>
          <w:rFonts w:asciiTheme="majorHAnsi" w:hAnsiTheme="majorHAnsi"/>
        </w:rPr>
        <w:t>o</w:t>
      </w:r>
      <w:r w:rsidR="008A5402" w:rsidRPr="001E4550">
        <w:rPr>
          <w:rFonts w:asciiTheme="majorHAnsi" w:hAnsiTheme="majorHAnsi"/>
        </w:rPr>
        <w:t>ther</w:t>
      </w:r>
      <w:r w:rsidRPr="001E4550">
        <w:rPr>
          <w:rFonts w:asciiTheme="majorHAnsi" w:hAnsiTheme="majorHAnsi"/>
        </w:rPr>
        <w:t xml:space="preserve"> anti-anaemic preparations, B03XA08</w:t>
      </w:r>
    </w:p>
    <w:p w14:paraId="12DAF755" w14:textId="77777777" w:rsidR="008136A8" w:rsidRPr="00DF70B4" w:rsidRDefault="008136A8">
      <w:pPr>
        <w:rPr>
          <w:rFonts w:asciiTheme="majorHAnsi" w:hAnsiTheme="majorHAnsi"/>
        </w:rPr>
      </w:pPr>
    </w:p>
    <w:p w14:paraId="2411BC1B" w14:textId="77777777" w:rsidR="008136A8" w:rsidRPr="00DF70B4" w:rsidRDefault="007B0D62">
      <w:pPr>
        <w:pStyle w:val="Heading2"/>
        <w:spacing w:before="0" w:after="120"/>
      </w:pPr>
      <w:r w:rsidRPr="00DF70B4">
        <w:t xml:space="preserve">Pharmacodynamic properties </w:t>
      </w:r>
    </w:p>
    <w:p w14:paraId="7E1F9047" w14:textId="430A80C3" w:rsidR="008136A8" w:rsidRPr="001E4550" w:rsidRDefault="007B0D62">
      <w:pPr>
        <w:pStyle w:val="Heading3"/>
        <w:spacing w:before="0" w:after="120"/>
      </w:pPr>
      <w:r w:rsidRPr="001E4550">
        <w:t>Mechanism of action</w:t>
      </w:r>
    </w:p>
    <w:p w14:paraId="04FA99A7" w14:textId="4D954EAB" w:rsidR="001D1F0C" w:rsidRPr="00DF70B4" w:rsidRDefault="3026E9F1" w:rsidP="00F52955">
      <w:pPr>
        <w:rPr>
          <w:rFonts w:asciiTheme="majorHAnsi" w:hAnsiTheme="majorHAnsi"/>
        </w:rPr>
      </w:pPr>
      <w:r w:rsidRPr="00DF70B4">
        <w:rPr>
          <w:rFonts w:asciiTheme="majorHAnsi" w:hAnsiTheme="majorHAnsi"/>
        </w:rPr>
        <w:t>Vadadustat is a</w:t>
      </w:r>
      <w:r w:rsidR="007C2F08" w:rsidRPr="00DF70B4">
        <w:rPr>
          <w:rFonts w:asciiTheme="majorHAnsi" w:hAnsiTheme="majorHAnsi"/>
        </w:rPr>
        <w:t>n inhibitor of</w:t>
      </w:r>
      <w:r w:rsidRPr="00DF70B4">
        <w:rPr>
          <w:rFonts w:asciiTheme="majorHAnsi" w:hAnsiTheme="majorHAnsi"/>
        </w:rPr>
        <w:t xml:space="preserve"> hypoxia-inducible factor prolyl-hydroxylase</w:t>
      </w:r>
      <w:r w:rsidR="007C2F08" w:rsidRPr="00DF70B4">
        <w:rPr>
          <w:rFonts w:asciiTheme="majorHAnsi" w:hAnsiTheme="majorHAnsi"/>
        </w:rPr>
        <w:t xml:space="preserve"> (HIF-PH)</w:t>
      </w:r>
      <w:r w:rsidR="0074599F" w:rsidRPr="00DF70B4">
        <w:rPr>
          <w:rFonts w:asciiTheme="majorHAnsi" w:hAnsiTheme="majorHAnsi"/>
        </w:rPr>
        <w:t xml:space="preserve">, a group of enzymes that </w:t>
      </w:r>
      <w:r w:rsidR="003C7C8E" w:rsidRPr="00DF70B4">
        <w:rPr>
          <w:rFonts w:asciiTheme="majorHAnsi" w:hAnsiTheme="majorHAnsi"/>
        </w:rPr>
        <w:t xml:space="preserve">degrade a subunit of hypoxia-inducible factor (HIF) in the presence of oxygen under normal physiological conditions. HIF mediates tissue adaption to low oxygen environments through transcriptional regulation of gene expression. Decreased HIF-PH activity with vadadustat </w:t>
      </w:r>
      <w:r w:rsidRPr="00DF70B4">
        <w:rPr>
          <w:rFonts w:asciiTheme="majorHAnsi" w:hAnsiTheme="majorHAnsi"/>
        </w:rPr>
        <w:t xml:space="preserve">leads to increased cellular levels of </w:t>
      </w:r>
      <w:r w:rsidR="00650DD9" w:rsidRPr="00DF70B4">
        <w:rPr>
          <w:rFonts w:asciiTheme="majorHAnsi" w:hAnsiTheme="majorHAnsi"/>
        </w:rPr>
        <w:t>HIF</w:t>
      </w:r>
      <w:r w:rsidRPr="00DF70B4">
        <w:rPr>
          <w:rFonts w:asciiTheme="majorHAnsi" w:hAnsiTheme="majorHAnsi"/>
        </w:rPr>
        <w:t xml:space="preserve"> thereby stimulating endogenous erythropoietin (EPO) production, increasing iron mobilization and red blood cell production, resulting in</w:t>
      </w:r>
      <w:r w:rsidR="00C30DE3" w:rsidRPr="00DF70B4">
        <w:rPr>
          <w:rFonts w:asciiTheme="majorHAnsi" w:hAnsiTheme="majorHAnsi"/>
        </w:rPr>
        <w:t xml:space="preserve"> a</w:t>
      </w:r>
      <w:r w:rsidRPr="00DF70B4">
        <w:rPr>
          <w:rFonts w:asciiTheme="majorHAnsi" w:hAnsiTheme="majorHAnsi"/>
        </w:rPr>
        <w:t xml:space="preserve"> gradual rate of rise in Hb. </w:t>
      </w:r>
    </w:p>
    <w:p w14:paraId="5C130FB4" w14:textId="77777777" w:rsidR="008136A8" w:rsidRPr="00DF70B4" w:rsidRDefault="008136A8">
      <w:pPr>
        <w:rPr>
          <w:rFonts w:asciiTheme="majorHAnsi" w:hAnsiTheme="majorHAnsi"/>
        </w:rPr>
      </w:pPr>
    </w:p>
    <w:p w14:paraId="5FAB0F6D" w14:textId="77777777" w:rsidR="008136A8" w:rsidRPr="00DF70B4" w:rsidRDefault="007B0D62">
      <w:pPr>
        <w:pStyle w:val="Heading3"/>
        <w:spacing w:before="0" w:after="120"/>
      </w:pPr>
      <w:r w:rsidRPr="00DF70B4">
        <w:t>Pharmacodynamic effects</w:t>
      </w:r>
    </w:p>
    <w:p w14:paraId="7C2827D2" w14:textId="05A8D5B3" w:rsidR="008136A8" w:rsidRPr="00DF70B4" w:rsidRDefault="007B0D62">
      <w:pPr>
        <w:rPr>
          <w:rFonts w:asciiTheme="majorHAnsi" w:hAnsiTheme="majorHAnsi" w:cstheme="minorHAnsi"/>
        </w:rPr>
      </w:pPr>
      <w:r w:rsidRPr="00DF70B4">
        <w:rPr>
          <w:rFonts w:asciiTheme="majorHAnsi" w:hAnsiTheme="majorHAnsi" w:cstheme="minorHAnsi"/>
        </w:rPr>
        <w:t xml:space="preserve">After a single dose of vadadustat (80 mg to 1200 mg) in healthy male subjects, a dose-dependent increase in EPO was observed. </w:t>
      </w:r>
    </w:p>
    <w:p w14:paraId="145B7B78" w14:textId="77777777" w:rsidR="008136A8" w:rsidRPr="00DF70B4" w:rsidRDefault="008136A8">
      <w:pPr>
        <w:rPr>
          <w:rFonts w:asciiTheme="majorHAnsi" w:hAnsiTheme="majorHAnsi" w:cstheme="minorHAnsi"/>
        </w:rPr>
      </w:pPr>
    </w:p>
    <w:p w14:paraId="1C74F6E5" w14:textId="77777777" w:rsidR="008136A8" w:rsidRPr="00DF70B4" w:rsidRDefault="007B0D62">
      <w:pPr>
        <w:pStyle w:val="Heading3"/>
        <w:spacing w:before="0" w:after="120"/>
      </w:pPr>
      <w:r w:rsidRPr="00DF70B4">
        <w:t>Cardiac electrophysiology</w:t>
      </w:r>
    </w:p>
    <w:p w14:paraId="779BF3C6" w14:textId="215483D4" w:rsidR="008136A8" w:rsidRPr="00DF70B4" w:rsidRDefault="007B0D62">
      <w:pPr>
        <w:rPr>
          <w:rFonts w:asciiTheme="majorHAnsi" w:hAnsiTheme="majorHAnsi" w:cstheme="minorHAnsi"/>
        </w:rPr>
      </w:pPr>
      <w:r w:rsidRPr="00DF70B4">
        <w:rPr>
          <w:rFonts w:asciiTheme="majorHAnsi" w:hAnsiTheme="majorHAnsi" w:cstheme="minorHAnsi"/>
        </w:rPr>
        <w:t>Vadadustat did not cause any clinically significant QTc prolongation following a 600 mg and 1200 mg dose.</w:t>
      </w:r>
    </w:p>
    <w:p w14:paraId="2A369F59" w14:textId="77777777" w:rsidR="008136A8" w:rsidRPr="00DF70B4" w:rsidRDefault="008136A8">
      <w:pPr>
        <w:rPr>
          <w:rFonts w:asciiTheme="majorHAnsi" w:hAnsiTheme="majorHAnsi" w:cstheme="minorHAnsi"/>
        </w:rPr>
      </w:pPr>
    </w:p>
    <w:p w14:paraId="1CC3A43A" w14:textId="4FC52D27" w:rsidR="008136A8" w:rsidRPr="00DF70B4" w:rsidRDefault="007B0D62">
      <w:pPr>
        <w:pStyle w:val="Heading3"/>
        <w:spacing w:before="0" w:after="120"/>
      </w:pPr>
      <w:r w:rsidRPr="001E4550">
        <w:lastRenderedPageBreak/>
        <w:t>Clinical</w:t>
      </w:r>
      <w:r w:rsidRPr="00DF70B4">
        <w:t xml:space="preserve"> trials</w:t>
      </w:r>
    </w:p>
    <w:p w14:paraId="6D06E40D" w14:textId="61DED487" w:rsidR="0092133D" w:rsidRPr="00DF70B4" w:rsidRDefault="001D1F0C">
      <w:pPr>
        <w:spacing w:after="240"/>
        <w:rPr>
          <w:rFonts w:asciiTheme="majorHAnsi" w:hAnsiTheme="majorHAnsi" w:cstheme="minorHAnsi"/>
        </w:rPr>
      </w:pPr>
      <w:r w:rsidRPr="001E4550">
        <w:t>T</w:t>
      </w:r>
      <w:r w:rsidRPr="00DF70B4">
        <w:rPr>
          <w:rFonts w:asciiTheme="majorHAnsi" w:hAnsiTheme="majorHAnsi" w:cstheme="minorHAnsi"/>
        </w:rPr>
        <w:t xml:space="preserve">he efficacy and safety of </w:t>
      </w:r>
      <w:r w:rsidR="005D3FB1" w:rsidRPr="00DF70B4">
        <w:rPr>
          <w:rFonts w:asciiTheme="majorHAnsi" w:hAnsiTheme="majorHAnsi" w:cstheme="minorHAnsi"/>
        </w:rPr>
        <w:t>vadadust</w:t>
      </w:r>
      <w:r w:rsidR="00A108E6" w:rsidRPr="00DF70B4">
        <w:rPr>
          <w:rFonts w:asciiTheme="majorHAnsi" w:hAnsiTheme="majorHAnsi" w:cstheme="minorHAnsi"/>
        </w:rPr>
        <w:t>at</w:t>
      </w:r>
      <w:r w:rsidR="005D3FB1" w:rsidRPr="00DF70B4">
        <w:rPr>
          <w:rFonts w:asciiTheme="majorHAnsi" w:hAnsiTheme="majorHAnsi" w:cstheme="minorHAnsi"/>
        </w:rPr>
        <w:t xml:space="preserve"> </w:t>
      </w:r>
      <w:r w:rsidRPr="00DF70B4">
        <w:rPr>
          <w:rFonts w:asciiTheme="majorHAnsi" w:hAnsiTheme="majorHAnsi" w:cstheme="minorHAnsi"/>
        </w:rPr>
        <w:t xml:space="preserve">given once daily for the treatment of anaemia in adult patients with CKD was demonstrated compared to darbepoetin alfa in </w:t>
      </w:r>
      <w:r w:rsidR="006E67E7" w:rsidRPr="00DF70B4">
        <w:rPr>
          <w:rFonts w:asciiTheme="majorHAnsi" w:hAnsiTheme="majorHAnsi" w:cstheme="minorHAnsi"/>
        </w:rPr>
        <w:t xml:space="preserve">two </w:t>
      </w:r>
      <w:r w:rsidRPr="00DF70B4">
        <w:rPr>
          <w:rFonts w:asciiTheme="majorHAnsi" w:hAnsiTheme="majorHAnsi" w:cstheme="minorHAnsi"/>
        </w:rPr>
        <w:t xml:space="preserve">global multi-centre, randomised, active-controlled, non-inferiority, open-label studies </w:t>
      </w:r>
      <w:r w:rsidR="00926D45" w:rsidRPr="00DF70B4">
        <w:rPr>
          <w:rFonts w:asciiTheme="majorHAnsi" w:hAnsiTheme="majorHAnsi" w:cstheme="minorHAnsi"/>
        </w:rPr>
        <w:t>in</w:t>
      </w:r>
      <w:r w:rsidRPr="00DF70B4">
        <w:rPr>
          <w:rFonts w:asciiTheme="majorHAnsi" w:hAnsiTheme="majorHAnsi" w:cstheme="minorHAnsi"/>
        </w:rPr>
        <w:t xml:space="preserve"> DD patients</w:t>
      </w:r>
      <w:r w:rsidR="00687F58" w:rsidRPr="001E4550">
        <w:rPr>
          <w:rFonts w:asciiTheme="majorHAnsi" w:hAnsiTheme="majorHAnsi" w:cstheme="minorHAnsi"/>
        </w:rPr>
        <w:t xml:space="preserve"> (</w:t>
      </w:r>
      <w:r w:rsidR="000806C9" w:rsidRPr="001E4550">
        <w:rPr>
          <w:rFonts w:asciiTheme="majorHAnsi" w:hAnsiTheme="majorHAnsi" w:cstheme="minorHAnsi"/>
        </w:rPr>
        <w:t xml:space="preserve">3923 adult </w:t>
      </w:r>
      <w:r w:rsidR="00022572" w:rsidRPr="001E4550">
        <w:rPr>
          <w:rFonts w:asciiTheme="majorHAnsi" w:hAnsiTheme="majorHAnsi" w:cstheme="minorHAnsi"/>
        </w:rPr>
        <w:t xml:space="preserve">DD-CKD </w:t>
      </w:r>
      <w:r w:rsidR="000806C9" w:rsidRPr="001E4550">
        <w:rPr>
          <w:rFonts w:asciiTheme="majorHAnsi" w:hAnsiTheme="majorHAnsi" w:cstheme="minorHAnsi"/>
        </w:rPr>
        <w:t>patients</w:t>
      </w:r>
      <w:r w:rsidR="00B45D4F" w:rsidRPr="001E4550">
        <w:rPr>
          <w:rFonts w:asciiTheme="majorHAnsi" w:hAnsiTheme="majorHAnsi" w:cstheme="minorHAnsi"/>
        </w:rPr>
        <w:t xml:space="preserve"> were included i</w:t>
      </w:r>
      <w:r w:rsidR="00522D46" w:rsidRPr="001E4550">
        <w:rPr>
          <w:rFonts w:asciiTheme="majorHAnsi" w:hAnsiTheme="majorHAnsi" w:cstheme="minorHAnsi"/>
        </w:rPr>
        <w:t>n these studies</w:t>
      </w:r>
      <w:r w:rsidR="000806C9" w:rsidRPr="001E4550">
        <w:rPr>
          <w:rFonts w:asciiTheme="majorHAnsi" w:hAnsiTheme="majorHAnsi" w:cstheme="minorHAnsi"/>
        </w:rPr>
        <w:t xml:space="preserve"> with 19</w:t>
      </w:r>
      <w:r w:rsidR="00160B50">
        <w:rPr>
          <w:rFonts w:asciiTheme="majorHAnsi" w:hAnsiTheme="majorHAnsi" w:cstheme="minorHAnsi"/>
        </w:rPr>
        <w:t>47</w:t>
      </w:r>
      <w:r w:rsidR="0053696A" w:rsidRPr="001E4550">
        <w:rPr>
          <w:rFonts w:asciiTheme="majorHAnsi" w:hAnsiTheme="majorHAnsi" w:cstheme="minorHAnsi"/>
        </w:rPr>
        <w:t xml:space="preserve"> </w:t>
      </w:r>
      <w:r w:rsidR="00FE7DB5" w:rsidRPr="001E4550">
        <w:rPr>
          <w:rFonts w:asciiTheme="majorHAnsi" w:hAnsiTheme="majorHAnsi" w:cstheme="minorHAnsi"/>
        </w:rPr>
        <w:t>patients</w:t>
      </w:r>
      <w:r w:rsidR="000806C9" w:rsidRPr="001E4550">
        <w:rPr>
          <w:rFonts w:asciiTheme="majorHAnsi" w:hAnsiTheme="majorHAnsi" w:cstheme="minorHAnsi"/>
        </w:rPr>
        <w:t xml:space="preserve"> treated with vadadustat)</w:t>
      </w:r>
      <w:r w:rsidR="00F6590C" w:rsidRPr="00DF70B4">
        <w:rPr>
          <w:rFonts w:asciiTheme="majorHAnsi" w:hAnsiTheme="majorHAnsi" w:cstheme="minorHAnsi"/>
        </w:rPr>
        <w:t>.</w:t>
      </w:r>
    </w:p>
    <w:p w14:paraId="79A83184" w14:textId="1E4B065A" w:rsidR="008136A8" w:rsidRPr="00DF70B4" w:rsidRDefault="001D1F0C">
      <w:pPr>
        <w:spacing w:after="240"/>
        <w:rPr>
          <w:rFonts w:asciiTheme="majorHAnsi" w:hAnsiTheme="majorHAnsi" w:cstheme="minorHAnsi"/>
        </w:rPr>
      </w:pPr>
      <w:bookmarkStart w:id="0" w:name="_Hlk119929806"/>
      <w:r w:rsidRPr="00DF70B4">
        <w:rPr>
          <w:rFonts w:asciiTheme="majorHAnsi" w:hAnsiTheme="majorHAnsi" w:cstheme="minorHAnsi"/>
        </w:rPr>
        <w:t xml:space="preserve">Patients were randomised 1:1 to receive </w:t>
      </w:r>
      <w:r w:rsidR="00810C1F" w:rsidRPr="00DF70B4">
        <w:rPr>
          <w:rFonts w:asciiTheme="majorHAnsi" w:hAnsiTheme="majorHAnsi" w:cstheme="minorHAnsi"/>
        </w:rPr>
        <w:t xml:space="preserve">vadadustat </w:t>
      </w:r>
      <w:r w:rsidRPr="00DF70B4">
        <w:rPr>
          <w:rFonts w:asciiTheme="majorHAnsi" w:hAnsiTheme="majorHAnsi" w:cstheme="minorHAnsi"/>
        </w:rPr>
        <w:t xml:space="preserve">with a starting dose of 300 mg once daily or darbepoetin alfa administered subcutaneously or intravenously as per prescribing information for 52 weeks to assess the efficacy endpoints. </w:t>
      </w:r>
      <w:r w:rsidR="00810C1F" w:rsidRPr="00DF70B4">
        <w:rPr>
          <w:rFonts w:asciiTheme="majorHAnsi" w:hAnsiTheme="majorHAnsi" w:cstheme="minorHAnsi"/>
        </w:rPr>
        <w:t xml:space="preserve">Vadadustat </w:t>
      </w:r>
      <w:r w:rsidRPr="00DF70B4">
        <w:rPr>
          <w:rFonts w:asciiTheme="majorHAnsi" w:hAnsiTheme="majorHAnsi" w:cstheme="minorHAnsi"/>
        </w:rPr>
        <w:t xml:space="preserve">was titrated in increments of 150 mg up to 600 mg to achieve the patient’s Hb target. After 52 weeks, patients </w:t>
      </w:r>
      <w:r w:rsidR="00D82258" w:rsidRPr="00DF70B4">
        <w:rPr>
          <w:rFonts w:asciiTheme="majorHAnsi" w:hAnsiTheme="majorHAnsi" w:cstheme="minorHAnsi"/>
        </w:rPr>
        <w:t xml:space="preserve">were </w:t>
      </w:r>
      <w:r w:rsidRPr="00DF70B4">
        <w:rPr>
          <w:rFonts w:asciiTheme="majorHAnsi" w:hAnsiTheme="majorHAnsi" w:cstheme="minorHAnsi"/>
        </w:rPr>
        <w:t xml:space="preserve">continued study </w:t>
      </w:r>
      <w:r w:rsidR="00B65538" w:rsidRPr="00DF70B4">
        <w:rPr>
          <w:rFonts w:asciiTheme="majorHAnsi" w:hAnsiTheme="majorHAnsi" w:cstheme="minorHAnsi"/>
        </w:rPr>
        <w:t xml:space="preserve">treatment </w:t>
      </w:r>
      <w:r w:rsidRPr="00DF70B4">
        <w:rPr>
          <w:rFonts w:asciiTheme="majorHAnsi" w:hAnsiTheme="majorHAnsi" w:cstheme="minorHAnsi"/>
        </w:rPr>
        <w:t>to assess long-term safety until the event-driven major adverse cardiovascular event (MACE) endpoints were reached. The primary efficacy endpoint for each study was the difference in mean change of Hb from baseline to the primary evaluation period (Weeks 24 to 36). The key secondary efficacy endpoint was the difference in mean change of Hb from baseline to the secondary evaluation period (Weeks 40 to 52). The primary safety endpoint was time to first MACE. MACE was defined as all-cause mortality, non-fatal MI and non-fatal stroke.</w:t>
      </w:r>
      <w:bookmarkEnd w:id="0"/>
    </w:p>
    <w:p w14:paraId="1EC60C72" w14:textId="7B391D7F" w:rsidR="008136A8" w:rsidRPr="00DF70B4" w:rsidRDefault="007B0D62">
      <w:pPr>
        <w:pStyle w:val="Heading4"/>
        <w:spacing w:after="240"/>
        <w:rPr>
          <w:rFonts w:cstheme="minorHAnsi"/>
        </w:rPr>
      </w:pPr>
      <w:r w:rsidRPr="00DF70B4">
        <w:t xml:space="preserve">Treatment of anaemia </w:t>
      </w:r>
    </w:p>
    <w:p w14:paraId="2ED83A2C" w14:textId="420B60ED" w:rsidR="004E3D84" w:rsidRPr="00DF70B4" w:rsidRDefault="004E3D84" w:rsidP="00844C60">
      <w:pPr>
        <w:pStyle w:val="Heading4"/>
        <w:spacing w:after="240"/>
        <w:rPr>
          <w:rFonts w:cstheme="minorHAnsi"/>
        </w:rPr>
      </w:pPr>
      <w:r w:rsidRPr="00DF70B4">
        <w:rPr>
          <w:rFonts w:cstheme="minorHAnsi"/>
          <w:u w:val="none"/>
        </w:rPr>
        <w:t>T</w:t>
      </w:r>
      <w:r w:rsidR="002C63EE" w:rsidRPr="00DF70B4">
        <w:rPr>
          <w:rFonts w:cstheme="minorHAnsi"/>
          <w:u w:val="none"/>
        </w:rPr>
        <w:t>he t</w:t>
      </w:r>
      <w:r w:rsidRPr="00DF70B4">
        <w:rPr>
          <w:rFonts w:cstheme="minorHAnsi"/>
          <w:u w:val="none"/>
        </w:rPr>
        <w:t>wo studies INNO</w:t>
      </w:r>
      <w:r w:rsidRPr="00DF70B4">
        <w:rPr>
          <w:rFonts w:cstheme="minorHAnsi"/>
          <w:u w:val="none"/>
          <w:vertAlign w:val="subscript"/>
        </w:rPr>
        <w:t>2</w:t>
      </w:r>
      <w:r w:rsidRPr="00DF70B4">
        <w:rPr>
          <w:rFonts w:cstheme="minorHAnsi"/>
          <w:u w:val="none"/>
        </w:rPr>
        <w:t>VATE 1 and INNO</w:t>
      </w:r>
      <w:r w:rsidRPr="00DF70B4">
        <w:rPr>
          <w:rFonts w:cstheme="minorHAnsi"/>
          <w:u w:val="none"/>
          <w:vertAlign w:val="subscript"/>
        </w:rPr>
        <w:t>2</w:t>
      </w:r>
      <w:r w:rsidRPr="00DF70B4">
        <w:rPr>
          <w:rFonts w:cstheme="minorHAnsi"/>
          <w:u w:val="none"/>
        </w:rPr>
        <w:t>VATE 2 were conducted in adult DD-CKD patients with baseline Hb values between 8</w:t>
      </w:r>
      <w:r w:rsidR="000B513A" w:rsidRPr="00DF70B4">
        <w:rPr>
          <w:rFonts w:cstheme="minorHAnsi"/>
          <w:u w:val="none"/>
        </w:rPr>
        <w:t>0</w:t>
      </w:r>
      <w:r w:rsidRPr="00DF70B4">
        <w:rPr>
          <w:rFonts w:cstheme="minorHAnsi"/>
          <w:u w:val="none"/>
        </w:rPr>
        <w:t>.0 to 11</w:t>
      </w:r>
      <w:r w:rsidR="000B513A" w:rsidRPr="00DF70B4">
        <w:rPr>
          <w:rFonts w:cstheme="minorHAnsi"/>
          <w:u w:val="none"/>
        </w:rPr>
        <w:t>0</w:t>
      </w:r>
      <w:r w:rsidRPr="00DF70B4">
        <w:rPr>
          <w:rFonts w:cstheme="minorHAnsi"/>
          <w:u w:val="none"/>
        </w:rPr>
        <w:t>.0 g/L in the United States (US) and 9</w:t>
      </w:r>
      <w:r w:rsidR="000B513A" w:rsidRPr="00DF70B4">
        <w:rPr>
          <w:rFonts w:cstheme="minorHAnsi"/>
          <w:u w:val="none"/>
        </w:rPr>
        <w:t>0</w:t>
      </w:r>
      <w:r w:rsidRPr="00DF70B4">
        <w:rPr>
          <w:rFonts w:cstheme="minorHAnsi"/>
          <w:u w:val="none"/>
        </w:rPr>
        <w:t>.0 to 12</w:t>
      </w:r>
      <w:r w:rsidR="000B513A" w:rsidRPr="00DF70B4">
        <w:rPr>
          <w:rFonts w:cstheme="minorHAnsi"/>
          <w:u w:val="none"/>
        </w:rPr>
        <w:t>0</w:t>
      </w:r>
      <w:r w:rsidRPr="00DF70B4">
        <w:rPr>
          <w:rFonts w:cstheme="minorHAnsi"/>
          <w:u w:val="none"/>
        </w:rPr>
        <w:t>.0 g/L outside the US. INNO</w:t>
      </w:r>
      <w:r w:rsidRPr="00DF70B4">
        <w:rPr>
          <w:rFonts w:cstheme="minorHAnsi"/>
          <w:u w:val="none"/>
          <w:vertAlign w:val="subscript"/>
        </w:rPr>
        <w:t>2</w:t>
      </w:r>
      <w:r w:rsidRPr="00DF70B4">
        <w:rPr>
          <w:rFonts w:cstheme="minorHAnsi"/>
          <w:u w:val="none"/>
        </w:rPr>
        <w:t>VATE 1 included patients with incident DD</w:t>
      </w:r>
      <w:r w:rsidRPr="00DF70B4">
        <w:rPr>
          <w:rFonts w:cstheme="minorHAnsi"/>
          <w:u w:val="none"/>
        </w:rPr>
        <w:noBreakHyphen/>
        <w:t>CKD who initiated dialysis within 16 weeks of beginning their trial participation and who were ESA-naive, had limited prior ESA use or were maintained on ESAs. INNO</w:t>
      </w:r>
      <w:r w:rsidRPr="00DF70B4">
        <w:rPr>
          <w:rFonts w:cstheme="minorHAnsi"/>
          <w:u w:val="none"/>
          <w:vertAlign w:val="subscript"/>
        </w:rPr>
        <w:t>2</w:t>
      </w:r>
      <w:r w:rsidRPr="00DF70B4">
        <w:rPr>
          <w:rFonts w:cstheme="minorHAnsi"/>
          <w:u w:val="none"/>
        </w:rPr>
        <w:t xml:space="preserve">VATE 2 included patients on chronic maintenance dialysis for more than 12 weeks who had converted from prior ESA therapy. In both studies, </w:t>
      </w:r>
      <w:r w:rsidR="00F52955" w:rsidRPr="00DF70B4">
        <w:rPr>
          <w:rFonts w:cstheme="minorHAnsi"/>
          <w:u w:val="none"/>
        </w:rPr>
        <w:t>vadadustat</w:t>
      </w:r>
      <w:r w:rsidRPr="00DF70B4">
        <w:rPr>
          <w:rFonts w:cstheme="minorHAnsi"/>
          <w:u w:val="none"/>
        </w:rPr>
        <w:t xml:space="preserve"> was non-inferior to darbepoetin alfa in correcting and maintaining or maintaining Hb levels across geographic-specific target Hb ranges [10</w:t>
      </w:r>
      <w:r w:rsidR="000B513A" w:rsidRPr="00DF70B4">
        <w:rPr>
          <w:rFonts w:cstheme="minorHAnsi"/>
          <w:u w:val="none"/>
        </w:rPr>
        <w:t>0</w:t>
      </w:r>
      <w:r w:rsidRPr="00DF70B4">
        <w:rPr>
          <w:rFonts w:cstheme="minorHAnsi"/>
          <w:u w:val="none"/>
        </w:rPr>
        <w:t>.0 to 11</w:t>
      </w:r>
      <w:r w:rsidR="000B513A" w:rsidRPr="00DF70B4">
        <w:rPr>
          <w:rFonts w:cstheme="minorHAnsi"/>
          <w:u w:val="none"/>
        </w:rPr>
        <w:t>0</w:t>
      </w:r>
      <w:r w:rsidRPr="00DF70B4">
        <w:rPr>
          <w:rFonts w:cstheme="minorHAnsi"/>
          <w:u w:val="none"/>
        </w:rPr>
        <w:t>.0 g/L in the US and 10</w:t>
      </w:r>
      <w:r w:rsidR="000B513A" w:rsidRPr="00DF70B4">
        <w:rPr>
          <w:rFonts w:cstheme="minorHAnsi"/>
          <w:u w:val="none"/>
        </w:rPr>
        <w:t>0</w:t>
      </w:r>
      <w:r w:rsidRPr="00DF70B4">
        <w:rPr>
          <w:rFonts w:cstheme="minorHAnsi"/>
          <w:u w:val="none"/>
        </w:rPr>
        <w:t>.0 to 12</w:t>
      </w:r>
      <w:r w:rsidR="000B513A" w:rsidRPr="00DF70B4">
        <w:rPr>
          <w:rFonts w:cstheme="minorHAnsi"/>
          <w:u w:val="none"/>
        </w:rPr>
        <w:t>0</w:t>
      </w:r>
      <w:r w:rsidRPr="00DF70B4">
        <w:rPr>
          <w:rFonts w:cstheme="minorHAnsi"/>
          <w:u w:val="none"/>
        </w:rPr>
        <w:t xml:space="preserve">.0 g/L in Europe and rest of world (ROW)] at weeks 24 to 36 and weeks 40 to 52 in adult DD-CKD patients with anaemia. Results for the primary and secondary efficacy endpoints are provided in Table </w:t>
      </w:r>
      <w:r w:rsidR="00BC578B" w:rsidRPr="00DF70B4">
        <w:rPr>
          <w:rFonts w:cstheme="minorHAnsi"/>
          <w:u w:val="none"/>
        </w:rPr>
        <w:t>4</w:t>
      </w:r>
      <w:r w:rsidRPr="00DF70B4">
        <w:rPr>
          <w:rFonts w:cstheme="minorHAnsi"/>
          <w:u w:val="none"/>
        </w:rPr>
        <w:t xml:space="preserve">. </w:t>
      </w:r>
      <w:r w:rsidR="0089135F" w:rsidRPr="00DF70B4">
        <w:rPr>
          <w:rFonts w:cstheme="minorHAnsi"/>
          <w:u w:val="none"/>
        </w:rPr>
        <w:t xml:space="preserve">Course of Hb during treatment in individual studies is provided in Figure 1 and Figure 2. </w:t>
      </w:r>
      <w:r w:rsidRPr="00DF70B4">
        <w:rPr>
          <w:rFonts w:cstheme="minorHAnsi"/>
          <w:u w:val="none"/>
        </w:rPr>
        <w:t xml:space="preserve">Examination of age, gender, race and region subgroups did not identify differences in response to </w:t>
      </w:r>
      <w:r w:rsidR="00F52955" w:rsidRPr="00DF70B4">
        <w:rPr>
          <w:rFonts w:cstheme="minorHAnsi"/>
          <w:u w:val="none"/>
        </w:rPr>
        <w:t xml:space="preserve">vadadustat </w:t>
      </w:r>
      <w:r w:rsidRPr="00DF70B4">
        <w:rPr>
          <w:rFonts w:cstheme="minorHAnsi"/>
          <w:u w:val="none"/>
        </w:rPr>
        <w:t>among these subgroups.</w:t>
      </w:r>
    </w:p>
    <w:p w14:paraId="121AE83A" w14:textId="5725DDDC" w:rsidR="008136A8" w:rsidRPr="001E4550" w:rsidRDefault="007B0D62">
      <w:pPr>
        <w:rPr>
          <w:rStyle w:val="normaltextrun"/>
          <w:rFonts w:asciiTheme="majorHAnsi" w:hAnsiTheme="majorHAnsi"/>
          <w:b/>
          <w:bCs/>
          <w:color w:val="000000"/>
          <w:shd w:val="clear" w:color="auto" w:fill="FFFFFF"/>
        </w:rPr>
      </w:pPr>
      <w:r w:rsidRPr="00DF70B4">
        <w:rPr>
          <w:rFonts w:asciiTheme="majorHAnsi" w:hAnsiTheme="majorHAnsi"/>
          <w:b/>
        </w:rPr>
        <w:t xml:space="preserve">Table 4: </w:t>
      </w:r>
      <w:r w:rsidRPr="00DF70B4">
        <w:rPr>
          <w:rStyle w:val="normaltextrun"/>
          <w:rFonts w:asciiTheme="majorHAnsi" w:hAnsiTheme="majorHAnsi"/>
          <w:b/>
          <w:shd w:val="clear" w:color="auto" w:fill="FFFFFF"/>
        </w:rPr>
        <w:t>INNO</w:t>
      </w:r>
      <w:r w:rsidRPr="00DF70B4">
        <w:rPr>
          <w:rStyle w:val="normaltextrun"/>
          <w:rFonts w:asciiTheme="majorHAnsi" w:hAnsiTheme="majorHAnsi"/>
          <w:b/>
          <w:shd w:val="clear" w:color="auto" w:fill="FFFFFF"/>
          <w:vertAlign w:val="subscript"/>
        </w:rPr>
        <w:t>2</w:t>
      </w:r>
      <w:r w:rsidRPr="00DF70B4">
        <w:rPr>
          <w:rStyle w:val="normaltextrun"/>
          <w:rFonts w:asciiTheme="majorHAnsi" w:hAnsiTheme="majorHAnsi"/>
          <w:b/>
          <w:shd w:val="clear" w:color="auto" w:fill="FFFFFF"/>
        </w:rPr>
        <w:t xml:space="preserve">VATE </w:t>
      </w:r>
      <w:r w:rsidRPr="001E4550">
        <w:rPr>
          <w:rStyle w:val="normaltextrun"/>
          <w:rFonts w:asciiTheme="majorHAnsi" w:hAnsiTheme="majorHAnsi"/>
          <w:b/>
          <w:bCs/>
          <w:color w:val="000000"/>
          <w:shd w:val="clear" w:color="auto" w:fill="FFFFFF"/>
        </w:rPr>
        <w:t>STUDIES</w:t>
      </w:r>
    </w:p>
    <w:tbl>
      <w:tblPr>
        <w:tblW w:w="901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5"/>
        <w:gridCol w:w="1544"/>
        <w:gridCol w:w="1572"/>
        <w:gridCol w:w="1544"/>
        <w:gridCol w:w="1586"/>
      </w:tblGrid>
      <w:tr w:rsidR="008136A8" w:rsidRPr="001E4550" w14:paraId="3786E741" w14:textId="77777777" w:rsidTr="00CF4F62">
        <w:trPr>
          <w:trHeight w:val="615"/>
          <w:tblHeader/>
        </w:trPr>
        <w:tc>
          <w:tcPr>
            <w:tcW w:w="2765" w:type="dxa"/>
            <w:tcBorders>
              <w:top w:val="nil"/>
              <w:left w:val="nil"/>
              <w:bottom w:val="single" w:sz="12" w:space="0" w:color="auto"/>
              <w:right w:val="single" w:sz="12" w:space="0" w:color="auto"/>
            </w:tcBorders>
            <w:shd w:val="clear" w:color="auto" w:fill="auto"/>
            <w:vAlign w:val="bottom"/>
            <w:hideMark/>
          </w:tcPr>
          <w:p w14:paraId="4F8D89BA" w14:textId="77777777" w:rsidR="008136A8" w:rsidRPr="001E4550" w:rsidRDefault="007B0D62">
            <w:pPr>
              <w:spacing w:line="240" w:lineRule="auto"/>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 </w:t>
            </w:r>
          </w:p>
        </w:tc>
        <w:tc>
          <w:tcPr>
            <w:tcW w:w="3116"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03E98083" w14:textId="77777777" w:rsidR="008136A8" w:rsidRPr="001E4550" w:rsidRDefault="007B0D62">
            <w:pPr>
              <w:spacing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INNO</w:t>
            </w:r>
            <w:r w:rsidRPr="001E4550">
              <w:rPr>
                <w:rFonts w:asciiTheme="majorHAnsi" w:hAnsiTheme="majorHAnsi"/>
                <w:b/>
                <w:bCs/>
                <w:color w:val="00000A"/>
                <w:sz w:val="16"/>
                <w:szCs w:val="16"/>
                <w:vertAlign w:val="subscript"/>
                <w:lang w:eastAsia="ja-JP"/>
              </w:rPr>
              <w:t>2</w:t>
            </w:r>
            <w:r w:rsidRPr="001E4550">
              <w:rPr>
                <w:rFonts w:asciiTheme="majorHAnsi" w:hAnsiTheme="majorHAnsi"/>
                <w:b/>
                <w:bCs/>
                <w:color w:val="00000A"/>
                <w:sz w:val="20"/>
                <w:lang w:eastAsia="ja-JP"/>
              </w:rPr>
              <w:t>VATE 1</w:t>
            </w:r>
            <w:r w:rsidRPr="001E4550">
              <w:rPr>
                <w:rFonts w:asciiTheme="majorHAnsi" w:hAnsiTheme="majorHAnsi"/>
                <w:color w:val="00000A"/>
                <w:sz w:val="20"/>
                <w:lang w:eastAsia="ja-JP"/>
              </w:rPr>
              <w:t> </w:t>
            </w:r>
          </w:p>
        </w:tc>
        <w:tc>
          <w:tcPr>
            <w:tcW w:w="3130" w:type="dxa"/>
            <w:gridSpan w:val="2"/>
            <w:tcBorders>
              <w:top w:val="single" w:sz="12" w:space="0" w:color="auto"/>
              <w:left w:val="single" w:sz="12" w:space="0" w:color="auto"/>
              <w:bottom w:val="single" w:sz="12" w:space="0" w:color="auto"/>
              <w:right w:val="single" w:sz="12" w:space="0" w:color="auto"/>
            </w:tcBorders>
            <w:shd w:val="clear" w:color="auto" w:fill="auto"/>
            <w:vAlign w:val="center"/>
            <w:hideMark/>
          </w:tcPr>
          <w:p w14:paraId="2FF3D032" w14:textId="77777777" w:rsidR="008136A8" w:rsidRPr="001E4550" w:rsidRDefault="007B0D62">
            <w:pPr>
              <w:spacing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INNO</w:t>
            </w:r>
            <w:r w:rsidRPr="001E4550">
              <w:rPr>
                <w:rFonts w:asciiTheme="majorHAnsi" w:hAnsiTheme="majorHAnsi"/>
                <w:b/>
                <w:bCs/>
                <w:color w:val="00000A"/>
                <w:sz w:val="16"/>
                <w:szCs w:val="16"/>
                <w:vertAlign w:val="subscript"/>
                <w:lang w:eastAsia="ja-JP"/>
              </w:rPr>
              <w:t>2</w:t>
            </w:r>
            <w:r w:rsidRPr="001E4550">
              <w:rPr>
                <w:rFonts w:asciiTheme="majorHAnsi" w:hAnsiTheme="majorHAnsi"/>
                <w:b/>
                <w:bCs/>
                <w:color w:val="00000A"/>
                <w:sz w:val="20"/>
                <w:lang w:eastAsia="ja-JP"/>
              </w:rPr>
              <w:t>VATE 2</w:t>
            </w:r>
            <w:r w:rsidRPr="001E4550">
              <w:rPr>
                <w:rFonts w:asciiTheme="majorHAnsi" w:hAnsiTheme="majorHAnsi"/>
                <w:color w:val="00000A"/>
                <w:sz w:val="20"/>
                <w:lang w:eastAsia="ja-JP"/>
              </w:rPr>
              <w:t> </w:t>
            </w:r>
          </w:p>
        </w:tc>
      </w:tr>
      <w:tr w:rsidR="008136A8" w:rsidRPr="001E4550" w14:paraId="692E2F17" w14:textId="77777777" w:rsidTr="00CF4F62">
        <w:trPr>
          <w:trHeight w:val="615"/>
          <w:tblHeader/>
        </w:trPr>
        <w:tc>
          <w:tcPr>
            <w:tcW w:w="2765"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4D628154" w14:textId="62BD1EF5" w:rsidR="008136A8" w:rsidRPr="001E4550" w:rsidRDefault="007B0D62">
            <w:pPr>
              <w:spacing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Hb (g/L)</w:t>
            </w:r>
            <w:r w:rsidRPr="001E4550">
              <w:rPr>
                <w:rFonts w:asciiTheme="majorHAnsi" w:hAnsiTheme="majorHAnsi"/>
                <w:color w:val="00000A"/>
                <w:sz w:val="20"/>
                <w:lang w:eastAsia="ja-JP"/>
              </w:rPr>
              <w:t> </w:t>
            </w:r>
          </w:p>
        </w:tc>
        <w:tc>
          <w:tcPr>
            <w:tcW w:w="1544"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57084FC0" w14:textId="0C597546"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Vadadustat</w:t>
            </w:r>
          </w:p>
          <w:p w14:paraId="74E86997" w14:textId="77777777"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N = 181</w:t>
            </w:r>
          </w:p>
        </w:tc>
        <w:tc>
          <w:tcPr>
            <w:tcW w:w="1572"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1327B4D4" w14:textId="5EF4B0DB"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Darbepoetin alfa</w:t>
            </w:r>
          </w:p>
          <w:p w14:paraId="7550DCF0" w14:textId="77777777"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N = 188</w:t>
            </w:r>
          </w:p>
        </w:tc>
        <w:tc>
          <w:tcPr>
            <w:tcW w:w="1544" w:type="dxa"/>
            <w:tcBorders>
              <w:top w:val="single" w:sz="12" w:space="0" w:color="auto"/>
              <w:left w:val="single" w:sz="12" w:space="0" w:color="auto"/>
              <w:bottom w:val="single" w:sz="12" w:space="0" w:color="auto"/>
              <w:right w:val="single" w:sz="6" w:space="0" w:color="auto"/>
            </w:tcBorders>
            <w:shd w:val="clear" w:color="auto" w:fill="auto"/>
            <w:vAlign w:val="center"/>
            <w:hideMark/>
          </w:tcPr>
          <w:p w14:paraId="630D7650" w14:textId="6C31A4C3" w:rsidR="008136A8" w:rsidRPr="001E4550" w:rsidRDefault="007B0D62">
            <w:pPr>
              <w:spacing w:after="0" w:line="240" w:lineRule="auto"/>
              <w:jc w:val="center"/>
              <w:textAlignment w:val="baseline"/>
              <w:rPr>
                <w:rFonts w:asciiTheme="majorHAnsi" w:hAnsiTheme="majorHAnsi"/>
                <w:b/>
                <w:bCs/>
                <w:color w:val="00000A"/>
                <w:sz w:val="20"/>
                <w:lang w:eastAsia="ja-JP"/>
              </w:rPr>
            </w:pPr>
            <w:r w:rsidRPr="001E4550">
              <w:rPr>
                <w:rFonts w:asciiTheme="majorHAnsi" w:hAnsiTheme="majorHAnsi"/>
                <w:b/>
                <w:bCs/>
                <w:color w:val="00000A"/>
                <w:sz w:val="20"/>
                <w:lang w:eastAsia="ja-JP"/>
              </w:rPr>
              <w:t>Vadadustat</w:t>
            </w:r>
          </w:p>
          <w:p w14:paraId="32C32D26" w14:textId="77777777"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N = 1777</w:t>
            </w:r>
          </w:p>
        </w:tc>
        <w:tc>
          <w:tcPr>
            <w:tcW w:w="1586" w:type="dxa"/>
            <w:tcBorders>
              <w:top w:val="single" w:sz="12" w:space="0" w:color="auto"/>
              <w:left w:val="single" w:sz="6" w:space="0" w:color="auto"/>
              <w:bottom w:val="single" w:sz="12" w:space="0" w:color="auto"/>
              <w:right w:val="single" w:sz="12" w:space="0" w:color="auto"/>
            </w:tcBorders>
            <w:shd w:val="clear" w:color="auto" w:fill="auto"/>
            <w:vAlign w:val="center"/>
            <w:hideMark/>
          </w:tcPr>
          <w:p w14:paraId="04A7DB48" w14:textId="478AB990"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Darbepoetin alfa</w:t>
            </w:r>
            <w:r w:rsidRPr="001E4550">
              <w:rPr>
                <w:rFonts w:asciiTheme="majorHAnsi" w:hAnsiTheme="majorHAnsi"/>
                <w:color w:val="00000A"/>
                <w:sz w:val="20"/>
                <w:lang w:eastAsia="ja-JP"/>
              </w:rPr>
              <w:t> </w:t>
            </w:r>
          </w:p>
          <w:p w14:paraId="36940FC8" w14:textId="77777777"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N = 1777</w:t>
            </w:r>
            <w:r w:rsidRPr="001E4550">
              <w:rPr>
                <w:rFonts w:asciiTheme="majorHAnsi" w:hAnsiTheme="majorHAnsi"/>
                <w:color w:val="00000A"/>
                <w:sz w:val="20"/>
                <w:lang w:eastAsia="ja-JP"/>
              </w:rPr>
              <w:t> </w:t>
            </w:r>
          </w:p>
        </w:tc>
      </w:tr>
      <w:tr w:rsidR="008136A8" w:rsidRPr="001E4550" w14:paraId="178D9378" w14:textId="77777777">
        <w:trPr>
          <w:trHeight w:val="267"/>
        </w:trPr>
        <w:tc>
          <w:tcPr>
            <w:tcW w:w="2765" w:type="dxa"/>
            <w:tcBorders>
              <w:top w:val="single" w:sz="12" w:space="0" w:color="auto"/>
              <w:left w:val="single" w:sz="6" w:space="0" w:color="auto"/>
              <w:bottom w:val="single" w:sz="6" w:space="0" w:color="auto"/>
              <w:right w:val="single" w:sz="12" w:space="0" w:color="auto"/>
            </w:tcBorders>
            <w:shd w:val="clear" w:color="auto" w:fill="auto"/>
            <w:hideMark/>
          </w:tcPr>
          <w:p w14:paraId="2BD1717B" w14:textId="2FFD925E" w:rsidR="008136A8" w:rsidRPr="001E4550" w:rsidRDefault="007B0D62">
            <w:pPr>
              <w:spacing w:after="0" w:line="240" w:lineRule="auto"/>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Baseline mean (SD)</w:t>
            </w:r>
            <w:r w:rsidRPr="001E4550">
              <w:rPr>
                <w:rFonts w:asciiTheme="majorHAnsi" w:hAnsiTheme="majorHAnsi"/>
                <w:color w:val="00000A"/>
                <w:sz w:val="20"/>
                <w:lang w:eastAsia="ja-JP"/>
              </w:rPr>
              <w:t> </w:t>
            </w:r>
          </w:p>
        </w:tc>
        <w:tc>
          <w:tcPr>
            <w:tcW w:w="1544"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CFB3348" w14:textId="76F523A2"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93.7 (10.7) </w:t>
            </w:r>
          </w:p>
        </w:tc>
        <w:tc>
          <w:tcPr>
            <w:tcW w:w="1572"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6BEB2273" w14:textId="5481E0CD"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91.9 (11.4) </w:t>
            </w:r>
          </w:p>
        </w:tc>
        <w:tc>
          <w:tcPr>
            <w:tcW w:w="1544"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3695990D" w14:textId="2F7A122B"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102.5 (8.5) </w:t>
            </w:r>
          </w:p>
        </w:tc>
        <w:tc>
          <w:tcPr>
            <w:tcW w:w="1586" w:type="dxa"/>
            <w:tcBorders>
              <w:top w:val="single" w:sz="12" w:space="0" w:color="auto"/>
              <w:left w:val="single" w:sz="6" w:space="0" w:color="auto"/>
              <w:bottom w:val="single" w:sz="6" w:space="0" w:color="auto"/>
              <w:right w:val="single" w:sz="12" w:space="0" w:color="auto"/>
            </w:tcBorders>
            <w:shd w:val="clear" w:color="auto" w:fill="auto"/>
            <w:vAlign w:val="center"/>
            <w:hideMark/>
          </w:tcPr>
          <w:p w14:paraId="241D6A8E" w14:textId="03F21801"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102.3 (8.2) </w:t>
            </w:r>
          </w:p>
        </w:tc>
      </w:tr>
      <w:tr w:rsidR="008136A8" w:rsidRPr="001E4550" w14:paraId="68CDACFD" w14:textId="77777777">
        <w:trPr>
          <w:trHeight w:val="390"/>
        </w:trPr>
        <w:tc>
          <w:tcPr>
            <w:tcW w:w="2765" w:type="dxa"/>
            <w:tcBorders>
              <w:top w:val="single" w:sz="6" w:space="0" w:color="auto"/>
              <w:left w:val="single" w:sz="6" w:space="0" w:color="auto"/>
              <w:bottom w:val="single" w:sz="6" w:space="0" w:color="auto"/>
              <w:right w:val="single" w:sz="12" w:space="0" w:color="auto"/>
            </w:tcBorders>
            <w:shd w:val="clear" w:color="auto" w:fill="auto"/>
            <w:hideMark/>
          </w:tcPr>
          <w:p w14:paraId="2D5F19D1" w14:textId="44E9C9FD" w:rsidR="008136A8" w:rsidRPr="001E4550" w:rsidRDefault="007B0D62">
            <w:pPr>
              <w:spacing w:after="0" w:line="240" w:lineRule="auto"/>
              <w:textAlignment w:val="baseline"/>
              <w:rPr>
                <w:rFonts w:asciiTheme="majorHAnsi" w:hAnsiTheme="majorHAnsi" w:cs="Segoe UI"/>
                <w:color w:val="00000A"/>
                <w:sz w:val="18"/>
                <w:szCs w:val="18"/>
                <w:lang w:eastAsia="ja-JP"/>
              </w:rPr>
            </w:pPr>
            <w:r w:rsidRPr="001E4550">
              <w:rPr>
                <w:rFonts w:asciiTheme="majorHAnsi" w:hAnsiTheme="majorHAnsi"/>
                <w:b/>
                <w:bCs/>
                <w:color w:val="000000"/>
                <w:sz w:val="20"/>
                <w:lang w:eastAsia="ja-JP"/>
              </w:rPr>
              <w:t>Primary endpoint Weeks 24 to 36 mean (SD)</w:t>
            </w:r>
            <w:r w:rsidRPr="001E4550">
              <w:rPr>
                <w:rFonts w:asciiTheme="majorHAnsi" w:hAnsiTheme="majorHAnsi"/>
                <w:color w:val="000000"/>
                <w:sz w:val="20"/>
                <w:lang w:eastAsia="ja-JP"/>
              </w:rPr>
              <w:t> </w:t>
            </w:r>
          </w:p>
        </w:tc>
        <w:tc>
          <w:tcPr>
            <w:tcW w:w="154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46E3BBF" w14:textId="7B7CF40B"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103.6 (11.3) </w:t>
            </w:r>
          </w:p>
        </w:tc>
        <w:tc>
          <w:tcPr>
            <w:tcW w:w="1572"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03F6D98B" w14:textId="55417080"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106.1 (9.4) </w:t>
            </w:r>
          </w:p>
        </w:tc>
        <w:tc>
          <w:tcPr>
            <w:tcW w:w="154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0046417" w14:textId="1A8958D3"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103.6 (10.1) </w:t>
            </w:r>
          </w:p>
        </w:tc>
        <w:tc>
          <w:tcPr>
            <w:tcW w:w="1586"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380A1D8" w14:textId="72AB2C81"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105.3 (9.6) </w:t>
            </w:r>
          </w:p>
        </w:tc>
      </w:tr>
      <w:tr w:rsidR="008136A8" w:rsidRPr="001E4550" w14:paraId="418C05B5" w14:textId="77777777">
        <w:tc>
          <w:tcPr>
            <w:tcW w:w="2765" w:type="dxa"/>
            <w:tcBorders>
              <w:top w:val="single" w:sz="6" w:space="0" w:color="auto"/>
              <w:left w:val="single" w:sz="6" w:space="0" w:color="auto"/>
              <w:bottom w:val="single" w:sz="6" w:space="0" w:color="auto"/>
              <w:right w:val="single" w:sz="12" w:space="0" w:color="auto"/>
            </w:tcBorders>
            <w:shd w:val="clear" w:color="auto" w:fill="auto"/>
            <w:hideMark/>
          </w:tcPr>
          <w:p w14:paraId="357257BA" w14:textId="57F6B5F1" w:rsidR="008136A8" w:rsidRPr="001E4550" w:rsidRDefault="007B0D62">
            <w:pPr>
              <w:spacing w:after="0" w:line="240" w:lineRule="auto"/>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Adjusted mean change from baseline (LSM) [95% CI]</w:t>
            </w:r>
            <w:r w:rsidRPr="001E4550">
              <w:rPr>
                <w:rFonts w:asciiTheme="majorHAnsi" w:hAnsiTheme="majorHAnsi"/>
                <w:color w:val="00000A"/>
                <w:sz w:val="20"/>
                <w:lang w:eastAsia="ja-JP"/>
              </w:rPr>
              <w:t> </w:t>
            </w:r>
          </w:p>
        </w:tc>
        <w:tc>
          <w:tcPr>
            <w:tcW w:w="154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E9C5109" w14:textId="3CC51640"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0"/>
                <w:sz w:val="20"/>
                <w:lang w:eastAsia="ja-JP"/>
              </w:rPr>
              <w:t>12.6 [10.5, 14.8] </w:t>
            </w:r>
          </w:p>
        </w:tc>
        <w:tc>
          <w:tcPr>
            <w:tcW w:w="1572"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4DDDB7A3" w14:textId="052CF0A9"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0"/>
                <w:sz w:val="20"/>
                <w:lang w:eastAsia="ja-JP"/>
              </w:rPr>
              <w:t>15.8 [13.7, 17.9] </w:t>
            </w:r>
          </w:p>
        </w:tc>
        <w:tc>
          <w:tcPr>
            <w:tcW w:w="154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DDABB4F" w14:textId="23A60038"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1.9 [1.2, 2.5] </w:t>
            </w:r>
          </w:p>
        </w:tc>
        <w:tc>
          <w:tcPr>
            <w:tcW w:w="1586"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5B50B065" w14:textId="23489FD2"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3.6 [2.9, 4.2] </w:t>
            </w:r>
          </w:p>
        </w:tc>
      </w:tr>
      <w:tr w:rsidR="008136A8" w:rsidRPr="001E4550" w14:paraId="37D5CDB6" w14:textId="77777777">
        <w:tc>
          <w:tcPr>
            <w:tcW w:w="276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3C3C3A0" w14:textId="15428475" w:rsidR="008136A8" w:rsidRPr="001E4550" w:rsidRDefault="007B0D62">
            <w:pPr>
              <w:spacing w:after="0" w:line="240" w:lineRule="auto"/>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lastRenderedPageBreak/>
              <w:t>Estimated treatment difference [95% CI] vadadustat – Darbepoetin Alfa</w:t>
            </w:r>
            <w:r w:rsidRPr="001E4550">
              <w:rPr>
                <w:rFonts w:asciiTheme="majorHAnsi" w:hAnsiTheme="majorHAnsi"/>
                <w:color w:val="00000A"/>
                <w:sz w:val="20"/>
                <w:lang w:eastAsia="ja-JP"/>
              </w:rPr>
              <w:t> </w:t>
            </w:r>
          </w:p>
        </w:tc>
        <w:tc>
          <w:tcPr>
            <w:tcW w:w="3116" w:type="dxa"/>
            <w:gridSpan w:val="2"/>
            <w:tcBorders>
              <w:top w:val="single" w:sz="6" w:space="0" w:color="auto"/>
              <w:left w:val="single" w:sz="12" w:space="0" w:color="auto"/>
              <w:bottom w:val="single" w:sz="6" w:space="0" w:color="auto"/>
              <w:right w:val="single" w:sz="12" w:space="0" w:color="auto"/>
            </w:tcBorders>
            <w:shd w:val="clear" w:color="auto" w:fill="auto"/>
            <w:vAlign w:val="center"/>
            <w:hideMark/>
          </w:tcPr>
          <w:p w14:paraId="7834A6EA" w14:textId="0061904D"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0"/>
                <w:sz w:val="20"/>
                <w:lang w:eastAsia="ja-JP"/>
              </w:rPr>
              <w:t>-3.1 [-5.3, -1.0] </w:t>
            </w:r>
          </w:p>
        </w:tc>
        <w:tc>
          <w:tcPr>
            <w:tcW w:w="3130" w:type="dxa"/>
            <w:gridSpan w:val="2"/>
            <w:tcBorders>
              <w:top w:val="single" w:sz="6" w:space="0" w:color="auto"/>
              <w:left w:val="single" w:sz="12" w:space="0" w:color="auto"/>
              <w:bottom w:val="single" w:sz="6" w:space="0" w:color="auto"/>
              <w:right w:val="single" w:sz="12" w:space="0" w:color="auto"/>
            </w:tcBorders>
            <w:shd w:val="clear" w:color="auto" w:fill="auto"/>
            <w:vAlign w:val="center"/>
            <w:hideMark/>
          </w:tcPr>
          <w:p w14:paraId="16F45E64" w14:textId="389AAFBC"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-1.7 [-2.3, -1.0] </w:t>
            </w:r>
          </w:p>
        </w:tc>
      </w:tr>
      <w:tr w:rsidR="008136A8" w:rsidRPr="001E4550" w14:paraId="2CB4188E" w14:textId="77777777">
        <w:tc>
          <w:tcPr>
            <w:tcW w:w="2765" w:type="dxa"/>
            <w:tcBorders>
              <w:top w:val="single" w:sz="6" w:space="0" w:color="auto"/>
              <w:left w:val="single" w:sz="6" w:space="0" w:color="auto"/>
              <w:bottom w:val="single" w:sz="6" w:space="0" w:color="auto"/>
              <w:right w:val="single" w:sz="12" w:space="0" w:color="auto"/>
            </w:tcBorders>
            <w:shd w:val="clear" w:color="auto" w:fill="auto"/>
            <w:hideMark/>
          </w:tcPr>
          <w:p w14:paraId="20419F7A" w14:textId="66297860" w:rsidR="008136A8" w:rsidRPr="001E4550" w:rsidRDefault="007B0D62">
            <w:pPr>
              <w:spacing w:after="0" w:line="240" w:lineRule="auto"/>
              <w:textAlignment w:val="baseline"/>
              <w:rPr>
                <w:rFonts w:asciiTheme="majorHAnsi" w:hAnsiTheme="majorHAnsi" w:cs="Segoe UI"/>
                <w:color w:val="00000A"/>
                <w:sz w:val="18"/>
                <w:szCs w:val="18"/>
                <w:lang w:eastAsia="ja-JP"/>
              </w:rPr>
            </w:pPr>
            <w:r w:rsidRPr="001E4550">
              <w:rPr>
                <w:rFonts w:asciiTheme="majorHAnsi" w:hAnsiTheme="majorHAnsi"/>
                <w:b/>
                <w:bCs/>
                <w:color w:val="000000"/>
                <w:sz w:val="20"/>
                <w:lang w:eastAsia="ja-JP"/>
              </w:rPr>
              <w:t>Key secondary endpoint Weeks 40 to 52mMean (SD)</w:t>
            </w:r>
            <w:r w:rsidRPr="001E4550">
              <w:rPr>
                <w:rFonts w:asciiTheme="majorHAnsi" w:hAnsiTheme="majorHAnsi"/>
                <w:color w:val="000000"/>
                <w:sz w:val="20"/>
                <w:lang w:eastAsia="ja-JP"/>
              </w:rPr>
              <w:t> </w:t>
            </w:r>
          </w:p>
        </w:tc>
        <w:tc>
          <w:tcPr>
            <w:tcW w:w="154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08FD56D" w14:textId="088D7311"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105.1 (11.9) </w:t>
            </w:r>
          </w:p>
        </w:tc>
        <w:tc>
          <w:tcPr>
            <w:tcW w:w="1572"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78FB82B9" w14:textId="2462791E"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105.5 (11.4) </w:t>
            </w:r>
          </w:p>
        </w:tc>
        <w:tc>
          <w:tcPr>
            <w:tcW w:w="154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3D2E206" w14:textId="44451FFA"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104.0 (10.4) </w:t>
            </w:r>
          </w:p>
        </w:tc>
        <w:tc>
          <w:tcPr>
            <w:tcW w:w="1586"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C35F2E5" w14:textId="655B9BD6"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105.8 (9.8) </w:t>
            </w:r>
          </w:p>
        </w:tc>
      </w:tr>
      <w:tr w:rsidR="008136A8" w:rsidRPr="001E4550" w14:paraId="2EBD472E" w14:textId="77777777">
        <w:tc>
          <w:tcPr>
            <w:tcW w:w="2765" w:type="dxa"/>
            <w:tcBorders>
              <w:top w:val="single" w:sz="6" w:space="0" w:color="auto"/>
              <w:left w:val="single" w:sz="6" w:space="0" w:color="auto"/>
              <w:bottom w:val="single" w:sz="6" w:space="0" w:color="auto"/>
              <w:right w:val="single" w:sz="12" w:space="0" w:color="auto"/>
            </w:tcBorders>
            <w:shd w:val="clear" w:color="auto" w:fill="auto"/>
            <w:hideMark/>
          </w:tcPr>
          <w:p w14:paraId="141EBF81" w14:textId="32DCCD4B" w:rsidR="008136A8" w:rsidRPr="001E4550" w:rsidRDefault="007B0D62">
            <w:pPr>
              <w:spacing w:after="0" w:line="240" w:lineRule="auto"/>
              <w:textAlignment w:val="baseline"/>
              <w:rPr>
                <w:rFonts w:asciiTheme="majorHAnsi" w:hAnsiTheme="majorHAnsi" w:cs="Segoe UI"/>
                <w:color w:val="00000A"/>
                <w:sz w:val="18"/>
                <w:szCs w:val="18"/>
                <w:lang w:eastAsia="ja-JP"/>
              </w:rPr>
            </w:pPr>
            <w:r w:rsidRPr="001E4550">
              <w:rPr>
                <w:rFonts w:asciiTheme="majorHAnsi" w:hAnsiTheme="majorHAnsi"/>
                <w:b/>
                <w:bCs/>
                <w:color w:val="000000"/>
                <w:sz w:val="20"/>
                <w:lang w:eastAsia="ja-JP"/>
              </w:rPr>
              <w:t>Adjusted mean change from baseline (LSM) [95% CI]</w:t>
            </w:r>
            <w:r w:rsidRPr="001E4550">
              <w:rPr>
                <w:rFonts w:asciiTheme="majorHAnsi" w:hAnsiTheme="majorHAnsi"/>
                <w:color w:val="000000"/>
                <w:sz w:val="20"/>
                <w:lang w:eastAsia="ja-JP"/>
              </w:rPr>
              <w:t> </w:t>
            </w:r>
          </w:p>
        </w:tc>
        <w:tc>
          <w:tcPr>
            <w:tcW w:w="154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AA56903" w14:textId="4F32B845" w:rsidR="008136A8" w:rsidRPr="001E4550" w:rsidRDefault="007B0D62">
            <w:pPr>
              <w:spacing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14.2 [11.7, 16.8] </w:t>
            </w:r>
          </w:p>
        </w:tc>
        <w:tc>
          <w:tcPr>
            <w:tcW w:w="1572"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36BA9E4A" w14:textId="6BF51F22" w:rsidR="008136A8" w:rsidRPr="001E4550" w:rsidRDefault="007B0D62">
            <w:pPr>
              <w:spacing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15.0 [12.3, 17.6] </w:t>
            </w:r>
          </w:p>
        </w:tc>
        <w:tc>
          <w:tcPr>
            <w:tcW w:w="154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0573CA6" w14:textId="3E6A56FC" w:rsidR="008136A8" w:rsidRPr="001E4550" w:rsidRDefault="007B0D62">
            <w:pPr>
              <w:spacing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2.3 [1.6, 2.9] </w:t>
            </w:r>
          </w:p>
        </w:tc>
        <w:tc>
          <w:tcPr>
            <w:tcW w:w="1586"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DBE75E3" w14:textId="0E2C320A" w:rsidR="008136A8" w:rsidRPr="001E4550" w:rsidRDefault="007B0D62">
            <w:pPr>
              <w:spacing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4.1 [3.4, 4.8] </w:t>
            </w:r>
          </w:p>
        </w:tc>
      </w:tr>
      <w:tr w:rsidR="008136A8" w:rsidRPr="001E4550" w14:paraId="04B89A91" w14:textId="77777777">
        <w:tc>
          <w:tcPr>
            <w:tcW w:w="2765"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2E606EA7" w14:textId="07F25F86" w:rsidR="008136A8" w:rsidRPr="001E4550" w:rsidRDefault="007B0D62">
            <w:pPr>
              <w:spacing w:after="0" w:line="240" w:lineRule="auto"/>
              <w:textAlignment w:val="baseline"/>
              <w:rPr>
                <w:rFonts w:asciiTheme="majorHAnsi" w:hAnsiTheme="majorHAnsi" w:cs="Segoe UI"/>
                <w:color w:val="00000A"/>
                <w:sz w:val="18"/>
                <w:szCs w:val="18"/>
                <w:lang w:eastAsia="ja-JP"/>
              </w:rPr>
            </w:pPr>
            <w:r w:rsidRPr="001E4550">
              <w:rPr>
                <w:rFonts w:asciiTheme="majorHAnsi" w:hAnsiTheme="majorHAnsi"/>
                <w:b/>
                <w:bCs/>
                <w:color w:val="00000A"/>
                <w:sz w:val="20"/>
                <w:lang w:eastAsia="ja-JP"/>
              </w:rPr>
              <w:t>Estimated treatment difference [95% CI] vadadustat – darbepoetin alfa</w:t>
            </w:r>
            <w:r w:rsidRPr="001E4550">
              <w:rPr>
                <w:rFonts w:asciiTheme="majorHAnsi" w:hAnsiTheme="majorHAnsi"/>
                <w:color w:val="00000A"/>
                <w:sz w:val="20"/>
                <w:lang w:eastAsia="ja-JP"/>
              </w:rPr>
              <w:t> </w:t>
            </w:r>
          </w:p>
        </w:tc>
        <w:tc>
          <w:tcPr>
            <w:tcW w:w="3116" w:type="dxa"/>
            <w:gridSpan w:val="2"/>
            <w:tcBorders>
              <w:top w:val="single" w:sz="6" w:space="0" w:color="auto"/>
              <w:left w:val="single" w:sz="12" w:space="0" w:color="auto"/>
              <w:bottom w:val="single" w:sz="6" w:space="0" w:color="auto"/>
              <w:right w:val="single" w:sz="12" w:space="0" w:color="auto"/>
            </w:tcBorders>
            <w:shd w:val="clear" w:color="auto" w:fill="auto"/>
            <w:vAlign w:val="center"/>
            <w:hideMark/>
          </w:tcPr>
          <w:p w14:paraId="4481C653" w14:textId="61430B81"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-0.7 [-3.4, 1.9] </w:t>
            </w:r>
          </w:p>
        </w:tc>
        <w:tc>
          <w:tcPr>
            <w:tcW w:w="3130" w:type="dxa"/>
            <w:gridSpan w:val="2"/>
            <w:tcBorders>
              <w:top w:val="single" w:sz="6" w:space="0" w:color="auto"/>
              <w:left w:val="single" w:sz="12" w:space="0" w:color="auto"/>
              <w:bottom w:val="single" w:sz="6" w:space="0" w:color="auto"/>
              <w:right w:val="single" w:sz="12" w:space="0" w:color="auto"/>
            </w:tcBorders>
            <w:shd w:val="clear" w:color="auto" w:fill="auto"/>
            <w:vAlign w:val="center"/>
            <w:hideMark/>
          </w:tcPr>
          <w:p w14:paraId="41A226D5" w14:textId="6B598D41" w:rsidR="008136A8" w:rsidRPr="001E4550" w:rsidRDefault="007B0D62">
            <w:pPr>
              <w:spacing w:after="0" w:line="240" w:lineRule="auto"/>
              <w:jc w:val="center"/>
              <w:textAlignment w:val="baseline"/>
              <w:rPr>
                <w:rFonts w:asciiTheme="majorHAnsi" w:hAnsiTheme="majorHAnsi" w:cs="Segoe UI"/>
                <w:color w:val="00000A"/>
                <w:sz w:val="18"/>
                <w:szCs w:val="18"/>
                <w:lang w:eastAsia="ja-JP"/>
              </w:rPr>
            </w:pPr>
            <w:r w:rsidRPr="001E4550">
              <w:rPr>
                <w:rFonts w:asciiTheme="majorHAnsi" w:hAnsiTheme="majorHAnsi"/>
                <w:color w:val="00000A"/>
                <w:sz w:val="20"/>
                <w:lang w:eastAsia="ja-JP"/>
              </w:rPr>
              <w:t>-1.8 [-2.5, -1.2] </w:t>
            </w:r>
          </w:p>
        </w:tc>
      </w:tr>
    </w:tbl>
    <w:p w14:paraId="16C7696C" w14:textId="41C00D74" w:rsidR="008136A8" w:rsidRPr="001E4550" w:rsidRDefault="007B0D62">
      <w:pPr>
        <w:spacing w:after="240"/>
        <w:rPr>
          <w:rFonts w:asciiTheme="majorHAnsi" w:hAnsiTheme="majorHAnsi"/>
          <w:color w:val="00000A"/>
          <w:sz w:val="20"/>
          <w:lang w:eastAsia="ja-JP"/>
        </w:rPr>
      </w:pPr>
      <w:r w:rsidRPr="001E4550">
        <w:rPr>
          <w:rFonts w:asciiTheme="majorHAnsi" w:hAnsiTheme="majorHAnsi"/>
          <w:color w:val="00000A"/>
          <w:sz w:val="20"/>
          <w:lang w:eastAsia="ja-JP"/>
        </w:rPr>
        <w:t>CI: confidence interval; LSM: least squares mean; SD: standard deviation </w:t>
      </w:r>
      <w:r w:rsidR="00161B0B" w:rsidRPr="001E4550">
        <w:rPr>
          <w:rFonts w:asciiTheme="majorHAnsi" w:hAnsiTheme="majorHAnsi"/>
          <w:color w:val="00000A"/>
          <w:sz w:val="20"/>
          <w:lang w:eastAsia="ja-JP"/>
        </w:rPr>
        <w:t xml:space="preserve"> </w:t>
      </w:r>
    </w:p>
    <w:p w14:paraId="02CD9EBC" w14:textId="537F9E0A" w:rsidR="008136A8" w:rsidRPr="00DF70B4" w:rsidRDefault="007B0D62">
      <w:pPr>
        <w:pStyle w:val="Caption"/>
        <w:keepNext/>
        <w:rPr>
          <w:rFonts w:asciiTheme="majorHAnsi" w:eastAsia="MS Mincho" w:hAnsiTheme="majorHAnsi"/>
          <w:b/>
          <w:bCs/>
          <w:i w:val="0"/>
          <w:iCs w:val="0"/>
          <w:color w:val="auto"/>
          <w:sz w:val="22"/>
          <w:szCs w:val="22"/>
          <w:lang w:val="en-AU"/>
        </w:rPr>
      </w:pPr>
      <w:bookmarkStart w:id="1" w:name="_Ref118458721"/>
      <w:r w:rsidRPr="00DF70B4">
        <w:rPr>
          <w:rFonts w:asciiTheme="majorHAnsi" w:eastAsia="MS Mincho" w:hAnsiTheme="majorHAnsi"/>
          <w:b/>
          <w:bCs/>
          <w:i w:val="0"/>
          <w:iCs w:val="0"/>
          <w:color w:val="auto"/>
          <w:sz w:val="22"/>
          <w:szCs w:val="22"/>
          <w:lang w:val="en-AU"/>
        </w:rPr>
        <w:lastRenderedPageBreak/>
        <w:t>F</w:t>
      </w:r>
      <w:bookmarkEnd w:id="1"/>
      <w:r w:rsidRPr="00DF70B4">
        <w:rPr>
          <w:rFonts w:asciiTheme="majorHAnsi" w:eastAsia="MS Mincho" w:hAnsiTheme="majorHAnsi"/>
          <w:b/>
          <w:bCs/>
          <w:i w:val="0"/>
          <w:iCs w:val="0"/>
          <w:color w:val="auto"/>
          <w:sz w:val="22"/>
          <w:szCs w:val="22"/>
          <w:lang w:val="en-AU"/>
        </w:rPr>
        <w:t xml:space="preserve">igure </w:t>
      </w:r>
      <w:r w:rsidRPr="00DF70B4">
        <w:rPr>
          <w:rFonts w:asciiTheme="majorHAnsi" w:eastAsia="MS Mincho" w:hAnsiTheme="majorHAnsi"/>
          <w:b/>
          <w:bCs/>
          <w:i w:val="0"/>
          <w:iCs w:val="0"/>
          <w:color w:val="auto"/>
          <w:sz w:val="22"/>
          <w:szCs w:val="22"/>
          <w:lang w:val="en-AU"/>
        </w:rPr>
        <w:fldChar w:fldCharType="begin"/>
      </w:r>
      <w:r w:rsidRPr="00DF70B4">
        <w:rPr>
          <w:rFonts w:asciiTheme="majorHAnsi" w:eastAsia="MS Mincho" w:hAnsiTheme="majorHAnsi"/>
          <w:b/>
          <w:bCs/>
          <w:i w:val="0"/>
          <w:iCs w:val="0"/>
          <w:color w:val="auto"/>
          <w:sz w:val="22"/>
          <w:szCs w:val="22"/>
          <w:lang w:val="en-AU"/>
        </w:rPr>
        <w:instrText xml:space="preserve"> SEQ Figure \* ARABIC </w:instrText>
      </w:r>
      <w:r w:rsidRPr="00DF70B4">
        <w:rPr>
          <w:rFonts w:asciiTheme="majorHAnsi" w:eastAsia="MS Mincho" w:hAnsiTheme="majorHAnsi"/>
          <w:b/>
          <w:bCs/>
          <w:i w:val="0"/>
          <w:iCs w:val="0"/>
          <w:color w:val="auto"/>
          <w:sz w:val="22"/>
          <w:szCs w:val="22"/>
          <w:lang w:val="en-AU"/>
        </w:rPr>
        <w:fldChar w:fldCharType="separate"/>
      </w:r>
      <w:r w:rsidRPr="00DF70B4">
        <w:rPr>
          <w:rFonts w:asciiTheme="majorHAnsi" w:eastAsia="MS Mincho" w:hAnsiTheme="majorHAnsi"/>
          <w:b/>
          <w:bCs/>
          <w:i w:val="0"/>
          <w:iCs w:val="0"/>
          <w:color w:val="auto"/>
          <w:sz w:val="22"/>
          <w:szCs w:val="22"/>
          <w:lang w:val="en-AU"/>
        </w:rPr>
        <w:t>1</w:t>
      </w:r>
      <w:r w:rsidRPr="00DF70B4">
        <w:rPr>
          <w:rFonts w:asciiTheme="majorHAnsi" w:eastAsia="MS Mincho" w:hAnsiTheme="majorHAnsi"/>
          <w:b/>
          <w:bCs/>
          <w:i w:val="0"/>
          <w:iCs w:val="0"/>
          <w:color w:val="auto"/>
          <w:sz w:val="22"/>
          <w:szCs w:val="22"/>
          <w:lang w:val="en-AU"/>
        </w:rPr>
        <w:fldChar w:fldCharType="end"/>
      </w:r>
      <w:r w:rsidRPr="00DF70B4">
        <w:rPr>
          <w:rFonts w:asciiTheme="majorHAnsi" w:eastAsia="MS Mincho" w:hAnsiTheme="majorHAnsi"/>
          <w:b/>
          <w:bCs/>
          <w:i w:val="0"/>
          <w:iCs w:val="0"/>
          <w:color w:val="auto"/>
          <w:sz w:val="22"/>
          <w:szCs w:val="22"/>
          <w:lang w:val="en-AU"/>
        </w:rPr>
        <w:t>: Mean (+/-SD) of change from baseline in Hb (g/dL) for INNO</w:t>
      </w:r>
      <w:r w:rsidRPr="00DF70B4">
        <w:rPr>
          <w:rFonts w:asciiTheme="majorHAnsi" w:eastAsia="MS Mincho" w:hAnsiTheme="majorHAnsi"/>
          <w:b/>
          <w:bCs/>
          <w:i w:val="0"/>
          <w:iCs w:val="0"/>
          <w:color w:val="auto"/>
          <w:sz w:val="22"/>
          <w:szCs w:val="22"/>
          <w:vertAlign w:val="subscript"/>
          <w:lang w:val="en-AU"/>
        </w:rPr>
        <w:t>2</w:t>
      </w:r>
      <w:r w:rsidRPr="00DF70B4">
        <w:rPr>
          <w:rFonts w:asciiTheme="majorHAnsi" w:eastAsia="MS Mincho" w:hAnsiTheme="majorHAnsi"/>
          <w:b/>
          <w:bCs/>
          <w:i w:val="0"/>
          <w:iCs w:val="0"/>
          <w:color w:val="auto"/>
          <w:sz w:val="22"/>
          <w:szCs w:val="22"/>
          <w:lang w:val="en-AU"/>
        </w:rPr>
        <w:t>VATE 1 incident dialysis</w:t>
      </w:r>
    </w:p>
    <w:p w14:paraId="4C2CCEB0" w14:textId="54886699" w:rsidR="008136A8" w:rsidRPr="001E4550" w:rsidRDefault="007B0D62">
      <w:pPr>
        <w:keepNext/>
        <w:spacing w:line="240" w:lineRule="auto"/>
      </w:pPr>
      <w:r w:rsidRPr="008E2EA1">
        <w:rPr>
          <w:noProof/>
        </w:rPr>
        <w:drawing>
          <wp:inline distT="0" distB="0" distL="0" distR="0" wp14:anchorId="1DE8ED6F" wp14:editId="24666820">
            <wp:extent cx="5760085" cy="2972435"/>
            <wp:effectExtent l="0" t="0" r="0" b="0"/>
            <wp:docPr id="4" name="Picture 4" descr="Figure 1: Mean (+/-SD) of change from baseline in Hb (g/dL) for INNO2VATE 1 incident di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Mean (+/-SD) of change from baseline in Hb (g/dL) for INNO2VATE 1 incident dialysis"/>
                    <pic:cNvPicPr/>
                  </pic:nvPicPr>
                  <pic:blipFill>
                    <a:blip r:embed="rId13"/>
                    <a:stretch>
                      <a:fillRect/>
                    </a:stretch>
                  </pic:blipFill>
                  <pic:spPr>
                    <a:xfrm>
                      <a:off x="0" y="0"/>
                      <a:ext cx="5760085" cy="2972435"/>
                    </a:xfrm>
                    <a:prstGeom prst="rect">
                      <a:avLst/>
                    </a:prstGeom>
                  </pic:spPr>
                </pic:pic>
              </a:graphicData>
            </a:graphic>
          </wp:inline>
        </w:drawing>
      </w:r>
    </w:p>
    <w:p w14:paraId="5824794A" w14:textId="3186AB66" w:rsidR="008136A8" w:rsidRPr="00DF70B4" w:rsidRDefault="007B0D62">
      <w:pPr>
        <w:pStyle w:val="Caption"/>
        <w:keepNext/>
        <w:rPr>
          <w:rFonts w:asciiTheme="majorHAnsi" w:eastAsia="MS Mincho" w:hAnsiTheme="majorHAnsi"/>
          <w:b/>
          <w:bCs/>
          <w:lang w:val="en-AU"/>
        </w:rPr>
      </w:pPr>
      <w:bookmarkStart w:id="2" w:name="_Ref118458730"/>
      <w:r w:rsidRPr="00DF70B4">
        <w:rPr>
          <w:rFonts w:asciiTheme="majorHAnsi" w:eastAsia="MS Mincho" w:hAnsiTheme="majorHAnsi"/>
          <w:b/>
          <w:bCs/>
          <w:i w:val="0"/>
          <w:iCs w:val="0"/>
          <w:color w:val="auto"/>
          <w:sz w:val="22"/>
          <w:szCs w:val="22"/>
          <w:lang w:val="en-AU"/>
        </w:rPr>
        <w:t xml:space="preserve">Figure </w:t>
      </w:r>
      <w:r w:rsidRPr="00DF70B4">
        <w:rPr>
          <w:rFonts w:asciiTheme="majorHAnsi" w:eastAsia="MS Mincho" w:hAnsiTheme="majorHAnsi"/>
          <w:b/>
          <w:bCs/>
          <w:i w:val="0"/>
          <w:iCs w:val="0"/>
          <w:color w:val="auto"/>
          <w:sz w:val="22"/>
          <w:szCs w:val="22"/>
          <w:lang w:val="en-AU"/>
        </w:rPr>
        <w:fldChar w:fldCharType="begin"/>
      </w:r>
      <w:r w:rsidRPr="00DF70B4">
        <w:rPr>
          <w:rFonts w:asciiTheme="majorHAnsi" w:eastAsia="MS Mincho" w:hAnsiTheme="majorHAnsi"/>
          <w:b/>
          <w:bCs/>
          <w:i w:val="0"/>
          <w:iCs w:val="0"/>
          <w:color w:val="auto"/>
          <w:sz w:val="22"/>
          <w:szCs w:val="22"/>
          <w:lang w:val="en-AU"/>
        </w:rPr>
        <w:instrText xml:space="preserve"> SEQ Figure \* ARABIC </w:instrText>
      </w:r>
      <w:r w:rsidRPr="00DF70B4">
        <w:rPr>
          <w:rFonts w:asciiTheme="majorHAnsi" w:eastAsia="MS Mincho" w:hAnsiTheme="majorHAnsi"/>
          <w:b/>
          <w:bCs/>
          <w:i w:val="0"/>
          <w:iCs w:val="0"/>
          <w:color w:val="auto"/>
          <w:sz w:val="22"/>
          <w:szCs w:val="22"/>
          <w:lang w:val="en-AU"/>
        </w:rPr>
        <w:fldChar w:fldCharType="separate"/>
      </w:r>
      <w:r w:rsidRPr="00DF70B4">
        <w:rPr>
          <w:rFonts w:asciiTheme="majorHAnsi" w:eastAsia="MS Mincho" w:hAnsiTheme="majorHAnsi"/>
          <w:b/>
          <w:bCs/>
          <w:i w:val="0"/>
          <w:iCs w:val="0"/>
          <w:color w:val="auto"/>
          <w:sz w:val="22"/>
          <w:szCs w:val="22"/>
          <w:lang w:val="en-AU"/>
        </w:rPr>
        <w:t>2</w:t>
      </w:r>
      <w:r w:rsidRPr="00DF70B4">
        <w:rPr>
          <w:rFonts w:asciiTheme="majorHAnsi" w:eastAsia="MS Mincho" w:hAnsiTheme="majorHAnsi"/>
          <w:b/>
          <w:bCs/>
          <w:i w:val="0"/>
          <w:iCs w:val="0"/>
          <w:color w:val="auto"/>
          <w:sz w:val="22"/>
          <w:szCs w:val="22"/>
          <w:lang w:val="en-AU"/>
        </w:rPr>
        <w:fldChar w:fldCharType="end"/>
      </w:r>
      <w:bookmarkEnd w:id="2"/>
      <w:r w:rsidRPr="00DF70B4">
        <w:rPr>
          <w:rFonts w:asciiTheme="majorHAnsi" w:eastAsia="MS Mincho" w:hAnsiTheme="majorHAnsi"/>
          <w:b/>
          <w:bCs/>
          <w:i w:val="0"/>
          <w:iCs w:val="0"/>
          <w:color w:val="auto"/>
          <w:sz w:val="22"/>
          <w:szCs w:val="22"/>
          <w:lang w:val="en-AU"/>
        </w:rPr>
        <w:t>: Mean (+/-SD) of change from baseline in Hb (g/dL) for INNO</w:t>
      </w:r>
      <w:r w:rsidRPr="00DF70B4">
        <w:rPr>
          <w:rFonts w:asciiTheme="majorHAnsi" w:eastAsia="MS Mincho" w:hAnsiTheme="majorHAnsi"/>
          <w:b/>
          <w:bCs/>
          <w:i w:val="0"/>
          <w:iCs w:val="0"/>
          <w:color w:val="auto"/>
          <w:sz w:val="22"/>
          <w:szCs w:val="22"/>
          <w:vertAlign w:val="subscript"/>
          <w:lang w:val="en-AU"/>
        </w:rPr>
        <w:t>2</w:t>
      </w:r>
      <w:r w:rsidRPr="00DF70B4">
        <w:rPr>
          <w:rFonts w:asciiTheme="majorHAnsi" w:eastAsia="MS Mincho" w:hAnsiTheme="majorHAnsi"/>
          <w:b/>
          <w:bCs/>
          <w:i w:val="0"/>
          <w:iCs w:val="0"/>
          <w:color w:val="auto"/>
          <w:sz w:val="22"/>
          <w:szCs w:val="22"/>
          <w:lang w:val="en-AU"/>
        </w:rPr>
        <w:t>VATE 2 prevalent dialysis</w:t>
      </w:r>
    </w:p>
    <w:p w14:paraId="5117ECEC" w14:textId="77777777" w:rsidR="008136A8" w:rsidRPr="001E4550" w:rsidRDefault="007B0D62">
      <w:pPr>
        <w:keepNext/>
        <w:spacing w:line="240" w:lineRule="auto"/>
      </w:pPr>
      <w:r w:rsidRPr="008E2EA1">
        <w:rPr>
          <w:noProof/>
        </w:rPr>
        <w:drawing>
          <wp:inline distT="0" distB="0" distL="0" distR="0" wp14:anchorId="14AE6743" wp14:editId="05C82088">
            <wp:extent cx="5760085" cy="3030220"/>
            <wp:effectExtent l="0" t="0" r="0" b="0"/>
            <wp:docPr id="5" name="Picture 5" descr="Figure 2: Mean (+/-SD) of change from baseline in Hb (g/dL) for INNO2VATE 2 prevalent di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2: Mean (+/-SD) of change from baseline in Hb (g/dL) for INNO2VATE 2 prevalent dialysis"/>
                    <pic:cNvPicPr/>
                  </pic:nvPicPr>
                  <pic:blipFill>
                    <a:blip r:embed="rId14"/>
                    <a:stretch>
                      <a:fillRect/>
                    </a:stretch>
                  </pic:blipFill>
                  <pic:spPr>
                    <a:xfrm>
                      <a:off x="0" y="0"/>
                      <a:ext cx="5760085" cy="3030220"/>
                    </a:xfrm>
                    <a:prstGeom prst="rect">
                      <a:avLst/>
                    </a:prstGeom>
                  </pic:spPr>
                </pic:pic>
              </a:graphicData>
            </a:graphic>
          </wp:inline>
        </w:drawing>
      </w:r>
    </w:p>
    <w:p w14:paraId="03473346" w14:textId="77777777" w:rsidR="008136A8" w:rsidRPr="00DF70B4" w:rsidRDefault="008136A8">
      <w:pPr>
        <w:spacing w:after="240"/>
        <w:rPr>
          <w:rFonts w:asciiTheme="majorHAnsi" w:hAnsiTheme="majorHAnsi"/>
          <w:b/>
          <w:bCs/>
        </w:rPr>
      </w:pPr>
    </w:p>
    <w:p w14:paraId="14CC0682" w14:textId="49922DD4" w:rsidR="008136A8" w:rsidRPr="00DF70B4" w:rsidRDefault="007B0D62">
      <w:pPr>
        <w:pStyle w:val="SageBodyText"/>
        <w:spacing w:line="276" w:lineRule="auto"/>
        <w:rPr>
          <w:rFonts w:asciiTheme="majorHAnsi" w:hAnsiTheme="majorHAnsi"/>
          <w:i/>
          <w:iCs/>
          <w:u w:val="single"/>
          <w:lang w:val="en-AU"/>
        </w:rPr>
      </w:pPr>
      <w:r w:rsidRPr="00DF70B4">
        <w:rPr>
          <w:rFonts w:asciiTheme="majorHAnsi" w:hAnsiTheme="majorHAnsi"/>
          <w:i/>
          <w:u w:val="single"/>
          <w:lang w:val="en-AU"/>
        </w:rPr>
        <w:t xml:space="preserve">Cardiovascular outcomes </w:t>
      </w:r>
    </w:p>
    <w:p w14:paraId="342AA7FF" w14:textId="77573514" w:rsidR="008136A8" w:rsidRPr="00DF70B4" w:rsidRDefault="007B0D62">
      <w:pPr>
        <w:pStyle w:val="SageBodyText"/>
        <w:spacing w:after="0" w:line="276" w:lineRule="auto"/>
        <w:rPr>
          <w:rFonts w:asciiTheme="majorHAnsi" w:hAnsiTheme="majorHAnsi"/>
          <w:lang w:val="en-AU"/>
        </w:rPr>
      </w:pPr>
      <w:r w:rsidRPr="00DF70B4">
        <w:rPr>
          <w:rFonts w:asciiTheme="majorHAnsi" w:hAnsiTheme="majorHAnsi"/>
          <w:lang w:val="en-AU"/>
        </w:rPr>
        <w:t xml:space="preserve">The incidence of MACE was evaluated as part of the long-term safety evaluation of the two global efficacy studies in DD-CKD patients. </w:t>
      </w:r>
      <w:r w:rsidR="00B668E5" w:rsidRPr="001E4550">
        <w:rPr>
          <w:rFonts w:asciiTheme="majorHAnsi" w:hAnsiTheme="majorHAnsi"/>
          <w:lang w:val="en-AU"/>
        </w:rPr>
        <w:t xml:space="preserve">The composite primary safety endpoint was time to occurrence of MACE for the global study population. The HR for vadadustat compared with </w:t>
      </w:r>
      <w:r w:rsidR="00B668E5" w:rsidRPr="001E4550">
        <w:rPr>
          <w:rFonts w:asciiTheme="majorHAnsi" w:hAnsiTheme="majorHAnsi"/>
          <w:lang w:val="en-AU"/>
        </w:rPr>
        <w:lastRenderedPageBreak/>
        <w:t>darbepoetin was 0.96 (95% CI: 0.83, 1.11) was within the pre-specified non-inferiority margin of 1.3 for the upper bound of the 95% CI.</w:t>
      </w:r>
      <w:r w:rsidR="00733B28" w:rsidRPr="001E4550">
        <w:rPr>
          <w:rFonts w:asciiTheme="majorHAnsi" w:hAnsiTheme="majorHAnsi"/>
          <w:lang w:val="en-AU"/>
        </w:rPr>
        <w:t xml:space="preserve"> </w:t>
      </w:r>
      <w:r w:rsidRPr="00DF70B4">
        <w:rPr>
          <w:rFonts w:asciiTheme="majorHAnsi" w:hAnsiTheme="majorHAnsi"/>
          <w:lang w:val="en-AU"/>
        </w:rPr>
        <w:t>The results were consistent for the primary endpoint and the individual components of the primary endpoint (see</w:t>
      </w:r>
      <w:r w:rsidRPr="00DF70B4">
        <w:rPr>
          <w:rFonts w:asciiTheme="majorHAnsi" w:hAnsiTheme="majorHAnsi"/>
          <w:color w:val="0000FF"/>
          <w:lang w:val="en-AU"/>
        </w:rPr>
        <w:t xml:space="preserve"> </w:t>
      </w:r>
      <w:r w:rsidRPr="00DF70B4">
        <w:rPr>
          <w:rFonts w:asciiTheme="majorHAnsi" w:hAnsiTheme="majorHAnsi"/>
          <w:lang w:val="en-AU"/>
        </w:rPr>
        <w:t>Table 5). The results for the primary MACE endpoint were also supported by the results from key secondary endpoints using expanded MACE definitions. These results showed that vadadustat did not decrease the time to MACE plus hospitalization for heart failure; MACE plus thromboembolic events excluding vascular access; cardiovascular (CV) MACE (all-cause mortality, non-fatal MI or non-fatal stroke); CV death or all-cause mortality compared to darbepoetin.</w:t>
      </w:r>
    </w:p>
    <w:p w14:paraId="3882DE32" w14:textId="77777777" w:rsidR="008136A8" w:rsidRPr="00DF70B4" w:rsidRDefault="008136A8">
      <w:pPr>
        <w:pStyle w:val="SageBodyText"/>
        <w:spacing w:after="0" w:line="240" w:lineRule="auto"/>
        <w:rPr>
          <w:rFonts w:asciiTheme="majorHAnsi" w:hAnsiTheme="majorHAnsi"/>
          <w:lang w:val="en-AU"/>
        </w:rPr>
      </w:pPr>
    </w:p>
    <w:p w14:paraId="0F73B988" w14:textId="68A7EBAF" w:rsidR="008136A8" w:rsidRPr="001E4550" w:rsidRDefault="007B0D62">
      <w:pPr>
        <w:rPr>
          <w:rFonts w:asciiTheme="majorHAnsi" w:hAnsiTheme="majorHAnsi"/>
          <w:b/>
          <w:bCs/>
        </w:rPr>
      </w:pPr>
      <w:r w:rsidRPr="00DF70B4">
        <w:rPr>
          <w:rFonts w:asciiTheme="majorHAnsi" w:hAnsiTheme="majorHAnsi"/>
          <w:b/>
        </w:rPr>
        <w:t xml:space="preserve">Table 5: </w:t>
      </w:r>
      <w:r w:rsidRPr="001E4550">
        <w:rPr>
          <w:rFonts w:asciiTheme="majorHAnsi" w:hAnsiTheme="majorHAnsi"/>
          <w:b/>
          <w:bCs/>
        </w:rPr>
        <w:t>INNO</w:t>
      </w:r>
      <w:r w:rsidRPr="001E4550">
        <w:rPr>
          <w:rFonts w:asciiTheme="majorHAnsi" w:hAnsiTheme="majorHAnsi"/>
          <w:b/>
          <w:bCs/>
          <w:vertAlign w:val="subscript"/>
        </w:rPr>
        <w:t>2</w:t>
      </w:r>
      <w:r w:rsidRPr="001E4550">
        <w:rPr>
          <w:rFonts w:asciiTheme="majorHAnsi" w:hAnsiTheme="majorHAnsi"/>
          <w:b/>
          <w:bCs/>
        </w:rPr>
        <w:t>VATE</w:t>
      </w:r>
      <w:r w:rsidRPr="001E4550">
        <w:rPr>
          <w:rFonts w:asciiTheme="majorHAnsi" w:hAnsiTheme="majorHAnsi"/>
          <w:b/>
        </w:rPr>
        <w:t xml:space="preserve"> </w:t>
      </w:r>
      <w:r w:rsidRPr="001E4550">
        <w:rPr>
          <w:rFonts w:asciiTheme="majorHAnsi" w:hAnsiTheme="majorHAnsi"/>
          <w:b/>
          <w:bCs/>
        </w:rPr>
        <w:t>analysis* of the composite 3-point MACE and individual cardiovascular endpoints</w:t>
      </w:r>
    </w:p>
    <w:tbl>
      <w:tblPr>
        <w:tblW w:w="9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8"/>
        <w:gridCol w:w="1828"/>
        <w:gridCol w:w="1776"/>
        <w:gridCol w:w="1746"/>
      </w:tblGrid>
      <w:tr w:rsidR="008136A8" w:rsidRPr="001E4550" w14:paraId="48DDC2A5" w14:textId="77777777">
        <w:trPr>
          <w:trHeight w:val="720"/>
        </w:trPr>
        <w:tc>
          <w:tcPr>
            <w:tcW w:w="3668" w:type="dxa"/>
            <w:tcBorders>
              <w:top w:val="nil"/>
              <w:left w:val="nil"/>
              <w:bottom w:val="single" w:sz="6" w:space="0" w:color="auto"/>
              <w:right w:val="single" w:sz="6" w:space="0" w:color="auto"/>
            </w:tcBorders>
            <w:shd w:val="clear" w:color="auto" w:fill="auto"/>
            <w:vAlign w:val="bottom"/>
            <w:hideMark/>
          </w:tcPr>
          <w:p w14:paraId="2A79F553" w14:textId="77777777" w:rsidR="008136A8" w:rsidRPr="00DF70B4" w:rsidRDefault="007B0D62">
            <w:pPr>
              <w:spacing w:line="240" w:lineRule="auto"/>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 </w:t>
            </w:r>
          </w:p>
        </w:tc>
        <w:tc>
          <w:tcPr>
            <w:tcW w:w="18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53A82" w14:textId="41D29783"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Vadadustat</w:t>
            </w:r>
          </w:p>
          <w:p w14:paraId="60626065"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N = 1947</w:t>
            </w:r>
            <w:r w:rsidRPr="00DF70B4">
              <w:rPr>
                <w:rFonts w:asciiTheme="majorHAnsi" w:hAnsiTheme="majorHAnsi"/>
                <w:color w:val="00000A"/>
                <w:sz w:val="20"/>
                <w:lang w:eastAsia="ja-JP"/>
              </w:rPr>
              <w:t> </w:t>
            </w:r>
          </w:p>
          <w:p w14:paraId="3918F45C"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n (%)</w:t>
            </w:r>
            <w:r w:rsidRPr="00DF70B4">
              <w:rPr>
                <w:rFonts w:asciiTheme="majorHAnsi" w:hAnsiTheme="majorHAnsi"/>
                <w:color w:val="00000A"/>
                <w:sz w:val="20"/>
                <w:lang w:eastAsia="ja-JP"/>
              </w:rPr>
              <w:t> </w:t>
            </w:r>
          </w:p>
        </w:tc>
        <w:tc>
          <w:tcPr>
            <w:tcW w:w="17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335F5" w14:textId="470B5169"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Darbepoetin alfa</w:t>
            </w:r>
            <w:r w:rsidRPr="00DF70B4">
              <w:rPr>
                <w:rFonts w:asciiTheme="majorHAnsi" w:hAnsiTheme="majorHAnsi"/>
                <w:color w:val="00000A"/>
                <w:sz w:val="20"/>
                <w:lang w:eastAsia="ja-JP"/>
              </w:rPr>
              <w:t> </w:t>
            </w:r>
          </w:p>
          <w:p w14:paraId="3219A4E3"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N = 1955</w:t>
            </w:r>
            <w:r w:rsidRPr="00DF70B4">
              <w:rPr>
                <w:rFonts w:asciiTheme="majorHAnsi" w:hAnsiTheme="majorHAnsi"/>
                <w:color w:val="00000A"/>
                <w:sz w:val="20"/>
                <w:lang w:eastAsia="ja-JP"/>
              </w:rPr>
              <w:t> </w:t>
            </w:r>
          </w:p>
          <w:p w14:paraId="1CD76ABD"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n (%)</w:t>
            </w:r>
            <w:r w:rsidRPr="00DF70B4">
              <w:rPr>
                <w:rFonts w:asciiTheme="majorHAnsi" w:hAnsiTheme="majorHAnsi"/>
                <w:color w:val="00000A"/>
                <w:sz w:val="20"/>
                <w:lang w:eastAsia="ja-JP"/>
              </w:rPr>
              <w:t> </w:t>
            </w:r>
          </w:p>
        </w:tc>
        <w:tc>
          <w:tcPr>
            <w:tcW w:w="17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269913" w14:textId="183EF44D"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Hazard ratio</w:t>
            </w:r>
            <w:r w:rsidRPr="00DF70B4">
              <w:rPr>
                <w:rFonts w:asciiTheme="majorHAnsi" w:hAnsiTheme="majorHAnsi"/>
                <w:color w:val="00000A"/>
                <w:sz w:val="20"/>
                <w:lang w:eastAsia="ja-JP"/>
              </w:rPr>
              <w:t> </w:t>
            </w:r>
          </w:p>
          <w:p w14:paraId="56CB1B28"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[95% CI]</w:t>
            </w:r>
            <w:r w:rsidRPr="00DF70B4">
              <w:rPr>
                <w:rFonts w:asciiTheme="majorHAnsi" w:hAnsiTheme="majorHAnsi"/>
                <w:color w:val="00000A"/>
                <w:sz w:val="20"/>
                <w:lang w:eastAsia="ja-JP"/>
              </w:rPr>
              <w:t> </w:t>
            </w:r>
          </w:p>
        </w:tc>
      </w:tr>
      <w:tr w:rsidR="008136A8" w:rsidRPr="001E4550" w14:paraId="0E9E18F4" w14:textId="77777777">
        <w:tc>
          <w:tcPr>
            <w:tcW w:w="3668" w:type="dxa"/>
            <w:tcBorders>
              <w:top w:val="single" w:sz="6" w:space="0" w:color="auto"/>
              <w:left w:val="single" w:sz="6" w:space="0" w:color="auto"/>
              <w:bottom w:val="single" w:sz="6" w:space="0" w:color="auto"/>
              <w:right w:val="single" w:sz="6" w:space="0" w:color="auto"/>
            </w:tcBorders>
            <w:shd w:val="clear" w:color="auto" w:fill="auto"/>
            <w:hideMark/>
          </w:tcPr>
          <w:p w14:paraId="7E810A1B" w14:textId="5D6FF494" w:rsidR="008136A8" w:rsidRPr="00DF70B4" w:rsidRDefault="007B0D62">
            <w:pPr>
              <w:spacing w:after="0" w:line="240" w:lineRule="auto"/>
              <w:textAlignment w:val="baseline"/>
              <w:rPr>
                <w:rFonts w:asciiTheme="majorHAnsi" w:hAnsiTheme="majorHAnsi" w:cs="Segoe UI"/>
                <w:color w:val="00000A"/>
                <w:sz w:val="18"/>
                <w:szCs w:val="18"/>
                <w:lang w:eastAsia="ja-JP"/>
              </w:rPr>
            </w:pPr>
            <w:r w:rsidRPr="00DF70B4">
              <w:rPr>
                <w:rFonts w:asciiTheme="majorHAnsi" w:hAnsiTheme="majorHAnsi"/>
                <w:b/>
                <w:bCs/>
                <w:color w:val="000000"/>
                <w:sz w:val="20"/>
                <w:lang w:eastAsia="ja-JP"/>
              </w:rPr>
              <w:t>Any</w:t>
            </w:r>
            <w:r w:rsidRPr="00DF70B4">
              <w:rPr>
                <w:rFonts w:asciiTheme="majorHAnsi" w:hAnsiTheme="majorHAnsi"/>
                <w:b/>
                <w:bCs/>
                <w:color w:val="00000A"/>
                <w:sz w:val="20"/>
                <w:lang w:eastAsia="ja-JP"/>
              </w:rPr>
              <w:t xml:space="preserve"> major adverse cardiovascular events</w:t>
            </w:r>
            <w:r w:rsidRPr="00DF70B4">
              <w:rPr>
                <w:rFonts w:asciiTheme="majorHAnsi" w:hAnsiTheme="majorHAnsi"/>
                <w:b/>
                <w:bCs/>
                <w:color w:val="000000"/>
                <w:sz w:val="20"/>
                <w:lang w:eastAsia="ja-JP"/>
              </w:rPr>
              <w:t> (MACE)</w:t>
            </w:r>
            <w:r w:rsidRPr="00DF70B4">
              <w:rPr>
                <w:rFonts w:asciiTheme="majorHAnsi" w:hAnsiTheme="majorHAnsi"/>
                <w:color w:val="000000"/>
                <w:sz w:val="20"/>
                <w:lang w:eastAsia="ja-JP"/>
              </w:rPr>
              <w:t> </w:t>
            </w:r>
          </w:p>
        </w:tc>
        <w:tc>
          <w:tcPr>
            <w:tcW w:w="18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6DA9AA"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355 (18.2) </w:t>
            </w:r>
          </w:p>
        </w:tc>
        <w:tc>
          <w:tcPr>
            <w:tcW w:w="17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12C257"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377 (19.3) </w:t>
            </w:r>
          </w:p>
        </w:tc>
        <w:tc>
          <w:tcPr>
            <w:tcW w:w="17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B64671"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0.96 </w:t>
            </w:r>
          </w:p>
          <w:p w14:paraId="5AB937CA"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[0.83, 1.11] </w:t>
            </w:r>
          </w:p>
        </w:tc>
      </w:tr>
      <w:tr w:rsidR="008136A8" w:rsidRPr="001E4550" w14:paraId="7DEFA65C" w14:textId="77777777">
        <w:tc>
          <w:tcPr>
            <w:tcW w:w="3668" w:type="dxa"/>
            <w:tcBorders>
              <w:top w:val="single" w:sz="6" w:space="0" w:color="auto"/>
              <w:left w:val="single" w:sz="6" w:space="0" w:color="auto"/>
              <w:bottom w:val="single" w:sz="6" w:space="0" w:color="auto"/>
              <w:right w:val="single" w:sz="6" w:space="0" w:color="auto"/>
            </w:tcBorders>
            <w:shd w:val="clear" w:color="auto" w:fill="auto"/>
            <w:hideMark/>
          </w:tcPr>
          <w:p w14:paraId="622FF093" w14:textId="3EAC5489" w:rsidR="008136A8" w:rsidRPr="00DF70B4" w:rsidRDefault="007B0D62">
            <w:pPr>
              <w:spacing w:after="0" w:line="240" w:lineRule="auto"/>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All-cause mortality</w:t>
            </w:r>
            <w:r w:rsidRPr="00DF70B4">
              <w:rPr>
                <w:rFonts w:asciiTheme="majorHAnsi" w:hAnsiTheme="majorHAnsi"/>
                <w:color w:val="00000A"/>
                <w:sz w:val="20"/>
                <w:lang w:eastAsia="ja-JP"/>
              </w:rPr>
              <w:t> </w:t>
            </w:r>
          </w:p>
        </w:tc>
        <w:tc>
          <w:tcPr>
            <w:tcW w:w="18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2D307C"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253 (13.0) </w:t>
            </w:r>
          </w:p>
        </w:tc>
        <w:tc>
          <w:tcPr>
            <w:tcW w:w="17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A9F344"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253 (12.9) </w:t>
            </w:r>
          </w:p>
        </w:tc>
        <w:tc>
          <w:tcPr>
            <w:tcW w:w="17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76E658F5"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 </w:t>
            </w:r>
          </w:p>
        </w:tc>
      </w:tr>
      <w:tr w:rsidR="008136A8" w:rsidRPr="001E4550" w14:paraId="1D02CF93" w14:textId="77777777">
        <w:tc>
          <w:tcPr>
            <w:tcW w:w="3668"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DCE2542" w14:textId="1F33F3AA" w:rsidR="008136A8" w:rsidRPr="00DF70B4" w:rsidRDefault="007B0D62">
            <w:pPr>
              <w:spacing w:after="0" w:line="240" w:lineRule="auto"/>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Non-fatal myocardial infarction</w:t>
            </w:r>
            <w:r w:rsidRPr="00DF70B4">
              <w:rPr>
                <w:rFonts w:asciiTheme="majorHAnsi" w:hAnsiTheme="majorHAnsi"/>
                <w:color w:val="00000A"/>
                <w:sz w:val="20"/>
                <w:lang w:eastAsia="ja-JP"/>
              </w:rPr>
              <w:t> </w:t>
            </w:r>
          </w:p>
        </w:tc>
        <w:tc>
          <w:tcPr>
            <w:tcW w:w="18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784F56"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76 (3.9) </w:t>
            </w:r>
          </w:p>
        </w:tc>
        <w:tc>
          <w:tcPr>
            <w:tcW w:w="17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88618B"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87 (4.5) </w:t>
            </w:r>
          </w:p>
        </w:tc>
        <w:tc>
          <w:tcPr>
            <w:tcW w:w="17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3D130064"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 </w:t>
            </w:r>
          </w:p>
        </w:tc>
      </w:tr>
      <w:tr w:rsidR="008136A8" w:rsidRPr="001E4550" w14:paraId="6756CF0B" w14:textId="77777777">
        <w:tc>
          <w:tcPr>
            <w:tcW w:w="3668" w:type="dxa"/>
            <w:tcBorders>
              <w:top w:val="single" w:sz="6" w:space="0" w:color="auto"/>
              <w:left w:val="single" w:sz="6" w:space="0" w:color="auto"/>
              <w:bottom w:val="single" w:sz="6" w:space="0" w:color="auto"/>
              <w:right w:val="single" w:sz="6" w:space="0" w:color="auto"/>
            </w:tcBorders>
            <w:shd w:val="clear" w:color="auto" w:fill="auto"/>
            <w:hideMark/>
          </w:tcPr>
          <w:p w14:paraId="0FE20CAD" w14:textId="4DD5254D" w:rsidR="008136A8" w:rsidRPr="00DF70B4" w:rsidRDefault="007B0D62">
            <w:pPr>
              <w:spacing w:after="0" w:line="240" w:lineRule="auto"/>
              <w:textAlignment w:val="baseline"/>
              <w:rPr>
                <w:rFonts w:asciiTheme="majorHAnsi" w:hAnsiTheme="majorHAnsi" w:cs="Segoe UI"/>
                <w:color w:val="00000A"/>
                <w:sz w:val="18"/>
                <w:szCs w:val="18"/>
                <w:lang w:eastAsia="ja-JP"/>
              </w:rPr>
            </w:pPr>
            <w:r w:rsidRPr="00DF70B4">
              <w:rPr>
                <w:rFonts w:asciiTheme="majorHAnsi" w:hAnsiTheme="majorHAnsi"/>
                <w:b/>
                <w:bCs/>
                <w:color w:val="00000A"/>
                <w:sz w:val="20"/>
                <w:lang w:eastAsia="ja-JP"/>
              </w:rPr>
              <w:t>Non-fatal stroke</w:t>
            </w:r>
            <w:r w:rsidRPr="00DF70B4">
              <w:rPr>
                <w:rFonts w:asciiTheme="majorHAnsi" w:hAnsiTheme="majorHAnsi"/>
                <w:color w:val="00000A"/>
                <w:sz w:val="20"/>
                <w:lang w:eastAsia="ja-JP"/>
              </w:rPr>
              <w:t> </w:t>
            </w:r>
          </w:p>
        </w:tc>
        <w:tc>
          <w:tcPr>
            <w:tcW w:w="18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0D0D41"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26 (1.3) </w:t>
            </w:r>
          </w:p>
        </w:tc>
        <w:tc>
          <w:tcPr>
            <w:tcW w:w="17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C2709A" w14:textId="77777777"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lang w:eastAsia="ja-JP"/>
              </w:rPr>
              <w:t>37 (1.9) </w:t>
            </w:r>
          </w:p>
        </w:tc>
        <w:tc>
          <w:tcPr>
            <w:tcW w:w="174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F666C56" w14:textId="391AE542" w:rsidR="008136A8" w:rsidRPr="00DF70B4" w:rsidRDefault="007B0D62">
            <w:pPr>
              <w:spacing w:after="0" w:line="240" w:lineRule="auto"/>
              <w:jc w:val="center"/>
              <w:textAlignment w:val="baseline"/>
              <w:rPr>
                <w:rFonts w:asciiTheme="majorHAnsi" w:hAnsiTheme="majorHAnsi" w:cs="Segoe UI"/>
                <w:color w:val="00000A"/>
                <w:sz w:val="18"/>
                <w:szCs w:val="18"/>
                <w:lang w:eastAsia="ja-JP"/>
              </w:rPr>
            </w:pPr>
            <w:r w:rsidRPr="00DF70B4">
              <w:rPr>
                <w:rFonts w:asciiTheme="majorHAnsi" w:hAnsiTheme="majorHAnsi"/>
                <w:color w:val="00000A"/>
                <w:sz w:val="20"/>
                <w:szCs w:val="20"/>
                <w:lang w:eastAsia="ja-JP"/>
              </w:rPr>
              <w:t> </w:t>
            </w:r>
          </w:p>
        </w:tc>
      </w:tr>
    </w:tbl>
    <w:p w14:paraId="2401155E" w14:textId="57D9D56A" w:rsidR="008136A8" w:rsidRPr="00DF70B4" w:rsidRDefault="007B0D62">
      <w:pPr>
        <w:pStyle w:val="pf0"/>
        <w:spacing w:before="0" w:beforeAutospacing="0" w:after="0" w:afterAutospacing="0"/>
        <w:rPr>
          <w:rFonts w:asciiTheme="majorHAnsi" w:hAnsiTheme="majorHAnsi" w:cs="Arial"/>
          <w:sz w:val="20"/>
          <w:szCs w:val="20"/>
          <w:lang w:val="en-AU"/>
        </w:rPr>
      </w:pPr>
      <w:r w:rsidRPr="00DF70B4">
        <w:rPr>
          <w:rStyle w:val="cf01"/>
          <w:rFonts w:asciiTheme="majorHAnsi" w:eastAsiaTheme="majorEastAsia" w:hAnsiTheme="majorHAnsi"/>
          <w:sz w:val="20"/>
          <w:szCs w:val="20"/>
          <w:lang w:val="en-AU"/>
        </w:rPr>
        <w:t>*The MACE analyses were conducted on randomised subjects who received at least 1 dose of study treatment.</w:t>
      </w:r>
    </w:p>
    <w:p w14:paraId="589D8898" w14:textId="5ADD2570" w:rsidR="008136A8" w:rsidRPr="00DF70B4" w:rsidRDefault="007B0D62">
      <w:pPr>
        <w:pStyle w:val="pf0"/>
        <w:spacing w:before="0" w:beforeAutospacing="0" w:after="0" w:afterAutospacing="0"/>
        <w:rPr>
          <w:rStyle w:val="cf01"/>
          <w:rFonts w:asciiTheme="majorHAnsi" w:eastAsiaTheme="majorEastAsia" w:hAnsiTheme="majorHAnsi"/>
          <w:sz w:val="20"/>
          <w:szCs w:val="20"/>
          <w:lang w:val="en-AU"/>
        </w:rPr>
      </w:pPr>
      <w:r w:rsidRPr="00DF70B4">
        <w:rPr>
          <w:rStyle w:val="cf01"/>
          <w:rFonts w:asciiTheme="majorHAnsi" w:eastAsiaTheme="majorEastAsia" w:hAnsiTheme="majorHAnsi"/>
          <w:sz w:val="20"/>
          <w:szCs w:val="20"/>
          <w:lang w:val="en-AU"/>
        </w:rPr>
        <w:t>CI: confidence interval; MACE: major adverse cardiovascular events."</w:t>
      </w:r>
    </w:p>
    <w:p w14:paraId="57A4472D" w14:textId="77777777" w:rsidR="008136A8" w:rsidRPr="00DF70B4" w:rsidRDefault="008136A8">
      <w:pPr>
        <w:pStyle w:val="pf0"/>
        <w:spacing w:before="0" w:beforeAutospacing="0" w:after="0" w:afterAutospacing="0"/>
        <w:rPr>
          <w:rFonts w:asciiTheme="majorHAnsi" w:hAnsiTheme="majorHAnsi" w:cs="Arial"/>
          <w:sz w:val="20"/>
          <w:szCs w:val="20"/>
          <w:lang w:val="en-AU"/>
        </w:rPr>
      </w:pPr>
    </w:p>
    <w:p w14:paraId="2EF13B79" w14:textId="77777777" w:rsidR="008136A8" w:rsidRPr="001E4550" w:rsidRDefault="008136A8">
      <w:pPr>
        <w:rPr>
          <w:rFonts w:asciiTheme="majorHAnsi" w:hAnsiTheme="majorHAnsi"/>
          <w:b/>
          <w:bCs/>
        </w:rPr>
      </w:pPr>
      <w:bookmarkStart w:id="3" w:name="_Ref118458773"/>
    </w:p>
    <w:p w14:paraId="187FF5B4" w14:textId="293B962F" w:rsidR="008136A8" w:rsidRPr="00DF70B4" w:rsidRDefault="004633EC">
      <w:pPr>
        <w:pStyle w:val="Heading2"/>
        <w:keepNext/>
        <w:spacing w:before="0" w:after="120"/>
      </w:pPr>
      <w:bookmarkStart w:id="4" w:name="_Hlk116591939"/>
      <w:bookmarkEnd w:id="3"/>
      <w:r w:rsidRPr="00DF70B4">
        <w:t xml:space="preserve">Pharmacokinetic properties </w:t>
      </w:r>
    </w:p>
    <w:bookmarkEnd w:id="4"/>
    <w:p w14:paraId="0001A973" w14:textId="497164DA" w:rsidR="008136A8" w:rsidRPr="001E4550" w:rsidRDefault="007B0D62">
      <w:pPr>
        <w:pStyle w:val="Heading3"/>
        <w:spacing w:before="0" w:after="120"/>
        <w:rPr>
          <w:rFonts w:cstheme="minorHAnsi"/>
        </w:rPr>
      </w:pPr>
      <w:r w:rsidRPr="001E4550">
        <w:rPr>
          <w:rFonts w:cstheme="minorHAnsi"/>
        </w:rPr>
        <w:t>Absorption</w:t>
      </w:r>
    </w:p>
    <w:p w14:paraId="5DC8653C" w14:textId="1436F8F3" w:rsidR="008136A8" w:rsidRPr="00DF70B4" w:rsidRDefault="007B0D62">
      <w:pPr>
        <w:pStyle w:val="SageBodyText"/>
        <w:spacing w:after="0" w:line="276" w:lineRule="auto"/>
        <w:rPr>
          <w:rFonts w:asciiTheme="majorHAnsi" w:hAnsiTheme="majorHAnsi"/>
          <w:lang w:val="en-AU"/>
        </w:rPr>
      </w:pPr>
      <w:r w:rsidRPr="00DF70B4">
        <w:rPr>
          <w:rFonts w:asciiTheme="majorHAnsi" w:hAnsiTheme="majorHAnsi"/>
          <w:lang w:val="en-AU"/>
        </w:rPr>
        <w:t>Vadadustat is rapidly absorbed after single and repeated oral doses. Median time to peak plasma concentrations (T</w:t>
      </w:r>
      <w:r w:rsidRPr="00DF70B4">
        <w:rPr>
          <w:rFonts w:asciiTheme="majorHAnsi" w:hAnsiTheme="majorHAnsi"/>
          <w:vertAlign w:val="subscript"/>
          <w:lang w:val="en-AU"/>
        </w:rPr>
        <w:t>max</w:t>
      </w:r>
      <w:r w:rsidRPr="00DF70B4">
        <w:rPr>
          <w:rFonts w:asciiTheme="majorHAnsi" w:hAnsiTheme="majorHAnsi"/>
          <w:lang w:val="en-AU"/>
        </w:rPr>
        <w:t xml:space="preserve">) is approximately 2 to 3 hours. No significant accumulation has been observed after repeated dosing. </w:t>
      </w:r>
    </w:p>
    <w:p w14:paraId="1D82D57E" w14:textId="77777777" w:rsidR="008136A8" w:rsidRPr="001E4550" w:rsidRDefault="008136A8"/>
    <w:p w14:paraId="5ACE56F3" w14:textId="3807C7A5" w:rsidR="008136A8" w:rsidRPr="001E4550" w:rsidRDefault="007B0D62">
      <w:pPr>
        <w:pStyle w:val="Heading3"/>
        <w:spacing w:before="0" w:after="120"/>
        <w:rPr>
          <w:rFonts w:cstheme="minorHAnsi"/>
        </w:rPr>
      </w:pPr>
      <w:r w:rsidRPr="001E4550">
        <w:rPr>
          <w:rFonts w:cstheme="minorHAnsi"/>
        </w:rPr>
        <w:t>Distribution</w:t>
      </w:r>
    </w:p>
    <w:p w14:paraId="4BC1615C" w14:textId="59215BF1" w:rsidR="008136A8" w:rsidRPr="00DF70B4" w:rsidRDefault="007B0D62">
      <w:pPr>
        <w:pStyle w:val="SageBodyText"/>
        <w:spacing w:line="276" w:lineRule="auto"/>
        <w:rPr>
          <w:rFonts w:asciiTheme="majorHAnsi" w:hAnsiTheme="majorHAnsi"/>
          <w:lang w:val="en-AU"/>
        </w:rPr>
      </w:pPr>
      <w:r w:rsidRPr="00DF70B4">
        <w:rPr>
          <w:rFonts w:asciiTheme="majorHAnsi" w:hAnsiTheme="majorHAnsi"/>
          <w:lang w:val="en-AU"/>
        </w:rPr>
        <w:t>Vadadustat is highly protein bound (greater than or equal to 99.5% in human plasma). Vadadustat does not distribute into red blood cells.</w:t>
      </w:r>
    </w:p>
    <w:p w14:paraId="1FAE7A8D" w14:textId="77777777" w:rsidR="008136A8" w:rsidRPr="00DF70B4" w:rsidRDefault="008136A8">
      <w:pPr>
        <w:pStyle w:val="SageBodyText"/>
        <w:spacing w:line="276" w:lineRule="auto"/>
        <w:rPr>
          <w:rFonts w:asciiTheme="majorHAnsi" w:hAnsiTheme="majorHAnsi"/>
          <w:lang w:val="en-AU"/>
        </w:rPr>
      </w:pPr>
    </w:p>
    <w:p w14:paraId="38EA8EA2" w14:textId="7F5523F5" w:rsidR="008136A8" w:rsidRPr="001E4550" w:rsidRDefault="007B0D62">
      <w:pPr>
        <w:pStyle w:val="Heading3"/>
        <w:spacing w:before="0" w:after="120"/>
        <w:rPr>
          <w:rFonts w:cstheme="minorHAnsi"/>
        </w:rPr>
      </w:pPr>
      <w:r w:rsidRPr="001E4550">
        <w:rPr>
          <w:rFonts w:cstheme="minorHAnsi"/>
        </w:rPr>
        <w:t>Metabolism</w:t>
      </w:r>
    </w:p>
    <w:p w14:paraId="005174A7" w14:textId="4D2607BA" w:rsidR="008136A8" w:rsidRPr="00DF70B4" w:rsidRDefault="007B0D62">
      <w:pPr>
        <w:pStyle w:val="SageBodyText"/>
        <w:spacing w:line="276" w:lineRule="auto"/>
        <w:rPr>
          <w:rFonts w:asciiTheme="majorHAnsi" w:hAnsiTheme="majorHAnsi"/>
          <w:lang w:val="en-AU"/>
        </w:rPr>
      </w:pPr>
      <w:r w:rsidRPr="00DF70B4">
        <w:rPr>
          <w:rFonts w:asciiTheme="majorHAnsi" w:hAnsiTheme="majorHAnsi"/>
          <w:lang w:val="en-AU"/>
        </w:rPr>
        <w:t>Vadadustat is primarily metabolised via glucuronidation by UDP-glucuronosyltransferase (UGT) enzymes to O-glucuronide conjugates.</w:t>
      </w:r>
    </w:p>
    <w:p w14:paraId="71336684" w14:textId="77777777" w:rsidR="008136A8" w:rsidRPr="00DF70B4" w:rsidRDefault="008136A8">
      <w:pPr>
        <w:pStyle w:val="SageBodyText"/>
        <w:spacing w:line="276" w:lineRule="auto"/>
        <w:rPr>
          <w:rFonts w:asciiTheme="majorHAnsi" w:hAnsiTheme="majorHAnsi"/>
          <w:lang w:val="en-AU"/>
        </w:rPr>
      </w:pPr>
    </w:p>
    <w:p w14:paraId="196EA2D6" w14:textId="024CF82C" w:rsidR="008136A8" w:rsidRPr="001E4550" w:rsidRDefault="007B0D62">
      <w:pPr>
        <w:pStyle w:val="Heading3"/>
        <w:spacing w:before="0" w:after="120"/>
        <w:rPr>
          <w:rFonts w:cstheme="minorHAnsi"/>
        </w:rPr>
      </w:pPr>
      <w:r w:rsidRPr="001E4550">
        <w:rPr>
          <w:rFonts w:cstheme="minorHAnsi"/>
        </w:rPr>
        <w:lastRenderedPageBreak/>
        <w:t>Excretion</w:t>
      </w:r>
    </w:p>
    <w:p w14:paraId="0EA7CE1D" w14:textId="49F50E2B" w:rsidR="006F21FF" w:rsidRPr="00DF70B4" w:rsidRDefault="006F21FF" w:rsidP="00640D70">
      <w:pPr>
        <w:pStyle w:val="SageBodyText"/>
        <w:spacing w:line="276" w:lineRule="auto"/>
        <w:rPr>
          <w:rFonts w:asciiTheme="majorHAnsi" w:hAnsiTheme="majorHAnsi"/>
          <w:lang w:val="en-AU"/>
        </w:rPr>
      </w:pPr>
      <w:r w:rsidRPr="00DF70B4">
        <w:rPr>
          <w:rFonts w:asciiTheme="majorHAnsi" w:hAnsiTheme="majorHAnsi"/>
          <w:lang w:val="en-AU"/>
        </w:rPr>
        <w:t xml:space="preserve">The half-life </w:t>
      </w:r>
      <w:r w:rsidR="007C548C" w:rsidRPr="00DF70B4">
        <w:rPr>
          <w:rFonts w:asciiTheme="majorHAnsi" w:hAnsiTheme="majorHAnsi"/>
          <w:lang w:val="en-AU"/>
        </w:rPr>
        <w:t xml:space="preserve">of vadadustat in DD-CKD patients </w:t>
      </w:r>
      <w:r w:rsidRPr="00DF70B4">
        <w:rPr>
          <w:rFonts w:asciiTheme="majorHAnsi" w:hAnsiTheme="majorHAnsi"/>
          <w:lang w:val="en-AU"/>
        </w:rPr>
        <w:t>was 9.2 hours. After a single oral dose of radiolabelled vadadustat 650 mg to healthy adults, 85.9% of the dose was recovered (58.9% in urine and 26.9% in faeces). The excretion for vadadustat (unchanged form) was less than 1% in urine and about 9% in faeces.</w:t>
      </w:r>
    </w:p>
    <w:p w14:paraId="45DDF1DB" w14:textId="77777777" w:rsidR="008136A8" w:rsidRPr="00DF70B4" w:rsidRDefault="008136A8">
      <w:pPr>
        <w:pStyle w:val="SageBodyText"/>
        <w:spacing w:line="276" w:lineRule="auto"/>
        <w:rPr>
          <w:rFonts w:asciiTheme="majorHAnsi" w:hAnsiTheme="majorHAnsi"/>
          <w:lang w:val="en-AU"/>
        </w:rPr>
      </w:pPr>
    </w:p>
    <w:p w14:paraId="7611E2CF" w14:textId="77777777" w:rsidR="008136A8" w:rsidRPr="001E4550" w:rsidRDefault="007B0D62">
      <w:pPr>
        <w:pStyle w:val="Heading3"/>
        <w:spacing w:before="0" w:after="120"/>
        <w:rPr>
          <w:rFonts w:cstheme="minorHAnsi"/>
        </w:rPr>
      </w:pPr>
      <w:r w:rsidRPr="001E4550">
        <w:rPr>
          <w:rFonts w:cstheme="minorHAnsi"/>
        </w:rPr>
        <w:t>Linearity/non-linearity</w:t>
      </w:r>
    </w:p>
    <w:p w14:paraId="499A548D" w14:textId="22BA42AD" w:rsidR="008136A8" w:rsidRPr="00DF70B4" w:rsidRDefault="007B0D62">
      <w:pPr>
        <w:pStyle w:val="SageBodyText"/>
        <w:spacing w:line="276" w:lineRule="auto"/>
        <w:rPr>
          <w:rFonts w:asciiTheme="majorHAnsi" w:hAnsiTheme="majorHAnsi"/>
          <w:lang w:val="en-AU"/>
        </w:rPr>
      </w:pPr>
      <w:r w:rsidRPr="00DF70B4">
        <w:rPr>
          <w:rFonts w:asciiTheme="majorHAnsi" w:hAnsiTheme="majorHAnsi"/>
          <w:lang w:val="en-AU"/>
        </w:rPr>
        <w:t>The pharmacokinetics (AUC and C</w:t>
      </w:r>
      <w:r w:rsidRPr="00DF70B4">
        <w:rPr>
          <w:rFonts w:asciiTheme="majorHAnsi" w:hAnsiTheme="majorHAnsi"/>
          <w:vertAlign w:val="subscript"/>
          <w:lang w:val="en-AU"/>
        </w:rPr>
        <w:t>max</w:t>
      </w:r>
      <w:r w:rsidRPr="00DF70B4">
        <w:rPr>
          <w:rFonts w:asciiTheme="majorHAnsi" w:hAnsiTheme="majorHAnsi"/>
          <w:lang w:val="en-AU"/>
        </w:rPr>
        <w:t xml:space="preserve">) of vadadustat are linear and increase proportional to dose after single doses from 80 mg to 1200 mg.  </w:t>
      </w:r>
    </w:p>
    <w:p w14:paraId="2B8A18E9" w14:textId="77777777" w:rsidR="008136A8" w:rsidRPr="00DF70B4" w:rsidRDefault="008136A8">
      <w:pPr>
        <w:pStyle w:val="SageBodyText"/>
        <w:spacing w:line="276" w:lineRule="auto"/>
        <w:rPr>
          <w:rFonts w:asciiTheme="majorHAnsi" w:hAnsiTheme="majorHAnsi"/>
          <w:lang w:val="en-AU"/>
        </w:rPr>
      </w:pPr>
    </w:p>
    <w:p w14:paraId="6A8E1B51" w14:textId="501E5A50" w:rsidR="008136A8" w:rsidRPr="001E4550" w:rsidRDefault="007B0D62">
      <w:pPr>
        <w:pStyle w:val="Heading3"/>
        <w:rPr>
          <w:rFonts w:cstheme="minorHAnsi"/>
        </w:rPr>
      </w:pPr>
      <w:r w:rsidRPr="001E4550">
        <w:t>Pharmacokinetics in special populations</w:t>
      </w:r>
    </w:p>
    <w:p w14:paraId="68BAD016" w14:textId="77777777" w:rsidR="008136A8" w:rsidRPr="001E4550" w:rsidRDefault="007B0D62">
      <w:pPr>
        <w:pStyle w:val="Heading4"/>
      </w:pPr>
      <w:r w:rsidRPr="001E4550">
        <w:t>Renal impairment</w:t>
      </w:r>
    </w:p>
    <w:p w14:paraId="2C103AB1" w14:textId="1C9731A4" w:rsidR="0014065E" w:rsidRPr="00DF70B4" w:rsidRDefault="6982D199" w:rsidP="6982D199">
      <w:pPr>
        <w:pStyle w:val="SageBodyText"/>
        <w:spacing w:line="276" w:lineRule="auto"/>
        <w:rPr>
          <w:rFonts w:asciiTheme="majorHAnsi" w:hAnsiTheme="majorHAnsi"/>
          <w:lang w:val="en-AU"/>
        </w:rPr>
      </w:pPr>
      <w:r w:rsidRPr="00DF70B4">
        <w:rPr>
          <w:rFonts w:asciiTheme="majorHAnsi" w:hAnsiTheme="majorHAnsi"/>
          <w:lang w:val="en-AU"/>
        </w:rPr>
        <w:t xml:space="preserve">Vadadustat exposures in </w:t>
      </w:r>
      <w:r w:rsidR="003D695C" w:rsidRPr="00DF70B4">
        <w:rPr>
          <w:rFonts w:asciiTheme="majorHAnsi" w:hAnsiTheme="majorHAnsi"/>
          <w:lang w:val="en-AU"/>
        </w:rPr>
        <w:t xml:space="preserve">DD-CKD </w:t>
      </w:r>
      <w:r w:rsidRPr="00DF70B4">
        <w:rPr>
          <w:rFonts w:asciiTheme="majorHAnsi" w:hAnsiTheme="majorHAnsi"/>
          <w:lang w:val="en-AU"/>
        </w:rPr>
        <w:t xml:space="preserve">patients were approximately 2-fold higher compared to healthy subjects. </w:t>
      </w:r>
      <w:r w:rsidR="0096360C" w:rsidRPr="00DF70B4">
        <w:rPr>
          <w:rFonts w:asciiTheme="majorHAnsi" w:hAnsiTheme="majorHAnsi"/>
          <w:lang w:val="en-AU"/>
        </w:rPr>
        <w:t>N</w:t>
      </w:r>
      <w:r w:rsidRPr="00DF70B4">
        <w:rPr>
          <w:rFonts w:asciiTheme="majorHAnsi" w:hAnsiTheme="majorHAnsi"/>
          <w:lang w:val="en-AU"/>
        </w:rPr>
        <w:t>o significant differences in pharmacokinetics (C</w:t>
      </w:r>
      <w:r w:rsidRPr="00DF70B4">
        <w:rPr>
          <w:rFonts w:asciiTheme="majorHAnsi" w:hAnsiTheme="majorHAnsi"/>
          <w:vertAlign w:val="subscript"/>
          <w:lang w:val="en-AU"/>
        </w:rPr>
        <w:t>max</w:t>
      </w:r>
      <w:r w:rsidRPr="00DF70B4">
        <w:rPr>
          <w:rFonts w:asciiTheme="majorHAnsi" w:hAnsiTheme="majorHAnsi"/>
          <w:lang w:val="en-AU"/>
        </w:rPr>
        <w:t>, AUC or mean half-life) were observed when vadadustat was administered 4 hours before dialysis or 2 hours after dialysis.</w:t>
      </w:r>
    </w:p>
    <w:p w14:paraId="62FE17D3" w14:textId="77777777" w:rsidR="008136A8" w:rsidRPr="00DF70B4" w:rsidRDefault="008136A8">
      <w:pPr>
        <w:pStyle w:val="SageBodyText"/>
        <w:spacing w:line="276" w:lineRule="auto"/>
        <w:rPr>
          <w:rFonts w:asciiTheme="majorHAnsi" w:hAnsiTheme="majorHAnsi"/>
          <w:lang w:val="en-AU"/>
        </w:rPr>
      </w:pPr>
    </w:p>
    <w:p w14:paraId="05A85346" w14:textId="1BF92C51" w:rsidR="008136A8" w:rsidRPr="001E4550" w:rsidRDefault="007B0D62">
      <w:pPr>
        <w:pStyle w:val="Heading4"/>
      </w:pPr>
      <w:r w:rsidRPr="001E4550">
        <w:t>Hepatic impairment</w:t>
      </w:r>
    </w:p>
    <w:p w14:paraId="7AEAED05" w14:textId="6576A68F" w:rsidR="008136A8" w:rsidRPr="00DF70B4" w:rsidRDefault="007B0D62">
      <w:pPr>
        <w:pStyle w:val="SageBodyText"/>
        <w:spacing w:line="276" w:lineRule="auto"/>
        <w:rPr>
          <w:rFonts w:asciiTheme="majorHAnsi" w:hAnsiTheme="majorHAnsi"/>
          <w:lang w:val="en-AU"/>
        </w:rPr>
      </w:pPr>
      <w:r w:rsidRPr="00DF70B4">
        <w:rPr>
          <w:rFonts w:asciiTheme="majorHAnsi" w:hAnsiTheme="majorHAnsi"/>
          <w:lang w:val="en-AU"/>
        </w:rPr>
        <w:t>Data from 8 patients with moderate hepatic impairment (Child-Pugh Class B) showed a small increase in AUC (6%) which is not expected to have clinical significance. The half-life and apparent total body clearance for vadadustat were comparable between subjects with normal hepatic function and subjects with moderate hepatic function. However, caution in this patient group is recommended. Vadadustat has not been studied in severe hepatic impairment (Child-Pugh Class C).</w:t>
      </w:r>
      <w:r w:rsidR="007556D3" w:rsidRPr="00DF70B4">
        <w:rPr>
          <w:rFonts w:asciiTheme="majorHAnsi" w:hAnsiTheme="majorHAnsi"/>
          <w:lang w:val="en-AU"/>
        </w:rPr>
        <w:t xml:space="preserve"> </w:t>
      </w:r>
    </w:p>
    <w:p w14:paraId="7B49F1AB" w14:textId="77777777" w:rsidR="008136A8" w:rsidRPr="00DF70B4" w:rsidRDefault="008136A8">
      <w:pPr>
        <w:pStyle w:val="SageBodyText"/>
        <w:spacing w:line="276" w:lineRule="auto"/>
        <w:rPr>
          <w:rFonts w:asciiTheme="majorHAnsi" w:hAnsiTheme="majorHAnsi"/>
          <w:lang w:val="en-AU"/>
        </w:rPr>
      </w:pPr>
    </w:p>
    <w:p w14:paraId="007E82C5" w14:textId="599E38CD" w:rsidR="008136A8" w:rsidRPr="00DF70B4" w:rsidRDefault="007B0D62">
      <w:pPr>
        <w:pStyle w:val="SageBodyText"/>
        <w:spacing w:after="200" w:line="276" w:lineRule="auto"/>
        <w:rPr>
          <w:rFonts w:asciiTheme="majorHAnsi" w:hAnsiTheme="majorHAnsi"/>
          <w:u w:val="single"/>
          <w:lang w:val="en-AU"/>
        </w:rPr>
      </w:pPr>
      <w:r w:rsidRPr="00DF70B4">
        <w:rPr>
          <w:rFonts w:asciiTheme="majorHAnsi" w:hAnsiTheme="majorHAnsi"/>
          <w:u w:val="single"/>
          <w:lang w:val="en-AU"/>
        </w:rPr>
        <w:t>Age, gender, race, and body weight</w:t>
      </w:r>
    </w:p>
    <w:p w14:paraId="5A41D885" w14:textId="752BB5AE" w:rsidR="008136A8" w:rsidRPr="00DF70B4" w:rsidRDefault="007B0D62">
      <w:pPr>
        <w:pStyle w:val="SageBodyText"/>
        <w:spacing w:line="276" w:lineRule="auto"/>
        <w:rPr>
          <w:rFonts w:asciiTheme="majorHAnsi" w:hAnsiTheme="majorHAnsi"/>
          <w:lang w:val="en-AU"/>
        </w:rPr>
      </w:pPr>
      <w:r w:rsidRPr="00DF70B4">
        <w:rPr>
          <w:rFonts w:asciiTheme="majorHAnsi" w:hAnsiTheme="majorHAnsi"/>
          <w:lang w:val="en-AU"/>
        </w:rPr>
        <w:t xml:space="preserve">Population pharmacokinetic analysis did not suggest any clinically significant effects of age (19 to </w:t>
      </w:r>
      <w:r w:rsidR="004A6D1F" w:rsidRPr="00DF70B4">
        <w:rPr>
          <w:rFonts w:asciiTheme="majorHAnsi" w:hAnsiTheme="majorHAnsi"/>
          <w:lang w:val="en-AU"/>
        </w:rPr>
        <w:t xml:space="preserve">93 </w:t>
      </w:r>
      <w:r w:rsidRPr="00DF70B4">
        <w:rPr>
          <w:rFonts w:asciiTheme="majorHAnsi" w:hAnsiTheme="majorHAnsi"/>
          <w:lang w:val="en-AU"/>
        </w:rPr>
        <w:t>years), gender, race, or body weight (</w:t>
      </w:r>
      <w:r w:rsidR="008D5EF2" w:rsidRPr="00DF70B4">
        <w:rPr>
          <w:rFonts w:asciiTheme="majorHAnsi" w:hAnsiTheme="majorHAnsi"/>
          <w:lang w:val="en-AU"/>
        </w:rPr>
        <w:t xml:space="preserve">32 </w:t>
      </w:r>
      <w:r w:rsidRPr="00DF70B4">
        <w:rPr>
          <w:rFonts w:asciiTheme="majorHAnsi" w:hAnsiTheme="majorHAnsi"/>
          <w:lang w:val="en-AU"/>
        </w:rPr>
        <w:t xml:space="preserve">to </w:t>
      </w:r>
      <w:r w:rsidR="008D5EF2" w:rsidRPr="00DF70B4">
        <w:rPr>
          <w:rFonts w:asciiTheme="majorHAnsi" w:hAnsiTheme="majorHAnsi"/>
          <w:lang w:val="en-AU"/>
        </w:rPr>
        <w:t xml:space="preserve">204 </w:t>
      </w:r>
      <w:r w:rsidRPr="00DF70B4">
        <w:rPr>
          <w:rFonts w:asciiTheme="majorHAnsi" w:hAnsiTheme="majorHAnsi"/>
          <w:lang w:val="en-AU"/>
        </w:rPr>
        <w:t xml:space="preserve">kg) on the pharmacokinetics of vadadustat. </w:t>
      </w:r>
    </w:p>
    <w:p w14:paraId="01FE950C" w14:textId="2DF663D9" w:rsidR="008136A8" w:rsidRPr="00DF70B4" w:rsidRDefault="007B0D62">
      <w:pPr>
        <w:pStyle w:val="SageBodyText"/>
        <w:spacing w:line="276" w:lineRule="auto"/>
        <w:rPr>
          <w:rFonts w:asciiTheme="majorHAnsi" w:hAnsiTheme="majorHAnsi"/>
          <w:lang w:val="en-AU"/>
        </w:rPr>
      </w:pPr>
      <w:r w:rsidRPr="00DF70B4">
        <w:rPr>
          <w:rFonts w:asciiTheme="majorHAnsi" w:hAnsiTheme="majorHAnsi"/>
          <w:lang w:val="en-AU"/>
        </w:rPr>
        <w:t>A sensitivity analysis at body weight extremes (30.1 to 204 kg) showed that the dose titration algorithm resulted in predicted Hb levels at the limits of the predefined window of 100 to 120 g/L. Therefore, no dose-adjustment is proposed at body weight extremes.</w:t>
      </w:r>
    </w:p>
    <w:p w14:paraId="5DB9C17C" w14:textId="77777777" w:rsidR="008136A8" w:rsidRPr="00DF70B4" w:rsidRDefault="008136A8">
      <w:pPr>
        <w:pStyle w:val="SageBodyText"/>
        <w:spacing w:line="276" w:lineRule="auto"/>
        <w:rPr>
          <w:lang w:val="en-AU"/>
        </w:rPr>
      </w:pPr>
    </w:p>
    <w:p w14:paraId="4469B83E" w14:textId="39E3655B" w:rsidR="008136A8" w:rsidRPr="00DF70B4" w:rsidRDefault="007B0D62" w:rsidP="00CF4F62">
      <w:pPr>
        <w:pStyle w:val="Heading2"/>
        <w:keepNext/>
        <w:spacing w:before="0" w:after="120"/>
        <w:ind w:left="578" w:hanging="578"/>
      </w:pPr>
      <w:r w:rsidRPr="001E4550">
        <w:lastRenderedPageBreak/>
        <w:t xml:space="preserve"> </w:t>
      </w:r>
      <w:r w:rsidRPr="00DF70B4">
        <w:t>Preclinical safety data</w:t>
      </w:r>
    </w:p>
    <w:p w14:paraId="26CE0DD3" w14:textId="22958096" w:rsidR="008136A8" w:rsidRPr="001E4550" w:rsidRDefault="008D3DD3">
      <w:pPr>
        <w:pStyle w:val="Heading3"/>
        <w:spacing w:before="0" w:after="120"/>
      </w:pPr>
      <w:r w:rsidRPr="001E4550">
        <w:t>Genotoxicity</w:t>
      </w:r>
    </w:p>
    <w:p w14:paraId="680E0B9F" w14:textId="0649B57F" w:rsidR="008136A8" w:rsidRPr="00DF70B4" w:rsidRDefault="007B0D62">
      <w:pPr>
        <w:pStyle w:val="SageBodyText"/>
        <w:spacing w:after="0" w:line="276" w:lineRule="auto"/>
        <w:rPr>
          <w:rFonts w:asciiTheme="majorHAnsi" w:hAnsiTheme="majorHAnsi"/>
          <w:lang w:val="en-AU"/>
        </w:rPr>
      </w:pPr>
      <w:r w:rsidRPr="00DF70B4">
        <w:rPr>
          <w:rFonts w:asciiTheme="majorHAnsi" w:hAnsiTheme="majorHAnsi"/>
          <w:lang w:val="en-AU"/>
        </w:rPr>
        <w:t xml:space="preserve">Vadadustat was negative for mutagenicity in bacteria (Ames test), while positive results for clastogenicity were returned in the </w:t>
      </w:r>
      <w:r w:rsidRPr="00DF70B4">
        <w:rPr>
          <w:rFonts w:asciiTheme="majorHAnsi" w:hAnsiTheme="majorHAnsi"/>
          <w:i/>
          <w:iCs/>
          <w:lang w:val="en-AU"/>
        </w:rPr>
        <w:t>in vitro</w:t>
      </w:r>
      <w:r w:rsidRPr="00DF70B4">
        <w:rPr>
          <w:rFonts w:asciiTheme="majorHAnsi" w:hAnsiTheme="majorHAnsi"/>
          <w:lang w:val="en-AU"/>
        </w:rPr>
        <w:t xml:space="preserve"> chromosomal aberration assay (in Chinese Hamster Ovary cells in the absence of metabolic activation). Positive results for genotoxicity were also obtained in an </w:t>
      </w:r>
      <w:r w:rsidRPr="00DF70B4">
        <w:rPr>
          <w:rFonts w:asciiTheme="majorHAnsi" w:hAnsiTheme="majorHAnsi"/>
          <w:i/>
          <w:iCs/>
          <w:lang w:val="en-AU"/>
        </w:rPr>
        <w:t>in vitro</w:t>
      </w:r>
      <w:r w:rsidRPr="00DF70B4">
        <w:rPr>
          <w:rFonts w:asciiTheme="majorHAnsi" w:hAnsiTheme="majorHAnsi"/>
          <w:lang w:val="en-AU"/>
        </w:rPr>
        <w:t xml:space="preserve"> assay for DNA damage (GreenScreen assay in two human cell lines; examining induction of reporter gene expression), but only at cytotoxic concentrations. </w:t>
      </w:r>
      <w:r w:rsidRPr="00DF70B4">
        <w:rPr>
          <w:rFonts w:asciiTheme="majorHAnsi" w:hAnsiTheme="majorHAnsi"/>
          <w:i/>
          <w:iCs/>
          <w:lang w:val="en-AU"/>
        </w:rPr>
        <w:t>In vivo</w:t>
      </w:r>
      <w:r w:rsidRPr="00DF70B4">
        <w:rPr>
          <w:rFonts w:asciiTheme="majorHAnsi" w:hAnsiTheme="majorHAnsi"/>
          <w:lang w:val="en-AU"/>
        </w:rPr>
        <w:t>, vadadustat was not clastogenic in peripheral blood lymphocytes isolated from rats dosed orally at 60 mg/kg/day for 5 days, nor did it cause DNA damage in liver cells (Comet assay) in rats given a single oral dose up to 2000 mg/kg. Based on the weight of evidence, vadadustat is not considered genotoxic.</w:t>
      </w:r>
    </w:p>
    <w:p w14:paraId="40CAFEA9" w14:textId="77777777" w:rsidR="008136A8" w:rsidRPr="00DF70B4" w:rsidRDefault="008136A8">
      <w:pPr>
        <w:pStyle w:val="SageBodyText"/>
        <w:spacing w:after="0" w:line="276" w:lineRule="auto"/>
        <w:rPr>
          <w:rFonts w:asciiTheme="majorHAnsi" w:hAnsiTheme="majorHAnsi"/>
          <w:lang w:val="en-AU"/>
        </w:rPr>
      </w:pPr>
    </w:p>
    <w:p w14:paraId="49F50F53" w14:textId="5C974E80" w:rsidR="008136A8" w:rsidRPr="00DF70B4" w:rsidRDefault="007B0D62">
      <w:pPr>
        <w:pStyle w:val="Heading3"/>
        <w:spacing w:before="0" w:after="120"/>
      </w:pPr>
      <w:r w:rsidRPr="001E4550">
        <w:t>Carcin</w:t>
      </w:r>
      <w:r w:rsidRPr="00DF70B4">
        <w:t>ogenicity</w:t>
      </w:r>
    </w:p>
    <w:p w14:paraId="6DF2ACD5" w14:textId="459DA08D" w:rsidR="008136A8" w:rsidRPr="00DF70B4" w:rsidRDefault="007B0D62" w:rsidP="00577F15">
      <w:pPr>
        <w:pStyle w:val="SageBodyText"/>
        <w:spacing w:after="0" w:line="276" w:lineRule="auto"/>
        <w:rPr>
          <w:rFonts w:asciiTheme="majorHAnsi" w:hAnsiTheme="majorHAnsi"/>
          <w:lang w:val="en-AU"/>
        </w:rPr>
      </w:pPr>
      <w:r w:rsidRPr="00DF70B4">
        <w:rPr>
          <w:rFonts w:asciiTheme="majorHAnsi" w:hAnsiTheme="majorHAnsi"/>
          <w:lang w:val="en-AU"/>
        </w:rPr>
        <w:t>The carcinogenic potential of vadadustat was evaluated in a 6-month study in transgenic (Tg.rasH2) mice and in a 2-year study in rats, both conducted by the oral route. Vadadustat was not carcinogenic in either species up to the highest dose levels tested (50 mg/kg/day in mice and 20 mg/kg/day in rats). Plasma exposure at the highest doses tested in animals was 3.6 -_4.8 times lower than that in humans at the maximum recommended human dose (MRHD) of 600 mg/day, and this limits the predictive value of the studies.</w:t>
      </w:r>
    </w:p>
    <w:p w14:paraId="6064315C" w14:textId="62EA144B" w:rsidR="008136A8" w:rsidRPr="00DF70B4" w:rsidRDefault="008136A8">
      <w:pPr>
        <w:autoSpaceDE w:val="0"/>
        <w:autoSpaceDN w:val="0"/>
        <w:adjustRightInd w:val="0"/>
        <w:spacing w:after="0"/>
        <w:rPr>
          <w:rFonts w:asciiTheme="majorHAnsi" w:eastAsia="Arial Unicode MS" w:hAnsiTheme="majorHAnsi" w:cs="Times New Roman"/>
          <w:szCs w:val="24"/>
          <w:highlight w:val="yellow"/>
          <w:lang w:eastAsia="zh-TW"/>
        </w:rPr>
      </w:pPr>
    </w:p>
    <w:p w14:paraId="5959BB6B" w14:textId="38A6DE08" w:rsidR="008136A8" w:rsidRPr="00DF70B4" w:rsidRDefault="00214D77">
      <w:pPr>
        <w:pStyle w:val="Heading1"/>
        <w:spacing w:before="0" w:after="120"/>
      </w:pPr>
      <w:r w:rsidRPr="00DF70B4">
        <w:t>Pharmaceutical particulars</w:t>
      </w:r>
    </w:p>
    <w:p w14:paraId="6277D0A9" w14:textId="77777777" w:rsidR="008136A8" w:rsidRPr="00DF70B4" w:rsidRDefault="007B0D62">
      <w:pPr>
        <w:pStyle w:val="Heading2"/>
        <w:spacing w:before="0" w:after="120"/>
        <w:rPr>
          <w:rFonts w:cstheme="minorHAnsi"/>
        </w:rPr>
      </w:pPr>
      <w:r w:rsidRPr="00DF70B4">
        <w:rPr>
          <w:rFonts w:cstheme="minorHAnsi"/>
        </w:rPr>
        <w:t xml:space="preserve">List of excipients </w:t>
      </w:r>
    </w:p>
    <w:p w14:paraId="298CC69A" w14:textId="1644866F" w:rsidR="008136A8" w:rsidRPr="00DF70B4" w:rsidRDefault="007B0D62">
      <w:pPr>
        <w:autoSpaceDE w:val="0"/>
        <w:autoSpaceDN w:val="0"/>
        <w:adjustRightInd w:val="0"/>
        <w:rPr>
          <w:rFonts w:asciiTheme="majorHAnsi" w:eastAsia="Arial Unicode MS" w:hAnsiTheme="majorHAnsi" w:cs="Times New Roman"/>
          <w:szCs w:val="24"/>
          <w:lang w:eastAsia="zh-TW"/>
        </w:rPr>
      </w:pPr>
      <w:r w:rsidRPr="00DF70B4">
        <w:rPr>
          <w:rFonts w:asciiTheme="majorHAnsi" w:eastAsia="Arial Unicode MS" w:hAnsiTheme="majorHAnsi" w:cs="Times New Roman"/>
          <w:szCs w:val="24"/>
          <w:lang w:eastAsia="zh-TW"/>
        </w:rPr>
        <w:t xml:space="preserve">Each film-coated tablet of Vafseo contains the following inactive ingredients: microcrystalline cellulose, sodium starch </w:t>
      </w:r>
      <w:r w:rsidR="00E144CE" w:rsidRPr="00DF70B4">
        <w:rPr>
          <w:rFonts w:asciiTheme="majorHAnsi" w:eastAsia="Arial Unicode MS" w:hAnsiTheme="majorHAnsi" w:cs="Times New Roman"/>
          <w:szCs w:val="24"/>
          <w:lang w:eastAsia="zh-TW"/>
        </w:rPr>
        <w:t>glyco</w:t>
      </w:r>
      <w:r w:rsidR="00163584" w:rsidRPr="00DF70B4">
        <w:rPr>
          <w:rFonts w:asciiTheme="majorHAnsi" w:eastAsia="Arial Unicode MS" w:hAnsiTheme="majorHAnsi" w:cs="Times New Roman"/>
          <w:szCs w:val="24"/>
          <w:lang w:eastAsia="zh-TW"/>
        </w:rPr>
        <w:t>l</w:t>
      </w:r>
      <w:r w:rsidR="00E144CE" w:rsidRPr="00DF70B4">
        <w:rPr>
          <w:rFonts w:asciiTheme="majorHAnsi" w:eastAsia="Arial Unicode MS" w:hAnsiTheme="majorHAnsi" w:cs="Times New Roman"/>
          <w:szCs w:val="24"/>
          <w:lang w:eastAsia="zh-TW"/>
        </w:rPr>
        <w:t>ate</w:t>
      </w:r>
      <w:r w:rsidRPr="00DF70B4">
        <w:rPr>
          <w:rFonts w:asciiTheme="majorHAnsi" w:eastAsia="Arial Unicode MS" w:hAnsiTheme="majorHAnsi" w:cs="Times New Roman"/>
          <w:szCs w:val="24"/>
          <w:lang w:eastAsia="zh-TW"/>
        </w:rPr>
        <w:t xml:space="preserve">, hypromellose, silicon dioxide and magnesium stearate. </w:t>
      </w:r>
    </w:p>
    <w:p w14:paraId="2C07A7B4" w14:textId="77777777" w:rsidR="008136A8" w:rsidRPr="00DF70B4" w:rsidRDefault="008136A8">
      <w:pPr>
        <w:autoSpaceDE w:val="0"/>
        <w:autoSpaceDN w:val="0"/>
        <w:adjustRightInd w:val="0"/>
        <w:rPr>
          <w:rFonts w:asciiTheme="majorHAnsi" w:eastAsia="Arial Unicode MS" w:hAnsiTheme="majorHAnsi" w:cs="Times New Roman"/>
          <w:szCs w:val="24"/>
          <w:lang w:eastAsia="zh-TW"/>
        </w:rPr>
      </w:pPr>
    </w:p>
    <w:p w14:paraId="517E450C" w14:textId="5DE5FCE8" w:rsidR="008136A8" w:rsidRPr="001E4550" w:rsidRDefault="007B0D62">
      <w:pPr>
        <w:autoSpaceDE w:val="0"/>
        <w:autoSpaceDN w:val="0"/>
        <w:adjustRightInd w:val="0"/>
        <w:spacing w:line="240" w:lineRule="auto"/>
        <w:rPr>
          <w:rFonts w:asciiTheme="majorHAnsi" w:eastAsia="Arial Unicode MS" w:hAnsiTheme="majorHAnsi" w:cs="Times New Roman"/>
          <w:b/>
          <w:bCs/>
          <w:i/>
          <w:iCs/>
          <w:szCs w:val="24"/>
          <w:lang w:eastAsia="zh-TW"/>
        </w:rPr>
      </w:pPr>
      <w:r w:rsidRPr="001E4550">
        <w:rPr>
          <w:rFonts w:asciiTheme="majorHAnsi" w:eastAsia="Arial Unicode MS" w:hAnsiTheme="majorHAnsi" w:cs="Times New Roman"/>
          <w:b/>
          <w:bCs/>
          <w:i/>
          <w:iCs/>
          <w:szCs w:val="24"/>
          <w:lang w:eastAsia="zh-TW"/>
        </w:rPr>
        <w:t>Film-coating</w:t>
      </w:r>
    </w:p>
    <w:p w14:paraId="6CFCC8D6" w14:textId="15E0D3E5" w:rsidR="008136A8" w:rsidRPr="00DF70B4" w:rsidRDefault="007B0D62">
      <w:pPr>
        <w:autoSpaceDE w:val="0"/>
        <w:autoSpaceDN w:val="0"/>
        <w:adjustRightInd w:val="0"/>
        <w:spacing w:after="240" w:line="240" w:lineRule="auto"/>
        <w:rPr>
          <w:rFonts w:asciiTheme="majorHAnsi" w:eastAsia="Arial Unicode MS" w:hAnsiTheme="majorHAnsi" w:cs="Times New Roman"/>
          <w:szCs w:val="24"/>
          <w:lang w:eastAsia="zh-TW"/>
        </w:rPr>
      </w:pPr>
      <w:r w:rsidRPr="00DF70B4">
        <w:rPr>
          <w:rFonts w:asciiTheme="majorHAnsi" w:eastAsia="Arial Unicode MS" w:hAnsiTheme="majorHAnsi" w:cs="Times New Roman"/>
          <w:szCs w:val="24"/>
          <w:lang w:eastAsia="zh-TW"/>
        </w:rPr>
        <w:t>Vafseo 150 mg film-coated tablets: Opadry</w:t>
      </w:r>
      <w:r w:rsidRPr="00DF70B4">
        <w:rPr>
          <w:rFonts w:asciiTheme="majorHAnsi" w:eastAsia="Arial Unicode MS" w:hAnsiTheme="majorHAnsi" w:cs="Times New Roman"/>
          <w:szCs w:val="24"/>
          <w:vertAlign w:val="superscript"/>
          <w:lang w:eastAsia="zh-TW"/>
        </w:rPr>
        <w:t>®</w:t>
      </w:r>
      <w:r w:rsidRPr="00DF70B4">
        <w:rPr>
          <w:rFonts w:asciiTheme="majorHAnsi" w:eastAsia="Arial Unicode MS" w:hAnsiTheme="majorHAnsi" w:cs="Times New Roman"/>
          <w:szCs w:val="24"/>
          <w:lang w:eastAsia="zh-TW"/>
        </w:rPr>
        <w:t xml:space="preserve"> II White 85F18422</w:t>
      </w:r>
    </w:p>
    <w:p w14:paraId="031AD5B7" w14:textId="546EC8ED" w:rsidR="008136A8" w:rsidRPr="00DF70B4" w:rsidRDefault="007B0D62">
      <w:pPr>
        <w:autoSpaceDE w:val="0"/>
        <w:autoSpaceDN w:val="0"/>
        <w:adjustRightInd w:val="0"/>
        <w:spacing w:after="240" w:line="240" w:lineRule="auto"/>
        <w:rPr>
          <w:rFonts w:asciiTheme="majorHAnsi" w:eastAsia="Arial Unicode MS" w:hAnsiTheme="majorHAnsi" w:cs="Times New Roman"/>
          <w:szCs w:val="24"/>
          <w:lang w:eastAsia="zh-TW"/>
        </w:rPr>
      </w:pPr>
      <w:r w:rsidRPr="00DF70B4">
        <w:rPr>
          <w:rFonts w:asciiTheme="majorHAnsi" w:eastAsia="Arial Unicode MS" w:hAnsiTheme="majorHAnsi" w:cs="Times New Roman"/>
          <w:szCs w:val="24"/>
          <w:lang w:eastAsia="zh-TW"/>
        </w:rPr>
        <w:t>Vafseo 300 mg film-coated tablets: Opadry</w:t>
      </w:r>
      <w:r w:rsidRPr="00DF70B4">
        <w:rPr>
          <w:rFonts w:asciiTheme="majorHAnsi" w:eastAsia="Arial Unicode MS" w:hAnsiTheme="majorHAnsi" w:cs="Times New Roman"/>
          <w:szCs w:val="24"/>
          <w:vertAlign w:val="superscript"/>
          <w:lang w:eastAsia="zh-TW"/>
        </w:rPr>
        <w:t>®</w:t>
      </w:r>
      <w:r w:rsidRPr="00DF70B4">
        <w:rPr>
          <w:rFonts w:asciiTheme="majorHAnsi" w:eastAsia="Arial Unicode MS" w:hAnsiTheme="majorHAnsi" w:cs="Times New Roman"/>
          <w:szCs w:val="24"/>
          <w:lang w:eastAsia="zh-TW"/>
        </w:rPr>
        <w:t xml:space="preserve"> II Yellow 85F12374</w:t>
      </w:r>
    </w:p>
    <w:p w14:paraId="289297BD" w14:textId="3440B756" w:rsidR="008136A8" w:rsidRPr="00DF70B4" w:rsidRDefault="007B0D62">
      <w:pPr>
        <w:autoSpaceDE w:val="0"/>
        <w:autoSpaceDN w:val="0"/>
        <w:adjustRightInd w:val="0"/>
        <w:spacing w:after="240" w:line="240" w:lineRule="auto"/>
        <w:rPr>
          <w:rFonts w:asciiTheme="majorHAnsi" w:eastAsia="Arial Unicode MS" w:hAnsiTheme="majorHAnsi" w:cs="Times New Roman"/>
          <w:szCs w:val="24"/>
          <w:lang w:eastAsia="zh-TW"/>
        </w:rPr>
      </w:pPr>
      <w:r w:rsidRPr="00DF70B4">
        <w:rPr>
          <w:rFonts w:asciiTheme="majorHAnsi" w:eastAsia="Arial Unicode MS" w:hAnsiTheme="majorHAnsi" w:cs="Times New Roman"/>
          <w:szCs w:val="24"/>
          <w:lang w:eastAsia="zh-TW"/>
        </w:rPr>
        <w:t>Vafseo 450 mg film-coated tablets: Opadry</w:t>
      </w:r>
      <w:r w:rsidRPr="00DF70B4">
        <w:rPr>
          <w:rFonts w:asciiTheme="majorHAnsi" w:eastAsia="Arial Unicode MS" w:hAnsiTheme="majorHAnsi" w:cs="Times New Roman"/>
          <w:szCs w:val="24"/>
          <w:vertAlign w:val="superscript"/>
          <w:lang w:eastAsia="zh-TW"/>
        </w:rPr>
        <w:t>®</w:t>
      </w:r>
      <w:r w:rsidRPr="00DF70B4">
        <w:rPr>
          <w:rFonts w:asciiTheme="majorHAnsi" w:eastAsia="Arial Unicode MS" w:hAnsiTheme="majorHAnsi" w:cs="Times New Roman"/>
          <w:szCs w:val="24"/>
          <w:lang w:eastAsia="zh-TW"/>
        </w:rPr>
        <w:t xml:space="preserve"> II Pink 85F94586</w:t>
      </w:r>
    </w:p>
    <w:p w14:paraId="1D029CF8" w14:textId="77777777" w:rsidR="008136A8" w:rsidRPr="00DF70B4" w:rsidRDefault="008136A8">
      <w:pPr>
        <w:autoSpaceDE w:val="0"/>
        <w:autoSpaceDN w:val="0"/>
        <w:adjustRightInd w:val="0"/>
        <w:spacing w:after="240" w:line="240" w:lineRule="auto"/>
        <w:rPr>
          <w:rFonts w:asciiTheme="majorHAnsi" w:eastAsia="Arial Unicode MS" w:hAnsiTheme="majorHAnsi" w:cs="Times New Roman"/>
          <w:szCs w:val="24"/>
          <w:lang w:eastAsia="zh-TW"/>
        </w:rPr>
      </w:pPr>
    </w:p>
    <w:p w14:paraId="18ABC84E" w14:textId="77777777" w:rsidR="008136A8" w:rsidRPr="00DF70B4" w:rsidRDefault="007B0D62">
      <w:pPr>
        <w:pStyle w:val="Heading2"/>
        <w:keepNext/>
        <w:keepLines/>
        <w:spacing w:before="0" w:after="120"/>
        <w:rPr>
          <w:rFonts w:cstheme="minorHAnsi"/>
        </w:rPr>
      </w:pPr>
      <w:r w:rsidRPr="00DF70B4">
        <w:rPr>
          <w:rFonts w:cstheme="minorHAnsi"/>
        </w:rPr>
        <w:t xml:space="preserve">Incompatibilities </w:t>
      </w:r>
    </w:p>
    <w:p w14:paraId="11302152" w14:textId="147C215D" w:rsidR="008136A8" w:rsidRPr="00DF70B4" w:rsidRDefault="007B0D62">
      <w:pPr>
        <w:autoSpaceDE w:val="0"/>
        <w:autoSpaceDN w:val="0"/>
        <w:adjustRightInd w:val="0"/>
        <w:spacing w:after="240" w:line="240" w:lineRule="auto"/>
        <w:rPr>
          <w:rFonts w:asciiTheme="majorHAnsi" w:eastAsia="Arial Unicode MS" w:hAnsiTheme="majorHAnsi" w:cs="Times New Roman"/>
          <w:szCs w:val="24"/>
          <w:lang w:eastAsia="zh-TW"/>
        </w:rPr>
      </w:pPr>
      <w:r w:rsidRPr="00DF70B4">
        <w:rPr>
          <w:rFonts w:asciiTheme="majorHAnsi" w:eastAsia="Arial Unicode MS" w:hAnsiTheme="majorHAnsi" w:cs="Times New Roman"/>
          <w:szCs w:val="24"/>
          <w:lang w:eastAsia="zh-TW"/>
        </w:rPr>
        <w:t>Not applicable.</w:t>
      </w:r>
    </w:p>
    <w:p w14:paraId="47FE33DE" w14:textId="77777777" w:rsidR="008136A8" w:rsidRPr="00DF70B4" w:rsidRDefault="008136A8">
      <w:pPr>
        <w:autoSpaceDE w:val="0"/>
        <w:autoSpaceDN w:val="0"/>
        <w:adjustRightInd w:val="0"/>
        <w:spacing w:after="240" w:line="240" w:lineRule="auto"/>
        <w:rPr>
          <w:rFonts w:asciiTheme="majorHAnsi" w:eastAsia="Arial Unicode MS" w:hAnsiTheme="majorHAnsi" w:cs="Times New Roman"/>
          <w:szCs w:val="24"/>
          <w:lang w:eastAsia="zh-TW"/>
        </w:rPr>
      </w:pPr>
    </w:p>
    <w:p w14:paraId="7E7AF71D" w14:textId="77777777" w:rsidR="008136A8" w:rsidRPr="00DF70B4" w:rsidRDefault="007B0D62" w:rsidP="00CF4F62">
      <w:pPr>
        <w:pStyle w:val="Heading2"/>
        <w:keepNext/>
        <w:spacing w:before="0" w:after="120"/>
        <w:ind w:left="578" w:hanging="578"/>
        <w:rPr>
          <w:rFonts w:cstheme="minorHAnsi"/>
        </w:rPr>
      </w:pPr>
      <w:r w:rsidRPr="00DF70B4">
        <w:rPr>
          <w:rFonts w:cstheme="minorHAnsi"/>
        </w:rPr>
        <w:lastRenderedPageBreak/>
        <w:t xml:space="preserve">Shelf life </w:t>
      </w:r>
    </w:p>
    <w:p w14:paraId="4E6719CE" w14:textId="71C380ED" w:rsidR="008136A8" w:rsidRPr="00DF70B4" w:rsidRDefault="007B0D62">
      <w:pPr>
        <w:rPr>
          <w:rFonts w:asciiTheme="majorHAnsi" w:hAnsiTheme="majorHAnsi" w:cstheme="minorHAnsi"/>
        </w:rPr>
      </w:pPr>
      <w:r w:rsidRPr="00DF70B4">
        <w:rPr>
          <w:rFonts w:asciiTheme="majorHAnsi" w:hAnsiTheme="majorHAnsi" w:cstheme="minorHAnsi"/>
        </w:rPr>
        <w:t xml:space="preserve">In Australia, information on the shelf life can be found on the public summary of the Australian Register of Therapeutic Goods (ARTG). The expiry date can be found on the packaging. </w:t>
      </w:r>
    </w:p>
    <w:p w14:paraId="29CB9398" w14:textId="01E9FFF8" w:rsidR="008136A8" w:rsidRPr="00DF70B4" w:rsidRDefault="007B0D62">
      <w:pPr>
        <w:pStyle w:val="Heading2"/>
        <w:keepNext/>
        <w:keepLines/>
        <w:spacing w:before="0" w:after="120"/>
        <w:rPr>
          <w:rFonts w:cstheme="minorHAnsi"/>
        </w:rPr>
      </w:pPr>
      <w:r w:rsidRPr="00DF70B4">
        <w:rPr>
          <w:rFonts w:cstheme="minorHAnsi"/>
        </w:rPr>
        <w:t xml:space="preserve">Special precautions for storage </w:t>
      </w:r>
    </w:p>
    <w:p w14:paraId="090D8718" w14:textId="31C62DD1" w:rsidR="008136A8" w:rsidRPr="00DF70B4" w:rsidRDefault="007B0D62">
      <w:pPr>
        <w:rPr>
          <w:rFonts w:asciiTheme="majorHAnsi" w:hAnsiTheme="majorHAnsi"/>
        </w:rPr>
      </w:pPr>
      <w:r w:rsidRPr="00DF70B4">
        <w:rPr>
          <w:rFonts w:asciiTheme="majorHAnsi" w:hAnsiTheme="majorHAnsi"/>
        </w:rPr>
        <w:t xml:space="preserve">Store below </w:t>
      </w:r>
      <w:r w:rsidRPr="001E4550">
        <w:rPr>
          <w:rFonts w:asciiTheme="majorHAnsi" w:hAnsiTheme="majorHAnsi"/>
        </w:rPr>
        <w:t>30</w:t>
      </w:r>
      <w:r w:rsidRPr="00DF70B4">
        <w:rPr>
          <w:rFonts w:asciiTheme="majorHAnsi" w:hAnsiTheme="majorHAnsi"/>
        </w:rPr>
        <w:t>°C.</w:t>
      </w:r>
    </w:p>
    <w:p w14:paraId="4DA01669" w14:textId="5045C65D" w:rsidR="008136A8" w:rsidRPr="00DF70B4" w:rsidRDefault="007B0D62">
      <w:pPr>
        <w:pStyle w:val="Heading2"/>
        <w:keepNext/>
        <w:keepLines/>
        <w:spacing w:before="0" w:after="120"/>
        <w:rPr>
          <w:rFonts w:cstheme="minorHAnsi"/>
        </w:rPr>
      </w:pPr>
      <w:r w:rsidRPr="00DF70B4">
        <w:rPr>
          <w:rFonts w:cstheme="minorHAnsi"/>
        </w:rPr>
        <w:t xml:space="preserve">Nature and contents of container </w:t>
      </w:r>
    </w:p>
    <w:p w14:paraId="17484FA3" w14:textId="1AD88105" w:rsidR="008136A8" w:rsidRPr="00DF70B4" w:rsidRDefault="007B0D62">
      <w:pPr>
        <w:rPr>
          <w:rFonts w:asciiTheme="majorHAnsi" w:hAnsiTheme="majorHAnsi"/>
          <w:u w:val="single"/>
        </w:rPr>
      </w:pPr>
      <w:r w:rsidRPr="00DF70B4">
        <w:rPr>
          <w:rFonts w:asciiTheme="majorHAnsi" w:hAnsiTheme="majorHAnsi"/>
          <w:u w:val="single"/>
        </w:rPr>
        <w:t>Vafseo 150 mg film-coated tablets</w:t>
      </w:r>
    </w:p>
    <w:p w14:paraId="1FD7C6FD" w14:textId="04D4272E" w:rsidR="008136A8" w:rsidRPr="00DF70B4" w:rsidRDefault="007B0D62">
      <w:pPr>
        <w:rPr>
          <w:rFonts w:asciiTheme="majorHAnsi" w:hAnsiTheme="majorHAnsi"/>
        </w:rPr>
      </w:pPr>
      <w:r w:rsidRPr="00DF70B4">
        <w:rPr>
          <w:rFonts w:asciiTheme="majorHAnsi" w:hAnsiTheme="majorHAnsi"/>
        </w:rPr>
        <w:t>28 tablets in 2 PVC/aluminium foil blisters with 14 x 150 mg film-coated tablets.</w:t>
      </w:r>
    </w:p>
    <w:p w14:paraId="3F40D84A" w14:textId="59EFC79B" w:rsidR="008136A8" w:rsidRPr="00DF70B4" w:rsidRDefault="007B0D62">
      <w:pPr>
        <w:rPr>
          <w:rFonts w:asciiTheme="majorHAnsi" w:hAnsiTheme="majorHAnsi"/>
          <w:u w:val="single"/>
        </w:rPr>
      </w:pPr>
      <w:r w:rsidRPr="00DF70B4">
        <w:rPr>
          <w:rFonts w:asciiTheme="majorHAnsi" w:hAnsiTheme="majorHAnsi"/>
          <w:u w:val="single"/>
        </w:rPr>
        <w:t>Vafseo 300 mg film-coated tablets</w:t>
      </w:r>
    </w:p>
    <w:p w14:paraId="773C7A7B" w14:textId="4FC02B02" w:rsidR="008136A8" w:rsidRPr="00DF70B4" w:rsidRDefault="007B0D62">
      <w:pPr>
        <w:rPr>
          <w:rFonts w:asciiTheme="majorHAnsi" w:hAnsiTheme="majorHAnsi"/>
        </w:rPr>
      </w:pPr>
      <w:r w:rsidRPr="00DF70B4">
        <w:rPr>
          <w:rFonts w:asciiTheme="majorHAnsi" w:hAnsiTheme="majorHAnsi"/>
        </w:rPr>
        <w:t>28 tablets in 2 PVC/aluminium foil blisters with 14 x 300 mg film-coated tablets.</w:t>
      </w:r>
    </w:p>
    <w:p w14:paraId="0D876D41" w14:textId="1A3ED30E" w:rsidR="008136A8" w:rsidRPr="00DF70B4" w:rsidRDefault="007B0D62">
      <w:pPr>
        <w:rPr>
          <w:rFonts w:asciiTheme="majorHAnsi" w:hAnsiTheme="majorHAnsi"/>
          <w:u w:val="single"/>
        </w:rPr>
      </w:pPr>
      <w:r w:rsidRPr="00DF70B4">
        <w:rPr>
          <w:rFonts w:asciiTheme="majorHAnsi" w:hAnsiTheme="majorHAnsi"/>
          <w:u w:val="single"/>
        </w:rPr>
        <w:t>Vafseo 450 mg film-coated tablets</w:t>
      </w:r>
    </w:p>
    <w:p w14:paraId="4F604E99" w14:textId="0E583336" w:rsidR="008136A8" w:rsidRPr="00DF70B4" w:rsidRDefault="007B0D62">
      <w:pPr>
        <w:rPr>
          <w:rFonts w:asciiTheme="majorHAnsi" w:hAnsiTheme="majorHAnsi"/>
        </w:rPr>
      </w:pPr>
      <w:r w:rsidRPr="00DF70B4">
        <w:rPr>
          <w:rFonts w:asciiTheme="majorHAnsi" w:hAnsiTheme="majorHAnsi"/>
        </w:rPr>
        <w:t>28 tablets in 2 PVC/aluminium foil blisters with 14 x 450 mg film-coated tablets.</w:t>
      </w:r>
    </w:p>
    <w:p w14:paraId="1B691D65" w14:textId="7EA6218F" w:rsidR="008136A8" w:rsidRPr="00DF70B4" w:rsidRDefault="007B0D62">
      <w:pPr>
        <w:rPr>
          <w:rFonts w:asciiTheme="majorHAnsi" w:hAnsiTheme="majorHAnsi"/>
        </w:rPr>
      </w:pPr>
      <w:r w:rsidRPr="00DF70B4">
        <w:rPr>
          <w:rFonts w:asciiTheme="majorHAnsi" w:hAnsiTheme="majorHAnsi"/>
        </w:rPr>
        <w:t>Not all pack sizes may be marketed.</w:t>
      </w:r>
    </w:p>
    <w:p w14:paraId="1188A6B8" w14:textId="77777777" w:rsidR="008136A8" w:rsidRPr="00DF70B4" w:rsidRDefault="007B0D62">
      <w:pPr>
        <w:pStyle w:val="Heading2"/>
        <w:spacing w:before="0" w:after="120"/>
        <w:rPr>
          <w:rFonts w:cstheme="minorHAnsi"/>
        </w:rPr>
      </w:pPr>
      <w:r w:rsidRPr="00DF70B4">
        <w:rPr>
          <w:rFonts w:cstheme="minorHAnsi"/>
        </w:rPr>
        <w:t xml:space="preserve">Special precautions for disposal </w:t>
      </w:r>
    </w:p>
    <w:p w14:paraId="42709BE3" w14:textId="715CF1B6" w:rsidR="008136A8" w:rsidRPr="001055BC" w:rsidRDefault="007B0D62">
      <w:pPr>
        <w:rPr>
          <w:rFonts w:asciiTheme="majorHAnsi" w:hAnsiTheme="majorHAnsi"/>
        </w:rPr>
      </w:pPr>
      <w:r w:rsidRPr="001055BC">
        <w:rPr>
          <w:rFonts w:asciiTheme="majorHAnsi" w:hAnsiTheme="majorHAnsi"/>
        </w:rPr>
        <w:t xml:space="preserve">In Australia, any unused medicine or waste material should be disposed of by taking to your local pharmacy. </w:t>
      </w:r>
    </w:p>
    <w:p w14:paraId="62AF5236" w14:textId="77777777" w:rsidR="008136A8" w:rsidRPr="00DF70B4" w:rsidRDefault="007B0D62">
      <w:pPr>
        <w:pStyle w:val="Heading2"/>
        <w:spacing w:before="0" w:after="120"/>
      </w:pPr>
      <w:r w:rsidRPr="00DF70B4">
        <w:t>Physicochemical properties</w:t>
      </w:r>
    </w:p>
    <w:p w14:paraId="7AF1D5D4" w14:textId="0B4F4AF3" w:rsidR="008136A8" w:rsidRPr="00DF70B4" w:rsidRDefault="007B0D62">
      <w:pPr>
        <w:pStyle w:val="Heading3"/>
        <w:spacing w:before="0" w:after="120"/>
      </w:pPr>
      <w:r w:rsidRPr="00DF70B4">
        <w:t>Chemical structure</w:t>
      </w:r>
    </w:p>
    <w:p w14:paraId="7BFB0D3D" w14:textId="5DEF3FD9" w:rsidR="008136A8" w:rsidRPr="00DF70B4" w:rsidRDefault="007B0D62">
      <w:pPr>
        <w:rPr>
          <w:rFonts w:asciiTheme="majorHAnsi" w:hAnsiTheme="majorHAnsi"/>
          <w:color w:val="000000" w:themeColor="text1"/>
        </w:rPr>
      </w:pPr>
      <w:r w:rsidRPr="00DF70B4">
        <w:rPr>
          <w:rFonts w:asciiTheme="majorHAnsi" w:hAnsiTheme="majorHAnsi"/>
          <w:color w:val="000000" w:themeColor="text1"/>
        </w:rPr>
        <w:t xml:space="preserve">Vadadustat is white to off-white solid with molecular formula of </w:t>
      </w:r>
      <w:r w:rsidRPr="001E4550">
        <w:rPr>
          <w:rFonts w:asciiTheme="majorHAnsi" w:hAnsiTheme="majorHAnsi"/>
        </w:rPr>
        <w:t>C</w:t>
      </w:r>
      <w:r w:rsidRPr="001E4550">
        <w:rPr>
          <w:rFonts w:asciiTheme="majorHAnsi" w:hAnsiTheme="majorHAnsi"/>
          <w:vertAlign w:val="subscript"/>
        </w:rPr>
        <w:t>14</w:t>
      </w:r>
      <w:r w:rsidRPr="001E4550">
        <w:rPr>
          <w:rFonts w:asciiTheme="majorHAnsi" w:hAnsiTheme="majorHAnsi"/>
        </w:rPr>
        <w:t>H</w:t>
      </w:r>
      <w:r w:rsidRPr="001E4550">
        <w:rPr>
          <w:rFonts w:asciiTheme="majorHAnsi" w:hAnsiTheme="majorHAnsi"/>
          <w:vertAlign w:val="subscript"/>
        </w:rPr>
        <w:t>11</w:t>
      </w:r>
      <w:r w:rsidRPr="001E4550">
        <w:rPr>
          <w:rFonts w:asciiTheme="majorHAnsi" w:hAnsiTheme="majorHAnsi"/>
        </w:rPr>
        <w:t>ClN</w:t>
      </w:r>
      <w:r w:rsidRPr="001E4550">
        <w:rPr>
          <w:rFonts w:asciiTheme="majorHAnsi" w:hAnsiTheme="majorHAnsi"/>
          <w:vertAlign w:val="subscript"/>
        </w:rPr>
        <w:t>2</w:t>
      </w:r>
      <w:r w:rsidRPr="001E4550">
        <w:rPr>
          <w:rFonts w:asciiTheme="majorHAnsi" w:hAnsiTheme="majorHAnsi"/>
        </w:rPr>
        <w:t>O</w:t>
      </w:r>
      <w:r w:rsidRPr="001E4550">
        <w:rPr>
          <w:rFonts w:asciiTheme="majorHAnsi" w:hAnsiTheme="majorHAnsi"/>
          <w:vertAlign w:val="subscript"/>
        </w:rPr>
        <w:t>4</w:t>
      </w:r>
      <w:r w:rsidRPr="001E4550">
        <w:rPr>
          <w:rFonts w:asciiTheme="majorHAnsi" w:hAnsiTheme="majorHAnsi"/>
        </w:rPr>
        <w:t xml:space="preserve"> and a molecular weight of 306.70. Its international union of pure and applied chemistry (IUPAC) chemical name is </w:t>
      </w:r>
      <w:r w:rsidRPr="001E4550">
        <w:rPr>
          <w:rFonts w:asciiTheme="majorHAnsi" w:hAnsiTheme="majorHAnsi" w:cs="Times New Roman"/>
        </w:rPr>
        <w:t xml:space="preserve">2-[[5-(3-chlorophenyl)-3-hydroxypyridine-2-carbonyl]amino]acetic acid and has the following structural formula: </w:t>
      </w:r>
    </w:p>
    <w:p w14:paraId="7D5E9E21" w14:textId="2B52E793" w:rsidR="008136A8" w:rsidRPr="00DF70B4" w:rsidRDefault="007B0D62">
      <w:r w:rsidRPr="008E2EA1">
        <w:rPr>
          <w:noProof/>
          <w:lang w:eastAsia="ja-JP"/>
        </w:rPr>
        <w:drawing>
          <wp:inline distT="0" distB="0" distL="0" distR="0" wp14:anchorId="268ACA72" wp14:editId="0A830252">
            <wp:extent cx="1778000" cy="1168400"/>
            <wp:effectExtent l="0" t="0" r="0" b="0"/>
            <wp:docPr id="146" name="Picture 146" descr="Chemical stru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Chemical stru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8000" cy="1168400"/>
                    </a:xfrm>
                    <a:prstGeom prst="rect">
                      <a:avLst/>
                    </a:prstGeom>
                    <a:noFill/>
                    <a:ln>
                      <a:noFill/>
                    </a:ln>
                  </pic:spPr>
                </pic:pic>
              </a:graphicData>
            </a:graphic>
          </wp:inline>
        </w:drawing>
      </w:r>
    </w:p>
    <w:p w14:paraId="72DB7521" w14:textId="77777777" w:rsidR="008136A8" w:rsidRPr="00DF70B4" w:rsidRDefault="008136A8"/>
    <w:p w14:paraId="2AA51BA8" w14:textId="7BE4AA97" w:rsidR="008136A8" w:rsidRPr="00DF70B4" w:rsidRDefault="007B0D62">
      <w:pPr>
        <w:pStyle w:val="Heading3"/>
        <w:spacing w:before="0" w:after="120"/>
      </w:pPr>
      <w:r w:rsidRPr="00DF70B4">
        <w:t>CAS number</w:t>
      </w:r>
    </w:p>
    <w:p w14:paraId="0E716682" w14:textId="66D84D7E" w:rsidR="008136A8" w:rsidRPr="00DF70B4" w:rsidRDefault="007B0D62">
      <w:pPr>
        <w:rPr>
          <w:rFonts w:asciiTheme="majorHAnsi" w:hAnsiTheme="majorHAnsi" w:cstheme="minorHAnsi"/>
        </w:rPr>
      </w:pPr>
      <w:r w:rsidRPr="00DF70B4">
        <w:rPr>
          <w:rFonts w:asciiTheme="majorHAnsi" w:hAnsiTheme="majorHAnsi" w:cstheme="minorHAnsi"/>
        </w:rPr>
        <w:t>1000025-07-9</w:t>
      </w:r>
    </w:p>
    <w:p w14:paraId="6BF0F0F6" w14:textId="77777777" w:rsidR="008136A8" w:rsidRPr="00DF70B4" w:rsidRDefault="008136A8">
      <w:pPr>
        <w:rPr>
          <w:rFonts w:asciiTheme="majorHAnsi" w:hAnsiTheme="majorHAnsi" w:cstheme="minorHAnsi"/>
        </w:rPr>
      </w:pPr>
    </w:p>
    <w:p w14:paraId="1B22B667" w14:textId="52E8A549" w:rsidR="008136A8" w:rsidRPr="00DF70B4" w:rsidRDefault="007B0D62">
      <w:pPr>
        <w:pStyle w:val="Heading1"/>
        <w:spacing w:before="0" w:after="120"/>
      </w:pPr>
      <w:r w:rsidRPr="00DF70B4">
        <w:lastRenderedPageBreak/>
        <w:t>Medicine schedule (Poisons Standard)</w:t>
      </w:r>
    </w:p>
    <w:p w14:paraId="4219BBE2" w14:textId="06B86BA3" w:rsidR="008136A8" w:rsidRPr="00DF70B4" w:rsidRDefault="007B0D62">
      <w:pPr>
        <w:rPr>
          <w:rFonts w:asciiTheme="majorHAnsi" w:hAnsiTheme="majorHAnsi"/>
        </w:rPr>
      </w:pPr>
      <w:r w:rsidRPr="00DF70B4">
        <w:rPr>
          <w:rFonts w:asciiTheme="majorHAnsi" w:hAnsiTheme="majorHAnsi"/>
        </w:rPr>
        <w:t>S4 – PRESCRIPTION ONLY MEDICINE</w:t>
      </w:r>
    </w:p>
    <w:p w14:paraId="13476F6E" w14:textId="77777777" w:rsidR="008136A8" w:rsidRPr="00DF70B4" w:rsidRDefault="008136A8">
      <w:pPr>
        <w:rPr>
          <w:rFonts w:asciiTheme="majorHAnsi" w:hAnsiTheme="majorHAnsi"/>
        </w:rPr>
      </w:pPr>
    </w:p>
    <w:p w14:paraId="1DBC5401" w14:textId="04DAB8F0" w:rsidR="008136A8" w:rsidRPr="00DF70B4" w:rsidRDefault="007B0D62">
      <w:pPr>
        <w:pStyle w:val="Heading1"/>
        <w:spacing w:before="0" w:after="120"/>
      </w:pPr>
      <w:r w:rsidRPr="00DF70B4">
        <w:t xml:space="preserve">Sponsor </w:t>
      </w:r>
    </w:p>
    <w:p w14:paraId="37DE99A0" w14:textId="4125CF15" w:rsidR="008136A8" w:rsidRDefault="007B0D62">
      <w:pPr>
        <w:spacing w:after="0"/>
        <w:rPr>
          <w:rFonts w:asciiTheme="majorHAnsi" w:hAnsiTheme="majorHAnsi" w:cstheme="minorHAnsi"/>
        </w:rPr>
      </w:pPr>
      <w:r w:rsidRPr="00DF70B4">
        <w:rPr>
          <w:rFonts w:asciiTheme="majorHAnsi" w:hAnsiTheme="majorHAnsi" w:cstheme="minorHAnsi"/>
        </w:rPr>
        <w:t>Adjutor Healthcare Pty Ltd</w:t>
      </w:r>
    </w:p>
    <w:p w14:paraId="71B86D75" w14:textId="6AF3DA52" w:rsidR="008136A8" w:rsidRPr="00DF70B4" w:rsidRDefault="00230C05">
      <w:pPr>
        <w:spacing w:after="0"/>
        <w:rPr>
          <w:rFonts w:asciiTheme="majorHAnsi" w:hAnsiTheme="majorHAnsi" w:cstheme="minorHAnsi"/>
        </w:rPr>
      </w:pPr>
      <w:r>
        <w:rPr>
          <w:rFonts w:asciiTheme="majorHAnsi" w:hAnsiTheme="majorHAnsi" w:cstheme="minorHAnsi"/>
        </w:rPr>
        <w:t>3 Grandview Avenue</w:t>
      </w:r>
    </w:p>
    <w:p w14:paraId="59DFA1BD" w14:textId="77777777" w:rsidR="005B2C11" w:rsidRDefault="007B0D62" w:rsidP="005B2C11">
      <w:pPr>
        <w:spacing w:after="0"/>
        <w:rPr>
          <w:rFonts w:asciiTheme="majorHAnsi" w:hAnsiTheme="majorHAnsi" w:cstheme="minorHAnsi"/>
        </w:rPr>
      </w:pPr>
      <w:r w:rsidRPr="00DF70B4">
        <w:rPr>
          <w:rFonts w:asciiTheme="majorHAnsi" w:hAnsiTheme="majorHAnsi" w:cstheme="minorHAnsi"/>
        </w:rPr>
        <w:t>Point Cook VIC 3030</w:t>
      </w:r>
    </w:p>
    <w:p w14:paraId="19A3FF60" w14:textId="4F390773" w:rsidR="008136A8" w:rsidRDefault="007B0D62" w:rsidP="005B2C11">
      <w:pPr>
        <w:spacing w:after="0"/>
        <w:rPr>
          <w:rFonts w:asciiTheme="majorHAnsi" w:hAnsiTheme="majorHAnsi" w:cstheme="minorHAnsi"/>
        </w:rPr>
      </w:pPr>
      <w:r w:rsidRPr="00DF70B4">
        <w:rPr>
          <w:rFonts w:asciiTheme="majorHAnsi" w:hAnsiTheme="majorHAnsi" w:cstheme="minorHAnsi"/>
        </w:rPr>
        <w:t>Australia</w:t>
      </w:r>
    </w:p>
    <w:p w14:paraId="7AC125BE" w14:textId="77777777" w:rsidR="00282C4B" w:rsidRDefault="00282C4B" w:rsidP="005B2C11">
      <w:pPr>
        <w:spacing w:after="0"/>
        <w:rPr>
          <w:rFonts w:asciiTheme="majorHAnsi" w:hAnsiTheme="majorHAnsi" w:cstheme="minorHAnsi"/>
        </w:rPr>
      </w:pPr>
    </w:p>
    <w:p w14:paraId="33B39564" w14:textId="727E84FF" w:rsidR="005B2C11" w:rsidRDefault="005B2C11" w:rsidP="005B2C11">
      <w:pPr>
        <w:spacing w:after="0"/>
        <w:rPr>
          <w:rFonts w:asciiTheme="majorHAnsi" w:hAnsiTheme="majorHAnsi" w:cstheme="minorHAnsi"/>
        </w:rPr>
      </w:pPr>
      <w:r>
        <w:rPr>
          <w:rFonts w:asciiTheme="majorHAnsi" w:hAnsiTheme="majorHAnsi" w:cstheme="minorHAnsi"/>
        </w:rPr>
        <w:t xml:space="preserve">www.adjutor.com.au </w:t>
      </w:r>
    </w:p>
    <w:p w14:paraId="0B76FB5E" w14:textId="30E40031" w:rsidR="005B2C11" w:rsidRPr="00DF70B4" w:rsidRDefault="005B2C11" w:rsidP="005B2C11">
      <w:pPr>
        <w:spacing w:after="0"/>
        <w:rPr>
          <w:rFonts w:asciiTheme="majorHAnsi" w:hAnsiTheme="majorHAnsi" w:cstheme="minorHAnsi"/>
        </w:rPr>
      </w:pPr>
      <w:r w:rsidRPr="00A3531C">
        <w:rPr>
          <w:rFonts w:asciiTheme="majorHAnsi" w:hAnsiTheme="majorHAnsi" w:cstheme="minorHAnsi"/>
        </w:rPr>
        <w:t>contact@adjutor.com.au</w:t>
      </w:r>
    </w:p>
    <w:p w14:paraId="762F9860" w14:textId="77777777" w:rsidR="008136A8" w:rsidRPr="00DF70B4" w:rsidRDefault="008136A8">
      <w:pPr>
        <w:spacing w:after="0"/>
        <w:rPr>
          <w:rFonts w:asciiTheme="majorHAnsi" w:hAnsiTheme="majorHAnsi" w:cstheme="minorHAnsi"/>
        </w:rPr>
      </w:pPr>
    </w:p>
    <w:p w14:paraId="26FBB646" w14:textId="6045509D" w:rsidR="008136A8" w:rsidRPr="001055BC" w:rsidRDefault="00CC1B73" w:rsidP="001055BC">
      <w:pPr>
        <w:rPr>
          <w:rFonts w:asciiTheme="majorHAnsi" w:hAnsiTheme="majorHAnsi"/>
        </w:rPr>
      </w:pPr>
      <w:r w:rsidRPr="001055BC">
        <w:rPr>
          <w:rFonts w:asciiTheme="majorHAnsi" w:hAnsiTheme="majorHAnsi"/>
        </w:rPr>
        <w:t>Vafseo</w:t>
      </w:r>
      <w:r w:rsidRPr="001055BC">
        <w:rPr>
          <w:rFonts w:asciiTheme="majorHAnsi" w:hAnsiTheme="majorHAnsi"/>
          <w:vertAlign w:val="superscript"/>
        </w:rPr>
        <w:t>®</w:t>
      </w:r>
      <w:r w:rsidRPr="001055BC">
        <w:rPr>
          <w:rFonts w:asciiTheme="majorHAnsi" w:hAnsiTheme="majorHAnsi"/>
        </w:rPr>
        <w:t xml:space="preserve"> is a registered trademark of Akebia Therapeutics, Inc.</w:t>
      </w:r>
    </w:p>
    <w:p w14:paraId="11F2ECA6" w14:textId="77777777" w:rsidR="008136A8" w:rsidRPr="00DF70B4" w:rsidRDefault="008136A8">
      <w:pPr>
        <w:spacing w:after="240"/>
        <w:rPr>
          <w:rFonts w:asciiTheme="majorHAnsi" w:hAnsiTheme="majorHAnsi" w:cstheme="minorHAnsi"/>
        </w:rPr>
      </w:pPr>
    </w:p>
    <w:p w14:paraId="5CEF61E2" w14:textId="61409286" w:rsidR="008136A8" w:rsidRPr="00DF70B4" w:rsidRDefault="007B0D62">
      <w:pPr>
        <w:pStyle w:val="Heading1"/>
        <w:spacing w:before="0" w:after="120"/>
      </w:pPr>
      <w:r w:rsidRPr="00DF70B4">
        <w:t xml:space="preserve">Date of first approval  </w:t>
      </w:r>
    </w:p>
    <w:p w14:paraId="0541FFCA" w14:textId="21FC7CB1" w:rsidR="008136A8" w:rsidRPr="00DF70B4" w:rsidRDefault="003C5573">
      <w:pPr>
        <w:rPr>
          <w:rFonts w:asciiTheme="majorHAnsi" w:hAnsiTheme="majorHAnsi"/>
        </w:rPr>
      </w:pPr>
      <w:r>
        <w:rPr>
          <w:rFonts w:asciiTheme="majorHAnsi" w:hAnsiTheme="majorHAnsi"/>
        </w:rPr>
        <w:t>04 October 2023</w:t>
      </w:r>
    </w:p>
    <w:p w14:paraId="4A30D464" w14:textId="77777777" w:rsidR="008136A8" w:rsidRPr="00DF70B4" w:rsidRDefault="008136A8">
      <w:pPr>
        <w:rPr>
          <w:rFonts w:asciiTheme="majorHAnsi" w:hAnsiTheme="majorHAnsi"/>
        </w:rPr>
      </w:pPr>
    </w:p>
    <w:p w14:paraId="56A6C4E3" w14:textId="46CF92F0" w:rsidR="008136A8" w:rsidRPr="00DF70B4" w:rsidRDefault="007B0D62">
      <w:pPr>
        <w:pStyle w:val="Heading1"/>
        <w:spacing w:before="0" w:after="120"/>
      </w:pPr>
      <w:r w:rsidRPr="00DF70B4">
        <w:t xml:space="preserve">Date of revision </w:t>
      </w:r>
    </w:p>
    <w:p w14:paraId="4F072E9C" w14:textId="4B1F0ACB" w:rsidR="008136A8" w:rsidRPr="001055BC" w:rsidRDefault="007B0D62">
      <w:pPr>
        <w:rPr>
          <w:rFonts w:asciiTheme="majorHAnsi" w:hAnsiTheme="majorHAnsi"/>
        </w:rPr>
      </w:pPr>
      <w:r w:rsidRPr="001055BC">
        <w:rPr>
          <w:rFonts w:asciiTheme="majorHAnsi" w:hAnsiTheme="majorHAnsi"/>
        </w:rPr>
        <w:t>N/A</w:t>
      </w:r>
    </w:p>
    <w:p w14:paraId="1FA7A972" w14:textId="77777777" w:rsidR="008136A8" w:rsidRPr="001E4550" w:rsidRDefault="008136A8"/>
    <w:p w14:paraId="43BAE24E" w14:textId="6286202F" w:rsidR="008136A8" w:rsidRPr="00DF70B4" w:rsidRDefault="007B0D62">
      <w:pPr>
        <w:pStyle w:val="Heading2"/>
        <w:numPr>
          <w:ilvl w:val="0"/>
          <w:numId w:val="0"/>
        </w:numPr>
        <w:spacing w:before="0" w:after="120"/>
      </w:pPr>
      <w:r w:rsidRPr="00DF70B4">
        <w:t>Summary table of changes</w:t>
      </w:r>
    </w:p>
    <w:tbl>
      <w:tblPr>
        <w:tblStyle w:val="LightGrid"/>
        <w:tblW w:w="0" w:type="auto"/>
        <w:tblCellMar>
          <w:top w:w="57" w:type="dxa"/>
          <w:bottom w:w="57" w:type="dxa"/>
        </w:tblCellMar>
        <w:tblLook w:val="06A0" w:firstRow="1" w:lastRow="0" w:firstColumn="1" w:lastColumn="0" w:noHBand="1" w:noVBand="1"/>
      </w:tblPr>
      <w:tblGrid>
        <w:gridCol w:w="1371"/>
        <w:gridCol w:w="7635"/>
      </w:tblGrid>
      <w:tr w:rsidR="008136A8" w:rsidRPr="001E4550" w14:paraId="0376D4A1" w14:textId="77777777" w:rsidTr="008136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73889DF4" w14:textId="77777777" w:rsidR="008136A8" w:rsidRPr="00DF70B4" w:rsidRDefault="007B0D62">
            <w:pPr>
              <w:rPr>
                <w:sz w:val="20"/>
              </w:rPr>
            </w:pPr>
            <w:r w:rsidRPr="00DF70B4">
              <w:rPr>
                <w:sz w:val="20"/>
              </w:rPr>
              <w:t>Section Changed</w:t>
            </w:r>
          </w:p>
        </w:tc>
        <w:tc>
          <w:tcPr>
            <w:tcW w:w="7858" w:type="dxa"/>
            <w:shd w:val="clear" w:color="auto" w:fill="F2F2F2" w:themeFill="background1" w:themeFillShade="F2"/>
            <w:vAlign w:val="center"/>
          </w:tcPr>
          <w:p w14:paraId="5B208EC1" w14:textId="77777777" w:rsidR="008136A8" w:rsidRPr="00DF70B4" w:rsidRDefault="007B0D62">
            <w:pPr>
              <w:cnfStyle w:val="100000000000" w:firstRow="1" w:lastRow="0" w:firstColumn="0" w:lastColumn="0" w:oddVBand="0" w:evenVBand="0" w:oddHBand="0" w:evenHBand="0" w:firstRowFirstColumn="0" w:firstRowLastColumn="0" w:lastRowFirstColumn="0" w:lastRowLastColumn="0"/>
              <w:rPr>
                <w:sz w:val="20"/>
              </w:rPr>
            </w:pPr>
            <w:r w:rsidRPr="00DF70B4">
              <w:rPr>
                <w:sz w:val="20"/>
              </w:rPr>
              <w:t>Summary of new information</w:t>
            </w:r>
          </w:p>
        </w:tc>
      </w:tr>
      <w:tr w:rsidR="008136A8" w:rsidRPr="001E4550" w14:paraId="04EB8FEF" w14:textId="77777777" w:rsidTr="008136A8">
        <w:tc>
          <w:tcPr>
            <w:cnfStyle w:val="001000000000" w:firstRow="0" w:lastRow="0" w:firstColumn="1" w:lastColumn="0" w:oddVBand="0" w:evenVBand="0" w:oddHBand="0" w:evenHBand="0" w:firstRowFirstColumn="0" w:firstRowLastColumn="0" w:lastRowFirstColumn="0" w:lastRowLastColumn="0"/>
            <w:tcW w:w="1384" w:type="dxa"/>
            <w:vAlign w:val="center"/>
          </w:tcPr>
          <w:p w14:paraId="33777785" w14:textId="77777777" w:rsidR="008136A8" w:rsidRPr="00DF70B4" w:rsidRDefault="007B0D62">
            <w:pPr>
              <w:rPr>
                <w:b w:val="0"/>
                <w:bCs w:val="0"/>
                <w:sz w:val="20"/>
              </w:rPr>
            </w:pPr>
            <w:r w:rsidRPr="00DF70B4">
              <w:rPr>
                <w:sz w:val="20"/>
              </w:rPr>
              <w:t>N/A</w:t>
            </w:r>
          </w:p>
        </w:tc>
        <w:tc>
          <w:tcPr>
            <w:tcW w:w="7858" w:type="dxa"/>
            <w:vAlign w:val="center"/>
          </w:tcPr>
          <w:p w14:paraId="093108B4" w14:textId="77777777" w:rsidR="008136A8" w:rsidRPr="00DF70B4" w:rsidRDefault="007B0D62">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sz w:val="20"/>
              </w:rPr>
            </w:pPr>
            <w:r w:rsidRPr="00DF70B4">
              <w:rPr>
                <w:rFonts w:asciiTheme="majorHAnsi" w:eastAsiaTheme="majorEastAsia" w:hAnsiTheme="majorHAnsi" w:cstheme="majorBidi"/>
                <w:sz w:val="20"/>
              </w:rPr>
              <w:t>N/A</w:t>
            </w:r>
          </w:p>
        </w:tc>
      </w:tr>
      <w:tr w:rsidR="008136A8" w:rsidRPr="001E4550" w14:paraId="43B5FA6D" w14:textId="77777777" w:rsidTr="008136A8">
        <w:tc>
          <w:tcPr>
            <w:cnfStyle w:val="001000000000" w:firstRow="0" w:lastRow="0" w:firstColumn="1" w:lastColumn="0" w:oddVBand="0" w:evenVBand="0" w:oddHBand="0" w:evenHBand="0" w:firstRowFirstColumn="0" w:firstRowLastColumn="0" w:lastRowFirstColumn="0" w:lastRowLastColumn="0"/>
            <w:tcW w:w="1384" w:type="dxa"/>
            <w:vAlign w:val="center"/>
          </w:tcPr>
          <w:p w14:paraId="3FD72B31" w14:textId="77777777" w:rsidR="008136A8" w:rsidRPr="00DF70B4" w:rsidRDefault="008136A8"/>
        </w:tc>
        <w:tc>
          <w:tcPr>
            <w:tcW w:w="7858" w:type="dxa"/>
            <w:vAlign w:val="center"/>
          </w:tcPr>
          <w:p w14:paraId="3CA0BA63" w14:textId="77777777" w:rsidR="008136A8" w:rsidRPr="00DF70B4" w:rsidRDefault="008136A8">
            <w:pPr>
              <w:cnfStyle w:val="000000000000" w:firstRow="0" w:lastRow="0" w:firstColumn="0" w:lastColumn="0" w:oddVBand="0" w:evenVBand="0" w:oddHBand="0" w:evenHBand="0" w:firstRowFirstColumn="0" w:firstRowLastColumn="0" w:lastRowFirstColumn="0" w:lastRowLastColumn="0"/>
            </w:pPr>
          </w:p>
        </w:tc>
      </w:tr>
      <w:tr w:rsidR="008136A8" w:rsidRPr="001E4550" w14:paraId="7D3400B0" w14:textId="77777777" w:rsidTr="008136A8">
        <w:tc>
          <w:tcPr>
            <w:cnfStyle w:val="001000000000" w:firstRow="0" w:lastRow="0" w:firstColumn="1" w:lastColumn="0" w:oddVBand="0" w:evenVBand="0" w:oddHBand="0" w:evenHBand="0" w:firstRowFirstColumn="0" w:firstRowLastColumn="0" w:lastRowFirstColumn="0" w:lastRowLastColumn="0"/>
            <w:tcW w:w="1384" w:type="dxa"/>
            <w:vAlign w:val="center"/>
          </w:tcPr>
          <w:p w14:paraId="18CC981D" w14:textId="77777777" w:rsidR="008136A8" w:rsidRPr="00DF70B4" w:rsidRDefault="008136A8"/>
        </w:tc>
        <w:tc>
          <w:tcPr>
            <w:tcW w:w="7858" w:type="dxa"/>
            <w:vAlign w:val="center"/>
          </w:tcPr>
          <w:p w14:paraId="7BF46294" w14:textId="77777777" w:rsidR="008136A8" w:rsidRPr="00DF70B4" w:rsidRDefault="008136A8">
            <w:pPr>
              <w:cnfStyle w:val="000000000000" w:firstRow="0" w:lastRow="0" w:firstColumn="0" w:lastColumn="0" w:oddVBand="0" w:evenVBand="0" w:oddHBand="0" w:evenHBand="0" w:firstRowFirstColumn="0" w:firstRowLastColumn="0" w:lastRowFirstColumn="0" w:lastRowLastColumn="0"/>
            </w:pPr>
          </w:p>
        </w:tc>
      </w:tr>
    </w:tbl>
    <w:p w14:paraId="0AD9178C" w14:textId="77777777" w:rsidR="008136A8" w:rsidRPr="00DF70B4" w:rsidRDefault="008136A8">
      <w:pPr>
        <w:rPr>
          <w:rFonts w:asciiTheme="majorHAnsi" w:hAnsiTheme="majorHAnsi"/>
        </w:rPr>
      </w:pPr>
    </w:p>
    <w:sectPr w:rsidR="008136A8" w:rsidRPr="00DF70B4">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33BE8" w14:textId="77777777" w:rsidR="009929F1" w:rsidRDefault="009929F1">
      <w:pPr>
        <w:spacing w:after="0" w:line="240" w:lineRule="auto"/>
      </w:pPr>
      <w:r>
        <w:separator/>
      </w:r>
    </w:p>
  </w:endnote>
  <w:endnote w:type="continuationSeparator" w:id="0">
    <w:p w14:paraId="7E82024B" w14:textId="77777777" w:rsidR="009929F1" w:rsidRDefault="009929F1">
      <w:pPr>
        <w:spacing w:after="0" w:line="240" w:lineRule="auto"/>
      </w:pPr>
      <w:r>
        <w:continuationSeparator/>
      </w:r>
    </w:p>
  </w:endnote>
  <w:endnote w:type="continuationNotice" w:id="1">
    <w:p w14:paraId="5AEC387D" w14:textId="77777777" w:rsidR="009929F1" w:rsidRDefault="00992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163430"/>
      <w:docPartObj>
        <w:docPartGallery w:val="Page Numbers (Bottom of Page)"/>
        <w:docPartUnique/>
      </w:docPartObj>
    </w:sdtPr>
    <w:sdtEndPr>
      <w:rPr>
        <w:sz w:val="20"/>
      </w:rPr>
    </w:sdtEndPr>
    <w:sdtContent>
      <w:p w14:paraId="716C2FAB" w14:textId="77777777" w:rsidR="008136A8" w:rsidRDefault="007B0D62">
        <w:pPr>
          <w:pStyle w:val="Footer"/>
          <w:jc w:val="right"/>
          <w:rPr>
            <w:sz w:val="20"/>
          </w:rPr>
        </w:pPr>
        <w:r>
          <w:rPr>
            <w:sz w:val="20"/>
          </w:rPr>
          <w:fldChar w:fldCharType="begin"/>
        </w:r>
        <w:r>
          <w:rPr>
            <w:sz w:val="20"/>
          </w:rPr>
          <w:instrText xml:space="preserve"> PAGE   \* MERGEFORMAT </w:instrText>
        </w:r>
        <w:r>
          <w:rPr>
            <w:sz w:val="20"/>
          </w:rPr>
          <w:fldChar w:fldCharType="separate"/>
        </w:r>
        <w:r>
          <w:rPr>
            <w:sz w:val="20"/>
          </w:rPr>
          <w:t>3</w:t>
        </w:r>
        <w:r>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240A1" w14:textId="77777777" w:rsidR="009929F1" w:rsidRDefault="009929F1">
      <w:pPr>
        <w:spacing w:after="0" w:line="240" w:lineRule="auto"/>
      </w:pPr>
      <w:r>
        <w:separator/>
      </w:r>
    </w:p>
  </w:footnote>
  <w:footnote w:type="continuationSeparator" w:id="0">
    <w:p w14:paraId="186DF377" w14:textId="77777777" w:rsidR="009929F1" w:rsidRDefault="009929F1">
      <w:pPr>
        <w:spacing w:after="0" w:line="240" w:lineRule="auto"/>
      </w:pPr>
      <w:r>
        <w:continuationSeparator/>
      </w:r>
    </w:p>
  </w:footnote>
  <w:footnote w:type="continuationNotice" w:id="1">
    <w:p w14:paraId="277A49C9" w14:textId="77777777" w:rsidR="009929F1" w:rsidRDefault="009929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Ind w:w="-318" w:type="dxa"/>
      <w:shd w:val="clear" w:color="auto" w:fill="E4F2E0"/>
      <w:tblLook w:val="04A0" w:firstRow="1" w:lastRow="0" w:firstColumn="1" w:lastColumn="0" w:noHBand="0" w:noVBand="1"/>
    </w:tblPr>
    <w:tblGrid>
      <w:gridCol w:w="9334"/>
    </w:tblGrid>
    <w:tr w:rsidR="00A80BCC" w:rsidRPr="000B2145" w14:paraId="0A71E97D" w14:textId="77777777" w:rsidTr="00A80BCC">
      <w:trPr>
        <w:trHeight w:val="1012"/>
      </w:trPr>
      <w:tc>
        <w:tcPr>
          <w:tcW w:w="9334" w:type="dxa"/>
          <w:shd w:val="clear" w:color="auto" w:fill="E4F2E0"/>
        </w:tcPr>
        <w:p w14:paraId="30C22C64" w14:textId="77777777" w:rsidR="00A80BCC" w:rsidRPr="009A48DB" w:rsidRDefault="00A80BCC" w:rsidP="00A80BCC">
          <w:pPr>
            <w:pStyle w:val="Footer"/>
            <w:rPr>
              <w:b/>
              <w:bCs/>
              <w:sz w:val="18"/>
              <w:szCs w:val="18"/>
            </w:rPr>
          </w:pPr>
          <w:bookmarkStart w:id="5" w:name="_Hlk176859503"/>
          <w:bookmarkStart w:id="6" w:name="_Hlk109054010"/>
          <w:r w:rsidRPr="009A48DB">
            <w:rPr>
              <w:b/>
              <w:bCs/>
              <w:sz w:val="18"/>
              <w:szCs w:val="18"/>
            </w:rPr>
            <w:t>AusPAR – Vafseo - vadadustat – Adjutor Healthcare Pty Ltd - PM-2022-00525-1-6</w:t>
          </w:r>
        </w:p>
        <w:p w14:paraId="242DC1D6" w14:textId="77777777" w:rsidR="00A80BCC" w:rsidRPr="000E4791" w:rsidRDefault="00A80BCC" w:rsidP="00A80BCC">
          <w:pPr>
            <w:pStyle w:val="Footer"/>
            <w:rPr>
              <w:b/>
              <w:sz w:val="18"/>
              <w:szCs w:val="18"/>
            </w:rPr>
          </w:pPr>
          <w:r w:rsidRPr="009A48DB">
            <w:rPr>
              <w:b/>
              <w:bCs/>
              <w:sz w:val="18"/>
              <w:szCs w:val="18"/>
            </w:rPr>
            <w:t>Date of finalisation: 11 December 2024</w:t>
          </w:r>
          <w:r w:rsidRPr="00991D2F">
            <w:rPr>
              <w:b/>
              <w:bCs/>
              <w:sz w:val="18"/>
              <w:szCs w:val="18"/>
            </w:rPr>
            <w:t>.</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6"/>
    <w:bookmarkEnd w:id="5"/>
  </w:tbl>
  <w:p w14:paraId="49F48E7F" w14:textId="77777777" w:rsidR="00A80BCC" w:rsidRDefault="00A80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FA4DCD"/>
    <w:multiLevelType w:val="hybridMultilevel"/>
    <w:tmpl w:val="FC12FA64"/>
    <w:lvl w:ilvl="0" w:tplc="6A5480EC">
      <w:start w:val="1"/>
      <w:numFmt w:val="bullet"/>
      <w:lvlText w:val=""/>
      <w:lvlJc w:val="left"/>
      <w:pPr>
        <w:ind w:left="720" w:hanging="360"/>
      </w:pPr>
      <w:rPr>
        <w:rFonts w:ascii="Symbol" w:hAnsi="Symbol"/>
      </w:rPr>
    </w:lvl>
    <w:lvl w:ilvl="1" w:tplc="53181CA2">
      <w:start w:val="1"/>
      <w:numFmt w:val="bullet"/>
      <w:lvlText w:val=""/>
      <w:lvlJc w:val="left"/>
      <w:pPr>
        <w:ind w:left="720" w:hanging="360"/>
      </w:pPr>
      <w:rPr>
        <w:rFonts w:ascii="Symbol" w:hAnsi="Symbol"/>
      </w:rPr>
    </w:lvl>
    <w:lvl w:ilvl="2" w:tplc="F42C05D6">
      <w:start w:val="1"/>
      <w:numFmt w:val="bullet"/>
      <w:lvlText w:val=""/>
      <w:lvlJc w:val="left"/>
      <w:pPr>
        <w:ind w:left="720" w:hanging="360"/>
      </w:pPr>
      <w:rPr>
        <w:rFonts w:ascii="Symbol" w:hAnsi="Symbol"/>
      </w:rPr>
    </w:lvl>
    <w:lvl w:ilvl="3" w:tplc="54C69EEA">
      <w:start w:val="1"/>
      <w:numFmt w:val="bullet"/>
      <w:lvlText w:val=""/>
      <w:lvlJc w:val="left"/>
      <w:pPr>
        <w:ind w:left="720" w:hanging="360"/>
      </w:pPr>
      <w:rPr>
        <w:rFonts w:ascii="Symbol" w:hAnsi="Symbol"/>
      </w:rPr>
    </w:lvl>
    <w:lvl w:ilvl="4" w:tplc="0AF22ECE">
      <w:start w:val="1"/>
      <w:numFmt w:val="bullet"/>
      <w:lvlText w:val=""/>
      <w:lvlJc w:val="left"/>
      <w:pPr>
        <w:ind w:left="720" w:hanging="360"/>
      </w:pPr>
      <w:rPr>
        <w:rFonts w:ascii="Symbol" w:hAnsi="Symbol"/>
      </w:rPr>
    </w:lvl>
    <w:lvl w:ilvl="5" w:tplc="FBAEC4D6">
      <w:start w:val="1"/>
      <w:numFmt w:val="bullet"/>
      <w:lvlText w:val=""/>
      <w:lvlJc w:val="left"/>
      <w:pPr>
        <w:ind w:left="720" w:hanging="360"/>
      </w:pPr>
      <w:rPr>
        <w:rFonts w:ascii="Symbol" w:hAnsi="Symbol"/>
      </w:rPr>
    </w:lvl>
    <w:lvl w:ilvl="6" w:tplc="F156FA6A">
      <w:start w:val="1"/>
      <w:numFmt w:val="bullet"/>
      <w:lvlText w:val=""/>
      <w:lvlJc w:val="left"/>
      <w:pPr>
        <w:ind w:left="720" w:hanging="360"/>
      </w:pPr>
      <w:rPr>
        <w:rFonts w:ascii="Symbol" w:hAnsi="Symbol"/>
      </w:rPr>
    </w:lvl>
    <w:lvl w:ilvl="7" w:tplc="48D2F798">
      <w:start w:val="1"/>
      <w:numFmt w:val="bullet"/>
      <w:lvlText w:val=""/>
      <w:lvlJc w:val="left"/>
      <w:pPr>
        <w:ind w:left="720" w:hanging="360"/>
      </w:pPr>
      <w:rPr>
        <w:rFonts w:ascii="Symbol" w:hAnsi="Symbol"/>
      </w:rPr>
    </w:lvl>
    <w:lvl w:ilvl="8" w:tplc="3232FC44">
      <w:start w:val="1"/>
      <w:numFmt w:val="bullet"/>
      <w:lvlText w:val=""/>
      <w:lvlJc w:val="left"/>
      <w:pPr>
        <w:ind w:left="720" w:hanging="360"/>
      </w:pPr>
      <w:rPr>
        <w:rFonts w:ascii="Symbol" w:hAnsi="Symbol"/>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CC452D"/>
    <w:multiLevelType w:val="hybridMultilevel"/>
    <w:tmpl w:val="3B1610C2"/>
    <w:lvl w:ilvl="0" w:tplc="60FC0B84">
      <w:start w:val="1"/>
      <w:numFmt w:val="bullet"/>
      <w:lvlText w:val=""/>
      <w:lvlJc w:val="left"/>
      <w:pPr>
        <w:ind w:left="720" w:hanging="360"/>
      </w:pPr>
      <w:rPr>
        <w:rFonts w:ascii="Symbol" w:hAnsi="Symbol"/>
      </w:rPr>
    </w:lvl>
    <w:lvl w:ilvl="1" w:tplc="0DAA6F76">
      <w:start w:val="1"/>
      <w:numFmt w:val="bullet"/>
      <w:lvlText w:val=""/>
      <w:lvlJc w:val="left"/>
      <w:pPr>
        <w:ind w:left="720" w:hanging="360"/>
      </w:pPr>
      <w:rPr>
        <w:rFonts w:ascii="Symbol" w:hAnsi="Symbol"/>
      </w:rPr>
    </w:lvl>
    <w:lvl w:ilvl="2" w:tplc="848C7570">
      <w:start w:val="1"/>
      <w:numFmt w:val="bullet"/>
      <w:lvlText w:val=""/>
      <w:lvlJc w:val="left"/>
      <w:pPr>
        <w:ind w:left="720" w:hanging="360"/>
      </w:pPr>
      <w:rPr>
        <w:rFonts w:ascii="Symbol" w:hAnsi="Symbol"/>
      </w:rPr>
    </w:lvl>
    <w:lvl w:ilvl="3" w:tplc="E7122EAE">
      <w:start w:val="1"/>
      <w:numFmt w:val="bullet"/>
      <w:lvlText w:val=""/>
      <w:lvlJc w:val="left"/>
      <w:pPr>
        <w:ind w:left="720" w:hanging="360"/>
      </w:pPr>
      <w:rPr>
        <w:rFonts w:ascii="Symbol" w:hAnsi="Symbol"/>
      </w:rPr>
    </w:lvl>
    <w:lvl w:ilvl="4" w:tplc="1E8431C6">
      <w:start w:val="1"/>
      <w:numFmt w:val="bullet"/>
      <w:lvlText w:val=""/>
      <w:lvlJc w:val="left"/>
      <w:pPr>
        <w:ind w:left="720" w:hanging="360"/>
      </w:pPr>
      <w:rPr>
        <w:rFonts w:ascii="Symbol" w:hAnsi="Symbol"/>
      </w:rPr>
    </w:lvl>
    <w:lvl w:ilvl="5" w:tplc="C160328A">
      <w:start w:val="1"/>
      <w:numFmt w:val="bullet"/>
      <w:lvlText w:val=""/>
      <w:lvlJc w:val="left"/>
      <w:pPr>
        <w:ind w:left="720" w:hanging="360"/>
      </w:pPr>
      <w:rPr>
        <w:rFonts w:ascii="Symbol" w:hAnsi="Symbol"/>
      </w:rPr>
    </w:lvl>
    <w:lvl w:ilvl="6" w:tplc="55180616">
      <w:start w:val="1"/>
      <w:numFmt w:val="bullet"/>
      <w:lvlText w:val=""/>
      <w:lvlJc w:val="left"/>
      <w:pPr>
        <w:ind w:left="720" w:hanging="360"/>
      </w:pPr>
      <w:rPr>
        <w:rFonts w:ascii="Symbol" w:hAnsi="Symbol"/>
      </w:rPr>
    </w:lvl>
    <w:lvl w:ilvl="7" w:tplc="CE5E9E42">
      <w:start w:val="1"/>
      <w:numFmt w:val="bullet"/>
      <w:lvlText w:val=""/>
      <w:lvlJc w:val="left"/>
      <w:pPr>
        <w:ind w:left="720" w:hanging="360"/>
      </w:pPr>
      <w:rPr>
        <w:rFonts w:ascii="Symbol" w:hAnsi="Symbol"/>
      </w:rPr>
    </w:lvl>
    <w:lvl w:ilvl="8" w:tplc="C09E0F12">
      <w:start w:val="1"/>
      <w:numFmt w:val="bullet"/>
      <w:lvlText w:val=""/>
      <w:lvlJc w:val="left"/>
      <w:pPr>
        <w:ind w:left="720" w:hanging="360"/>
      </w:pPr>
      <w:rPr>
        <w:rFonts w:ascii="Symbol" w:hAnsi="Symbol"/>
      </w:rPr>
    </w:lvl>
  </w:abstractNum>
  <w:abstractNum w:abstractNumId="4" w15:restartNumberingAfterBreak="0">
    <w:nsid w:val="0C5A00C7"/>
    <w:multiLevelType w:val="hybridMultilevel"/>
    <w:tmpl w:val="FA8A0846"/>
    <w:lvl w:ilvl="0" w:tplc="43663162">
      <w:start w:val="1"/>
      <w:numFmt w:val="bullet"/>
      <w:pStyle w:val="AufzhlungKstchen"/>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1BF54864"/>
    <w:multiLevelType w:val="hybridMultilevel"/>
    <w:tmpl w:val="C23636C4"/>
    <w:lvl w:ilvl="0" w:tplc="3A761718">
      <w:start w:val="173"/>
      <w:numFmt w:val="bullet"/>
      <w:lvlText w:val="-"/>
      <w:lvlJc w:val="left"/>
      <w:pPr>
        <w:ind w:left="720" w:hanging="360"/>
      </w:pPr>
      <w:rPr>
        <w:rFonts w:ascii="Segoe UI" w:eastAsia="Verdana" w:hAnsi="Segoe UI" w:cs="Segoe U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8D7565"/>
    <w:multiLevelType w:val="hybridMultilevel"/>
    <w:tmpl w:val="F37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463D1E"/>
    <w:multiLevelType w:val="hybridMultilevel"/>
    <w:tmpl w:val="859E766E"/>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9" w15:restartNumberingAfterBreak="0">
    <w:nsid w:val="40A42503"/>
    <w:multiLevelType w:val="hybridMultilevel"/>
    <w:tmpl w:val="7804A9B0"/>
    <w:lvl w:ilvl="0" w:tplc="5D26D89C">
      <w:start w:val="14"/>
      <w:numFmt w:val="bullet"/>
      <w:lvlText w:val="•"/>
      <w:lvlJc w:val="left"/>
      <w:pPr>
        <w:ind w:left="1080" w:hanging="72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D63B62"/>
    <w:multiLevelType w:val="hybridMultilevel"/>
    <w:tmpl w:val="BC5A6826"/>
    <w:lvl w:ilvl="0" w:tplc="D166ED9C">
      <w:start w:val="1"/>
      <w:numFmt w:val="bullet"/>
      <w:lvlText w:val="•"/>
      <w:lvlJc w:val="left"/>
      <w:pPr>
        <w:tabs>
          <w:tab w:val="num" w:pos="720"/>
        </w:tabs>
        <w:ind w:left="720" w:hanging="360"/>
      </w:pPr>
      <w:rPr>
        <w:rFonts w:ascii="Arial" w:hAnsi="Arial" w:hint="default"/>
      </w:rPr>
    </w:lvl>
    <w:lvl w:ilvl="1" w:tplc="18049318" w:tentative="1">
      <w:start w:val="1"/>
      <w:numFmt w:val="bullet"/>
      <w:lvlText w:val="•"/>
      <w:lvlJc w:val="left"/>
      <w:pPr>
        <w:tabs>
          <w:tab w:val="num" w:pos="1440"/>
        </w:tabs>
        <w:ind w:left="1440" w:hanging="360"/>
      </w:pPr>
      <w:rPr>
        <w:rFonts w:ascii="Arial" w:hAnsi="Arial" w:hint="default"/>
      </w:rPr>
    </w:lvl>
    <w:lvl w:ilvl="2" w:tplc="8DE4C6EC" w:tentative="1">
      <w:start w:val="1"/>
      <w:numFmt w:val="bullet"/>
      <w:lvlText w:val="•"/>
      <w:lvlJc w:val="left"/>
      <w:pPr>
        <w:tabs>
          <w:tab w:val="num" w:pos="2160"/>
        </w:tabs>
        <w:ind w:left="2160" w:hanging="360"/>
      </w:pPr>
      <w:rPr>
        <w:rFonts w:ascii="Arial" w:hAnsi="Arial" w:hint="default"/>
      </w:rPr>
    </w:lvl>
    <w:lvl w:ilvl="3" w:tplc="E7E6FD22" w:tentative="1">
      <w:start w:val="1"/>
      <w:numFmt w:val="bullet"/>
      <w:lvlText w:val="•"/>
      <w:lvlJc w:val="left"/>
      <w:pPr>
        <w:tabs>
          <w:tab w:val="num" w:pos="2880"/>
        </w:tabs>
        <w:ind w:left="2880" w:hanging="360"/>
      </w:pPr>
      <w:rPr>
        <w:rFonts w:ascii="Arial" w:hAnsi="Arial" w:hint="default"/>
      </w:rPr>
    </w:lvl>
    <w:lvl w:ilvl="4" w:tplc="B04039A0" w:tentative="1">
      <w:start w:val="1"/>
      <w:numFmt w:val="bullet"/>
      <w:lvlText w:val="•"/>
      <w:lvlJc w:val="left"/>
      <w:pPr>
        <w:tabs>
          <w:tab w:val="num" w:pos="3600"/>
        </w:tabs>
        <w:ind w:left="3600" w:hanging="360"/>
      </w:pPr>
      <w:rPr>
        <w:rFonts w:ascii="Arial" w:hAnsi="Arial" w:hint="default"/>
      </w:rPr>
    </w:lvl>
    <w:lvl w:ilvl="5" w:tplc="1D12A744" w:tentative="1">
      <w:start w:val="1"/>
      <w:numFmt w:val="bullet"/>
      <w:lvlText w:val="•"/>
      <w:lvlJc w:val="left"/>
      <w:pPr>
        <w:tabs>
          <w:tab w:val="num" w:pos="4320"/>
        </w:tabs>
        <w:ind w:left="4320" w:hanging="360"/>
      </w:pPr>
      <w:rPr>
        <w:rFonts w:ascii="Arial" w:hAnsi="Arial" w:hint="default"/>
      </w:rPr>
    </w:lvl>
    <w:lvl w:ilvl="6" w:tplc="7AAC76A0" w:tentative="1">
      <w:start w:val="1"/>
      <w:numFmt w:val="bullet"/>
      <w:lvlText w:val="•"/>
      <w:lvlJc w:val="left"/>
      <w:pPr>
        <w:tabs>
          <w:tab w:val="num" w:pos="5040"/>
        </w:tabs>
        <w:ind w:left="5040" w:hanging="360"/>
      </w:pPr>
      <w:rPr>
        <w:rFonts w:ascii="Arial" w:hAnsi="Arial" w:hint="default"/>
      </w:rPr>
    </w:lvl>
    <w:lvl w:ilvl="7" w:tplc="4BC0749A" w:tentative="1">
      <w:start w:val="1"/>
      <w:numFmt w:val="bullet"/>
      <w:lvlText w:val="•"/>
      <w:lvlJc w:val="left"/>
      <w:pPr>
        <w:tabs>
          <w:tab w:val="num" w:pos="5760"/>
        </w:tabs>
        <w:ind w:left="5760" w:hanging="360"/>
      </w:pPr>
      <w:rPr>
        <w:rFonts w:ascii="Arial" w:hAnsi="Arial" w:hint="default"/>
      </w:rPr>
    </w:lvl>
    <w:lvl w:ilvl="8" w:tplc="B8E255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BDC1E8"/>
    <w:multiLevelType w:val="hybridMultilevel"/>
    <w:tmpl w:val="0FA0C38A"/>
    <w:lvl w:ilvl="0" w:tplc="FD60DAD4">
      <w:numFmt w:val="none"/>
      <w:lvlText w:val=""/>
      <w:lvlJc w:val="left"/>
      <w:pPr>
        <w:tabs>
          <w:tab w:val="num" w:pos="360"/>
        </w:tabs>
      </w:pPr>
    </w:lvl>
    <w:lvl w:ilvl="1" w:tplc="B080C0FC">
      <w:start w:val="1"/>
      <w:numFmt w:val="lowerLetter"/>
      <w:lvlText w:val="%2."/>
      <w:lvlJc w:val="left"/>
      <w:pPr>
        <w:ind w:left="1440" w:hanging="360"/>
      </w:pPr>
    </w:lvl>
    <w:lvl w:ilvl="2" w:tplc="0EF066AA">
      <w:start w:val="1"/>
      <w:numFmt w:val="lowerRoman"/>
      <w:lvlText w:val="%3."/>
      <w:lvlJc w:val="right"/>
      <w:pPr>
        <w:ind w:left="2160" w:hanging="180"/>
      </w:pPr>
    </w:lvl>
    <w:lvl w:ilvl="3" w:tplc="1DD83C02">
      <w:start w:val="1"/>
      <w:numFmt w:val="decimal"/>
      <w:lvlText w:val="%4."/>
      <w:lvlJc w:val="left"/>
      <w:pPr>
        <w:ind w:left="2880" w:hanging="360"/>
      </w:pPr>
    </w:lvl>
    <w:lvl w:ilvl="4" w:tplc="ACC6AC68">
      <w:start w:val="1"/>
      <w:numFmt w:val="lowerLetter"/>
      <w:lvlText w:val="%5."/>
      <w:lvlJc w:val="left"/>
      <w:pPr>
        <w:ind w:left="3600" w:hanging="360"/>
      </w:pPr>
    </w:lvl>
    <w:lvl w:ilvl="5" w:tplc="B1D48510">
      <w:start w:val="1"/>
      <w:numFmt w:val="lowerRoman"/>
      <w:lvlText w:val="%6."/>
      <w:lvlJc w:val="right"/>
      <w:pPr>
        <w:ind w:left="4320" w:hanging="180"/>
      </w:pPr>
    </w:lvl>
    <w:lvl w:ilvl="6" w:tplc="57E0BFDA">
      <w:start w:val="1"/>
      <w:numFmt w:val="decimal"/>
      <w:lvlText w:val="%7."/>
      <w:lvlJc w:val="left"/>
      <w:pPr>
        <w:ind w:left="5040" w:hanging="360"/>
      </w:pPr>
    </w:lvl>
    <w:lvl w:ilvl="7" w:tplc="93BAC7D8">
      <w:start w:val="1"/>
      <w:numFmt w:val="lowerLetter"/>
      <w:lvlText w:val="%8."/>
      <w:lvlJc w:val="left"/>
      <w:pPr>
        <w:ind w:left="5760" w:hanging="360"/>
      </w:pPr>
    </w:lvl>
    <w:lvl w:ilvl="8" w:tplc="5A7E2F30">
      <w:start w:val="1"/>
      <w:numFmt w:val="lowerRoman"/>
      <w:lvlText w:val="%9."/>
      <w:lvlJc w:val="right"/>
      <w:pPr>
        <w:ind w:left="6480" w:hanging="180"/>
      </w:pPr>
    </w:lvl>
  </w:abstractNum>
  <w:abstractNum w:abstractNumId="13"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332797"/>
    <w:multiLevelType w:val="multilevel"/>
    <w:tmpl w:val="AD342A8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
      <w:lvlJc w:val="left"/>
      <w:pPr>
        <w:ind w:left="0" w:firstLine="0"/>
      </w:pPr>
      <w:rPr>
        <w:rFonts w:hint="default"/>
      </w:rPr>
    </w:lvl>
    <w:lvl w:ilvl="3">
      <w:start w:val="1"/>
      <w:numFmt w:val="none"/>
      <w:pStyle w:val="Heading4"/>
      <w:lvlText w:val=""/>
      <w:lvlJc w:val="left"/>
      <w:pPr>
        <w:ind w:left="0" w:firstLine="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5212523">
    <w:abstractNumId w:val="12"/>
  </w:num>
  <w:num w:numId="2" w16cid:durableId="224688604">
    <w:abstractNumId w:val="15"/>
  </w:num>
  <w:num w:numId="3" w16cid:durableId="85421713">
    <w:abstractNumId w:val="2"/>
  </w:num>
  <w:num w:numId="4" w16cid:durableId="1300307861">
    <w:abstractNumId w:val="0"/>
  </w:num>
  <w:num w:numId="5" w16cid:durableId="637993374">
    <w:abstractNumId w:val="11"/>
  </w:num>
  <w:num w:numId="6" w16cid:durableId="1854103225">
    <w:abstractNumId w:val="18"/>
  </w:num>
  <w:num w:numId="7" w16cid:durableId="1356928567">
    <w:abstractNumId w:val="16"/>
  </w:num>
  <w:num w:numId="8" w16cid:durableId="809059103">
    <w:abstractNumId w:val="14"/>
  </w:num>
  <w:num w:numId="9" w16cid:durableId="1538665749">
    <w:abstractNumId w:val="17"/>
  </w:num>
  <w:num w:numId="10" w16cid:durableId="1858612253">
    <w:abstractNumId w:val="7"/>
  </w:num>
  <w:num w:numId="11" w16cid:durableId="1192692675">
    <w:abstractNumId w:val="13"/>
  </w:num>
  <w:num w:numId="12" w16cid:durableId="1470242756">
    <w:abstractNumId w:val="10"/>
  </w:num>
  <w:num w:numId="13" w16cid:durableId="2022396218">
    <w:abstractNumId w:val="8"/>
  </w:num>
  <w:num w:numId="14" w16cid:durableId="2072918393">
    <w:abstractNumId w:val="5"/>
  </w:num>
  <w:num w:numId="15" w16cid:durableId="615138753">
    <w:abstractNumId w:val="4"/>
  </w:num>
  <w:num w:numId="16" w16cid:durableId="1253781077">
    <w:abstractNumId w:val="6"/>
  </w:num>
  <w:num w:numId="17" w16cid:durableId="1912496305">
    <w:abstractNumId w:val="9"/>
  </w:num>
  <w:num w:numId="18" w16cid:durableId="487013054">
    <w:abstractNumId w:val="15"/>
  </w:num>
  <w:num w:numId="19" w16cid:durableId="588927030">
    <w:abstractNumId w:val="15"/>
  </w:num>
  <w:num w:numId="20" w16cid:durableId="1996300139">
    <w:abstractNumId w:val="15"/>
  </w:num>
  <w:num w:numId="21" w16cid:durableId="1805152931">
    <w:abstractNumId w:val="15"/>
  </w:num>
  <w:num w:numId="22" w16cid:durableId="1007319453">
    <w:abstractNumId w:val="3"/>
  </w:num>
  <w:num w:numId="23" w16cid:durableId="556430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wtjQ1MjE3sjAyNzJT0lEKTi0uzszPAykwrAUAaBdYASwAAAA="/>
    <w:docVar w:name="Acumen_Document_Id" w:val="0d9578db-bc0a-4ffe-b43e-87db03f2a001"/>
  </w:docVars>
  <w:rsids>
    <w:rsidRoot w:val="008A0A50"/>
    <w:rsid w:val="0000079D"/>
    <w:rsid w:val="00001CCD"/>
    <w:rsid w:val="00003363"/>
    <w:rsid w:val="00003B94"/>
    <w:rsid w:val="00003D75"/>
    <w:rsid w:val="00004397"/>
    <w:rsid w:val="00004DF1"/>
    <w:rsid w:val="0000612E"/>
    <w:rsid w:val="00006177"/>
    <w:rsid w:val="00006B4F"/>
    <w:rsid w:val="00006E8A"/>
    <w:rsid w:val="0000739D"/>
    <w:rsid w:val="00007B54"/>
    <w:rsid w:val="00007C20"/>
    <w:rsid w:val="0001168B"/>
    <w:rsid w:val="000132DB"/>
    <w:rsid w:val="00013A8C"/>
    <w:rsid w:val="00014544"/>
    <w:rsid w:val="00015595"/>
    <w:rsid w:val="00015AC3"/>
    <w:rsid w:val="00016ECF"/>
    <w:rsid w:val="000174B2"/>
    <w:rsid w:val="00017B25"/>
    <w:rsid w:val="00020A51"/>
    <w:rsid w:val="00020A53"/>
    <w:rsid w:val="0002128B"/>
    <w:rsid w:val="00021820"/>
    <w:rsid w:val="00021E27"/>
    <w:rsid w:val="00022572"/>
    <w:rsid w:val="00023E3C"/>
    <w:rsid w:val="000240CA"/>
    <w:rsid w:val="00025E88"/>
    <w:rsid w:val="00026CA7"/>
    <w:rsid w:val="000275B6"/>
    <w:rsid w:val="000276D6"/>
    <w:rsid w:val="000308CC"/>
    <w:rsid w:val="000323EE"/>
    <w:rsid w:val="00032DDE"/>
    <w:rsid w:val="000334AD"/>
    <w:rsid w:val="00033703"/>
    <w:rsid w:val="00033F26"/>
    <w:rsid w:val="00034206"/>
    <w:rsid w:val="000345EA"/>
    <w:rsid w:val="000348BA"/>
    <w:rsid w:val="00034E47"/>
    <w:rsid w:val="000350F5"/>
    <w:rsid w:val="0003749B"/>
    <w:rsid w:val="00037AB8"/>
    <w:rsid w:val="000401FB"/>
    <w:rsid w:val="00040F11"/>
    <w:rsid w:val="00041138"/>
    <w:rsid w:val="0004141D"/>
    <w:rsid w:val="000415D2"/>
    <w:rsid w:val="00042302"/>
    <w:rsid w:val="000430B5"/>
    <w:rsid w:val="00043247"/>
    <w:rsid w:val="000433F5"/>
    <w:rsid w:val="0004380D"/>
    <w:rsid w:val="000449C4"/>
    <w:rsid w:val="00045DAC"/>
    <w:rsid w:val="0004617E"/>
    <w:rsid w:val="00046469"/>
    <w:rsid w:val="000465E0"/>
    <w:rsid w:val="0004689B"/>
    <w:rsid w:val="00047624"/>
    <w:rsid w:val="000476FE"/>
    <w:rsid w:val="00047BCF"/>
    <w:rsid w:val="00051017"/>
    <w:rsid w:val="00052F6B"/>
    <w:rsid w:val="00053458"/>
    <w:rsid w:val="0005368A"/>
    <w:rsid w:val="00055597"/>
    <w:rsid w:val="000561B0"/>
    <w:rsid w:val="000562EC"/>
    <w:rsid w:val="00056F5B"/>
    <w:rsid w:val="00061F83"/>
    <w:rsid w:val="00063964"/>
    <w:rsid w:val="00063F00"/>
    <w:rsid w:val="000642D1"/>
    <w:rsid w:val="000646B9"/>
    <w:rsid w:val="00064F27"/>
    <w:rsid w:val="000652A8"/>
    <w:rsid w:val="00066268"/>
    <w:rsid w:val="00066679"/>
    <w:rsid w:val="0006682C"/>
    <w:rsid w:val="00066C3B"/>
    <w:rsid w:val="00066E44"/>
    <w:rsid w:val="00067287"/>
    <w:rsid w:val="000701BC"/>
    <w:rsid w:val="000708B7"/>
    <w:rsid w:val="0007156E"/>
    <w:rsid w:val="0007193F"/>
    <w:rsid w:val="000719A5"/>
    <w:rsid w:val="00072287"/>
    <w:rsid w:val="00072653"/>
    <w:rsid w:val="000727DD"/>
    <w:rsid w:val="00072895"/>
    <w:rsid w:val="00072DE9"/>
    <w:rsid w:val="00072ED6"/>
    <w:rsid w:val="000738B2"/>
    <w:rsid w:val="00073DB1"/>
    <w:rsid w:val="000740C6"/>
    <w:rsid w:val="00074243"/>
    <w:rsid w:val="00074571"/>
    <w:rsid w:val="000752AA"/>
    <w:rsid w:val="000765D9"/>
    <w:rsid w:val="00076FBC"/>
    <w:rsid w:val="00077B44"/>
    <w:rsid w:val="000806C9"/>
    <w:rsid w:val="00081176"/>
    <w:rsid w:val="00081E4D"/>
    <w:rsid w:val="0008243B"/>
    <w:rsid w:val="0008369B"/>
    <w:rsid w:val="00083762"/>
    <w:rsid w:val="000859C3"/>
    <w:rsid w:val="00086EC0"/>
    <w:rsid w:val="00087E58"/>
    <w:rsid w:val="000906C6"/>
    <w:rsid w:val="000911C5"/>
    <w:rsid w:val="00091D0A"/>
    <w:rsid w:val="00092C70"/>
    <w:rsid w:val="00092FAE"/>
    <w:rsid w:val="00096553"/>
    <w:rsid w:val="0009701F"/>
    <w:rsid w:val="000975A6"/>
    <w:rsid w:val="00097729"/>
    <w:rsid w:val="000A078E"/>
    <w:rsid w:val="000A08CA"/>
    <w:rsid w:val="000A152C"/>
    <w:rsid w:val="000A1BDD"/>
    <w:rsid w:val="000A2B84"/>
    <w:rsid w:val="000A3698"/>
    <w:rsid w:val="000A3DB5"/>
    <w:rsid w:val="000A47F8"/>
    <w:rsid w:val="000A6CCE"/>
    <w:rsid w:val="000A71CD"/>
    <w:rsid w:val="000A7D20"/>
    <w:rsid w:val="000B0974"/>
    <w:rsid w:val="000B0999"/>
    <w:rsid w:val="000B2619"/>
    <w:rsid w:val="000B2696"/>
    <w:rsid w:val="000B3165"/>
    <w:rsid w:val="000B386E"/>
    <w:rsid w:val="000B39F2"/>
    <w:rsid w:val="000B46E4"/>
    <w:rsid w:val="000B4BE6"/>
    <w:rsid w:val="000B4EE3"/>
    <w:rsid w:val="000B513A"/>
    <w:rsid w:val="000B53ED"/>
    <w:rsid w:val="000B5FF9"/>
    <w:rsid w:val="000B605E"/>
    <w:rsid w:val="000B6838"/>
    <w:rsid w:val="000B6B9D"/>
    <w:rsid w:val="000B6F4A"/>
    <w:rsid w:val="000B7074"/>
    <w:rsid w:val="000B7850"/>
    <w:rsid w:val="000C02C3"/>
    <w:rsid w:val="000C1FDE"/>
    <w:rsid w:val="000C23C1"/>
    <w:rsid w:val="000C3DEE"/>
    <w:rsid w:val="000C408A"/>
    <w:rsid w:val="000C46DB"/>
    <w:rsid w:val="000C4830"/>
    <w:rsid w:val="000C594D"/>
    <w:rsid w:val="000C611C"/>
    <w:rsid w:val="000C6139"/>
    <w:rsid w:val="000C6F6A"/>
    <w:rsid w:val="000C71DC"/>
    <w:rsid w:val="000D0EE5"/>
    <w:rsid w:val="000D1A82"/>
    <w:rsid w:val="000D40E8"/>
    <w:rsid w:val="000D4219"/>
    <w:rsid w:val="000D4B22"/>
    <w:rsid w:val="000D5181"/>
    <w:rsid w:val="000D5326"/>
    <w:rsid w:val="000D58BF"/>
    <w:rsid w:val="000D5AEC"/>
    <w:rsid w:val="000D61CF"/>
    <w:rsid w:val="000D6A5F"/>
    <w:rsid w:val="000D79CC"/>
    <w:rsid w:val="000D7B5F"/>
    <w:rsid w:val="000E15E2"/>
    <w:rsid w:val="000E25D9"/>
    <w:rsid w:val="000E3725"/>
    <w:rsid w:val="000E3DC9"/>
    <w:rsid w:val="000E47A4"/>
    <w:rsid w:val="000E4B6D"/>
    <w:rsid w:val="000E50F0"/>
    <w:rsid w:val="000E5795"/>
    <w:rsid w:val="000E6897"/>
    <w:rsid w:val="000E69EC"/>
    <w:rsid w:val="000E7125"/>
    <w:rsid w:val="000E7228"/>
    <w:rsid w:val="000E7B9B"/>
    <w:rsid w:val="000E7BEC"/>
    <w:rsid w:val="000F0D2E"/>
    <w:rsid w:val="000F1743"/>
    <w:rsid w:val="000F21C9"/>
    <w:rsid w:val="000F238D"/>
    <w:rsid w:val="000F2621"/>
    <w:rsid w:val="000F2771"/>
    <w:rsid w:val="000F284C"/>
    <w:rsid w:val="000F2F91"/>
    <w:rsid w:val="000F3543"/>
    <w:rsid w:val="000F368F"/>
    <w:rsid w:val="000F3B74"/>
    <w:rsid w:val="000F3F9C"/>
    <w:rsid w:val="000F5BE8"/>
    <w:rsid w:val="000F60B6"/>
    <w:rsid w:val="000F6161"/>
    <w:rsid w:val="000F7826"/>
    <w:rsid w:val="0010048B"/>
    <w:rsid w:val="0010097B"/>
    <w:rsid w:val="00101211"/>
    <w:rsid w:val="00102384"/>
    <w:rsid w:val="00104503"/>
    <w:rsid w:val="001045FE"/>
    <w:rsid w:val="00104B80"/>
    <w:rsid w:val="00104F8E"/>
    <w:rsid w:val="001055BC"/>
    <w:rsid w:val="00106343"/>
    <w:rsid w:val="0010671C"/>
    <w:rsid w:val="00106F0D"/>
    <w:rsid w:val="00107A63"/>
    <w:rsid w:val="00107D1C"/>
    <w:rsid w:val="00107D35"/>
    <w:rsid w:val="00111E67"/>
    <w:rsid w:val="0011382F"/>
    <w:rsid w:val="001153F3"/>
    <w:rsid w:val="00115638"/>
    <w:rsid w:val="001167D8"/>
    <w:rsid w:val="00116DB9"/>
    <w:rsid w:val="00117A77"/>
    <w:rsid w:val="00120100"/>
    <w:rsid w:val="0012089A"/>
    <w:rsid w:val="00121C2F"/>
    <w:rsid w:val="00122CB0"/>
    <w:rsid w:val="001236E2"/>
    <w:rsid w:val="001247FA"/>
    <w:rsid w:val="00125F9F"/>
    <w:rsid w:val="00126214"/>
    <w:rsid w:val="00126D4A"/>
    <w:rsid w:val="001270F9"/>
    <w:rsid w:val="001277C9"/>
    <w:rsid w:val="001300F2"/>
    <w:rsid w:val="00130B0B"/>
    <w:rsid w:val="00130CCC"/>
    <w:rsid w:val="00131B2C"/>
    <w:rsid w:val="00132556"/>
    <w:rsid w:val="00132D77"/>
    <w:rsid w:val="001331A0"/>
    <w:rsid w:val="00133CA2"/>
    <w:rsid w:val="00134AA5"/>
    <w:rsid w:val="00134B16"/>
    <w:rsid w:val="00135375"/>
    <w:rsid w:val="00135C4A"/>
    <w:rsid w:val="00136644"/>
    <w:rsid w:val="00136802"/>
    <w:rsid w:val="001377ED"/>
    <w:rsid w:val="0014065E"/>
    <w:rsid w:val="00140866"/>
    <w:rsid w:val="00141587"/>
    <w:rsid w:val="00141D3C"/>
    <w:rsid w:val="001421FA"/>
    <w:rsid w:val="00142585"/>
    <w:rsid w:val="00142A6C"/>
    <w:rsid w:val="00143D71"/>
    <w:rsid w:val="00144175"/>
    <w:rsid w:val="00145B54"/>
    <w:rsid w:val="00145C13"/>
    <w:rsid w:val="00146F32"/>
    <w:rsid w:val="00147270"/>
    <w:rsid w:val="00147DB2"/>
    <w:rsid w:val="0015015D"/>
    <w:rsid w:val="001506F4"/>
    <w:rsid w:val="00151348"/>
    <w:rsid w:val="00152211"/>
    <w:rsid w:val="00152443"/>
    <w:rsid w:val="00152B52"/>
    <w:rsid w:val="00153201"/>
    <w:rsid w:val="0015389C"/>
    <w:rsid w:val="00154FC4"/>
    <w:rsid w:val="0015508D"/>
    <w:rsid w:val="0015574B"/>
    <w:rsid w:val="00155BFF"/>
    <w:rsid w:val="00155F7D"/>
    <w:rsid w:val="00156030"/>
    <w:rsid w:val="001562AD"/>
    <w:rsid w:val="00156E30"/>
    <w:rsid w:val="00160916"/>
    <w:rsid w:val="00160B50"/>
    <w:rsid w:val="00160E66"/>
    <w:rsid w:val="00161953"/>
    <w:rsid w:val="00161B0B"/>
    <w:rsid w:val="00161ED0"/>
    <w:rsid w:val="00161FBE"/>
    <w:rsid w:val="00162FC2"/>
    <w:rsid w:val="00163151"/>
    <w:rsid w:val="00163280"/>
    <w:rsid w:val="00163584"/>
    <w:rsid w:val="00163602"/>
    <w:rsid w:val="00163A26"/>
    <w:rsid w:val="00163E11"/>
    <w:rsid w:val="001642D9"/>
    <w:rsid w:val="0016588E"/>
    <w:rsid w:val="0016683E"/>
    <w:rsid w:val="0016794B"/>
    <w:rsid w:val="001701AC"/>
    <w:rsid w:val="00170BF1"/>
    <w:rsid w:val="00170E05"/>
    <w:rsid w:val="00171A7C"/>
    <w:rsid w:val="00171E3C"/>
    <w:rsid w:val="001732CB"/>
    <w:rsid w:val="001732E6"/>
    <w:rsid w:val="00173F96"/>
    <w:rsid w:val="00174A58"/>
    <w:rsid w:val="00174C02"/>
    <w:rsid w:val="001757B8"/>
    <w:rsid w:val="00175E87"/>
    <w:rsid w:val="001765A1"/>
    <w:rsid w:val="001769EA"/>
    <w:rsid w:val="00176A40"/>
    <w:rsid w:val="00180147"/>
    <w:rsid w:val="0018413D"/>
    <w:rsid w:val="0018416C"/>
    <w:rsid w:val="0018486D"/>
    <w:rsid w:val="0018585D"/>
    <w:rsid w:val="0018701D"/>
    <w:rsid w:val="00187865"/>
    <w:rsid w:val="001905BF"/>
    <w:rsid w:val="00191026"/>
    <w:rsid w:val="00191329"/>
    <w:rsid w:val="00191502"/>
    <w:rsid w:val="00191B8A"/>
    <w:rsid w:val="00191BEC"/>
    <w:rsid w:val="00192227"/>
    <w:rsid w:val="001927C0"/>
    <w:rsid w:val="00192862"/>
    <w:rsid w:val="0019292D"/>
    <w:rsid w:val="001930EB"/>
    <w:rsid w:val="0019315B"/>
    <w:rsid w:val="00193B1A"/>
    <w:rsid w:val="00194D0C"/>
    <w:rsid w:val="00195492"/>
    <w:rsid w:val="00195510"/>
    <w:rsid w:val="00196AE3"/>
    <w:rsid w:val="00196DE6"/>
    <w:rsid w:val="001A0174"/>
    <w:rsid w:val="001A1BBC"/>
    <w:rsid w:val="001A1FA6"/>
    <w:rsid w:val="001A26F4"/>
    <w:rsid w:val="001A29B9"/>
    <w:rsid w:val="001A2CF1"/>
    <w:rsid w:val="001A3992"/>
    <w:rsid w:val="001A3EE9"/>
    <w:rsid w:val="001A45A7"/>
    <w:rsid w:val="001A499F"/>
    <w:rsid w:val="001A4E10"/>
    <w:rsid w:val="001A4ECD"/>
    <w:rsid w:val="001A51D3"/>
    <w:rsid w:val="001A521E"/>
    <w:rsid w:val="001A5610"/>
    <w:rsid w:val="001A6EB0"/>
    <w:rsid w:val="001A7192"/>
    <w:rsid w:val="001A78EA"/>
    <w:rsid w:val="001A7EE0"/>
    <w:rsid w:val="001A7F8F"/>
    <w:rsid w:val="001B0246"/>
    <w:rsid w:val="001B0CFC"/>
    <w:rsid w:val="001B0FD2"/>
    <w:rsid w:val="001B12B4"/>
    <w:rsid w:val="001B18AB"/>
    <w:rsid w:val="001B1A63"/>
    <w:rsid w:val="001B206C"/>
    <w:rsid w:val="001B2871"/>
    <w:rsid w:val="001B306C"/>
    <w:rsid w:val="001B3C2D"/>
    <w:rsid w:val="001B3D83"/>
    <w:rsid w:val="001B3F25"/>
    <w:rsid w:val="001B4866"/>
    <w:rsid w:val="001B5009"/>
    <w:rsid w:val="001B53BF"/>
    <w:rsid w:val="001B5B82"/>
    <w:rsid w:val="001B6EF7"/>
    <w:rsid w:val="001B7EF7"/>
    <w:rsid w:val="001C06B5"/>
    <w:rsid w:val="001C0D00"/>
    <w:rsid w:val="001C1CE5"/>
    <w:rsid w:val="001C2201"/>
    <w:rsid w:val="001C2810"/>
    <w:rsid w:val="001C2C92"/>
    <w:rsid w:val="001C4A74"/>
    <w:rsid w:val="001C4AE5"/>
    <w:rsid w:val="001C4FFC"/>
    <w:rsid w:val="001C6D9F"/>
    <w:rsid w:val="001C72D5"/>
    <w:rsid w:val="001D1F0C"/>
    <w:rsid w:val="001D1F40"/>
    <w:rsid w:val="001D214A"/>
    <w:rsid w:val="001D45C1"/>
    <w:rsid w:val="001D4C10"/>
    <w:rsid w:val="001D595E"/>
    <w:rsid w:val="001D7014"/>
    <w:rsid w:val="001D70A2"/>
    <w:rsid w:val="001E0250"/>
    <w:rsid w:val="001E02A5"/>
    <w:rsid w:val="001E104F"/>
    <w:rsid w:val="001E1A4F"/>
    <w:rsid w:val="001E2094"/>
    <w:rsid w:val="001E2846"/>
    <w:rsid w:val="001E2D3B"/>
    <w:rsid w:val="001E34B8"/>
    <w:rsid w:val="001E3F70"/>
    <w:rsid w:val="001E4550"/>
    <w:rsid w:val="001E4AE2"/>
    <w:rsid w:val="001E51AE"/>
    <w:rsid w:val="001E64D2"/>
    <w:rsid w:val="001E70D8"/>
    <w:rsid w:val="001E7927"/>
    <w:rsid w:val="001E7935"/>
    <w:rsid w:val="001F020D"/>
    <w:rsid w:val="001F0BAB"/>
    <w:rsid w:val="001F1667"/>
    <w:rsid w:val="001F189D"/>
    <w:rsid w:val="001F195C"/>
    <w:rsid w:val="001F1AA4"/>
    <w:rsid w:val="001F281D"/>
    <w:rsid w:val="001F3ACD"/>
    <w:rsid w:val="001F3C1B"/>
    <w:rsid w:val="001F3E74"/>
    <w:rsid w:val="001F3EED"/>
    <w:rsid w:val="001F3F34"/>
    <w:rsid w:val="001F6A72"/>
    <w:rsid w:val="001F6F3F"/>
    <w:rsid w:val="001F6FEC"/>
    <w:rsid w:val="001F70DD"/>
    <w:rsid w:val="00201046"/>
    <w:rsid w:val="002023D2"/>
    <w:rsid w:val="002034CA"/>
    <w:rsid w:val="002036DF"/>
    <w:rsid w:val="00203954"/>
    <w:rsid w:val="002041F1"/>
    <w:rsid w:val="0020481B"/>
    <w:rsid w:val="002048F8"/>
    <w:rsid w:val="00205A24"/>
    <w:rsid w:val="0020664B"/>
    <w:rsid w:val="0020670E"/>
    <w:rsid w:val="00206C03"/>
    <w:rsid w:val="002072A7"/>
    <w:rsid w:val="00207569"/>
    <w:rsid w:val="0020795F"/>
    <w:rsid w:val="00207980"/>
    <w:rsid w:val="00207C19"/>
    <w:rsid w:val="0021053B"/>
    <w:rsid w:val="00210BE5"/>
    <w:rsid w:val="00210F41"/>
    <w:rsid w:val="0021106E"/>
    <w:rsid w:val="00211D17"/>
    <w:rsid w:val="00211F74"/>
    <w:rsid w:val="0021200F"/>
    <w:rsid w:val="00212610"/>
    <w:rsid w:val="00212FE0"/>
    <w:rsid w:val="002132B4"/>
    <w:rsid w:val="0021358B"/>
    <w:rsid w:val="00213E2B"/>
    <w:rsid w:val="00214837"/>
    <w:rsid w:val="0021497B"/>
    <w:rsid w:val="00214D77"/>
    <w:rsid w:val="0021515D"/>
    <w:rsid w:val="0021644D"/>
    <w:rsid w:val="0021660C"/>
    <w:rsid w:val="00216AFF"/>
    <w:rsid w:val="00216B0C"/>
    <w:rsid w:val="00216E0B"/>
    <w:rsid w:val="00217492"/>
    <w:rsid w:val="00217516"/>
    <w:rsid w:val="00217624"/>
    <w:rsid w:val="00220931"/>
    <w:rsid w:val="00221181"/>
    <w:rsid w:val="00221871"/>
    <w:rsid w:val="00222C18"/>
    <w:rsid w:val="00222FB4"/>
    <w:rsid w:val="002233ED"/>
    <w:rsid w:val="00224123"/>
    <w:rsid w:val="00224238"/>
    <w:rsid w:val="00224CCE"/>
    <w:rsid w:val="00225EB6"/>
    <w:rsid w:val="00225EE2"/>
    <w:rsid w:val="0022701D"/>
    <w:rsid w:val="00230086"/>
    <w:rsid w:val="00230C05"/>
    <w:rsid w:val="002313ED"/>
    <w:rsid w:val="002322E8"/>
    <w:rsid w:val="00232824"/>
    <w:rsid w:val="002337EC"/>
    <w:rsid w:val="00233C83"/>
    <w:rsid w:val="00234C9F"/>
    <w:rsid w:val="00236F1F"/>
    <w:rsid w:val="00237014"/>
    <w:rsid w:val="00237391"/>
    <w:rsid w:val="0023757E"/>
    <w:rsid w:val="002407BD"/>
    <w:rsid w:val="00240A5B"/>
    <w:rsid w:val="002415A5"/>
    <w:rsid w:val="00243071"/>
    <w:rsid w:val="00243A72"/>
    <w:rsid w:val="00243B86"/>
    <w:rsid w:val="00243D1E"/>
    <w:rsid w:val="00244BF3"/>
    <w:rsid w:val="00246581"/>
    <w:rsid w:val="00246598"/>
    <w:rsid w:val="00247095"/>
    <w:rsid w:val="002473A7"/>
    <w:rsid w:val="00247810"/>
    <w:rsid w:val="00247922"/>
    <w:rsid w:val="00247E59"/>
    <w:rsid w:val="00247FD3"/>
    <w:rsid w:val="00250D58"/>
    <w:rsid w:val="00251DC1"/>
    <w:rsid w:val="00252518"/>
    <w:rsid w:val="00252C87"/>
    <w:rsid w:val="00253D23"/>
    <w:rsid w:val="00253D5D"/>
    <w:rsid w:val="00254126"/>
    <w:rsid w:val="00254451"/>
    <w:rsid w:val="00254464"/>
    <w:rsid w:val="002549C9"/>
    <w:rsid w:val="00254C37"/>
    <w:rsid w:val="0025580D"/>
    <w:rsid w:val="00256278"/>
    <w:rsid w:val="00256A30"/>
    <w:rsid w:val="00256FDA"/>
    <w:rsid w:val="00257BCA"/>
    <w:rsid w:val="00257DA4"/>
    <w:rsid w:val="002607B6"/>
    <w:rsid w:val="00262023"/>
    <w:rsid w:val="00262AFF"/>
    <w:rsid w:val="00264173"/>
    <w:rsid w:val="00264D72"/>
    <w:rsid w:val="002654C0"/>
    <w:rsid w:val="002662AB"/>
    <w:rsid w:val="00267803"/>
    <w:rsid w:val="00272319"/>
    <w:rsid w:val="00272FA5"/>
    <w:rsid w:val="0027312D"/>
    <w:rsid w:val="00273633"/>
    <w:rsid w:val="00273716"/>
    <w:rsid w:val="00273EA4"/>
    <w:rsid w:val="0027475C"/>
    <w:rsid w:val="002755DA"/>
    <w:rsid w:val="00276298"/>
    <w:rsid w:val="00276D28"/>
    <w:rsid w:val="00280A1E"/>
    <w:rsid w:val="00280ED7"/>
    <w:rsid w:val="00281009"/>
    <w:rsid w:val="002815CE"/>
    <w:rsid w:val="00281939"/>
    <w:rsid w:val="00281FBA"/>
    <w:rsid w:val="00282C4B"/>
    <w:rsid w:val="00283792"/>
    <w:rsid w:val="00285173"/>
    <w:rsid w:val="002851B0"/>
    <w:rsid w:val="0028539D"/>
    <w:rsid w:val="00285EC7"/>
    <w:rsid w:val="00286259"/>
    <w:rsid w:val="002862E2"/>
    <w:rsid w:val="00286F3E"/>
    <w:rsid w:val="00287FDB"/>
    <w:rsid w:val="0029050F"/>
    <w:rsid w:val="00290700"/>
    <w:rsid w:val="002908E2"/>
    <w:rsid w:val="00291593"/>
    <w:rsid w:val="00292BBD"/>
    <w:rsid w:val="0029306B"/>
    <w:rsid w:val="002932FE"/>
    <w:rsid w:val="00293E86"/>
    <w:rsid w:val="00294267"/>
    <w:rsid w:val="00294D90"/>
    <w:rsid w:val="00294E34"/>
    <w:rsid w:val="00295FA8"/>
    <w:rsid w:val="00296277"/>
    <w:rsid w:val="002965F6"/>
    <w:rsid w:val="00296CC5"/>
    <w:rsid w:val="00297405"/>
    <w:rsid w:val="00297AC0"/>
    <w:rsid w:val="002A089A"/>
    <w:rsid w:val="002A14B4"/>
    <w:rsid w:val="002A1CCA"/>
    <w:rsid w:val="002A2167"/>
    <w:rsid w:val="002A2B3D"/>
    <w:rsid w:val="002A384A"/>
    <w:rsid w:val="002A3CF5"/>
    <w:rsid w:val="002A3CF7"/>
    <w:rsid w:val="002A42EB"/>
    <w:rsid w:val="002A6277"/>
    <w:rsid w:val="002A65BA"/>
    <w:rsid w:val="002A7127"/>
    <w:rsid w:val="002A7377"/>
    <w:rsid w:val="002A7F70"/>
    <w:rsid w:val="002B0E93"/>
    <w:rsid w:val="002B1B39"/>
    <w:rsid w:val="002B1D46"/>
    <w:rsid w:val="002B2020"/>
    <w:rsid w:val="002B2A3C"/>
    <w:rsid w:val="002B3032"/>
    <w:rsid w:val="002B31F4"/>
    <w:rsid w:val="002B3863"/>
    <w:rsid w:val="002B4289"/>
    <w:rsid w:val="002B4793"/>
    <w:rsid w:val="002B4C36"/>
    <w:rsid w:val="002B4ECD"/>
    <w:rsid w:val="002B56EB"/>
    <w:rsid w:val="002B5E23"/>
    <w:rsid w:val="002B5F95"/>
    <w:rsid w:val="002B6424"/>
    <w:rsid w:val="002B7CA8"/>
    <w:rsid w:val="002B7E67"/>
    <w:rsid w:val="002B7F5B"/>
    <w:rsid w:val="002C0322"/>
    <w:rsid w:val="002C0A62"/>
    <w:rsid w:val="002C0E7B"/>
    <w:rsid w:val="002C186A"/>
    <w:rsid w:val="002C2909"/>
    <w:rsid w:val="002C3426"/>
    <w:rsid w:val="002C3489"/>
    <w:rsid w:val="002C3BFC"/>
    <w:rsid w:val="002C3ECF"/>
    <w:rsid w:val="002C4FD3"/>
    <w:rsid w:val="002C63EE"/>
    <w:rsid w:val="002C6D12"/>
    <w:rsid w:val="002C7548"/>
    <w:rsid w:val="002C775D"/>
    <w:rsid w:val="002C7B00"/>
    <w:rsid w:val="002D0521"/>
    <w:rsid w:val="002D13BE"/>
    <w:rsid w:val="002D1949"/>
    <w:rsid w:val="002D2EC6"/>
    <w:rsid w:val="002D489E"/>
    <w:rsid w:val="002D49D8"/>
    <w:rsid w:val="002D4F3E"/>
    <w:rsid w:val="002D5D64"/>
    <w:rsid w:val="002D60BC"/>
    <w:rsid w:val="002D6533"/>
    <w:rsid w:val="002D666D"/>
    <w:rsid w:val="002D6A1B"/>
    <w:rsid w:val="002D6A29"/>
    <w:rsid w:val="002D742D"/>
    <w:rsid w:val="002D7751"/>
    <w:rsid w:val="002D7F04"/>
    <w:rsid w:val="002E02F6"/>
    <w:rsid w:val="002E093D"/>
    <w:rsid w:val="002E0A26"/>
    <w:rsid w:val="002E0ECC"/>
    <w:rsid w:val="002E15DA"/>
    <w:rsid w:val="002E1C76"/>
    <w:rsid w:val="002E1D5A"/>
    <w:rsid w:val="002E1E67"/>
    <w:rsid w:val="002E1FEA"/>
    <w:rsid w:val="002E233B"/>
    <w:rsid w:val="002E277D"/>
    <w:rsid w:val="002E2D3F"/>
    <w:rsid w:val="002E32E9"/>
    <w:rsid w:val="002E330B"/>
    <w:rsid w:val="002E42D4"/>
    <w:rsid w:val="002E4A90"/>
    <w:rsid w:val="002E5252"/>
    <w:rsid w:val="002F0741"/>
    <w:rsid w:val="002F1682"/>
    <w:rsid w:val="002F2745"/>
    <w:rsid w:val="002F2B20"/>
    <w:rsid w:val="002F3621"/>
    <w:rsid w:val="002F38DF"/>
    <w:rsid w:val="002F3A95"/>
    <w:rsid w:val="002F5444"/>
    <w:rsid w:val="002F5566"/>
    <w:rsid w:val="002F6132"/>
    <w:rsid w:val="002F709E"/>
    <w:rsid w:val="00300030"/>
    <w:rsid w:val="00300920"/>
    <w:rsid w:val="00300AE2"/>
    <w:rsid w:val="00300F2A"/>
    <w:rsid w:val="0030136C"/>
    <w:rsid w:val="00301504"/>
    <w:rsid w:val="003015CF"/>
    <w:rsid w:val="00301647"/>
    <w:rsid w:val="00301F2D"/>
    <w:rsid w:val="00301FBF"/>
    <w:rsid w:val="00302EDD"/>
    <w:rsid w:val="0030318B"/>
    <w:rsid w:val="00303AD5"/>
    <w:rsid w:val="00303E51"/>
    <w:rsid w:val="00303E8F"/>
    <w:rsid w:val="003053B9"/>
    <w:rsid w:val="00305BC0"/>
    <w:rsid w:val="003066EB"/>
    <w:rsid w:val="00306C86"/>
    <w:rsid w:val="00306F78"/>
    <w:rsid w:val="00306F8F"/>
    <w:rsid w:val="00307CE2"/>
    <w:rsid w:val="0031096D"/>
    <w:rsid w:val="003113CF"/>
    <w:rsid w:val="00312F41"/>
    <w:rsid w:val="003142F5"/>
    <w:rsid w:val="00314408"/>
    <w:rsid w:val="00314827"/>
    <w:rsid w:val="00314872"/>
    <w:rsid w:val="00314A53"/>
    <w:rsid w:val="003152B2"/>
    <w:rsid w:val="00315304"/>
    <w:rsid w:val="003154C1"/>
    <w:rsid w:val="00315E78"/>
    <w:rsid w:val="00316DF8"/>
    <w:rsid w:val="00316E7C"/>
    <w:rsid w:val="00320201"/>
    <w:rsid w:val="00320DD2"/>
    <w:rsid w:val="00321567"/>
    <w:rsid w:val="00321AEA"/>
    <w:rsid w:val="0032270F"/>
    <w:rsid w:val="0032336B"/>
    <w:rsid w:val="00323624"/>
    <w:rsid w:val="00323C2D"/>
    <w:rsid w:val="00324AAA"/>
    <w:rsid w:val="00326942"/>
    <w:rsid w:val="003272DA"/>
    <w:rsid w:val="0032740E"/>
    <w:rsid w:val="00327930"/>
    <w:rsid w:val="003302CB"/>
    <w:rsid w:val="00330973"/>
    <w:rsid w:val="00331F13"/>
    <w:rsid w:val="00332163"/>
    <w:rsid w:val="003321C0"/>
    <w:rsid w:val="00332B40"/>
    <w:rsid w:val="003362AB"/>
    <w:rsid w:val="00336C19"/>
    <w:rsid w:val="003371F7"/>
    <w:rsid w:val="003404A2"/>
    <w:rsid w:val="00342736"/>
    <w:rsid w:val="00342881"/>
    <w:rsid w:val="00342D6F"/>
    <w:rsid w:val="00342FF7"/>
    <w:rsid w:val="00343152"/>
    <w:rsid w:val="00343556"/>
    <w:rsid w:val="00343571"/>
    <w:rsid w:val="00344CE7"/>
    <w:rsid w:val="00345083"/>
    <w:rsid w:val="00345C4B"/>
    <w:rsid w:val="00346A15"/>
    <w:rsid w:val="00346F31"/>
    <w:rsid w:val="003471C7"/>
    <w:rsid w:val="00350B33"/>
    <w:rsid w:val="00351AA6"/>
    <w:rsid w:val="00352E06"/>
    <w:rsid w:val="003531A7"/>
    <w:rsid w:val="00353913"/>
    <w:rsid w:val="00353C2F"/>
    <w:rsid w:val="003545FF"/>
    <w:rsid w:val="00354BF6"/>
    <w:rsid w:val="003560F5"/>
    <w:rsid w:val="0035665F"/>
    <w:rsid w:val="0035709C"/>
    <w:rsid w:val="003572DA"/>
    <w:rsid w:val="0035755B"/>
    <w:rsid w:val="0035765D"/>
    <w:rsid w:val="00357F39"/>
    <w:rsid w:val="0036099B"/>
    <w:rsid w:val="003616B6"/>
    <w:rsid w:val="00361F0B"/>
    <w:rsid w:val="003625A5"/>
    <w:rsid w:val="0036291D"/>
    <w:rsid w:val="00363BE3"/>
    <w:rsid w:val="00364BAF"/>
    <w:rsid w:val="00364EC9"/>
    <w:rsid w:val="003659B6"/>
    <w:rsid w:val="003659C3"/>
    <w:rsid w:val="00365A3C"/>
    <w:rsid w:val="003662CF"/>
    <w:rsid w:val="00366F53"/>
    <w:rsid w:val="00367DC6"/>
    <w:rsid w:val="00367E30"/>
    <w:rsid w:val="00370454"/>
    <w:rsid w:val="00370F5C"/>
    <w:rsid w:val="00371339"/>
    <w:rsid w:val="003716E9"/>
    <w:rsid w:val="00372187"/>
    <w:rsid w:val="00372BCC"/>
    <w:rsid w:val="00372CE0"/>
    <w:rsid w:val="003740C3"/>
    <w:rsid w:val="00374255"/>
    <w:rsid w:val="0037431E"/>
    <w:rsid w:val="0037444F"/>
    <w:rsid w:val="00375523"/>
    <w:rsid w:val="00375A50"/>
    <w:rsid w:val="00375DF3"/>
    <w:rsid w:val="00376E05"/>
    <w:rsid w:val="00380C02"/>
    <w:rsid w:val="00380F30"/>
    <w:rsid w:val="00381D9F"/>
    <w:rsid w:val="00382777"/>
    <w:rsid w:val="00383F56"/>
    <w:rsid w:val="00384864"/>
    <w:rsid w:val="00384EFD"/>
    <w:rsid w:val="00385297"/>
    <w:rsid w:val="00385782"/>
    <w:rsid w:val="00385EDE"/>
    <w:rsid w:val="00386340"/>
    <w:rsid w:val="0038678A"/>
    <w:rsid w:val="00387848"/>
    <w:rsid w:val="0039097A"/>
    <w:rsid w:val="00390EBB"/>
    <w:rsid w:val="003919F3"/>
    <w:rsid w:val="00391D16"/>
    <w:rsid w:val="00392D40"/>
    <w:rsid w:val="00392F94"/>
    <w:rsid w:val="00393A70"/>
    <w:rsid w:val="00393B41"/>
    <w:rsid w:val="00394477"/>
    <w:rsid w:val="00394E59"/>
    <w:rsid w:val="0039569F"/>
    <w:rsid w:val="00395E7C"/>
    <w:rsid w:val="0039635A"/>
    <w:rsid w:val="00396402"/>
    <w:rsid w:val="00397520"/>
    <w:rsid w:val="00397B54"/>
    <w:rsid w:val="00397C46"/>
    <w:rsid w:val="003A041B"/>
    <w:rsid w:val="003A0658"/>
    <w:rsid w:val="003A0FBC"/>
    <w:rsid w:val="003A147D"/>
    <w:rsid w:val="003A2A92"/>
    <w:rsid w:val="003A35B2"/>
    <w:rsid w:val="003A3A57"/>
    <w:rsid w:val="003A3D27"/>
    <w:rsid w:val="003A42E3"/>
    <w:rsid w:val="003A4726"/>
    <w:rsid w:val="003A4BCF"/>
    <w:rsid w:val="003A510E"/>
    <w:rsid w:val="003A6526"/>
    <w:rsid w:val="003A6F6C"/>
    <w:rsid w:val="003A7ACF"/>
    <w:rsid w:val="003B01F1"/>
    <w:rsid w:val="003B1BF0"/>
    <w:rsid w:val="003B39B1"/>
    <w:rsid w:val="003B3CCA"/>
    <w:rsid w:val="003B4248"/>
    <w:rsid w:val="003B52CC"/>
    <w:rsid w:val="003B584E"/>
    <w:rsid w:val="003B62BC"/>
    <w:rsid w:val="003B6B2A"/>
    <w:rsid w:val="003B6EAF"/>
    <w:rsid w:val="003B739F"/>
    <w:rsid w:val="003B773F"/>
    <w:rsid w:val="003B7B57"/>
    <w:rsid w:val="003B7DC4"/>
    <w:rsid w:val="003C2431"/>
    <w:rsid w:val="003C2BB4"/>
    <w:rsid w:val="003C3B81"/>
    <w:rsid w:val="003C4A18"/>
    <w:rsid w:val="003C4B8D"/>
    <w:rsid w:val="003C4F17"/>
    <w:rsid w:val="003C5573"/>
    <w:rsid w:val="003C61E7"/>
    <w:rsid w:val="003C72FB"/>
    <w:rsid w:val="003C7C8E"/>
    <w:rsid w:val="003D01C0"/>
    <w:rsid w:val="003D01DB"/>
    <w:rsid w:val="003D02A4"/>
    <w:rsid w:val="003D19A1"/>
    <w:rsid w:val="003D2956"/>
    <w:rsid w:val="003D2A32"/>
    <w:rsid w:val="003D6386"/>
    <w:rsid w:val="003D695C"/>
    <w:rsid w:val="003D7135"/>
    <w:rsid w:val="003E0959"/>
    <w:rsid w:val="003E1108"/>
    <w:rsid w:val="003E2B77"/>
    <w:rsid w:val="003E2E44"/>
    <w:rsid w:val="003E2FA4"/>
    <w:rsid w:val="003E312B"/>
    <w:rsid w:val="003E37CD"/>
    <w:rsid w:val="003E3844"/>
    <w:rsid w:val="003E3AF6"/>
    <w:rsid w:val="003E4300"/>
    <w:rsid w:val="003E43A3"/>
    <w:rsid w:val="003E443A"/>
    <w:rsid w:val="003E4FE7"/>
    <w:rsid w:val="003E5A94"/>
    <w:rsid w:val="003E73ED"/>
    <w:rsid w:val="003E76BF"/>
    <w:rsid w:val="003E7700"/>
    <w:rsid w:val="003F081B"/>
    <w:rsid w:val="003F0CF5"/>
    <w:rsid w:val="003F1476"/>
    <w:rsid w:val="003F1643"/>
    <w:rsid w:val="003F1674"/>
    <w:rsid w:val="003F1F40"/>
    <w:rsid w:val="003F23CC"/>
    <w:rsid w:val="003F2E5E"/>
    <w:rsid w:val="003F3BF5"/>
    <w:rsid w:val="003F4251"/>
    <w:rsid w:val="003F4C4E"/>
    <w:rsid w:val="003F4D32"/>
    <w:rsid w:val="003F55E5"/>
    <w:rsid w:val="003F55FB"/>
    <w:rsid w:val="003F5DEA"/>
    <w:rsid w:val="003F6145"/>
    <w:rsid w:val="003F6503"/>
    <w:rsid w:val="003F6F3B"/>
    <w:rsid w:val="003F723B"/>
    <w:rsid w:val="003F7856"/>
    <w:rsid w:val="003F7B06"/>
    <w:rsid w:val="003F7BCD"/>
    <w:rsid w:val="004000F9"/>
    <w:rsid w:val="00400B47"/>
    <w:rsid w:val="00400C8F"/>
    <w:rsid w:val="00400E96"/>
    <w:rsid w:val="00400F5E"/>
    <w:rsid w:val="0040178C"/>
    <w:rsid w:val="00401FD8"/>
    <w:rsid w:val="0040207E"/>
    <w:rsid w:val="00402E5D"/>
    <w:rsid w:val="004042F1"/>
    <w:rsid w:val="00405318"/>
    <w:rsid w:val="00405609"/>
    <w:rsid w:val="004057EA"/>
    <w:rsid w:val="00405822"/>
    <w:rsid w:val="00405D26"/>
    <w:rsid w:val="00406650"/>
    <w:rsid w:val="0040728D"/>
    <w:rsid w:val="004103C7"/>
    <w:rsid w:val="00411551"/>
    <w:rsid w:val="00411A33"/>
    <w:rsid w:val="004126CC"/>
    <w:rsid w:val="00412951"/>
    <w:rsid w:val="00414DF3"/>
    <w:rsid w:val="00414FEB"/>
    <w:rsid w:val="004154F4"/>
    <w:rsid w:val="00416266"/>
    <w:rsid w:val="00416D66"/>
    <w:rsid w:val="004178C8"/>
    <w:rsid w:val="00420C0A"/>
    <w:rsid w:val="00420CA5"/>
    <w:rsid w:val="004216A8"/>
    <w:rsid w:val="00422475"/>
    <w:rsid w:val="00422C25"/>
    <w:rsid w:val="0042409B"/>
    <w:rsid w:val="00424253"/>
    <w:rsid w:val="00424C51"/>
    <w:rsid w:val="004250CF"/>
    <w:rsid w:val="00425736"/>
    <w:rsid w:val="00425C6D"/>
    <w:rsid w:val="00427185"/>
    <w:rsid w:val="004272E5"/>
    <w:rsid w:val="0042787A"/>
    <w:rsid w:val="004303D5"/>
    <w:rsid w:val="004312A1"/>
    <w:rsid w:val="004315BD"/>
    <w:rsid w:val="00431ACD"/>
    <w:rsid w:val="00431B00"/>
    <w:rsid w:val="0043367F"/>
    <w:rsid w:val="0043450C"/>
    <w:rsid w:val="00434C4D"/>
    <w:rsid w:val="004366FD"/>
    <w:rsid w:val="00436B1D"/>
    <w:rsid w:val="0043784C"/>
    <w:rsid w:val="00437CDB"/>
    <w:rsid w:val="00437DC4"/>
    <w:rsid w:val="004406C9"/>
    <w:rsid w:val="00440B18"/>
    <w:rsid w:val="004419F1"/>
    <w:rsid w:val="00442E5B"/>
    <w:rsid w:val="00443EE2"/>
    <w:rsid w:val="0044419E"/>
    <w:rsid w:val="00444901"/>
    <w:rsid w:val="00447282"/>
    <w:rsid w:val="00447926"/>
    <w:rsid w:val="0045082F"/>
    <w:rsid w:val="00450A29"/>
    <w:rsid w:val="00451A07"/>
    <w:rsid w:val="00451FFA"/>
    <w:rsid w:val="00452997"/>
    <w:rsid w:val="004535E7"/>
    <w:rsid w:val="00453C62"/>
    <w:rsid w:val="00455281"/>
    <w:rsid w:val="004554D5"/>
    <w:rsid w:val="004556E9"/>
    <w:rsid w:val="00456066"/>
    <w:rsid w:val="004563C4"/>
    <w:rsid w:val="00456555"/>
    <w:rsid w:val="00456608"/>
    <w:rsid w:val="00456B28"/>
    <w:rsid w:val="00456E46"/>
    <w:rsid w:val="00457063"/>
    <w:rsid w:val="004572AB"/>
    <w:rsid w:val="00457ABA"/>
    <w:rsid w:val="00460C5E"/>
    <w:rsid w:val="004622CA"/>
    <w:rsid w:val="0046249E"/>
    <w:rsid w:val="004633EC"/>
    <w:rsid w:val="004638FD"/>
    <w:rsid w:val="00463AF2"/>
    <w:rsid w:val="00463DF9"/>
    <w:rsid w:val="00464442"/>
    <w:rsid w:val="00464C1A"/>
    <w:rsid w:val="0046521E"/>
    <w:rsid w:val="00466347"/>
    <w:rsid w:val="00466890"/>
    <w:rsid w:val="00466902"/>
    <w:rsid w:val="00466C46"/>
    <w:rsid w:val="00467888"/>
    <w:rsid w:val="00467C2A"/>
    <w:rsid w:val="00467C80"/>
    <w:rsid w:val="00467F51"/>
    <w:rsid w:val="004707EB"/>
    <w:rsid w:val="004708FD"/>
    <w:rsid w:val="004711AC"/>
    <w:rsid w:val="00471259"/>
    <w:rsid w:val="00472463"/>
    <w:rsid w:val="004727DC"/>
    <w:rsid w:val="0047287B"/>
    <w:rsid w:val="00472BFA"/>
    <w:rsid w:val="00472CDA"/>
    <w:rsid w:val="00473012"/>
    <w:rsid w:val="0047322E"/>
    <w:rsid w:val="00473DFC"/>
    <w:rsid w:val="00473EC6"/>
    <w:rsid w:val="00474334"/>
    <w:rsid w:val="0047567D"/>
    <w:rsid w:val="00476854"/>
    <w:rsid w:val="00476E60"/>
    <w:rsid w:val="00477577"/>
    <w:rsid w:val="00477AE6"/>
    <w:rsid w:val="0048044A"/>
    <w:rsid w:val="004808F2"/>
    <w:rsid w:val="004809E0"/>
    <w:rsid w:val="00481024"/>
    <w:rsid w:val="00481036"/>
    <w:rsid w:val="00481C08"/>
    <w:rsid w:val="004827EB"/>
    <w:rsid w:val="00482BFA"/>
    <w:rsid w:val="004830E7"/>
    <w:rsid w:val="00483BCA"/>
    <w:rsid w:val="0048472C"/>
    <w:rsid w:val="00484813"/>
    <w:rsid w:val="00485311"/>
    <w:rsid w:val="0048580A"/>
    <w:rsid w:val="00485969"/>
    <w:rsid w:val="00485E55"/>
    <w:rsid w:val="00487548"/>
    <w:rsid w:val="00487B18"/>
    <w:rsid w:val="00490DD5"/>
    <w:rsid w:val="00491559"/>
    <w:rsid w:val="00492D3D"/>
    <w:rsid w:val="004948F8"/>
    <w:rsid w:val="00494BA9"/>
    <w:rsid w:val="00495454"/>
    <w:rsid w:val="004959C2"/>
    <w:rsid w:val="00495F3F"/>
    <w:rsid w:val="00496170"/>
    <w:rsid w:val="004970C8"/>
    <w:rsid w:val="0049768F"/>
    <w:rsid w:val="004977E6"/>
    <w:rsid w:val="004978F7"/>
    <w:rsid w:val="004979C1"/>
    <w:rsid w:val="00497BD5"/>
    <w:rsid w:val="00497DFC"/>
    <w:rsid w:val="004A0195"/>
    <w:rsid w:val="004A06E9"/>
    <w:rsid w:val="004A07BD"/>
    <w:rsid w:val="004A1D87"/>
    <w:rsid w:val="004A26B5"/>
    <w:rsid w:val="004A3FF8"/>
    <w:rsid w:val="004A4004"/>
    <w:rsid w:val="004A4396"/>
    <w:rsid w:val="004A46E7"/>
    <w:rsid w:val="004A5450"/>
    <w:rsid w:val="004A5ADF"/>
    <w:rsid w:val="004A6D1F"/>
    <w:rsid w:val="004A729F"/>
    <w:rsid w:val="004B011D"/>
    <w:rsid w:val="004B0274"/>
    <w:rsid w:val="004B0977"/>
    <w:rsid w:val="004B09FC"/>
    <w:rsid w:val="004B2F02"/>
    <w:rsid w:val="004B3A06"/>
    <w:rsid w:val="004B3D6B"/>
    <w:rsid w:val="004B42C2"/>
    <w:rsid w:val="004B453D"/>
    <w:rsid w:val="004B49AC"/>
    <w:rsid w:val="004B53DE"/>
    <w:rsid w:val="004B584D"/>
    <w:rsid w:val="004B6B19"/>
    <w:rsid w:val="004B6D14"/>
    <w:rsid w:val="004B6E4F"/>
    <w:rsid w:val="004B729D"/>
    <w:rsid w:val="004B7DE4"/>
    <w:rsid w:val="004C096A"/>
    <w:rsid w:val="004C0BD6"/>
    <w:rsid w:val="004C13DC"/>
    <w:rsid w:val="004C1EC9"/>
    <w:rsid w:val="004C43EC"/>
    <w:rsid w:val="004C4E36"/>
    <w:rsid w:val="004C76C8"/>
    <w:rsid w:val="004C7BBD"/>
    <w:rsid w:val="004D07B6"/>
    <w:rsid w:val="004D2659"/>
    <w:rsid w:val="004D2C47"/>
    <w:rsid w:val="004D3778"/>
    <w:rsid w:val="004D4138"/>
    <w:rsid w:val="004D47AC"/>
    <w:rsid w:val="004D4897"/>
    <w:rsid w:val="004D5095"/>
    <w:rsid w:val="004D5FC5"/>
    <w:rsid w:val="004D648F"/>
    <w:rsid w:val="004D6A06"/>
    <w:rsid w:val="004D7047"/>
    <w:rsid w:val="004D733C"/>
    <w:rsid w:val="004D77F8"/>
    <w:rsid w:val="004D7ACC"/>
    <w:rsid w:val="004E05FB"/>
    <w:rsid w:val="004E14C6"/>
    <w:rsid w:val="004E1595"/>
    <w:rsid w:val="004E1829"/>
    <w:rsid w:val="004E2714"/>
    <w:rsid w:val="004E2DAB"/>
    <w:rsid w:val="004E3429"/>
    <w:rsid w:val="004E3CAB"/>
    <w:rsid w:val="004E3D84"/>
    <w:rsid w:val="004E4B08"/>
    <w:rsid w:val="004E5998"/>
    <w:rsid w:val="004E5AFA"/>
    <w:rsid w:val="004E5B07"/>
    <w:rsid w:val="004E6196"/>
    <w:rsid w:val="004E6233"/>
    <w:rsid w:val="004E6B59"/>
    <w:rsid w:val="004F0C11"/>
    <w:rsid w:val="004F21D5"/>
    <w:rsid w:val="004F23AB"/>
    <w:rsid w:val="004F2E0A"/>
    <w:rsid w:val="004F37C4"/>
    <w:rsid w:val="004F394E"/>
    <w:rsid w:val="004F4029"/>
    <w:rsid w:val="004F43D5"/>
    <w:rsid w:val="004F4550"/>
    <w:rsid w:val="004F70A7"/>
    <w:rsid w:val="004F7C57"/>
    <w:rsid w:val="005007E1"/>
    <w:rsid w:val="00500EB9"/>
    <w:rsid w:val="005014BA"/>
    <w:rsid w:val="005016A8"/>
    <w:rsid w:val="00501BC5"/>
    <w:rsid w:val="005020BC"/>
    <w:rsid w:val="00503DA8"/>
    <w:rsid w:val="005040FC"/>
    <w:rsid w:val="0050435C"/>
    <w:rsid w:val="005058FA"/>
    <w:rsid w:val="00506420"/>
    <w:rsid w:val="00506F27"/>
    <w:rsid w:val="00506F3F"/>
    <w:rsid w:val="0051005B"/>
    <w:rsid w:val="00510542"/>
    <w:rsid w:val="005112B3"/>
    <w:rsid w:val="0051237B"/>
    <w:rsid w:val="005124CC"/>
    <w:rsid w:val="005128E0"/>
    <w:rsid w:val="00513044"/>
    <w:rsid w:val="005135DA"/>
    <w:rsid w:val="00513603"/>
    <w:rsid w:val="0051395F"/>
    <w:rsid w:val="0051490A"/>
    <w:rsid w:val="00515270"/>
    <w:rsid w:val="00516C87"/>
    <w:rsid w:val="00516DC4"/>
    <w:rsid w:val="00516F3F"/>
    <w:rsid w:val="005177D8"/>
    <w:rsid w:val="00517D93"/>
    <w:rsid w:val="00520789"/>
    <w:rsid w:val="00520BEF"/>
    <w:rsid w:val="00521D1D"/>
    <w:rsid w:val="0052254C"/>
    <w:rsid w:val="00522D46"/>
    <w:rsid w:val="00522F63"/>
    <w:rsid w:val="00523202"/>
    <w:rsid w:val="00523A68"/>
    <w:rsid w:val="0052459D"/>
    <w:rsid w:val="005249B3"/>
    <w:rsid w:val="00525675"/>
    <w:rsid w:val="00525696"/>
    <w:rsid w:val="0052622D"/>
    <w:rsid w:val="005268AE"/>
    <w:rsid w:val="00527746"/>
    <w:rsid w:val="00527E81"/>
    <w:rsid w:val="00530137"/>
    <w:rsid w:val="00530415"/>
    <w:rsid w:val="00531229"/>
    <w:rsid w:val="005313A5"/>
    <w:rsid w:val="00531970"/>
    <w:rsid w:val="00531F3C"/>
    <w:rsid w:val="00532572"/>
    <w:rsid w:val="00532650"/>
    <w:rsid w:val="00532990"/>
    <w:rsid w:val="005331C5"/>
    <w:rsid w:val="0053358B"/>
    <w:rsid w:val="00533CA8"/>
    <w:rsid w:val="00533E01"/>
    <w:rsid w:val="0053424D"/>
    <w:rsid w:val="00534A98"/>
    <w:rsid w:val="0053538B"/>
    <w:rsid w:val="00535460"/>
    <w:rsid w:val="00536353"/>
    <w:rsid w:val="0053696A"/>
    <w:rsid w:val="00536B6E"/>
    <w:rsid w:val="00537516"/>
    <w:rsid w:val="005376BA"/>
    <w:rsid w:val="00540358"/>
    <w:rsid w:val="0054104B"/>
    <w:rsid w:val="0054129D"/>
    <w:rsid w:val="00541DC8"/>
    <w:rsid w:val="00541ED6"/>
    <w:rsid w:val="005424E5"/>
    <w:rsid w:val="00542532"/>
    <w:rsid w:val="00542BA3"/>
    <w:rsid w:val="00543FE5"/>
    <w:rsid w:val="00544666"/>
    <w:rsid w:val="00545201"/>
    <w:rsid w:val="00545E7F"/>
    <w:rsid w:val="00545E8D"/>
    <w:rsid w:val="00545FEA"/>
    <w:rsid w:val="00546376"/>
    <w:rsid w:val="0055040A"/>
    <w:rsid w:val="0055076B"/>
    <w:rsid w:val="00550B09"/>
    <w:rsid w:val="005516EC"/>
    <w:rsid w:val="00551AC5"/>
    <w:rsid w:val="005523BF"/>
    <w:rsid w:val="00552C49"/>
    <w:rsid w:val="0055344A"/>
    <w:rsid w:val="00553E82"/>
    <w:rsid w:val="00555302"/>
    <w:rsid w:val="005557DC"/>
    <w:rsid w:val="00555DDA"/>
    <w:rsid w:val="0055608B"/>
    <w:rsid w:val="00556AD5"/>
    <w:rsid w:val="00556FAD"/>
    <w:rsid w:val="0055708F"/>
    <w:rsid w:val="005575A0"/>
    <w:rsid w:val="005576C9"/>
    <w:rsid w:val="00557BA3"/>
    <w:rsid w:val="0056081B"/>
    <w:rsid w:val="0056095A"/>
    <w:rsid w:val="00560983"/>
    <w:rsid w:val="00560D8B"/>
    <w:rsid w:val="00561ADD"/>
    <w:rsid w:val="00562E0B"/>
    <w:rsid w:val="005631C0"/>
    <w:rsid w:val="0056469F"/>
    <w:rsid w:val="0056484E"/>
    <w:rsid w:val="00565504"/>
    <w:rsid w:val="00566515"/>
    <w:rsid w:val="00567B58"/>
    <w:rsid w:val="00570346"/>
    <w:rsid w:val="005705AC"/>
    <w:rsid w:val="0057076F"/>
    <w:rsid w:val="0057150F"/>
    <w:rsid w:val="00572112"/>
    <w:rsid w:val="0057273F"/>
    <w:rsid w:val="00572EF9"/>
    <w:rsid w:val="00573E21"/>
    <w:rsid w:val="00573F9F"/>
    <w:rsid w:val="0057436B"/>
    <w:rsid w:val="00574CFB"/>
    <w:rsid w:val="005760D2"/>
    <w:rsid w:val="0057673A"/>
    <w:rsid w:val="0057698C"/>
    <w:rsid w:val="0057754B"/>
    <w:rsid w:val="00577F15"/>
    <w:rsid w:val="00580C01"/>
    <w:rsid w:val="00581BFC"/>
    <w:rsid w:val="00581C49"/>
    <w:rsid w:val="00582447"/>
    <w:rsid w:val="00582672"/>
    <w:rsid w:val="005828A5"/>
    <w:rsid w:val="0058315B"/>
    <w:rsid w:val="00584224"/>
    <w:rsid w:val="00584F7F"/>
    <w:rsid w:val="00586DF1"/>
    <w:rsid w:val="00586E2C"/>
    <w:rsid w:val="005878F3"/>
    <w:rsid w:val="00590F48"/>
    <w:rsid w:val="005922FF"/>
    <w:rsid w:val="0059286D"/>
    <w:rsid w:val="00593258"/>
    <w:rsid w:val="00593E66"/>
    <w:rsid w:val="005944F6"/>
    <w:rsid w:val="005947C8"/>
    <w:rsid w:val="0059527A"/>
    <w:rsid w:val="00595E5D"/>
    <w:rsid w:val="005972DF"/>
    <w:rsid w:val="00597C55"/>
    <w:rsid w:val="005A02F7"/>
    <w:rsid w:val="005A09A2"/>
    <w:rsid w:val="005A1AE0"/>
    <w:rsid w:val="005A2314"/>
    <w:rsid w:val="005A327F"/>
    <w:rsid w:val="005A394D"/>
    <w:rsid w:val="005A3A56"/>
    <w:rsid w:val="005A4FFD"/>
    <w:rsid w:val="005A6623"/>
    <w:rsid w:val="005A66DB"/>
    <w:rsid w:val="005A6F91"/>
    <w:rsid w:val="005A7388"/>
    <w:rsid w:val="005A7D2E"/>
    <w:rsid w:val="005A7D9A"/>
    <w:rsid w:val="005B0F0E"/>
    <w:rsid w:val="005B1239"/>
    <w:rsid w:val="005B1BDC"/>
    <w:rsid w:val="005B2078"/>
    <w:rsid w:val="005B2643"/>
    <w:rsid w:val="005B2812"/>
    <w:rsid w:val="005B2C11"/>
    <w:rsid w:val="005B2D9C"/>
    <w:rsid w:val="005B34C2"/>
    <w:rsid w:val="005B374C"/>
    <w:rsid w:val="005B4313"/>
    <w:rsid w:val="005B64CD"/>
    <w:rsid w:val="005B7355"/>
    <w:rsid w:val="005B7371"/>
    <w:rsid w:val="005C0615"/>
    <w:rsid w:val="005C0B89"/>
    <w:rsid w:val="005C0E29"/>
    <w:rsid w:val="005C0F71"/>
    <w:rsid w:val="005C12FB"/>
    <w:rsid w:val="005C13B6"/>
    <w:rsid w:val="005C1A4B"/>
    <w:rsid w:val="005C1E6A"/>
    <w:rsid w:val="005C2803"/>
    <w:rsid w:val="005C30B4"/>
    <w:rsid w:val="005C3597"/>
    <w:rsid w:val="005C4C14"/>
    <w:rsid w:val="005C4C7D"/>
    <w:rsid w:val="005C616F"/>
    <w:rsid w:val="005C7891"/>
    <w:rsid w:val="005C7DE0"/>
    <w:rsid w:val="005D010D"/>
    <w:rsid w:val="005D0B12"/>
    <w:rsid w:val="005D0FB8"/>
    <w:rsid w:val="005D2058"/>
    <w:rsid w:val="005D3443"/>
    <w:rsid w:val="005D3E55"/>
    <w:rsid w:val="005D3FB1"/>
    <w:rsid w:val="005D43C6"/>
    <w:rsid w:val="005D4973"/>
    <w:rsid w:val="005D5844"/>
    <w:rsid w:val="005D58E3"/>
    <w:rsid w:val="005D597C"/>
    <w:rsid w:val="005D79EF"/>
    <w:rsid w:val="005E013D"/>
    <w:rsid w:val="005E0C1A"/>
    <w:rsid w:val="005E230B"/>
    <w:rsid w:val="005E2C83"/>
    <w:rsid w:val="005E2EC7"/>
    <w:rsid w:val="005E3540"/>
    <w:rsid w:val="005E3639"/>
    <w:rsid w:val="005E4064"/>
    <w:rsid w:val="005E4318"/>
    <w:rsid w:val="005E5722"/>
    <w:rsid w:val="005E63BC"/>
    <w:rsid w:val="005E647A"/>
    <w:rsid w:val="005E650C"/>
    <w:rsid w:val="005E697F"/>
    <w:rsid w:val="005E6BAE"/>
    <w:rsid w:val="005F2008"/>
    <w:rsid w:val="005F24C5"/>
    <w:rsid w:val="005F274D"/>
    <w:rsid w:val="005F2F51"/>
    <w:rsid w:val="005F3101"/>
    <w:rsid w:val="005F32EF"/>
    <w:rsid w:val="005F41D0"/>
    <w:rsid w:val="005F425F"/>
    <w:rsid w:val="005F4A50"/>
    <w:rsid w:val="005F4B3B"/>
    <w:rsid w:val="005F6AEC"/>
    <w:rsid w:val="005F6EB1"/>
    <w:rsid w:val="005F70CA"/>
    <w:rsid w:val="005F79A6"/>
    <w:rsid w:val="00600203"/>
    <w:rsid w:val="006012E2"/>
    <w:rsid w:val="006018AE"/>
    <w:rsid w:val="00602FBB"/>
    <w:rsid w:val="00603279"/>
    <w:rsid w:val="00603811"/>
    <w:rsid w:val="0060461C"/>
    <w:rsid w:val="00605806"/>
    <w:rsid w:val="00605982"/>
    <w:rsid w:val="00605ECF"/>
    <w:rsid w:val="006074BE"/>
    <w:rsid w:val="00610012"/>
    <w:rsid w:val="006105D3"/>
    <w:rsid w:val="00611A8C"/>
    <w:rsid w:val="00612F6B"/>
    <w:rsid w:val="006139DB"/>
    <w:rsid w:val="00613E46"/>
    <w:rsid w:val="006143E6"/>
    <w:rsid w:val="00614CED"/>
    <w:rsid w:val="00615051"/>
    <w:rsid w:val="006152B1"/>
    <w:rsid w:val="006165C6"/>
    <w:rsid w:val="00616EC7"/>
    <w:rsid w:val="00617091"/>
    <w:rsid w:val="00617B93"/>
    <w:rsid w:val="00617E77"/>
    <w:rsid w:val="00620166"/>
    <w:rsid w:val="0062106A"/>
    <w:rsid w:val="00621126"/>
    <w:rsid w:val="006211F7"/>
    <w:rsid w:val="006220F5"/>
    <w:rsid w:val="006222D1"/>
    <w:rsid w:val="00622CD7"/>
    <w:rsid w:val="006246BF"/>
    <w:rsid w:val="00624A28"/>
    <w:rsid w:val="00625761"/>
    <w:rsid w:val="0062592C"/>
    <w:rsid w:val="00625D66"/>
    <w:rsid w:val="00626168"/>
    <w:rsid w:val="00626A9F"/>
    <w:rsid w:val="006279AC"/>
    <w:rsid w:val="00630A65"/>
    <w:rsid w:val="00632773"/>
    <w:rsid w:val="00634027"/>
    <w:rsid w:val="006349F9"/>
    <w:rsid w:val="00635762"/>
    <w:rsid w:val="00635EC8"/>
    <w:rsid w:val="00636664"/>
    <w:rsid w:val="00636DC2"/>
    <w:rsid w:val="00636F4B"/>
    <w:rsid w:val="006371F0"/>
    <w:rsid w:val="00637921"/>
    <w:rsid w:val="00637DCE"/>
    <w:rsid w:val="00640D70"/>
    <w:rsid w:val="0064134E"/>
    <w:rsid w:val="00642DAB"/>
    <w:rsid w:val="00642F16"/>
    <w:rsid w:val="0064341F"/>
    <w:rsid w:val="006435FB"/>
    <w:rsid w:val="00643A32"/>
    <w:rsid w:val="00643C81"/>
    <w:rsid w:val="0064434C"/>
    <w:rsid w:val="00644885"/>
    <w:rsid w:val="00644A22"/>
    <w:rsid w:val="006462D0"/>
    <w:rsid w:val="0064648D"/>
    <w:rsid w:val="006464FB"/>
    <w:rsid w:val="0064749F"/>
    <w:rsid w:val="00647914"/>
    <w:rsid w:val="006479EB"/>
    <w:rsid w:val="00647D43"/>
    <w:rsid w:val="00650C10"/>
    <w:rsid w:val="00650DA2"/>
    <w:rsid w:val="00650DD9"/>
    <w:rsid w:val="0065131D"/>
    <w:rsid w:val="00652B09"/>
    <w:rsid w:val="00652DF4"/>
    <w:rsid w:val="00652EEC"/>
    <w:rsid w:val="006535BB"/>
    <w:rsid w:val="00653631"/>
    <w:rsid w:val="00653A05"/>
    <w:rsid w:val="00653A2C"/>
    <w:rsid w:val="006556B5"/>
    <w:rsid w:val="0065576C"/>
    <w:rsid w:val="00655B10"/>
    <w:rsid w:val="00656D9F"/>
    <w:rsid w:val="00657E00"/>
    <w:rsid w:val="00660D0D"/>
    <w:rsid w:val="00661DE3"/>
    <w:rsid w:val="006622D5"/>
    <w:rsid w:val="00662379"/>
    <w:rsid w:val="00662B65"/>
    <w:rsid w:val="006632DA"/>
    <w:rsid w:val="0066377A"/>
    <w:rsid w:val="00664E4E"/>
    <w:rsid w:val="0066539E"/>
    <w:rsid w:val="00665883"/>
    <w:rsid w:val="00665DF5"/>
    <w:rsid w:val="00666008"/>
    <w:rsid w:val="006661AB"/>
    <w:rsid w:val="006675C7"/>
    <w:rsid w:val="00667ED7"/>
    <w:rsid w:val="00671CA3"/>
    <w:rsid w:val="006721BC"/>
    <w:rsid w:val="0067244D"/>
    <w:rsid w:val="0067453F"/>
    <w:rsid w:val="00676807"/>
    <w:rsid w:val="0067700E"/>
    <w:rsid w:val="00677C81"/>
    <w:rsid w:val="006802D8"/>
    <w:rsid w:val="00680A47"/>
    <w:rsid w:val="006812DC"/>
    <w:rsid w:val="00682B39"/>
    <w:rsid w:val="006830BF"/>
    <w:rsid w:val="0068362D"/>
    <w:rsid w:val="0068393C"/>
    <w:rsid w:val="00683DBA"/>
    <w:rsid w:val="0068619B"/>
    <w:rsid w:val="00686730"/>
    <w:rsid w:val="00686CEB"/>
    <w:rsid w:val="00687339"/>
    <w:rsid w:val="0068757C"/>
    <w:rsid w:val="00687F58"/>
    <w:rsid w:val="00690240"/>
    <w:rsid w:val="0069062E"/>
    <w:rsid w:val="006911D4"/>
    <w:rsid w:val="00693328"/>
    <w:rsid w:val="006934B3"/>
    <w:rsid w:val="0069391A"/>
    <w:rsid w:val="006942FB"/>
    <w:rsid w:val="00694BCD"/>
    <w:rsid w:val="0069545B"/>
    <w:rsid w:val="00695477"/>
    <w:rsid w:val="006957F7"/>
    <w:rsid w:val="006968CC"/>
    <w:rsid w:val="00696A67"/>
    <w:rsid w:val="00696F2A"/>
    <w:rsid w:val="0069762C"/>
    <w:rsid w:val="0069785C"/>
    <w:rsid w:val="006A0492"/>
    <w:rsid w:val="006A087C"/>
    <w:rsid w:val="006A0945"/>
    <w:rsid w:val="006A0ABA"/>
    <w:rsid w:val="006A1689"/>
    <w:rsid w:val="006A23A8"/>
    <w:rsid w:val="006A262A"/>
    <w:rsid w:val="006A2833"/>
    <w:rsid w:val="006A2EC0"/>
    <w:rsid w:val="006A3C2F"/>
    <w:rsid w:val="006A4160"/>
    <w:rsid w:val="006A4669"/>
    <w:rsid w:val="006A4B55"/>
    <w:rsid w:val="006A6740"/>
    <w:rsid w:val="006A6BFA"/>
    <w:rsid w:val="006A7489"/>
    <w:rsid w:val="006A793F"/>
    <w:rsid w:val="006B002A"/>
    <w:rsid w:val="006B0311"/>
    <w:rsid w:val="006B0F23"/>
    <w:rsid w:val="006B1B4A"/>
    <w:rsid w:val="006B3BFA"/>
    <w:rsid w:val="006B4FB7"/>
    <w:rsid w:val="006B50D6"/>
    <w:rsid w:val="006B5B25"/>
    <w:rsid w:val="006B5BAD"/>
    <w:rsid w:val="006B6305"/>
    <w:rsid w:val="006B739C"/>
    <w:rsid w:val="006B7D4F"/>
    <w:rsid w:val="006C181E"/>
    <w:rsid w:val="006C20E2"/>
    <w:rsid w:val="006C2125"/>
    <w:rsid w:val="006C28C3"/>
    <w:rsid w:val="006C2CCD"/>
    <w:rsid w:val="006C32CA"/>
    <w:rsid w:val="006C3AAB"/>
    <w:rsid w:val="006C44B8"/>
    <w:rsid w:val="006C46BE"/>
    <w:rsid w:val="006C4EAE"/>
    <w:rsid w:val="006C5223"/>
    <w:rsid w:val="006C5949"/>
    <w:rsid w:val="006C600D"/>
    <w:rsid w:val="006C65BD"/>
    <w:rsid w:val="006C6CAC"/>
    <w:rsid w:val="006C7F68"/>
    <w:rsid w:val="006D03E8"/>
    <w:rsid w:val="006D07E0"/>
    <w:rsid w:val="006D1B3A"/>
    <w:rsid w:val="006D1CC2"/>
    <w:rsid w:val="006D20B4"/>
    <w:rsid w:val="006D3C67"/>
    <w:rsid w:val="006D4FE9"/>
    <w:rsid w:val="006D51B2"/>
    <w:rsid w:val="006D52DE"/>
    <w:rsid w:val="006D57E2"/>
    <w:rsid w:val="006D5ED2"/>
    <w:rsid w:val="006D6212"/>
    <w:rsid w:val="006D6A9E"/>
    <w:rsid w:val="006D700B"/>
    <w:rsid w:val="006D765D"/>
    <w:rsid w:val="006E0B6C"/>
    <w:rsid w:val="006E1392"/>
    <w:rsid w:val="006E2373"/>
    <w:rsid w:val="006E2980"/>
    <w:rsid w:val="006E328B"/>
    <w:rsid w:val="006E491A"/>
    <w:rsid w:val="006E4AA4"/>
    <w:rsid w:val="006E57C8"/>
    <w:rsid w:val="006E6002"/>
    <w:rsid w:val="006E67E7"/>
    <w:rsid w:val="006E6BD2"/>
    <w:rsid w:val="006E6EF1"/>
    <w:rsid w:val="006E6F0A"/>
    <w:rsid w:val="006E6F37"/>
    <w:rsid w:val="006F01DE"/>
    <w:rsid w:val="006F03B8"/>
    <w:rsid w:val="006F1A95"/>
    <w:rsid w:val="006F1EE5"/>
    <w:rsid w:val="006F21FF"/>
    <w:rsid w:val="006F25B6"/>
    <w:rsid w:val="006F292D"/>
    <w:rsid w:val="006F2CFC"/>
    <w:rsid w:val="006F314A"/>
    <w:rsid w:val="006F3501"/>
    <w:rsid w:val="006F4120"/>
    <w:rsid w:val="006F4ADE"/>
    <w:rsid w:val="006F5450"/>
    <w:rsid w:val="006F5549"/>
    <w:rsid w:val="006F613E"/>
    <w:rsid w:val="006F73EA"/>
    <w:rsid w:val="006F7486"/>
    <w:rsid w:val="006F7B89"/>
    <w:rsid w:val="0070043A"/>
    <w:rsid w:val="00700C4A"/>
    <w:rsid w:val="00700F0A"/>
    <w:rsid w:val="0070195F"/>
    <w:rsid w:val="007022DB"/>
    <w:rsid w:val="0070289B"/>
    <w:rsid w:val="00703078"/>
    <w:rsid w:val="00706C43"/>
    <w:rsid w:val="0070729F"/>
    <w:rsid w:val="00707BA2"/>
    <w:rsid w:val="007100D4"/>
    <w:rsid w:val="0071044F"/>
    <w:rsid w:val="00711A83"/>
    <w:rsid w:val="00712579"/>
    <w:rsid w:val="007131D9"/>
    <w:rsid w:val="00714A23"/>
    <w:rsid w:val="00716600"/>
    <w:rsid w:val="00717632"/>
    <w:rsid w:val="007177F4"/>
    <w:rsid w:val="00717D79"/>
    <w:rsid w:val="007205D1"/>
    <w:rsid w:val="00720612"/>
    <w:rsid w:val="00720DD0"/>
    <w:rsid w:val="00721421"/>
    <w:rsid w:val="007221A4"/>
    <w:rsid w:val="007226F9"/>
    <w:rsid w:val="0072312D"/>
    <w:rsid w:val="00723B65"/>
    <w:rsid w:val="00723C34"/>
    <w:rsid w:val="007255B1"/>
    <w:rsid w:val="007257BD"/>
    <w:rsid w:val="00726359"/>
    <w:rsid w:val="00726381"/>
    <w:rsid w:val="00726B7F"/>
    <w:rsid w:val="007276C3"/>
    <w:rsid w:val="00727EC7"/>
    <w:rsid w:val="00730D03"/>
    <w:rsid w:val="00731364"/>
    <w:rsid w:val="00731670"/>
    <w:rsid w:val="007318F7"/>
    <w:rsid w:val="00731D42"/>
    <w:rsid w:val="007334D5"/>
    <w:rsid w:val="00733B28"/>
    <w:rsid w:val="00733D58"/>
    <w:rsid w:val="00733EE4"/>
    <w:rsid w:val="007344E3"/>
    <w:rsid w:val="00734968"/>
    <w:rsid w:val="007349B7"/>
    <w:rsid w:val="00734AC1"/>
    <w:rsid w:val="0073500F"/>
    <w:rsid w:val="007364DD"/>
    <w:rsid w:val="0073711C"/>
    <w:rsid w:val="00740249"/>
    <w:rsid w:val="007403C3"/>
    <w:rsid w:val="007404D8"/>
    <w:rsid w:val="00740CC1"/>
    <w:rsid w:val="00741A91"/>
    <w:rsid w:val="00741D6A"/>
    <w:rsid w:val="00741E79"/>
    <w:rsid w:val="00742961"/>
    <w:rsid w:val="00742DF3"/>
    <w:rsid w:val="00743BE4"/>
    <w:rsid w:val="007443E8"/>
    <w:rsid w:val="00744FD2"/>
    <w:rsid w:val="0074599F"/>
    <w:rsid w:val="00745A0D"/>
    <w:rsid w:val="007466B8"/>
    <w:rsid w:val="00746DA8"/>
    <w:rsid w:val="00750791"/>
    <w:rsid w:val="00750FE8"/>
    <w:rsid w:val="00751392"/>
    <w:rsid w:val="00751DEC"/>
    <w:rsid w:val="0075295D"/>
    <w:rsid w:val="00752F96"/>
    <w:rsid w:val="007531E7"/>
    <w:rsid w:val="007547CE"/>
    <w:rsid w:val="00754ED2"/>
    <w:rsid w:val="007556D3"/>
    <w:rsid w:val="00755962"/>
    <w:rsid w:val="00755E0A"/>
    <w:rsid w:val="0075605A"/>
    <w:rsid w:val="00756ADA"/>
    <w:rsid w:val="007574C1"/>
    <w:rsid w:val="007601F8"/>
    <w:rsid w:val="0076079E"/>
    <w:rsid w:val="00760FD0"/>
    <w:rsid w:val="007613CF"/>
    <w:rsid w:val="0076194A"/>
    <w:rsid w:val="00761B54"/>
    <w:rsid w:val="0076240A"/>
    <w:rsid w:val="007625FE"/>
    <w:rsid w:val="007626D3"/>
    <w:rsid w:val="0076330B"/>
    <w:rsid w:val="00763525"/>
    <w:rsid w:val="00763E36"/>
    <w:rsid w:val="00764E4E"/>
    <w:rsid w:val="00765DB7"/>
    <w:rsid w:val="007669D8"/>
    <w:rsid w:val="00767CDE"/>
    <w:rsid w:val="00767F1F"/>
    <w:rsid w:val="00770296"/>
    <w:rsid w:val="00770F08"/>
    <w:rsid w:val="0077103E"/>
    <w:rsid w:val="00771F15"/>
    <w:rsid w:val="007725E7"/>
    <w:rsid w:val="00775AE2"/>
    <w:rsid w:val="00776E92"/>
    <w:rsid w:val="007774F6"/>
    <w:rsid w:val="0078018C"/>
    <w:rsid w:val="007817CF"/>
    <w:rsid w:val="00781855"/>
    <w:rsid w:val="00781AF6"/>
    <w:rsid w:val="00782D65"/>
    <w:rsid w:val="00783715"/>
    <w:rsid w:val="007857FB"/>
    <w:rsid w:val="0078641E"/>
    <w:rsid w:val="00790FDC"/>
    <w:rsid w:val="00791629"/>
    <w:rsid w:val="00791B27"/>
    <w:rsid w:val="00792D41"/>
    <w:rsid w:val="00792E03"/>
    <w:rsid w:val="00793A52"/>
    <w:rsid w:val="00793EAC"/>
    <w:rsid w:val="00793F50"/>
    <w:rsid w:val="007951E8"/>
    <w:rsid w:val="00795391"/>
    <w:rsid w:val="00796528"/>
    <w:rsid w:val="00796B87"/>
    <w:rsid w:val="00797677"/>
    <w:rsid w:val="0079796E"/>
    <w:rsid w:val="007A05C8"/>
    <w:rsid w:val="007A1259"/>
    <w:rsid w:val="007A16FC"/>
    <w:rsid w:val="007A1A22"/>
    <w:rsid w:val="007A1A56"/>
    <w:rsid w:val="007A1BD7"/>
    <w:rsid w:val="007A1FC3"/>
    <w:rsid w:val="007A3E21"/>
    <w:rsid w:val="007A3F57"/>
    <w:rsid w:val="007A4B0D"/>
    <w:rsid w:val="007A4E52"/>
    <w:rsid w:val="007A5102"/>
    <w:rsid w:val="007A5A7E"/>
    <w:rsid w:val="007A60F6"/>
    <w:rsid w:val="007A66BD"/>
    <w:rsid w:val="007B0D62"/>
    <w:rsid w:val="007B10EF"/>
    <w:rsid w:val="007B247A"/>
    <w:rsid w:val="007B285B"/>
    <w:rsid w:val="007B2F7D"/>
    <w:rsid w:val="007B3E5B"/>
    <w:rsid w:val="007B44CE"/>
    <w:rsid w:val="007B497E"/>
    <w:rsid w:val="007B51F2"/>
    <w:rsid w:val="007B658A"/>
    <w:rsid w:val="007C0A2D"/>
    <w:rsid w:val="007C12CC"/>
    <w:rsid w:val="007C1746"/>
    <w:rsid w:val="007C2332"/>
    <w:rsid w:val="007C2BE0"/>
    <w:rsid w:val="007C2F08"/>
    <w:rsid w:val="007C34FC"/>
    <w:rsid w:val="007C42F8"/>
    <w:rsid w:val="007C461B"/>
    <w:rsid w:val="007C51D1"/>
    <w:rsid w:val="007C5480"/>
    <w:rsid w:val="007C548C"/>
    <w:rsid w:val="007C5B42"/>
    <w:rsid w:val="007C66C8"/>
    <w:rsid w:val="007C6954"/>
    <w:rsid w:val="007C76EE"/>
    <w:rsid w:val="007C7BEA"/>
    <w:rsid w:val="007D0277"/>
    <w:rsid w:val="007D0607"/>
    <w:rsid w:val="007D0683"/>
    <w:rsid w:val="007D0FFC"/>
    <w:rsid w:val="007D14A8"/>
    <w:rsid w:val="007D1B5C"/>
    <w:rsid w:val="007D1D9C"/>
    <w:rsid w:val="007D2118"/>
    <w:rsid w:val="007D3867"/>
    <w:rsid w:val="007D3B61"/>
    <w:rsid w:val="007D482A"/>
    <w:rsid w:val="007D4C1E"/>
    <w:rsid w:val="007D56DE"/>
    <w:rsid w:val="007D657D"/>
    <w:rsid w:val="007D6E95"/>
    <w:rsid w:val="007D7920"/>
    <w:rsid w:val="007E2431"/>
    <w:rsid w:val="007E254B"/>
    <w:rsid w:val="007E283C"/>
    <w:rsid w:val="007E30B9"/>
    <w:rsid w:val="007E31EB"/>
    <w:rsid w:val="007E372B"/>
    <w:rsid w:val="007E3D2C"/>
    <w:rsid w:val="007E4193"/>
    <w:rsid w:val="007E5B91"/>
    <w:rsid w:val="007E5BF7"/>
    <w:rsid w:val="007E5F74"/>
    <w:rsid w:val="007E61C0"/>
    <w:rsid w:val="007E65A7"/>
    <w:rsid w:val="007E7DB4"/>
    <w:rsid w:val="007E7EA6"/>
    <w:rsid w:val="007F02A9"/>
    <w:rsid w:val="007F02F7"/>
    <w:rsid w:val="007F206D"/>
    <w:rsid w:val="007F2079"/>
    <w:rsid w:val="007F33C3"/>
    <w:rsid w:val="007F37F0"/>
    <w:rsid w:val="007F4C0D"/>
    <w:rsid w:val="007F5128"/>
    <w:rsid w:val="007F56C7"/>
    <w:rsid w:val="007F66D1"/>
    <w:rsid w:val="007F774B"/>
    <w:rsid w:val="007F7E9D"/>
    <w:rsid w:val="008001B6"/>
    <w:rsid w:val="00800207"/>
    <w:rsid w:val="008022CC"/>
    <w:rsid w:val="00802354"/>
    <w:rsid w:val="00802851"/>
    <w:rsid w:val="00803667"/>
    <w:rsid w:val="00803F31"/>
    <w:rsid w:val="008047BE"/>
    <w:rsid w:val="0080480D"/>
    <w:rsid w:val="008049BF"/>
    <w:rsid w:val="00804C82"/>
    <w:rsid w:val="008052E3"/>
    <w:rsid w:val="008070DA"/>
    <w:rsid w:val="0080790D"/>
    <w:rsid w:val="0081091B"/>
    <w:rsid w:val="00810C1F"/>
    <w:rsid w:val="00810EC7"/>
    <w:rsid w:val="008113A2"/>
    <w:rsid w:val="008127A4"/>
    <w:rsid w:val="00812B3A"/>
    <w:rsid w:val="00812C8E"/>
    <w:rsid w:val="008136A8"/>
    <w:rsid w:val="008136B6"/>
    <w:rsid w:val="00813B03"/>
    <w:rsid w:val="00814AD9"/>
    <w:rsid w:val="00815552"/>
    <w:rsid w:val="0081620F"/>
    <w:rsid w:val="00816EA0"/>
    <w:rsid w:val="00817DAF"/>
    <w:rsid w:val="00820194"/>
    <w:rsid w:val="00821709"/>
    <w:rsid w:val="0082270C"/>
    <w:rsid w:val="00822DF0"/>
    <w:rsid w:val="00824133"/>
    <w:rsid w:val="00825344"/>
    <w:rsid w:val="008257E7"/>
    <w:rsid w:val="008264DE"/>
    <w:rsid w:val="00826A2C"/>
    <w:rsid w:val="00826B32"/>
    <w:rsid w:val="00827C73"/>
    <w:rsid w:val="00827E82"/>
    <w:rsid w:val="008301BA"/>
    <w:rsid w:val="00830768"/>
    <w:rsid w:val="0083076E"/>
    <w:rsid w:val="00830F71"/>
    <w:rsid w:val="00832414"/>
    <w:rsid w:val="00832B43"/>
    <w:rsid w:val="00832E72"/>
    <w:rsid w:val="00833473"/>
    <w:rsid w:val="00834008"/>
    <w:rsid w:val="00834362"/>
    <w:rsid w:val="00834489"/>
    <w:rsid w:val="0083520E"/>
    <w:rsid w:val="0083545F"/>
    <w:rsid w:val="008362C5"/>
    <w:rsid w:val="0083699D"/>
    <w:rsid w:val="00836C53"/>
    <w:rsid w:val="00837198"/>
    <w:rsid w:val="008417A5"/>
    <w:rsid w:val="00841AA6"/>
    <w:rsid w:val="00841CF0"/>
    <w:rsid w:val="00841DFF"/>
    <w:rsid w:val="00842C9A"/>
    <w:rsid w:val="00842F03"/>
    <w:rsid w:val="008444DC"/>
    <w:rsid w:val="00844662"/>
    <w:rsid w:val="00844C60"/>
    <w:rsid w:val="00844D24"/>
    <w:rsid w:val="00845849"/>
    <w:rsid w:val="00845A8B"/>
    <w:rsid w:val="00846D51"/>
    <w:rsid w:val="008478AD"/>
    <w:rsid w:val="00847CBD"/>
    <w:rsid w:val="008505E7"/>
    <w:rsid w:val="0085076E"/>
    <w:rsid w:val="00851138"/>
    <w:rsid w:val="00851487"/>
    <w:rsid w:val="0085169C"/>
    <w:rsid w:val="00851CDF"/>
    <w:rsid w:val="00852598"/>
    <w:rsid w:val="0085284E"/>
    <w:rsid w:val="008528FB"/>
    <w:rsid w:val="00852ACD"/>
    <w:rsid w:val="00854805"/>
    <w:rsid w:val="00854AD6"/>
    <w:rsid w:val="00854D5F"/>
    <w:rsid w:val="008556DF"/>
    <w:rsid w:val="00855B53"/>
    <w:rsid w:val="0085672C"/>
    <w:rsid w:val="00857097"/>
    <w:rsid w:val="008570E3"/>
    <w:rsid w:val="0085737C"/>
    <w:rsid w:val="00860469"/>
    <w:rsid w:val="00860577"/>
    <w:rsid w:val="00861FB7"/>
    <w:rsid w:val="0086213A"/>
    <w:rsid w:val="008623DC"/>
    <w:rsid w:val="008625A0"/>
    <w:rsid w:val="00862649"/>
    <w:rsid w:val="00863135"/>
    <w:rsid w:val="008646EC"/>
    <w:rsid w:val="00865D87"/>
    <w:rsid w:val="00865EED"/>
    <w:rsid w:val="00866290"/>
    <w:rsid w:val="00866E5C"/>
    <w:rsid w:val="00867100"/>
    <w:rsid w:val="00870D08"/>
    <w:rsid w:val="00871228"/>
    <w:rsid w:val="00871347"/>
    <w:rsid w:val="0087156F"/>
    <w:rsid w:val="00871FFA"/>
    <w:rsid w:val="0087203A"/>
    <w:rsid w:val="008729BF"/>
    <w:rsid w:val="00872B9E"/>
    <w:rsid w:val="00872D12"/>
    <w:rsid w:val="008745A7"/>
    <w:rsid w:val="00874609"/>
    <w:rsid w:val="00875AAB"/>
    <w:rsid w:val="00875F1E"/>
    <w:rsid w:val="00875FF8"/>
    <w:rsid w:val="008770B1"/>
    <w:rsid w:val="00881336"/>
    <w:rsid w:val="00881F4B"/>
    <w:rsid w:val="008821A1"/>
    <w:rsid w:val="00883981"/>
    <w:rsid w:val="00883991"/>
    <w:rsid w:val="008841D0"/>
    <w:rsid w:val="00884237"/>
    <w:rsid w:val="008849D6"/>
    <w:rsid w:val="00886200"/>
    <w:rsid w:val="008864D9"/>
    <w:rsid w:val="0088656E"/>
    <w:rsid w:val="00887D73"/>
    <w:rsid w:val="0089055B"/>
    <w:rsid w:val="0089070D"/>
    <w:rsid w:val="0089135F"/>
    <w:rsid w:val="00892668"/>
    <w:rsid w:val="00893406"/>
    <w:rsid w:val="00893C74"/>
    <w:rsid w:val="00894050"/>
    <w:rsid w:val="00894DCB"/>
    <w:rsid w:val="0089505B"/>
    <w:rsid w:val="00895497"/>
    <w:rsid w:val="008957F9"/>
    <w:rsid w:val="00896A43"/>
    <w:rsid w:val="00896D0E"/>
    <w:rsid w:val="008A0A50"/>
    <w:rsid w:val="008A1CA6"/>
    <w:rsid w:val="008A22E4"/>
    <w:rsid w:val="008A2B51"/>
    <w:rsid w:val="008A4B20"/>
    <w:rsid w:val="008A4BB1"/>
    <w:rsid w:val="008A5402"/>
    <w:rsid w:val="008A5A1C"/>
    <w:rsid w:val="008A6E0B"/>
    <w:rsid w:val="008A709D"/>
    <w:rsid w:val="008A75FC"/>
    <w:rsid w:val="008A78CF"/>
    <w:rsid w:val="008A79AF"/>
    <w:rsid w:val="008A7E86"/>
    <w:rsid w:val="008B02D9"/>
    <w:rsid w:val="008B0379"/>
    <w:rsid w:val="008B039D"/>
    <w:rsid w:val="008B090F"/>
    <w:rsid w:val="008B16FE"/>
    <w:rsid w:val="008B3288"/>
    <w:rsid w:val="008B3DFD"/>
    <w:rsid w:val="008B4735"/>
    <w:rsid w:val="008B4CF3"/>
    <w:rsid w:val="008B5391"/>
    <w:rsid w:val="008B567D"/>
    <w:rsid w:val="008B736E"/>
    <w:rsid w:val="008B7B33"/>
    <w:rsid w:val="008C0174"/>
    <w:rsid w:val="008C1DA1"/>
    <w:rsid w:val="008C1DCB"/>
    <w:rsid w:val="008C2153"/>
    <w:rsid w:val="008C2840"/>
    <w:rsid w:val="008C516D"/>
    <w:rsid w:val="008C58EA"/>
    <w:rsid w:val="008C5C1B"/>
    <w:rsid w:val="008C61DB"/>
    <w:rsid w:val="008C676F"/>
    <w:rsid w:val="008C7816"/>
    <w:rsid w:val="008D099E"/>
    <w:rsid w:val="008D1542"/>
    <w:rsid w:val="008D2598"/>
    <w:rsid w:val="008D2A66"/>
    <w:rsid w:val="008D2BD0"/>
    <w:rsid w:val="008D30F1"/>
    <w:rsid w:val="008D3170"/>
    <w:rsid w:val="008D3A4D"/>
    <w:rsid w:val="008D3DD3"/>
    <w:rsid w:val="008D3E66"/>
    <w:rsid w:val="008D4D7A"/>
    <w:rsid w:val="008D4EB1"/>
    <w:rsid w:val="008D4FF6"/>
    <w:rsid w:val="008D556E"/>
    <w:rsid w:val="008D5B31"/>
    <w:rsid w:val="008D5EF2"/>
    <w:rsid w:val="008D6DE1"/>
    <w:rsid w:val="008D781D"/>
    <w:rsid w:val="008E1162"/>
    <w:rsid w:val="008E1511"/>
    <w:rsid w:val="008E175D"/>
    <w:rsid w:val="008E1840"/>
    <w:rsid w:val="008E1C09"/>
    <w:rsid w:val="008E2190"/>
    <w:rsid w:val="008E2661"/>
    <w:rsid w:val="008E2EA1"/>
    <w:rsid w:val="008E3983"/>
    <w:rsid w:val="008E3EAA"/>
    <w:rsid w:val="008E472C"/>
    <w:rsid w:val="008E4FFD"/>
    <w:rsid w:val="008E5AAF"/>
    <w:rsid w:val="008E6223"/>
    <w:rsid w:val="008E6241"/>
    <w:rsid w:val="008E63A3"/>
    <w:rsid w:val="008E657D"/>
    <w:rsid w:val="008E7845"/>
    <w:rsid w:val="008E7ADE"/>
    <w:rsid w:val="008F055C"/>
    <w:rsid w:val="008F0942"/>
    <w:rsid w:val="008F3045"/>
    <w:rsid w:val="008F386E"/>
    <w:rsid w:val="008F5776"/>
    <w:rsid w:val="008F646C"/>
    <w:rsid w:val="00900B32"/>
    <w:rsid w:val="00900C93"/>
    <w:rsid w:val="00901480"/>
    <w:rsid w:val="009019B2"/>
    <w:rsid w:val="00902167"/>
    <w:rsid w:val="00903BCD"/>
    <w:rsid w:val="00905025"/>
    <w:rsid w:val="009055CC"/>
    <w:rsid w:val="00905FE6"/>
    <w:rsid w:val="00907C1D"/>
    <w:rsid w:val="00910980"/>
    <w:rsid w:val="009109E6"/>
    <w:rsid w:val="00911169"/>
    <w:rsid w:val="009120CD"/>
    <w:rsid w:val="009127EE"/>
    <w:rsid w:val="00913389"/>
    <w:rsid w:val="0091471C"/>
    <w:rsid w:val="00914D10"/>
    <w:rsid w:val="009152FB"/>
    <w:rsid w:val="00915678"/>
    <w:rsid w:val="00916ACA"/>
    <w:rsid w:val="009209AF"/>
    <w:rsid w:val="0092133D"/>
    <w:rsid w:val="009213BB"/>
    <w:rsid w:val="00921402"/>
    <w:rsid w:val="00921E92"/>
    <w:rsid w:val="00922330"/>
    <w:rsid w:val="009226AA"/>
    <w:rsid w:val="00922840"/>
    <w:rsid w:val="00922C2F"/>
    <w:rsid w:val="00923270"/>
    <w:rsid w:val="00923914"/>
    <w:rsid w:val="0092535E"/>
    <w:rsid w:val="009257E0"/>
    <w:rsid w:val="00925D0C"/>
    <w:rsid w:val="0092606E"/>
    <w:rsid w:val="00926333"/>
    <w:rsid w:val="00926338"/>
    <w:rsid w:val="00926D45"/>
    <w:rsid w:val="00930A69"/>
    <w:rsid w:val="0093160C"/>
    <w:rsid w:val="00931A20"/>
    <w:rsid w:val="00931B2F"/>
    <w:rsid w:val="0093257E"/>
    <w:rsid w:val="0093266A"/>
    <w:rsid w:val="00932CBB"/>
    <w:rsid w:val="00933000"/>
    <w:rsid w:val="009331D6"/>
    <w:rsid w:val="0093416E"/>
    <w:rsid w:val="00934825"/>
    <w:rsid w:val="00934A54"/>
    <w:rsid w:val="009368B0"/>
    <w:rsid w:val="00936EE5"/>
    <w:rsid w:val="00940754"/>
    <w:rsid w:val="009411F5"/>
    <w:rsid w:val="00941281"/>
    <w:rsid w:val="00941F14"/>
    <w:rsid w:val="009426A0"/>
    <w:rsid w:val="009428C9"/>
    <w:rsid w:val="009428D9"/>
    <w:rsid w:val="00942CDF"/>
    <w:rsid w:val="00943B03"/>
    <w:rsid w:val="00944128"/>
    <w:rsid w:val="00945B40"/>
    <w:rsid w:val="00945F60"/>
    <w:rsid w:val="009471A0"/>
    <w:rsid w:val="00947717"/>
    <w:rsid w:val="009503D2"/>
    <w:rsid w:val="0095186B"/>
    <w:rsid w:val="00951FBD"/>
    <w:rsid w:val="00953CCD"/>
    <w:rsid w:val="0095422D"/>
    <w:rsid w:val="00955265"/>
    <w:rsid w:val="00955637"/>
    <w:rsid w:val="0095606E"/>
    <w:rsid w:val="0095621D"/>
    <w:rsid w:val="00956918"/>
    <w:rsid w:val="00956D66"/>
    <w:rsid w:val="00957086"/>
    <w:rsid w:val="00957D03"/>
    <w:rsid w:val="0096096F"/>
    <w:rsid w:val="00960CD5"/>
    <w:rsid w:val="00961189"/>
    <w:rsid w:val="00961B41"/>
    <w:rsid w:val="00961ECE"/>
    <w:rsid w:val="00961EEF"/>
    <w:rsid w:val="00961EF3"/>
    <w:rsid w:val="00962981"/>
    <w:rsid w:val="00962B79"/>
    <w:rsid w:val="00962BE8"/>
    <w:rsid w:val="0096360C"/>
    <w:rsid w:val="00963A9F"/>
    <w:rsid w:val="00963EC2"/>
    <w:rsid w:val="009640CC"/>
    <w:rsid w:val="00964203"/>
    <w:rsid w:val="00965BE7"/>
    <w:rsid w:val="00966974"/>
    <w:rsid w:val="0096752F"/>
    <w:rsid w:val="00967806"/>
    <w:rsid w:val="009701C5"/>
    <w:rsid w:val="00970769"/>
    <w:rsid w:val="00971067"/>
    <w:rsid w:val="009711A9"/>
    <w:rsid w:val="00971288"/>
    <w:rsid w:val="00971F30"/>
    <w:rsid w:val="009724F5"/>
    <w:rsid w:val="0097350D"/>
    <w:rsid w:val="009735C2"/>
    <w:rsid w:val="00973833"/>
    <w:rsid w:val="00973F89"/>
    <w:rsid w:val="009741D5"/>
    <w:rsid w:val="009744FC"/>
    <w:rsid w:val="00974844"/>
    <w:rsid w:val="0097499A"/>
    <w:rsid w:val="00974C4F"/>
    <w:rsid w:val="0097586C"/>
    <w:rsid w:val="0097636A"/>
    <w:rsid w:val="00976423"/>
    <w:rsid w:val="00976692"/>
    <w:rsid w:val="00976BDF"/>
    <w:rsid w:val="0097702A"/>
    <w:rsid w:val="00977352"/>
    <w:rsid w:val="009817B0"/>
    <w:rsid w:val="00981B1B"/>
    <w:rsid w:val="009832F1"/>
    <w:rsid w:val="009835E6"/>
    <w:rsid w:val="00983881"/>
    <w:rsid w:val="00983DA4"/>
    <w:rsid w:val="009846E9"/>
    <w:rsid w:val="00984CBE"/>
    <w:rsid w:val="00987FBF"/>
    <w:rsid w:val="00990DFB"/>
    <w:rsid w:val="00991BEE"/>
    <w:rsid w:val="00992787"/>
    <w:rsid w:val="009929F1"/>
    <w:rsid w:val="0099369B"/>
    <w:rsid w:val="00993D77"/>
    <w:rsid w:val="00995316"/>
    <w:rsid w:val="009966DC"/>
    <w:rsid w:val="009A0B7E"/>
    <w:rsid w:val="009A1482"/>
    <w:rsid w:val="009A18F7"/>
    <w:rsid w:val="009A29AD"/>
    <w:rsid w:val="009A375E"/>
    <w:rsid w:val="009A3B98"/>
    <w:rsid w:val="009A3DE5"/>
    <w:rsid w:val="009A3E2E"/>
    <w:rsid w:val="009A3FE1"/>
    <w:rsid w:val="009A482F"/>
    <w:rsid w:val="009A4A2B"/>
    <w:rsid w:val="009A4B6B"/>
    <w:rsid w:val="009A50C4"/>
    <w:rsid w:val="009A5181"/>
    <w:rsid w:val="009A568B"/>
    <w:rsid w:val="009A5DA8"/>
    <w:rsid w:val="009A645B"/>
    <w:rsid w:val="009A77D2"/>
    <w:rsid w:val="009A7A5C"/>
    <w:rsid w:val="009A7D60"/>
    <w:rsid w:val="009B31B2"/>
    <w:rsid w:val="009B3F8D"/>
    <w:rsid w:val="009B48FA"/>
    <w:rsid w:val="009B4A3D"/>
    <w:rsid w:val="009B54D6"/>
    <w:rsid w:val="009B5572"/>
    <w:rsid w:val="009B5639"/>
    <w:rsid w:val="009B57B7"/>
    <w:rsid w:val="009B5857"/>
    <w:rsid w:val="009B58A2"/>
    <w:rsid w:val="009B64F7"/>
    <w:rsid w:val="009B6E71"/>
    <w:rsid w:val="009B7486"/>
    <w:rsid w:val="009B792C"/>
    <w:rsid w:val="009B7AC0"/>
    <w:rsid w:val="009B7FD8"/>
    <w:rsid w:val="009C01BB"/>
    <w:rsid w:val="009C0859"/>
    <w:rsid w:val="009C09FB"/>
    <w:rsid w:val="009C1CE5"/>
    <w:rsid w:val="009C216C"/>
    <w:rsid w:val="009C241E"/>
    <w:rsid w:val="009C2B7A"/>
    <w:rsid w:val="009C2F7D"/>
    <w:rsid w:val="009C3EF6"/>
    <w:rsid w:val="009C586C"/>
    <w:rsid w:val="009C598D"/>
    <w:rsid w:val="009C6368"/>
    <w:rsid w:val="009C694F"/>
    <w:rsid w:val="009C6A93"/>
    <w:rsid w:val="009C7FA0"/>
    <w:rsid w:val="009D0629"/>
    <w:rsid w:val="009D0CD8"/>
    <w:rsid w:val="009D0DA2"/>
    <w:rsid w:val="009D1D4A"/>
    <w:rsid w:val="009D208C"/>
    <w:rsid w:val="009D215C"/>
    <w:rsid w:val="009D2A47"/>
    <w:rsid w:val="009D2A4A"/>
    <w:rsid w:val="009D2E40"/>
    <w:rsid w:val="009D2EB3"/>
    <w:rsid w:val="009D2EEF"/>
    <w:rsid w:val="009D48A3"/>
    <w:rsid w:val="009D518A"/>
    <w:rsid w:val="009D5427"/>
    <w:rsid w:val="009D5C2B"/>
    <w:rsid w:val="009D6A86"/>
    <w:rsid w:val="009D6E02"/>
    <w:rsid w:val="009E06A3"/>
    <w:rsid w:val="009E1271"/>
    <w:rsid w:val="009E1A36"/>
    <w:rsid w:val="009E1D04"/>
    <w:rsid w:val="009E26FB"/>
    <w:rsid w:val="009E303E"/>
    <w:rsid w:val="009E3062"/>
    <w:rsid w:val="009E3C01"/>
    <w:rsid w:val="009E4C83"/>
    <w:rsid w:val="009E4D34"/>
    <w:rsid w:val="009E5F44"/>
    <w:rsid w:val="009E7165"/>
    <w:rsid w:val="009E74B3"/>
    <w:rsid w:val="009F07A3"/>
    <w:rsid w:val="009F11A2"/>
    <w:rsid w:val="009F1EC9"/>
    <w:rsid w:val="009F2A50"/>
    <w:rsid w:val="009F37BE"/>
    <w:rsid w:val="009F526B"/>
    <w:rsid w:val="009F621B"/>
    <w:rsid w:val="009F6C21"/>
    <w:rsid w:val="00A00596"/>
    <w:rsid w:val="00A0138F"/>
    <w:rsid w:val="00A0140D"/>
    <w:rsid w:val="00A0141B"/>
    <w:rsid w:val="00A01A35"/>
    <w:rsid w:val="00A01AAC"/>
    <w:rsid w:val="00A02C23"/>
    <w:rsid w:val="00A02E6B"/>
    <w:rsid w:val="00A03261"/>
    <w:rsid w:val="00A03304"/>
    <w:rsid w:val="00A03C59"/>
    <w:rsid w:val="00A041BF"/>
    <w:rsid w:val="00A042FF"/>
    <w:rsid w:val="00A04F64"/>
    <w:rsid w:val="00A053C3"/>
    <w:rsid w:val="00A0558E"/>
    <w:rsid w:val="00A0566B"/>
    <w:rsid w:val="00A06AE4"/>
    <w:rsid w:val="00A06D5D"/>
    <w:rsid w:val="00A075C4"/>
    <w:rsid w:val="00A07E11"/>
    <w:rsid w:val="00A104FC"/>
    <w:rsid w:val="00A10782"/>
    <w:rsid w:val="00A108E6"/>
    <w:rsid w:val="00A10EB4"/>
    <w:rsid w:val="00A1199A"/>
    <w:rsid w:val="00A12488"/>
    <w:rsid w:val="00A1313E"/>
    <w:rsid w:val="00A13CA1"/>
    <w:rsid w:val="00A15A11"/>
    <w:rsid w:val="00A171C1"/>
    <w:rsid w:val="00A171CA"/>
    <w:rsid w:val="00A201F0"/>
    <w:rsid w:val="00A20384"/>
    <w:rsid w:val="00A210E5"/>
    <w:rsid w:val="00A222A4"/>
    <w:rsid w:val="00A2277C"/>
    <w:rsid w:val="00A22A30"/>
    <w:rsid w:val="00A23460"/>
    <w:rsid w:val="00A23AC3"/>
    <w:rsid w:val="00A23E4B"/>
    <w:rsid w:val="00A24945"/>
    <w:rsid w:val="00A24C10"/>
    <w:rsid w:val="00A26611"/>
    <w:rsid w:val="00A267D2"/>
    <w:rsid w:val="00A26888"/>
    <w:rsid w:val="00A27407"/>
    <w:rsid w:val="00A27537"/>
    <w:rsid w:val="00A2774A"/>
    <w:rsid w:val="00A30379"/>
    <w:rsid w:val="00A30881"/>
    <w:rsid w:val="00A30E6D"/>
    <w:rsid w:val="00A31854"/>
    <w:rsid w:val="00A31A69"/>
    <w:rsid w:val="00A32823"/>
    <w:rsid w:val="00A32B43"/>
    <w:rsid w:val="00A33734"/>
    <w:rsid w:val="00A34A04"/>
    <w:rsid w:val="00A3531C"/>
    <w:rsid w:val="00A35989"/>
    <w:rsid w:val="00A35A9E"/>
    <w:rsid w:val="00A36CB5"/>
    <w:rsid w:val="00A378B2"/>
    <w:rsid w:val="00A41020"/>
    <w:rsid w:val="00A411AC"/>
    <w:rsid w:val="00A42513"/>
    <w:rsid w:val="00A4297F"/>
    <w:rsid w:val="00A42EF2"/>
    <w:rsid w:val="00A44401"/>
    <w:rsid w:val="00A44C69"/>
    <w:rsid w:val="00A44E1B"/>
    <w:rsid w:val="00A46438"/>
    <w:rsid w:val="00A47696"/>
    <w:rsid w:val="00A50189"/>
    <w:rsid w:val="00A50482"/>
    <w:rsid w:val="00A507B2"/>
    <w:rsid w:val="00A50932"/>
    <w:rsid w:val="00A51105"/>
    <w:rsid w:val="00A53196"/>
    <w:rsid w:val="00A54646"/>
    <w:rsid w:val="00A55886"/>
    <w:rsid w:val="00A558B5"/>
    <w:rsid w:val="00A56335"/>
    <w:rsid w:val="00A5649E"/>
    <w:rsid w:val="00A569AE"/>
    <w:rsid w:val="00A57B76"/>
    <w:rsid w:val="00A60420"/>
    <w:rsid w:val="00A64210"/>
    <w:rsid w:val="00A64655"/>
    <w:rsid w:val="00A64A9A"/>
    <w:rsid w:val="00A64CC7"/>
    <w:rsid w:val="00A64D3F"/>
    <w:rsid w:val="00A6507F"/>
    <w:rsid w:val="00A66632"/>
    <w:rsid w:val="00A670EE"/>
    <w:rsid w:val="00A6739E"/>
    <w:rsid w:val="00A6796A"/>
    <w:rsid w:val="00A679AE"/>
    <w:rsid w:val="00A70156"/>
    <w:rsid w:val="00A7022C"/>
    <w:rsid w:val="00A72942"/>
    <w:rsid w:val="00A72ACC"/>
    <w:rsid w:val="00A72C87"/>
    <w:rsid w:val="00A72E17"/>
    <w:rsid w:val="00A73A0E"/>
    <w:rsid w:val="00A744CA"/>
    <w:rsid w:val="00A74797"/>
    <w:rsid w:val="00A75610"/>
    <w:rsid w:val="00A75886"/>
    <w:rsid w:val="00A75F9E"/>
    <w:rsid w:val="00A800E2"/>
    <w:rsid w:val="00A809A8"/>
    <w:rsid w:val="00A80BCC"/>
    <w:rsid w:val="00A80E28"/>
    <w:rsid w:val="00A818FB"/>
    <w:rsid w:val="00A8204D"/>
    <w:rsid w:val="00A82334"/>
    <w:rsid w:val="00A82E8E"/>
    <w:rsid w:val="00A83233"/>
    <w:rsid w:val="00A84132"/>
    <w:rsid w:val="00A84328"/>
    <w:rsid w:val="00A8466A"/>
    <w:rsid w:val="00A847F9"/>
    <w:rsid w:val="00A84E4D"/>
    <w:rsid w:val="00A85923"/>
    <w:rsid w:val="00A86C13"/>
    <w:rsid w:val="00A86CDF"/>
    <w:rsid w:val="00A86DDE"/>
    <w:rsid w:val="00A878B2"/>
    <w:rsid w:val="00A87B38"/>
    <w:rsid w:val="00A87EDB"/>
    <w:rsid w:val="00A90354"/>
    <w:rsid w:val="00A90E27"/>
    <w:rsid w:val="00A91F3C"/>
    <w:rsid w:val="00A930E8"/>
    <w:rsid w:val="00A935A4"/>
    <w:rsid w:val="00A947A3"/>
    <w:rsid w:val="00A94E7C"/>
    <w:rsid w:val="00A95326"/>
    <w:rsid w:val="00A958AA"/>
    <w:rsid w:val="00A95DD3"/>
    <w:rsid w:val="00A95E30"/>
    <w:rsid w:val="00A95E97"/>
    <w:rsid w:val="00A95F4C"/>
    <w:rsid w:val="00A95FAE"/>
    <w:rsid w:val="00A9682D"/>
    <w:rsid w:val="00A9703E"/>
    <w:rsid w:val="00A972B8"/>
    <w:rsid w:val="00A97B4F"/>
    <w:rsid w:val="00AA183E"/>
    <w:rsid w:val="00AA1C9B"/>
    <w:rsid w:val="00AA2522"/>
    <w:rsid w:val="00AA2702"/>
    <w:rsid w:val="00AA2727"/>
    <w:rsid w:val="00AA2CC5"/>
    <w:rsid w:val="00AA318D"/>
    <w:rsid w:val="00AA323D"/>
    <w:rsid w:val="00AA3A86"/>
    <w:rsid w:val="00AA3FE5"/>
    <w:rsid w:val="00AA43AD"/>
    <w:rsid w:val="00AA5490"/>
    <w:rsid w:val="00AA5552"/>
    <w:rsid w:val="00AA5614"/>
    <w:rsid w:val="00AA5A47"/>
    <w:rsid w:val="00AA5AA4"/>
    <w:rsid w:val="00AA5CDF"/>
    <w:rsid w:val="00AA6161"/>
    <w:rsid w:val="00AA6368"/>
    <w:rsid w:val="00AA65E3"/>
    <w:rsid w:val="00AA6B37"/>
    <w:rsid w:val="00AA6BA9"/>
    <w:rsid w:val="00AA6BD8"/>
    <w:rsid w:val="00AA6E92"/>
    <w:rsid w:val="00AA7472"/>
    <w:rsid w:val="00AA7488"/>
    <w:rsid w:val="00AA74AC"/>
    <w:rsid w:val="00AA7EF4"/>
    <w:rsid w:val="00AB1658"/>
    <w:rsid w:val="00AB1C44"/>
    <w:rsid w:val="00AB2378"/>
    <w:rsid w:val="00AB24C9"/>
    <w:rsid w:val="00AB2A98"/>
    <w:rsid w:val="00AB3125"/>
    <w:rsid w:val="00AB3AE6"/>
    <w:rsid w:val="00AB3F87"/>
    <w:rsid w:val="00AB43EB"/>
    <w:rsid w:val="00AB4B4B"/>
    <w:rsid w:val="00AB4F51"/>
    <w:rsid w:val="00AB5093"/>
    <w:rsid w:val="00AB58AB"/>
    <w:rsid w:val="00AB6123"/>
    <w:rsid w:val="00AB658D"/>
    <w:rsid w:val="00AB7677"/>
    <w:rsid w:val="00AC1381"/>
    <w:rsid w:val="00AC1FB5"/>
    <w:rsid w:val="00AC220F"/>
    <w:rsid w:val="00AC34A1"/>
    <w:rsid w:val="00AC3934"/>
    <w:rsid w:val="00AC4B49"/>
    <w:rsid w:val="00AC52CE"/>
    <w:rsid w:val="00AC72D6"/>
    <w:rsid w:val="00AC7F9D"/>
    <w:rsid w:val="00AD0408"/>
    <w:rsid w:val="00AD1367"/>
    <w:rsid w:val="00AD1C21"/>
    <w:rsid w:val="00AD32C7"/>
    <w:rsid w:val="00AD4179"/>
    <w:rsid w:val="00AD5ADC"/>
    <w:rsid w:val="00AD6433"/>
    <w:rsid w:val="00AD647E"/>
    <w:rsid w:val="00AD780B"/>
    <w:rsid w:val="00AD7DDD"/>
    <w:rsid w:val="00AE02C4"/>
    <w:rsid w:val="00AE0BA7"/>
    <w:rsid w:val="00AE0F02"/>
    <w:rsid w:val="00AE13EF"/>
    <w:rsid w:val="00AE165A"/>
    <w:rsid w:val="00AE23FC"/>
    <w:rsid w:val="00AE2A05"/>
    <w:rsid w:val="00AE3B7C"/>
    <w:rsid w:val="00AE3C9F"/>
    <w:rsid w:val="00AE3E86"/>
    <w:rsid w:val="00AE4F0C"/>
    <w:rsid w:val="00AE52F3"/>
    <w:rsid w:val="00AE540E"/>
    <w:rsid w:val="00AE58B4"/>
    <w:rsid w:val="00AE5B5B"/>
    <w:rsid w:val="00AE606B"/>
    <w:rsid w:val="00AE792B"/>
    <w:rsid w:val="00AE7AD1"/>
    <w:rsid w:val="00AF0698"/>
    <w:rsid w:val="00AF077D"/>
    <w:rsid w:val="00AF0807"/>
    <w:rsid w:val="00AF0C74"/>
    <w:rsid w:val="00AF146B"/>
    <w:rsid w:val="00AF1EA8"/>
    <w:rsid w:val="00AF2329"/>
    <w:rsid w:val="00AF238D"/>
    <w:rsid w:val="00AF253C"/>
    <w:rsid w:val="00AF2AC5"/>
    <w:rsid w:val="00AF3493"/>
    <w:rsid w:val="00AF3999"/>
    <w:rsid w:val="00AF3CB4"/>
    <w:rsid w:val="00AF7096"/>
    <w:rsid w:val="00AF710D"/>
    <w:rsid w:val="00AF7990"/>
    <w:rsid w:val="00AF7CC6"/>
    <w:rsid w:val="00B00010"/>
    <w:rsid w:val="00B00161"/>
    <w:rsid w:val="00B00447"/>
    <w:rsid w:val="00B004F2"/>
    <w:rsid w:val="00B00B21"/>
    <w:rsid w:val="00B00EEB"/>
    <w:rsid w:val="00B0210F"/>
    <w:rsid w:val="00B022DB"/>
    <w:rsid w:val="00B02786"/>
    <w:rsid w:val="00B031F7"/>
    <w:rsid w:val="00B0409B"/>
    <w:rsid w:val="00B04F57"/>
    <w:rsid w:val="00B050C3"/>
    <w:rsid w:val="00B0734B"/>
    <w:rsid w:val="00B07B28"/>
    <w:rsid w:val="00B10169"/>
    <w:rsid w:val="00B10C9E"/>
    <w:rsid w:val="00B10F54"/>
    <w:rsid w:val="00B117C7"/>
    <w:rsid w:val="00B11B4A"/>
    <w:rsid w:val="00B11E8C"/>
    <w:rsid w:val="00B129F9"/>
    <w:rsid w:val="00B139E7"/>
    <w:rsid w:val="00B16EAB"/>
    <w:rsid w:val="00B171B2"/>
    <w:rsid w:val="00B17702"/>
    <w:rsid w:val="00B207F8"/>
    <w:rsid w:val="00B214AC"/>
    <w:rsid w:val="00B21BAF"/>
    <w:rsid w:val="00B22057"/>
    <w:rsid w:val="00B222F8"/>
    <w:rsid w:val="00B22732"/>
    <w:rsid w:val="00B24118"/>
    <w:rsid w:val="00B25D90"/>
    <w:rsid w:val="00B311FA"/>
    <w:rsid w:val="00B31518"/>
    <w:rsid w:val="00B31713"/>
    <w:rsid w:val="00B31A5D"/>
    <w:rsid w:val="00B31B89"/>
    <w:rsid w:val="00B3412B"/>
    <w:rsid w:val="00B34535"/>
    <w:rsid w:val="00B346AD"/>
    <w:rsid w:val="00B35163"/>
    <w:rsid w:val="00B35E1C"/>
    <w:rsid w:val="00B35FA4"/>
    <w:rsid w:val="00B36025"/>
    <w:rsid w:val="00B3714F"/>
    <w:rsid w:val="00B3717F"/>
    <w:rsid w:val="00B37DB0"/>
    <w:rsid w:val="00B4001B"/>
    <w:rsid w:val="00B40C76"/>
    <w:rsid w:val="00B414E5"/>
    <w:rsid w:val="00B41A83"/>
    <w:rsid w:val="00B42336"/>
    <w:rsid w:val="00B42F8F"/>
    <w:rsid w:val="00B4363A"/>
    <w:rsid w:val="00B43BFD"/>
    <w:rsid w:val="00B44127"/>
    <w:rsid w:val="00B44398"/>
    <w:rsid w:val="00B457F4"/>
    <w:rsid w:val="00B4586C"/>
    <w:rsid w:val="00B45BE0"/>
    <w:rsid w:val="00B45D4F"/>
    <w:rsid w:val="00B45EFE"/>
    <w:rsid w:val="00B46FC1"/>
    <w:rsid w:val="00B479CC"/>
    <w:rsid w:val="00B47BEB"/>
    <w:rsid w:val="00B47D07"/>
    <w:rsid w:val="00B47E56"/>
    <w:rsid w:val="00B51CD4"/>
    <w:rsid w:val="00B53139"/>
    <w:rsid w:val="00B53DD0"/>
    <w:rsid w:val="00B5452E"/>
    <w:rsid w:val="00B547C5"/>
    <w:rsid w:val="00B54EAF"/>
    <w:rsid w:val="00B54EC9"/>
    <w:rsid w:val="00B5507B"/>
    <w:rsid w:val="00B55CE2"/>
    <w:rsid w:val="00B56EBD"/>
    <w:rsid w:val="00B5714F"/>
    <w:rsid w:val="00B57770"/>
    <w:rsid w:val="00B57B39"/>
    <w:rsid w:val="00B60321"/>
    <w:rsid w:val="00B619DB"/>
    <w:rsid w:val="00B622C8"/>
    <w:rsid w:val="00B65538"/>
    <w:rsid w:val="00B65B69"/>
    <w:rsid w:val="00B65DCF"/>
    <w:rsid w:val="00B66297"/>
    <w:rsid w:val="00B668E5"/>
    <w:rsid w:val="00B66E64"/>
    <w:rsid w:val="00B6760D"/>
    <w:rsid w:val="00B70616"/>
    <w:rsid w:val="00B70EA7"/>
    <w:rsid w:val="00B70F11"/>
    <w:rsid w:val="00B713DA"/>
    <w:rsid w:val="00B7203C"/>
    <w:rsid w:val="00B72071"/>
    <w:rsid w:val="00B72263"/>
    <w:rsid w:val="00B73630"/>
    <w:rsid w:val="00B74225"/>
    <w:rsid w:val="00B75658"/>
    <w:rsid w:val="00B76AF1"/>
    <w:rsid w:val="00B77CE9"/>
    <w:rsid w:val="00B800AF"/>
    <w:rsid w:val="00B80E76"/>
    <w:rsid w:val="00B8183A"/>
    <w:rsid w:val="00B81D58"/>
    <w:rsid w:val="00B826E0"/>
    <w:rsid w:val="00B82A6F"/>
    <w:rsid w:val="00B84381"/>
    <w:rsid w:val="00B86308"/>
    <w:rsid w:val="00B9052B"/>
    <w:rsid w:val="00B90785"/>
    <w:rsid w:val="00B9082A"/>
    <w:rsid w:val="00B90B3F"/>
    <w:rsid w:val="00B9216D"/>
    <w:rsid w:val="00B92652"/>
    <w:rsid w:val="00B9284C"/>
    <w:rsid w:val="00B928E3"/>
    <w:rsid w:val="00B93078"/>
    <w:rsid w:val="00B93E27"/>
    <w:rsid w:val="00B941CA"/>
    <w:rsid w:val="00B94ABD"/>
    <w:rsid w:val="00B94FEC"/>
    <w:rsid w:val="00B9525A"/>
    <w:rsid w:val="00B96A68"/>
    <w:rsid w:val="00B97D13"/>
    <w:rsid w:val="00BA0904"/>
    <w:rsid w:val="00BA16EA"/>
    <w:rsid w:val="00BA3260"/>
    <w:rsid w:val="00BA4D45"/>
    <w:rsid w:val="00BA5B4A"/>
    <w:rsid w:val="00BA703F"/>
    <w:rsid w:val="00BA7EE5"/>
    <w:rsid w:val="00BB01E3"/>
    <w:rsid w:val="00BB132A"/>
    <w:rsid w:val="00BB25D8"/>
    <w:rsid w:val="00BB2CD9"/>
    <w:rsid w:val="00BB4E5A"/>
    <w:rsid w:val="00BB4FCB"/>
    <w:rsid w:val="00BB4FE7"/>
    <w:rsid w:val="00BB514E"/>
    <w:rsid w:val="00BB61F3"/>
    <w:rsid w:val="00BB7415"/>
    <w:rsid w:val="00BC2830"/>
    <w:rsid w:val="00BC293E"/>
    <w:rsid w:val="00BC2F77"/>
    <w:rsid w:val="00BC354E"/>
    <w:rsid w:val="00BC3F50"/>
    <w:rsid w:val="00BC4B4B"/>
    <w:rsid w:val="00BC578B"/>
    <w:rsid w:val="00BC59FE"/>
    <w:rsid w:val="00BC5D19"/>
    <w:rsid w:val="00BC6386"/>
    <w:rsid w:val="00BC6B30"/>
    <w:rsid w:val="00BC6E85"/>
    <w:rsid w:val="00BC72D8"/>
    <w:rsid w:val="00BC7833"/>
    <w:rsid w:val="00BC78AA"/>
    <w:rsid w:val="00BC7D83"/>
    <w:rsid w:val="00BC7F33"/>
    <w:rsid w:val="00BD0696"/>
    <w:rsid w:val="00BD0C4F"/>
    <w:rsid w:val="00BD1054"/>
    <w:rsid w:val="00BD11CB"/>
    <w:rsid w:val="00BD1604"/>
    <w:rsid w:val="00BD1C65"/>
    <w:rsid w:val="00BD25C6"/>
    <w:rsid w:val="00BD281A"/>
    <w:rsid w:val="00BD2E1A"/>
    <w:rsid w:val="00BD32E0"/>
    <w:rsid w:val="00BD54C0"/>
    <w:rsid w:val="00BD5661"/>
    <w:rsid w:val="00BD57F4"/>
    <w:rsid w:val="00BD5CB6"/>
    <w:rsid w:val="00BD6255"/>
    <w:rsid w:val="00BD79F4"/>
    <w:rsid w:val="00BE00CB"/>
    <w:rsid w:val="00BE143F"/>
    <w:rsid w:val="00BE266A"/>
    <w:rsid w:val="00BE2A26"/>
    <w:rsid w:val="00BE2CD4"/>
    <w:rsid w:val="00BE4F80"/>
    <w:rsid w:val="00BE50BD"/>
    <w:rsid w:val="00BE55A6"/>
    <w:rsid w:val="00BE5722"/>
    <w:rsid w:val="00BE594D"/>
    <w:rsid w:val="00BE62D7"/>
    <w:rsid w:val="00BE69D3"/>
    <w:rsid w:val="00BE6BA5"/>
    <w:rsid w:val="00BF0BC4"/>
    <w:rsid w:val="00BF217A"/>
    <w:rsid w:val="00BF2497"/>
    <w:rsid w:val="00BF2CF8"/>
    <w:rsid w:val="00BF367C"/>
    <w:rsid w:val="00BF385E"/>
    <w:rsid w:val="00BF3FD4"/>
    <w:rsid w:val="00BF53F4"/>
    <w:rsid w:val="00BF5FB7"/>
    <w:rsid w:val="00BF637F"/>
    <w:rsid w:val="00BF6E6D"/>
    <w:rsid w:val="00BF7219"/>
    <w:rsid w:val="00C013A1"/>
    <w:rsid w:val="00C01DDD"/>
    <w:rsid w:val="00C0292F"/>
    <w:rsid w:val="00C04675"/>
    <w:rsid w:val="00C04CDA"/>
    <w:rsid w:val="00C04E84"/>
    <w:rsid w:val="00C0512D"/>
    <w:rsid w:val="00C0562C"/>
    <w:rsid w:val="00C05B45"/>
    <w:rsid w:val="00C05BEB"/>
    <w:rsid w:val="00C073DD"/>
    <w:rsid w:val="00C07CE6"/>
    <w:rsid w:val="00C10AD9"/>
    <w:rsid w:val="00C11119"/>
    <w:rsid w:val="00C119C3"/>
    <w:rsid w:val="00C119D4"/>
    <w:rsid w:val="00C11CAF"/>
    <w:rsid w:val="00C11FB3"/>
    <w:rsid w:val="00C126C3"/>
    <w:rsid w:val="00C12BB6"/>
    <w:rsid w:val="00C14046"/>
    <w:rsid w:val="00C142C2"/>
    <w:rsid w:val="00C14BF8"/>
    <w:rsid w:val="00C14D35"/>
    <w:rsid w:val="00C151E0"/>
    <w:rsid w:val="00C154B3"/>
    <w:rsid w:val="00C20A11"/>
    <w:rsid w:val="00C20AC3"/>
    <w:rsid w:val="00C214BC"/>
    <w:rsid w:val="00C215C0"/>
    <w:rsid w:val="00C22667"/>
    <w:rsid w:val="00C2266E"/>
    <w:rsid w:val="00C244C2"/>
    <w:rsid w:val="00C24CB3"/>
    <w:rsid w:val="00C25A90"/>
    <w:rsid w:val="00C26D15"/>
    <w:rsid w:val="00C30199"/>
    <w:rsid w:val="00C30DE3"/>
    <w:rsid w:val="00C30EF3"/>
    <w:rsid w:val="00C3110D"/>
    <w:rsid w:val="00C314BA"/>
    <w:rsid w:val="00C316E8"/>
    <w:rsid w:val="00C326E2"/>
    <w:rsid w:val="00C32EAE"/>
    <w:rsid w:val="00C334C6"/>
    <w:rsid w:val="00C33C18"/>
    <w:rsid w:val="00C340B7"/>
    <w:rsid w:val="00C345D9"/>
    <w:rsid w:val="00C34CBF"/>
    <w:rsid w:val="00C35362"/>
    <w:rsid w:val="00C353F5"/>
    <w:rsid w:val="00C41319"/>
    <w:rsid w:val="00C41A89"/>
    <w:rsid w:val="00C42228"/>
    <w:rsid w:val="00C42F44"/>
    <w:rsid w:val="00C43134"/>
    <w:rsid w:val="00C431FC"/>
    <w:rsid w:val="00C44135"/>
    <w:rsid w:val="00C45B68"/>
    <w:rsid w:val="00C45F4F"/>
    <w:rsid w:val="00C463DD"/>
    <w:rsid w:val="00C47865"/>
    <w:rsid w:val="00C47A9E"/>
    <w:rsid w:val="00C47AF4"/>
    <w:rsid w:val="00C47EF8"/>
    <w:rsid w:val="00C50B70"/>
    <w:rsid w:val="00C52401"/>
    <w:rsid w:val="00C526A9"/>
    <w:rsid w:val="00C53782"/>
    <w:rsid w:val="00C53E57"/>
    <w:rsid w:val="00C563D6"/>
    <w:rsid w:val="00C56996"/>
    <w:rsid w:val="00C56BA0"/>
    <w:rsid w:val="00C5756E"/>
    <w:rsid w:val="00C57B35"/>
    <w:rsid w:val="00C57D49"/>
    <w:rsid w:val="00C57F7C"/>
    <w:rsid w:val="00C60676"/>
    <w:rsid w:val="00C60767"/>
    <w:rsid w:val="00C60CCA"/>
    <w:rsid w:val="00C6121F"/>
    <w:rsid w:val="00C62087"/>
    <w:rsid w:val="00C62ACA"/>
    <w:rsid w:val="00C65288"/>
    <w:rsid w:val="00C65ABC"/>
    <w:rsid w:val="00C663D0"/>
    <w:rsid w:val="00C66C34"/>
    <w:rsid w:val="00C7016D"/>
    <w:rsid w:val="00C7017C"/>
    <w:rsid w:val="00C70E9C"/>
    <w:rsid w:val="00C70F02"/>
    <w:rsid w:val="00C72900"/>
    <w:rsid w:val="00C72E5A"/>
    <w:rsid w:val="00C734F2"/>
    <w:rsid w:val="00C7412A"/>
    <w:rsid w:val="00C74580"/>
    <w:rsid w:val="00C76FA5"/>
    <w:rsid w:val="00C77846"/>
    <w:rsid w:val="00C82D4F"/>
    <w:rsid w:val="00C83505"/>
    <w:rsid w:val="00C839FD"/>
    <w:rsid w:val="00C843E1"/>
    <w:rsid w:val="00C852CB"/>
    <w:rsid w:val="00C854F1"/>
    <w:rsid w:val="00C85BC2"/>
    <w:rsid w:val="00C86609"/>
    <w:rsid w:val="00C87D27"/>
    <w:rsid w:val="00C903D6"/>
    <w:rsid w:val="00C90597"/>
    <w:rsid w:val="00C90608"/>
    <w:rsid w:val="00C90D01"/>
    <w:rsid w:val="00C911E6"/>
    <w:rsid w:val="00C91308"/>
    <w:rsid w:val="00C915FD"/>
    <w:rsid w:val="00C91630"/>
    <w:rsid w:val="00C92520"/>
    <w:rsid w:val="00C92DB2"/>
    <w:rsid w:val="00C93902"/>
    <w:rsid w:val="00C93943"/>
    <w:rsid w:val="00C93973"/>
    <w:rsid w:val="00C93E3B"/>
    <w:rsid w:val="00C94405"/>
    <w:rsid w:val="00C9626E"/>
    <w:rsid w:val="00C96616"/>
    <w:rsid w:val="00C977AD"/>
    <w:rsid w:val="00C977E5"/>
    <w:rsid w:val="00C97B6A"/>
    <w:rsid w:val="00CA0389"/>
    <w:rsid w:val="00CA0507"/>
    <w:rsid w:val="00CA0992"/>
    <w:rsid w:val="00CA27B6"/>
    <w:rsid w:val="00CA2E4E"/>
    <w:rsid w:val="00CA4F69"/>
    <w:rsid w:val="00CA6296"/>
    <w:rsid w:val="00CA6C2E"/>
    <w:rsid w:val="00CA6D9D"/>
    <w:rsid w:val="00CA719C"/>
    <w:rsid w:val="00CA7331"/>
    <w:rsid w:val="00CA7B90"/>
    <w:rsid w:val="00CB04C1"/>
    <w:rsid w:val="00CB07DA"/>
    <w:rsid w:val="00CB1416"/>
    <w:rsid w:val="00CB1421"/>
    <w:rsid w:val="00CB143F"/>
    <w:rsid w:val="00CB1835"/>
    <w:rsid w:val="00CB19E7"/>
    <w:rsid w:val="00CB1D2F"/>
    <w:rsid w:val="00CB25EF"/>
    <w:rsid w:val="00CB2F8A"/>
    <w:rsid w:val="00CB3AF9"/>
    <w:rsid w:val="00CB4048"/>
    <w:rsid w:val="00CB4B0D"/>
    <w:rsid w:val="00CB4DC5"/>
    <w:rsid w:val="00CB57F3"/>
    <w:rsid w:val="00CB7D05"/>
    <w:rsid w:val="00CC0ECF"/>
    <w:rsid w:val="00CC1B73"/>
    <w:rsid w:val="00CC28DA"/>
    <w:rsid w:val="00CC292C"/>
    <w:rsid w:val="00CC2F65"/>
    <w:rsid w:val="00CC40A2"/>
    <w:rsid w:val="00CC42D4"/>
    <w:rsid w:val="00CC4544"/>
    <w:rsid w:val="00CC45F4"/>
    <w:rsid w:val="00CC64B4"/>
    <w:rsid w:val="00CC6F71"/>
    <w:rsid w:val="00CC7D64"/>
    <w:rsid w:val="00CD059B"/>
    <w:rsid w:val="00CD0C5C"/>
    <w:rsid w:val="00CD0DDD"/>
    <w:rsid w:val="00CD2675"/>
    <w:rsid w:val="00CD2B0D"/>
    <w:rsid w:val="00CD3FEE"/>
    <w:rsid w:val="00CD402D"/>
    <w:rsid w:val="00CD4813"/>
    <w:rsid w:val="00CD5451"/>
    <w:rsid w:val="00CD65A3"/>
    <w:rsid w:val="00CD69C0"/>
    <w:rsid w:val="00CD6E57"/>
    <w:rsid w:val="00CD6FA9"/>
    <w:rsid w:val="00CE0398"/>
    <w:rsid w:val="00CE0F29"/>
    <w:rsid w:val="00CE1080"/>
    <w:rsid w:val="00CE2183"/>
    <w:rsid w:val="00CE2D4D"/>
    <w:rsid w:val="00CE2F25"/>
    <w:rsid w:val="00CE366A"/>
    <w:rsid w:val="00CE390E"/>
    <w:rsid w:val="00CE529A"/>
    <w:rsid w:val="00CE5525"/>
    <w:rsid w:val="00CE601D"/>
    <w:rsid w:val="00CE6D07"/>
    <w:rsid w:val="00CE7A21"/>
    <w:rsid w:val="00CF048D"/>
    <w:rsid w:val="00CF0C98"/>
    <w:rsid w:val="00CF1085"/>
    <w:rsid w:val="00CF233F"/>
    <w:rsid w:val="00CF26D9"/>
    <w:rsid w:val="00CF2C13"/>
    <w:rsid w:val="00CF31C0"/>
    <w:rsid w:val="00CF329B"/>
    <w:rsid w:val="00CF3514"/>
    <w:rsid w:val="00CF35A0"/>
    <w:rsid w:val="00CF3CA9"/>
    <w:rsid w:val="00CF4362"/>
    <w:rsid w:val="00CF4F62"/>
    <w:rsid w:val="00CF5880"/>
    <w:rsid w:val="00CF5A79"/>
    <w:rsid w:val="00CF6AA4"/>
    <w:rsid w:val="00D01127"/>
    <w:rsid w:val="00D011D5"/>
    <w:rsid w:val="00D01578"/>
    <w:rsid w:val="00D021E0"/>
    <w:rsid w:val="00D023CC"/>
    <w:rsid w:val="00D02793"/>
    <w:rsid w:val="00D04A5A"/>
    <w:rsid w:val="00D052D4"/>
    <w:rsid w:val="00D06409"/>
    <w:rsid w:val="00D06B3E"/>
    <w:rsid w:val="00D073B5"/>
    <w:rsid w:val="00D102B0"/>
    <w:rsid w:val="00D10512"/>
    <w:rsid w:val="00D11063"/>
    <w:rsid w:val="00D117EC"/>
    <w:rsid w:val="00D12391"/>
    <w:rsid w:val="00D12564"/>
    <w:rsid w:val="00D12904"/>
    <w:rsid w:val="00D129C2"/>
    <w:rsid w:val="00D141F5"/>
    <w:rsid w:val="00D1465C"/>
    <w:rsid w:val="00D150BA"/>
    <w:rsid w:val="00D150E3"/>
    <w:rsid w:val="00D175A1"/>
    <w:rsid w:val="00D211EA"/>
    <w:rsid w:val="00D213EE"/>
    <w:rsid w:val="00D216DC"/>
    <w:rsid w:val="00D21D0E"/>
    <w:rsid w:val="00D221B0"/>
    <w:rsid w:val="00D2255A"/>
    <w:rsid w:val="00D227C9"/>
    <w:rsid w:val="00D22C92"/>
    <w:rsid w:val="00D236B5"/>
    <w:rsid w:val="00D237A6"/>
    <w:rsid w:val="00D23B93"/>
    <w:rsid w:val="00D25B0E"/>
    <w:rsid w:val="00D2758F"/>
    <w:rsid w:val="00D2773A"/>
    <w:rsid w:val="00D31BC7"/>
    <w:rsid w:val="00D32CD6"/>
    <w:rsid w:val="00D33E57"/>
    <w:rsid w:val="00D34EFA"/>
    <w:rsid w:val="00D359DB"/>
    <w:rsid w:val="00D35F07"/>
    <w:rsid w:val="00D36147"/>
    <w:rsid w:val="00D3704B"/>
    <w:rsid w:val="00D373D1"/>
    <w:rsid w:val="00D373DD"/>
    <w:rsid w:val="00D37A83"/>
    <w:rsid w:val="00D37DEC"/>
    <w:rsid w:val="00D40D1B"/>
    <w:rsid w:val="00D40D32"/>
    <w:rsid w:val="00D414AD"/>
    <w:rsid w:val="00D41595"/>
    <w:rsid w:val="00D415A6"/>
    <w:rsid w:val="00D41CB6"/>
    <w:rsid w:val="00D42AA1"/>
    <w:rsid w:val="00D42F71"/>
    <w:rsid w:val="00D43123"/>
    <w:rsid w:val="00D431F4"/>
    <w:rsid w:val="00D445C4"/>
    <w:rsid w:val="00D44CA5"/>
    <w:rsid w:val="00D45F95"/>
    <w:rsid w:val="00D466D9"/>
    <w:rsid w:val="00D46E94"/>
    <w:rsid w:val="00D47B03"/>
    <w:rsid w:val="00D47C3F"/>
    <w:rsid w:val="00D52086"/>
    <w:rsid w:val="00D521F3"/>
    <w:rsid w:val="00D52DD2"/>
    <w:rsid w:val="00D5488E"/>
    <w:rsid w:val="00D5542D"/>
    <w:rsid w:val="00D559A0"/>
    <w:rsid w:val="00D56006"/>
    <w:rsid w:val="00D56458"/>
    <w:rsid w:val="00D56AB5"/>
    <w:rsid w:val="00D56B29"/>
    <w:rsid w:val="00D56D78"/>
    <w:rsid w:val="00D57705"/>
    <w:rsid w:val="00D57E8B"/>
    <w:rsid w:val="00D60763"/>
    <w:rsid w:val="00D61D43"/>
    <w:rsid w:val="00D61DE9"/>
    <w:rsid w:val="00D62E26"/>
    <w:rsid w:val="00D6431E"/>
    <w:rsid w:val="00D64502"/>
    <w:rsid w:val="00D647F1"/>
    <w:rsid w:val="00D64B63"/>
    <w:rsid w:val="00D65C0F"/>
    <w:rsid w:val="00D66475"/>
    <w:rsid w:val="00D667CD"/>
    <w:rsid w:val="00D6692B"/>
    <w:rsid w:val="00D6704B"/>
    <w:rsid w:val="00D6781D"/>
    <w:rsid w:val="00D6789A"/>
    <w:rsid w:val="00D678F6"/>
    <w:rsid w:val="00D71BFE"/>
    <w:rsid w:val="00D73C46"/>
    <w:rsid w:val="00D74CC5"/>
    <w:rsid w:val="00D763E6"/>
    <w:rsid w:val="00D77260"/>
    <w:rsid w:val="00D801C7"/>
    <w:rsid w:val="00D8197A"/>
    <w:rsid w:val="00D81B8B"/>
    <w:rsid w:val="00D8206C"/>
    <w:rsid w:val="00D82258"/>
    <w:rsid w:val="00D82264"/>
    <w:rsid w:val="00D82C1E"/>
    <w:rsid w:val="00D83755"/>
    <w:rsid w:val="00D83D47"/>
    <w:rsid w:val="00D840E6"/>
    <w:rsid w:val="00D841E0"/>
    <w:rsid w:val="00D84952"/>
    <w:rsid w:val="00D84E16"/>
    <w:rsid w:val="00D85483"/>
    <w:rsid w:val="00D85D3A"/>
    <w:rsid w:val="00D85EAA"/>
    <w:rsid w:val="00D85F4A"/>
    <w:rsid w:val="00D864C9"/>
    <w:rsid w:val="00D86F39"/>
    <w:rsid w:val="00D8784E"/>
    <w:rsid w:val="00D90589"/>
    <w:rsid w:val="00D91AA7"/>
    <w:rsid w:val="00D91C55"/>
    <w:rsid w:val="00D91D68"/>
    <w:rsid w:val="00D91F1F"/>
    <w:rsid w:val="00D925A1"/>
    <w:rsid w:val="00D92729"/>
    <w:rsid w:val="00D929C4"/>
    <w:rsid w:val="00D92E37"/>
    <w:rsid w:val="00D9515E"/>
    <w:rsid w:val="00D96D48"/>
    <w:rsid w:val="00D971E3"/>
    <w:rsid w:val="00D97512"/>
    <w:rsid w:val="00DA03D2"/>
    <w:rsid w:val="00DA22FA"/>
    <w:rsid w:val="00DA30AB"/>
    <w:rsid w:val="00DA3515"/>
    <w:rsid w:val="00DA4B29"/>
    <w:rsid w:val="00DA4B78"/>
    <w:rsid w:val="00DA4FD3"/>
    <w:rsid w:val="00DA51A6"/>
    <w:rsid w:val="00DA5428"/>
    <w:rsid w:val="00DA756E"/>
    <w:rsid w:val="00DA7F00"/>
    <w:rsid w:val="00DB0A7B"/>
    <w:rsid w:val="00DB0ED4"/>
    <w:rsid w:val="00DB0EE1"/>
    <w:rsid w:val="00DB1341"/>
    <w:rsid w:val="00DB1A67"/>
    <w:rsid w:val="00DB1FA6"/>
    <w:rsid w:val="00DB223A"/>
    <w:rsid w:val="00DB22FD"/>
    <w:rsid w:val="00DB25EE"/>
    <w:rsid w:val="00DB3235"/>
    <w:rsid w:val="00DB3F3E"/>
    <w:rsid w:val="00DB56A0"/>
    <w:rsid w:val="00DB628C"/>
    <w:rsid w:val="00DB768E"/>
    <w:rsid w:val="00DB7E24"/>
    <w:rsid w:val="00DC00C2"/>
    <w:rsid w:val="00DC0644"/>
    <w:rsid w:val="00DC0B8D"/>
    <w:rsid w:val="00DC3FAA"/>
    <w:rsid w:val="00DC49A9"/>
    <w:rsid w:val="00DC49AA"/>
    <w:rsid w:val="00DC49CE"/>
    <w:rsid w:val="00DC705D"/>
    <w:rsid w:val="00DC7B19"/>
    <w:rsid w:val="00DC7C30"/>
    <w:rsid w:val="00DD0166"/>
    <w:rsid w:val="00DD038E"/>
    <w:rsid w:val="00DD181D"/>
    <w:rsid w:val="00DD19B7"/>
    <w:rsid w:val="00DD257E"/>
    <w:rsid w:val="00DD299C"/>
    <w:rsid w:val="00DD2F19"/>
    <w:rsid w:val="00DD3D72"/>
    <w:rsid w:val="00DD466B"/>
    <w:rsid w:val="00DD48B0"/>
    <w:rsid w:val="00DD4F41"/>
    <w:rsid w:val="00DD5269"/>
    <w:rsid w:val="00DD5E58"/>
    <w:rsid w:val="00DD617C"/>
    <w:rsid w:val="00DD62D6"/>
    <w:rsid w:val="00DD7537"/>
    <w:rsid w:val="00DD790A"/>
    <w:rsid w:val="00DD7ADB"/>
    <w:rsid w:val="00DE052A"/>
    <w:rsid w:val="00DE0537"/>
    <w:rsid w:val="00DE07AB"/>
    <w:rsid w:val="00DE09DE"/>
    <w:rsid w:val="00DE10AD"/>
    <w:rsid w:val="00DE2073"/>
    <w:rsid w:val="00DE27C3"/>
    <w:rsid w:val="00DE27DD"/>
    <w:rsid w:val="00DE2967"/>
    <w:rsid w:val="00DE2FA6"/>
    <w:rsid w:val="00DE3665"/>
    <w:rsid w:val="00DE4402"/>
    <w:rsid w:val="00DE45E5"/>
    <w:rsid w:val="00DE49CE"/>
    <w:rsid w:val="00DE5D13"/>
    <w:rsid w:val="00DE678C"/>
    <w:rsid w:val="00DE69D5"/>
    <w:rsid w:val="00DE7622"/>
    <w:rsid w:val="00DF020A"/>
    <w:rsid w:val="00DF1001"/>
    <w:rsid w:val="00DF1393"/>
    <w:rsid w:val="00DF4CA1"/>
    <w:rsid w:val="00DF5073"/>
    <w:rsid w:val="00DF53A0"/>
    <w:rsid w:val="00DF5D28"/>
    <w:rsid w:val="00DF6018"/>
    <w:rsid w:val="00DF70B4"/>
    <w:rsid w:val="00DF71A5"/>
    <w:rsid w:val="00DF71D1"/>
    <w:rsid w:val="00DF72BB"/>
    <w:rsid w:val="00DF7D0F"/>
    <w:rsid w:val="00E0010E"/>
    <w:rsid w:val="00E00BB2"/>
    <w:rsid w:val="00E00FCB"/>
    <w:rsid w:val="00E01472"/>
    <w:rsid w:val="00E01E57"/>
    <w:rsid w:val="00E01EDB"/>
    <w:rsid w:val="00E02AF5"/>
    <w:rsid w:val="00E02F57"/>
    <w:rsid w:val="00E03137"/>
    <w:rsid w:val="00E038A5"/>
    <w:rsid w:val="00E03B48"/>
    <w:rsid w:val="00E051E8"/>
    <w:rsid w:val="00E052CB"/>
    <w:rsid w:val="00E05C33"/>
    <w:rsid w:val="00E064D1"/>
    <w:rsid w:val="00E0669B"/>
    <w:rsid w:val="00E06A70"/>
    <w:rsid w:val="00E06A90"/>
    <w:rsid w:val="00E06AB6"/>
    <w:rsid w:val="00E07586"/>
    <w:rsid w:val="00E07FF9"/>
    <w:rsid w:val="00E1105D"/>
    <w:rsid w:val="00E11D61"/>
    <w:rsid w:val="00E11D8D"/>
    <w:rsid w:val="00E1227D"/>
    <w:rsid w:val="00E130E7"/>
    <w:rsid w:val="00E13571"/>
    <w:rsid w:val="00E13A27"/>
    <w:rsid w:val="00E13A78"/>
    <w:rsid w:val="00E140BD"/>
    <w:rsid w:val="00E144CE"/>
    <w:rsid w:val="00E14957"/>
    <w:rsid w:val="00E1799D"/>
    <w:rsid w:val="00E17AF3"/>
    <w:rsid w:val="00E206F0"/>
    <w:rsid w:val="00E21416"/>
    <w:rsid w:val="00E214AA"/>
    <w:rsid w:val="00E21555"/>
    <w:rsid w:val="00E219C1"/>
    <w:rsid w:val="00E21B29"/>
    <w:rsid w:val="00E2218D"/>
    <w:rsid w:val="00E2289B"/>
    <w:rsid w:val="00E2546B"/>
    <w:rsid w:val="00E25C66"/>
    <w:rsid w:val="00E25DCC"/>
    <w:rsid w:val="00E268A9"/>
    <w:rsid w:val="00E26D2A"/>
    <w:rsid w:val="00E2720E"/>
    <w:rsid w:val="00E3091D"/>
    <w:rsid w:val="00E30ABE"/>
    <w:rsid w:val="00E3194C"/>
    <w:rsid w:val="00E31F14"/>
    <w:rsid w:val="00E32103"/>
    <w:rsid w:val="00E3302A"/>
    <w:rsid w:val="00E33C9F"/>
    <w:rsid w:val="00E33EE5"/>
    <w:rsid w:val="00E34636"/>
    <w:rsid w:val="00E346C4"/>
    <w:rsid w:val="00E34E4A"/>
    <w:rsid w:val="00E35364"/>
    <w:rsid w:val="00E3547D"/>
    <w:rsid w:val="00E3549B"/>
    <w:rsid w:val="00E3662B"/>
    <w:rsid w:val="00E36BBA"/>
    <w:rsid w:val="00E375F6"/>
    <w:rsid w:val="00E376F4"/>
    <w:rsid w:val="00E37C32"/>
    <w:rsid w:val="00E4042E"/>
    <w:rsid w:val="00E404EB"/>
    <w:rsid w:val="00E41289"/>
    <w:rsid w:val="00E41E25"/>
    <w:rsid w:val="00E43569"/>
    <w:rsid w:val="00E440B1"/>
    <w:rsid w:val="00E44ED2"/>
    <w:rsid w:val="00E456E7"/>
    <w:rsid w:val="00E45773"/>
    <w:rsid w:val="00E46140"/>
    <w:rsid w:val="00E47515"/>
    <w:rsid w:val="00E47BBE"/>
    <w:rsid w:val="00E52048"/>
    <w:rsid w:val="00E5218A"/>
    <w:rsid w:val="00E538C5"/>
    <w:rsid w:val="00E53D3D"/>
    <w:rsid w:val="00E53E81"/>
    <w:rsid w:val="00E54EAC"/>
    <w:rsid w:val="00E54EFF"/>
    <w:rsid w:val="00E550EA"/>
    <w:rsid w:val="00E55B0F"/>
    <w:rsid w:val="00E56023"/>
    <w:rsid w:val="00E564E5"/>
    <w:rsid w:val="00E57830"/>
    <w:rsid w:val="00E605AF"/>
    <w:rsid w:val="00E6094E"/>
    <w:rsid w:val="00E60D47"/>
    <w:rsid w:val="00E60FE9"/>
    <w:rsid w:val="00E62525"/>
    <w:rsid w:val="00E62DF7"/>
    <w:rsid w:val="00E6408E"/>
    <w:rsid w:val="00E6429E"/>
    <w:rsid w:val="00E65A0C"/>
    <w:rsid w:val="00E65BDA"/>
    <w:rsid w:val="00E65F63"/>
    <w:rsid w:val="00E662CF"/>
    <w:rsid w:val="00E669A9"/>
    <w:rsid w:val="00E678C6"/>
    <w:rsid w:val="00E67E54"/>
    <w:rsid w:val="00E71251"/>
    <w:rsid w:val="00E7134A"/>
    <w:rsid w:val="00E72F16"/>
    <w:rsid w:val="00E734E8"/>
    <w:rsid w:val="00E73558"/>
    <w:rsid w:val="00E739AE"/>
    <w:rsid w:val="00E74A56"/>
    <w:rsid w:val="00E76BAE"/>
    <w:rsid w:val="00E77240"/>
    <w:rsid w:val="00E77326"/>
    <w:rsid w:val="00E80F3C"/>
    <w:rsid w:val="00E81406"/>
    <w:rsid w:val="00E818FA"/>
    <w:rsid w:val="00E81A2D"/>
    <w:rsid w:val="00E827EF"/>
    <w:rsid w:val="00E838FB"/>
    <w:rsid w:val="00E83E49"/>
    <w:rsid w:val="00E849D5"/>
    <w:rsid w:val="00E8531C"/>
    <w:rsid w:val="00E860E2"/>
    <w:rsid w:val="00E86345"/>
    <w:rsid w:val="00E86C11"/>
    <w:rsid w:val="00E871EA"/>
    <w:rsid w:val="00E90438"/>
    <w:rsid w:val="00E9149A"/>
    <w:rsid w:val="00E92615"/>
    <w:rsid w:val="00E9308B"/>
    <w:rsid w:val="00E93299"/>
    <w:rsid w:val="00E93D6A"/>
    <w:rsid w:val="00E94640"/>
    <w:rsid w:val="00E946F5"/>
    <w:rsid w:val="00E94B66"/>
    <w:rsid w:val="00E94E54"/>
    <w:rsid w:val="00E94EAE"/>
    <w:rsid w:val="00E96539"/>
    <w:rsid w:val="00E971FB"/>
    <w:rsid w:val="00E974ED"/>
    <w:rsid w:val="00EA0365"/>
    <w:rsid w:val="00EA09D3"/>
    <w:rsid w:val="00EA0AEB"/>
    <w:rsid w:val="00EA1349"/>
    <w:rsid w:val="00EA1661"/>
    <w:rsid w:val="00EA1B04"/>
    <w:rsid w:val="00EA246E"/>
    <w:rsid w:val="00EA25F6"/>
    <w:rsid w:val="00EA26B8"/>
    <w:rsid w:val="00EA2CF8"/>
    <w:rsid w:val="00EA4C61"/>
    <w:rsid w:val="00EA6D29"/>
    <w:rsid w:val="00EA7749"/>
    <w:rsid w:val="00EB0001"/>
    <w:rsid w:val="00EB06D7"/>
    <w:rsid w:val="00EB0E55"/>
    <w:rsid w:val="00EB296C"/>
    <w:rsid w:val="00EB2AD8"/>
    <w:rsid w:val="00EB313A"/>
    <w:rsid w:val="00EB326F"/>
    <w:rsid w:val="00EB35CF"/>
    <w:rsid w:val="00EB369C"/>
    <w:rsid w:val="00EB38FA"/>
    <w:rsid w:val="00EB3C1F"/>
    <w:rsid w:val="00EB3C41"/>
    <w:rsid w:val="00EB403A"/>
    <w:rsid w:val="00EB491B"/>
    <w:rsid w:val="00EB4ED4"/>
    <w:rsid w:val="00EB526F"/>
    <w:rsid w:val="00EB5B8E"/>
    <w:rsid w:val="00EB63BB"/>
    <w:rsid w:val="00EC02AF"/>
    <w:rsid w:val="00EC1F53"/>
    <w:rsid w:val="00EC312D"/>
    <w:rsid w:val="00EC35E5"/>
    <w:rsid w:val="00EC3C5B"/>
    <w:rsid w:val="00EC4ADD"/>
    <w:rsid w:val="00EC5317"/>
    <w:rsid w:val="00EC6880"/>
    <w:rsid w:val="00EC6D22"/>
    <w:rsid w:val="00EC6F65"/>
    <w:rsid w:val="00ED1C09"/>
    <w:rsid w:val="00ED1F70"/>
    <w:rsid w:val="00ED20ED"/>
    <w:rsid w:val="00ED342B"/>
    <w:rsid w:val="00ED37B4"/>
    <w:rsid w:val="00ED3C0F"/>
    <w:rsid w:val="00ED441A"/>
    <w:rsid w:val="00ED4508"/>
    <w:rsid w:val="00ED52A9"/>
    <w:rsid w:val="00ED5E4E"/>
    <w:rsid w:val="00ED5EFB"/>
    <w:rsid w:val="00ED6B30"/>
    <w:rsid w:val="00ED707A"/>
    <w:rsid w:val="00ED747A"/>
    <w:rsid w:val="00ED7962"/>
    <w:rsid w:val="00ED7A19"/>
    <w:rsid w:val="00EE07A0"/>
    <w:rsid w:val="00EE09DC"/>
    <w:rsid w:val="00EE0BBC"/>
    <w:rsid w:val="00EE0F52"/>
    <w:rsid w:val="00EE1BC4"/>
    <w:rsid w:val="00EE2037"/>
    <w:rsid w:val="00EE21A3"/>
    <w:rsid w:val="00EE34BC"/>
    <w:rsid w:val="00EE3DF5"/>
    <w:rsid w:val="00EE3F31"/>
    <w:rsid w:val="00EE4092"/>
    <w:rsid w:val="00EE4938"/>
    <w:rsid w:val="00EE621C"/>
    <w:rsid w:val="00EE623E"/>
    <w:rsid w:val="00EE67D4"/>
    <w:rsid w:val="00EE6BAF"/>
    <w:rsid w:val="00EE769E"/>
    <w:rsid w:val="00EF076B"/>
    <w:rsid w:val="00EF0801"/>
    <w:rsid w:val="00EF0B7B"/>
    <w:rsid w:val="00EF1341"/>
    <w:rsid w:val="00EF18F3"/>
    <w:rsid w:val="00EF2A64"/>
    <w:rsid w:val="00EF3040"/>
    <w:rsid w:val="00EF3E61"/>
    <w:rsid w:val="00EF4966"/>
    <w:rsid w:val="00EF54A5"/>
    <w:rsid w:val="00EF5D59"/>
    <w:rsid w:val="00EF690B"/>
    <w:rsid w:val="00EF6F13"/>
    <w:rsid w:val="00F00A35"/>
    <w:rsid w:val="00F01DD8"/>
    <w:rsid w:val="00F01E2B"/>
    <w:rsid w:val="00F02011"/>
    <w:rsid w:val="00F04730"/>
    <w:rsid w:val="00F04D17"/>
    <w:rsid w:val="00F050A6"/>
    <w:rsid w:val="00F05445"/>
    <w:rsid w:val="00F0568A"/>
    <w:rsid w:val="00F0578A"/>
    <w:rsid w:val="00F058E9"/>
    <w:rsid w:val="00F10101"/>
    <w:rsid w:val="00F10D61"/>
    <w:rsid w:val="00F12118"/>
    <w:rsid w:val="00F1260D"/>
    <w:rsid w:val="00F129D0"/>
    <w:rsid w:val="00F1496C"/>
    <w:rsid w:val="00F14BDB"/>
    <w:rsid w:val="00F15223"/>
    <w:rsid w:val="00F15D80"/>
    <w:rsid w:val="00F16E6C"/>
    <w:rsid w:val="00F17D74"/>
    <w:rsid w:val="00F200A5"/>
    <w:rsid w:val="00F201FE"/>
    <w:rsid w:val="00F205F3"/>
    <w:rsid w:val="00F209A9"/>
    <w:rsid w:val="00F20DDF"/>
    <w:rsid w:val="00F21C60"/>
    <w:rsid w:val="00F220C9"/>
    <w:rsid w:val="00F22747"/>
    <w:rsid w:val="00F22A2C"/>
    <w:rsid w:val="00F23179"/>
    <w:rsid w:val="00F2359A"/>
    <w:rsid w:val="00F255DB"/>
    <w:rsid w:val="00F256ED"/>
    <w:rsid w:val="00F25D05"/>
    <w:rsid w:val="00F27206"/>
    <w:rsid w:val="00F27445"/>
    <w:rsid w:val="00F3048F"/>
    <w:rsid w:val="00F319DE"/>
    <w:rsid w:val="00F33B4D"/>
    <w:rsid w:val="00F34660"/>
    <w:rsid w:val="00F35567"/>
    <w:rsid w:val="00F35794"/>
    <w:rsid w:val="00F35FE3"/>
    <w:rsid w:val="00F36ED4"/>
    <w:rsid w:val="00F36F9B"/>
    <w:rsid w:val="00F40445"/>
    <w:rsid w:val="00F4045B"/>
    <w:rsid w:val="00F40708"/>
    <w:rsid w:val="00F4154A"/>
    <w:rsid w:val="00F42122"/>
    <w:rsid w:val="00F43963"/>
    <w:rsid w:val="00F43D30"/>
    <w:rsid w:val="00F43D48"/>
    <w:rsid w:val="00F43EFF"/>
    <w:rsid w:val="00F44CE2"/>
    <w:rsid w:val="00F44D62"/>
    <w:rsid w:val="00F45505"/>
    <w:rsid w:val="00F45CD4"/>
    <w:rsid w:val="00F46351"/>
    <w:rsid w:val="00F46657"/>
    <w:rsid w:val="00F502CE"/>
    <w:rsid w:val="00F508FF"/>
    <w:rsid w:val="00F50B74"/>
    <w:rsid w:val="00F50BE5"/>
    <w:rsid w:val="00F51738"/>
    <w:rsid w:val="00F51795"/>
    <w:rsid w:val="00F520FA"/>
    <w:rsid w:val="00F527BA"/>
    <w:rsid w:val="00F52955"/>
    <w:rsid w:val="00F54961"/>
    <w:rsid w:val="00F55C92"/>
    <w:rsid w:val="00F55EC8"/>
    <w:rsid w:val="00F57B79"/>
    <w:rsid w:val="00F57CA4"/>
    <w:rsid w:val="00F60B05"/>
    <w:rsid w:val="00F61021"/>
    <w:rsid w:val="00F61246"/>
    <w:rsid w:val="00F61305"/>
    <w:rsid w:val="00F650AD"/>
    <w:rsid w:val="00F6590C"/>
    <w:rsid w:val="00F66B00"/>
    <w:rsid w:val="00F66DE6"/>
    <w:rsid w:val="00F676FC"/>
    <w:rsid w:val="00F677FA"/>
    <w:rsid w:val="00F678E2"/>
    <w:rsid w:val="00F70233"/>
    <w:rsid w:val="00F7037C"/>
    <w:rsid w:val="00F70810"/>
    <w:rsid w:val="00F70B25"/>
    <w:rsid w:val="00F70DE7"/>
    <w:rsid w:val="00F71564"/>
    <w:rsid w:val="00F71B6B"/>
    <w:rsid w:val="00F726AF"/>
    <w:rsid w:val="00F72C36"/>
    <w:rsid w:val="00F7306C"/>
    <w:rsid w:val="00F73538"/>
    <w:rsid w:val="00F736A7"/>
    <w:rsid w:val="00F73D44"/>
    <w:rsid w:val="00F74647"/>
    <w:rsid w:val="00F74AA8"/>
    <w:rsid w:val="00F755BB"/>
    <w:rsid w:val="00F75790"/>
    <w:rsid w:val="00F757D3"/>
    <w:rsid w:val="00F75E10"/>
    <w:rsid w:val="00F76C6D"/>
    <w:rsid w:val="00F76D0E"/>
    <w:rsid w:val="00F77424"/>
    <w:rsid w:val="00F80B5E"/>
    <w:rsid w:val="00F819A4"/>
    <w:rsid w:val="00F81C04"/>
    <w:rsid w:val="00F82262"/>
    <w:rsid w:val="00F82373"/>
    <w:rsid w:val="00F82D8D"/>
    <w:rsid w:val="00F8392D"/>
    <w:rsid w:val="00F83EB4"/>
    <w:rsid w:val="00F84440"/>
    <w:rsid w:val="00F846DD"/>
    <w:rsid w:val="00F851C5"/>
    <w:rsid w:val="00F85C1D"/>
    <w:rsid w:val="00F86420"/>
    <w:rsid w:val="00F8648D"/>
    <w:rsid w:val="00F869EB"/>
    <w:rsid w:val="00F871DD"/>
    <w:rsid w:val="00F876E5"/>
    <w:rsid w:val="00F877ED"/>
    <w:rsid w:val="00F87C67"/>
    <w:rsid w:val="00F905D9"/>
    <w:rsid w:val="00F907B6"/>
    <w:rsid w:val="00F90A21"/>
    <w:rsid w:val="00F91053"/>
    <w:rsid w:val="00F91253"/>
    <w:rsid w:val="00F912B2"/>
    <w:rsid w:val="00F912C6"/>
    <w:rsid w:val="00F91F64"/>
    <w:rsid w:val="00F91F8E"/>
    <w:rsid w:val="00F920F5"/>
    <w:rsid w:val="00F9255E"/>
    <w:rsid w:val="00F9297C"/>
    <w:rsid w:val="00F92A98"/>
    <w:rsid w:val="00F92B35"/>
    <w:rsid w:val="00F9368C"/>
    <w:rsid w:val="00F9488B"/>
    <w:rsid w:val="00F94DC3"/>
    <w:rsid w:val="00F9582D"/>
    <w:rsid w:val="00F95BCF"/>
    <w:rsid w:val="00F968EE"/>
    <w:rsid w:val="00F97626"/>
    <w:rsid w:val="00F976F1"/>
    <w:rsid w:val="00F9799F"/>
    <w:rsid w:val="00F97A57"/>
    <w:rsid w:val="00FA0278"/>
    <w:rsid w:val="00FA0892"/>
    <w:rsid w:val="00FA1315"/>
    <w:rsid w:val="00FA18B2"/>
    <w:rsid w:val="00FA23D2"/>
    <w:rsid w:val="00FA3722"/>
    <w:rsid w:val="00FA3978"/>
    <w:rsid w:val="00FA40C1"/>
    <w:rsid w:val="00FA4B2E"/>
    <w:rsid w:val="00FA4F5C"/>
    <w:rsid w:val="00FA57D4"/>
    <w:rsid w:val="00FA6028"/>
    <w:rsid w:val="00FA7532"/>
    <w:rsid w:val="00FB120D"/>
    <w:rsid w:val="00FB1210"/>
    <w:rsid w:val="00FB12D5"/>
    <w:rsid w:val="00FB1749"/>
    <w:rsid w:val="00FB207F"/>
    <w:rsid w:val="00FB2861"/>
    <w:rsid w:val="00FB2C12"/>
    <w:rsid w:val="00FB2C26"/>
    <w:rsid w:val="00FB2FFD"/>
    <w:rsid w:val="00FB309E"/>
    <w:rsid w:val="00FB33FE"/>
    <w:rsid w:val="00FB40DF"/>
    <w:rsid w:val="00FB464C"/>
    <w:rsid w:val="00FB4CBC"/>
    <w:rsid w:val="00FB4E0A"/>
    <w:rsid w:val="00FB5432"/>
    <w:rsid w:val="00FB58F7"/>
    <w:rsid w:val="00FB5A72"/>
    <w:rsid w:val="00FB6AD8"/>
    <w:rsid w:val="00FB7E13"/>
    <w:rsid w:val="00FC0A57"/>
    <w:rsid w:val="00FC0D8F"/>
    <w:rsid w:val="00FC2C6F"/>
    <w:rsid w:val="00FC2D41"/>
    <w:rsid w:val="00FC34A6"/>
    <w:rsid w:val="00FC39BE"/>
    <w:rsid w:val="00FC5F48"/>
    <w:rsid w:val="00FC6526"/>
    <w:rsid w:val="00FC6AF6"/>
    <w:rsid w:val="00FC7139"/>
    <w:rsid w:val="00FC797C"/>
    <w:rsid w:val="00FC7AF7"/>
    <w:rsid w:val="00FD05DF"/>
    <w:rsid w:val="00FD06AC"/>
    <w:rsid w:val="00FD0A3D"/>
    <w:rsid w:val="00FD171B"/>
    <w:rsid w:val="00FD1790"/>
    <w:rsid w:val="00FD1BEE"/>
    <w:rsid w:val="00FD32C2"/>
    <w:rsid w:val="00FD3701"/>
    <w:rsid w:val="00FD4795"/>
    <w:rsid w:val="00FD4B3E"/>
    <w:rsid w:val="00FD4BB2"/>
    <w:rsid w:val="00FD4EDF"/>
    <w:rsid w:val="00FD4F4E"/>
    <w:rsid w:val="00FD5047"/>
    <w:rsid w:val="00FD5AB5"/>
    <w:rsid w:val="00FD5EC1"/>
    <w:rsid w:val="00FD64C1"/>
    <w:rsid w:val="00FD72F0"/>
    <w:rsid w:val="00FD7319"/>
    <w:rsid w:val="00FD7810"/>
    <w:rsid w:val="00FE0351"/>
    <w:rsid w:val="00FE0FFD"/>
    <w:rsid w:val="00FE132D"/>
    <w:rsid w:val="00FE37DB"/>
    <w:rsid w:val="00FE3800"/>
    <w:rsid w:val="00FE5B94"/>
    <w:rsid w:val="00FE5DBB"/>
    <w:rsid w:val="00FE6220"/>
    <w:rsid w:val="00FE6518"/>
    <w:rsid w:val="00FE65B8"/>
    <w:rsid w:val="00FE6B9F"/>
    <w:rsid w:val="00FE6D60"/>
    <w:rsid w:val="00FE7A30"/>
    <w:rsid w:val="00FE7DB5"/>
    <w:rsid w:val="00FF0A50"/>
    <w:rsid w:val="00FF0CD5"/>
    <w:rsid w:val="00FF12FA"/>
    <w:rsid w:val="00FF172E"/>
    <w:rsid w:val="00FF28F9"/>
    <w:rsid w:val="00FF2F3E"/>
    <w:rsid w:val="00FF3657"/>
    <w:rsid w:val="00FF41EC"/>
    <w:rsid w:val="00FF5121"/>
    <w:rsid w:val="00FF528D"/>
    <w:rsid w:val="00FF52DB"/>
    <w:rsid w:val="00FF6192"/>
    <w:rsid w:val="00FF7062"/>
    <w:rsid w:val="00FF72CC"/>
    <w:rsid w:val="019C6EAE"/>
    <w:rsid w:val="0A028291"/>
    <w:rsid w:val="0B5BDD9E"/>
    <w:rsid w:val="1C6A4D47"/>
    <w:rsid w:val="1C87F08C"/>
    <w:rsid w:val="2523D95B"/>
    <w:rsid w:val="3026E9F1"/>
    <w:rsid w:val="3E8EB8C2"/>
    <w:rsid w:val="4911C40B"/>
    <w:rsid w:val="53474986"/>
    <w:rsid w:val="53D48E50"/>
    <w:rsid w:val="5812FAB5"/>
    <w:rsid w:val="5A0429D3"/>
    <w:rsid w:val="6982D199"/>
    <w:rsid w:val="6A5253E8"/>
    <w:rsid w:val="6DA98C59"/>
    <w:rsid w:val="6DD053CE"/>
    <w:rsid w:val="6E13C5BB"/>
    <w:rsid w:val="73CFE543"/>
    <w:rsid w:val="7809E19F"/>
    <w:rsid w:val="7B4BA4D4"/>
    <w:rsid w:val="7D6D46B4"/>
    <w:rsid w:val="7FDBDE5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F2D01"/>
  <w15:docId w15:val="{A3E1233A-7E4E-4CAD-ACDA-51991531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numPr>
        <w:numId w:val="2"/>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pPr>
      <w:numPr>
        <w:ilvl w:val="1"/>
        <w:numId w:val="2"/>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pPr>
      <w:keepNext/>
      <w:keepLines/>
      <w:numPr>
        <w:ilvl w:val="2"/>
        <w:numId w:val="2"/>
      </w:numPr>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pPr>
      <w:keepNext/>
      <w:keepLines/>
      <w:numPr>
        <w:ilvl w:val="3"/>
        <w:numId w:val="2"/>
      </w:numPr>
      <w:spacing w:before="200" w:after="0"/>
      <w:outlineLvl w:val="3"/>
    </w:pPr>
    <w:rPr>
      <w:rFonts w:asciiTheme="majorHAnsi" w:eastAsiaTheme="majorEastAsia" w:hAnsiTheme="majorHAnsi" w:cstheme="majorBidi"/>
      <w:bCs/>
      <w:iCs/>
      <w:u w:val="single"/>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Pr>
      <w:rFonts w:asciiTheme="majorHAnsi" w:hAnsiTheme="majorHAnsi"/>
      <w:b/>
      <w:smallCaps/>
      <w:sz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uiPriority w:val="9"/>
    <w:rPr>
      <w:rFonts w:asciiTheme="majorHAnsi" w:eastAsiaTheme="majorEastAsia" w:hAnsiTheme="majorHAnsi" w:cstheme="majorBidi"/>
      <w:bCs/>
      <w:iCs/>
      <w:u w:val="single"/>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rPr>
      <w:rFonts w:ascii="Cambria" w:hAnsi="Cambria"/>
    </w:rPr>
  </w:style>
  <w:style w:type="character" w:styleId="CommentReference">
    <w:name w:val="annotation reference"/>
    <w:basedOn w:val="DefaultParagraphFont"/>
    <w:unhideWhenUsed/>
    <w:qFormat/>
    <w:rPr>
      <w:sz w:val="16"/>
      <w:szCs w:val="16"/>
    </w:rPr>
  </w:style>
  <w:style w:type="paragraph" w:styleId="CommentText">
    <w:name w:val="annotation text"/>
    <w:aliases w:val="Annotationtext, Char,Char,Car17 Car Car,Car17,Car17 Car,Char13,Char13 Car Car,Char13 Car,Char Char Char,Comment Text Char Char Char,Comment Text Char1,- H19,Char1"/>
    <w:basedOn w:val="Normal"/>
    <w:link w:val="CommentTextChar"/>
    <w:unhideWhenUsed/>
    <w:qFormat/>
    <w:pPr>
      <w:spacing w:line="240" w:lineRule="auto"/>
    </w:pPr>
    <w:rPr>
      <w:rFonts w:ascii="Cambria" w:hAnsi="Cambria"/>
      <w:sz w:val="20"/>
      <w:szCs w:val="20"/>
    </w:rPr>
  </w:style>
  <w:style w:type="character" w:customStyle="1" w:styleId="CommentTextChar">
    <w:name w:val="Comment Text Char"/>
    <w:aliases w:val="Annotationtext Char, Char Char,Char Char,Car17 Car Car Char,Car17 Char,Car17 Car Char,Char13 Char,Char13 Car Car Char,Char13 Car Char,Char Char Char Char,Comment Text Char Char Char Char,Comment Text Char1 Char,- H19 Char,Char1 Char"/>
    <w:basedOn w:val="DefaultParagraphFont"/>
    <w:link w:val="CommentText"/>
    <w:rPr>
      <w:rFonts w:ascii="Cambria" w:hAnsi="Cambria"/>
      <w:sz w:val="20"/>
      <w:szCs w:val="20"/>
    </w:rPr>
  </w:style>
  <w:style w:type="paragraph" w:styleId="FootnoteText">
    <w:name w:val="footnote text"/>
    <w:basedOn w:val="Normal"/>
    <w:link w:val="FootnoteTextChar"/>
    <w:uiPriority w:val="99"/>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Pr>
      <w:rFonts w:ascii="Calibri" w:eastAsia="Calibri" w:hAnsi="Calibri" w:cs="Times New Roman"/>
      <w:sz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ind w:left="425" w:hanging="425"/>
      <w:contextualSpacing/>
    </w:pPr>
    <w:rPr>
      <w:rFonts w:ascii="Cambria" w:hAnsi="Cambria"/>
    </w:rPr>
  </w:style>
  <w:style w:type="character" w:styleId="Hyperlink">
    <w:name w:val="Hyperlink"/>
    <w:basedOn w:val="DefaultParagraphFont"/>
    <w:uiPriority w:val="99"/>
    <w:unhideWhenUsed/>
    <w:rPr>
      <w:color w:val="0000FF" w:themeColor="hyperlink"/>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Pr>
      <w:rFonts w:ascii="Cambria" w:hAnsi="Cambr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odyText">
    <w:name w:val="C-Body Text"/>
    <w:link w:val="C-BodyTextChar"/>
    <w:pPr>
      <w:spacing w:before="120" w:after="120" w:line="280" w:lineRule="atLeast"/>
    </w:pPr>
    <w:rPr>
      <w:rFonts w:ascii="Times New Roman" w:eastAsia="Times New Roman" w:hAnsi="Times New Roman" w:cs="Times New Roman"/>
      <w:sz w:val="24"/>
      <w:szCs w:val="20"/>
      <w:lang w:val="en-US"/>
    </w:rPr>
  </w:style>
  <w:style w:type="character" w:customStyle="1" w:styleId="C-BodyTextChar">
    <w:name w:val="C-Body Text Char"/>
    <w:basedOn w:val="DefaultParagraphFont"/>
    <w:link w:val="C-BodyText"/>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semiHidden/>
    <w:unhideWhenUsed/>
    <w:rPr>
      <w:rFonts w:asciiTheme="minorHAnsi" w:hAnsiTheme="minorHAnsi"/>
      <w:b/>
      <w:bCs/>
    </w:rPr>
  </w:style>
  <w:style w:type="character" w:customStyle="1" w:styleId="CommentSubjectChar">
    <w:name w:val="Comment Subject Char"/>
    <w:basedOn w:val="CommentTextChar"/>
    <w:link w:val="CommentSubject"/>
    <w:uiPriority w:val="99"/>
    <w:semiHidden/>
    <w:rPr>
      <w:rFonts w:ascii="Cambria" w:hAnsi="Cambria"/>
      <w:b/>
      <w:bCs/>
      <w:sz w:val="20"/>
      <w:szCs w:val="20"/>
    </w:rPr>
  </w:style>
  <w:style w:type="character" w:customStyle="1" w:styleId="normaltextrun">
    <w:name w:val="normaltextrun"/>
    <w:basedOn w:val="DefaultParagraphFont"/>
  </w:style>
  <w:style w:type="paragraph" w:customStyle="1" w:styleId="SageBodyText">
    <w:name w:val="Sage Body Text"/>
    <w:link w:val="SageBodyTextChar"/>
    <w:uiPriority w:val="99"/>
    <w:pPr>
      <w:spacing w:after="240" w:line="360" w:lineRule="auto"/>
    </w:pPr>
    <w:rPr>
      <w:rFonts w:ascii="Times New Roman" w:eastAsia="Arial Unicode MS" w:hAnsi="Times New Roman" w:cs="Times New Roman"/>
      <w:szCs w:val="24"/>
      <w:lang w:val="en-US" w:eastAsia="zh-TW"/>
    </w:rPr>
  </w:style>
  <w:style w:type="character" w:customStyle="1" w:styleId="SageBodyTextChar">
    <w:name w:val="Sage Body Text Char"/>
    <w:basedOn w:val="DefaultParagraphFont"/>
    <w:link w:val="SageBodyText"/>
    <w:uiPriority w:val="99"/>
    <w:rPr>
      <w:rFonts w:ascii="Times New Roman" w:eastAsia="Arial Unicode MS" w:hAnsi="Times New Roman" w:cs="Times New Roman"/>
      <w:szCs w:val="24"/>
      <w:lang w:val="en-US" w:eastAsia="zh-TW"/>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C-TableHeader">
    <w:name w:val="C-Table Header"/>
    <w:next w:val="Normal"/>
    <w:pPr>
      <w:keepNext/>
      <w:spacing w:before="60" w:after="60" w:line="240" w:lineRule="auto"/>
    </w:pPr>
    <w:rPr>
      <w:rFonts w:ascii="Times New Roman" w:eastAsia="Times New Roman" w:hAnsi="Times New Roman" w:cs="Times New Roman"/>
      <w:b/>
      <w:szCs w:val="20"/>
      <w:lang w:val="en-US"/>
    </w:rPr>
  </w:style>
  <w:style w:type="paragraph" w:customStyle="1" w:styleId="C-TableText">
    <w:name w:val="C-Table Text"/>
    <w:pPr>
      <w:spacing w:before="60" w:after="60" w:line="240" w:lineRule="auto"/>
    </w:pPr>
    <w:rPr>
      <w:rFonts w:ascii="Times New Roman" w:eastAsia="Times New Roman" w:hAnsi="Times New Roman" w:cs="Times New Roman"/>
      <w:szCs w:val="20"/>
      <w:lang w:val="en-US"/>
    </w:r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Pr>
      <w:color w:val="605E5C"/>
      <w:shd w:val="clear" w:color="auto" w:fill="E1DFDD"/>
    </w:rPr>
  </w:style>
  <w:style w:type="paragraph" w:customStyle="1" w:styleId="pf0">
    <w:name w:val="pf0"/>
    <w:basedOn w:val="Normal"/>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Pr>
      <w:rFonts w:ascii="Segoe UI" w:hAnsi="Segoe UI" w:cs="Segoe UI" w:hint="default"/>
      <w:sz w:val="18"/>
      <w:szCs w:val="18"/>
    </w:rPr>
  </w:style>
  <w:style w:type="paragraph" w:styleId="Caption">
    <w:name w:val="caption"/>
    <w:basedOn w:val="Normal"/>
    <w:next w:val="Normal"/>
    <w:unhideWhenUsed/>
    <w:qFormat/>
    <w:pPr>
      <w:tabs>
        <w:tab w:val="left" w:pos="567"/>
      </w:tabs>
      <w:spacing w:line="240" w:lineRule="auto"/>
    </w:pPr>
    <w:rPr>
      <w:rFonts w:ascii="Times New Roman" w:eastAsia="Times New Roman" w:hAnsi="Times New Roman" w:cs="Times New Roman"/>
      <w:i/>
      <w:iCs/>
      <w:color w:val="1F497D" w:themeColor="text2"/>
      <w:sz w:val="18"/>
      <w:szCs w:val="18"/>
      <w:lang w:val="en-GB"/>
    </w:rPr>
  </w:style>
  <w:style w:type="character" w:styleId="Mention">
    <w:name w:val="Mention"/>
    <w:basedOn w:val="DefaultParagraphFont"/>
    <w:unhideWhenUsed/>
    <w:rPr>
      <w:color w:val="2B579A"/>
      <w:shd w:val="clear" w:color="auto" w:fill="E1DFDD"/>
    </w:rPr>
  </w:style>
  <w:style w:type="paragraph" w:customStyle="1" w:styleId="AufzhlungKstchen">
    <w:name w:val="Aufzählung Kästchen"/>
    <w:basedOn w:val="ListParagraph"/>
    <w:qFormat/>
    <w:pPr>
      <w:numPr>
        <w:numId w:val="15"/>
      </w:numPr>
      <w:spacing w:after="0" w:line="360" w:lineRule="auto"/>
    </w:pPr>
    <w:rPr>
      <w:rFonts w:ascii="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7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Lo\Box\RA_QA\Vadadustat\CCDS-SmPC-PI\Vadadustat-PI-CCDSv1-10aug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5A4E1B08B8D7D4FB5A47EB4E1879719" ma:contentTypeVersion="8" ma:contentTypeDescription="Create a new document." ma:contentTypeScope="" ma:versionID="45e6c608ac9221e29e461737d4795b48">
  <xsd:schema xmlns:xsd="http://www.w3.org/2001/XMLSchema" xmlns:xs="http://www.w3.org/2001/XMLSchema" xmlns:p="http://schemas.microsoft.com/office/2006/metadata/properties" xmlns:ns2="e616636a-41ca-4b00-8a2e-1ba60d727da6" xmlns:ns3="d17e96b2-d6d2-4731-a73f-912eb702bd42" targetNamespace="http://schemas.microsoft.com/office/2006/metadata/properties" ma:root="true" ma:fieldsID="a2833b0190de5b70f00f8927e7ce388b" ns2:_="" ns3:_="">
    <xsd:import namespace="e616636a-41ca-4b00-8a2e-1ba60d727da6"/>
    <xsd:import namespace="d17e96b2-d6d2-4731-a73f-912eb702bd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6636a-41ca-4b00-8a2e-1ba60d727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e96b2-d6d2-4731-a73f-912eb702bd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FC951-0680-49EB-AFE4-36B93608F3F5}">
  <ds:schemaRefs>
    <ds:schemaRef ds:uri="http://schemas.microsoft.com/sharepoint/v3/contenttype/forms"/>
  </ds:schemaRefs>
</ds:datastoreItem>
</file>

<file path=customXml/itemProps2.xml><?xml version="1.0" encoding="utf-8"?>
<ds:datastoreItem xmlns:ds="http://schemas.openxmlformats.org/officeDocument/2006/customXml" ds:itemID="{4CEA401A-775C-4FD9-B557-486A70A27B59}">
  <ds:schemaRefs>
    <ds:schemaRef ds:uri="http://schemas.openxmlformats.org/officeDocument/2006/bibliography"/>
  </ds:schemaRefs>
</ds:datastoreItem>
</file>

<file path=customXml/itemProps3.xml><?xml version="1.0" encoding="utf-8"?>
<ds:datastoreItem xmlns:ds="http://schemas.openxmlformats.org/officeDocument/2006/customXml" ds:itemID="{00B5B46B-C418-495F-B7C3-600FDF597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6636a-41ca-4b00-8a2e-1ba60d727da6"/>
    <ds:schemaRef ds:uri="d17e96b2-d6d2-4731-a73f-912eb702b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558A0-1B0F-4D4B-81DD-162C4905E8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Vadadustat-PI-CCDSv1-10aug21.dotx</Template>
  <TotalTime>5</TotalTime>
  <Pages>21</Pages>
  <Words>5560</Words>
  <Characters>31694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37180</CharactersWithSpaces>
  <SharedDoc>false</SharedDoc>
  <HLinks>
    <vt:vector size="12" baseType="variant">
      <vt:variant>
        <vt:i4>5898317</vt:i4>
      </vt:variant>
      <vt:variant>
        <vt:i4>3</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Vafseo</dc:title>
  <dc:subject>Prescription medicines</dc:subject>
  <dc:creator>Adjutor Healthcare Pty Ltd</dc:creator>
  <cp:keywords/>
  <cp:lastPrinted>2017-11-15T00:43:00Z</cp:lastPrinted>
  <dcterms:created xsi:type="dcterms:W3CDTF">2024-12-17T22:53:00Z</dcterms:created>
  <dcterms:modified xsi:type="dcterms:W3CDTF">2024-12-17T22:58:00Z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0x01010045A4E1B08B8D7D4FB5A47EB4E1879719</vt:lpwstr>
  </property>
  <property fmtid="{D5CDD505-2E9C-101B-9397-08002B2CF9AE}" pid="3" name="MediaServiceImageTags">
    <vt:lpwstr/>
  </property>
  <property fmtid="{D5CDD505-2E9C-101B-9397-08002B2CF9AE}" pid="4" name="Order">
    <vt:r8>2373300</vt:r8>
  </property>
</Properties>
</file>