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10D25F79" w:rsidR="00BE229E" w:rsidRPr="00593BA7" w:rsidRDefault="00BE229E" w:rsidP="00593BA7">
            <w:pPr>
              <w:pStyle w:val="Title"/>
            </w:pPr>
            <w:r w:rsidRPr="00593BA7">
              <w:t xml:space="preserve">Australian Public Assessment Report for </w:t>
            </w:r>
            <w:proofErr w:type="spellStart"/>
            <w:r w:rsidR="005E6484" w:rsidRPr="00593BA7">
              <w:t>Brukinsa</w:t>
            </w:r>
            <w:proofErr w:type="spellEnd"/>
          </w:p>
        </w:tc>
      </w:tr>
      <w:tr w:rsidR="00BE229E" w:rsidRPr="00BE229E" w14:paraId="659E4907" w14:textId="77777777" w:rsidTr="00F7414D">
        <w:trPr>
          <w:trHeight w:val="995"/>
        </w:trPr>
        <w:tc>
          <w:tcPr>
            <w:tcW w:w="8720" w:type="dxa"/>
          </w:tcPr>
          <w:p w14:paraId="0A512252" w14:textId="435B7342" w:rsidR="00BE229E" w:rsidRPr="00BE229E" w:rsidRDefault="00BE229E" w:rsidP="00593BA7">
            <w:pPr>
              <w:pStyle w:val="Subtitle"/>
              <w:rPr>
                <w:lang w:eastAsia="en-US"/>
              </w:rPr>
            </w:pPr>
            <w:r w:rsidRPr="00BE229E">
              <w:rPr>
                <w:lang w:eastAsia="en-US"/>
              </w:rPr>
              <w:t xml:space="preserve">Active ingredient: </w:t>
            </w:r>
            <w:r w:rsidR="00593BA7">
              <w:rPr>
                <w:lang w:eastAsia="en-US"/>
              </w:rPr>
              <w:t>Z</w:t>
            </w:r>
            <w:r w:rsidR="008300F4" w:rsidRPr="008300F4">
              <w:rPr>
                <w:lang w:eastAsia="en-US"/>
              </w:rPr>
              <w:t>anubrutinib</w:t>
            </w:r>
          </w:p>
        </w:tc>
      </w:tr>
      <w:tr w:rsidR="00BE229E" w:rsidRPr="00BE229E" w14:paraId="1D0DAE0A" w14:textId="77777777" w:rsidTr="00F7414D">
        <w:trPr>
          <w:trHeight w:val="1916"/>
        </w:trPr>
        <w:tc>
          <w:tcPr>
            <w:tcW w:w="8720" w:type="dxa"/>
          </w:tcPr>
          <w:p w14:paraId="046475F3" w14:textId="26617169" w:rsidR="00BE229E" w:rsidRPr="00BE229E" w:rsidRDefault="008A5005" w:rsidP="00593BA7">
            <w:pPr>
              <w:pStyle w:val="Subtitle"/>
              <w:rPr>
                <w:lang w:eastAsia="en-US"/>
              </w:rPr>
            </w:pPr>
            <w:r>
              <w:rPr>
                <w:lang w:eastAsia="en-US"/>
              </w:rPr>
              <w:t>Sponsor</w:t>
            </w:r>
            <w:r w:rsidR="00BE229E" w:rsidRPr="00BE229E">
              <w:rPr>
                <w:lang w:eastAsia="en-US"/>
              </w:rPr>
              <w:t xml:space="preserve">: </w:t>
            </w:r>
            <w:proofErr w:type="spellStart"/>
            <w:r w:rsidR="008300F4" w:rsidRPr="008300F4">
              <w:rPr>
                <w:lang w:eastAsia="en-US"/>
              </w:rPr>
              <w:t>BeiGene</w:t>
            </w:r>
            <w:proofErr w:type="spellEnd"/>
            <w:r w:rsidR="008300F4" w:rsidRPr="008300F4">
              <w:rPr>
                <w:lang w:eastAsia="en-US"/>
              </w:rPr>
              <w:t xml:space="preserve"> AUS Pty Ltd</w:t>
            </w:r>
          </w:p>
        </w:tc>
      </w:tr>
      <w:tr w:rsidR="00BE229E" w:rsidRPr="00BE229E" w14:paraId="4AD6111B" w14:textId="77777777" w:rsidTr="00F7414D">
        <w:tc>
          <w:tcPr>
            <w:tcW w:w="8720" w:type="dxa"/>
          </w:tcPr>
          <w:p w14:paraId="30DA8967" w14:textId="25213A59" w:rsidR="00BE229E" w:rsidRPr="00BE229E" w:rsidRDefault="00E3284A" w:rsidP="00593BA7">
            <w:pPr>
              <w:pStyle w:val="Date"/>
              <w:rPr>
                <w:lang w:eastAsia="en-US"/>
              </w:rPr>
            </w:pPr>
            <w:r>
              <w:rPr>
                <w:lang w:eastAsia="en-US"/>
              </w:rPr>
              <w:t>November</w:t>
            </w:r>
            <w:r w:rsidR="00BE229E" w:rsidRPr="00BE229E">
              <w:rPr>
                <w:lang w:eastAsia="en-US"/>
              </w:rPr>
              <w:t xml:space="preserve"> 2024</w:t>
            </w:r>
          </w:p>
        </w:tc>
      </w:tr>
    </w:tbl>
    <w:p w14:paraId="73752706" w14:textId="77777777" w:rsidR="00D67706" w:rsidRPr="00D67706" w:rsidRDefault="00D67706" w:rsidP="00D67706">
      <w:pPr>
        <w:sectPr w:rsidR="00D67706" w:rsidRPr="00D67706"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6B277584" w14:textId="77777777" w:rsidR="00593BA7" w:rsidRPr="001F6CBA" w:rsidRDefault="00593BA7" w:rsidP="00593BA7">
      <w:pPr>
        <w:pStyle w:val="NonTOCHeading20"/>
      </w:pPr>
      <w:r w:rsidRPr="001F6CBA">
        <w:lastRenderedPageBreak/>
        <w:t>About the Therapeutic Goods Administration (TGA)</w:t>
      </w:r>
    </w:p>
    <w:p w14:paraId="63D42676" w14:textId="77777777" w:rsidR="00593BA7" w:rsidRPr="00391B0C" w:rsidRDefault="00593BA7" w:rsidP="00593BA7">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5CD47114" w14:textId="77777777" w:rsidR="00593BA7" w:rsidRPr="00391B0C" w:rsidRDefault="00593BA7" w:rsidP="00593BA7">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5D0301E7" w14:textId="77777777" w:rsidR="00593BA7" w:rsidRPr="003C6D1F" w:rsidRDefault="00593BA7" w:rsidP="00593BA7">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76CDB80" w14:textId="77777777" w:rsidR="00593BA7" w:rsidRPr="003C6D1F" w:rsidRDefault="00593BA7" w:rsidP="00593BA7">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062D9C83" w14:textId="77777777" w:rsidR="00593BA7" w:rsidRDefault="00593BA7" w:rsidP="00593BA7">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1EDA0D5B" w14:textId="77777777" w:rsidR="00593BA7" w:rsidRDefault="00593BA7" w:rsidP="00593BA7">
      <w:pPr>
        <w:pStyle w:val="NonTOCHeading20"/>
      </w:pPr>
      <w:r>
        <w:t>About AusPARs</w:t>
      </w:r>
    </w:p>
    <w:p w14:paraId="2E3F25A4" w14:textId="77777777" w:rsidR="00593BA7" w:rsidRPr="003C6D1F" w:rsidRDefault="00593BA7" w:rsidP="00593BA7">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4793C64A" w14:textId="77777777" w:rsidR="00593BA7" w:rsidRPr="003C6D1F" w:rsidRDefault="00593BA7" w:rsidP="00593BA7">
      <w:pPr>
        <w:pStyle w:val="ListBullet"/>
      </w:pPr>
      <w:r w:rsidRPr="003C6D1F">
        <w:t>AusPARs are prepared and published by the TGA.</w:t>
      </w:r>
    </w:p>
    <w:p w14:paraId="0B2AEA30" w14:textId="77777777" w:rsidR="00593BA7" w:rsidRPr="003C6D1F" w:rsidRDefault="00593BA7" w:rsidP="00593BA7">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0866FD19" w14:textId="77777777" w:rsidR="00593BA7" w:rsidRPr="003C6D1F" w:rsidRDefault="00593BA7" w:rsidP="00593BA7">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2084A65" w14:textId="77777777" w:rsidR="00593BA7" w:rsidRPr="00E1198B" w:rsidRDefault="00593BA7" w:rsidP="00593BA7">
      <w:pPr>
        <w:pStyle w:val="LegalSubheading"/>
        <w:spacing w:before="3120"/>
      </w:pPr>
      <w:r w:rsidRPr="00BA0DFC">
        <w:t>Copyright</w:t>
      </w:r>
    </w:p>
    <w:p w14:paraId="431B0C3D" w14:textId="77777777" w:rsidR="00593BA7" w:rsidRPr="00346EC2" w:rsidRDefault="00593BA7" w:rsidP="00593BA7">
      <w:pPr>
        <w:pStyle w:val="LegalCopy"/>
        <w:rPr>
          <w:rFonts w:cs="Arial"/>
        </w:rPr>
      </w:pPr>
      <w:r w:rsidRPr="00215D48">
        <w:rPr>
          <w:rFonts w:cs="Arial"/>
        </w:rPr>
        <w:t>© Commonwealth of Australia 20</w:t>
      </w:r>
      <w:r>
        <w:rPr>
          <w:rFonts w:cs="Arial"/>
        </w:rPr>
        <w:t>24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E416AF1" w14:textId="3E7450AC" w:rsidR="007E73C5"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4291842" w:history="1">
            <w:r w:rsidR="007E73C5" w:rsidRPr="00DB36F2">
              <w:rPr>
                <w:rStyle w:val="Hyperlink"/>
                <w:noProof/>
              </w:rPr>
              <w:t>List of abbreviations</w:t>
            </w:r>
            <w:r w:rsidR="007E73C5">
              <w:rPr>
                <w:noProof/>
                <w:webHidden/>
              </w:rPr>
              <w:tab/>
            </w:r>
            <w:r w:rsidR="007E73C5">
              <w:rPr>
                <w:noProof/>
                <w:webHidden/>
              </w:rPr>
              <w:fldChar w:fldCharType="begin"/>
            </w:r>
            <w:r w:rsidR="007E73C5">
              <w:rPr>
                <w:noProof/>
                <w:webHidden/>
              </w:rPr>
              <w:instrText xml:space="preserve"> PAGEREF _Toc184291842 \h </w:instrText>
            </w:r>
            <w:r w:rsidR="007E73C5">
              <w:rPr>
                <w:noProof/>
                <w:webHidden/>
              </w:rPr>
            </w:r>
            <w:r w:rsidR="007E73C5">
              <w:rPr>
                <w:noProof/>
                <w:webHidden/>
              </w:rPr>
              <w:fldChar w:fldCharType="separate"/>
            </w:r>
            <w:r w:rsidR="007E73C5">
              <w:rPr>
                <w:noProof/>
                <w:webHidden/>
              </w:rPr>
              <w:t>4</w:t>
            </w:r>
            <w:r w:rsidR="007E73C5">
              <w:rPr>
                <w:noProof/>
                <w:webHidden/>
              </w:rPr>
              <w:fldChar w:fldCharType="end"/>
            </w:r>
          </w:hyperlink>
        </w:p>
        <w:p w14:paraId="1EB07665" w14:textId="20590508" w:rsidR="007E73C5" w:rsidRDefault="007E73C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91843" w:history="1">
            <w:r w:rsidRPr="00DB36F2">
              <w:rPr>
                <w:rStyle w:val="Hyperlink"/>
                <w:noProof/>
              </w:rPr>
              <w:t>Brukinsa (zanubrutinib) submission</w:t>
            </w:r>
            <w:r>
              <w:rPr>
                <w:noProof/>
                <w:webHidden/>
              </w:rPr>
              <w:tab/>
            </w:r>
            <w:r>
              <w:rPr>
                <w:noProof/>
                <w:webHidden/>
              </w:rPr>
              <w:fldChar w:fldCharType="begin"/>
            </w:r>
            <w:r>
              <w:rPr>
                <w:noProof/>
                <w:webHidden/>
              </w:rPr>
              <w:instrText xml:space="preserve"> PAGEREF _Toc184291843 \h </w:instrText>
            </w:r>
            <w:r>
              <w:rPr>
                <w:noProof/>
                <w:webHidden/>
              </w:rPr>
            </w:r>
            <w:r>
              <w:rPr>
                <w:noProof/>
                <w:webHidden/>
              </w:rPr>
              <w:fldChar w:fldCharType="separate"/>
            </w:r>
            <w:r>
              <w:rPr>
                <w:noProof/>
                <w:webHidden/>
              </w:rPr>
              <w:t>6</w:t>
            </w:r>
            <w:r>
              <w:rPr>
                <w:noProof/>
                <w:webHidden/>
              </w:rPr>
              <w:fldChar w:fldCharType="end"/>
            </w:r>
          </w:hyperlink>
        </w:p>
        <w:p w14:paraId="72BAC82C" w14:textId="219985B3"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4" w:history="1">
            <w:r w:rsidRPr="00DB36F2">
              <w:rPr>
                <w:rStyle w:val="Hyperlink"/>
                <w:noProof/>
              </w:rPr>
              <w:t>Brukinsa (zanubrutinib)</w:t>
            </w:r>
            <w:r>
              <w:rPr>
                <w:noProof/>
                <w:webHidden/>
              </w:rPr>
              <w:tab/>
            </w:r>
            <w:r>
              <w:rPr>
                <w:noProof/>
                <w:webHidden/>
              </w:rPr>
              <w:fldChar w:fldCharType="begin"/>
            </w:r>
            <w:r>
              <w:rPr>
                <w:noProof/>
                <w:webHidden/>
              </w:rPr>
              <w:instrText xml:space="preserve"> PAGEREF _Toc184291844 \h </w:instrText>
            </w:r>
            <w:r>
              <w:rPr>
                <w:noProof/>
                <w:webHidden/>
              </w:rPr>
            </w:r>
            <w:r>
              <w:rPr>
                <w:noProof/>
                <w:webHidden/>
              </w:rPr>
              <w:fldChar w:fldCharType="separate"/>
            </w:r>
            <w:r>
              <w:rPr>
                <w:noProof/>
                <w:webHidden/>
              </w:rPr>
              <w:t>7</w:t>
            </w:r>
            <w:r>
              <w:rPr>
                <w:noProof/>
                <w:webHidden/>
              </w:rPr>
              <w:fldChar w:fldCharType="end"/>
            </w:r>
          </w:hyperlink>
        </w:p>
        <w:p w14:paraId="029E24C4" w14:textId="1CB70F82"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5" w:history="1">
            <w:r w:rsidRPr="00DB36F2">
              <w:rPr>
                <w:rStyle w:val="Hyperlink"/>
                <w:noProof/>
              </w:rPr>
              <w:t>Chronic lymphocytic leukemia (CLL) &amp; small lymphocytic lymphoma (SLL)</w:t>
            </w:r>
            <w:r>
              <w:rPr>
                <w:noProof/>
                <w:webHidden/>
              </w:rPr>
              <w:tab/>
            </w:r>
            <w:r>
              <w:rPr>
                <w:noProof/>
                <w:webHidden/>
              </w:rPr>
              <w:fldChar w:fldCharType="begin"/>
            </w:r>
            <w:r>
              <w:rPr>
                <w:noProof/>
                <w:webHidden/>
              </w:rPr>
              <w:instrText xml:space="preserve"> PAGEREF _Toc184291845 \h </w:instrText>
            </w:r>
            <w:r>
              <w:rPr>
                <w:noProof/>
                <w:webHidden/>
              </w:rPr>
            </w:r>
            <w:r>
              <w:rPr>
                <w:noProof/>
                <w:webHidden/>
              </w:rPr>
              <w:fldChar w:fldCharType="separate"/>
            </w:r>
            <w:r>
              <w:rPr>
                <w:noProof/>
                <w:webHidden/>
              </w:rPr>
              <w:t>7</w:t>
            </w:r>
            <w:r>
              <w:rPr>
                <w:noProof/>
                <w:webHidden/>
              </w:rPr>
              <w:fldChar w:fldCharType="end"/>
            </w:r>
          </w:hyperlink>
        </w:p>
        <w:p w14:paraId="07F53285" w14:textId="2B3880CC"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6" w:history="1">
            <w:r w:rsidRPr="00DB36F2">
              <w:rPr>
                <w:rStyle w:val="Hyperlink"/>
                <w:noProof/>
              </w:rPr>
              <w:t>Current treatment options for CLL and SLL</w:t>
            </w:r>
            <w:r>
              <w:rPr>
                <w:noProof/>
                <w:webHidden/>
              </w:rPr>
              <w:tab/>
            </w:r>
            <w:r>
              <w:rPr>
                <w:noProof/>
                <w:webHidden/>
              </w:rPr>
              <w:fldChar w:fldCharType="begin"/>
            </w:r>
            <w:r>
              <w:rPr>
                <w:noProof/>
                <w:webHidden/>
              </w:rPr>
              <w:instrText xml:space="preserve"> PAGEREF _Toc184291846 \h </w:instrText>
            </w:r>
            <w:r>
              <w:rPr>
                <w:noProof/>
                <w:webHidden/>
              </w:rPr>
            </w:r>
            <w:r>
              <w:rPr>
                <w:noProof/>
                <w:webHidden/>
              </w:rPr>
              <w:fldChar w:fldCharType="separate"/>
            </w:r>
            <w:r>
              <w:rPr>
                <w:noProof/>
                <w:webHidden/>
              </w:rPr>
              <w:t>8</w:t>
            </w:r>
            <w:r>
              <w:rPr>
                <w:noProof/>
                <w:webHidden/>
              </w:rPr>
              <w:fldChar w:fldCharType="end"/>
            </w:r>
          </w:hyperlink>
        </w:p>
        <w:p w14:paraId="649FDE73" w14:textId="1CA59897"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7" w:history="1">
            <w:r w:rsidRPr="00DB36F2">
              <w:rPr>
                <w:rStyle w:val="Hyperlink"/>
                <w:noProof/>
              </w:rPr>
              <w:t>Clinical rationale for Brukinsa use in CLL/SLL</w:t>
            </w:r>
            <w:r>
              <w:rPr>
                <w:noProof/>
                <w:webHidden/>
              </w:rPr>
              <w:tab/>
            </w:r>
            <w:r>
              <w:rPr>
                <w:noProof/>
                <w:webHidden/>
              </w:rPr>
              <w:fldChar w:fldCharType="begin"/>
            </w:r>
            <w:r>
              <w:rPr>
                <w:noProof/>
                <w:webHidden/>
              </w:rPr>
              <w:instrText xml:space="preserve"> PAGEREF _Toc184291847 \h </w:instrText>
            </w:r>
            <w:r>
              <w:rPr>
                <w:noProof/>
                <w:webHidden/>
              </w:rPr>
            </w:r>
            <w:r>
              <w:rPr>
                <w:noProof/>
                <w:webHidden/>
              </w:rPr>
              <w:fldChar w:fldCharType="separate"/>
            </w:r>
            <w:r>
              <w:rPr>
                <w:noProof/>
                <w:webHidden/>
              </w:rPr>
              <w:t>11</w:t>
            </w:r>
            <w:r>
              <w:rPr>
                <w:noProof/>
                <w:webHidden/>
              </w:rPr>
              <w:fldChar w:fldCharType="end"/>
            </w:r>
          </w:hyperlink>
        </w:p>
        <w:p w14:paraId="6425D335" w14:textId="608A162E"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8" w:history="1">
            <w:r w:rsidRPr="00DB36F2">
              <w:rPr>
                <w:rStyle w:val="Hyperlink"/>
                <w:noProof/>
              </w:rPr>
              <w:t>Regulatory status</w:t>
            </w:r>
            <w:r>
              <w:rPr>
                <w:noProof/>
                <w:webHidden/>
              </w:rPr>
              <w:tab/>
            </w:r>
            <w:r>
              <w:rPr>
                <w:noProof/>
                <w:webHidden/>
              </w:rPr>
              <w:fldChar w:fldCharType="begin"/>
            </w:r>
            <w:r>
              <w:rPr>
                <w:noProof/>
                <w:webHidden/>
              </w:rPr>
              <w:instrText xml:space="preserve"> PAGEREF _Toc184291848 \h </w:instrText>
            </w:r>
            <w:r>
              <w:rPr>
                <w:noProof/>
                <w:webHidden/>
              </w:rPr>
            </w:r>
            <w:r>
              <w:rPr>
                <w:noProof/>
                <w:webHidden/>
              </w:rPr>
              <w:fldChar w:fldCharType="separate"/>
            </w:r>
            <w:r>
              <w:rPr>
                <w:noProof/>
                <w:webHidden/>
              </w:rPr>
              <w:t>11</w:t>
            </w:r>
            <w:r>
              <w:rPr>
                <w:noProof/>
                <w:webHidden/>
              </w:rPr>
              <w:fldChar w:fldCharType="end"/>
            </w:r>
          </w:hyperlink>
        </w:p>
        <w:p w14:paraId="1A248953" w14:textId="7A2BCB58"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49" w:history="1">
            <w:r w:rsidRPr="00DB36F2">
              <w:rPr>
                <w:rStyle w:val="Hyperlink"/>
                <w:noProof/>
              </w:rPr>
              <w:t>Registration timeline</w:t>
            </w:r>
            <w:r>
              <w:rPr>
                <w:noProof/>
                <w:webHidden/>
              </w:rPr>
              <w:tab/>
            </w:r>
            <w:r>
              <w:rPr>
                <w:noProof/>
                <w:webHidden/>
              </w:rPr>
              <w:fldChar w:fldCharType="begin"/>
            </w:r>
            <w:r>
              <w:rPr>
                <w:noProof/>
                <w:webHidden/>
              </w:rPr>
              <w:instrText xml:space="preserve"> PAGEREF _Toc184291849 \h </w:instrText>
            </w:r>
            <w:r>
              <w:rPr>
                <w:noProof/>
                <w:webHidden/>
              </w:rPr>
            </w:r>
            <w:r>
              <w:rPr>
                <w:noProof/>
                <w:webHidden/>
              </w:rPr>
              <w:fldChar w:fldCharType="separate"/>
            </w:r>
            <w:r>
              <w:rPr>
                <w:noProof/>
                <w:webHidden/>
              </w:rPr>
              <w:t>13</w:t>
            </w:r>
            <w:r>
              <w:rPr>
                <w:noProof/>
                <w:webHidden/>
              </w:rPr>
              <w:fldChar w:fldCharType="end"/>
            </w:r>
          </w:hyperlink>
        </w:p>
        <w:p w14:paraId="06B4EC4E" w14:textId="51FC1B24" w:rsidR="007E73C5" w:rsidRDefault="007E73C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91850" w:history="1">
            <w:r w:rsidRPr="00DB36F2">
              <w:rPr>
                <w:rStyle w:val="Hyperlink"/>
                <w:noProof/>
              </w:rPr>
              <w:t>Submission overview and risk/benefit assessment</w:t>
            </w:r>
            <w:r>
              <w:rPr>
                <w:noProof/>
                <w:webHidden/>
              </w:rPr>
              <w:tab/>
            </w:r>
            <w:r>
              <w:rPr>
                <w:noProof/>
                <w:webHidden/>
              </w:rPr>
              <w:fldChar w:fldCharType="begin"/>
            </w:r>
            <w:r>
              <w:rPr>
                <w:noProof/>
                <w:webHidden/>
              </w:rPr>
              <w:instrText xml:space="preserve"> PAGEREF _Toc184291850 \h </w:instrText>
            </w:r>
            <w:r>
              <w:rPr>
                <w:noProof/>
                <w:webHidden/>
              </w:rPr>
            </w:r>
            <w:r>
              <w:rPr>
                <w:noProof/>
                <w:webHidden/>
              </w:rPr>
              <w:fldChar w:fldCharType="separate"/>
            </w:r>
            <w:r>
              <w:rPr>
                <w:noProof/>
                <w:webHidden/>
              </w:rPr>
              <w:t>14</w:t>
            </w:r>
            <w:r>
              <w:rPr>
                <w:noProof/>
                <w:webHidden/>
              </w:rPr>
              <w:fldChar w:fldCharType="end"/>
            </w:r>
          </w:hyperlink>
        </w:p>
        <w:p w14:paraId="65DA13D2" w14:textId="62213016" w:rsidR="007E73C5" w:rsidRDefault="007E73C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291851" w:history="1">
            <w:r w:rsidRPr="00DB36F2">
              <w:rPr>
                <w:rStyle w:val="Hyperlink"/>
                <w:noProof/>
              </w:rPr>
              <w:t>Clinical evaluation summary</w:t>
            </w:r>
            <w:r>
              <w:rPr>
                <w:noProof/>
                <w:webHidden/>
              </w:rPr>
              <w:tab/>
            </w:r>
            <w:r>
              <w:rPr>
                <w:noProof/>
                <w:webHidden/>
              </w:rPr>
              <w:fldChar w:fldCharType="begin"/>
            </w:r>
            <w:r>
              <w:rPr>
                <w:noProof/>
                <w:webHidden/>
              </w:rPr>
              <w:instrText xml:space="preserve"> PAGEREF _Toc184291851 \h </w:instrText>
            </w:r>
            <w:r>
              <w:rPr>
                <w:noProof/>
                <w:webHidden/>
              </w:rPr>
            </w:r>
            <w:r>
              <w:rPr>
                <w:noProof/>
                <w:webHidden/>
              </w:rPr>
              <w:fldChar w:fldCharType="separate"/>
            </w:r>
            <w:r>
              <w:rPr>
                <w:noProof/>
                <w:webHidden/>
              </w:rPr>
              <w:t>14</w:t>
            </w:r>
            <w:r>
              <w:rPr>
                <w:noProof/>
                <w:webHidden/>
              </w:rPr>
              <w:fldChar w:fldCharType="end"/>
            </w:r>
          </w:hyperlink>
        </w:p>
        <w:p w14:paraId="7A3754EC" w14:textId="77902E95"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52" w:history="1">
            <w:r w:rsidRPr="00DB36F2">
              <w:rPr>
                <w:rStyle w:val="Hyperlink"/>
                <w:noProof/>
              </w:rPr>
              <w:t>Pharmacology</w:t>
            </w:r>
            <w:r>
              <w:rPr>
                <w:noProof/>
                <w:webHidden/>
              </w:rPr>
              <w:tab/>
            </w:r>
            <w:r>
              <w:rPr>
                <w:noProof/>
                <w:webHidden/>
              </w:rPr>
              <w:fldChar w:fldCharType="begin"/>
            </w:r>
            <w:r>
              <w:rPr>
                <w:noProof/>
                <w:webHidden/>
              </w:rPr>
              <w:instrText xml:space="preserve"> PAGEREF _Toc184291852 \h </w:instrText>
            </w:r>
            <w:r>
              <w:rPr>
                <w:noProof/>
                <w:webHidden/>
              </w:rPr>
            </w:r>
            <w:r>
              <w:rPr>
                <w:noProof/>
                <w:webHidden/>
              </w:rPr>
              <w:fldChar w:fldCharType="separate"/>
            </w:r>
            <w:r>
              <w:rPr>
                <w:noProof/>
                <w:webHidden/>
              </w:rPr>
              <w:t>14</w:t>
            </w:r>
            <w:r>
              <w:rPr>
                <w:noProof/>
                <w:webHidden/>
              </w:rPr>
              <w:fldChar w:fldCharType="end"/>
            </w:r>
          </w:hyperlink>
        </w:p>
        <w:p w14:paraId="37C1E8AE" w14:textId="37D9F3BA"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53" w:history="1">
            <w:r w:rsidRPr="00DB36F2">
              <w:rPr>
                <w:rStyle w:val="Hyperlink"/>
                <w:noProof/>
              </w:rPr>
              <w:t>Efficacy</w:t>
            </w:r>
            <w:r>
              <w:rPr>
                <w:noProof/>
                <w:webHidden/>
              </w:rPr>
              <w:tab/>
            </w:r>
            <w:r>
              <w:rPr>
                <w:noProof/>
                <w:webHidden/>
              </w:rPr>
              <w:fldChar w:fldCharType="begin"/>
            </w:r>
            <w:r>
              <w:rPr>
                <w:noProof/>
                <w:webHidden/>
              </w:rPr>
              <w:instrText xml:space="preserve"> PAGEREF _Toc184291853 \h </w:instrText>
            </w:r>
            <w:r>
              <w:rPr>
                <w:noProof/>
                <w:webHidden/>
              </w:rPr>
            </w:r>
            <w:r>
              <w:rPr>
                <w:noProof/>
                <w:webHidden/>
              </w:rPr>
              <w:fldChar w:fldCharType="separate"/>
            </w:r>
            <w:r>
              <w:rPr>
                <w:noProof/>
                <w:webHidden/>
              </w:rPr>
              <w:t>15</w:t>
            </w:r>
            <w:r>
              <w:rPr>
                <w:noProof/>
                <w:webHidden/>
              </w:rPr>
              <w:fldChar w:fldCharType="end"/>
            </w:r>
          </w:hyperlink>
        </w:p>
        <w:p w14:paraId="25083A4C" w14:textId="47F52D9D"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54" w:history="1">
            <w:r w:rsidRPr="00DB36F2">
              <w:rPr>
                <w:rStyle w:val="Hyperlink"/>
                <w:noProof/>
              </w:rPr>
              <w:t>Safety</w:t>
            </w:r>
            <w:r>
              <w:rPr>
                <w:noProof/>
                <w:webHidden/>
              </w:rPr>
              <w:tab/>
            </w:r>
            <w:r>
              <w:rPr>
                <w:noProof/>
                <w:webHidden/>
              </w:rPr>
              <w:fldChar w:fldCharType="begin"/>
            </w:r>
            <w:r>
              <w:rPr>
                <w:noProof/>
                <w:webHidden/>
              </w:rPr>
              <w:instrText xml:space="preserve"> PAGEREF _Toc184291854 \h </w:instrText>
            </w:r>
            <w:r>
              <w:rPr>
                <w:noProof/>
                <w:webHidden/>
              </w:rPr>
            </w:r>
            <w:r>
              <w:rPr>
                <w:noProof/>
                <w:webHidden/>
              </w:rPr>
              <w:fldChar w:fldCharType="separate"/>
            </w:r>
            <w:r>
              <w:rPr>
                <w:noProof/>
                <w:webHidden/>
              </w:rPr>
              <w:t>28</w:t>
            </w:r>
            <w:r>
              <w:rPr>
                <w:noProof/>
                <w:webHidden/>
              </w:rPr>
              <w:fldChar w:fldCharType="end"/>
            </w:r>
          </w:hyperlink>
        </w:p>
        <w:p w14:paraId="47B13C57" w14:textId="0A7CAF31" w:rsidR="007E73C5" w:rsidRDefault="007E73C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91855" w:history="1">
            <w:r w:rsidRPr="00DB36F2">
              <w:rPr>
                <w:rStyle w:val="Hyperlink"/>
                <w:noProof/>
              </w:rPr>
              <w:t>Risk-benefit analysis</w:t>
            </w:r>
            <w:r>
              <w:rPr>
                <w:noProof/>
                <w:webHidden/>
              </w:rPr>
              <w:tab/>
            </w:r>
            <w:r>
              <w:rPr>
                <w:noProof/>
                <w:webHidden/>
              </w:rPr>
              <w:fldChar w:fldCharType="begin"/>
            </w:r>
            <w:r>
              <w:rPr>
                <w:noProof/>
                <w:webHidden/>
              </w:rPr>
              <w:instrText xml:space="preserve"> PAGEREF _Toc184291855 \h </w:instrText>
            </w:r>
            <w:r>
              <w:rPr>
                <w:noProof/>
                <w:webHidden/>
              </w:rPr>
            </w:r>
            <w:r>
              <w:rPr>
                <w:noProof/>
                <w:webHidden/>
              </w:rPr>
              <w:fldChar w:fldCharType="separate"/>
            </w:r>
            <w:r>
              <w:rPr>
                <w:noProof/>
                <w:webHidden/>
              </w:rPr>
              <w:t>33</w:t>
            </w:r>
            <w:r>
              <w:rPr>
                <w:noProof/>
                <w:webHidden/>
              </w:rPr>
              <w:fldChar w:fldCharType="end"/>
            </w:r>
          </w:hyperlink>
        </w:p>
        <w:p w14:paraId="7564C16D" w14:textId="702DA1A7"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56" w:history="1">
            <w:r w:rsidRPr="00DB36F2">
              <w:rPr>
                <w:rStyle w:val="Hyperlink"/>
                <w:noProof/>
              </w:rPr>
              <w:t>Proposed action</w:t>
            </w:r>
            <w:r>
              <w:rPr>
                <w:noProof/>
                <w:webHidden/>
              </w:rPr>
              <w:tab/>
            </w:r>
            <w:r>
              <w:rPr>
                <w:noProof/>
                <w:webHidden/>
              </w:rPr>
              <w:fldChar w:fldCharType="begin"/>
            </w:r>
            <w:r>
              <w:rPr>
                <w:noProof/>
                <w:webHidden/>
              </w:rPr>
              <w:instrText xml:space="preserve"> PAGEREF _Toc184291856 \h </w:instrText>
            </w:r>
            <w:r>
              <w:rPr>
                <w:noProof/>
                <w:webHidden/>
              </w:rPr>
            </w:r>
            <w:r>
              <w:rPr>
                <w:noProof/>
                <w:webHidden/>
              </w:rPr>
              <w:fldChar w:fldCharType="separate"/>
            </w:r>
            <w:r>
              <w:rPr>
                <w:noProof/>
                <w:webHidden/>
              </w:rPr>
              <w:t>35</w:t>
            </w:r>
            <w:r>
              <w:rPr>
                <w:noProof/>
                <w:webHidden/>
              </w:rPr>
              <w:fldChar w:fldCharType="end"/>
            </w:r>
          </w:hyperlink>
        </w:p>
        <w:p w14:paraId="355D5B0C" w14:textId="622988D1" w:rsidR="007E73C5" w:rsidRDefault="007E73C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291857" w:history="1">
            <w:r w:rsidRPr="00DB36F2">
              <w:rPr>
                <w:rStyle w:val="Hyperlink"/>
                <w:noProof/>
              </w:rPr>
              <w:t>Advisory Committee considerations</w:t>
            </w:r>
            <w:r>
              <w:rPr>
                <w:noProof/>
                <w:webHidden/>
              </w:rPr>
              <w:tab/>
            </w:r>
            <w:r>
              <w:rPr>
                <w:noProof/>
                <w:webHidden/>
              </w:rPr>
              <w:fldChar w:fldCharType="begin"/>
            </w:r>
            <w:r>
              <w:rPr>
                <w:noProof/>
                <w:webHidden/>
              </w:rPr>
              <w:instrText xml:space="preserve"> PAGEREF _Toc184291857 \h </w:instrText>
            </w:r>
            <w:r>
              <w:rPr>
                <w:noProof/>
                <w:webHidden/>
              </w:rPr>
            </w:r>
            <w:r>
              <w:rPr>
                <w:noProof/>
                <w:webHidden/>
              </w:rPr>
              <w:fldChar w:fldCharType="separate"/>
            </w:r>
            <w:r>
              <w:rPr>
                <w:noProof/>
                <w:webHidden/>
              </w:rPr>
              <w:t>36</w:t>
            </w:r>
            <w:r>
              <w:rPr>
                <w:noProof/>
                <w:webHidden/>
              </w:rPr>
              <w:fldChar w:fldCharType="end"/>
            </w:r>
          </w:hyperlink>
        </w:p>
        <w:p w14:paraId="597ABD4A" w14:textId="4406DB78" w:rsidR="007E73C5" w:rsidRDefault="007E73C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91858" w:history="1">
            <w:r w:rsidRPr="00DB36F2">
              <w:rPr>
                <w:rStyle w:val="Hyperlink"/>
                <w:noProof/>
              </w:rPr>
              <w:t>Outcome</w:t>
            </w:r>
            <w:r>
              <w:rPr>
                <w:noProof/>
                <w:webHidden/>
              </w:rPr>
              <w:tab/>
            </w:r>
            <w:r>
              <w:rPr>
                <w:noProof/>
                <w:webHidden/>
              </w:rPr>
              <w:fldChar w:fldCharType="begin"/>
            </w:r>
            <w:r>
              <w:rPr>
                <w:noProof/>
                <w:webHidden/>
              </w:rPr>
              <w:instrText xml:space="preserve"> PAGEREF _Toc184291858 \h </w:instrText>
            </w:r>
            <w:r>
              <w:rPr>
                <w:noProof/>
                <w:webHidden/>
              </w:rPr>
            </w:r>
            <w:r>
              <w:rPr>
                <w:noProof/>
                <w:webHidden/>
              </w:rPr>
              <w:fldChar w:fldCharType="separate"/>
            </w:r>
            <w:r>
              <w:rPr>
                <w:noProof/>
                <w:webHidden/>
              </w:rPr>
              <w:t>37</w:t>
            </w:r>
            <w:r>
              <w:rPr>
                <w:noProof/>
                <w:webHidden/>
              </w:rPr>
              <w:fldChar w:fldCharType="end"/>
            </w:r>
          </w:hyperlink>
        </w:p>
        <w:p w14:paraId="54BCA93B" w14:textId="11C549A1" w:rsidR="007E73C5" w:rsidRDefault="007E73C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291859" w:history="1">
            <w:r w:rsidRPr="00DB36F2">
              <w:rPr>
                <w:rStyle w:val="Hyperlink"/>
                <w:noProof/>
              </w:rPr>
              <w:t>Attachment 1. Product Information</w:t>
            </w:r>
            <w:r>
              <w:rPr>
                <w:noProof/>
                <w:webHidden/>
              </w:rPr>
              <w:tab/>
            </w:r>
            <w:r>
              <w:rPr>
                <w:noProof/>
                <w:webHidden/>
              </w:rPr>
              <w:fldChar w:fldCharType="begin"/>
            </w:r>
            <w:r>
              <w:rPr>
                <w:noProof/>
                <w:webHidden/>
              </w:rPr>
              <w:instrText xml:space="preserve"> PAGEREF _Toc184291859 \h </w:instrText>
            </w:r>
            <w:r>
              <w:rPr>
                <w:noProof/>
                <w:webHidden/>
              </w:rPr>
            </w:r>
            <w:r>
              <w:rPr>
                <w:noProof/>
                <w:webHidden/>
              </w:rPr>
              <w:fldChar w:fldCharType="separate"/>
            </w:r>
            <w:r>
              <w:rPr>
                <w:noProof/>
                <w:webHidden/>
              </w:rPr>
              <w:t>38</w:t>
            </w:r>
            <w:r>
              <w:rPr>
                <w:noProof/>
                <w:webHidden/>
              </w:rPr>
              <w:fldChar w:fldCharType="end"/>
            </w:r>
          </w:hyperlink>
        </w:p>
        <w:p w14:paraId="77659F2D" w14:textId="64B5251B" w:rsidR="00F02AEC" w:rsidRPr="00215D48" w:rsidRDefault="00F02AEC" w:rsidP="007452E8">
          <w:r w:rsidRPr="00215D48">
            <w:fldChar w:fldCharType="end"/>
          </w:r>
        </w:p>
      </w:sdtContent>
    </w:sdt>
    <w:p w14:paraId="1E73AB93" w14:textId="59F594CE" w:rsidR="00324B33" w:rsidRDefault="00F02AEC" w:rsidP="00593BA7">
      <w:pPr>
        <w:pStyle w:val="Heading2"/>
      </w:pPr>
      <w:r w:rsidRPr="00215D48">
        <w:br w:type="page"/>
      </w:r>
      <w:bookmarkStart w:id="0" w:name="_Toc98931917"/>
      <w:bookmarkStart w:id="1" w:name="_Toc103679287"/>
      <w:bookmarkStart w:id="2" w:name="_Toc323739589"/>
      <w:bookmarkStart w:id="3" w:name="_Toc356305216"/>
      <w:bookmarkStart w:id="4" w:name="_Toc184291842"/>
      <w:r w:rsidR="00324B33">
        <w:t>List of abbreviations</w:t>
      </w:r>
      <w:bookmarkEnd w:id="0"/>
      <w:bookmarkEnd w:id="1"/>
      <w:bookmarkEnd w:id="4"/>
    </w:p>
    <w:tbl>
      <w:tblPr>
        <w:tblStyle w:val="TableTGAblue2023"/>
        <w:tblW w:w="5000" w:type="pct"/>
        <w:tblLook w:val="04A0" w:firstRow="1" w:lastRow="0" w:firstColumn="1" w:lastColumn="0" w:noHBand="0" w:noVBand="1"/>
      </w:tblPr>
      <w:tblGrid>
        <w:gridCol w:w="2164"/>
        <w:gridCol w:w="6852"/>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8300F4"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7EEE0719" w:rsidR="008300F4" w:rsidRPr="00D01DDB" w:rsidRDefault="008300F4" w:rsidP="008300F4">
            <w:pPr>
              <w:rPr>
                <w:szCs w:val="22"/>
              </w:rPr>
            </w:pPr>
            <w:r>
              <w:t>AE</w:t>
            </w:r>
          </w:p>
        </w:tc>
        <w:tc>
          <w:tcPr>
            <w:tcW w:w="3800" w:type="pct"/>
          </w:tcPr>
          <w:p w14:paraId="4458E485" w14:textId="07E0B7ED" w:rsidR="008300F4" w:rsidRPr="00D01DDB" w:rsidRDefault="008300F4" w:rsidP="008300F4">
            <w:pPr>
              <w:cnfStyle w:val="000000000000" w:firstRow="0" w:lastRow="0" w:firstColumn="0" w:lastColumn="0" w:oddVBand="0" w:evenVBand="0" w:oddHBand="0" w:evenHBand="0" w:firstRowFirstColumn="0" w:firstRowLastColumn="0" w:lastRowFirstColumn="0" w:lastRowLastColumn="0"/>
              <w:rPr>
                <w:szCs w:val="22"/>
              </w:rPr>
            </w:pPr>
            <w:r>
              <w:t>adverse event</w:t>
            </w:r>
          </w:p>
        </w:tc>
      </w:tr>
      <w:tr w:rsidR="00A11B99" w:rsidRPr="00D01DDB" w14:paraId="2722A3E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5CA007" w14:textId="0886B6E9" w:rsidR="00A11B99" w:rsidRDefault="00A11B99" w:rsidP="008300F4">
            <w:r w:rsidRPr="00A11B99">
              <w:t>alloSCT</w:t>
            </w:r>
          </w:p>
        </w:tc>
        <w:tc>
          <w:tcPr>
            <w:tcW w:w="3800" w:type="pct"/>
          </w:tcPr>
          <w:p w14:paraId="48740CFA" w14:textId="5B37A254" w:rsidR="00A11B99" w:rsidRDefault="00A11B99" w:rsidP="008300F4">
            <w:pPr>
              <w:cnfStyle w:val="000000000000" w:firstRow="0" w:lastRow="0" w:firstColumn="0" w:lastColumn="0" w:oddVBand="0" w:evenVBand="0" w:oddHBand="0" w:evenHBand="0" w:firstRowFirstColumn="0" w:firstRowLastColumn="0" w:lastRowFirstColumn="0" w:lastRowLastColumn="0"/>
            </w:pPr>
            <w:r>
              <w:t>a</w:t>
            </w:r>
            <w:r w:rsidRPr="00A11B99">
              <w:t>llogeneic stem cell transplantation</w:t>
            </w:r>
          </w:p>
        </w:tc>
      </w:tr>
      <w:tr w:rsidR="008300F4"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52FCC5AE" w:rsidR="008300F4" w:rsidRPr="00D01DDB" w:rsidRDefault="008300F4" w:rsidP="008300F4">
            <w:pPr>
              <w:rPr>
                <w:szCs w:val="22"/>
              </w:rPr>
            </w:pPr>
            <w:r>
              <w:t>ALT</w:t>
            </w:r>
          </w:p>
        </w:tc>
        <w:tc>
          <w:tcPr>
            <w:tcW w:w="3800" w:type="pct"/>
          </w:tcPr>
          <w:p w14:paraId="53D4D108" w14:textId="00E3C36A" w:rsidR="008300F4" w:rsidRPr="00D01DDB" w:rsidRDefault="008300F4" w:rsidP="008300F4">
            <w:pPr>
              <w:cnfStyle w:val="000000000000" w:firstRow="0" w:lastRow="0" w:firstColumn="0" w:lastColumn="0" w:oddVBand="0" w:evenVBand="0" w:oddHBand="0" w:evenHBand="0" w:firstRowFirstColumn="0" w:firstRowLastColumn="0" w:lastRowFirstColumn="0" w:lastRowLastColumn="0"/>
              <w:rPr>
                <w:szCs w:val="22"/>
              </w:rPr>
            </w:pPr>
            <w:r w:rsidRPr="00AD6512">
              <w:t>alanine aminotransferase</w:t>
            </w:r>
          </w:p>
        </w:tc>
      </w:tr>
      <w:tr w:rsidR="005E6484" w:rsidRPr="00D01DDB" w14:paraId="134D01A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BEFFEB" w14:textId="77FA6AFD" w:rsidR="005E6484" w:rsidRDefault="005E6484" w:rsidP="005E6484">
            <w:r w:rsidRPr="00D01DDB">
              <w:rPr>
                <w:szCs w:val="22"/>
              </w:rPr>
              <w:t>ARTG</w:t>
            </w:r>
          </w:p>
        </w:tc>
        <w:tc>
          <w:tcPr>
            <w:tcW w:w="3800" w:type="pct"/>
          </w:tcPr>
          <w:p w14:paraId="116CBAF5" w14:textId="5CE7540F" w:rsidR="005E6484" w:rsidRPr="00AD6512" w:rsidRDefault="005E6484" w:rsidP="005E6484">
            <w:pPr>
              <w:cnfStyle w:val="000000000000" w:firstRow="0" w:lastRow="0" w:firstColumn="0" w:lastColumn="0" w:oddVBand="0" w:evenVBand="0" w:oddHBand="0" w:evenHBand="0" w:firstRowFirstColumn="0" w:firstRowLastColumn="0" w:lastRowFirstColumn="0" w:lastRowLastColumn="0"/>
            </w:pPr>
            <w:r w:rsidRPr="00D01DDB">
              <w:rPr>
                <w:szCs w:val="22"/>
              </w:rPr>
              <w:t>Australian Register of Therapeutic Goods</w:t>
            </w:r>
          </w:p>
        </w:tc>
      </w:tr>
      <w:tr w:rsidR="005E6484" w:rsidRPr="00D01DDB" w14:paraId="24F8B9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37EBB4" w14:textId="74E2F057" w:rsidR="005E6484" w:rsidRDefault="005E6484" w:rsidP="005E6484">
            <w:r>
              <w:t>AST</w:t>
            </w:r>
          </w:p>
        </w:tc>
        <w:tc>
          <w:tcPr>
            <w:tcW w:w="3800" w:type="pct"/>
          </w:tcPr>
          <w:p w14:paraId="1D5A1C34" w14:textId="412B3324" w:rsidR="005E6484" w:rsidRPr="00AD6512" w:rsidRDefault="005E6484" w:rsidP="005E6484">
            <w:pPr>
              <w:cnfStyle w:val="000000000000" w:firstRow="0" w:lastRow="0" w:firstColumn="0" w:lastColumn="0" w:oddVBand="0" w:evenVBand="0" w:oddHBand="0" w:evenHBand="0" w:firstRowFirstColumn="0" w:firstRowLastColumn="0" w:lastRowFirstColumn="0" w:lastRowLastColumn="0"/>
            </w:pPr>
            <w:r w:rsidRPr="00AD6512">
              <w:t>aspartate aminotransferase</w:t>
            </w:r>
          </w:p>
        </w:tc>
      </w:tr>
      <w:tr w:rsidR="005E6484" w:rsidRPr="00D01DDB" w14:paraId="2C3AE9B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D10660" w14:textId="6B249599" w:rsidR="005E6484" w:rsidRDefault="005E6484" w:rsidP="005E6484">
            <w:r w:rsidRPr="0027094C">
              <w:t xml:space="preserve">AUC </w:t>
            </w:r>
          </w:p>
        </w:tc>
        <w:tc>
          <w:tcPr>
            <w:tcW w:w="3800" w:type="pct"/>
          </w:tcPr>
          <w:p w14:paraId="7AEE8A41" w14:textId="758C0E68" w:rsidR="005E6484" w:rsidRPr="00AD6512" w:rsidRDefault="005E6484" w:rsidP="005E6484">
            <w:pPr>
              <w:cnfStyle w:val="000000000000" w:firstRow="0" w:lastRow="0" w:firstColumn="0" w:lastColumn="0" w:oddVBand="0" w:evenVBand="0" w:oddHBand="0" w:evenHBand="0" w:firstRowFirstColumn="0" w:firstRowLastColumn="0" w:lastRowFirstColumn="0" w:lastRowLastColumn="0"/>
            </w:pPr>
            <w:r w:rsidRPr="0027094C">
              <w:t>area under the concentration-time curve</w:t>
            </w:r>
          </w:p>
        </w:tc>
      </w:tr>
      <w:tr w:rsidR="005E6484" w:rsidRPr="00D01DDB" w14:paraId="470DF1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33B029" w14:textId="4FFACB35" w:rsidR="005E6484" w:rsidRPr="0027094C" w:rsidRDefault="00272745" w:rsidP="005E6484">
            <w:r>
              <w:t>BD</w:t>
            </w:r>
          </w:p>
        </w:tc>
        <w:tc>
          <w:tcPr>
            <w:tcW w:w="3800" w:type="pct"/>
          </w:tcPr>
          <w:p w14:paraId="5AFA153F" w14:textId="0278E351"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twice daily</w:t>
            </w:r>
            <w:r w:rsidR="00272745">
              <w:t xml:space="preserve"> dosing</w:t>
            </w:r>
          </w:p>
        </w:tc>
      </w:tr>
      <w:tr w:rsidR="005E6484" w:rsidRPr="00D01DDB" w14:paraId="6F9A577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8BF770" w14:textId="0F19E61E" w:rsidR="005E6484" w:rsidRPr="0027094C" w:rsidRDefault="005E6484" w:rsidP="005E6484">
            <w:r w:rsidRPr="0027094C">
              <w:t xml:space="preserve">B+R </w:t>
            </w:r>
          </w:p>
        </w:tc>
        <w:tc>
          <w:tcPr>
            <w:tcW w:w="3800" w:type="pct"/>
          </w:tcPr>
          <w:p w14:paraId="73A081A4" w14:textId="6F9DD2CE"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bendamustine + rituximab</w:t>
            </w:r>
          </w:p>
        </w:tc>
      </w:tr>
      <w:tr w:rsidR="005E6484" w:rsidRPr="00D01DDB" w14:paraId="3F31D8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020F5A" w14:textId="765C577C" w:rsidR="005E6484" w:rsidRPr="0027094C" w:rsidRDefault="005E6484" w:rsidP="005E6484">
            <w:r w:rsidRPr="0027094C">
              <w:t xml:space="preserve">BTK </w:t>
            </w:r>
          </w:p>
        </w:tc>
        <w:tc>
          <w:tcPr>
            <w:tcW w:w="3800" w:type="pct"/>
          </w:tcPr>
          <w:p w14:paraId="5313F1D8" w14:textId="4F952A41"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Bruton</w:t>
            </w:r>
            <w:r>
              <w:t>’s</w:t>
            </w:r>
            <w:r w:rsidRPr="0027094C">
              <w:t xml:space="preserve"> tyrosine kinase</w:t>
            </w:r>
          </w:p>
        </w:tc>
      </w:tr>
      <w:tr w:rsidR="005E6484" w:rsidRPr="00D01DDB" w14:paraId="0C148F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F68686" w14:textId="0BC2F50D" w:rsidR="005E6484" w:rsidRPr="0027094C" w:rsidRDefault="005E6484" w:rsidP="005E6484">
            <w:r w:rsidRPr="0027094C">
              <w:t xml:space="preserve">CI </w:t>
            </w:r>
          </w:p>
        </w:tc>
        <w:tc>
          <w:tcPr>
            <w:tcW w:w="3800" w:type="pct"/>
          </w:tcPr>
          <w:p w14:paraId="389375A2" w14:textId="513F98F6"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confidence interval</w:t>
            </w:r>
          </w:p>
        </w:tc>
      </w:tr>
      <w:tr w:rsidR="005E6484" w:rsidRPr="00D01DDB" w14:paraId="2FD78A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70D112" w14:textId="7AFC2EE0" w:rsidR="005E6484" w:rsidRPr="0027094C" w:rsidRDefault="005E6484" w:rsidP="005E6484">
            <w:r w:rsidRPr="0027094C">
              <w:t xml:space="preserve">CLL </w:t>
            </w:r>
          </w:p>
        </w:tc>
        <w:tc>
          <w:tcPr>
            <w:tcW w:w="3800" w:type="pct"/>
          </w:tcPr>
          <w:p w14:paraId="6E117C39" w14:textId="379F4A33"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chronic lymphocytic leukaemia</w:t>
            </w:r>
          </w:p>
        </w:tc>
      </w:tr>
      <w:tr w:rsidR="005E6484" w:rsidRPr="00D01DDB" w14:paraId="5EC671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2D0C85" w14:textId="7DEF1B36" w:rsidR="005E6484" w:rsidRPr="0027094C" w:rsidRDefault="005E6484" w:rsidP="005E6484">
            <w:r w:rsidRPr="0027094C">
              <w:t xml:space="preserve">Cmax </w:t>
            </w:r>
          </w:p>
        </w:tc>
        <w:tc>
          <w:tcPr>
            <w:tcW w:w="3800" w:type="pct"/>
          </w:tcPr>
          <w:p w14:paraId="2A461CAA" w14:textId="58F3DC1B"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maximum plasma concentration</w:t>
            </w:r>
          </w:p>
        </w:tc>
      </w:tr>
      <w:tr w:rsidR="005E6484" w:rsidRPr="00D01DDB" w14:paraId="184A5D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BA00B4" w14:textId="77F8468E" w:rsidR="005E6484" w:rsidRPr="0027094C" w:rsidRDefault="005E6484" w:rsidP="005E6484">
            <w:r>
              <w:t>CMI</w:t>
            </w:r>
          </w:p>
        </w:tc>
        <w:tc>
          <w:tcPr>
            <w:tcW w:w="3800" w:type="pct"/>
          </w:tcPr>
          <w:p w14:paraId="20B9F074" w14:textId="0AB7A2D6"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 xml:space="preserve">consumer medicine information </w:t>
            </w:r>
          </w:p>
        </w:tc>
      </w:tr>
      <w:tr w:rsidR="005E6484" w:rsidRPr="00D01DDB" w14:paraId="427E62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EF3E25" w14:textId="059633DB" w:rsidR="005E6484" w:rsidRPr="0027094C" w:rsidRDefault="005E6484" w:rsidP="005E6484">
            <w:r w:rsidRPr="0027094C">
              <w:t xml:space="preserve">CR </w:t>
            </w:r>
          </w:p>
        </w:tc>
        <w:tc>
          <w:tcPr>
            <w:tcW w:w="3800" w:type="pct"/>
          </w:tcPr>
          <w:p w14:paraId="632FF95D" w14:textId="6E4FFA20"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complete response</w:t>
            </w:r>
          </w:p>
        </w:tc>
      </w:tr>
      <w:tr w:rsidR="005E6484" w:rsidRPr="00D01DDB" w14:paraId="293F8E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537F2F" w14:textId="0659F795" w:rsidR="005E6484" w:rsidRPr="0027094C" w:rsidRDefault="005E6484" w:rsidP="005E6484">
            <w:proofErr w:type="spellStart"/>
            <w:r w:rsidRPr="0027094C">
              <w:t>CRi</w:t>
            </w:r>
            <w:proofErr w:type="spellEnd"/>
            <w:r w:rsidRPr="0027094C">
              <w:t xml:space="preserve"> </w:t>
            </w:r>
          </w:p>
        </w:tc>
        <w:tc>
          <w:tcPr>
            <w:tcW w:w="3800" w:type="pct"/>
          </w:tcPr>
          <w:p w14:paraId="004319C0" w14:textId="447BD1D1"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complete response w/incomplete bone marrow recovery</w:t>
            </w:r>
          </w:p>
        </w:tc>
      </w:tr>
      <w:tr w:rsidR="0024064C" w:rsidRPr="00D01DDB" w14:paraId="533EEC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2C51D6" w14:textId="5A9FF6FF" w:rsidR="0024064C" w:rsidRPr="0027094C" w:rsidRDefault="0024064C" w:rsidP="005E6484">
            <w:r w:rsidRPr="0024064C">
              <w:t>CSR</w:t>
            </w:r>
          </w:p>
        </w:tc>
        <w:tc>
          <w:tcPr>
            <w:tcW w:w="3800" w:type="pct"/>
          </w:tcPr>
          <w:p w14:paraId="1F4C755B" w14:textId="361F4648" w:rsidR="0024064C" w:rsidRPr="0027094C" w:rsidRDefault="0024064C" w:rsidP="005E6484">
            <w:pPr>
              <w:cnfStyle w:val="000000000000" w:firstRow="0" w:lastRow="0" w:firstColumn="0" w:lastColumn="0" w:oddVBand="0" w:evenVBand="0" w:oddHBand="0" w:evenHBand="0" w:firstRowFirstColumn="0" w:firstRowLastColumn="0" w:lastRowFirstColumn="0" w:lastRowLastColumn="0"/>
            </w:pPr>
            <w:r w:rsidRPr="0024064C">
              <w:t>clinical study report</w:t>
            </w:r>
          </w:p>
        </w:tc>
      </w:tr>
      <w:tr w:rsidR="008E0E85" w:rsidRPr="00D01DDB" w14:paraId="429888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69BA83" w14:textId="55D8F0BC" w:rsidR="008E0E85" w:rsidRPr="0027094C" w:rsidRDefault="008E0E85" w:rsidP="005E6484">
            <w:r>
              <w:t>CV</w:t>
            </w:r>
          </w:p>
        </w:tc>
        <w:tc>
          <w:tcPr>
            <w:tcW w:w="3800" w:type="pct"/>
          </w:tcPr>
          <w:p w14:paraId="4124FA06" w14:textId="0EC2A36E" w:rsidR="008E0E85" w:rsidRPr="0027094C" w:rsidRDefault="008E0E85" w:rsidP="005E6484">
            <w:pPr>
              <w:cnfStyle w:val="000000000000" w:firstRow="0" w:lastRow="0" w:firstColumn="0" w:lastColumn="0" w:oddVBand="0" w:evenVBand="0" w:oddHBand="0" w:evenHBand="0" w:firstRowFirstColumn="0" w:firstRowLastColumn="0" w:lastRowFirstColumn="0" w:lastRowLastColumn="0"/>
            </w:pPr>
            <w:r w:rsidRPr="008E0E85">
              <w:t>coefficient of variation</w:t>
            </w:r>
          </w:p>
        </w:tc>
      </w:tr>
      <w:tr w:rsidR="005E6484" w:rsidRPr="00D01DDB" w14:paraId="769496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9CABB0" w14:textId="3D69B7BF" w:rsidR="005E6484" w:rsidRDefault="005E6484" w:rsidP="005E6484">
            <w:r w:rsidRPr="0027094C">
              <w:t xml:space="preserve">CYP </w:t>
            </w:r>
          </w:p>
        </w:tc>
        <w:tc>
          <w:tcPr>
            <w:tcW w:w="3800" w:type="pct"/>
          </w:tcPr>
          <w:p w14:paraId="3A735BC6" w14:textId="1BBAF7AD" w:rsidR="005E6484" w:rsidRPr="00BE6D45" w:rsidRDefault="005E6484" w:rsidP="005E6484">
            <w:pPr>
              <w:cnfStyle w:val="000000000000" w:firstRow="0" w:lastRow="0" w:firstColumn="0" w:lastColumn="0" w:oddVBand="0" w:evenVBand="0" w:oddHBand="0" w:evenHBand="0" w:firstRowFirstColumn="0" w:firstRowLastColumn="0" w:lastRowFirstColumn="0" w:lastRowLastColumn="0"/>
            </w:pPr>
            <w:r w:rsidRPr="0027094C">
              <w:t>cytochrome P450</w:t>
            </w:r>
          </w:p>
        </w:tc>
      </w:tr>
      <w:tr w:rsidR="000E18E3" w:rsidRPr="00D01DDB" w14:paraId="780BDE6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FAE206" w14:textId="127F32FA" w:rsidR="000E18E3" w:rsidRPr="0027094C" w:rsidRDefault="000E18E3" w:rsidP="005E6484">
            <w:r>
              <w:t>DCO</w:t>
            </w:r>
          </w:p>
        </w:tc>
        <w:tc>
          <w:tcPr>
            <w:tcW w:w="3800" w:type="pct"/>
          </w:tcPr>
          <w:p w14:paraId="5CBDCA6F" w14:textId="3A75AAE2" w:rsidR="000E18E3" w:rsidRPr="0027094C" w:rsidRDefault="000E18E3" w:rsidP="005E6484">
            <w:pPr>
              <w:cnfStyle w:val="000000000000" w:firstRow="0" w:lastRow="0" w:firstColumn="0" w:lastColumn="0" w:oddVBand="0" w:evenVBand="0" w:oddHBand="0" w:evenHBand="0" w:firstRowFirstColumn="0" w:firstRowLastColumn="0" w:lastRowFirstColumn="0" w:lastRowLastColumn="0"/>
            </w:pPr>
            <w:r>
              <w:t>Data cut-off</w:t>
            </w:r>
          </w:p>
        </w:tc>
      </w:tr>
      <w:tr w:rsidR="005E6484" w:rsidRPr="00D01DDB" w14:paraId="03726A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EEE8B5" w14:textId="5776D7D0" w:rsidR="005E6484" w:rsidRDefault="005E6484" w:rsidP="005E6484">
            <w:r w:rsidRPr="0027094C">
              <w:t xml:space="preserve">del(17p) </w:t>
            </w:r>
          </w:p>
        </w:tc>
        <w:tc>
          <w:tcPr>
            <w:tcW w:w="3800" w:type="pct"/>
          </w:tcPr>
          <w:p w14:paraId="0662480A" w14:textId="05423503"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loss of TP53 locus on chromosome 17p13.1</w:t>
            </w:r>
          </w:p>
        </w:tc>
      </w:tr>
      <w:tr w:rsidR="005E6484" w:rsidRPr="00D01DDB" w14:paraId="593964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0E1E81" w14:textId="09E435CD" w:rsidR="005E6484" w:rsidRDefault="005E6484" w:rsidP="005E6484">
            <w:r>
              <w:t>ECOG</w:t>
            </w:r>
          </w:p>
        </w:tc>
        <w:tc>
          <w:tcPr>
            <w:tcW w:w="3800" w:type="pct"/>
          </w:tcPr>
          <w:p w14:paraId="20B4F576" w14:textId="12F09E91"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BE6D45">
              <w:t>Eastern Cooperative Oncology Group</w:t>
            </w:r>
          </w:p>
        </w:tc>
      </w:tr>
      <w:tr w:rsidR="005E6484" w:rsidRPr="00D01DDB" w14:paraId="18A657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0B4D6B" w14:textId="40883E52" w:rsidR="005E6484" w:rsidRDefault="005E6484" w:rsidP="005E6484">
            <w:r w:rsidRPr="000F295A">
              <w:t>EQ-5D-5L</w:t>
            </w:r>
          </w:p>
        </w:tc>
        <w:tc>
          <w:tcPr>
            <w:tcW w:w="3800" w:type="pct"/>
          </w:tcPr>
          <w:p w14:paraId="53A5BF3D" w14:textId="45CBA91B" w:rsidR="005E6484" w:rsidRPr="00BE6D45" w:rsidRDefault="005E6484" w:rsidP="005E6484">
            <w:pPr>
              <w:cnfStyle w:val="000000000000" w:firstRow="0" w:lastRow="0" w:firstColumn="0" w:lastColumn="0" w:oddVBand="0" w:evenVBand="0" w:oddHBand="0" w:evenHBand="0" w:firstRowFirstColumn="0" w:firstRowLastColumn="0" w:lastRowFirstColumn="0" w:lastRowLastColumn="0"/>
            </w:pPr>
            <w:r>
              <w:t xml:space="preserve">European quality of life </w:t>
            </w:r>
            <w:proofErr w:type="gramStart"/>
            <w:r>
              <w:t>5 dimension</w:t>
            </w:r>
            <w:proofErr w:type="gramEnd"/>
            <w:r>
              <w:t xml:space="preserve"> 5 level</w:t>
            </w:r>
          </w:p>
        </w:tc>
      </w:tr>
      <w:tr w:rsidR="005E6484" w:rsidRPr="00D01DDB" w14:paraId="3D1C66B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4A2254" w14:textId="059D27F7" w:rsidR="005E6484" w:rsidRPr="000F295A" w:rsidRDefault="005E6484" w:rsidP="005E6484">
            <w:r w:rsidRPr="000F295A">
              <w:t>EORTC QLQ-C30</w:t>
            </w:r>
          </w:p>
        </w:tc>
        <w:tc>
          <w:tcPr>
            <w:tcW w:w="3800" w:type="pct"/>
          </w:tcPr>
          <w:p w14:paraId="7B13AE8E" w14:textId="7912EC05"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AD6512">
              <w:t>European Organisation for Research and Treatment of Cancer</w:t>
            </w:r>
            <w:r>
              <w:t xml:space="preserve"> quality of life questionnaire core 30</w:t>
            </w:r>
          </w:p>
        </w:tc>
      </w:tr>
      <w:tr w:rsidR="005E6484" w:rsidRPr="00D01DDB" w14:paraId="169CD90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03F912" w14:textId="1A3E5B07" w:rsidR="005E6484" w:rsidRPr="000F295A" w:rsidRDefault="005E6484" w:rsidP="005E6484">
            <w:r w:rsidRPr="0027094C">
              <w:t xml:space="preserve">E-R </w:t>
            </w:r>
          </w:p>
        </w:tc>
        <w:tc>
          <w:tcPr>
            <w:tcW w:w="3800" w:type="pct"/>
          </w:tcPr>
          <w:p w14:paraId="3D76EE32" w14:textId="6536D696" w:rsidR="005E6484" w:rsidRPr="00AD6512" w:rsidRDefault="005E6484" w:rsidP="005E6484">
            <w:pPr>
              <w:cnfStyle w:val="000000000000" w:firstRow="0" w:lastRow="0" w:firstColumn="0" w:lastColumn="0" w:oddVBand="0" w:evenVBand="0" w:oddHBand="0" w:evenHBand="0" w:firstRowFirstColumn="0" w:firstRowLastColumn="0" w:lastRowFirstColumn="0" w:lastRowLastColumn="0"/>
            </w:pPr>
            <w:r w:rsidRPr="0027094C">
              <w:t>exposure-response</w:t>
            </w:r>
          </w:p>
        </w:tc>
      </w:tr>
      <w:tr w:rsidR="005E6484" w:rsidRPr="00D01DDB" w14:paraId="5BDFAE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35D32D" w14:textId="2F2A1F56" w:rsidR="005E6484" w:rsidRPr="0027094C" w:rsidRDefault="005E6484" w:rsidP="005E6484">
            <w:r w:rsidRPr="0027094C">
              <w:t xml:space="preserve">ESMO </w:t>
            </w:r>
          </w:p>
        </w:tc>
        <w:tc>
          <w:tcPr>
            <w:tcW w:w="3800" w:type="pct"/>
          </w:tcPr>
          <w:p w14:paraId="47F34D0C" w14:textId="7E00ED0C"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European Society for Medical Oncology</w:t>
            </w:r>
          </w:p>
        </w:tc>
      </w:tr>
      <w:tr w:rsidR="005E6484" w:rsidRPr="00D01DDB" w14:paraId="4E2812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DA1082" w14:textId="724F7310" w:rsidR="005E6484" w:rsidRPr="0027094C" w:rsidRDefault="005E6484" w:rsidP="005E6484">
            <w:r w:rsidRPr="0027094C">
              <w:t xml:space="preserve">FCR </w:t>
            </w:r>
          </w:p>
        </w:tc>
        <w:tc>
          <w:tcPr>
            <w:tcW w:w="3800" w:type="pct"/>
          </w:tcPr>
          <w:p w14:paraId="57B8231E" w14:textId="6CFE17A8"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fludarabine/cyclophosphamide/rituximab</w:t>
            </w:r>
          </w:p>
        </w:tc>
      </w:tr>
      <w:tr w:rsidR="005E6484" w:rsidRPr="00D01DDB" w14:paraId="6F715E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35A69F" w14:textId="6B32D90A" w:rsidR="005E6484" w:rsidRPr="0027094C" w:rsidRDefault="005E6484" w:rsidP="005E6484">
            <w:r w:rsidRPr="0027094C">
              <w:t xml:space="preserve">FDA </w:t>
            </w:r>
          </w:p>
        </w:tc>
        <w:tc>
          <w:tcPr>
            <w:tcW w:w="3800" w:type="pct"/>
          </w:tcPr>
          <w:p w14:paraId="7645D10A" w14:textId="18BD4241"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Food and Drug Administration</w:t>
            </w:r>
          </w:p>
        </w:tc>
      </w:tr>
      <w:tr w:rsidR="005E6484" w:rsidRPr="00D01DDB" w14:paraId="454206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FFCB90" w14:textId="11128EFF" w:rsidR="005E6484" w:rsidRDefault="005E6484" w:rsidP="005E6484">
            <w:r>
              <w:t>GCP</w:t>
            </w:r>
          </w:p>
        </w:tc>
        <w:tc>
          <w:tcPr>
            <w:tcW w:w="3800" w:type="pct"/>
          </w:tcPr>
          <w:p w14:paraId="3C312AC1" w14:textId="10048EE0" w:rsidR="005E6484" w:rsidRPr="00AD6512" w:rsidRDefault="005E6484" w:rsidP="005E6484">
            <w:pPr>
              <w:cnfStyle w:val="000000000000" w:firstRow="0" w:lastRow="0" w:firstColumn="0" w:lastColumn="0" w:oddVBand="0" w:evenVBand="0" w:oddHBand="0" w:evenHBand="0" w:firstRowFirstColumn="0" w:firstRowLastColumn="0" w:lastRowFirstColumn="0" w:lastRowLastColumn="0"/>
            </w:pPr>
            <w:r>
              <w:t>good clinical practice</w:t>
            </w:r>
          </w:p>
        </w:tc>
      </w:tr>
      <w:tr w:rsidR="005E6484" w:rsidRPr="00D01DDB" w14:paraId="270358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FB1C1D" w14:textId="4663F981" w:rsidR="005E6484" w:rsidRDefault="005E6484" w:rsidP="005E6484">
            <w:r>
              <w:t>GHS</w:t>
            </w:r>
          </w:p>
        </w:tc>
        <w:tc>
          <w:tcPr>
            <w:tcW w:w="3800" w:type="pct"/>
          </w:tcPr>
          <w:p w14:paraId="67724D10" w14:textId="0467B4A4" w:rsidR="005E6484" w:rsidRDefault="005E6484" w:rsidP="005E6484">
            <w:pPr>
              <w:cnfStyle w:val="000000000000" w:firstRow="0" w:lastRow="0" w:firstColumn="0" w:lastColumn="0" w:oddVBand="0" w:evenVBand="0" w:oddHBand="0" w:evenHBand="0" w:firstRowFirstColumn="0" w:firstRowLastColumn="0" w:lastRowFirstColumn="0" w:lastRowLastColumn="0"/>
            </w:pPr>
            <w:r>
              <w:t>global health status</w:t>
            </w:r>
          </w:p>
        </w:tc>
      </w:tr>
      <w:tr w:rsidR="005E6484" w:rsidRPr="00D01DDB" w14:paraId="7025C3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D2DBF1" w14:textId="73C9E7BA" w:rsidR="005E6484" w:rsidRDefault="005E6484" w:rsidP="005E6484">
            <w:r>
              <w:t>GM</w:t>
            </w:r>
          </w:p>
        </w:tc>
        <w:tc>
          <w:tcPr>
            <w:tcW w:w="3800" w:type="pct"/>
          </w:tcPr>
          <w:p w14:paraId="764C820A" w14:textId="23CBCFDF" w:rsidR="005E6484" w:rsidRDefault="005E6484" w:rsidP="005E6484">
            <w:pPr>
              <w:cnfStyle w:val="000000000000" w:firstRow="0" w:lastRow="0" w:firstColumn="0" w:lastColumn="0" w:oddVBand="0" w:evenVBand="0" w:oddHBand="0" w:evenHBand="0" w:firstRowFirstColumn="0" w:firstRowLastColumn="0" w:lastRowFirstColumn="0" w:lastRowLastColumn="0"/>
            </w:pPr>
            <w:r>
              <w:t>geometric mean</w:t>
            </w:r>
          </w:p>
        </w:tc>
      </w:tr>
      <w:tr w:rsidR="005E6484" w:rsidRPr="00D01DDB" w14:paraId="0B008F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70E99B" w14:textId="2F9F869E" w:rsidR="005E6484" w:rsidRDefault="005E6484" w:rsidP="005E6484">
            <w:r w:rsidRPr="0027094C">
              <w:t xml:space="preserve">ITT </w:t>
            </w:r>
          </w:p>
        </w:tc>
        <w:tc>
          <w:tcPr>
            <w:tcW w:w="3800" w:type="pct"/>
          </w:tcPr>
          <w:p w14:paraId="60BE9900" w14:textId="15FC225C" w:rsidR="005E6484" w:rsidRDefault="005E6484" w:rsidP="005E6484">
            <w:pPr>
              <w:cnfStyle w:val="000000000000" w:firstRow="0" w:lastRow="0" w:firstColumn="0" w:lastColumn="0" w:oddVBand="0" w:evenVBand="0" w:oddHBand="0" w:evenHBand="0" w:firstRowFirstColumn="0" w:firstRowLastColumn="0" w:lastRowFirstColumn="0" w:lastRowLastColumn="0"/>
            </w:pPr>
            <w:r>
              <w:t>i</w:t>
            </w:r>
            <w:r w:rsidRPr="0027094C">
              <w:t>ntent-to-treat</w:t>
            </w:r>
          </w:p>
        </w:tc>
      </w:tr>
      <w:tr w:rsidR="005E6484" w:rsidRPr="00D01DDB" w14:paraId="56BE2E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D9FAB2" w14:textId="58F9A447" w:rsidR="005E6484" w:rsidRPr="0027094C" w:rsidRDefault="005E6484" w:rsidP="005E6484">
            <w:r>
              <w:t>IV</w:t>
            </w:r>
          </w:p>
        </w:tc>
        <w:tc>
          <w:tcPr>
            <w:tcW w:w="3800" w:type="pct"/>
          </w:tcPr>
          <w:p w14:paraId="04734F84" w14:textId="7C2025C9" w:rsidR="005E6484" w:rsidRDefault="005E6484" w:rsidP="005E6484">
            <w:pPr>
              <w:cnfStyle w:val="000000000000" w:firstRow="0" w:lastRow="0" w:firstColumn="0" w:lastColumn="0" w:oddVBand="0" w:evenVBand="0" w:oddHBand="0" w:evenHBand="0" w:firstRowFirstColumn="0" w:firstRowLastColumn="0" w:lastRowFirstColumn="0" w:lastRowLastColumn="0"/>
            </w:pPr>
            <w:r>
              <w:t>intravenous</w:t>
            </w:r>
          </w:p>
        </w:tc>
      </w:tr>
      <w:tr w:rsidR="005E6484" w:rsidRPr="00D01DDB" w14:paraId="772247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4D4A40" w14:textId="03F2EFDC" w:rsidR="005E6484" w:rsidRDefault="00AD25C7" w:rsidP="005E6484">
            <w:r>
              <w:t>IW</w:t>
            </w:r>
            <w:r w:rsidR="005E6484">
              <w:t>CLL</w:t>
            </w:r>
          </w:p>
        </w:tc>
        <w:tc>
          <w:tcPr>
            <w:tcW w:w="3800" w:type="pct"/>
          </w:tcPr>
          <w:p w14:paraId="782679F9" w14:textId="5F854C3B" w:rsidR="005E6484" w:rsidRDefault="005E6484" w:rsidP="005E6484">
            <w:pPr>
              <w:cnfStyle w:val="000000000000" w:firstRow="0" w:lastRow="0" w:firstColumn="0" w:lastColumn="0" w:oddVBand="0" w:evenVBand="0" w:oddHBand="0" w:evenHBand="0" w:firstRowFirstColumn="0" w:firstRowLastColumn="0" w:lastRowFirstColumn="0" w:lastRowLastColumn="0"/>
            </w:pPr>
            <w:r>
              <w:t>International Workshop on Chronic Lymphocytic Leukaemia</w:t>
            </w:r>
          </w:p>
        </w:tc>
      </w:tr>
      <w:tr w:rsidR="005E6484" w:rsidRPr="00D01DDB" w14:paraId="2EB1296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4BF71F" w14:textId="5D8DC9A0" w:rsidR="005E6484" w:rsidRDefault="005E6484" w:rsidP="005E6484">
            <w:r w:rsidRPr="0027094C">
              <w:t xml:space="preserve">MCL </w:t>
            </w:r>
          </w:p>
        </w:tc>
        <w:tc>
          <w:tcPr>
            <w:tcW w:w="3800" w:type="pct"/>
          </w:tcPr>
          <w:p w14:paraId="425414DD" w14:textId="237CF956"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mantle cell lymphoma</w:t>
            </w:r>
          </w:p>
        </w:tc>
      </w:tr>
      <w:tr w:rsidR="005E6484" w:rsidRPr="00D01DDB" w14:paraId="194892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49C6F6" w14:textId="10354880" w:rsidR="005E6484" w:rsidRDefault="005E6484" w:rsidP="005E6484">
            <w:r w:rsidRPr="0027094C">
              <w:t xml:space="preserve">MZL </w:t>
            </w:r>
          </w:p>
        </w:tc>
        <w:tc>
          <w:tcPr>
            <w:tcW w:w="3800" w:type="pct"/>
          </w:tcPr>
          <w:p w14:paraId="4F62B863" w14:textId="672B118B"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marginal zone lymphoma</w:t>
            </w:r>
          </w:p>
        </w:tc>
      </w:tr>
      <w:tr w:rsidR="005E6484" w:rsidRPr="00D01DDB" w14:paraId="2A5BE2A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F9621D" w14:textId="2212FBB5" w:rsidR="005E6484" w:rsidRPr="0027094C" w:rsidRDefault="005E6484" w:rsidP="005E6484">
            <w:r>
              <w:t>NHL</w:t>
            </w:r>
          </w:p>
        </w:tc>
        <w:tc>
          <w:tcPr>
            <w:tcW w:w="3800" w:type="pct"/>
          </w:tcPr>
          <w:p w14:paraId="7535C1E2" w14:textId="4D4F1CD4"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non-Hodgkin lymphoma</w:t>
            </w:r>
          </w:p>
        </w:tc>
      </w:tr>
      <w:tr w:rsidR="005E6484" w:rsidRPr="00D01DDB" w14:paraId="0E6D55A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65A34A" w14:textId="137A9ABE" w:rsidR="005E6484" w:rsidRDefault="005E6484" w:rsidP="005E6484">
            <w:r>
              <w:t>ORR</w:t>
            </w:r>
          </w:p>
        </w:tc>
        <w:tc>
          <w:tcPr>
            <w:tcW w:w="3800" w:type="pct"/>
          </w:tcPr>
          <w:p w14:paraId="6F363A74" w14:textId="618F26AA" w:rsidR="005E6484" w:rsidRDefault="005E6484" w:rsidP="005E6484">
            <w:pPr>
              <w:cnfStyle w:val="000000000000" w:firstRow="0" w:lastRow="0" w:firstColumn="0" w:lastColumn="0" w:oddVBand="0" w:evenVBand="0" w:oddHBand="0" w:evenHBand="0" w:firstRowFirstColumn="0" w:firstRowLastColumn="0" w:lastRowFirstColumn="0" w:lastRowLastColumn="0"/>
            </w:pPr>
            <w:r>
              <w:t>overall response rate</w:t>
            </w:r>
          </w:p>
        </w:tc>
      </w:tr>
      <w:tr w:rsidR="005E6484" w:rsidRPr="00D01DDB" w14:paraId="01579C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AFE01F" w14:textId="190CE0ED" w:rsidR="005E6484" w:rsidRDefault="005E6484" w:rsidP="005E6484">
            <w:r>
              <w:t>PD</w:t>
            </w:r>
          </w:p>
        </w:tc>
        <w:tc>
          <w:tcPr>
            <w:tcW w:w="3800" w:type="pct"/>
          </w:tcPr>
          <w:p w14:paraId="0535F07D" w14:textId="1E1D9627" w:rsidR="005E6484" w:rsidRDefault="005E6484" w:rsidP="005E6484">
            <w:pPr>
              <w:cnfStyle w:val="000000000000" w:firstRow="0" w:lastRow="0" w:firstColumn="0" w:lastColumn="0" w:oddVBand="0" w:evenVBand="0" w:oddHBand="0" w:evenHBand="0" w:firstRowFirstColumn="0" w:firstRowLastColumn="0" w:lastRowFirstColumn="0" w:lastRowLastColumn="0"/>
            </w:pPr>
            <w:r>
              <w:t>pharmacodynamics</w:t>
            </w:r>
          </w:p>
        </w:tc>
      </w:tr>
      <w:tr w:rsidR="005E6484" w:rsidRPr="00D01DDB" w14:paraId="23F89C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E393E0" w14:textId="13AA48E9" w:rsidR="005E6484" w:rsidRDefault="005E6484" w:rsidP="005E6484">
            <w:r w:rsidRPr="0027094C">
              <w:t xml:space="preserve">PFS </w:t>
            </w:r>
          </w:p>
        </w:tc>
        <w:tc>
          <w:tcPr>
            <w:tcW w:w="3800" w:type="pct"/>
          </w:tcPr>
          <w:p w14:paraId="5EACBDC2" w14:textId="06BBC753"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progression-free survival</w:t>
            </w:r>
          </w:p>
        </w:tc>
      </w:tr>
      <w:tr w:rsidR="005E6484" w:rsidRPr="00D01DDB" w14:paraId="7B6DBC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F25587" w14:textId="3BD5E3F3" w:rsidR="005E6484" w:rsidRPr="0027094C" w:rsidRDefault="005E6484" w:rsidP="005E6484">
            <w:r>
              <w:t>PI</w:t>
            </w:r>
          </w:p>
        </w:tc>
        <w:tc>
          <w:tcPr>
            <w:tcW w:w="3800" w:type="pct"/>
          </w:tcPr>
          <w:p w14:paraId="51C7DCC8" w14:textId="1796A53D"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product information</w:t>
            </w:r>
          </w:p>
        </w:tc>
      </w:tr>
      <w:tr w:rsidR="005E6484" w:rsidRPr="00D01DDB" w14:paraId="6EF4D15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B84141" w14:textId="41100E7C" w:rsidR="005E6484" w:rsidRDefault="005E6484" w:rsidP="005E6484">
            <w:r w:rsidRPr="0027094C">
              <w:t xml:space="preserve">PK </w:t>
            </w:r>
          </w:p>
        </w:tc>
        <w:tc>
          <w:tcPr>
            <w:tcW w:w="3800" w:type="pct"/>
          </w:tcPr>
          <w:p w14:paraId="49AC3833" w14:textId="20088C15"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pharmacokinetic</w:t>
            </w:r>
            <w:r>
              <w:t>s</w:t>
            </w:r>
          </w:p>
        </w:tc>
      </w:tr>
      <w:tr w:rsidR="005E6484" w:rsidRPr="00D01DDB" w14:paraId="65EB3E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E03F81" w14:textId="0CC87DAE" w:rsidR="005E6484" w:rsidRPr="0027094C" w:rsidRDefault="005E6484" w:rsidP="005E6484">
            <w:r w:rsidRPr="0027094C">
              <w:t xml:space="preserve">popPK </w:t>
            </w:r>
          </w:p>
        </w:tc>
        <w:tc>
          <w:tcPr>
            <w:tcW w:w="3800" w:type="pct"/>
          </w:tcPr>
          <w:p w14:paraId="06F0FB74" w14:textId="028A27E6"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population pharmacokinetics</w:t>
            </w:r>
          </w:p>
        </w:tc>
      </w:tr>
      <w:tr w:rsidR="005E6484" w:rsidRPr="00D01DDB" w14:paraId="02D7FD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562EDE" w14:textId="3333B8D8" w:rsidR="005E6484" w:rsidRDefault="005E6484" w:rsidP="005E6484">
            <w:r w:rsidRPr="0027094C">
              <w:t xml:space="preserve">PR </w:t>
            </w:r>
          </w:p>
        </w:tc>
        <w:tc>
          <w:tcPr>
            <w:tcW w:w="3800" w:type="pct"/>
          </w:tcPr>
          <w:p w14:paraId="3C50CD12" w14:textId="624705F8"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partial response</w:t>
            </w:r>
          </w:p>
        </w:tc>
      </w:tr>
      <w:tr w:rsidR="005E6484" w:rsidRPr="00D01DDB" w14:paraId="199447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B90598" w14:textId="688176FF" w:rsidR="005E6484" w:rsidRPr="0027094C" w:rsidRDefault="005E6484" w:rsidP="005E6484">
            <w:r w:rsidRPr="0027094C">
              <w:t xml:space="preserve">PR-L </w:t>
            </w:r>
          </w:p>
        </w:tc>
        <w:tc>
          <w:tcPr>
            <w:tcW w:w="3800" w:type="pct"/>
          </w:tcPr>
          <w:p w14:paraId="6F187D85" w14:textId="49BEFCC9"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27094C">
              <w:t>partial response with lymphocytosis</w:t>
            </w:r>
          </w:p>
        </w:tc>
      </w:tr>
      <w:tr w:rsidR="005E6484" w:rsidRPr="00D01DDB" w14:paraId="6F783F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B50AB6" w14:textId="7318CFA8" w:rsidR="005E6484" w:rsidRPr="0027094C" w:rsidRDefault="005E6484" w:rsidP="005E6484">
            <w:r>
              <w:t>PRO</w:t>
            </w:r>
          </w:p>
        </w:tc>
        <w:tc>
          <w:tcPr>
            <w:tcW w:w="3800" w:type="pct"/>
          </w:tcPr>
          <w:p w14:paraId="1568C5C8" w14:textId="19E367BB"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patient reported outcome</w:t>
            </w:r>
          </w:p>
        </w:tc>
      </w:tr>
      <w:tr w:rsidR="005E6484" w:rsidRPr="00D01DDB" w14:paraId="42E316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56BAF0" w14:textId="1CE58076" w:rsidR="005E6484" w:rsidRDefault="005E6484" w:rsidP="005E6484">
            <w:r>
              <w:t>PT</w:t>
            </w:r>
          </w:p>
        </w:tc>
        <w:tc>
          <w:tcPr>
            <w:tcW w:w="3800" w:type="pct"/>
          </w:tcPr>
          <w:p w14:paraId="1E4E74C9" w14:textId="2B7DE2CB" w:rsidR="005E6484" w:rsidRDefault="005E6484" w:rsidP="005E6484">
            <w:pPr>
              <w:cnfStyle w:val="000000000000" w:firstRow="0" w:lastRow="0" w:firstColumn="0" w:lastColumn="0" w:oddVBand="0" w:evenVBand="0" w:oddHBand="0" w:evenHBand="0" w:firstRowFirstColumn="0" w:firstRowLastColumn="0" w:lastRowFirstColumn="0" w:lastRowLastColumn="0"/>
            </w:pPr>
            <w:r>
              <w:t>preferred term</w:t>
            </w:r>
          </w:p>
        </w:tc>
      </w:tr>
      <w:tr w:rsidR="005E6484" w:rsidRPr="00D01DDB" w14:paraId="7554B1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C94889" w14:textId="4D3A23C4" w:rsidR="005E6484" w:rsidRDefault="005E6484" w:rsidP="005E6484">
            <w:r>
              <w:t>QoL</w:t>
            </w:r>
          </w:p>
        </w:tc>
        <w:tc>
          <w:tcPr>
            <w:tcW w:w="3800" w:type="pct"/>
          </w:tcPr>
          <w:p w14:paraId="26F08CC2" w14:textId="4A7AF43D" w:rsidR="005E6484" w:rsidRDefault="005E6484" w:rsidP="005E6484">
            <w:pPr>
              <w:cnfStyle w:val="000000000000" w:firstRow="0" w:lastRow="0" w:firstColumn="0" w:lastColumn="0" w:oddVBand="0" w:evenVBand="0" w:oddHBand="0" w:evenHBand="0" w:firstRowFirstColumn="0" w:firstRowLastColumn="0" w:lastRowFirstColumn="0" w:lastRowLastColumn="0"/>
            </w:pPr>
            <w:r>
              <w:t>quality of life</w:t>
            </w:r>
          </w:p>
        </w:tc>
      </w:tr>
      <w:tr w:rsidR="005E6484" w:rsidRPr="00D01DDB" w14:paraId="624CFC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DF0F2B" w14:textId="3E90EA44" w:rsidR="005E6484" w:rsidRDefault="005E6484" w:rsidP="005E6484">
            <w:r>
              <w:t>QTc F</w:t>
            </w:r>
          </w:p>
        </w:tc>
        <w:tc>
          <w:tcPr>
            <w:tcW w:w="3800" w:type="pct"/>
          </w:tcPr>
          <w:p w14:paraId="6755D158" w14:textId="5878136F" w:rsidR="005E6484" w:rsidRDefault="005E6484" w:rsidP="005E6484">
            <w:pPr>
              <w:cnfStyle w:val="000000000000" w:firstRow="0" w:lastRow="0" w:firstColumn="0" w:lastColumn="0" w:oddVBand="0" w:evenVBand="0" w:oddHBand="0" w:evenHBand="0" w:firstRowFirstColumn="0" w:firstRowLastColumn="0" w:lastRowFirstColumn="0" w:lastRowLastColumn="0"/>
            </w:pPr>
            <w:r>
              <w:t xml:space="preserve">QT interval </w:t>
            </w:r>
            <w:r w:rsidRPr="009B69D0">
              <w:t>using the Fridericia correction</w:t>
            </w:r>
          </w:p>
        </w:tc>
      </w:tr>
      <w:tr w:rsidR="005E6484" w:rsidRPr="00D01DDB" w14:paraId="43EFB1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4FE4F8" w14:textId="5D694007" w:rsidR="005E6484" w:rsidRDefault="005E6484" w:rsidP="005E6484">
            <w:r w:rsidRPr="0027094C">
              <w:t xml:space="preserve">RR </w:t>
            </w:r>
          </w:p>
        </w:tc>
        <w:tc>
          <w:tcPr>
            <w:tcW w:w="3800" w:type="pct"/>
          </w:tcPr>
          <w:p w14:paraId="680FDF20" w14:textId="29CA3EBC"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relapsed/refractory</w:t>
            </w:r>
          </w:p>
        </w:tc>
      </w:tr>
      <w:tr w:rsidR="005E6484" w:rsidRPr="00D01DDB" w14:paraId="6423464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C45D69" w14:textId="384BA3C7" w:rsidR="005E6484" w:rsidRPr="0027094C" w:rsidRDefault="005E6484" w:rsidP="005E6484">
            <w:r>
              <w:t>SAE</w:t>
            </w:r>
          </w:p>
        </w:tc>
        <w:tc>
          <w:tcPr>
            <w:tcW w:w="3800" w:type="pct"/>
          </w:tcPr>
          <w:p w14:paraId="2B407DB5" w14:textId="48D6D38C"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serious adverse events</w:t>
            </w:r>
          </w:p>
        </w:tc>
      </w:tr>
      <w:tr w:rsidR="005E6484" w:rsidRPr="00D01DDB" w14:paraId="66C125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2D7F52" w14:textId="1AB5FB73" w:rsidR="005E6484" w:rsidRDefault="005E6484" w:rsidP="005E6484">
            <w:r w:rsidRPr="0027094C">
              <w:t xml:space="preserve">SLL </w:t>
            </w:r>
          </w:p>
        </w:tc>
        <w:tc>
          <w:tcPr>
            <w:tcW w:w="3800" w:type="pct"/>
          </w:tcPr>
          <w:p w14:paraId="2C7A3146" w14:textId="527C1AF5"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small lymphocytic lymphoma</w:t>
            </w:r>
          </w:p>
        </w:tc>
      </w:tr>
      <w:tr w:rsidR="005E6484" w:rsidRPr="00D01DDB" w14:paraId="522B53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F6D171" w14:textId="633F0CAD" w:rsidR="005E6484" w:rsidRPr="0027094C" w:rsidRDefault="005E6484" w:rsidP="005E6484">
            <w:r>
              <w:t>SOC</w:t>
            </w:r>
          </w:p>
        </w:tc>
        <w:tc>
          <w:tcPr>
            <w:tcW w:w="3800" w:type="pct"/>
          </w:tcPr>
          <w:p w14:paraId="01CDE087" w14:textId="04D6436F" w:rsidR="005E6484" w:rsidRDefault="005E6484" w:rsidP="005E6484">
            <w:pPr>
              <w:cnfStyle w:val="000000000000" w:firstRow="0" w:lastRow="0" w:firstColumn="0" w:lastColumn="0" w:oddVBand="0" w:evenVBand="0" w:oddHBand="0" w:evenHBand="0" w:firstRowFirstColumn="0" w:firstRowLastColumn="0" w:lastRowFirstColumn="0" w:lastRowLastColumn="0"/>
            </w:pPr>
            <w:r>
              <w:t>system organ class</w:t>
            </w:r>
          </w:p>
        </w:tc>
      </w:tr>
      <w:tr w:rsidR="005E6484" w:rsidRPr="00D01DDB" w14:paraId="734388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CA51A6" w14:textId="00C76EEF" w:rsidR="005E6484" w:rsidRDefault="005E6484" w:rsidP="005E6484">
            <w:r>
              <w:t>TEAE</w:t>
            </w:r>
          </w:p>
        </w:tc>
        <w:tc>
          <w:tcPr>
            <w:tcW w:w="3800" w:type="pct"/>
          </w:tcPr>
          <w:p w14:paraId="39AB14A3" w14:textId="7DF78563" w:rsidR="005E6484" w:rsidRDefault="005E6484" w:rsidP="005E6484">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5E6484" w:rsidRPr="00D01DDB" w14:paraId="3DAB67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DED132" w14:textId="73ADE319" w:rsidR="005E6484" w:rsidRDefault="005E6484" w:rsidP="005E6484">
            <w:r w:rsidRPr="0027094C">
              <w:t xml:space="preserve">TEC </w:t>
            </w:r>
          </w:p>
        </w:tc>
        <w:tc>
          <w:tcPr>
            <w:tcW w:w="3800" w:type="pct"/>
          </w:tcPr>
          <w:p w14:paraId="5D0C587C" w14:textId="70EE3B3A"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tyrosine kinase expressed in hepatocellular carcinoma</w:t>
            </w:r>
          </w:p>
        </w:tc>
      </w:tr>
      <w:tr w:rsidR="005E6484" w:rsidRPr="00D01DDB" w14:paraId="700244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790928" w14:textId="52D78079" w:rsidR="005E6484" w:rsidRPr="0027094C" w:rsidRDefault="005E6484" w:rsidP="005E6484">
            <w:r w:rsidRPr="00D01DDB">
              <w:rPr>
                <w:szCs w:val="22"/>
              </w:rPr>
              <w:t>TGA</w:t>
            </w:r>
          </w:p>
        </w:tc>
        <w:tc>
          <w:tcPr>
            <w:tcW w:w="3800" w:type="pct"/>
          </w:tcPr>
          <w:p w14:paraId="2660F0CA" w14:textId="306871AF"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rsidRPr="00D01DDB">
              <w:rPr>
                <w:szCs w:val="22"/>
              </w:rPr>
              <w:t>Therapeutic Goods Administration</w:t>
            </w:r>
          </w:p>
        </w:tc>
      </w:tr>
      <w:tr w:rsidR="005E6484" w:rsidRPr="00D01DDB" w14:paraId="6AF0A3D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5E4A3F" w14:textId="2CCB9A0C" w:rsidR="005E6484" w:rsidRPr="0027094C" w:rsidRDefault="005E6484" w:rsidP="005E6484">
            <w:r>
              <w:t>Tmax</w:t>
            </w:r>
          </w:p>
        </w:tc>
        <w:tc>
          <w:tcPr>
            <w:tcW w:w="3800" w:type="pct"/>
          </w:tcPr>
          <w:p w14:paraId="17531F9E" w14:textId="19E197E7" w:rsidR="005E6484" w:rsidRPr="0027094C" w:rsidRDefault="005E6484" w:rsidP="005E6484">
            <w:pPr>
              <w:cnfStyle w:val="000000000000" w:firstRow="0" w:lastRow="0" w:firstColumn="0" w:lastColumn="0" w:oddVBand="0" w:evenVBand="0" w:oddHBand="0" w:evenHBand="0" w:firstRowFirstColumn="0" w:firstRowLastColumn="0" w:lastRowFirstColumn="0" w:lastRowLastColumn="0"/>
            </w:pPr>
            <w:r>
              <w:t>time to maximum observed plasma concentration</w:t>
            </w:r>
          </w:p>
        </w:tc>
      </w:tr>
      <w:tr w:rsidR="005E6484" w:rsidRPr="00D01DDB" w14:paraId="3152AE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54CBDC" w14:textId="4BFCA4D0" w:rsidR="005E6484" w:rsidRDefault="005E6484" w:rsidP="005E6484">
            <w:r w:rsidRPr="0027094C">
              <w:t xml:space="preserve">TN </w:t>
            </w:r>
          </w:p>
        </w:tc>
        <w:tc>
          <w:tcPr>
            <w:tcW w:w="3800" w:type="pct"/>
          </w:tcPr>
          <w:p w14:paraId="531D97BA" w14:textId="364B8A44"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treatment-naïve</w:t>
            </w:r>
          </w:p>
        </w:tc>
      </w:tr>
      <w:tr w:rsidR="005E6484" w:rsidRPr="00D01DDB" w14:paraId="6EE19B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D523BC" w14:textId="6010AFFE" w:rsidR="005E6484" w:rsidRDefault="005E6484" w:rsidP="005E6484">
            <w:r w:rsidRPr="0027094C">
              <w:t xml:space="preserve">WM </w:t>
            </w:r>
          </w:p>
        </w:tc>
        <w:tc>
          <w:tcPr>
            <w:tcW w:w="3800" w:type="pct"/>
          </w:tcPr>
          <w:p w14:paraId="4BC8BC03" w14:textId="7B3C9264" w:rsidR="005E6484" w:rsidRDefault="005E6484" w:rsidP="005E6484">
            <w:pPr>
              <w:cnfStyle w:val="000000000000" w:firstRow="0" w:lastRow="0" w:firstColumn="0" w:lastColumn="0" w:oddVBand="0" w:evenVBand="0" w:oddHBand="0" w:evenHBand="0" w:firstRowFirstColumn="0" w:firstRowLastColumn="0" w:lastRowFirstColumn="0" w:lastRowLastColumn="0"/>
            </w:pPr>
            <w:r w:rsidRPr="0027094C">
              <w:t>Waldenström</w:t>
            </w:r>
            <w:r>
              <w:t>’</w:t>
            </w:r>
            <w:r w:rsidRPr="0027094C">
              <w:t>s macroglobulinaemia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4DDCA9F" w:rsidR="00324B33" w:rsidRDefault="007841C6" w:rsidP="00343D93">
      <w:pPr>
        <w:pStyle w:val="Heading2"/>
      </w:pPr>
      <w:bookmarkStart w:id="5" w:name="_Toc103679288"/>
      <w:bookmarkStart w:id="6" w:name="_Toc184291843"/>
      <w:r w:rsidRPr="007841C6">
        <w:t>Brukinsa</w:t>
      </w:r>
      <w:r>
        <w:t xml:space="preserve"> (zanubrutinib)</w:t>
      </w:r>
      <w:r w:rsidRPr="007841C6">
        <w:t xml:space="preserve"> </w:t>
      </w:r>
      <w:r w:rsidR="00324B33">
        <w:t>submission</w:t>
      </w:r>
      <w:bookmarkEnd w:id="5"/>
      <w:bookmarkEnd w:id="6"/>
    </w:p>
    <w:tbl>
      <w:tblPr>
        <w:tblW w:w="5000" w:type="pct"/>
        <w:tblLook w:val="01E0" w:firstRow="1" w:lastRow="1" w:firstColumn="1" w:lastColumn="1" w:noHBand="0" w:noVBand="0"/>
      </w:tblPr>
      <w:tblGrid>
        <w:gridCol w:w="4110"/>
        <w:gridCol w:w="4916"/>
      </w:tblGrid>
      <w:tr w:rsidR="00324B33" w:rsidRPr="00BD5DBD" w14:paraId="77D11C95" w14:textId="77777777" w:rsidTr="006D2A7F">
        <w:tc>
          <w:tcPr>
            <w:tcW w:w="2277" w:type="pct"/>
          </w:tcPr>
          <w:p w14:paraId="10E57D62" w14:textId="38B365F4" w:rsidR="00324B33" w:rsidRPr="007841C6" w:rsidRDefault="00324B33" w:rsidP="006D2A7F">
            <w:pPr>
              <w:rPr>
                <w:b/>
                <w:bCs/>
                <w:i/>
                <w:szCs w:val="22"/>
              </w:rPr>
            </w:pPr>
            <w:r w:rsidRPr="007841C6">
              <w:rPr>
                <w:b/>
                <w:bCs/>
                <w:i/>
                <w:szCs w:val="22"/>
              </w:rPr>
              <w:t>Type of submission:</w:t>
            </w:r>
          </w:p>
        </w:tc>
        <w:tc>
          <w:tcPr>
            <w:tcW w:w="2723" w:type="pct"/>
          </w:tcPr>
          <w:p w14:paraId="4F07C303" w14:textId="2487805B" w:rsidR="00324B33" w:rsidRPr="00BD5DBD" w:rsidRDefault="009016C2" w:rsidP="007452E8">
            <w:pPr>
              <w:rPr>
                <w:szCs w:val="22"/>
              </w:rPr>
            </w:pPr>
            <w:r w:rsidRPr="009016C2">
              <w:rPr>
                <w:szCs w:val="22"/>
              </w:rPr>
              <w:t>Extension of indications</w:t>
            </w:r>
          </w:p>
        </w:tc>
      </w:tr>
      <w:tr w:rsidR="00324B33" w:rsidRPr="00BD5DBD" w14:paraId="13482B61" w14:textId="77777777" w:rsidTr="006D2A7F">
        <w:tc>
          <w:tcPr>
            <w:tcW w:w="2277" w:type="pct"/>
          </w:tcPr>
          <w:p w14:paraId="2C427FCF" w14:textId="01211908" w:rsidR="00324B33" w:rsidRPr="007841C6" w:rsidRDefault="00324B33" w:rsidP="006D2A7F">
            <w:pPr>
              <w:rPr>
                <w:b/>
                <w:bCs/>
                <w:i/>
                <w:szCs w:val="22"/>
              </w:rPr>
            </w:pPr>
            <w:r w:rsidRPr="007841C6">
              <w:rPr>
                <w:b/>
                <w:bCs/>
                <w:i/>
                <w:szCs w:val="22"/>
              </w:rPr>
              <w:t>Product name:</w:t>
            </w:r>
          </w:p>
        </w:tc>
        <w:tc>
          <w:tcPr>
            <w:tcW w:w="2723" w:type="pct"/>
          </w:tcPr>
          <w:p w14:paraId="0E2DEF76" w14:textId="6F7DA926" w:rsidR="00324B33" w:rsidRPr="00BD5DBD" w:rsidRDefault="005E6484" w:rsidP="007452E8">
            <w:pPr>
              <w:rPr>
                <w:szCs w:val="22"/>
              </w:rPr>
            </w:pPr>
            <w:r>
              <w:rPr>
                <w:szCs w:val="22"/>
              </w:rPr>
              <w:t>Brukinsa</w:t>
            </w:r>
          </w:p>
        </w:tc>
      </w:tr>
      <w:tr w:rsidR="00324B33" w:rsidRPr="00BD5DBD" w14:paraId="01255B5B" w14:textId="77777777" w:rsidTr="006D2A7F">
        <w:tc>
          <w:tcPr>
            <w:tcW w:w="2277" w:type="pct"/>
          </w:tcPr>
          <w:p w14:paraId="52B4F3D7" w14:textId="2024E8F9" w:rsidR="00324B33" w:rsidRPr="007841C6" w:rsidRDefault="00324B33" w:rsidP="006D2A7F">
            <w:pPr>
              <w:rPr>
                <w:b/>
                <w:bCs/>
                <w:i/>
                <w:szCs w:val="22"/>
              </w:rPr>
            </w:pPr>
            <w:r w:rsidRPr="007841C6">
              <w:rPr>
                <w:b/>
                <w:bCs/>
                <w:i/>
                <w:szCs w:val="22"/>
              </w:rPr>
              <w:t>Active ingredient:</w:t>
            </w:r>
          </w:p>
        </w:tc>
        <w:tc>
          <w:tcPr>
            <w:tcW w:w="2723" w:type="pct"/>
          </w:tcPr>
          <w:p w14:paraId="02FB6383" w14:textId="33E6D83A" w:rsidR="00324B33" w:rsidRPr="00BD5DBD" w:rsidRDefault="002544E7" w:rsidP="007452E8">
            <w:pPr>
              <w:rPr>
                <w:szCs w:val="22"/>
              </w:rPr>
            </w:pPr>
            <w:r>
              <w:rPr>
                <w:szCs w:val="22"/>
              </w:rPr>
              <w:t>z</w:t>
            </w:r>
            <w:r w:rsidRPr="002544E7">
              <w:rPr>
                <w:szCs w:val="22"/>
              </w:rPr>
              <w:t>anubrutinib</w:t>
            </w:r>
          </w:p>
        </w:tc>
      </w:tr>
      <w:tr w:rsidR="00324B33" w:rsidRPr="00BD5DBD" w14:paraId="219A281B" w14:textId="77777777" w:rsidTr="006D2A7F">
        <w:tc>
          <w:tcPr>
            <w:tcW w:w="2277" w:type="pct"/>
          </w:tcPr>
          <w:p w14:paraId="112E5F78" w14:textId="77777777" w:rsidR="00324B33" w:rsidRPr="007841C6" w:rsidRDefault="00324B33" w:rsidP="006D2A7F">
            <w:pPr>
              <w:rPr>
                <w:b/>
                <w:bCs/>
                <w:i/>
                <w:szCs w:val="22"/>
              </w:rPr>
            </w:pPr>
            <w:r w:rsidRPr="007841C6">
              <w:rPr>
                <w:b/>
                <w:bCs/>
                <w:i/>
                <w:szCs w:val="22"/>
              </w:rPr>
              <w:t>Decision:</w:t>
            </w:r>
          </w:p>
        </w:tc>
        <w:tc>
          <w:tcPr>
            <w:tcW w:w="2723" w:type="pct"/>
          </w:tcPr>
          <w:p w14:paraId="3B114BEA" w14:textId="51E2DADE" w:rsidR="00324B33" w:rsidRPr="00BD5DBD" w:rsidRDefault="00324B33" w:rsidP="007452E8">
            <w:pPr>
              <w:rPr>
                <w:szCs w:val="22"/>
              </w:rPr>
            </w:pPr>
            <w:r w:rsidRPr="00BD5DBD">
              <w:rPr>
                <w:szCs w:val="22"/>
              </w:rPr>
              <w:t>Approved</w:t>
            </w:r>
          </w:p>
        </w:tc>
      </w:tr>
      <w:tr w:rsidR="00AE1947" w:rsidRPr="00BD5DBD" w14:paraId="32B72632" w14:textId="77777777" w:rsidTr="006D2A7F">
        <w:tc>
          <w:tcPr>
            <w:tcW w:w="2277" w:type="pct"/>
          </w:tcPr>
          <w:p w14:paraId="332A5CD5" w14:textId="65682B5F" w:rsidR="00AE1947" w:rsidRPr="007841C6" w:rsidRDefault="00AE1947" w:rsidP="006D2A7F">
            <w:pPr>
              <w:rPr>
                <w:b/>
                <w:bCs/>
              </w:rPr>
            </w:pPr>
            <w:r w:rsidRPr="007841C6">
              <w:rPr>
                <w:b/>
                <w:bCs/>
                <w:i/>
                <w:szCs w:val="22"/>
              </w:rPr>
              <w:t>Date of decision:</w:t>
            </w:r>
          </w:p>
        </w:tc>
        <w:tc>
          <w:tcPr>
            <w:tcW w:w="2723" w:type="pct"/>
          </w:tcPr>
          <w:p w14:paraId="7B381CD6" w14:textId="2C326171" w:rsidR="00AE1947" w:rsidRPr="00BD5DBD" w:rsidRDefault="002544E7" w:rsidP="00602658">
            <w:pPr>
              <w:rPr>
                <w:szCs w:val="22"/>
              </w:rPr>
            </w:pPr>
            <w:r w:rsidRPr="002544E7">
              <w:rPr>
                <w:szCs w:val="22"/>
              </w:rPr>
              <w:t>1 March 2023</w:t>
            </w:r>
          </w:p>
        </w:tc>
      </w:tr>
      <w:tr w:rsidR="00324B33" w:rsidRPr="00BD5DBD" w14:paraId="60A25F5A" w14:textId="77777777" w:rsidTr="006D2A7F">
        <w:tc>
          <w:tcPr>
            <w:tcW w:w="2277" w:type="pct"/>
          </w:tcPr>
          <w:p w14:paraId="5C5E4CBA" w14:textId="77777777" w:rsidR="00324B33" w:rsidRPr="007841C6" w:rsidRDefault="00324B33" w:rsidP="006D2A7F">
            <w:pPr>
              <w:rPr>
                <w:b/>
                <w:bCs/>
                <w:i/>
                <w:szCs w:val="22"/>
              </w:rPr>
            </w:pPr>
            <w:r w:rsidRPr="007841C6">
              <w:rPr>
                <w:b/>
                <w:bCs/>
                <w:i/>
                <w:szCs w:val="22"/>
              </w:rPr>
              <w:t>Date of entry onto ARTG:</w:t>
            </w:r>
          </w:p>
        </w:tc>
        <w:tc>
          <w:tcPr>
            <w:tcW w:w="2723" w:type="pct"/>
          </w:tcPr>
          <w:p w14:paraId="28B270E9" w14:textId="27ADDEA1" w:rsidR="00324B33" w:rsidRPr="00BD5DBD" w:rsidRDefault="002544E7" w:rsidP="007452E8">
            <w:pPr>
              <w:rPr>
                <w:szCs w:val="22"/>
              </w:rPr>
            </w:pPr>
            <w:r>
              <w:rPr>
                <w:szCs w:val="22"/>
              </w:rPr>
              <w:t>3 March 2023</w:t>
            </w:r>
          </w:p>
        </w:tc>
      </w:tr>
      <w:tr w:rsidR="00324B33" w:rsidRPr="00BD5DBD" w14:paraId="547E08D7" w14:textId="77777777" w:rsidTr="006D2A7F">
        <w:tc>
          <w:tcPr>
            <w:tcW w:w="2277" w:type="pct"/>
          </w:tcPr>
          <w:p w14:paraId="5030EF30" w14:textId="4A5BBBA2" w:rsidR="00324B33" w:rsidRPr="007841C6" w:rsidRDefault="00324B33" w:rsidP="006D2A7F">
            <w:pPr>
              <w:rPr>
                <w:b/>
                <w:bCs/>
                <w:i/>
                <w:szCs w:val="22"/>
              </w:rPr>
            </w:pPr>
            <w:r w:rsidRPr="007841C6">
              <w:rPr>
                <w:b/>
                <w:bCs/>
                <w:i/>
                <w:szCs w:val="22"/>
              </w:rPr>
              <w:t>ARTG numbe</w:t>
            </w:r>
            <w:r w:rsidR="007076FA" w:rsidRPr="007841C6">
              <w:rPr>
                <w:b/>
                <w:bCs/>
                <w:i/>
                <w:szCs w:val="22"/>
              </w:rPr>
              <w:t>r</w:t>
            </w:r>
            <w:r w:rsidRPr="007841C6">
              <w:rPr>
                <w:b/>
                <w:bCs/>
                <w:i/>
                <w:szCs w:val="22"/>
              </w:rPr>
              <w:t>:</w:t>
            </w:r>
          </w:p>
        </w:tc>
        <w:tc>
          <w:tcPr>
            <w:tcW w:w="2723" w:type="pct"/>
          </w:tcPr>
          <w:p w14:paraId="0054E912" w14:textId="5A9C958E" w:rsidR="00324B33" w:rsidRPr="00BD5DBD" w:rsidRDefault="002544E7" w:rsidP="007452E8">
            <w:pPr>
              <w:rPr>
                <w:szCs w:val="22"/>
              </w:rPr>
            </w:pPr>
            <w:r w:rsidRPr="002544E7">
              <w:rPr>
                <w:szCs w:val="22"/>
              </w:rPr>
              <w:t>338475</w:t>
            </w:r>
          </w:p>
        </w:tc>
      </w:tr>
      <w:tr w:rsidR="00324B33" w:rsidRPr="00BD5DBD" w14:paraId="7618393F" w14:textId="77777777" w:rsidTr="006D2A7F">
        <w:tc>
          <w:tcPr>
            <w:tcW w:w="2277" w:type="pct"/>
          </w:tcPr>
          <w:p w14:paraId="02260DE2" w14:textId="4D06064E" w:rsidR="00324B33" w:rsidRPr="007841C6" w:rsidRDefault="00324B33" w:rsidP="006D2A7F">
            <w:pPr>
              <w:rPr>
                <w:b/>
                <w:bCs/>
                <w:i/>
                <w:color w:val="0000FF"/>
                <w:szCs w:val="22"/>
                <w:u w:val="single"/>
              </w:rPr>
            </w:pPr>
            <w:hyperlink r:id="rId18" w:history="1">
              <w:r w:rsidRPr="007841C6">
                <w:rPr>
                  <w:rStyle w:val="Hyperlink"/>
                  <w:b/>
                  <w:bCs/>
                  <w:i/>
                  <w:szCs w:val="22"/>
                </w:rPr>
                <w:t>Black Triangle Scheme</w:t>
              </w:r>
            </w:hyperlink>
          </w:p>
        </w:tc>
        <w:tc>
          <w:tcPr>
            <w:tcW w:w="2723" w:type="pct"/>
          </w:tcPr>
          <w:p w14:paraId="6FF3C6A2" w14:textId="3ADA23F9" w:rsidR="00324B33" w:rsidRPr="00BD5DBD" w:rsidRDefault="00324B33" w:rsidP="007452E8">
            <w:pPr>
              <w:rPr>
                <w:szCs w:val="22"/>
              </w:rPr>
            </w:pPr>
            <w:r w:rsidRPr="00BD5DBD">
              <w:rPr>
                <w:szCs w:val="22"/>
              </w:rPr>
              <w:t>No</w:t>
            </w:r>
          </w:p>
        </w:tc>
      </w:tr>
      <w:tr w:rsidR="00324B33" w:rsidRPr="00BD5DBD" w14:paraId="179E09FE" w14:textId="77777777" w:rsidTr="006D2A7F">
        <w:tc>
          <w:tcPr>
            <w:tcW w:w="2277" w:type="pct"/>
          </w:tcPr>
          <w:p w14:paraId="1A592498" w14:textId="0511088F" w:rsidR="00324B33" w:rsidRPr="007841C6" w:rsidRDefault="008A5005" w:rsidP="006D2A7F">
            <w:pPr>
              <w:rPr>
                <w:b/>
                <w:bCs/>
                <w:i/>
                <w:szCs w:val="22"/>
              </w:rPr>
            </w:pPr>
            <w:r>
              <w:rPr>
                <w:b/>
                <w:bCs/>
                <w:i/>
                <w:szCs w:val="22"/>
              </w:rPr>
              <w:t>Sponsor</w:t>
            </w:r>
            <w:r w:rsidR="00324B33" w:rsidRPr="007841C6">
              <w:rPr>
                <w:b/>
                <w:bCs/>
                <w:i/>
                <w:szCs w:val="22"/>
              </w:rPr>
              <w:t>’s name and address:</w:t>
            </w:r>
          </w:p>
        </w:tc>
        <w:tc>
          <w:tcPr>
            <w:tcW w:w="2723" w:type="pct"/>
          </w:tcPr>
          <w:p w14:paraId="68DD94B0" w14:textId="6A04ACED" w:rsidR="00324B33" w:rsidRPr="00BD5DBD" w:rsidRDefault="002544E7" w:rsidP="00343D93">
            <w:pPr>
              <w:rPr>
                <w:szCs w:val="22"/>
              </w:rPr>
            </w:pPr>
            <w:proofErr w:type="spellStart"/>
            <w:r w:rsidRPr="002544E7">
              <w:rPr>
                <w:szCs w:val="22"/>
              </w:rPr>
              <w:t>BeiGene</w:t>
            </w:r>
            <w:proofErr w:type="spellEnd"/>
            <w:r w:rsidRPr="002544E7">
              <w:rPr>
                <w:szCs w:val="22"/>
              </w:rPr>
              <w:t xml:space="preserve"> AUS Pty Ltd</w:t>
            </w:r>
            <w:r w:rsidR="00343D93">
              <w:rPr>
                <w:szCs w:val="22"/>
              </w:rPr>
              <w:t xml:space="preserve">, </w:t>
            </w:r>
            <w:r w:rsidR="00343D93" w:rsidRPr="00343D93">
              <w:rPr>
                <w:szCs w:val="22"/>
              </w:rPr>
              <w:t>66 Goulburn Street</w:t>
            </w:r>
            <w:r w:rsidR="00343D93">
              <w:rPr>
                <w:szCs w:val="22"/>
              </w:rPr>
              <w:t xml:space="preserve">, </w:t>
            </w:r>
            <w:r w:rsidR="00343D93" w:rsidRPr="00343D93">
              <w:rPr>
                <w:szCs w:val="22"/>
              </w:rPr>
              <w:t>Sydney NSW 2000</w:t>
            </w:r>
          </w:p>
        </w:tc>
      </w:tr>
      <w:tr w:rsidR="00324B33" w:rsidRPr="00BD5DBD" w14:paraId="5322B989" w14:textId="77777777" w:rsidTr="006D2A7F">
        <w:tc>
          <w:tcPr>
            <w:tcW w:w="2277" w:type="pct"/>
          </w:tcPr>
          <w:p w14:paraId="24F217E3" w14:textId="04ECD8A9" w:rsidR="00324B33" w:rsidRPr="007841C6" w:rsidRDefault="00324B33" w:rsidP="006D2A7F">
            <w:pPr>
              <w:rPr>
                <w:b/>
                <w:bCs/>
                <w:i/>
                <w:szCs w:val="22"/>
              </w:rPr>
            </w:pPr>
            <w:r w:rsidRPr="007841C6">
              <w:rPr>
                <w:b/>
                <w:bCs/>
                <w:i/>
                <w:szCs w:val="22"/>
              </w:rPr>
              <w:t>Dose form:</w:t>
            </w:r>
          </w:p>
        </w:tc>
        <w:tc>
          <w:tcPr>
            <w:tcW w:w="2723" w:type="pct"/>
          </w:tcPr>
          <w:p w14:paraId="768B254C" w14:textId="3F0A8717" w:rsidR="00324B33" w:rsidRPr="00BD5DBD" w:rsidRDefault="00E77E62" w:rsidP="007452E8">
            <w:pPr>
              <w:rPr>
                <w:szCs w:val="22"/>
              </w:rPr>
            </w:pPr>
            <w:r w:rsidRPr="00E77E62">
              <w:rPr>
                <w:szCs w:val="22"/>
              </w:rPr>
              <w:t>White to off-white opaque hard capsule</w:t>
            </w:r>
          </w:p>
        </w:tc>
      </w:tr>
      <w:tr w:rsidR="00324B33" w:rsidRPr="00BD5DBD" w14:paraId="115243E6" w14:textId="77777777" w:rsidTr="006D2A7F">
        <w:tc>
          <w:tcPr>
            <w:tcW w:w="2277" w:type="pct"/>
          </w:tcPr>
          <w:p w14:paraId="7634B062" w14:textId="19270146" w:rsidR="00324B33" w:rsidRPr="007841C6" w:rsidRDefault="00324B33" w:rsidP="006D2A7F">
            <w:pPr>
              <w:rPr>
                <w:b/>
                <w:bCs/>
                <w:i/>
                <w:szCs w:val="22"/>
              </w:rPr>
            </w:pPr>
            <w:r w:rsidRPr="007841C6">
              <w:rPr>
                <w:b/>
                <w:bCs/>
                <w:i/>
                <w:szCs w:val="22"/>
              </w:rPr>
              <w:t>Strength:</w:t>
            </w:r>
          </w:p>
        </w:tc>
        <w:tc>
          <w:tcPr>
            <w:tcW w:w="2723" w:type="pct"/>
          </w:tcPr>
          <w:p w14:paraId="5E5F83DB" w14:textId="506AF343" w:rsidR="00324B33" w:rsidRPr="00BD5DBD" w:rsidRDefault="00E77E62" w:rsidP="007452E8">
            <w:pPr>
              <w:rPr>
                <w:szCs w:val="22"/>
              </w:rPr>
            </w:pPr>
            <w:r w:rsidRPr="00E77E62">
              <w:rPr>
                <w:szCs w:val="22"/>
              </w:rPr>
              <w:t xml:space="preserve">Each capsule contains 80 mg zanubrutinib. </w:t>
            </w:r>
          </w:p>
        </w:tc>
      </w:tr>
      <w:tr w:rsidR="00324B33" w:rsidRPr="00BD5DBD" w14:paraId="34B07BA6" w14:textId="77777777" w:rsidTr="006D2A7F">
        <w:tc>
          <w:tcPr>
            <w:tcW w:w="2277" w:type="pct"/>
          </w:tcPr>
          <w:p w14:paraId="1C039224" w14:textId="5167D49D" w:rsidR="00324B33" w:rsidRPr="007841C6" w:rsidRDefault="00324B33" w:rsidP="006D2A7F">
            <w:pPr>
              <w:rPr>
                <w:b/>
                <w:bCs/>
                <w:i/>
                <w:szCs w:val="22"/>
              </w:rPr>
            </w:pPr>
            <w:r w:rsidRPr="007841C6">
              <w:rPr>
                <w:b/>
                <w:bCs/>
                <w:i/>
                <w:szCs w:val="22"/>
              </w:rPr>
              <w:t>Container:</w:t>
            </w:r>
          </w:p>
        </w:tc>
        <w:tc>
          <w:tcPr>
            <w:tcW w:w="2723" w:type="pct"/>
          </w:tcPr>
          <w:p w14:paraId="500A42C6" w14:textId="4B76F189" w:rsidR="00324B33" w:rsidRPr="00BD5DBD" w:rsidRDefault="00343D93" w:rsidP="007452E8">
            <w:pPr>
              <w:rPr>
                <w:szCs w:val="22"/>
              </w:rPr>
            </w:pPr>
            <w:r w:rsidRPr="00343D93">
              <w:rPr>
                <w:szCs w:val="22"/>
              </w:rPr>
              <w:t xml:space="preserve">High-density polyethylene </w:t>
            </w:r>
            <w:r w:rsidR="00E77E62" w:rsidRPr="00E77E62">
              <w:rPr>
                <w:szCs w:val="22"/>
              </w:rPr>
              <w:t xml:space="preserve">bottles with a child-resistant polypropylene closure. </w:t>
            </w:r>
          </w:p>
        </w:tc>
      </w:tr>
      <w:tr w:rsidR="00324B33" w:rsidRPr="00BD5DBD" w14:paraId="176B6773" w14:textId="77777777" w:rsidTr="006D2A7F">
        <w:tc>
          <w:tcPr>
            <w:tcW w:w="2277" w:type="pct"/>
          </w:tcPr>
          <w:p w14:paraId="71846159" w14:textId="21E45C5E" w:rsidR="00324B33" w:rsidRPr="007841C6" w:rsidRDefault="00324B33" w:rsidP="006D2A7F">
            <w:pPr>
              <w:rPr>
                <w:b/>
                <w:bCs/>
                <w:i/>
                <w:szCs w:val="22"/>
              </w:rPr>
            </w:pPr>
            <w:r w:rsidRPr="007841C6">
              <w:rPr>
                <w:b/>
                <w:bCs/>
                <w:i/>
                <w:szCs w:val="22"/>
              </w:rPr>
              <w:t>Pack size:</w:t>
            </w:r>
          </w:p>
        </w:tc>
        <w:tc>
          <w:tcPr>
            <w:tcW w:w="2723" w:type="pct"/>
          </w:tcPr>
          <w:p w14:paraId="7E978F8F" w14:textId="0571B23E" w:rsidR="00324B33" w:rsidRPr="00BD5DBD" w:rsidRDefault="00E77E62" w:rsidP="007452E8">
            <w:pPr>
              <w:rPr>
                <w:szCs w:val="22"/>
              </w:rPr>
            </w:pPr>
            <w:r w:rsidRPr="00E77E62">
              <w:rPr>
                <w:szCs w:val="22"/>
              </w:rPr>
              <w:t xml:space="preserve">Each carton contains one bottle. Each bottle contains 120 capsules. </w:t>
            </w:r>
          </w:p>
        </w:tc>
      </w:tr>
      <w:tr w:rsidR="00324B33" w:rsidRPr="00BD5DBD" w14:paraId="19A2544A" w14:textId="77777777" w:rsidTr="006D2A7F">
        <w:tc>
          <w:tcPr>
            <w:tcW w:w="2277" w:type="pct"/>
          </w:tcPr>
          <w:p w14:paraId="0E6C5C0E" w14:textId="7DB3FC66" w:rsidR="00324B33" w:rsidRPr="007841C6" w:rsidRDefault="00324B33" w:rsidP="006D2A7F">
            <w:pPr>
              <w:rPr>
                <w:b/>
                <w:bCs/>
                <w:i/>
                <w:szCs w:val="22"/>
              </w:rPr>
            </w:pPr>
            <w:r w:rsidRPr="007841C6">
              <w:rPr>
                <w:b/>
                <w:bCs/>
                <w:i/>
                <w:szCs w:val="22"/>
              </w:rPr>
              <w:t>Approved therapeutic use</w:t>
            </w:r>
            <w:r w:rsidR="00E47E0C" w:rsidRPr="007841C6">
              <w:rPr>
                <w:b/>
                <w:bCs/>
                <w:i/>
                <w:szCs w:val="22"/>
              </w:rPr>
              <w:t xml:space="preserve"> </w:t>
            </w:r>
            <w:r w:rsidR="007B04DE" w:rsidRPr="007841C6">
              <w:rPr>
                <w:b/>
                <w:bCs/>
                <w:i/>
                <w:szCs w:val="22"/>
              </w:rPr>
              <w:t>for the current</w:t>
            </w:r>
            <w:r w:rsidR="00E47E0C" w:rsidRPr="007841C6">
              <w:rPr>
                <w:b/>
                <w:bCs/>
                <w:i/>
                <w:szCs w:val="22"/>
              </w:rPr>
              <w:t xml:space="preserve"> submission</w:t>
            </w:r>
            <w:r w:rsidRPr="007841C6">
              <w:rPr>
                <w:b/>
                <w:bCs/>
                <w:i/>
                <w:szCs w:val="22"/>
              </w:rPr>
              <w:t>:</w:t>
            </w:r>
          </w:p>
        </w:tc>
        <w:tc>
          <w:tcPr>
            <w:tcW w:w="2723" w:type="pct"/>
          </w:tcPr>
          <w:p w14:paraId="05E46B33" w14:textId="67454527" w:rsidR="00E77E62" w:rsidRPr="00E77E62" w:rsidRDefault="00E77E62" w:rsidP="00E77E62">
            <w:pPr>
              <w:rPr>
                <w:szCs w:val="22"/>
              </w:rPr>
            </w:pPr>
            <w:r w:rsidRPr="00E77E62">
              <w:rPr>
                <w:szCs w:val="22"/>
              </w:rPr>
              <w:t>Chronic Lymphocytic Leukaemia (CLL)/Small Lymphocytic Lymphoma (SLL)</w:t>
            </w:r>
          </w:p>
          <w:p w14:paraId="6E143E2E" w14:textId="1B8A924E" w:rsidR="00324B33" w:rsidRPr="00BD5DBD" w:rsidRDefault="005E6484" w:rsidP="00E77E62">
            <w:pPr>
              <w:rPr>
                <w:szCs w:val="22"/>
              </w:rPr>
            </w:pPr>
            <w:r>
              <w:rPr>
                <w:szCs w:val="22"/>
              </w:rPr>
              <w:t>Brukinsa</w:t>
            </w:r>
            <w:r w:rsidR="00E77E62" w:rsidRPr="00E77E62">
              <w:rPr>
                <w:szCs w:val="22"/>
              </w:rPr>
              <w:t xml:space="preserve"> is indicated as monotherapy for the treatment of adult patients with chronic lymphocytic leukaemia (CLL) or small lymphocytic lymphoma (SLL), including patients with deletion 17p and/or TP53 mutation.</w:t>
            </w:r>
          </w:p>
        </w:tc>
      </w:tr>
      <w:tr w:rsidR="00324B33" w:rsidRPr="00BD5DBD" w14:paraId="5AFDEED3" w14:textId="77777777" w:rsidTr="006D2A7F">
        <w:tc>
          <w:tcPr>
            <w:tcW w:w="2277" w:type="pct"/>
          </w:tcPr>
          <w:p w14:paraId="03884BD1" w14:textId="3A51F027" w:rsidR="00324B33" w:rsidRPr="007841C6" w:rsidRDefault="00324B33" w:rsidP="006D2A7F">
            <w:pPr>
              <w:rPr>
                <w:b/>
                <w:bCs/>
                <w:i/>
                <w:szCs w:val="22"/>
              </w:rPr>
            </w:pPr>
            <w:r w:rsidRPr="007841C6">
              <w:rPr>
                <w:b/>
                <w:bCs/>
                <w:i/>
                <w:szCs w:val="22"/>
              </w:rPr>
              <w:t>Route of administration:</w:t>
            </w:r>
          </w:p>
        </w:tc>
        <w:tc>
          <w:tcPr>
            <w:tcW w:w="2723" w:type="pct"/>
          </w:tcPr>
          <w:p w14:paraId="1ED1357E" w14:textId="31ACC443" w:rsidR="00324B33" w:rsidRPr="00BD5DBD" w:rsidRDefault="00E77E62" w:rsidP="007452E8">
            <w:pPr>
              <w:rPr>
                <w:szCs w:val="22"/>
              </w:rPr>
            </w:pPr>
            <w:r>
              <w:rPr>
                <w:szCs w:val="22"/>
              </w:rPr>
              <w:t>Oral</w:t>
            </w:r>
          </w:p>
        </w:tc>
      </w:tr>
      <w:tr w:rsidR="00324B33" w:rsidRPr="00BD5DBD" w14:paraId="70D7E9FA" w14:textId="77777777" w:rsidTr="006D2A7F">
        <w:tc>
          <w:tcPr>
            <w:tcW w:w="2277" w:type="pct"/>
          </w:tcPr>
          <w:p w14:paraId="5ABFFC80" w14:textId="77777777" w:rsidR="00324B33" w:rsidRPr="007841C6" w:rsidRDefault="00324B33" w:rsidP="006D2A7F">
            <w:pPr>
              <w:rPr>
                <w:b/>
                <w:bCs/>
                <w:i/>
                <w:szCs w:val="22"/>
              </w:rPr>
            </w:pPr>
            <w:r w:rsidRPr="007841C6">
              <w:rPr>
                <w:b/>
                <w:bCs/>
                <w:i/>
                <w:szCs w:val="22"/>
              </w:rPr>
              <w:t>Dosage:</w:t>
            </w:r>
          </w:p>
        </w:tc>
        <w:tc>
          <w:tcPr>
            <w:tcW w:w="2723" w:type="pct"/>
          </w:tcPr>
          <w:p w14:paraId="4BD4ECF7" w14:textId="71E28199" w:rsidR="00666911" w:rsidRDefault="00E77E62" w:rsidP="007452E8">
            <w:pPr>
              <w:rPr>
                <w:szCs w:val="22"/>
              </w:rPr>
            </w:pPr>
            <w:r w:rsidRPr="00E77E62">
              <w:rPr>
                <w:szCs w:val="22"/>
              </w:rPr>
              <w:t xml:space="preserve">The recommended total daily oral dose of </w:t>
            </w:r>
            <w:r w:rsidR="005E6484">
              <w:rPr>
                <w:szCs w:val="22"/>
              </w:rPr>
              <w:t>Brukinsa</w:t>
            </w:r>
            <w:r w:rsidRPr="00E77E62">
              <w:rPr>
                <w:szCs w:val="22"/>
              </w:rPr>
              <w:t xml:space="preserve"> is 320 mg</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6D2A7F">
        <w:tc>
          <w:tcPr>
            <w:tcW w:w="2277" w:type="pct"/>
          </w:tcPr>
          <w:p w14:paraId="3A76AFF7" w14:textId="7C436DD9" w:rsidR="0017005C" w:rsidRPr="007841C6" w:rsidRDefault="0070330F" w:rsidP="006D2A7F">
            <w:pPr>
              <w:rPr>
                <w:b/>
                <w:bCs/>
              </w:rPr>
            </w:pPr>
            <w:r w:rsidRPr="007841C6">
              <w:rPr>
                <w:b/>
                <w:bCs/>
                <w:i/>
                <w:szCs w:val="22"/>
              </w:rPr>
              <w:t>Pregnancy category:</w:t>
            </w:r>
          </w:p>
        </w:tc>
        <w:tc>
          <w:tcPr>
            <w:tcW w:w="2723" w:type="pct"/>
          </w:tcPr>
          <w:p w14:paraId="7AF9DA6D" w14:textId="155B6B54" w:rsidR="0070330F" w:rsidRPr="007967C3" w:rsidRDefault="00E77E62" w:rsidP="007967C3">
            <w:r w:rsidRPr="00E77E62">
              <w:t>Category D</w:t>
            </w:r>
            <w:r>
              <w:t xml:space="preserve">: </w:t>
            </w:r>
            <w:r w:rsidRPr="00E77E62">
              <w:t>Drugs which have caused, are suspected to have caused or may be expected to cause, an increased incidence of human fetal malformations or irreversible damage. These drugs may also have adverse pharmacological effects.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2B446331" w:rsidR="00324B33" w:rsidRDefault="005E6484" w:rsidP="00D22616">
      <w:pPr>
        <w:pStyle w:val="Heading4"/>
      </w:pPr>
      <w:bookmarkStart w:id="7" w:name="_Toc184291844"/>
      <w:r>
        <w:t>Brukinsa</w:t>
      </w:r>
      <w:r w:rsidR="00D9340C" w:rsidRPr="00D9340C">
        <w:t xml:space="preserve"> (</w:t>
      </w:r>
      <w:r w:rsidR="00E77E62" w:rsidRPr="00E77E62">
        <w:t>zanubrutinib</w:t>
      </w:r>
      <w:r w:rsidR="00D9340C" w:rsidRPr="00D9340C">
        <w:t>)</w:t>
      </w:r>
      <w:bookmarkEnd w:id="7"/>
    </w:p>
    <w:p w14:paraId="59BF31D1" w14:textId="0E59D922" w:rsidR="001500A8" w:rsidRPr="00065839" w:rsidRDefault="00324B33" w:rsidP="00065839">
      <w:r w:rsidRPr="00065839">
        <w:t xml:space="preserve">This AusPAR describes the submission by </w:t>
      </w:r>
      <w:proofErr w:type="spellStart"/>
      <w:r w:rsidR="00E77E62" w:rsidRPr="00E77E62">
        <w:t>BeiGene</w:t>
      </w:r>
      <w:proofErr w:type="spellEnd"/>
      <w:r w:rsidR="00E77E62" w:rsidRPr="00E77E62">
        <w:t xml:space="preserve"> AUS Pty Ltd</w:t>
      </w:r>
      <w:r w:rsidRPr="00065839">
        <w:t xml:space="preserve"> (the </w:t>
      </w:r>
      <w:r w:rsidR="008A5005">
        <w:t>Sponsor</w:t>
      </w:r>
      <w:r w:rsidRPr="00065839">
        <w:t xml:space="preserve">) to register </w:t>
      </w:r>
      <w:r w:rsidR="005E6484">
        <w:t>Brukinsa</w:t>
      </w:r>
      <w:r w:rsidR="00E77E62" w:rsidRPr="00E77E62">
        <w:t xml:space="preserve"> (zanubrutinib)</w:t>
      </w:r>
      <w:r w:rsidRPr="00065839">
        <w:t xml:space="preserve"> </w:t>
      </w:r>
      <w:r w:rsidR="00E77E62">
        <w:t>f</w:t>
      </w:r>
      <w:r w:rsidRPr="00065839">
        <w:t>or the following proposed</w:t>
      </w:r>
      <w:r w:rsidR="00E77E62">
        <w:t xml:space="preserve"> </w:t>
      </w:r>
      <w:r w:rsidRPr="00065839">
        <w:t>extension of indications:</w:t>
      </w:r>
    </w:p>
    <w:p w14:paraId="23D8ED73" w14:textId="27022B0B" w:rsidR="00324B33" w:rsidRPr="00E77E62" w:rsidRDefault="005E6484" w:rsidP="00E77E62">
      <w:pPr>
        <w:ind w:left="720"/>
        <w:rPr>
          <w:i/>
          <w:iCs/>
        </w:rPr>
      </w:pPr>
      <w:r>
        <w:rPr>
          <w:i/>
          <w:iCs/>
        </w:rPr>
        <w:t>Brukinsa</w:t>
      </w:r>
      <w:r w:rsidR="00E77E62" w:rsidRPr="00E77E62">
        <w:rPr>
          <w:i/>
          <w:iCs/>
        </w:rPr>
        <w:t xml:space="preserve"> (zanubrutinib) is indicated for the treatment of adult patients with chronic lymphocytic leukemia (CLL) or small lymphocytic lymphoma (SLL).</w:t>
      </w:r>
    </w:p>
    <w:p w14:paraId="1E63A2AE" w14:textId="36CA7394" w:rsidR="00CB6813" w:rsidRDefault="00E77E62" w:rsidP="00D22616">
      <w:pPr>
        <w:pStyle w:val="Heading4"/>
      </w:pPr>
      <w:bookmarkStart w:id="8" w:name="_Toc314842485"/>
      <w:bookmarkStart w:id="9" w:name="_Toc247691504"/>
      <w:bookmarkStart w:id="10" w:name="_Toc184291845"/>
      <w:r>
        <w:t>C</w:t>
      </w:r>
      <w:r w:rsidRPr="00E77E62">
        <w:t xml:space="preserve">hronic lymphocytic leukemia (CLL) </w:t>
      </w:r>
      <w:r>
        <w:t xml:space="preserve">&amp; </w:t>
      </w:r>
      <w:r w:rsidRPr="00E77E62">
        <w:t>small lymphocytic lymphoma (SLL)</w:t>
      </w:r>
      <w:bookmarkEnd w:id="10"/>
    </w:p>
    <w:p w14:paraId="0EAD5119" w14:textId="0A7E2786" w:rsidR="00B85DDC" w:rsidRDefault="00B85DDC" w:rsidP="00B85DDC">
      <w:r>
        <w:t>CLL is a B cell lymphoproliferative disease that produces immunologically immature cells. These cells accumulate in peripheral blood and have a solid component that is primarily found in lymph nodes and bone marrow. The median age at diagnosis is 72 years. About 10% of CLL patients are reported to be younger than 55 years. According to the World Health Organization (WHO) classification small lymphocytic lymphoma (SLL) and CLL are a single entity. If B lymphocytes in the peripheral blood are &lt;5 x 10</w:t>
      </w:r>
      <w:r w:rsidR="00D711BE" w:rsidRPr="00D711BE">
        <w:rPr>
          <w:vertAlign w:val="superscript"/>
        </w:rPr>
        <w:t>9</w:t>
      </w:r>
      <w:r>
        <w:t>L and lymphadenopathy and/or splenomegaly is present, SLL instead of CLL is diagnosed. SLL cells show the same immunophenotype as CLL cells.</w:t>
      </w:r>
    </w:p>
    <w:p w14:paraId="4979532D" w14:textId="0C2F7C5D" w:rsidR="00B85DDC" w:rsidRDefault="00B85DDC" w:rsidP="00B85DDC">
      <w:r>
        <w:t xml:space="preserve">Most patients are asymptomatic at diagnosis and in </w:t>
      </w:r>
      <w:r w:rsidR="006D2A7F">
        <w:t>early-stage</w:t>
      </w:r>
      <w:r>
        <w:t xml:space="preserve"> disease there is a ‘watch and</w:t>
      </w:r>
      <w:r w:rsidR="005E6484">
        <w:t xml:space="preserve"> </w:t>
      </w:r>
      <w:r>
        <w:t xml:space="preserve">wait’ period prior to commencement of active therapy. The decision to commence treatment is generally for patients with intermediate and </w:t>
      </w:r>
      <w:r w:rsidR="006D2A7F">
        <w:t>high-risk</w:t>
      </w:r>
      <w:r>
        <w:t xml:space="preserve"> disease and is also based on the presence of active, symptomatic or progressive disease e.g. progressive bone marrow failure, massive, progressive or symptomatic splenomegaly or lymphadenopathy, progressive lymphocytosis, autoimmune complications, or significant constitutional symptoms. The </w:t>
      </w:r>
      <w:r w:rsidR="00EB1740" w:rsidRPr="00EB1740">
        <w:t xml:space="preserve">European Society for Medical Oncology </w:t>
      </w:r>
      <w:r w:rsidR="00EB1740">
        <w:t>(</w:t>
      </w:r>
      <w:r>
        <w:t>ESMO</w:t>
      </w:r>
      <w:r w:rsidR="00EB1740">
        <w:t>)</w:t>
      </w:r>
      <w:r>
        <w:t xml:space="preserve"> guidelines state that in most cases CLL remains an incurable disease and therefore the goals of therapy are to improve quality of life and to prolong survival.</w:t>
      </w:r>
    </w:p>
    <w:p w14:paraId="4E78B525" w14:textId="77777777" w:rsidR="00B85DDC" w:rsidRDefault="00B85DDC" w:rsidP="00B85DDC">
      <w:r>
        <w:t xml:space="preserve">Life-long observation and follow-up is recommended for all patients. CLL patients have a twofold to sevenfold increased risk of developing secondary malignancies [mostly solid cancers, but also secondary MDS or acute myeloblastic leukaemia (AML)]. The transformation into a diffuse large B-cell lymphoma (DLBCL) occurs in 2%-15% of CLL patients </w:t>
      </w:r>
      <w:proofErr w:type="gramStart"/>
      <w:r>
        <w:t>during the course of</w:t>
      </w:r>
      <w:proofErr w:type="gramEnd"/>
      <w:r>
        <w:t xml:space="preserve"> their disease, in particular after several lines of chemoimmunotherapy (CIT).</w:t>
      </w:r>
    </w:p>
    <w:p w14:paraId="07CA3771" w14:textId="77777777" w:rsidR="00B85DDC" w:rsidRDefault="00B85DDC" w:rsidP="00B85DDC">
      <w:r>
        <w:t>The important prognostic markers for the disease are deletion and or mutation of the TP53 gene which codes for the tumour suppressor protein P53. These TP53 aberrations are associated with poorer prognosis and impaired response to chemoimmunotherapy. Conversely, mutation of the immunoglobulin heavy chain variable (IGHV) gene has been associated with improved survival compared to those with an unmutated gene. Consequently, ESMO recommends that del17p, TP53 mutations and IGHV status are relevant for choice of therapy and should be assessed before treatment.</w:t>
      </w:r>
    </w:p>
    <w:p w14:paraId="73BDAC36" w14:textId="43A78A51" w:rsidR="00B85DDC" w:rsidRDefault="00B85DDC" w:rsidP="00B85DDC">
      <w:r>
        <w:t xml:space="preserve">The 2022 update to ESMO treatment guidelines </w:t>
      </w:r>
      <w:proofErr w:type="gramStart"/>
      <w:r>
        <w:t>note</w:t>
      </w:r>
      <w:proofErr w:type="gramEnd"/>
      <w:r>
        <w:t xml:space="preserve"> that since in most cases CLL remains an incurable disease, the goals of therapy are to improve quality of life and to prolong survival. In daily life, important treatment end points in clinical trials, such as response rate, minimal residual disease status or progression-free-survival (PFS), may be more relevant for young and/or fit patients than in older patients and/or patients with relevant comorbidity.</w:t>
      </w:r>
    </w:p>
    <w:p w14:paraId="2A2A953B" w14:textId="4E847C5E" w:rsidR="00B85DDC" w:rsidRPr="00B85DDC" w:rsidRDefault="00B85DDC" w:rsidP="00B85DDC">
      <w:r>
        <w:t>Ultimately, in most patients, survival depends on the effect and choice of treatment sequences given along the course of the disease.</w:t>
      </w:r>
    </w:p>
    <w:p w14:paraId="255E083A" w14:textId="6B35787E" w:rsidR="00CB6813" w:rsidRDefault="00CB6813" w:rsidP="00D22616">
      <w:pPr>
        <w:pStyle w:val="Heading4"/>
      </w:pPr>
      <w:bookmarkStart w:id="11" w:name="_Toc184291846"/>
      <w:r>
        <w:t>Current treatment options</w:t>
      </w:r>
      <w:r w:rsidR="00E77E62">
        <w:t xml:space="preserve"> for CLL and SLL</w:t>
      </w:r>
      <w:bookmarkEnd w:id="11"/>
    </w:p>
    <w:p w14:paraId="062C8548" w14:textId="7C13C34F" w:rsidR="00B85DDC" w:rsidRDefault="00B85DDC" w:rsidP="00B85DDC">
      <w:r>
        <w:t xml:space="preserve">In most patients, survival depends on the effect and choice of treatment sequences given along the course of the disease. </w:t>
      </w:r>
    </w:p>
    <w:p w14:paraId="7501DA18" w14:textId="77777777" w:rsidR="00B85DDC" w:rsidRDefault="00B85DDC" w:rsidP="00B85DDC">
      <w:r>
        <w:t>Early, asymptomatic stage disease, as determined by either the Rai or the Binet staging system, does not need further risk assessment. Previous studies have shown that early treatment with chemotherapeutic agents does not translate into a survival advantage in patients with early- stage CLL. Results of clinical trials evaluating early treatment with novel agents are still pending. The standard treatment of patients with early disease is a watch-and-wait strategy.</w:t>
      </w:r>
    </w:p>
    <w:p w14:paraId="6318BABC" w14:textId="77777777" w:rsidR="00B85DDC" w:rsidRDefault="00B85DDC" w:rsidP="00B85DDC">
      <w:r>
        <w:t>Blood cell counts and clinical examinations should be carried out every 3-12 months after the first year, when 3-monthly intervals should be applied for all patients. The criteria for commencing therapy are documented in the attached ESMO clinical practice guidelines.</w:t>
      </w:r>
    </w:p>
    <w:p w14:paraId="46C0AD6A" w14:textId="4299D52A" w:rsidR="00B85DDC" w:rsidRDefault="00B85DDC" w:rsidP="00B85DDC">
      <w:r>
        <w:t xml:space="preserve">For first-line therapy, treatment choice takes into consideration the patient’s fitness, age, comorbidities, as well as assessment of IGHV, del17p and TP53 status. There are </w:t>
      </w:r>
      <w:proofErr w:type="gramStart"/>
      <w:r>
        <w:t>a number of</w:t>
      </w:r>
      <w:proofErr w:type="gramEnd"/>
      <w:r>
        <w:t xml:space="preserve"> treatment strategies available including: continuous treatment with Bruton’s tyrosine kinase (BTK) inhibitors, such as ibrutinib, until progression; time-limited therapy with chemotherapy backbone and anti-CD20 antibodies (e.g. rituximab); or the combination of </w:t>
      </w:r>
      <w:proofErr w:type="spellStart"/>
      <w:r w:rsidR="00B47CCB">
        <w:t>v</w:t>
      </w:r>
      <w:r w:rsidR="00AD25C7">
        <w:t>enetoclax</w:t>
      </w:r>
      <w:proofErr w:type="spellEnd"/>
      <w:r>
        <w:t xml:space="preserve"> plus </w:t>
      </w:r>
      <w:proofErr w:type="spellStart"/>
      <w:r>
        <w:t>obinutuzumab</w:t>
      </w:r>
      <w:proofErr w:type="spellEnd"/>
      <w:r>
        <w:t>.</w:t>
      </w:r>
    </w:p>
    <w:p w14:paraId="68C9A3A8" w14:textId="77777777" w:rsidR="00B85DDC" w:rsidRDefault="00B85DDC" w:rsidP="00B85DDC">
      <w:r>
        <w:t>For symptomatic treatment naïve and for relapsed CLL, the following treatment options are recommended:</w:t>
      </w:r>
    </w:p>
    <w:p w14:paraId="1A98504E" w14:textId="784C1410" w:rsidR="00B85DDC" w:rsidRPr="006D2A7F" w:rsidRDefault="00B47CCB" w:rsidP="006D2A7F">
      <w:pPr>
        <w:pStyle w:val="ListBullet"/>
      </w:pPr>
      <w:proofErr w:type="spellStart"/>
      <w:r w:rsidRPr="006D2A7F">
        <w:t>v</w:t>
      </w:r>
      <w:r w:rsidR="00AD25C7" w:rsidRPr="006D2A7F">
        <w:t>enetoclax</w:t>
      </w:r>
      <w:proofErr w:type="spellEnd"/>
      <w:r w:rsidR="00B85DDC" w:rsidRPr="006D2A7F">
        <w:t xml:space="preserve"> plus rituximab or </w:t>
      </w:r>
      <w:proofErr w:type="spellStart"/>
      <w:r w:rsidRPr="006D2A7F">
        <w:t>v</w:t>
      </w:r>
      <w:r w:rsidR="00AD25C7" w:rsidRPr="006D2A7F">
        <w:t>enetoclax</w:t>
      </w:r>
      <w:proofErr w:type="spellEnd"/>
      <w:r w:rsidR="00B85DDC" w:rsidRPr="006D2A7F">
        <w:t xml:space="preserve"> plus </w:t>
      </w:r>
      <w:proofErr w:type="spellStart"/>
      <w:proofErr w:type="gramStart"/>
      <w:r w:rsidR="00B85DDC" w:rsidRPr="006D2A7F">
        <w:t>obinutuzumab</w:t>
      </w:r>
      <w:proofErr w:type="spellEnd"/>
      <w:r w:rsidR="00B85DDC" w:rsidRPr="006D2A7F">
        <w:t>;</w:t>
      </w:r>
      <w:proofErr w:type="gramEnd"/>
    </w:p>
    <w:p w14:paraId="604D85DE" w14:textId="7939F8E1" w:rsidR="00B85DDC" w:rsidRPr="006D2A7F" w:rsidRDefault="00B85DDC" w:rsidP="006D2A7F">
      <w:pPr>
        <w:pStyle w:val="ListBullet"/>
      </w:pPr>
      <w:r w:rsidRPr="006D2A7F">
        <w:t xml:space="preserve">ibrutinib or acalabrutinib or other BTK inhibitors (if available) as continuous </w:t>
      </w:r>
      <w:proofErr w:type="gramStart"/>
      <w:r w:rsidRPr="006D2A7F">
        <w:t>therapy;</w:t>
      </w:r>
      <w:proofErr w:type="gramEnd"/>
    </w:p>
    <w:p w14:paraId="19158512" w14:textId="6CEB0D98" w:rsidR="00B85DDC" w:rsidRPr="006D2A7F" w:rsidRDefault="00B85DDC" w:rsidP="006D2A7F">
      <w:pPr>
        <w:pStyle w:val="ListBullet"/>
      </w:pPr>
      <w:proofErr w:type="spellStart"/>
      <w:r w:rsidRPr="006D2A7F">
        <w:t>idelalisib</w:t>
      </w:r>
      <w:proofErr w:type="spellEnd"/>
      <w:r w:rsidRPr="006D2A7F">
        <w:t xml:space="preserve"> plus </w:t>
      </w:r>
      <w:proofErr w:type="gramStart"/>
      <w:r w:rsidRPr="006D2A7F">
        <w:t>rituximab;</w:t>
      </w:r>
      <w:proofErr w:type="gramEnd"/>
    </w:p>
    <w:p w14:paraId="699EBAD5" w14:textId="04BDD904" w:rsidR="00B85DDC" w:rsidRPr="006D2A7F" w:rsidRDefault="00B85DDC" w:rsidP="006D2A7F">
      <w:pPr>
        <w:pStyle w:val="ListBullet"/>
      </w:pPr>
      <w:r w:rsidRPr="006D2A7F">
        <w:t>chemoimmunotherapy (unless TP53 mutation or del(17p).</w:t>
      </w:r>
    </w:p>
    <w:p w14:paraId="25343FEC" w14:textId="39FCB4AD" w:rsidR="00B85DDC" w:rsidRDefault="00B85DDC" w:rsidP="00B85DDC">
      <w:r>
        <w:t xml:space="preserve">Details of treatment options for treatment naïve and relapsed CLL, extracted from the ESMO CLL clinical practice guidelines for diagnosis, treatment and follow-up are shown in </w:t>
      </w:r>
      <w:r w:rsidR="00EB1740">
        <w:t>Figure 1</w:t>
      </w:r>
      <w:r>
        <w:t>.</w:t>
      </w:r>
    </w:p>
    <w:p w14:paraId="48C0F81C" w14:textId="4E910E35" w:rsidR="00B85DDC" w:rsidRDefault="00B85DDC" w:rsidP="00B85DDC">
      <w:pPr>
        <w:pStyle w:val="FigureTitle"/>
      </w:pPr>
      <w:r>
        <w:t>Figure 1. Treatment options for symptomatic early stage CLL or advanced stage CLL and symptomatic relapsed CLL</w:t>
      </w:r>
      <w:r>
        <w:rPr>
          <w:rStyle w:val="FootnoteReference"/>
        </w:rPr>
        <w:footnoteReference w:id="1"/>
      </w:r>
    </w:p>
    <w:p w14:paraId="42AF15D4" w14:textId="77CEC14C" w:rsidR="00B85DDC" w:rsidRDefault="00B85DDC" w:rsidP="006D2A7F">
      <w:r>
        <w:rPr>
          <w:noProof/>
        </w:rPr>
        <w:drawing>
          <wp:inline distT="0" distB="0" distL="0" distR="0" wp14:anchorId="0779F004" wp14:editId="283A9A0A">
            <wp:extent cx="8248201" cy="3375670"/>
            <wp:effectExtent l="0" t="2222" r="0" b="0"/>
            <wp:docPr id="72565579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55796" name="Picture 1" descr="A screenshot of a diagram&#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Lst>
                    </a:blip>
                    <a:srcRect b="27698"/>
                    <a:stretch/>
                  </pic:blipFill>
                  <pic:spPr bwMode="auto">
                    <a:xfrm rot="16200000">
                      <a:off x="0" y="0"/>
                      <a:ext cx="8268348" cy="3383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0019FA" wp14:editId="0A3362C6">
            <wp:extent cx="8150152" cy="1114243"/>
            <wp:effectExtent l="0" t="6350" r="0" b="0"/>
            <wp:docPr id="1585440703"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40703" name="Picture 1" descr="A screenshot of a diagram&#10;&#10;Description automatically generated"/>
                    <pic:cNvPicPr/>
                  </pic:nvPicPr>
                  <pic:blipFill rotWithShape="1">
                    <a:blip r:embed="rId23"/>
                    <a:srcRect t="75834"/>
                    <a:stretch/>
                  </pic:blipFill>
                  <pic:spPr bwMode="auto">
                    <a:xfrm rot="16200000">
                      <a:off x="0" y="0"/>
                      <a:ext cx="8209204" cy="1122316"/>
                    </a:xfrm>
                    <a:prstGeom prst="rect">
                      <a:avLst/>
                    </a:prstGeom>
                    <a:ln>
                      <a:noFill/>
                    </a:ln>
                    <a:extLst>
                      <a:ext uri="{53640926-AAD7-44D8-BBD7-CCE9431645EC}">
                        <a14:shadowObscured xmlns:a14="http://schemas.microsoft.com/office/drawing/2010/main"/>
                      </a:ext>
                    </a:extLst>
                  </pic:spPr>
                </pic:pic>
              </a:graphicData>
            </a:graphic>
          </wp:inline>
        </w:drawing>
      </w:r>
    </w:p>
    <w:p w14:paraId="51798A88" w14:textId="4794F169" w:rsidR="00B85DDC" w:rsidRDefault="00B85DDC" w:rsidP="00B85DDC">
      <w:pPr>
        <w:rPr>
          <w:noProof/>
        </w:rPr>
      </w:pPr>
      <w:r>
        <w:rPr>
          <w:noProof/>
        </w:rPr>
        <w:drawing>
          <wp:inline distT="0" distB="0" distL="0" distR="0" wp14:anchorId="3248F4D9" wp14:editId="705F00FE">
            <wp:extent cx="8142016" cy="3878005"/>
            <wp:effectExtent l="0" t="1588" r="0" b="0"/>
            <wp:docPr id="6213321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32122" name="Picture 1" descr="A screenshot of a computer screen&#10;&#10;Description automatically generated"/>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b="18506"/>
                    <a:stretch/>
                  </pic:blipFill>
                  <pic:spPr bwMode="auto">
                    <a:xfrm rot="16200000">
                      <a:off x="0" y="0"/>
                      <a:ext cx="8174773" cy="38936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78AA54" wp14:editId="4445A3F7">
            <wp:extent cx="7606862" cy="652496"/>
            <wp:effectExtent l="10160" t="0" r="4445" b="4445"/>
            <wp:docPr id="186531794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7941" name="Picture 1" descr="A screenshot of a computer screen&#10;&#10;Description automatically generated"/>
                    <pic:cNvPicPr/>
                  </pic:nvPicPr>
                  <pic:blipFill rotWithShape="1">
                    <a:blip r:embed="rId26"/>
                    <a:srcRect t="85317"/>
                    <a:stretch/>
                  </pic:blipFill>
                  <pic:spPr bwMode="auto">
                    <a:xfrm rot="16200000">
                      <a:off x="0" y="0"/>
                      <a:ext cx="7628663" cy="654366"/>
                    </a:xfrm>
                    <a:prstGeom prst="rect">
                      <a:avLst/>
                    </a:prstGeom>
                    <a:ln>
                      <a:noFill/>
                    </a:ln>
                    <a:extLst>
                      <a:ext uri="{53640926-AAD7-44D8-BBD7-CCE9431645EC}">
                        <a14:shadowObscured xmlns:a14="http://schemas.microsoft.com/office/drawing/2010/main"/>
                      </a:ext>
                    </a:extLst>
                  </pic:spPr>
                </pic:pic>
              </a:graphicData>
            </a:graphic>
          </wp:inline>
        </w:drawing>
      </w:r>
    </w:p>
    <w:p w14:paraId="7B957655" w14:textId="3D9ADCF0" w:rsidR="00EB1740" w:rsidRDefault="00EB1740" w:rsidP="00EB1740">
      <w:pPr>
        <w:rPr>
          <w:noProof/>
        </w:rPr>
      </w:pPr>
      <w:r>
        <w:rPr>
          <w:noProof/>
        </w:rPr>
        <w:t>The ESMO guidelines also state that autologous stem cell transplantation is not useful in CLL. Allogeneic stem cell transplantation (alloSCT) should be considered for:</w:t>
      </w:r>
    </w:p>
    <w:p w14:paraId="2FE9898D" w14:textId="048001CB" w:rsidR="00EB1740" w:rsidRPr="006D2A7F" w:rsidRDefault="00EB1740" w:rsidP="006D2A7F">
      <w:pPr>
        <w:pStyle w:val="ListBullet"/>
      </w:pPr>
      <w:proofErr w:type="gramStart"/>
      <w:r w:rsidRPr="006D2A7F">
        <w:t>patients</w:t>
      </w:r>
      <w:proofErr w:type="gramEnd"/>
      <w:r w:rsidRPr="006D2A7F">
        <w:t xml:space="preserve"> refractory to chemoimmunotherapy (CIT) with TP53 mutation or del(17p), but fully responsive to novel inhibitor therapy. </w:t>
      </w:r>
      <w:proofErr w:type="spellStart"/>
      <w:r w:rsidRPr="006D2A7F">
        <w:t>AlloSCT</w:t>
      </w:r>
      <w:proofErr w:type="spellEnd"/>
      <w:r w:rsidRPr="006D2A7F">
        <w:t xml:space="preserve"> should be discussed with the patient as an option for curative treatment if risk of transplantation is </w:t>
      </w:r>
      <w:proofErr w:type="gramStart"/>
      <w:r w:rsidRPr="006D2A7F">
        <w:t>low;</w:t>
      </w:r>
      <w:proofErr w:type="gramEnd"/>
    </w:p>
    <w:p w14:paraId="2D4EA4A4" w14:textId="0339DCE1" w:rsidR="00EB1740" w:rsidRPr="006D2A7F" w:rsidRDefault="00EB1740" w:rsidP="006D2A7F">
      <w:pPr>
        <w:pStyle w:val="ListBullet"/>
      </w:pPr>
      <w:proofErr w:type="gramStart"/>
      <w:r w:rsidRPr="006D2A7F">
        <w:t>patients</w:t>
      </w:r>
      <w:proofErr w:type="gramEnd"/>
      <w:r w:rsidRPr="006D2A7F">
        <w:t xml:space="preserve"> refractory to CIT and to novel inhibitor therapy, even for patients with a higher risk of non-relapse mortality [haematopoietic cell transplant comorbidity index (HCT- CI) score of ≥3];</w:t>
      </w:r>
    </w:p>
    <w:p w14:paraId="3D0EE6D1" w14:textId="5DF268F3" w:rsidR="00EB1740" w:rsidRPr="006D2A7F" w:rsidRDefault="00EB1740" w:rsidP="006D2A7F">
      <w:pPr>
        <w:pStyle w:val="ListBullet"/>
      </w:pPr>
      <w:r w:rsidRPr="006D2A7F">
        <w:t>patients with Richter's transformation in remission after therapy and clonally related to CLL.</w:t>
      </w:r>
    </w:p>
    <w:p w14:paraId="7FB9C573" w14:textId="77777777" w:rsidR="00EB1740" w:rsidRDefault="00EB1740" w:rsidP="00DA0D06">
      <w:pPr>
        <w:rPr>
          <w:noProof/>
        </w:rPr>
      </w:pPr>
      <w:r>
        <w:rPr>
          <w:noProof/>
        </w:rPr>
        <w:t>Treatment with chimeric antigen receptor T (CAR-T) cells or bi-specific T-cell engager (BiTE) antibodies within clinical trials could be an alternative to alloSCT for all three groups. While there is less experience with CAR-T cell therapy in CLL it is very different from alloSCT in at least two aspects:</w:t>
      </w:r>
    </w:p>
    <w:p w14:paraId="14D8D1B4" w14:textId="29DF0193" w:rsidR="00EB1740" w:rsidRPr="006D2A7F" w:rsidRDefault="00EB1740" w:rsidP="006D2A7F">
      <w:pPr>
        <w:pStyle w:val="ListBullet"/>
      </w:pPr>
      <w:r w:rsidRPr="006D2A7F">
        <w:t xml:space="preserve">Lower non-relapse mortality and different, mostly acute, toxicity (cytokine release syndrome; CAR-T-cell-related encephalopathy syndrome) which renders this approach available to patients with some </w:t>
      </w:r>
      <w:proofErr w:type="gramStart"/>
      <w:r w:rsidRPr="006D2A7F">
        <w:t>comorbidities;</w:t>
      </w:r>
      <w:proofErr w:type="gramEnd"/>
    </w:p>
    <w:p w14:paraId="5CF1A2DB" w14:textId="27A613B4" w:rsidR="00EB1740" w:rsidRPr="006D2A7F" w:rsidRDefault="00EB1740" w:rsidP="006D2A7F">
      <w:pPr>
        <w:pStyle w:val="ListBullet"/>
      </w:pPr>
      <w:r w:rsidRPr="006D2A7F">
        <w:t>Uncertain long-term curative potential.</w:t>
      </w:r>
    </w:p>
    <w:p w14:paraId="3D019BCD" w14:textId="77777777" w:rsidR="00EB1740" w:rsidRDefault="00EB1740" w:rsidP="00DA0D06">
      <w:pPr>
        <w:rPr>
          <w:noProof/>
        </w:rPr>
      </w:pPr>
      <w:r>
        <w:rPr>
          <w:noProof/>
        </w:rPr>
        <w:t>Two other BTK inhibitors are approved for the treatment of CLL/ SLL in Australia, ibrutinib and acalabrutinib (as monotherapy or in combination with chlorambucil). Both are approved for treatment naïve and previously treated CLL/ SLL. Idelalisib, another B cell receptor signalling inhibitor is also approved for treatment of CLL but only in combination with either rituximab or ofatumumab for patients who have relapsed and who are not considered suitable for chemo- immunotherapy.</w:t>
      </w:r>
    </w:p>
    <w:p w14:paraId="03B55C3F" w14:textId="6464D8EE" w:rsidR="00D22616" w:rsidRDefault="00D22616" w:rsidP="00D22616">
      <w:pPr>
        <w:pStyle w:val="Heading4"/>
        <w:rPr>
          <w:noProof/>
        </w:rPr>
      </w:pPr>
      <w:bookmarkStart w:id="12" w:name="_Toc184291847"/>
      <w:r w:rsidRPr="00D22616">
        <w:rPr>
          <w:noProof/>
        </w:rPr>
        <w:t>Clinical rationale</w:t>
      </w:r>
      <w:r>
        <w:rPr>
          <w:noProof/>
        </w:rPr>
        <w:t xml:space="preserve"> for </w:t>
      </w:r>
      <w:r w:rsidR="005E6484">
        <w:rPr>
          <w:noProof/>
        </w:rPr>
        <w:t>Brukinsa</w:t>
      </w:r>
      <w:r>
        <w:rPr>
          <w:noProof/>
        </w:rPr>
        <w:t xml:space="preserve"> use in </w:t>
      </w:r>
      <w:r w:rsidRPr="00D22616">
        <w:rPr>
          <w:noProof/>
        </w:rPr>
        <w:t>CLL/SLL</w:t>
      </w:r>
      <w:bookmarkEnd w:id="12"/>
    </w:p>
    <w:p w14:paraId="608B83F6" w14:textId="638D9503" w:rsidR="00D22616" w:rsidRDefault="00D22616" w:rsidP="00D22616">
      <w:pPr>
        <w:rPr>
          <w:noProof/>
        </w:rPr>
      </w:pPr>
      <w:r w:rsidRPr="00D22616">
        <w:rPr>
          <w:noProof/>
        </w:rPr>
        <w:t>Zanubrutinib is a potent and irreversible next-generation BTK inhibitor. Zanubrutinib is more</w:t>
      </w:r>
      <w:r w:rsidR="005E6484">
        <w:rPr>
          <w:noProof/>
        </w:rPr>
        <w:t xml:space="preserve"> </w:t>
      </w:r>
      <w:r w:rsidRPr="00D22616">
        <w:rPr>
          <w:noProof/>
        </w:rPr>
        <w:t>selective than ibrutinib for BTK inhibition, exhibiting less off-target activity against other</w:t>
      </w:r>
      <w:r>
        <w:rPr>
          <w:noProof/>
        </w:rPr>
        <w:t xml:space="preserve"> </w:t>
      </w:r>
      <w:r w:rsidRPr="00D22616">
        <w:rPr>
          <w:noProof/>
        </w:rPr>
        <w:t>kinases,</w:t>
      </w:r>
      <w:r w:rsidR="005E6484">
        <w:rPr>
          <w:noProof/>
        </w:rPr>
        <w:t xml:space="preserve"> </w:t>
      </w:r>
      <w:r w:rsidRPr="00D22616">
        <w:rPr>
          <w:noProof/>
        </w:rPr>
        <w:t>such as TEC kinases, HER2, Csk, epidermal growth factor receptor, and interleukin 2</w:t>
      </w:r>
      <w:r w:rsidRPr="00D22616">
        <w:rPr>
          <w:rFonts w:hint="eastAsia"/>
          <w:noProof/>
        </w:rPr>
        <w:t>–</w:t>
      </w:r>
      <w:r w:rsidRPr="00D22616">
        <w:rPr>
          <w:noProof/>
        </w:rPr>
        <w:t>inducible T</w:t>
      </w:r>
      <w:r w:rsidR="005E6484">
        <w:rPr>
          <w:noProof/>
        </w:rPr>
        <w:t xml:space="preserve"> c</w:t>
      </w:r>
      <w:r w:rsidRPr="00D22616">
        <w:rPr>
          <w:noProof/>
        </w:rPr>
        <w:t>ell</w:t>
      </w:r>
      <w:r w:rsidR="005E6484">
        <w:rPr>
          <w:noProof/>
        </w:rPr>
        <w:t xml:space="preserve"> </w:t>
      </w:r>
      <w:r w:rsidRPr="00D22616">
        <w:rPr>
          <w:noProof/>
        </w:rPr>
        <w:t>kinase</w:t>
      </w:r>
      <w:r>
        <w:rPr>
          <w:noProof/>
        </w:rPr>
        <w:t xml:space="preserve">. </w:t>
      </w:r>
      <w:r w:rsidRPr="00D22616">
        <w:rPr>
          <w:noProof/>
        </w:rPr>
        <w:t xml:space="preserve">BTK is a </w:t>
      </w:r>
      <w:r>
        <w:rPr>
          <w:noProof/>
        </w:rPr>
        <w:t>central</w:t>
      </w:r>
      <w:r w:rsidRPr="00D22616">
        <w:rPr>
          <w:noProof/>
        </w:rPr>
        <w:t xml:space="preserve"> component of the </w:t>
      </w:r>
      <w:r>
        <w:rPr>
          <w:noProof/>
        </w:rPr>
        <w:t>B cell receptor signaling</w:t>
      </w:r>
      <w:r w:rsidRPr="00D22616">
        <w:rPr>
          <w:noProof/>
        </w:rPr>
        <w:t xml:space="preserve"> pathway and is </w:t>
      </w:r>
      <w:r>
        <w:rPr>
          <w:noProof/>
        </w:rPr>
        <w:t xml:space="preserve">highly </w:t>
      </w:r>
      <w:r w:rsidRPr="00D22616">
        <w:rPr>
          <w:noProof/>
        </w:rPr>
        <w:t>expressed</w:t>
      </w:r>
      <w:r>
        <w:rPr>
          <w:noProof/>
        </w:rPr>
        <w:t xml:space="preserve"> in</w:t>
      </w:r>
      <w:r w:rsidRPr="00D22616">
        <w:rPr>
          <w:noProof/>
        </w:rPr>
        <w:t xml:space="preserve"> B-cell malignancies, including CLL/SLL.</w:t>
      </w:r>
      <w:r>
        <w:rPr>
          <w:noProof/>
        </w:rPr>
        <w:t xml:space="preserve"> </w:t>
      </w:r>
      <w:r w:rsidRPr="00D22616">
        <w:rPr>
          <w:noProof/>
        </w:rPr>
        <w:t xml:space="preserve">Aberrant BTK activity plays a </w:t>
      </w:r>
      <w:r>
        <w:rPr>
          <w:noProof/>
        </w:rPr>
        <w:t>key</w:t>
      </w:r>
      <w:r w:rsidRPr="00D22616">
        <w:rPr>
          <w:noProof/>
        </w:rPr>
        <w:t xml:space="preserve"> role in</w:t>
      </w:r>
      <w:r>
        <w:rPr>
          <w:noProof/>
        </w:rPr>
        <w:t xml:space="preserve"> the</w:t>
      </w:r>
      <w:r w:rsidRPr="00D22616">
        <w:rPr>
          <w:noProof/>
        </w:rPr>
        <w:t xml:space="preserve"> proliferation and survival of malignant B-cells</w:t>
      </w:r>
      <w:r>
        <w:rPr>
          <w:noProof/>
        </w:rPr>
        <w:t>. Therefore, t</w:t>
      </w:r>
      <w:r w:rsidRPr="00D22616">
        <w:rPr>
          <w:noProof/>
        </w:rPr>
        <w:t xml:space="preserve">argeting BTK </w:t>
      </w:r>
      <w:r w:rsidR="008E0E85">
        <w:rPr>
          <w:noProof/>
        </w:rPr>
        <w:t>may</w:t>
      </w:r>
      <w:r w:rsidRPr="00D22616">
        <w:rPr>
          <w:noProof/>
        </w:rPr>
        <w:t xml:space="preserve"> disrupt signalling and proliferation of malignant B-cells. </w:t>
      </w:r>
    </w:p>
    <w:p w14:paraId="19F1F9C2" w14:textId="19FAD9C4" w:rsidR="00EB1740" w:rsidRDefault="00EB1740" w:rsidP="00EB1740">
      <w:pPr>
        <w:pStyle w:val="Heading4"/>
        <w:rPr>
          <w:noProof/>
        </w:rPr>
      </w:pPr>
      <w:bookmarkStart w:id="13" w:name="_Toc184291848"/>
      <w:r w:rsidRPr="00EB1740">
        <w:rPr>
          <w:noProof/>
        </w:rPr>
        <w:t>Regulatory status</w:t>
      </w:r>
      <w:bookmarkEnd w:id="13"/>
    </w:p>
    <w:p w14:paraId="730759D2" w14:textId="77777777" w:rsidR="00EB1740" w:rsidRDefault="00EB1740" w:rsidP="00EB1740">
      <w:pPr>
        <w:pStyle w:val="Heading5"/>
        <w:rPr>
          <w:noProof/>
        </w:rPr>
      </w:pPr>
      <w:r>
        <w:rPr>
          <w:noProof/>
        </w:rPr>
        <w:t>Australian regulatory status</w:t>
      </w:r>
    </w:p>
    <w:p w14:paraId="7C0DBF07" w14:textId="58A1DA22" w:rsidR="00EB1740" w:rsidRDefault="005E6484" w:rsidP="00EB1740">
      <w:pPr>
        <w:rPr>
          <w:noProof/>
        </w:rPr>
      </w:pPr>
      <w:r>
        <w:rPr>
          <w:noProof/>
        </w:rPr>
        <w:t>Brukinsa</w:t>
      </w:r>
      <w:r w:rsidR="00EB1740">
        <w:rPr>
          <w:noProof/>
        </w:rPr>
        <w:t xml:space="preserve"> (zanubrutinib) was first registered in October 2021 for </w:t>
      </w:r>
      <w:r w:rsidR="008E0E85">
        <w:rPr>
          <w:noProof/>
        </w:rPr>
        <w:t>the second line</w:t>
      </w:r>
      <w:r w:rsidR="00EB1740">
        <w:rPr>
          <w:noProof/>
        </w:rPr>
        <w:t xml:space="preserve"> treatment of Waldenström’s </w:t>
      </w:r>
      <w:r>
        <w:rPr>
          <w:noProof/>
        </w:rPr>
        <w:t>m</w:t>
      </w:r>
      <w:r w:rsidR="00EB1740">
        <w:rPr>
          <w:noProof/>
        </w:rPr>
        <w:t xml:space="preserve">acroglobulinemia. It was subsequently provisionally approved for second line treatment of mantle cell lymphoma. </w:t>
      </w:r>
    </w:p>
    <w:p w14:paraId="3666658E" w14:textId="683829C4" w:rsidR="00EB1740" w:rsidRDefault="00EB1740" w:rsidP="00EB1740">
      <w:pPr>
        <w:rPr>
          <w:noProof/>
        </w:rPr>
      </w:pPr>
      <w:r>
        <w:rPr>
          <w:noProof/>
        </w:rPr>
        <w:t>The indications were further extended in November 2022 to include provisional approval for treatment of marginal zone lymphoma in adult patients who have received at least one-prior anti-CD20-based therapy.</w:t>
      </w:r>
    </w:p>
    <w:p w14:paraId="6470B9E2" w14:textId="77777777" w:rsidR="00EB1740" w:rsidRDefault="00EB1740" w:rsidP="00D22616">
      <w:pPr>
        <w:pStyle w:val="Heading5"/>
        <w:rPr>
          <w:noProof/>
        </w:rPr>
      </w:pPr>
      <w:r>
        <w:rPr>
          <w:noProof/>
        </w:rPr>
        <w:t>International regulatory status</w:t>
      </w:r>
    </w:p>
    <w:p w14:paraId="7A06E3C9" w14:textId="0D502F37" w:rsidR="007A3D9D" w:rsidRDefault="007A3D9D" w:rsidP="007A3D9D">
      <w:r>
        <w:t xml:space="preserve">Approval of zanubrutinib for the proposed CLL/SLL indication was recommended by the </w:t>
      </w:r>
      <w:r w:rsidR="008E0E85" w:rsidRPr="008E0E85">
        <w:t xml:space="preserve">European Medicines Agency </w:t>
      </w:r>
      <w:r>
        <w:t>in October 2022.</w:t>
      </w:r>
    </w:p>
    <w:p w14:paraId="60988490" w14:textId="56DDC4D1" w:rsidR="007A3D9D" w:rsidRDefault="007A3D9D" w:rsidP="007A3D9D">
      <w:r>
        <w:t>Similar applications have been submitted in the US, and Canada and are currently under review (Table 1).</w:t>
      </w:r>
    </w:p>
    <w:p w14:paraId="3245558F" w14:textId="204865DC" w:rsidR="007A3D9D" w:rsidRPr="007A3D9D" w:rsidRDefault="007A3D9D" w:rsidP="007A3D9D">
      <w:pPr>
        <w:pStyle w:val="TableTitle"/>
      </w:pPr>
      <w:r>
        <w:t xml:space="preserve">Table 1. International regulatory status of </w:t>
      </w:r>
      <w:r w:rsidR="005E6484">
        <w:t>Brukinsa</w:t>
      </w:r>
      <w:r>
        <w:t xml:space="preserve"> </w:t>
      </w:r>
    </w:p>
    <w:p w14:paraId="7BCE1FDA" w14:textId="38C01F76" w:rsidR="00476EC8" w:rsidRDefault="00476EC8" w:rsidP="00EB1740">
      <w:pPr>
        <w:rPr>
          <w:noProof/>
        </w:rPr>
      </w:pPr>
      <w:r>
        <w:rPr>
          <w:noProof/>
        </w:rPr>
        <w:drawing>
          <wp:inline distT="0" distB="0" distL="0" distR="0" wp14:anchorId="3D83D406" wp14:editId="5A119FDF">
            <wp:extent cx="5244677" cy="7100505"/>
            <wp:effectExtent l="0" t="0" r="0" b="5715"/>
            <wp:docPr id="79927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71713" name=""/>
                    <pic:cNvPicPr/>
                  </pic:nvPicPr>
                  <pic:blipFill rotWithShape="1">
                    <a:blip r:embed="rId27"/>
                    <a:srcRect r="17056"/>
                    <a:stretch/>
                  </pic:blipFill>
                  <pic:spPr bwMode="auto">
                    <a:xfrm>
                      <a:off x="0" y="0"/>
                      <a:ext cx="5260630" cy="7122103"/>
                    </a:xfrm>
                    <a:prstGeom prst="rect">
                      <a:avLst/>
                    </a:prstGeom>
                    <a:ln>
                      <a:noFill/>
                    </a:ln>
                    <a:extLst>
                      <a:ext uri="{53640926-AAD7-44D8-BBD7-CCE9431645EC}">
                        <a14:shadowObscured xmlns:a14="http://schemas.microsoft.com/office/drawing/2010/main"/>
                      </a:ext>
                    </a:extLst>
                  </pic:spPr>
                </pic:pic>
              </a:graphicData>
            </a:graphic>
          </wp:inline>
        </w:drawing>
      </w:r>
    </w:p>
    <w:p w14:paraId="4C13EB18" w14:textId="20F7E3FA" w:rsidR="00476EC8" w:rsidRDefault="00476EC8" w:rsidP="00EB1740">
      <w:pPr>
        <w:rPr>
          <w:noProof/>
        </w:rPr>
      </w:pPr>
      <w:r>
        <w:rPr>
          <w:noProof/>
        </w:rPr>
        <w:drawing>
          <wp:inline distT="0" distB="0" distL="0" distR="0" wp14:anchorId="60F1B706" wp14:editId="12401076">
            <wp:extent cx="5241371" cy="7565215"/>
            <wp:effectExtent l="0" t="0" r="0" b="0"/>
            <wp:docPr id="1894163621"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63621" name="Picture 1" descr="A white sheet of paper with black text&#10;&#10;Description automatically generated"/>
                    <pic:cNvPicPr/>
                  </pic:nvPicPr>
                  <pic:blipFill rotWithShape="1">
                    <a:blip r:embed="rId28"/>
                    <a:srcRect r="17205"/>
                    <a:stretch/>
                  </pic:blipFill>
                  <pic:spPr bwMode="auto">
                    <a:xfrm>
                      <a:off x="0" y="0"/>
                      <a:ext cx="5261822" cy="7594733"/>
                    </a:xfrm>
                    <a:prstGeom prst="rect">
                      <a:avLst/>
                    </a:prstGeom>
                    <a:ln>
                      <a:noFill/>
                    </a:ln>
                    <a:extLst>
                      <a:ext uri="{53640926-AAD7-44D8-BBD7-CCE9431645EC}">
                        <a14:shadowObscured xmlns:a14="http://schemas.microsoft.com/office/drawing/2010/main"/>
                      </a:ext>
                    </a:extLst>
                  </pic:spPr>
                </pic:pic>
              </a:graphicData>
            </a:graphic>
          </wp:inline>
        </w:drawing>
      </w:r>
    </w:p>
    <w:p w14:paraId="65DB7837" w14:textId="3EC430D8" w:rsidR="00BC5298" w:rsidRDefault="00BC5298" w:rsidP="006558B6">
      <w:pPr>
        <w:pStyle w:val="Heading4"/>
      </w:pPr>
      <w:bookmarkStart w:id="14" w:name="_Toc504480011"/>
      <w:bookmarkStart w:id="15" w:name="_Toc103679293"/>
      <w:bookmarkStart w:id="16" w:name="_Toc184291849"/>
      <w:r>
        <w:t>Registration timeline</w:t>
      </w:r>
      <w:bookmarkEnd w:id="14"/>
      <w:bookmarkEnd w:id="15"/>
      <w:bookmarkEnd w:id="16"/>
    </w:p>
    <w:p w14:paraId="2F9FD642" w14:textId="23F69496" w:rsidR="00BC5298" w:rsidRPr="00BD5DBD" w:rsidRDefault="00BC5298" w:rsidP="00BC5298">
      <w:pPr>
        <w:rPr>
          <w:szCs w:val="22"/>
        </w:rPr>
      </w:pPr>
      <w:r>
        <w:rPr>
          <w:szCs w:val="22"/>
        </w:rPr>
        <w:t xml:space="preserve">Table </w:t>
      </w:r>
      <w:r w:rsidR="007A3D9D">
        <w:rPr>
          <w:szCs w:val="22"/>
        </w:rPr>
        <w:t>2</w:t>
      </w:r>
      <w:r>
        <w:rPr>
          <w:szCs w:val="22"/>
        </w:rPr>
        <w:t xml:space="preserve"> c</w:t>
      </w:r>
      <w:r w:rsidRPr="00BD5DBD">
        <w:rPr>
          <w:szCs w:val="22"/>
        </w:rPr>
        <w:t>aptures the key steps and dates for this submission.</w:t>
      </w:r>
    </w:p>
    <w:p w14:paraId="475854F5" w14:textId="28373F90" w:rsidR="008E0E85" w:rsidRDefault="00BC5298">
      <w:pPr>
        <w:rPr>
          <w:rFonts w:eastAsia="Cambria" w:cs="Times New Roman"/>
          <w:b/>
          <w:szCs w:val="22"/>
        </w:rPr>
      </w:pPr>
      <w:r w:rsidRPr="00BD5DBD">
        <w:rPr>
          <w:szCs w:val="22"/>
        </w:rPr>
        <w:t xml:space="preserve">This submission was evaluated under the </w:t>
      </w:r>
      <w:hyperlink r:id="rId29" w:history="1">
        <w:r w:rsidRPr="00BD5DBD">
          <w:rPr>
            <w:rStyle w:val="Hyperlink"/>
            <w:szCs w:val="22"/>
          </w:rPr>
          <w:t>standard prescription medicines registration process</w:t>
        </w:r>
      </w:hyperlink>
      <w:r w:rsidRPr="00BD5DBD">
        <w:rPr>
          <w:szCs w:val="22"/>
        </w:rPr>
        <w:t>.</w:t>
      </w:r>
    </w:p>
    <w:p w14:paraId="1C729BB0" w14:textId="22C0166B" w:rsidR="00BC5298" w:rsidRPr="003C1192" w:rsidRDefault="00BC5298" w:rsidP="008E0E85">
      <w:pPr>
        <w:pStyle w:val="TableTitle"/>
        <w:rPr>
          <w:iCs/>
        </w:rPr>
      </w:pPr>
      <w:r w:rsidRPr="002C1232">
        <w:t xml:space="preserve">Table </w:t>
      </w:r>
      <w:r w:rsidR="007A3D9D">
        <w:t>2</w:t>
      </w:r>
      <w:r w:rsidRPr="002C1232">
        <w:t xml:space="preserve">: Timeline for </w:t>
      </w:r>
      <w:r w:rsidR="005E6484">
        <w:t>Brukinsa</w:t>
      </w:r>
      <w:r>
        <w:t xml:space="preserve"> </w:t>
      </w:r>
      <w:r w:rsidRPr="002C1232">
        <w:t xml:space="preserve">Submission </w:t>
      </w:r>
      <w:r w:rsidRPr="00BC5298">
        <w:t>PM-2022-01012-1-4</w:t>
      </w:r>
    </w:p>
    <w:tbl>
      <w:tblPr>
        <w:tblStyle w:val="TableTGAblue2023"/>
        <w:tblW w:w="8642" w:type="dxa"/>
        <w:tblLook w:val="04A0" w:firstRow="1" w:lastRow="0" w:firstColumn="1" w:lastColumn="0" w:noHBand="0" w:noVBand="1"/>
      </w:tblPr>
      <w:tblGrid>
        <w:gridCol w:w="6374"/>
        <w:gridCol w:w="2268"/>
      </w:tblGrid>
      <w:tr w:rsidR="00BC5298" w:rsidRPr="00D01DDB" w14:paraId="43B0CADA" w14:textId="77777777" w:rsidTr="006D2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3CB676E" w14:textId="77777777" w:rsidR="00BC5298" w:rsidRPr="00D01DDB" w:rsidRDefault="00BC5298" w:rsidP="0051758C">
            <w:pPr>
              <w:rPr>
                <w:szCs w:val="22"/>
              </w:rPr>
            </w:pPr>
            <w:r w:rsidRPr="00D01DDB">
              <w:rPr>
                <w:szCs w:val="22"/>
              </w:rPr>
              <w:t>Description</w:t>
            </w:r>
          </w:p>
        </w:tc>
        <w:tc>
          <w:tcPr>
            <w:tcW w:w="2268" w:type="dxa"/>
          </w:tcPr>
          <w:p w14:paraId="5D4BE583" w14:textId="77777777" w:rsidR="00BC5298" w:rsidRPr="00D01DDB" w:rsidRDefault="00BC5298" w:rsidP="0051758C">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BC5298" w:rsidRPr="00D01DDB" w14:paraId="34A8DF8F"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53215A94" w14:textId="77777777" w:rsidR="00BC5298" w:rsidRPr="00E679D1" w:rsidRDefault="00BC5298" w:rsidP="0051758C">
            <w:r w:rsidRPr="00E679D1">
              <w:t>Submission dossier accepted and first round evaluation commenced</w:t>
            </w:r>
          </w:p>
        </w:tc>
        <w:tc>
          <w:tcPr>
            <w:tcW w:w="2268" w:type="dxa"/>
          </w:tcPr>
          <w:p w14:paraId="419CBA6E" w14:textId="11D3F40F"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Pr>
                <w:szCs w:val="22"/>
              </w:rPr>
              <w:t>2 May 2022</w:t>
            </w:r>
          </w:p>
        </w:tc>
      </w:tr>
      <w:tr w:rsidR="00BC5298" w:rsidRPr="00D01DDB" w14:paraId="11BE744E"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4D95435F" w14:textId="77777777" w:rsidR="00BC5298" w:rsidRPr="00E679D1" w:rsidRDefault="00BC5298" w:rsidP="0051758C">
            <w:r>
              <w:t>E</w:t>
            </w:r>
            <w:r w:rsidRPr="00E679D1">
              <w:t>valuation completed</w:t>
            </w:r>
          </w:p>
        </w:tc>
        <w:tc>
          <w:tcPr>
            <w:tcW w:w="2268" w:type="dxa"/>
          </w:tcPr>
          <w:p w14:paraId="724665DB" w14:textId="583E22D8"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Pr>
                <w:szCs w:val="22"/>
              </w:rPr>
              <w:t>23 November 2022</w:t>
            </w:r>
          </w:p>
        </w:tc>
      </w:tr>
      <w:tr w:rsidR="00BC5298" w:rsidRPr="00D01DDB" w14:paraId="4FCB7E0E"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52807D9F" w14:textId="1E8B2B2A" w:rsidR="00BC5298" w:rsidRPr="00D01DDB" w:rsidRDefault="00BC5298" w:rsidP="0051758C">
            <w:pPr>
              <w:rPr>
                <w:szCs w:val="22"/>
              </w:rPr>
            </w:pPr>
            <w:r w:rsidRPr="00D01DDB">
              <w:rPr>
                <w:szCs w:val="22"/>
              </w:rPr>
              <w:t>Delegate’s</w:t>
            </w:r>
            <w:r>
              <w:rPr>
                <w:rStyle w:val="FootnoteReference"/>
                <w:szCs w:val="22"/>
              </w:rPr>
              <w:footnoteReference w:id="2"/>
            </w:r>
            <w:r w:rsidRPr="00D01DDB">
              <w:rPr>
                <w:szCs w:val="22"/>
              </w:rPr>
              <w:t xml:space="preserve"> Overall benefit-risk assessment </w:t>
            </w:r>
            <w:r w:rsidRPr="00BC5298">
              <w:rPr>
                <w:color w:val="auto"/>
                <w:szCs w:val="22"/>
              </w:rPr>
              <w:t>and request for Advisory Committee advice</w:t>
            </w:r>
          </w:p>
        </w:tc>
        <w:tc>
          <w:tcPr>
            <w:tcW w:w="2268" w:type="dxa"/>
          </w:tcPr>
          <w:p w14:paraId="266019D3" w14:textId="199D5316"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sidRPr="00BC5298">
              <w:rPr>
                <w:szCs w:val="22"/>
              </w:rPr>
              <w:t>20 December 2022</w:t>
            </w:r>
          </w:p>
        </w:tc>
      </w:tr>
      <w:tr w:rsidR="00BC5298" w:rsidRPr="00D01DDB" w14:paraId="4B22E54A"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4CAFC716" w14:textId="77777777" w:rsidR="00BC5298" w:rsidRPr="00E679D1" w:rsidRDefault="00BC5298" w:rsidP="0051758C">
            <w:r w:rsidRPr="00E679D1">
              <w:t>Advisory Committee meeting</w:t>
            </w:r>
          </w:p>
        </w:tc>
        <w:tc>
          <w:tcPr>
            <w:tcW w:w="2268" w:type="dxa"/>
          </w:tcPr>
          <w:p w14:paraId="0E757555" w14:textId="40115002" w:rsidR="00BC5298" w:rsidRPr="00D01DDB" w:rsidRDefault="00BC5298" w:rsidP="00BC5298">
            <w:pPr>
              <w:cnfStyle w:val="000000000000" w:firstRow="0" w:lastRow="0" w:firstColumn="0" w:lastColumn="0" w:oddVBand="0" w:evenVBand="0" w:oddHBand="0" w:evenHBand="0" w:firstRowFirstColumn="0" w:firstRowLastColumn="0" w:lastRowFirstColumn="0" w:lastRowLastColumn="0"/>
              <w:rPr>
                <w:szCs w:val="22"/>
              </w:rPr>
            </w:pPr>
            <w:r>
              <w:rPr>
                <w:szCs w:val="22"/>
              </w:rPr>
              <w:t>17 February 2023</w:t>
            </w:r>
          </w:p>
        </w:tc>
      </w:tr>
      <w:tr w:rsidR="00BC5298" w:rsidRPr="00D01DDB" w14:paraId="396D99BC"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14C3368E" w14:textId="77777777" w:rsidR="00BC5298" w:rsidRPr="00E679D1" w:rsidRDefault="00BC5298" w:rsidP="0051758C">
            <w:r w:rsidRPr="00E679D1">
              <w:t>Registration decision (Outcome)</w:t>
            </w:r>
          </w:p>
        </w:tc>
        <w:tc>
          <w:tcPr>
            <w:tcW w:w="2268" w:type="dxa"/>
          </w:tcPr>
          <w:p w14:paraId="2010A3EE" w14:textId="28DE63AE"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Pr>
                <w:szCs w:val="22"/>
              </w:rPr>
              <w:t>1 March 2023</w:t>
            </w:r>
          </w:p>
        </w:tc>
      </w:tr>
      <w:tr w:rsidR="00BC5298" w:rsidRPr="00D01DDB" w14:paraId="6690B143"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3CAF8495" w14:textId="77777777" w:rsidR="00BC5298" w:rsidRPr="00E679D1" w:rsidRDefault="00BC5298" w:rsidP="0051758C">
            <w:r w:rsidRPr="00B80D2A">
              <w:t>Registration in the ARTG</w:t>
            </w:r>
          </w:p>
        </w:tc>
        <w:tc>
          <w:tcPr>
            <w:tcW w:w="2268" w:type="dxa"/>
          </w:tcPr>
          <w:p w14:paraId="347E2651" w14:textId="29A62954"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Pr>
                <w:szCs w:val="22"/>
              </w:rPr>
              <w:t>2 March 2023</w:t>
            </w:r>
          </w:p>
        </w:tc>
      </w:tr>
      <w:tr w:rsidR="00BC5298" w:rsidRPr="00D01DDB" w14:paraId="36699D92" w14:textId="77777777" w:rsidTr="006D2A7F">
        <w:tc>
          <w:tcPr>
            <w:cnfStyle w:val="001000000000" w:firstRow="0" w:lastRow="0" w:firstColumn="1" w:lastColumn="0" w:oddVBand="0" w:evenVBand="0" w:oddHBand="0" w:evenHBand="0" w:firstRowFirstColumn="0" w:firstRowLastColumn="0" w:lastRowFirstColumn="0" w:lastRowLastColumn="0"/>
            <w:tcW w:w="6374" w:type="dxa"/>
          </w:tcPr>
          <w:p w14:paraId="57ED4E40" w14:textId="77777777" w:rsidR="00BC5298" w:rsidRPr="00E679D1" w:rsidRDefault="00BC5298" w:rsidP="0051758C">
            <w:r w:rsidRPr="00E679D1">
              <w:t>Number of working days from submission dossier acceptance to registration decision*</w:t>
            </w:r>
          </w:p>
        </w:tc>
        <w:tc>
          <w:tcPr>
            <w:tcW w:w="2268" w:type="dxa"/>
          </w:tcPr>
          <w:p w14:paraId="45DFD134" w14:textId="53FAF273" w:rsidR="00BC5298" w:rsidRPr="00D01DDB" w:rsidRDefault="00BC5298" w:rsidP="0051758C">
            <w:pPr>
              <w:cnfStyle w:val="000000000000" w:firstRow="0" w:lastRow="0" w:firstColumn="0" w:lastColumn="0" w:oddVBand="0" w:evenVBand="0" w:oddHBand="0" w:evenHBand="0" w:firstRowFirstColumn="0" w:firstRowLastColumn="0" w:lastRowFirstColumn="0" w:lastRowLastColumn="0"/>
              <w:rPr>
                <w:szCs w:val="22"/>
              </w:rPr>
            </w:pPr>
            <w:r>
              <w:rPr>
                <w:szCs w:val="22"/>
              </w:rPr>
              <w:t>215</w:t>
            </w:r>
          </w:p>
        </w:tc>
      </w:tr>
    </w:tbl>
    <w:p w14:paraId="0CCEB02D" w14:textId="77777777" w:rsidR="00BC5298" w:rsidRDefault="00BC5298" w:rsidP="00BC5298">
      <w:pPr>
        <w:pStyle w:val="TableDescription"/>
      </w:pPr>
      <w:r>
        <w:t>*</w:t>
      </w:r>
      <w:r w:rsidRPr="00BF3774">
        <w:t xml:space="preserve">Statutory </w:t>
      </w:r>
      <w:r>
        <w:t>timeframe for standard submissions is 255 working days</w:t>
      </w:r>
    </w:p>
    <w:p w14:paraId="76767A1B" w14:textId="77777777" w:rsidR="00BC5298" w:rsidRPr="00792A32" w:rsidRDefault="00BC5298" w:rsidP="00BC5298">
      <w:pPr>
        <w:pStyle w:val="Heading2"/>
      </w:pPr>
      <w:bookmarkStart w:id="17" w:name="_Toc18429185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17"/>
    </w:p>
    <w:p w14:paraId="3F720E3C" w14:textId="77777777" w:rsidR="00BC5298" w:rsidRDefault="00BC5298" w:rsidP="00BC5298">
      <w:pPr>
        <w:pStyle w:val="Heading3"/>
      </w:pPr>
      <w:bookmarkStart w:id="18" w:name="_Toc184291851"/>
      <w:r>
        <w:t xml:space="preserve">Clinical </w:t>
      </w:r>
      <w:r w:rsidRPr="00F956CF">
        <w:t>evaluation summary</w:t>
      </w:r>
      <w:bookmarkEnd w:id="18"/>
    </w:p>
    <w:p w14:paraId="25A8D822" w14:textId="70C51DC4" w:rsidR="00EB1740" w:rsidRDefault="00EB1740" w:rsidP="00D22616">
      <w:pPr>
        <w:pStyle w:val="Heading4"/>
        <w:rPr>
          <w:noProof/>
        </w:rPr>
      </w:pPr>
      <w:bookmarkStart w:id="19" w:name="_Toc184291852"/>
      <w:r>
        <w:rPr>
          <w:noProof/>
        </w:rPr>
        <w:t>Pharmacology</w:t>
      </w:r>
      <w:bookmarkEnd w:id="19"/>
    </w:p>
    <w:p w14:paraId="59784ADF" w14:textId="130BE4D7" w:rsidR="00EB1740" w:rsidRDefault="00EB1740" w:rsidP="00D22616">
      <w:pPr>
        <w:pStyle w:val="Heading5"/>
        <w:rPr>
          <w:noProof/>
        </w:rPr>
      </w:pPr>
      <w:r>
        <w:rPr>
          <w:noProof/>
        </w:rPr>
        <w:t xml:space="preserve">Pharmacokinetics </w:t>
      </w:r>
    </w:p>
    <w:p w14:paraId="76DD2187" w14:textId="3D4A891F" w:rsidR="00EB1740" w:rsidRDefault="00EB1740" w:rsidP="00EB1740">
      <w:pPr>
        <w:rPr>
          <w:noProof/>
        </w:rPr>
      </w:pPr>
      <w:r>
        <w:rPr>
          <w:noProof/>
        </w:rPr>
        <w:t xml:space="preserve">New data comprised a </w:t>
      </w:r>
      <w:r w:rsidR="005E6484">
        <w:rPr>
          <w:noProof/>
        </w:rPr>
        <w:t xml:space="preserve">drug-drug interaction </w:t>
      </w:r>
      <w:r>
        <w:rPr>
          <w:noProof/>
        </w:rPr>
        <w:t>study of zanubrutinib with rifabutin, a moderate CYP3A inducer. Zanubrutinib exposure decreased approximately 1.8 to 1.9 fold when co-administered with rifabutin.</w:t>
      </w:r>
    </w:p>
    <w:p w14:paraId="1C5C340D" w14:textId="66C027EC" w:rsidR="00EB1740" w:rsidRDefault="00EB1740" w:rsidP="00D22616">
      <w:pPr>
        <w:pStyle w:val="Heading5"/>
        <w:rPr>
          <w:noProof/>
        </w:rPr>
      </w:pPr>
      <w:r>
        <w:rPr>
          <w:noProof/>
        </w:rPr>
        <w:t>Population P</w:t>
      </w:r>
      <w:r w:rsidR="00B27EB9">
        <w:rPr>
          <w:noProof/>
        </w:rPr>
        <w:t>harmacokinetics</w:t>
      </w:r>
    </w:p>
    <w:p w14:paraId="425FEF55" w14:textId="74A1514E" w:rsidR="00EB1740" w:rsidRDefault="00EB1740" w:rsidP="00EB1740">
      <w:pPr>
        <w:rPr>
          <w:noProof/>
        </w:rPr>
      </w:pPr>
      <w:r>
        <w:rPr>
          <w:noProof/>
        </w:rPr>
        <w:t>An updated population</w:t>
      </w:r>
      <w:r w:rsidR="00B27EB9">
        <w:rPr>
          <w:noProof/>
        </w:rPr>
        <w:t xml:space="preserve"> p</w:t>
      </w:r>
      <w:r w:rsidR="00B27EB9" w:rsidRPr="00B27EB9">
        <w:rPr>
          <w:noProof/>
        </w:rPr>
        <w:t>harmacokinetics</w:t>
      </w:r>
      <w:r>
        <w:rPr>
          <w:noProof/>
        </w:rPr>
        <w:t xml:space="preserve"> </w:t>
      </w:r>
      <w:r w:rsidR="00B27EB9">
        <w:rPr>
          <w:noProof/>
        </w:rPr>
        <w:t>(popPK)</w:t>
      </w:r>
      <w:r>
        <w:rPr>
          <w:noProof/>
        </w:rPr>
        <w:t xml:space="preserve"> model which incorporated data from the two phase 3 studies found that patients with B cell malignancies had a lower exposure to zanubrutinib than did healthy volunteers. Inter-individual variability was notable with the coefficient of variation (CV) ranging from 37% to 123% across the PK parameters. The geometric mean elimination half-life was</w:t>
      </w:r>
      <w:r w:rsidR="008E0E85">
        <w:rPr>
          <w:noProof/>
        </w:rPr>
        <w:t xml:space="preserve"> </w:t>
      </w:r>
      <w:r>
        <w:rPr>
          <w:noProof/>
        </w:rPr>
        <w:t>2.52 hours with a CV of 47.6%. Health status, baseline ALT and age were statistically significant covariates on the PK of zanubrutinib. Healthy volunteers were expected to have 61.2% higher AUCss and 41.2% higher Cmax,ss than patients with B cell malignancies. The impact of ALT and age on exposure to zanubrutinib was small particularly when compared with population variability. Other covariates of baseline body weight, sex, race, AST, bilirubin, creatinine clearance, tumour type and use of acid reducing agents did not have a statistically significant impact on the PK of zanubrutinib. The impact of ALT and age on exposure, while statistically significant, was low and unlikely to be clinically meaningful.</w:t>
      </w:r>
    </w:p>
    <w:p w14:paraId="756D6B5D" w14:textId="541D3CEB" w:rsidR="00EB1740" w:rsidRDefault="00EB1740" w:rsidP="00D22616">
      <w:pPr>
        <w:pStyle w:val="Heading5"/>
        <w:rPr>
          <w:noProof/>
        </w:rPr>
      </w:pPr>
      <w:r>
        <w:rPr>
          <w:noProof/>
        </w:rPr>
        <w:t xml:space="preserve">Pharmacodynamics </w:t>
      </w:r>
    </w:p>
    <w:p w14:paraId="01BCC6AD" w14:textId="552B77B2" w:rsidR="00EB1740" w:rsidRDefault="00EB1740" w:rsidP="00EB1740">
      <w:pPr>
        <w:rPr>
          <w:noProof/>
        </w:rPr>
      </w:pPr>
      <w:r>
        <w:rPr>
          <w:noProof/>
        </w:rPr>
        <w:t xml:space="preserve">Zanubrutinib is an irreversible inhibitor of Bruton’s tyrosine kinase (BTK) that was designed to be more selective than ibrutinib for BTK inhibition and with less off target activity. The </w:t>
      </w:r>
      <w:r w:rsidR="008A5005">
        <w:rPr>
          <w:noProof/>
        </w:rPr>
        <w:t>Sponsor</w:t>
      </w:r>
      <w:r>
        <w:rPr>
          <w:noProof/>
        </w:rPr>
        <w:t xml:space="preserve"> has stated that zanubrutinib was developed under the hypothesis that those pharmacologic and selectivity advantages might result in more sustained BTK occupancy, greater response depth and/or quality, and greater safety and tolerability as compared to the first generation BTK inhibitor.</w:t>
      </w:r>
    </w:p>
    <w:p w14:paraId="421E7FF0" w14:textId="0F32A002" w:rsidR="00EB1740" w:rsidRDefault="00EB1740" w:rsidP="00BC5298">
      <w:pPr>
        <w:rPr>
          <w:noProof/>
        </w:rPr>
      </w:pPr>
      <w:r>
        <w:rPr>
          <w:noProof/>
        </w:rPr>
        <w:t>An exposure/ response analysis was conducted with data from studies BGB-3111-304 and BGB- 311-305. The objectives were:</w:t>
      </w:r>
    </w:p>
    <w:p w14:paraId="1223FA8F" w14:textId="2C110A2B" w:rsidR="00BC5298" w:rsidRDefault="00EB1740" w:rsidP="006D2A7F">
      <w:pPr>
        <w:pStyle w:val="ListBullet"/>
        <w:rPr>
          <w:noProof/>
        </w:rPr>
      </w:pPr>
      <w:r>
        <w:rPr>
          <w:noProof/>
        </w:rPr>
        <w:t>Explore whether there is an exposure-response (E-R) relationship between zanubrutinib exposure metrics of (model predicted steady-state trough concentration [Cmin,ss], maximal</w:t>
      </w:r>
      <w:r w:rsidR="00BC5298" w:rsidRPr="00BC5298">
        <w:t xml:space="preserve"> </w:t>
      </w:r>
      <w:r w:rsidR="00BC5298">
        <w:rPr>
          <w:noProof/>
        </w:rPr>
        <w:t>concentration [Cmax,ss], and area under the curve [AUCss]) and the efficacy endpoints (progression-free survival [PFS], objective response rate [ORR], and ORR including partial response with lymphocytosis [PR-L]).</w:t>
      </w:r>
    </w:p>
    <w:p w14:paraId="094FF860" w14:textId="1302B295" w:rsidR="00BC5298" w:rsidRDefault="00BC5298" w:rsidP="006D2A7F">
      <w:pPr>
        <w:pStyle w:val="ListBullet"/>
        <w:rPr>
          <w:noProof/>
        </w:rPr>
      </w:pPr>
      <w:r>
        <w:rPr>
          <w:noProof/>
        </w:rPr>
        <w:t>Explore whether there is an E-R relationship between the zanubrutinib exposure metrics (Cmin,ss, Cmax,ss and AUCss) and adverse events (AEs) leading to treatment discontinuation or specified AEs of interest (grade ≥3 neutropenia, grade ≥3 thrombocytopenia, grade ≥ 3 anaemia, grade ≥ 3 infections/infestations, all events of secondary primary malignancies, all events of atrial fibrillation and flutter, major bleeding events, and any bleeding events).</w:t>
      </w:r>
    </w:p>
    <w:p w14:paraId="5BF825BC" w14:textId="77777777" w:rsidR="00BC5298" w:rsidRDefault="00BC5298" w:rsidP="00BC5298">
      <w:pPr>
        <w:rPr>
          <w:noProof/>
        </w:rPr>
      </w:pPr>
      <w:r>
        <w:rPr>
          <w:noProof/>
        </w:rPr>
        <w:t>No relationships between any of the exposure measures and either efficacy or AEs of interest were detected in the analysis.</w:t>
      </w:r>
    </w:p>
    <w:p w14:paraId="136DD21D" w14:textId="77777777" w:rsidR="00BC5298" w:rsidRDefault="00BC5298" w:rsidP="008E0E85">
      <w:pPr>
        <w:pStyle w:val="Heading4"/>
        <w:rPr>
          <w:noProof/>
        </w:rPr>
      </w:pPr>
      <w:bookmarkStart w:id="20" w:name="_Toc184291853"/>
      <w:r>
        <w:rPr>
          <w:noProof/>
        </w:rPr>
        <w:t>Efficacy</w:t>
      </w:r>
      <w:bookmarkEnd w:id="20"/>
    </w:p>
    <w:p w14:paraId="77226C09" w14:textId="77777777" w:rsidR="00BC5298" w:rsidRDefault="00BC5298" w:rsidP="00BC5298">
      <w:pPr>
        <w:rPr>
          <w:noProof/>
        </w:rPr>
      </w:pPr>
      <w:r>
        <w:rPr>
          <w:noProof/>
        </w:rPr>
        <w:t>The zanubrutinib dose regimen proposed for treatment of CLL is 320 mg p.o. daily, taken as either 320 mg (four 80 mg capsules) once daily, or as 160 mg (two 80 mg capsules) twice daily. This regimen is the same as the regimen recommended for the current indications. That dose regimen was selected for the Phase 3 studies based on sustained target occupancy, high rates of objective response in multiple types of B-cell malignancies, and a favourable safety and tolerability profile.</w:t>
      </w:r>
    </w:p>
    <w:p w14:paraId="1964E816" w14:textId="77777777" w:rsidR="00BC5298" w:rsidRDefault="00BC5298" w:rsidP="008E0E85">
      <w:pPr>
        <w:pStyle w:val="Heading5"/>
        <w:rPr>
          <w:noProof/>
        </w:rPr>
      </w:pPr>
      <w:r>
        <w:rPr>
          <w:noProof/>
        </w:rPr>
        <w:t>Study BGB-3111-304 (SEQUOIA)</w:t>
      </w:r>
    </w:p>
    <w:p w14:paraId="4B98EE2E" w14:textId="68728DF0" w:rsidR="00EB1740" w:rsidRDefault="00BC5298" w:rsidP="00BC5298">
      <w:pPr>
        <w:rPr>
          <w:noProof/>
        </w:rPr>
      </w:pPr>
      <w:r>
        <w:rPr>
          <w:noProof/>
        </w:rPr>
        <w:t xml:space="preserve">This is an ongoing, Phase 3, open-label, randomised study of zanubrutinib compared with bendamustine (B) + rituximab (R) in patients with previously untreated CLL or SLL. The study is being conducted at 153 study centres in 14 countries and 1 region, including Australia. It commenced on 31 October 2017. This submission contained an interim report with </w:t>
      </w:r>
      <w:r w:rsidR="00272745">
        <w:rPr>
          <w:noProof/>
        </w:rPr>
        <w:t>data cut-off (</w:t>
      </w:r>
      <w:r>
        <w:rPr>
          <w:noProof/>
        </w:rPr>
        <w:t>DCO</w:t>
      </w:r>
      <w:r w:rsidR="00272745">
        <w:rPr>
          <w:noProof/>
        </w:rPr>
        <w:t>)</w:t>
      </w:r>
      <w:r>
        <w:rPr>
          <w:noProof/>
        </w:rPr>
        <w:t xml:space="preserve"> 7 May 2021. The</w:t>
      </w:r>
      <w:r w:rsidR="00272745">
        <w:rPr>
          <w:noProof/>
        </w:rPr>
        <w:t xml:space="preserve"> study</w:t>
      </w:r>
      <w:r>
        <w:rPr>
          <w:noProof/>
        </w:rPr>
        <w:t xml:space="preserve"> design is shown </w:t>
      </w:r>
      <w:r w:rsidR="00CE210F">
        <w:rPr>
          <w:noProof/>
        </w:rPr>
        <w:t>in Figure 1</w:t>
      </w:r>
      <w:r w:rsidR="008E0E85">
        <w:rPr>
          <w:noProof/>
        </w:rPr>
        <w:t>.</w:t>
      </w:r>
    </w:p>
    <w:p w14:paraId="13D1FC97" w14:textId="15DB6433" w:rsidR="00BC5298" w:rsidRDefault="00BC5298" w:rsidP="00BC5298">
      <w:pPr>
        <w:pStyle w:val="FigureTitle"/>
        <w:rPr>
          <w:noProof/>
        </w:rPr>
      </w:pPr>
      <w:r w:rsidRPr="00BC5298">
        <w:rPr>
          <w:noProof/>
        </w:rPr>
        <w:t>Figure 1</w:t>
      </w:r>
      <w:r>
        <w:rPr>
          <w:noProof/>
        </w:rPr>
        <w:t xml:space="preserve">. </w:t>
      </w:r>
      <w:r w:rsidRPr="00BC5298">
        <w:rPr>
          <w:noProof/>
        </w:rPr>
        <w:t>Study 304 Schema</w:t>
      </w:r>
    </w:p>
    <w:p w14:paraId="2CC1E26A" w14:textId="5C29D2B7" w:rsidR="00CE210F" w:rsidRDefault="00CE210F" w:rsidP="006D2A7F">
      <w:pPr>
        <w:pStyle w:val="FigureDescription"/>
      </w:pPr>
      <w:r>
        <w:rPr>
          <w:noProof/>
        </w:rPr>
        <w:drawing>
          <wp:inline distT="0" distB="0" distL="0" distR="0" wp14:anchorId="05748456" wp14:editId="00ED4BB1">
            <wp:extent cx="4303125" cy="4142630"/>
            <wp:effectExtent l="0" t="0" r="2540" b="0"/>
            <wp:docPr id="61130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4786" name=""/>
                    <pic:cNvPicPr/>
                  </pic:nvPicPr>
                  <pic:blipFill rotWithShape="1">
                    <a:blip r:embed="rId30"/>
                    <a:srcRect t="391" b="1"/>
                    <a:stretch/>
                  </pic:blipFill>
                  <pic:spPr bwMode="auto">
                    <a:xfrm>
                      <a:off x="0" y="0"/>
                      <a:ext cx="4314287" cy="4153375"/>
                    </a:xfrm>
                    <a:prstGeom prst="rect">
                      <a:avLst/>
                    </a:prstGeom>
                    <a:ln>
                      <a:noFill/>
                    </a:ln>
                    <a:extLst>
                      <a:ext uri="{53640926-AAD7-44D8-BBD7-CCE9431645EC}">
                        <a14:shadowObscured xmlns:a14="http://schemas.microsoft.com/office/drawing/2010/main"/>
                      </a:ext>
                    </a:extLst>
                  </pic:spPr>
                </pic:pic>
              </a:graphicData>
            </a:graphic>
          </wp:inline>
        </w:drawing>
      </w:r>
      <w:bookmarkStart w:id="21" w:name="_Toc314842514"/>
      <w:bookmarkEnd w:id="8"/>
      <w:bookmarkEnd w:id="9"/>
      <w:r w:rsidR="00F33CBB">
        <w:rPr>
          <w:noProof/>
        </w:rPr>
        <w:drawing>
          <wp:inline distT="0" distB="0" distL="0" distR="0" wp14:anchorId="0C07E2AD" wp14:editId="4C9E7288">
            <wp:extent cx="5759450" cy="1290320"/>
            <wp:effectExtent l="0" t="0" r="0" b="5080"/>
            <wp:docPr id="457479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79282" name=""/>
                    <pic:cNvPicPr/>
                  </pic:nvPicPr>
                  <pic:blipFill>
                    <a:blip r:embed="rId31"/>
                    <a:stretch>
                      <a:fillRect/>
                    </a:stretch>
                  </pic:blipFill>
                  <pic:spPr>
                    <a:xfrm>
                      <a:off x="0" y="0"/>
                      <a:ext cx="5759450" cy="1290320"/>
                    </a:xfrm>
                    <a:prstGeom prst="rect">
                      <a:avLst/>
                    </a:prstGeom>
                  </pic:spPr>
                </pic:pic>
              </a:graphicData>
            </a:graphic>
          </wp:inline>
        </w:drawing>
      </w:r>
    </w:p>
    <w:p w14:paraId="02B7B796" w14:textId="07903D3A" w:rsidR="00F33CBB" w:rsidRDefault="00F33CBB" w:rsidP="008E0E85">
      <w:pPr>
        <w:pStyle w:val="BodyText"/>
        <w:ind w:left="0" w:right="144"/>
      </w:pPr>
      <w:r>
        <w:t>The</w:t>
      </w:r>
      <w:r>
        <w:rPr>
          <w:spacing w:val="-3"/>
        </w:rPr>
        <w:t xml:space="preserve"> </w:t>
      </w:r>
      <w:r>
        <w:t>primary</w:t>
      </w:r>
      <w:r>
        <w:rPr>
          <w:spacing w:val="-4"/>
        </w:rPr>
        <w:t xml:space="preserve"> </w:t>
      </w:r>
      <w:r>
        <w:t>objective</w:t>
      </w:r>
      <w:r>
        <w:rPr>
          <w:spacing w:val="-2"/>
        </w:rPr>
        <w:t xml:space="preserve"> </w:t>
      </w:r>
      <w:r>
        <w:t>of</w:t>
      </w:r>
      <w:r>
        <w:rPr>
          <w:spacing w:val="-3"/>
        </w:rPr>
        <w:t xml:space="preserve"> </w:t>
      </w:r>
      <w:r>
        <w:t>this</w:t>
      </w:r>
      <w:r>
        <w:rPr>
          <w:spacing w:val="-2"/>
        </w:rPr>
        <w:t xml:space="preserve"> </w:t>
      </w:r>
      <w:r>
        <w:t>interim</w:t>
      </w:r>
      <w:r>
        <w:rPr>
          <w:spacing w:val="-2"/>
        </w:rPr>
        <w:t xml:space="preserve"> </w:t>
      </w:r>
      <w:r>
        <w:t>analysis</w:t>
      </w:r>
      <w:r>
        <w:rPr>
          <w:spacing w:val="-2"/>
        </w:rPr>
        <w:t xml:space="preserve"> </w:t>
      </w:r>
      <w:r>
        <w:t>was</w:t>
      </w:r>
      <w:r>
        <w:rPr>
          <w:spacing w:val="-2"/>
        </w:rPr>
        <w:t xml:space="preserve"> </w:t>
      </w:r>
      <w:r>
        <w:t>to</w:t>
      </w:r>
      <w:r>
        <w:rPr>
          <w:spacing w:val="-3"/>
        </w:rPr>
        <w:t xml:space="preserve"> </w:t>
      </w:r>
      <w:r>
        <w:t>compare</w:t>
      </w:r>
      <w:r>
        <w:rPr>
          <w:spacing w:val="-6"/>
        </w:rPr>
        <w:t xml:space="preserve"> </w:t>
      </w:r>
      <w:r>
        <w:t>efficacy</w:t>
      </w:r>
      <w:r>
        <w:rPr>
          <w:spacing w:val="-4"/>
        </w:rPr>
        <w:t xml:space="preserve"> </w:t>
      </w:r>
      <w:r>
        <w:t>between</w:t>
      </w:r>
      <w:r>
        <w:rPr>
          <w:spacing w:val="-4"/>
        </w:rPr>
        <w:t xml:space="preserve"> </w:t>
      </w:r>
      <w:r>
        <w:t>treatment</w:t>
      </w:r>
      <w:r w:rsidR="0024064C">
        <w:t xml:space="preserve"> </w:t>
      </w:r>
      <w:r>
        <w:t>groups in Cohort 1.</w:t>
      </w:r>
    </w:p>
    <w:p w14:paraId="5D0AB45B" w14:textId="4992F706" w:rsidR="00F33CBB" w:rsidRDefault="00F33CBB" w:rsidP="0024064C">
      <w:pPr>
        <w:pStyle w:val="Heading6"/>
      </w:pPr>
      <w:r>
        <w:t>Efficacy</w:t>
      </w:r>
      <w:r>
        <w:rPr>
          <w:spacing w:val="-1"/>
        </w:rPr>
        <w:t xml:space="preserve"> </w:t>
      </w:r>
      <w:r>
        <w:t>endpoint</w:t>
      </w:r>
    </w:p>
    <w:p w14:paraId="7EB5F01B" w14:textId="1D553784" w:rsidR="00F33CBB" w:rsidRDefault="00F33CBB" w:rsidP="008E0E85">
      <w:pPr>
        <w:pStyle w:val="BodyText"/>
        <w:spacing w:before="1"/>
        <w:ind w:left="0" w:right="144"/>
      </w:pPr>
      <w:r>
        <w:t xml:space="preserve">The primary endpoint was progression-free survival (PFS) as determined by independent review committee (IRC). PFS was defined as the interval between the first treatment day (in phase 3 trials: day of </w:t>
      </w:r>
      <w:proofErr w:type="spellStart"/>
      <w:r>
        <w:t>randomisation</w:t>
      </w:r>
      <w:proofErr w:type="spellEnd"/>
      <w:r>
        <w:t xml:space="preserve"> for intent-to-treat analysis) to the first sign of disease progression</w:t>
      </w:r>
      <w:r>
        <w:rPr>
          <w:spacing w:val="-3"/>
        </w:rPr>
        <w:t xml:space="preserve"> </w:t>
      </w:r>
      <w:r>
        <w:t>or</w:t>
      </w:r>
      <w:r>
        <w:rPr>
          <w:spacing w:val="-2"/>
        </w:rPr>
        <w:t xml:space="preserve"> </w:t>
      </w:r>
      <w:r>
        <w:t>death</w:t>
      </w:r>
      <w:r>
        <w:rPr>
          <w:spacing w:val="-2"/>
        </w:rPr>
        <w:t xml:space="preserve"> </w:t>
      </w:r>
      <w:r>
        <w:t>from</w:t>
      </w:r>
      <w:r>
        <w:rPr>
          <w:spacing w:val="-2"/>
        </w:rPr>
        <w:t xml:space="preserve"> </w:t>
      </w:r>
      <w:r>
        <w:t>any</w:t>
      </w:r>
      <w:r>
        <w:rPr>
          <w:spacing w:val="-3"/>
        </w:rPr>
        <w:t xml:space="preserve"> </w:t>
      </w:r>
      <w:r>
        <w:t>cause,</w:t>
      </w:r>
      <w:r>
        <w:rPr>
          <w:spacing w:val="-2"/>
        </w:rPr>
        <w:t xml:space="preserve"> </w:t>
      </w:r>
      <w:r>
        <w:t>using</w:t>
      </w:r>
      <w:r>
        <w:rPr>
          <w:spacing w:val="-2"/>
        </w:rPr>
        <w:t xml:space="preserve"> </w:t>
      </w:r>
      <w:r>
        <w:t>2008</w:t>
      </w:r>
      <w:r>
        <w:rPr>
          <w:spacing w:val="-2"/>
        </w:rPr>
        <w:t xml:space="preserve"> </w:t>
      </w:r>
      <w:r w:rsidR="007A3D9D" w:rsidRPr="007A3D9D">
        <w:rPr>
          <w:spacing w:val="-2"/>
        </w:rPr>
        <w:t xml:space="preserve">International Workshop on Chronic Lymphocytic Leukemia </w:t>
      </w:r>
      <w:r w:rsidR="007A3D9D">
        <w:rPr>
          <w:spacing w:val="-2"/>
        </w:rPr>
        <w:t>(</w:t>
      </w:r>
      <w:r w:rsidR="00EA3D56">
        <w:t>IW</w:t>
      </w:r>
      <w:r>
        <w:t>CLL</w:t>
      </w:r>
      <w:r w:rsidR="007A3D9D">
        <w:t>)</w:t>
      </w:r>
      <w:r>
        <w:rPr>
          <w:spacing w:val="-3"/>
        </w:rPr>
        <w:t xml:space="preserve"> </w:t>
      </w:r>
      <w:r>
        <w:t>guidelines</w:t>
      </w:r>
      <w:r>
        <w:rPr>
          <w:spacing w:val="-2"/>
        </w:rPr>
        <w:t xml:space="preserve"> </w:t>
      </w:r>
      <w:r>
        <w:t>for</w:t>
      </w:r>
      <w:r>
        <w:rPr>
          <w:spacing w:val="-2"/>
        </w:rPr>
        <w:t xml:space="preserve"> </w:t>
      </w:r>
      <w:r>
        <w:t>CLL</w:t>
      </w:r>
      <w:r>
        <w:rPr>
          <w:spacing w:val="-3"/>
        </w:rPr>
        <w:t xml:space="preserve"> </w:t>
      </w:r>
      <w:r>
        <w:t>and</w:t>
      </w:r>
      <w:r>
        <w:rPr>
          <w:spacing w:val="-3"/>
        </w:rPr>
        <w:t xml:space="preserve"> </w:t>
      </w:r>
      <w:r>
        <w:t>Lugano</w:t>
      </w:r>
      <w:r>
        <w:rPr>
          <w:spacing w:val="-3"/>
        </w:rPr>
        <w:t xml:space="preserve"> </w:t>
      </w:r>
      <w:r>
        <w:t>criteria for SLL.</w:t>
      </w:r>
    </w:p>
    <w:p w14:paraId="24C945FA" w14:textId="75B57D42" w:rsidR="00F33CBB" w:rsidRDefault="00F33CBB" w:rsidP="008E0E85">
      <w:pPr>
        <w:pStyle w:val="BodyText"/>
        <w:spacing w:before="120"/>
        <w:ind w:left="0"/>
      </w:pPr>
      <w:r>
        <w:t>Secondary objectives in Cohort 1 included a comparison of overall response rate (ORR) as determined by the IRC or by investigator, overall survival (OS), PFS determined by the investigator, and duration of response. Additional secondary objectives included efficacy assessment</w:t>
      </w:r>
      <w:r>
        <w:rPr>
          <w:spacing w:val="-3"/>
        </w:rPr>
        <w:t xml:space="preserve"> </w:t>
      </w:r>
      <w:r>
        <w:t>from</w:t>
      </w:r>
      <w:r>
        <w:rPr>
          <w:spacing w:val="-1"/>
        </w:rPr>
        <w:t xml:space="preserve"> </w:t>
      </w:r>
      <w:r>
        <w:t>Chinese</w:t>
      </w:r>
      <w:r>
        <w:rPr>
          <w:spacing w:val="-5"/>
        </w:rPr>
        <w:t xml:space="preserve"> </w:t>
      </w:r>
      <w:r>
        <w:t>sites</w:t>
      </w:r>
      <w:r>
        <w:rPr>
          <w:spacing w:val="-1"/>
        </w:rPr>
        <w:t xml:space="preserve"> </w:t>
      </w:r>
      <w:r>
        <w:t>(Cohort</w:t>
      </w:r>
      <w:r>
        <w:rPr>
          <w:spacing w:val="-3"/>
        </w:rPr>
        <w:t xml:space="preserve"> </w:t>
      </w:r>
      <w:r>
        <w:t>1a),</w:t>
      </w:r>
      <w:r>
        <w:rPr>
          <w:spacing w:val="-2"/>
        </w:rPr>
        <w:t xml:space="preserve"> </w:t>
      </w:r>
      <w:r>
        <w:t>in</w:t>
      </w:r>
      <w:r>
        <w:rPr>
          <w:spacing w:val="-3"/>
        </w:rPr>
        <w:t xml:space="preserve"> </w:t>
      </w:r>
      <w:r>
        <w:t>pooled</w:t>
      </w:r>
      <w:r>
        <w:rPr>
          <w:spacing w:val="-3"/>
        </w:rPr>
        <w:t xml:space="preserve"> </w:t>
      </w:r>
      <w:r>
        <w:t>Cohorts</w:t>
      </w:r>
      <w:r>
        <w:rPr>
          <w:spacing w:val="-2"/>
        </w:rPr>
        <w:t xml:space="preserve"> </w:t>
      </w:r>
      <w:r>
        <w:t>1</w:t>
      </w:r>
      <w:r>
        <w:rPr>
          <w:spacing w:val="-2"/>
        </w:rPr>
        <w:t xml:space="preserve"> </w:t>
      </w:r>
      <w:r>
        <w:t>and</w:t>
      </w:r>
      <w:r>
        <w:rPr>
          <w:spacing w:val="-3"/>
        </w:rPr>
        <w:t xml:space="preserve"> </w:t>
      </w:r>
      <w:r>
        <w:t>1a,</w:t>
      </w:r>
      <w:r>
        <w:rPr>
          <w:spacing w:val="-2"/>
        </w:rPr>
        <w:t xml:space="preserve"> </w:t>
      </w:r>
      <w:r>
        <w:t>in</w:t>
      </w:r>
      <w:r>
        <w:rPr>
          <w:spacing w:val="-3"/>
        </w:rPr>
        <w:t xml:space="preserve"> </w:t>
      </w:r>
      <w:r>
        <w:t>patients</w:t>
      </w:r>
      <w:r>
        <w:rPr>
          <w:spacing w:val="-1"/>
        </w:rPr>
        <w:t xml:space="preserve"> </w:t>
      </w:r>
      <w:r>
        <w:t>with</w:t>
      </w:r>
      <w:r>
        <w:rPr>
          <w:spacing w:val="-2"/>
        </w:rPr>
        <w:t xml:space="preserve"> </w:t>
      </w:r>
      <w:r>
        <w:t xml:space="preserve">del17p (Cohort 2) and in patients with del17p or pathogenic TP53 variant (Cohort 3). Secondary endpoints included the ORR, </w:t>
      </w:r>
      <w:r w:rsidR="00AD25C7">
        <w:t>OS,</w:t>
      </w:r>
      <w:r>
        <w:t xml:space="preserve"> and DOR.</w:t>
      </w:r>
    </w:p>
    <w:p w14:paraId="588E5F8F" w14:textId="77777777" w:rsidR="00F33CBB" w:rsidRDefault="00F33CBB" w:rsidP="008E0E85">
      <w:pPr>
        <w:pStyle w:val="BodyText"/>
        <w:spacing w:before="120"/>
        <w:ind w:left="0" w:right="144"/>
      </w:pPr>
      <w:r>
        <w:t xml:space="preserve">The study consisted of screening, treatment, post treatment and long term follow up phases. Long term </w:t>
      </w:r>
      <w:proofErr w:type="gramStart"/>
      <w:r>
        <w:t>follow</w:t>
      </w:r>
      <w:proofErr w:type="gramEnd"/>
      <w:r>
        <w:t xml:space="preserve"> up commenced after documented IRC disease progression. Patients were centrally randomised via interactive response technology in a 1:1 ratio to either zanubrutinib (Arm A) or bendamustine + rituximab (B+R) (Arm B) in cohorts 1 and 1a. </w:t>
      </w:r>
      <w:proofErr w:type="spellStart"/>
      <w:r>
        <w:t>Randomisation</w:t>
      </w:r>
      <w:proofErr w:type="spellEnd"/>
      <w:r>
        <w:t xml:space="preserve"> was stratified by age (&lt;65 versus ≥65 years), Binet stage (C versus A or B), IGHV mutational status (mutated</w:t>
      </w:r>
      <w:r>
        <w:rPr>
          <w:spacing w:val="-3"/>
        </w:rPr>
        <w:t xml:space="preserve"> </w:t>
      </w:r>
      <w:r>
        <w:t>versus</w:t>
      </w:r>
      <w:r>
        <w:rPr>
          <w:spacing w:val="-2"/>
        </w:rPr>
        <w:t xml:space="preserve"> </w:t>
      </w:r>
      <w:r>
        <w:t>unmutated)</w:t>
      </w:r>
      <w:r>
        <w:rPr>
          <w:spacing w:val="-4"/>
        </w:rPr>
        <w:t xml:space="preserve"> </w:t>
      </w:r>
      <w:r>
        <w:t>and</w:t>
      </w:r>
      <w:r>
        <w:rPr>
          <w:spacing w:val="-4"/>
        </w:rPr>
        <w:t xml:space="preserve"> </w:t>
      </w:r>
      <w:r>
        <w:t>geographic</w:t>
      </w:r>
      <w:r>
        <w:rPr>
          <w:spacing w:val="-2"/>
        </w:rPr>
        <w:t xml:space="preserve"> </w:t>
      </w:r>
      <w:r>
        <w:t>region</w:t>
      </w:r>
      <w:r>
        <w:rPr>
          <w:spacing w:val="-4"/>
        </w:rPr>
        <w:t xml:space="preserve"> </w:t>
      </w:r>
      <w:r>
        <w:t>(North</w:t>
      </w:r>
      <w:r>
        <w:rPr>
          <w:spacing w:val="-3"/>
        </w:rPr>
        <w:t xml:space="preserve"> </w:t>
      </w:r>
      <w:r>
        <w:t>America</w:t>
      </w:r>
      <w:r>
        <w:rPr>
          <w:spacing w:val="-3"/>
        </w:rPr>
        <w:t xml:space="preserve"> </w:t>
      </w:r>
      <w:r>
        <w:t>versus</w:t>
      </w:r>
      <w:r>
        <w:rPr>
          <w:spacing w:val="-5"/>
        </w:rPr>
        <w:t xml:space="preserve"> </w:t>
      </w:r>
      <w:r>
        <w:t>Europe</w:t>
      </w:r>
      <w:r>
        <w:rPr>
          <w:spacing w:val="-3"/>
        </w:rPr>
        <w:t xml:space="preserve"> </w:t>
      </w:r>
      <w:r>
        <w:t>versus</w:t>
      </w:r>
      <w:r>
        <w:rPr>
          <w:spacing w:val="-2"/>
        </w:rPr>
        <w:t xml:space="preserve"> </w:t>
      </w:r>
      <w:r>
        <w:t>Asia- Pacific apart from in Cohort 1a). Treatment was open label. The IRC for response assessment was blinded to study treatment.</w:t>
      </w:r>
    </w:p>
    <w:p w14:paraId="68F4E5AF" w14:textId="77777777" w:rsidR="00F33CBB" w:rsidRDefault="00F33CBB" w:rsidP="008E0E85">
      <w:pPr>
        <w:pStyle w:val="BodyText"/>
        <w:spacing w:before="119"/>
        <w:ind w:left="0" w:right="148"/>
      </w:pPr>
      <w:r>
        <w:t>Assessments of CLL/SLL status to be performed during the study include: disease-related constitutional symptoms; physical examination of lymph nodes, liver, and spleen; complete blood</w:t>
      </w:r>
      <w:r>
        <w:rPr>
          <w:spacing w:val="-3"/>
        </w:rPr>
        <w:t xml:space="preserve"> </w:t>
      </w:r>
      <w:r>
        <w:t>count</w:t>
      </w:r>
      <w:r>
        <w:rPr>
          <w:spacing w:val="-3"/>
        </w:rPr>
        <w:t xml:space="preserve"> </w:t>
      </w:r>
      <w:r>
        <w:t>(CBC);</w:t>
      </w:r>
      <w:r>
        <w:rPr>
          <w:spacing w:val="-3"/>
        </w:rPr>
        <w:t xml:space="preserve"> </w:t>
      </w:r>
      <w:r>
        <w:t>bone</w:t>
      </w:r>
      <w:r>
        <w:rPr>
          <w:spacing w:val="-5"/>
        </w:rPr>
        <w:t xml:space="preserve"> </w:t>
      </w:r>
      <w:r>
        <w:t>marrow</w:t>
      </w:r>
      <w:r>
        <w:rPr>
          <w:spacing w:val="-6"/>
        </w:rPr>
        <w:t xml:space="preserve"> </w:t>
      </w:r>
      <w:r>
        <w:t>examination;</w:t>
      </w:r>
      <w:r>
        <w:rPr>
          <w:spacing w:val="-3"/>
        </w:rPr>
        <w:t xml:space="preserve"> </w:t>
      </w:r>
      <w:r>
        <w:t>genetic</w:t>
      </w:r>
      <w:r>
        <w:rPr>
          <w:spacing w:val="-1"/>
        </w:rPr>
        <w:t xml:space="preserve"> </w:t>
      </w:r>
      <w:r>
        <w:t>alterations</w:t>
      </w:r>
      <w:r>
        <w:rPr>
          <w:spacing w:val="-5"/>
        </w:rPr>
        <w:t xml:space="preserve"> </w:t>
      </w:r>
      <w:r>
        <w:t>in</w:t>
      </w:r>
      <w:r>
        <w:rPr>
          <w:spacing w:val="-3"/>
        </w:rPr>
        <w:t xml:space="preserve"> </w:t>
      </w:r>
      <w:r>
        <w:t>the</w:t>
      </w:r>
      <w:r>
        <w:rPr>
          <w:spacing w:val="-2"/>
        </w:rPr>
        <w:t xml:space="preserve"> </w:t>
      </w:r>
      <w:r>
        <w:t>tumour</w:t>
      </w:r>
      <w:r>
        <w:rPr>
          <w:spacing w:val="-3"/>
        </w:rPr>
        <w:t xml:space="preserve"> </w:t>
      </w:r>
      <w:r>
        <w:t>cells</w:t>
      </w:r>
      <w:r>
        <w:rPr>
          <w:spacing w:val="-1"/>
        </w:rPr>
        <w:t xml:space="preserve"> </w:t>
      </w:r>
      <w:r>
        <w:t>(including del17p, del11q, Trisomy 12, del13q, IGHV mutation analysis); computed tomography (CT) scan of the neck, chest, abdomen, and pelvis; and patient-reported outcomes (PROs; EQ-5D-5L and EORTC QLQ-C30). CLL with del(17p)</w:t>
      </w:r>
      <w:r>
        <w:rPr>
          <w:spacing w:val="-1"/>
        </w:rPr>
        <w:t xml:space="preserve"> </w:t>
      </w:r>
      <w:r>
        <w:t xml:space="preserve">is known to be resistant to rituximab. Fluorescence in situ </w:t>
      </w:r>
      <w:proofErr w:type="spellStart"/>
      <w:r>
        <w:t>hybridisation</w:t>
      </w:r>
      <w:proofErr w:type="spellEnd"/>
      <w:r>
        <w:t xml:space="preserve"> (FISH) results from the central laboratory were used to confirm the presence or absence of del(17p). Patients with CLL with this deletion were excluded from Cohorts 1 and 1a only, additional key inclusion and exclusion criteria are listed below:</w:t>
      </w:r>
    </w:p>
    <w:p w14:paraId="161C6AA1" w14:textId="2AC4CC6A" w:rsidR="00F33CBB" w:rsidRDefault="00F33CBB" w:rsidP="0024064C">
      <w:pPr>
        <w:pStyle w:val="Heading6"/>
      </w:pPr>
      <w:r>
        <w:t>Key</w:t>
      </w:r>
      <w:r>
        <w:rPr>
          <w:spacing w:val="-4"/>
        </w:rPr>
        <w:t xml:space="preserve"> </w:t>
      </w:r>
      <w:r>
        <w:t>inclusion</w:t>
      </w:r>
      <w:r>
        <w:rPr>
          <w:spacing w:val="-2"/>
        </w:rPr>
        <w:t xml:space="preserve"> criteria</w:t>
      </w:r>
    </w:p>
    <w:p w14:paraId="5B336639" w14:textId="77777777" w:rsidR="00F33CBB" w:rsidRDefault="00F33CBB" w:rsidP="006D2A7F">
      <w:pPr>
        <w:pStyle w:val="ListBullet"/>
      </w:pPr>
      <w:r>
        <w:t>Adults with a confirmed diagnosis of CD20-positive CLL or SLL requiring treatment as defined</w:t>
      </w:r>
      <w:r w:rsidRPr="008E0E85">
        <w:rPr>
          <w:spacing w:val="-2"/>
        </w:rPr>
        <w:t xml:space="preserve"> </w:t>
      </w:r>
      <w:r>
        <w:t>by</w:t>
      </w:r>
      <w:r w:rsidRPr="008E0E85">
        <w:rPr>
          <w:spacing w:val="-3"/>
        </w:rPr>
        <w:t xml:space="preserve"> </w:t>
      </w:r>
      <w:r>
        <w:t>at</w:t>
      </w:r>
      <w:r w:rsidRPr="008E0E85">
        <w:rPr>
          <w:spacing w:val="-4"/>
        </w:rPr>
        <w:t xml:space="preserve"> </w:t>
      </w:r>
      <w:r>
        <w:t>least</w:t>
      </w:r>
      <w:r w:rsidRPr="008E0E85">
        <w:rPr>
          <w:spacing w:val="-3"/>
        </w:rPr>
        <w:t xml:space="preserve"> </w:t>
      </w:r>
      <w:r>
        <w:t>one</w:t>
      </w:r>
      <w:r w:rsidRPr="008E0E85">
        <w:rPr>
          <w:spacing w:val="-3"/>
        </w:rPr>
        <w:t xml:space="preserve"> </w:t>
      </w:r>
      <w:r>
        <w:t>of</w:t>
      </w:r>
      <w:r w:rsidRPr="008E0E85">
        <w:rPr>
          <w:spacing w:val="-2"/>
        </w:rPr>
        <w:t xml:space="preserve"> </w:t>
      </w:r>
      <w:r>
        <w:t>the</w:t>
      </w:r>
      <w:r w:rsidRPr="008E0E85">
        <w:rPr>
          <w:spacing w:val="-2"/>
        </w:rPr>
        <w:t xml:space="preserve"> </w:t>
      </w:r>
      <w:r>
        <w:t>following:</w:t>
      </w:r>
      <w:r w:rsidRPr="008E0E85">
        <w:rPr>
          <w:spacing w:val="-2"/>
        </w:rPr>
        <w:t xml:space="preserve"> </w:t>
      </w:r>
      <w:r>
        <w:t>progressive</w:t>
      </w:r>
      <w:r w:rsidRPr="008E0E85">
        <w:rPr>
          <w:spacing w:val="-5"/>
        </w:rPr>
        <w:t xml:space="preserve"> </w:t>
      </w:r>
      <w:r>
        <w:t>marrow</w:t>
      </w:r>
      <w:r w:rsidRPr="008E0E85">
        <w:rPr>
          <w:spacing w:val="-4"/>
        </w:rPr>
        <w:t xml:space="preserve"> </w:t>
      </w:r>
      <w:r>
        <w:t>failure;</w:t>
      </w:r>
      <w:r w:rsidRPr="008E0E85">
        <w:rPr>
          <w:spacing w:val="-3"/>
        </w:rPr>
        <w:t xml:space="preserve"> </w:t>
      </w:r>
      <w:r>
        <w:t>massive,</w:t>
      </w:r>
      <w:r w:rsidRPr="008E0E85">
        <w:rPr>
          <w:spacing w:val="-2"/>
        </w:rPr>
        <w:t xml:space="preserve"> </w:t>
      </w:r>
      <w:r>
        <w:t>progressive, or symptomatic splenomegaly; massive, progressive, or symptomatic lymphadenopathy; progressive lymphocytosis with rapid doubling time; or constitutional symptoms.</w:t>
      </w:r>
    </w:p>
    <w:p w14:paraId="5DE57A56" w14:textId="77777777" w:rsidR="00F33CBB" w:rsidRDefault="00F33CBB" w:rsidP="006D2A7F">
      <w:pPr>
        <w:pStyle w:val="ListBullet"/>
      </w:pPr>
      <w:r>
        <w:t>≥65 years of age at time of informed consent, or 18-64 years of age and unsuitable for chemoimmunotherapy</w:t>
      </w:r>
      <w:r w:rsidRPr="008E0E85">
        <w:rPr>
          <w:spacing w:val="-4"/>
        </w:rPr>
        <w:t xml:space="preserve"> </w:t>
      </w:r>
      <w:r>
        <w:t>with</w:t>
      </w:r>
      <w:r w:rsidRPr="008E0E85">
        <w:rPr>
          <w:spacing w:val="-3"/>
        </w:rPr>
        <w:t xml:space="preserve"> </w:t>
      </w:r>
      <w:r>
        <w:t>fludarabine,</w:t>
      </w:r>
      <w:r w:rsidRPr="008E0E85">
        <w:rPr>
          <w:spacing w:val="-6"/>
        </w:rPr>
        <w:t xml:space="preserve"> </w:t>
      </w:r>
      <w:r>
        <w:t>cyclophosphamide,</w:t>
      </w:r>
      <w:r w:rsidRPr="008E0E85">
        <w:rPr>
          <w:spacing w:val="-3"/>
        </w:rPr>
        <w:t xml:space="preserve"> </w:t>
      </w:r>
      <w:r>
        <w:t>and</w:t>
      </w:r>
      <w:r w:rsidRPr="008E0E85">
        <w:rPr>
          <w:spacing w:val="-4"/>
        </w:rPr>
        <w:t xml:space="preserve"> </w:t>
      </w:r>
      <w:r>
        <w:t>rituximab</w:t>
      </w:r>
      <w:r w:rsidRPr="008E0E85">
        <w:rPr>
          <w:spacing w:val="-5"/>
        </w:rPr>
        <w:t xml:space="preserve"> </w:t>
      </w:r>
      <w:r>
        <w:t>(FCR)</w:t>
      </w:r>
      <w:r w:rsidRPr="008E0E85">
        <w:rPr>
          <w:spacing w:val="-4"/>
        </w:rPr>
        <w:t xml:space="preserve"> </w:t>
      </w:r>
      <w:r>
        <w:t>based</w:t>
      </w:r>
      <w:r w:rsidRPr="008E0E85">
        <w:rPr>
          <w:spacing w:val="-3"/>
        </w:rPr>
        <w:t xml:space="preserve"> </w:t>
      </w:r>
      <w:r>
        <w:t>on 1 or more of the following factors: Cumulative Illness Rating Scale (CIRS) score &gt; 6; creatinine clearance &lt;70 mL/min; or history of previous serious infection or multiple infections in the past 2 years.</w:t>
      </w:r>
    </w:p>
    <w:p w14:paraId="739BDD6C" w14:textId="03AF7AC4" w:rsidR="00F33CBB" w:rsidRDefault="00F33CBB" w:rsidP="006D2A7F">
      <w:pPr>
        <w:pStyle w:val="ListBullet"/>
      </w:pPr>
      <w:r>
        <w:t>Measurable</w:t>
      </w:r>
      <w:r w:rsidRPr="008E0E85">
        <w:rPr>
          <w:spacing w:val="-6"/>
        </w:rPr>
        <w:t xml:space="preserve"> </w:t>
      </w:r>
      <w:r>
        <w:t>disease,</w:t>
      </w:r>
      <w:r w:rsidRPr="008E0E85">
        <w:rPr>
          <w:spacing w:val="-4"/>
        </w:rPr>
        <w:t xml:space="preserve"> </w:t>
      </w:r>
      <w:r>
        <w:t>defined</w:t>
      </w:r>
      <w:r w:rsidRPr="008E0E85">
        <w:rPr>
          <w:spacing w:val="-3"/>
        </w:rPr>
        <w:t xml:space="preserve"> </w:t>
      </w:r>
      <w:r>
        <w:t>as</w:t>
      </w:r>
      <w:r w:rsidRPr="008E0E85">
        <w:rPr>
          <w:spacing w:val="-3"/>
        </w:rPr>
        <w:t xml:space="preserve"> </w:t>
      </w:r>
      <w:r>
        <w:t>≥1</w:t>
      </w:r>
      <w:r w:rsidRPr="008E0E85">
        <w:rPr>
          <w:spacing w:val="-4"/>
        </w:rPr>
        <w:t xml:space="preserve"> </w:t>
      </w:r>
      <w:r>
        <w:t>lymph</w:t>
      </w:r>
      <w:r w:rsidRPr="008E0E85">
        <w:rPr>
          <w:spacing w:val="-4"/>
        </w:rPr>
        <w:t xml:space="preserve"> </w:t>
      </w:r>
      <w:r>
        <w:t>node</w:t>
      </w:r>
      <w:r w:rsidRPr="008E0E85">
        <w:rPr>
          <w:spacing w:val="-3"/>
        </w:rPr>
        <w:t xml:space="preserve"> </w:t>
      </w:r>
      <w:r>
        <w:t>&gt;1.5</w:t>
      </w:r>
      <w:r w:rsidRPr="008E0E85">
        <w:rPr>
          <w:spacing w:val="-6"/>
        </w:rPr>
        <w:t xml:space="preserve"> </w:t>
      </w:r>
      <w:r>
        <w:t>cm</w:t>
      </w:r>
      <w:r w:rsidRPr="008E0E85">
        <w:rPr>
          <w:spacing w:val="-5"/>
        </w:rPr>
        <w:t xml:space="preserve"> </w:t>
      </w:r>
      <w:r>
        <w:t>in</w:t>
      </w:r>
      <w:r w:rsidRPr="008E0E85">
        <w:rPr>
          <w:spacing w:val="-4"/>
        </w:rPr>
        <w:t xml:space="preserve"> </w:t>
      </w:r>
      <w:r>
        <w:t>longest</w:t>
      </w:r>
      <w:r w:rsidRPr="008E0E85">
        <w:rPr>
          <w:spacing w:val="-4"/>
        </w:rPr>
        <w:t xml:space="preserve"> </w:t>
      </w:r>
      <w:r>
        <w:t>diameter</w:t>
      </w:r>
      <w:r w:rsidRPr="008E0E85">
        <w:rPr>
          <w:spacing w:val="-3"/>
        </w:rPr>
        <w:t xml:space="preserve"> </w:t>
      </w:r>
      <w:r>
        <w:t>and</w:t>
      </w:r>
      <w:r w:rsidRPr="008E0E85">
        <w:rPr>
          <w:spacing w:val="-4"/>
        </w:rPr>
        <w:t xml:space="preserve"> </w:t>
      </w:r>
      <w:r w:rsidRPr="008E0E85">
        <w:rPr>
          <w:spacing w:val="-2"/>
        </w:rPr>
        <w:t>measurable</w:t>
      </w:r>
      <w:r w:rsidR="0024064C">
        <w:rPr>
          <w:spacing w:val="-2"/>
        </w:rPr>
        <w:t xml:space="preserve"> </w:t>
      </w:r>
      <w:r>
        <w:t>in</w:t>
      </w:r>
      <w:r w:rsidRPr="008E0E85">
        <w:rPr>
          <w:spacing w:val="-5"/>
        </w:rPr>
        <w:t xml:space="preserve"> </w:t>
      </w:r>
      <w:r>
        <w:t>2</w:t>
      </w:r>
      <w:r w:rsidRPr="008E0E85">
        <w:rPr>
          <w:spacing w:val="-4"/>
        </w:rPr>
        <w:t xml:space="preserve"> </w:t>
      </w:r>
      <w:r>
        <w:t>perpendicular</w:t>
      </w:r>
      <w:r w:rsidRPr="008E0E85">
        <w:rPr>
          <w:spacing w:val="-3"/>
        </w:rPr>
        <w:t xml:space="preserve"> </w:t>
      </w:r>
      <w:r w:rsidRPr="008E0E85">
        <w:rPr>
          <w:spacing w:val="-2"/>
        </w:rPr>
        <w:t>diameters.</w:t>
      </w:r>
    </w:p>
    <w:p w14:paraId="3D8A6D6C" w14:textId="77777777" w:rsidR="00F33CBB" w:rsidRDefault="00F33CBB" w:rsidP="006D2A7F">
      <w:pPr>
        <w:pStyle w:val="ListBullet"/>
      </w:pPr>
      <w:r>
        <w:t>No</w:t>
      </w:r>
      <w:r w:rsidRPr="008E0E85">
        <w:rPr>
          <w:spacing w:val="-3"/>
        </w:rPr>
        <w:t xml:space="preserve"> </w:t>
      </w:r>
      <w:r>
        <w:t>prior</w:t>
      </w:r>
      <w:r w:rsidRPr="008E0E85">
        <w:rPr>
          <w:spacing w:val="-3"/>
        </w:rPr>
        <w:t xml:space="preserve"> </w:t>
      </w:r>
      <w:r>
        <w:t>systemic</w:t>
      </w:r>
      <w:r w:rsidRPr="008E0E85">
        <w:rPr>
          <w:spacing w:val="-2"/>
        </w:rPr>
        <w:t xml:space="preserve"> </w:t>
      </w:r>
      <w:r>
        <w:t>treatment</w:t>
      </w:r>
      <w:r w:rsidRPr="008E0E85">
        <w:rPr>
          <w:spacing w:val="-4"/>
        </w:rPr>
        <w:t xml:space="preserve"> </w:t>
      </w:r>
      <w:r>
        <w:t>for</w:t>
      </w:r>
      <w:r w:rsidRPr="008E0E85">
        <w:rPr>
          <w:spacing w:val="-4"/>
        </w:rPr>
        <w:t xml:space="preserve"> </w:t>
      </w:r>
      <w:r>
        <w:t>CLL/SLL</w:t>
      </w:r>
      <w:r w:rsidRPr="008E0E85">
        <w:rPr>
          <w:spacing w:val="-4"/>
        </w:rPr>
        <w:t xml:space="preserve"> </w:t>
      </w:r>
      <w:r>
        <w:t>(eligibility</w:t>
      </w:r>
      <w:r w:rsidRPr="008E0E85">
        <w:rPr>
          <w:spacing w:val="-4"/>
        </w:rPr>
        <w:t xml:space="preserve"> </w:t>
      </w:r>
      <w:r>
        <w:t>allowed</w:t>
      </w:r>
      <w:r w:rsidRPr="008E0E85">
        <w:rPr>
          <w:spacing w:val="-2"/>
        </w:rPr>
        <w:t xml:space="preserve"> </w:t>
      </w:r>
      <w:r>
        <w:t>1</w:t>
      </w:r>
      <w:r w:rsidRPr="008E0E85">
        <w:rPr>
          <w:spacing w:val="-3"/>
        </w:rPr>
        <w:t xml:space="preserve"> </w:t>
      </w:r>
      <w:r>
        <w:t>prior</w:t>
      </w:r>
      <w:r w:rsidRPr="008E0E85">
        <w:rPr>
          <w:spacing w:val="-3"/>
        </w:rPr>
        <w:t xml:space="preserve"> </w:t>
      </w:r>
      <w:r>
        <w:t>aborted</w:t>
      </w:r>
      <w:r w:rsidRPr="008E0E85">
        <w:rPr>
          <w:spacing w:val="-6"/>
        </w:rPr>
        <w:t xml:space="preserve"> </w:t>
      </w:r>
      <w:r>
        <w:t>regimen administered for less than 14 days).</w:t>
      </w:r>
    </w:p>
    <w:p w14:paraId="0294A560" w14:textId="77777777" w:rsidR="00F33CBB" w:rsidRDefault="00F33CBB" w:rsidP="006D2A7F">
      <w:pPr>
        <w:pStyle w:val="ListBullet"/>
      </w:pPr>
      <w:r>
        <w:t>No</w:t>
      </w:r>
      <w:r w:rsidRPr="008E0E85">
        <w:rPr>
          <w:spacing w:val="-7"/>
        </w:rPr>
        <w:t xml:space="preserve"> </w:t>
      </w:r>
      <w:r>
        <w:t>history</w:t>
      </w:r>
      <w:r w:rsidRPr="008E0E85">
        <w:rPr>
          <w:spacing w:val="-5"/>
        </w:rPr>
        <w:t xml:space="preserve"> </w:t>
      </w:r>
      <w:r>
        <w:t>of</w:t>
      </w:r>
      <w:r w:rsidRPr="008E0E85">
        <w:rPr>
          <w:spacing w:val="-4"/>
        </w:rPr>
        <w:t xml:space="preserve"> </w:t>
      </w:r>
      <w:r>
        <w:t>prolymphocytic</w:t>
      </w:r>
      <w:r w:rsidRPr="008E0E85">
        <w:rPr>
          <w:spacing w:val="-3"/>
        </w:rPr>
        <w:t xml:space="preserve"> </w:t>
      </w:r>
      <w:r>
        <w:t>leukemia</w:t>
      </w:r>
      <w:r w:rsidRPr="008E0E85">
        <w:rPr>
          <w:spacing w:val="-4"/>
        </w:rPr>
        <w:t xml:space="preserve"> </w:t>
      </w:r>
      <w:r>
        <w:t>or</w:t>
      </w:r>
      <w:r w:rsidRPr="008E0E85">
        <w:rPr>
          <w:spacing w:val="-6"/>
        </w:rPr>
        <w:t xml:space="preserve"> </w:t>
      </w:r>
      <w:r>
        <w:t>Richter’s</w:t>
      </w:r>
      <w:r w:rsidRPr="008E0E85">
        <w:rPr>
          <w:spacing w:val="-6"/>
        </w:rPr>
        <w:t xml:space="preserve"> </w:t>
      </w:r>
      <w:r w:rsidRPr="008E0E85">
        <w:rPr>
          <w:spacing w:val="-2"/>
        </w:rPr>
        <w:t>transformation,</w:t>
      </w:r>
    </w:p>
    <w:p w14:paraId="1B98FEE3" w14:textId="77777777" w:rsidR="00F33CBB" w:rsidRDefault="00F33CBB" w:rsidP="006D2A7F">
      <w:pPr>
        <w:pStyle w:val="ListBullet"/>
      </w:pPr>
      <w:r>
        <w:t>No</w:t>
      </w:r>
      <w:r w:rsidRPr="008E0E85">
        <w:rPr>
          <w:spacing w:val="-3"/>
        </w:rPr>
        <w:t xml:space="preserve"> </w:t>
      </w:r>
      <w:r>
        <w:t>currently</w:t>
      </w:r>
      <w:r w:rsidRPr="008E0E85">
        <w:rPr>
          <w:spacing w:val="-4"/>
        </w:rPr>
        <w:t xml:space="preserve"> </w:t>
      </w:r>
      <w:r>
        <w:t>active</w:t>
      </w:r>
      <w:r w:rsidRPr="008E0E85">
        <w:rPr>
          <w:spacing w:val="-6"/>
        </w:rPr>
        <w:t xml:space="preserve"> </w:t>
      </w:r>
      <w:r>
        <w:t>clinically</w:t>
      </w:r>
      <w:r w:rsidRPr="008E0E85">
        <w:rPr>
          <w:spacing w:val="-4"/>
        </w:rPr>
        <w:t xml:space="preserve"> </w:t>
      </w:r>
      <w:r>
        <w:t>significant</w:t>
      </w:r>
      <w:r w:rsidRPr="008E0E85">
        <w:rPr>
          <w:spacing w:val="-4"/>
        </w:rPr>
        <w:t xml:space="preserve"> </w:t>
      </w:r>
      <w:r>
        <w:t>cardiovascular</w:t>
      </w:r>
      <w:r w:rsidRPr="008E0E85">
        <w:rPr>
          <w:spacing w:val="-3"/>
        </w:rPr>
        <w:t xml:space="preserve"> </w:t>
      </w:r>
      <w:r>
        <w:t>disease,</w:t>
      </w:r>
      <w:r w:rsidRPr="008E0E85">
        <w:rPr>
          <w:spacing w:val="-3"/>
        </w:rPr>
        <w:t xml:space="preserve"> </w:t>
      </w:r>
      <w:r>
        <w:t>and</w:t>
      </w:r>
      <w:r w:rsidRPr="008E0E85">
        <w:rPr>
          <w:spacing w:val="-4"/>
        </w:rPr>
        <w:t xml:space="preserve"> </w:t>
      </w:r>
      <w:r>
        <w:t>no</w:t>
      </w:r>
      <w:r w:rsidRPr="008E0E85">
        <w:rPr>
          <w:spacing w:val="-3"/>
        </w:rPr>
        <w:t xml:space="preserve"> </w:t>
      </w:r>
      <w:r>
        <w:t>active</w:t>
      </w:r>
      <w:r w:rsidRPr="008E0E85">
        <w:rPr>
          <w:spacing w:val="-6"/>
        </w:rPr>
        <w:t xml:space="preserve"> </w:t>
      </w:r>
      <w:r>
        <w:t>infection including no active hepatitis B or C or HIV.</w:t>
      </w:r>
    </w:p>
    <w:p w14:paraId="577707FB" w14:textId="77777777" w:rsidR="00F33CBB" w:rsidRDefault="00F33CBB" w:rsidP="006D2A7F">
      <w:pPr>
        <w:pStyle w:val="ListBullet"/>
      </w:pPr>
      <w:r>
        <w:t>ECOG</w:t>
      </w:r>
      <w:r w:rsidRPr="008E0E85">
        <w:rPr>
          <w:spacing w:val="-5"/>
        </w:rPr>
        <w:t xml:space="preserve"> </w:t>
      </w:r>
      <w:r>
        <w:t>performance</w:t>
      </w:r>
      <w:r w:rsidRPr="008E0E85">
        <w:rPr>
          <w:spacing w:val="-5"/>
        </w:rPr>
        <w:t xml:space="preserve"> </w:t>
      </w:r>
      <w:r>
        <w:t>status</w:t>
      </w:r>
      <w:r w:rsidRPr="008E0E85">
        <w:rPr>
          <w:spacing w:val="-4"/>
        </w:rPr>
        <w:t xml:space="preserve"> </w:t>
      </w:r>
      <w:r>
        <w:t>of</w:t>
      </w:r>
      <w:r w:rsidRPr="008E0E85">
        <w:rPr>
          <w:spacing w:val="-2"/>
        </w:rPr>
        <w:t xml:space="preserve"> </w:t>
      </w:r>
      <w:r>
        <w:t>0,</w:t>
      </w:r>
      <w:r w:rsidRPr="008E0E85">
        <w:rPr>
          <w:spacing w:val="-2"/>
        </w:rPr>
        <w:t xml:space="preserve"> </w:t>
      </w:r>
      <w:r>
        <w:t>1,</w:t>
      </w:r>
      <w:r w:rsidRPr="008E0E85">
        <w:rPr>
          <w:spacing w:val="-2"/>
        </w:rPr>
        <w:t xml:space="preserve"> </w:t>
      </w:r>
      <w:r>
        <w:t>or</w:t>
      </w:r>
      <w:r w:rsidRPr="008E0E85">
        <w:rPr>
          <w:spacing w:val="-2"/>
        </w:rPr>
        <w:t xml:space="preserve"> </w:t>
      </w:r>
      <w:r w:rsidRPr="008E0E85">
        <w:rPr>
          <w:spacing w:val="-5"/>
        </w:rPr>
        <w:t>2.</w:t>
      </w:r>
    </w:p>
    <w:p w14:paraId="7D7166D0" w14:textId="77777777" w:rsidR="007A3D9D" w:rsidRPr="007A3D9D" w:rsidRDefault="00F33CBB" w:rsidP="006D2A7F">
      <w:pPr>
        <w:pStyle w:val="ListBullet"/>
      </w:pPr>
      <w:r>
        <w:t>Life</w:t>
      </w:r>
      <w:r w:rsidRPr="008E0E85">
        <w:rPr>
          <w:spacing w:val="-4"/>
        </w:rPr>
        <w:t xml:space="preserve"> </w:t>
      </w:r>
      <w:r>
        <w:t>expectancy</w:t>
      </w:r>
      <w:r w:rsidRPr="008E0E85">
        <w:rPr>
          <w:spacing w:val="-4"/>
        </w:rPr>
        <w:t xml:space="preserve"> </w:t>
      </w:r>
      <w:r>
        <w:t>≥6</w:t>
      </w:r>
      <w:r w:rsidRPr="008E0E85">
        <w:rPr>
          <w:spacing w:val="-6"/>
        </w:rPr>
        <w:t xml:space="preserve"> </w:t>
      </w:r>
      <w:r w:rsidRPr="008E0E85">
        <w:rPr>
          <w:spacing w:val="-2"/>
        </w:rPr>
        <w:t>months.</w:t>
      </w:r>
    </w:p>
    <w:p w14:paraId="13EA70EA" w14:textId="75F97103" w:rsidR="00F33CBB" w:rsidRDefault="00F33CBB" w:rsidP="006D2A7F">
      <w:pPr>
        <w:pStyle w:val="ListBullet"/>
      </w:pPr>
      <w:r>
        <w:t>Adequate</w:t>
      </w:r>
      <w:r w:rsidRPr="008E0E85">
        <w:rPr>
          <w:spacing w:val="-5"/>
        </w:rPr>
        <w:t xml:space="preserve"> </w:t>
      </w:r>
      <w:r>
        <w:t>bone</w:t>
      </w:r>
      <w:r w:rsidRPr="008E0E85">
        <w:rPr>
          <w:spacing w:val="-7"/>
        </w:rPr>
        <w:t xml:space="preserve"> </w:t>
      </w:r>
      <w:r>
        <w:t>marrow,</w:t>
      </w:r>
      <w:r w:rsidRPr="008E0E85">
        <w:rPr>
          <w:spacing w:val="-4"/>
        </w:rPr>
        <w:t xml:space="preserve"> </w:t>
      </w:r>
      <w:r>
        <w:t>renal</w:t>
      </w:r>
      <w:r w:rsidRPr="008E0E85">
        <w:rPr>
          <w:spacing w:val="-5"/>
        </w:rPr>
        <w:t xml:space="preserve"> </w:t>
      </w:r>
      <w:r>
        <w:t>and</w:t>
      </w:r>
      <w:r w:rsidRPr="008E0E85">
        <w:rPr>
          <w:spacing w:val="-5"/>
        </w:rPr>
        <w:t xml:space="preserve"> </w:t>
      </w:r>
      <w:r>
        <w:t>hepatic</w:t>
      </w:r>
      <w:r w:rsidRPr="008E0E85">
        <w:rPr>
          <w:spacing w:val="-3"/>
        </w:rPr>
        <w:t xml:space="preserve"> </w:t>
      </w:r>
      <w:r w:rsidRPr="008E0E85">
        <w:rPr>
          <w:spacing w:val="-2"/>
        </w:rPr>
        <w:t>function.</w:t>
      </w:r>
    </w:p>
    <w:p w14:paraId="23FA8126" w14:textId="39591D46" w:rsidR="00F33CBB" w:rsidRDefault="00F33CBB" w:rsidP="0024064C">
      <w:pPr>
        <w:pStyle w:val="Heading6"/>
      </w:pPr>
      <w:r>
        <w:t>Key</w:t>
      </w:r>
      <w:r>
        <w:rPr>
          <w:spacing w:val="-4"/>
        </w:rPr>
        <w:t xml:space="preserve"> </w:t>
      </w:r>
      <w:r>
        <w:t>exclusion</w:t>
      </w:r>
      <w:r>
        <w:rPr>
          <w:spacing w:val="-3"/>
        </w:rPr>
        <w:t xml:space="preserve"> </w:t>
      </w:r>
      <w:r>
        <w:rPr>
          <w:spacing w:val="-2"/>
        </w:rPr>
        <w:t>criteria</w:t>
      </w:r>
    </w:p>
    <w:p w14:paraId="5C3954DC" w14:textId="77777777" w:rsidR="00F33CBB" w:rsidRDefault="00F33CBB" w:rsidP="006D2A7F">
      <w:pPr>
        <w:pStyle w:val="ListBullet"/>
      </w:pPr>
      <w:r>
        <w:t>Previous</w:t>
      </w:r>
      <w:r w:rsidRPr="0024064C">
        <w:rPr>
          <w:spacing w:val="-2"/>
        </w:rPr>
        <w:t xml:space="preserve"> </w:t>
      </w:r>
      <w:r>
        <w:t>systemic</w:t>
      </w:r>
      <w:r w:rsidRPr="0024064C">
        <w:rPr>
          <w:spacing w:val="-2"/>
        </w:rPr>
        <w:t xml:space="preserve"> </w:t>
      </w:r>
      <w:r>
        <w:t>treatment</w:t>
      </w:r>
      <w:r w:rsidRPr="0024064C">
        <w:rPr>
          <w:spacing w:val="-3"/>
        </w:rPr>
        <w:t xml:space="preserve"> </w:t>
      </w:r>
      <w:r>
        <w:t>for</w:t>
      </w:r>
      <w:r w:rsidRPr="0024064C">
        <w:rPr>
          <w:spacing w:val="-3"/>
        </w:rPr>
        <w:t xml:space="preserve"> </w:t>
      </w:r>
      <w:r>
        <w:t>CLL/SLL</w:t>
      </w:r>
      <w:r w:rsidRPr="0024064C">
        <w:rPr>
          <w:spacing w:val="-3"/>
        </w:rPr>
        <w:t xml:space="preserve"> </w:t>
      </w:r>
      <w:r>
        <w:t>(other</w:t>
      </w:r>
      <w:r w:rsidRPr="0024064C">
        <w:rPr>
          <w:spacing w:val="-3"/>
        </w:rPr>
        <w:t xml:space="preserve"> </w:t>
      </w:r>
      <w:r>
        <w:t>than</w:t>
      </w:r>
      <w:r w:rsidRPr="0024064C">
        <w:rPr>
          <w:spacing w:val="-3"/>
        </w:rPr>
        <w:t xml:space="preserve"> </w:t>
      </w:r>
      <w:r>
        <w:t>1</w:t>
      </w:r>
      <w:r w:rsidRPr="0024064C">
        <w:rPr>
          <w:spacing w:val="-2"/>
        </w:rPr>
        <w:t xml:space="preserve"> </w:t>
      </w:r>
      <w:r>
        <w:t>aborted</w:t>
      </w:r>
      <w:r w:rsidRPr="0024064C">
        <w:rPr>
          <w:spacing w:val="-3"/>
        </w:rPr>
        <w:t xml:space="preserve"> </w:t>
      </w:r>
      <w:r>
        <w:t>regimen</w:t>
      </w:r>
      <w:r w:rsidRPr="0024064C">
        <w:rPr>
          <w:spacing w:val="-3"/>
        </w:rPr>
        <w:t xml:space="preserve"> </w:t>
      </w:r>
      <w:r>
        <w:t>&lt;2</w:t>
      </w:r>
      <w:r w:rsidRPr="0024064C">
        <w:rPr>
          <w:spacing w:val="-5"/>
        </w:rPr>
        <w:t xml:space="preserve"> </w:t>
      </w:r>
      <w:r>
        <w:t>weeks</w:t>
      </w:r>
      <w:r w:rsidRPr="0024064C">
        <w:rPr>
          <w:spacing w:val="-2"/>
        </w:rPr>
        <w:t xml:space="preserve"> </w:t>
      </w:r>
      <w:r>
        <w:t>in duration and &gt;4 weeks before randomisation).</w:t>
      </w:r>
    </w:p>
    <w:p w14:paraId="1E7975C2" w14:textId="77777777" w:rsidR="00F33CBB" w:rsidRDefault="00F33CBB" w:rsidP="006D2A7F">
      <w:pPr>
        <w:pStyle w:val="ListBullet"/>
      </w:pPr>
      <w:r>
        <w:t>Required</w:t>
      </w:r>
      <w:r w:rsidRPr="0024064C">
        <w:rPr>
          <w:spacing w:val="-5"/>
        </w:rPr>
        <w:t xml:space="preserve"> </w:t>
      </w:r>
      <w:r>
        <w:t>ongoing</w:t>
      </w:r>
      <w:r w:rsidRPr="0024064C">
        <w:rPr>
          <w:spacing w:val="-4"/>
        </w:rPr>
        <w:t xml:space="preserve"> </w:t>
      </w:r>
      <w:r>
        <w:t>need</w:t>
      </w:r>
      <w:r w:rsidRPr="0024064C">
        <w:rPr>
          <w:spacing w:val="-4"/>
        </w:rPr>
        <w:t xml:space="preserve"> </w:t>
      </w:r>
      <w:r>
        <w:t>for</w:t>
      </w:r>
      <w:r w:rsidRPr="0024064C">
        <w:rPr>
          <w:spacing w:val="-5"/>
        </w:rPr>
        <w:t xml:space="preserve"> </w:t>
      </w:r>
      <w:r>
        <w:t>corticosteroid</w:t>
      </w:r>
      <w:r w:rsidRPr="0024064C">
        <w:rPr>
          <w:spacing w:val="-4"/>
        </w:rPr>
        <w:t xml:space="preserve"> </w:t>
      </w:r>
      <w:r w:rsidRPr="0024064C">
        <w:rPr>
          <w:spacing w:val="-2"/>
        </w:rPr>
        <w:t>treatment.</w:t>
      </w:r>
    </w:p>
    <w:p w14:paraId="34A7544A" w14:textId="77777777" w:rsidR="00F33CBB" w:rsidRDefault="00F33CBB" w:rsidP="006D2A7F">
      <w:pPr>
        <w:pStyle w:val="ListBullet"/>
      </w:pPr>
      <w:r>
        <w:t>Known</w:t>
      </w:r>
      <w:r w:rsidRPr="0024064C">
        <w:rPr>
          <w:spacing w:val="-8"/>
        </w:rPr>
        <w:t xml:space="preserve"> </w:t>
      </w:r>
      <w:r>
        <w:t>prolymphocytic</w:t>
      </w:r>
      <w:r w:rsidRPr="0024064C">
        <w:rPr>
          <w:spacing w:val="-5"/>
        </w:rPr>
        <w:t xml:space="preserve"> </w:t>
      </w:r>
      <w:r>
        <w:t>leukaemia</w:t>
      </w:r>
      <w:r w:rsidRPr="0024064C">
        <w:rPr>
          <w:spacing w:val="-6"/>
        </w:rPr>
        <w:t xml:space="preserve"> </w:t>
      </w:r>
      <w:r>
        <w:t>or</w:t>
      </w:r>
      <w:r w:rsidRPr="0024064C">
        <w:rPr>
          <w:spacing w:val="-6"/>
        </w:rPr>
        <w:t xml:space="preserve"> </w:t>
      </w:r>
      <w:r>
        <w:t>history</w:t>
      </w:r>
      <w:r w:rsidRPr="0024064C">
        <w:rPr>
          <w:spacing w:val="-7"/>
        </w:rPr>
        <w:t xml:space="preserve"> </w:t>
      </w:r>
      <w:r>
        <w:t>of,</w:t>
      </w:r>
      <w:r w:rsidRPr="0024064C">
        <w:rPr>
          <w:spacing w:val="-6"/>
        </w:rPr>
        <w:t xml:space="preserve"> </w:t>
      </w:r>
      <w:r>
        <w:t>or</w:t>
      </w:r>
      <w:r w:rsidRPr="0024064C">
        <w:rPr>
          <w:spacing w:val="-6"/>
        </w:rPr>
        <w:t xml:space="preserve"> </w:t>
      </w:r>
      <w:r>
        <w:t>suspected,</w:t>
      </w:r>
      <w:r w:rsidRPr="0024064C">
        <w:rPr>
          <w:spacing w:val="-6"/>
        </w:rPr>
        <w:t xml:space="preserve"> </w:t>
      </w:r>
      <w:r>
        <w:t>Richter’s</w:t>
      </w:r>
      <w:r w:rsidRPr="0024064C">
        <w:rPr>
          <w:spacing w:val="-4"/>
        </w:rPr>
        <w:t xml:space="preserve"> </w:t>
      </w:r>
      <w:r w:rsidRPr="0024064C">
        <w:rPr>
          <w:spacing w:val="-2"/>
        </w:rPr>
        <w:t>transformation.</w:t>
      </w:r>
    </w:p>
    <w:p w14:paraId="1259794C" w14:textId="77777777" w:rsidR="00F33CBB" w:rsidRDefault="00F33CBB" w:rsidP="006D2A7F">
      <w:pPr>
        <w:pStyle w:val="ListBullet"/>
      </w:pPr>
      <w:r>
        <w:t>Clinically</w:t>
      </w:r>
      <w:r w:rsidRPr="0024064C">
        <w:rPr>
          <w:spacing w:val="-11"/>
        </w:rPr>
        <w:t xml:space="preserve"> </w:t>
      </w:r>
      <w:r>
        <w:t>significant</w:t>
      </w:r>
      <w:r w:rsidRPr="0024064C">
        <w:rPr>
          <w:spacing w:val="-7"/>
        </w:rPr>
        <w:t xml:space="preserve"> </w:t>
      </w:r>
      <w:r>
        <w:t>cardiovascular</w:t>
      </w:r>
      <w:r w:rsidRPr="0024064C">
        <w:rPr>
          <w:spacing w:val="-6"/>
        </w:rPr>
        <w:t xml:space="preserve"> </w:t>
      </w:r>
      <w:r w:rsidRPr="0024064C">
        <w:rPr>
          <w:spacing w:val="-2"/>
        </w:rPr>
        <w:t>disease</w:t>
      </w:r>
    </w:p>
    <w:p w14:paraId="0D8F06FE" w14:textId="77777777" w:rsidR="00F33CBB" w:rsidRDefault="00F33CBB" w:rsidP="006D2A7F">
      <w:pPr>
        <w:pStyle w:val="ListBullet"/>
      </w:pPr>
      <w:r>
        <w:t>Prior</w:t>
      </w:r>
      <w:r w:rsidRPr="0024064C">
        <w:rPr>
          <w:spacing w:val="-5"/>
        </w:rPr>
        <w:t xml:space="preserve"> </w:t>
      </w:r>
      <w:r>
        <w:t>malignancy</w:t>
      </w:r>
      <w:r w:rsidRPr="0024064C">
        <w:rPr>
          <w:spacing w:val="-3"/>
        </w:rPr>
        <w:t xml:space="preserve"> </w:t>
      </w:r>
      <w:r>
        <w:t>within</w:t>
      </w:r>
      <w:r w:rsidRPr="0024064C">
        <w:rPr>
          <w:spacing w:val="-3"/>
        </w:rPr>
        <w:t xml:space="preserve"> </w:t>
      </w:r>
      <w:r>
        <w:t>the</w:t>
      </w:r>
      <w:r w:rsidRPr="0024064C">
        <w:rPr>
          <w:spacing w:val="-2"/>
        </w:rPr>
        <w:t xml:space="preserve"> </w:t>
      </w:r>
      <w:r>
        <w:t>past</w:t>
      </w:r>
      <w:r w:rsidRPr="0024064C">
        <w:rPr>
          <w:spacing w:val="-3"/>
        </w:rPr>
        <w:t xml:space="preserve"> </w:t>
      </w:r>
      <w:r>
        <w:t>3</w:t>
      </w:r>
      <w:r w:rsidRPr="0024064C">
        <w:rPr>
          <w:spacing w:val="-2"/>
        </w:rPr>
        <w:t xml:space="preserve"> </w:t>
      </w:r>
      <w:r>
        <w:t>years,</w:t>
      </w:r>
      <w:r w:rsidRPr="0024064C">
        <w:rPr>
          <w:spacing w:val="-3"/>
        </w:rPr>
        <w:t xml:space="preserve"> </w:t>
      </w:r>
      <w:r>
        <w:t>except</w:t>
      </w:r>
      <w:r w:rsidRPr="0024064C">
        <w:rPr>
          <w:spacing w:val="-3"/>
        </w:rPr>
        <w:t xml:space="preserve"> </w:t>
      </w:r>
      <w:r>
        <w:t>for</w:t>
      </w:r>
      <w:r w:rsidRPr="0024064C">
        <w:rPr>
          <w:spacing w:val="-5"/>
        </w:rPr>
        <w:t xml:space="preserve"> </w:t>
      </w:r>
      <w:r>
        <w:t>curatively</w:t>
      </w:r>
      <w:r w:rsidRPr="0024064C">
        <w:rPr>
          <w:spacing w:val="-3"/>
        </w:rPr>
        <w:t xml:space="preserve"> </w:t>
      </w:r>
      <w:r>
        <w:t>treated</w:t>
      </w:r>
      <w:r w:rsidRPr="0024064C">
        <w:rPr>
          <w:spacing w:val="-2"/>
        </w:rPr>
        <w:t xml:space="preserve"> </w:t>
      </w:r>
      <w:r>
        <w:t>basal</w:t>
      </w:r>
      <w:r w:rsidRPr="0024064C">
        <w:rPr>
          <w:spacing w:val="-2"/>
        </w:rPr>
        <w:t xml:space="preserve"> </w:t>
      </w:r>
      <w:r>
        <w:t>or</w:t>
      </w:r>
      <w:r w:rsidRPr="0024064C">
        <w:rPr>
          <w:spacing w:val="-3"/>
        </w:rPr>
        <w:t xml:space="preserve"> </w:t>
      </w:r>
      <w:r>
        <w:t>squamous cell skin cancer, non-muscle-invasive bladder cancer, carcinoma in situ of the cervix or breast, or localised Gleason score 6 prostate cancer.</w:t>
      </w:r>
    </w:p>
    <w:p w14:paraId="430C0275" w14:textId="77777777" w:rsidR="00F33CBB" w:rsidRDefault="00F33CBB" w:rsidP="006D2A7F">
      <w:pPr>
        <w:pStyle w:val="ListBullet"/>
      </w:pPr>
      <w:r>
        <w:t>History</w:t>
      </w:r>
      <w:r w:rsidRPr="0024064C">
        <w:rPr>
          <w:spacing w:val="-4"/>
        </w:rPr>
        <w:t xml:space="preserve"> </w:t>
      </w:r>
      <w:r>
        <w:t>of</w:t>
      </w:r>
      <w:r w:rsidRPr="0024064C">
        <w:rPr>
          <w:spacing w:val="-4"/>
        </w:rPr>
        <w:t xml:space="preserve"> </w:t>
      </w:r>
      <w:r>
        <w:t>severe</w:t>
      </w:r>
      <w:r w:rsidRPr="0024064C">
        <w:rPr>
          <w:spacing w:val="-4"/>
        </w:rPr>
        <w:t xml:space="preserve"> </w:t>
      </w:r>
      <w:r>
        <w:t>bleeding</w:t>
      </w:r>
      <w:r w:rsidRPr="0024064C">
        <w:rPr>
          <w:spacing w:val="-3"/>
        </w:rPr>
        <w:t xml:space="preserve"> </w:t>
      </w:r>
      <w:r w:rsidRPr="0024064C">
        <w:rPr>
          <w:spacing w:val="-2"/>
        </w:rPr>
        <w:t>disorder</w:t>
      </w:r>
    </w:p>
    <w:p w14:paraId="3EC72795" w14:textId="77777777" w:rsidR="00F33CBB" w:rsidRDefault="00F33CBB" w:rsidP="006D2A7F">
      <w:pPr>
        <w:pStyle w:val="ListBullet"/>
      </w:pPr>
      <w:r>
        <w:t>History</w:t>
      </w:r>
      <w:r w:rsidRPr="0024064C">
        <w:rPr>
          <w:spacing w:val="-5"/>
        </w:rPr>
        <w:t xml:space="preserve"> </w:t>
      </w:r>
      <w:r>
        <w:t>of</w:t>
      </w:r>
      <w:r w:rsidRPr="0024064C">
        <w:rPr>
          <w:spacing w:val="-4"/>
        </w:rPr>
        <w:t xml:space="preserve"> </w:t>
      </w:r>
      <w:r>
        <w:t>stroke</w:t>
      </w:r>
      <w:r w:rsidRPr="0024064C">
        <w:rPr>
          <w:spacing w:val="-3"/>
        </w:rPr>
        <w:t xml:space="preserve"> </w:t>
      </w:r>
      <w:r>
        <w:t>or</w:t>
      </w:r>
      <w:r w:rsidRPr="0024064C">
        <w:rPr>
          <w:spacing w:val="-5"/>
        </w:rPr>
        <w:t xml:space="preserve"> </w:t>
      </w:r>
      <w:r>
        <w:t>intracranial</w:t>
      </w:r>
      <w:r w:rsidRPr="0024064C">
        <w:rPr>
          <w:spacing w:val="-4"/>
        </w:rPr>
        <w:t xml:space="preserve"> </w:t>
      </w:r>
      <w:r>
        <w:t>haemorrhage</w:t>
      </w:r>
      <w:r w:rsidRPr="0024064C">
        <w:rPr>
          <w:spacing w:val="-3"/>
        </w:rPr>
        <w:t xml:space="preserve"> </w:t>
      </w:r>
      <w:r>
        <w:t>within</w:t>
      </w:r>
      <w:r w:rsidRPr="0024064C">
        <w:rPr>
          <w:spacing w:val="-5"/>
        </w:rPr>
        <w:t xml:space="preserve"> </w:t>
      </w:r>
      <w:r>
        <w:t>6</w:t>
      </w:r>
      <w:r w:rsidRPr="0024064C">
        <w:rPr>
          <w:spacing w:val="-4"/>
        </w:rPr>
        <w:t xml:space="preserve"> </w:t>
      </w:r>
      <w:r w:rsidRPr="0024064C">
        <w:rPr>
          <w:spacing w:val="-2"/>
        </w:rPr>
        <w:t>months.</w:t>
      </w:r>
    </w:p>
    <w:p w14:paraId="79465A3D" w14:textId="77777777" w:rsidR="00F33CBB" w:rsidRDefault="00F33CBB" w:rsidP="006D2A7F">
      <w:pPr>
        <w:pStyle w:val="ListBullet"/>
      </w:pPr>
      <w:r>
        <w:t>Severe</w:t>
      </w:r>
      <w:r w:rsidRPr="0024064C">
        <w:rPr>
          <w:spacing w:val="-5"/>
        </w:rPr>
        <w:t xml:space="preserve"> </w:t>
      </w:r>
      <w:r>
        <w:t>or</w:t>
      </w:r>
      <w:r w:rsidRPr="0024064C">
        <w:rPr>
          <w:spacing w:val="-4"/>
        </w:rPr>
        <w:t xml:space="preserve"> </w:t>
      </w:r>
      <w:r>
        <w:t>debilitating</w:t>
      </w:r>
      <w:r w:rsidRPr="0024064C">
        <w:rPr>
          <w:spacing w:val="-4"/>
        </w:rPr>
        <w:t xml:space="preserve"> </w:t>
      </w:r>
      <w:r>
        <w:t>pulmonary</w:t>
      </w:r>
      <w:r w:rsidRPr="0024064C">
        <w:rPr>
          <w:spacing w:val="-5"/>
        </w:rPr>
        <w:t xml:space="preserve"> </w:t>
      </w:r>
      <w:r w:rsidRPr="0024064C">
        <w:rPr>
          <w:spacing w:val="-2"/>
        </w:rPr>
        <w:t>disease.</w:t>
      </w:r>
    </w:p>
    <w:p w14:paraId="1B00D192" w14:textId="77777777" w:rsidR="00F33CBB" w:rsidRDefault="00F33CBB" w:rsidP="006D2A7F">
      <w:pPr>
        <w:pStyle w:val="ListBullet"/>
      </w:pPr>
      <w:r>
        <w:t>Unable</w:t>
      </w:r>
      <w:r w:rsidRPr="0024064C">
        <w:rPr>
          <w:spacing w:val="-7"/>
        </w:rPr>
        <w:t xml:space="preserve"> </w:t>
      </w:r>
      <w:r>
        <w:t>to</w:t>
      </w:r>
      <w:r w:rsidRPr="0024064C">
        <w:rPr>
          <w:spacing w:val="-5"/>
        </w:rPr>
        <w:t xml:space="preserve"> </w:t>
      </w:r>
      <w:r>
        <w:t>swallow</w:t>
      </w:r>
      <w:r w:rsidRPr="0024064C">
        <w:rPr>
          <w:spacing w:val="-9"/>
        </w:rPr>
        <w:t xml:space="preserve"> </w:t>
      </w:r>
      <w:r>
        <w:t>capsules</w:t>
      </w:r>
      <w:r w:rsidRPr="0024064C">
        <w:rPr>
          <w:spacing w:val="-4"/>
        </w:rPr>
        <w:t xml:space="preserve"> </w:t>
      </w:r>
      <w:r>
        <w:t>or</w:t>
      </w:r>
      <w:r w:rsidRPr="0024064C">
        <w:rPr>
          <w:spacing w:val="-7"/>
        </w:rPr>
        <w:t xml:space="preserve"> </w:t>
      </w:r>
      <w:r>
        <w:t>disease</w:t>
      </w:r>
      <w:r w:rsidRPr="0024064C">
        <w:rPr>
          <w:spacing w:val="-5"/>
        </w:rPr>
        <w:t xml:space="preserve"> </w:t>
      </w:r>
      <w:r>
        <w:t>significantly</w:t>
      </w:r>
      <w:r w:rsidRPr="0024064C">
        <w:rPr>
          <w:spacing w:val="-9"/>
        </w:rPr>
        <w:t xml:space="preserve"> </w:t>
      </w:r>
      <w:r>
        <w:t>affecting</w:t>
      </w:r>
      <w:r w:rsidRPr="0024064C">
        <w:rPr>
          <w:spacing w:val="-4"/>
        </w:rPr>
        <w:t xml:space="preserve"> </w:t>
      </w:r>
      <w:r>
        <w:t>gastrointestinal</w:t>
      </w:r>
      <w:r w:rsidRPr="0024064C">
        <w:rPr>
          <w:spacing w:val="-5"/>
        </w:rPr>
        <w:t xml:space="preserve"> </w:t>
      </w:r>
      <w:r w:rsidRPr="0024064C">
        <w:rPr>
          <w:spacing w:val="-2"/>
        </w:rPr>
        <w:t>function</w:t>
      </w:r>
    </w:p>
    <w:p w14:paraId="097487D0" w14:textId="77777777" w:rsidR="00F33CBB" w:rsidRDefault="00F33CBB" w:rsidP="006D2A7F">
      <w:pPr>
        <w:pStyle w:val="ListBullet"/>
      </w:pPr>
      <w:r>
        <w:t>Active</w:t>
      </w:r>
      <w:r w:rsidRPr="0024064C">
        <w:rPr>
          <w:spacing w:val="-8"/>
        </w:rPr>
        <w:t xml:space="preserve"> </w:t>
      </w:r>
      <w:r>
        <w:t>fungal,</w:t>
      </w:r>
      <w:r w:rsidRPr="0024064C">
        <w:rPr>
          <w:spacing w:val="-6"/>
        </w:rPr>
        <w:t xml:space="preserve"> </w:t>
      </w:r>
      <w:r>
        <w:t>bacterial,</w:t>
      </w:r>
      <w:r w:rsidRPr="0024064C">
        <w:rPr>
          <w:spacing w:val="-8"/>
        </w:rPr>
        <w:t xml:space="preserve"> </w:t>
      </w:r>
      <w:r>
        <w:t>and/or</w:t>
      </w:r>
      <w:r w:rsidRPr="0024064C">
        <w:rPr>
          <w:spacing w:val="-7"/>
        </w:rPr>
        <w:t xml:space="preserve"> </w:t>
      </w:r>
      <w:r>
        <w:t>viral</w:t>
      </w:r>
      <w:r w:rsidRPr="0024064C">
        <w:rPr>
          <w:spacing w:val="-5"/>
        </w:rPr>
        <w:t xml:space="preserve"> </w:t>
      </w:r>
      <w:r>
        <w:t>infection</w:t>
      </w:r>
      <w:r w:rsidRPr="0024064C">
        <w:rPr>
          <w:spacing w:val="-7"/>
        </w:rPr>
        <w:t xml:space="preserve"> </w:t>
      </w:r>
      <w:r>
        <w:t>requiring</w:t>
      </w:r>
      <w:r w:rsidRPr="0024064C">
        <w:rPr>
          <w:spacing w:val="-5"/>
        </w:rPr>
        <w:t xml:space="preserve"> </w:t>
      </w:r>
      <w:r>
        <w:t>systemic</w:t>
      </w:r>
      <w:r w:rsidRPr="0024064C">
        <w:rPr>
          <w:spacing w:val="-4"/>
        </w:rPr>
        <w:t xml:space="preserve"> </w:t>
      </w:r>
      <w:r w:rsidRPr="0024064C">
        <w:rPr>
          <w:spacing w:val="-2"/>
        </w:rPr>
        <w:t>therapy.</w:t>
      </w:r>
    </w:p>
    <w:p w14:paraId="568AEBC3" w14:textId="77777777" w:rsidR="00F33CBB" w:rsidRDefault="00F33CBB" w:rsidP="006D2A7F">
      <w:pPr>
        <w:pStyle w:val="ListBullet"/>
      </w:pPr>
      <w:r>
        <w:t>Known</w:t>
      </w:r>
      <w:r w:rsidRPr="0024064C">
        <w:rPr>
          <w:spacing w:val="-9"/>
        </w:rPr>
        <w:t xml:space="preserve"> </w:t>
      </w:r>
      <w:r>
        <w:t>central</w:t>
      </w:r>
      <w:r w:rsidRPr="0024064C">
        <w:rPr>
          <w:spacing w:val="-5"/>
        </w:rPr>
        <w:t xml:space="preserve"> </w:t>
      </w:r>
      <w:r>
        <w:t>nervous</w:t>
      </w:r>
      <w:r w:rsidRPr="0024064C">
        <w:rPr>
          <w:spacing w:val="-6"/>
        </w:rPr>
        <w:t xml:space="preserve"> </w:t>
      </w:r>
      <w:r>
        <w:t>system</w:t>
      </w:r>
      <w:r w:rsidRPr="0024064C">
        <w:rPr>
          <w:spacing w:val="-4"/>
        </w:rPr>
        <w:t xml:space="preserve"> </w:t>
      </w:r>
      <w:r>
        <w:t>involvement</w:t>
      </w:r>
      <w:r w:rsidRPr="0024064C">
        <w:rPr>
          <w:spacing w:val="-5"/>
        </w:rPr>
        <w:t xml:space="preserve"> </w:t>
      </w:r>
      <w:r>
        <w:t>by</w:t>
      </w:r>
      <w:r w:rsidRPr="0024064C">
        <w:rPr>
          <w:spacing w:val="-6"/>
        </w:rPr>
        <w:t xml:space="preserve"> </w:t>
      </w:r>
      <w:r>
        <w:t>leukaemia</w:t>
      </w:r>
      <w:r w:rsidRPr="0024064C">
        <w:rPr>
          <w:spacing w:val="-4"/>
        </w:rPr>
        <w:t xml:space="preserve"> </w:t>
      </w:r>
      <w:r>
        <w:t>or</w:t>
      </w:r>
      <w:r w:rsidRPr="0024064C">
        <w:rPr>
          <w:spacing w:val="-5"/>
        </w:rPr>
        <w:t xml:space="preserve"> </w:t>
      </w:r>
      <w:r w:rsidRPr="0024064C">
        <w:rPr>
          <w:spacing w:val="-2"/>
        </w:rPr>
        <w:t>lymphoma.</w:t>
      </w:r>
    </w:p>
    <w:p w14:paraId="2A837055" w14:textId="77777777" w:rsidR="00F33CBB" w:rsidRDefault="00F33CBB" w:rsidP="006D2A7F">
      <w:pPr>
        <w:pStyle w:val="ListBullet"/>
      </w:pPr>
      <w:r>
        <w:t>Required</w:t>
      </w:r>
      <w:r w:rsidRPr="0024064C">
        <w:rPr>
          <w:spacing w:val="-7"/>
        </w:rPr>
        <w:t xml:space="preserve"> </w:t>
      </w:r>
      <w:r>
        <w:t>ongoing</w:t>
      </w:r>
      <w:r w:rsidRPr="0024064C">
        <w:rPr>
          <w:spacing w:val="-4"/>
        </w:rPr>
        <w:t xml:space="preserve"> </w:t>
      </w:r>
      <w:r>
        <w:t>treatment</w:t>
      </w:r>
      <w:r w:rsidRPr="0024064C">
        <w:rPr>
          <w:spacing w:val="-5"/>
        </w:rPr>
        <w:t xml:space="preserve"> </w:t>
      </w:r>
      <w:r>
        <w:t>with</w:t>
      </w:r>
      <w:r w:rsidRPr="0024064C">
        <w:rPr>
          <w:spacing w:val="-4"/>
        </w:rPr>
        <w:t xml:space="preserve"> </w:t>
      </w:r>
      <w:r>
        <w:t>a</w:t>
      </w:r>
      <w:r w:rsidRPr="0024064C">
        <w:rPr>
          <w:spacing w:val="-4"/>
        </w:rPr>
        <w:t xml:space="preserve"> </w:t>
      </w:r>
      <w:r>
        <w:t>strong</w:t>
      </w:r>
      <w:r w:rsidRPr="0024064C">
        <w:rPr>
          <w:spacing w:val="-7"/>
        </w:rPr>
        <w:t xml:space="preserve"> </w:t>
      </w:r>
      <w:r>
        <w:t>CYP3A</w:t>
      </w:r>
      <w:r w:rsidRPr="0024064C">
        <w:rPr>
          <w:spacing w:val="-8"/>
        </w:rPr>
        <w:t xml:space="preserve"> </w:t>
      </w:r>
      <w:r>
        <w:t>inhibitor</w:t>
      </w:r>
      <w:r w:rsidRPr="0024064C">
        <w:rPr>
          <w:spacing w:val="-5"/>
        </w:rPr>
        <w:t xml:space="preserve"> </w:t>
      </w:r>
      <w:r>
        <w:t>or</w:t>
      </w:r>
      <w:r w:rsidRPr="0024064C">
        <w:rPr>
          <w:spacing w:val="-4"/>
        </w:rPr>
        <w:t xml:space="preserve"> </w:t>
      </w:r>
      <w:r w:rsidRPr="0024064C">
        <w:rPr>
          <w:spacing w:val="-2"/>
        </w:rPr>
        <w:t>inducer.</w:t>
      </w:r>
    </w:p>
    <w:p w14:paraId="0F793437" w14:textId="77777777" w:rsidR="00F33CBB" w:rsidRDefault="00F33CBB" w:rsidP="006D2A7F">
      <w:pPr>
        <w:pStyle w:val="ListBullet"/>
      </w:pPr>
      <w:r>
        <w:t>Active</w:t>
      </w:r>
      <w:r w:rsidRPr="0024064C">
        <w:rPr>
          <w:spacing w:val="-8"/>
        </w:rPr>
        <w:t xml:space="preserve"> </w:t>
      </w:r>
      <w:r>
        <w:t>and/or</w:t>
      </w:r>
      <w:r w:rsidRPr="0024064C">
        <w:rPr>
          <w:spacing w:val="-7"/>
        </w:rPr>
        <w:t xml:space="preserve"> </w:t>
      </w:r>
      <w:r>
        <w:t>ongoing</w:t>
      </w:r>
      <w:r w:rsidRPr="0024064C">
        <w:rPr>
          <w:spacing w:val="-4"/>
        </w:rPr>
        <w:t xml:space="preserve"> </w:t>
      </w:r>
      <w:r>
        <w:t>autoimmune</w:t>
      </w:r>
      <w:r w:rsidRPr="0024064C">
        <w:rPr>
          <w:spacing w:val="-6"/>
        </w:rPr>
        <w:t xml:space="preserve"> </w:t>
      </w:r>
      <w:r>
        <w:t>anaemia</w:t>
      </w:r>
      <w:r w:rsidRPr="0024064C">
        <w:rPr>
          <w:spacing w:val="-5"/>
        </w:rPr>
        <w:t xml:space="preserve"> </w:t>
      </w:r>
      <w:r>
        <w:t>and/or</w:t>
      </w:r>
      <w:r w:rsidRPr="0024064C">
        <w:rPr>
          <w:spacing w:val="-7"/>
        </w:rPr>
        <w:t xml:space="preserve"> </w:t>
      </w:r>
      <w:r>
        <w:t>autoimmune</w:t>
      </w:r>
      <w:r w:rsidRPr="0024064C">
        <w:rPr>
          <w:spacing w:val="-5"/>
        </w:rPr>
        <w:t xml:space="preserve"> </w:t>
      </w:r>
      <w:r w:rsidRPr="0024064C">
        <w:rPr>
          <w:spacing w:val="-2"/>
        </w:rPr>
        <w:t>thrombocytopenia.</w:t>
      </w:r>
    </w:p>
    <w:p w14:paraId="37D4D276" w14:textId="77777777" w:rsidR="00F33CBB" w:rsidRDefault="00F33CBB" w:rsidP="006D2A7F">
      <w:pPr>
        <w:pStyle w:val="ListBullet"/>
      </w:pPr>
      <w:r>
        <w:t>Arm</w:t>
      </w:r>
      <w:r w:rsidRPr="0024064C">
        <w:rPr>
          <w:spacing w:val="-6"/>
        </w:rPr>
        <w:t xml:space="preserve"> </w:t>
      </w:r>
      <w:r>
        <w:t>D</w:t>
      </w:r>
      <w:r w:rsidRPr="0024064C">
        <w:rPr>
          <w:spacing w:val="-5"/>
        </w:rPr>
        <w:t xml:space="preserve"> </w:t>
      </w:r>
      <w:r>
        <w:t>only:</w:t>
      </w:r>
      <w:r w:rsidRPr="0024064C">
        <w:rPr>
          <w:spacing w:val="-5"/>
        </w:rPr>
        <w:t xml:space="preserve"> </w:t>
      </w:r>
      <w:r>
        <w:t>required</w:t>
      </w:r>
      <w:r w:rsidRPr="0024064C">
        <w:rPr>
          <w:spacing w:val="-4"/>
        </w:rPr>
        <w:t xml:space="preserve"> </w:t>
      </w:r>
      <w:r>
        <w:t>ongoing</w:t>
      </w:r>
      <w:r w:rsidRPr="0024064C">
        <w:rPr>
          <w:spacing w:val="-3"/>
        </w:rPr>
        <w:t xml:space="preserve"> </w:t>
      </w:r>
      <w:r>
        <w:t>treatment</w:t>
      </w:r>
      <w:r w:rsidRPr="0024064C">
        <w:rPr>
          <w:spacing w:val="-5"/>
        </w:rPr>
        <w:t xml:space="preserve"> </w:t>
      </w:r>
      <w:r>
        <w:t>with</w:t>
      </w:r>
      <w:r w:rsidRPr="0024064C">
        <w:rPr>
          <w:spacing w:val="-2"/>
        </w:rPr>
        <w:t xml:space="preserve"> </w:t>
      </w:r>
      <w:r>
        <w:t>warfarin</w:t>
      </w:r>
      <w:r w:rsidRPr="0024064C">
        <w:rPr>
          <w:spacing w:val="-4"/>
        </w:rPr>
        <w:t xml:space="preserve"> </w:t>
      </w:r>
      <w:r>
        <w:t>or</w:t>
      </w:r>
      <w:r w:rsidRPr="0024064C">
        <w:rPr>
          <w:spacing w:val="-5"/>
        </w:rPr>
        <w:t xml:space="preserve"> </w:t>
      </w:r>
      <w:r>
        <w:t>warfarin</w:t>
      </w:r>
      <w:r w:rsidRPr="0024064C">
        <w:rPr>
          <w:spacing w:val="-4"/>
        </w:rPr>
        <w:t xml:space="preserve"> </w:t>
      </w:r>
      <w:r w:rsidRPr="0024064C">
        <w:rPr>
          <w:spacing w:val="-2"/>
        </w:rPr>
        <w:t>derivatives.</w:t>
      </w:r>
    </w:p>
    <w:p w14:paraId="1DD1FB1D" w14:textId="29338A9B" w:rsidR="00F33CBB" w:rsidRDefault="00F33CBB" w:rsidP="0024064C">
      <w:pPr>
        <w:pStyle w:val="Heading6"/>
      </w:pPr>
      <w:r>
        <w:t>Study</w:t>
      </w:r>
      <w:r>
        <w:rPr>
          <w:spacing w:val="-3"/>
        </w:rPr>
        <w:t xml:space="preserve"> </w:t>
      </w:r>
      <w:r>
        <w:t>treatments</w:t>
      </w:r>
    </w:p>
    <w:p w14:paraId="1B9B46DA" w14:textId="77777777" w:rsidR="00F33CBB" w:rsidRDefault="00F33CBB" w:rsidP="0024064C">
      <w:pPr>
        <w:pStyle w:val="BodyText"/>
        <w:spacing w:before="121"/>
        <w:ind w:left="0" w:right="144"/>
      </w:pPr>
      <w:r w:rsidRPr="0024064C">
        <w:rPr>
          <w:b/>
          <w:bCs/>
        </w:rPr>
        <w:t>Cohorts 1</w:t>
      </w:r>
      <w:r w:rsidRPr="0024064C">
        <w:rPr>
          <w:b/>
          <w:bCs/>
          <w:spacing w:val="-1"/>
        </w:rPr>
        <w:t xml:space="preserve"> </w:t>
      </w:r>
      <w:r w:rsidRPr="0024064C">
        <w:rPr>
          <w:b/>
          <w:bCs/>
        </w:rPr>
        <w:t>and</w:t>
      </w:r>
      <w:r w:rsidRPr="0024064C">
        <w:rPr>
          <w:b/>
          <w:bCs/>
          <w:spacing w:val="-1"/>
        </w:rPr>
        <w:t xml:space="preserve"> </w:t>
      </w:r>
      <w:r w:rsidRPr="0024064C">
        <w:rPr>
          <w:b/>
          <w:bCs/>
        </w:rPr>
        <w:t>1a</w:t>
      </w:r>
      <w:r>
        <w:t>:</w:t>
      </w:r>
      <w:r>
        <w:rPr>
          <w:spacing w:val="-1"/>
        </w:rPr>
        <w:t xml:space="preserve"> </w:t>
      </w:r>
      <w:r>
        <w:t>Zanubrutinib</w:t>
      </w:r>
      <w:r>
        <w:rPr>
          <w:spacing w:val="-1"/>
        </w:rPr>
        <w:t xml:space="preserve"> </w:t>
      </w:r>
      <w:r>
        <w:t>160 mg bd</w:t>
      </w:r>
      <w:r>
        <w:rPr>
          <w:spacing w:val="-1"/>
        </w:rPr>
        <w:t xml:space="preserve"> </w:t>
      </w:r>
      <w:r>
        <w:t>until disease progression</w:t>
      </w:r>
      <w:r>
        <w:rPr>
          <w:spacing w:val="-1"/>
        </w:rPr>
        <w:t xml:space="preserve"> </w:t>
      </w:r>
      <w:r>
        <w:t>or unacceptable toxicity or bendamustine (B) 90 mg/m</w:t>
      </w:r>
      <w:r>
        <w:rPr>
          <w:position w:val="5"/>
          <w:sz w:val="14"/>
        </w:rPr>
        <w:t>2</w:t>
      </w:r>
      <w:r>
        <w:t xml:space="preserve">/day via IV infusion on the first 2 days of each cycle for 6 x </w:t>
      </w:r>
      <w:proofErr w:type="gramStart"/>
      <w:r>
        <w:t>28 day</w:t>
      </w:r>
      <w:proofErr w:type="gramEnd"/>
      <w:r>
        <w:t xml:space="preserve"> cycles and</w:t>
      </w:r>
      <w:r>
        <w:rPr>
          <w:spacing w:val="-2"/>
        </w:rPr>
        <w:t xml:space="preserve"> </w:t>
      </w:r>
      <w:r>
        <w:t>rituximab</w:t>
      </w:r>
      <w:r>
        <w:rPr>
          <w:spacing w:val="-3"/>
        </w:rPr>
        <w:t xml:space="preserve"> </w:t>
      </w:r>
      <w:r>
        <w:t>(R)</w:t>
      </w:r>
      <w:r>
        <w:rPr>
          <w:spacing w:val="-2"/>
        </w:rPr>
        <w:t xml:space="preserve"> </w:t>
      </w:r>
      <w:r>
        <w:t>375</w:t>
      </w:r>
      <w:r>
        <w:rPr>
          <w:spacing w:val="-1"/>
        </w:rPr>
        <w:t xml:space="preserve"> </w:t>
      </w:r>
      <w:r>
        <w:t>mg/m</w:t>
      </w:r>
      <w:r>
        <w:rPr>
          <w:position w:val="5"/>
          <w:sz w:val="14"/>
        </w:rPr>
        <w:t>2</w:t>
      </w:r>
      <w:r>
        <w:rPr>
          <w:spacing w:val="15"/>
          <w:position w:val="5"/>
          <w:sz w:val="14"/>
        </w:rPr>
        <w:t xml:space="preserve"> </w:t>
      </w:r>
      <w:r>
        <w:t>via</w:t>
      </w:r>
      <w:r>
        <w:rPr>
          <w:spacing w:val="-1"/>
        </w:rPr>
        <w:t xml:space="preserve"> </w:t>
      </w:r>
      <w:r>
        <w:t>IV infusion</w:t>
      </w:r>
      <w:r>
        <w:rPr>
          <w:spacing w:val="-2"/>
        </w:rPr>
        <w:t xml:space="preserve"> </w:t>
      </w:r>
      <w:r>
        <w:t>for</w:t>
      </w:r>
      <w:r>
        <w:rPr>
          <w:spacing w:val="-2"/>
        </w:rPr>
        <w:t xml:space="preserve"> </w:t>
      </w:r>
      <w:r>
        <w:t>Cycle</w:t>
      </w:r>
      <w:r>
        <w:rPr>
          <w:spacing w:val="-1"/>
        </w:rPr>
        <w:t xml:space="preserve"> </w:t>
      </w:r>
      <w:r>
        <w:t>1</w:t>
      </w:r>
      <w:r>
        <w:rPr>
          <w:spacing w:val="-2"/>
        </w:rPr>
        <w:t xml:space="preserve"> </w:t>
      </w:r>
      <w:r>
        <w:t>and</w:t>
      </w:r>
      <w:r>
        <w:rPr>
          <w:spacing w:val="-2"/>
        </w:rPr>
        <w:t xml:space="preserve"> </w:t>
      </w:r>
      <w:r>
        <w:t>500</w:t>
      </w:r>
      <w:r>
        <w:rPr>
          <w:spacing w:val="-4"/>
        </w:rPr>
        <w:t xml:space="preserve"> </w:t>
      </w:r>
      <w:r>
        <w:t>mg/m</w:t>
      </w:r>
      <w:r>
        <w:rPr>
          <w:position w:val="5"/>
          <w:sz w:val="14"/>
        </w:rPr>
        <w:t>2</w:t>
      </w:r>
      <w:r>
        <w:rPr>
          <w:spacing w:val="15"/>
          <w:position w:val="5"/>
          <w:sz w:val="14"/>
        </w:rPr>
        <w:t xml:space="preserve"> </w:t>
      </w:r>
      <w:r>
        <w:t>for</w:t>
      </w:r>
      <w:r>
        <w:rPr>
          <w:spacing w:val="-1"/>
        </w:rPr>
        <w:t xml:space="preserve"> </w:t>
      </w:r>
      <w:r>
        <w:t>Cycles 2</w:t>
      </w:r>
      <w:r>
        <w:rPr>
          <w:spacing w:val="-2"/>
        </w:rPr>
        <w:t xml:space="preserve"> </w:t>
      </w:r>
      <w:r>
        <w:t>to</w:t>
      </w:r>
      <w:r>
        <w:rPr>
          <w:spacing w:val="-1"/>
        </w:rPr>
        <w:t xml:space="preserve"> </w:t>
      </w:r>
      <w:r>
        <w:t>6. At investigator discretion, patients randomised to B+R in Cohort 1/1a could be eligible to receive crossover treatment with zanubrutinib at the time disease progression was confirmed by the IRC.</w:t>
      </w:r>
    </w:p>
    <w:p w14:paraId="2EF9DF54" w14:textId="77777777" w:rsidR="00F33CBB" w:rsidRDefault="00F33CBB" w:rsidP="0024064C">
      <w:pPr>
        <w:pStyle w:val="BodyText"/>
        <w:spacing w:before="121"/>
        <w:ind w:left="0" w:right="670"/>
        <w:jc w:val="both"/>
      </w:pPr>
      <w:r w:rsidRPr="0024064C">
        <w:rPr>
          <w:b/>
          <w:bCs/>
        </w:rPr>
        <w:t>Cohort</w:t>
      </w:r>
      <w:r w:rsidRPr="0024064C">
        <w:rPr>
          <w:b/>
          <w:bCs/>
          <w:spacing w:val="-4"/>
        </w:rPr>
        <w:t xml:space="preserve"> </w:t>
      </w:r>
      <w:r w:rsidRPr="0024064C">
        <w:rPr>
          <w:b/>
          <w:bCs/>
        </w:rPr>
        <w:t>2</w:t>
      </w:r>
      <w:r>
        <w:t>:</w:t>
      </w:r>
      <w:r>
        <w:rPr>
          <w:spacing w:val="-4"/>
        </w:rPr>
        <w:t xml:space="preserve"> </w:t>
      </w:r>
      <w:r>
        <w:t>zanubrutinib</w:t>
      </w:r>
      <w:r>
        <w:rPr>
          <w:spacing w:val="-4"/>
        </w:rPr>
        <w:t xml:space="preserve"> </w:t>
      </w:r>
      <w:r>
        <w:t>160</w:t>
      </w:r>
      <w:r>
        <w:rPr>
          <w:spacing w:val="-3"/>
        </w:rPr>
        <w:t xml:space="preserve"> </w:t>
      </w:r>
      <w:r>
        <w:t>mg</w:t>
      </w:r>
      <w:r>
        <w:rPr>
          <w:spacing w:val="-2"/>
        </w:rPr>
        <w:t xml:space="preserve"> </w:t>
      </w:r>
      <w:r>
        <w:t>bd</w:t>
      </w:r>
      <w:r>
        <w:rPr>
          <w:spacing w:val="-5"/>
        </w:rPr>
        <w:t xml:space="preserve"> </w:t>
      </w:r>
      <w:r>
        <w:t>monotherapy</w:t>
      </w:r>
      <w:r>
        <w:rPr>
          <w:spacing w:val="-3"/>
        </w:rPr>
        <w:t xml:space="preserve"> </w:t>
      </w:r>
      <w:r>
        <w:t>until</w:t>
      </w:r>
      <w:r>
        <w:rPr>
          <w:spacing w:val="-3"/>
        </w:rPr>
        <w:t xml:space="preserve"> </w:t>
      </w:r>
      <w:r>
        <w:t>disease</w:t>
      </w:r>
      <w:r>
        <w:rPr>
          <w:spacing w:val="-3"/>
        </w:rPr>
        <w:t xml:space="preserve"> </w:t>
      </w:r>
      <w:r>
        <w:t>progression</w:t>
      </w:r>
      <w:r>
        <w:rPr>
          <w:spacing w:val="-4"/>
        </w:rPr>
        <w:t xml:space="preserve"> </w:t>
      </w:r>
      <w:r>
        <w:t>or</w:t>
      </w:r>
      <w:r>
        <w:rPr>
          <w:spacing w:val="-3"/>
        </w:rPr>
        <w:t xml:space="preserve"> </w:t>
      </w:r>
      <w:r>
        <w:t xml:space="preserve">unacceptable </w:t>
      </w:r>
      <w:r>
        <w:rPr>
          <w:spacing w:val="-2"/>
        </w:rPr>
        <w:t>toxicity.</w:t>
      </w:r>
    </w:p>
    <w:p w14:paraId="42F973F4" w14:textId="0FFF6518" w:rsidR="00F33CBB" w:rsidRDefault="00F33CBB" w:rsidP="0024064C">
      <w:pPr>
        <w:pStyle w:val="BodyText"/>
        <w:spacing w:before="120"/>
        <w:ind w:left="0"/>
        <w:jc w:val="both"/>
      </w:pPr>
      <w:r w:rsidRPr="0024064C">
        <w:rPr>
          <w:b/>
          <w:bCs/>
        </w:rPr>
        <w:t>Cohort</w:t>
      </w:r>
      <w:r w:rsidRPr="0024064C">
        <w:rPr>
          <w:b/>
          <w:bCs/>
          <w:spacing w:val="-4"/>
        </w:rPr>
        <w:t xml:space="preserve"> </w:t>
      </w:r>
      <w:r w:rsidRPr="0024064C">
        <w:rPr>
          <w:b/>
          <w:bCs/>
        </w:rPr>
        <w:t>3</w:t>
      </w:r>
      <w:r>
        <w:t>:</w:t>
      </w:r>
      <w:r>
        <w:rPr>
          <w:spacing w:val="-3"/>
        </w:rPr>
        <w:t xml:space="preserve"> </w:t>
      </w:r>
      <w:r>
        <w:t>zanubrutinib</w:t>
      </w:r>
      <w:r>
        <w:rPr>
          <w:spacing w:val="-3"/>
        </w:rPr>
        <w:t xml:space="preserve"> </w:t>
      </w:r>
      <w:r>
        <w:t>160</w:t>
      </w:r>
      <w:r>
        <w:rPr>
          <w:spacing w:val="-3"/>
        </w:rPr>
        <w:t xml:space="preserve"> </w:t>
      </w:r>
      <w:r>
        <w:t>mg</w:t>
      </w:r>
      <w:r>
        <w:rPr>
          <w:spacing w:val="-1"/>
        </w:rPr>
        <w:t xml:space="preserve"> </w:t>
      </w:r>
      <w:r>
        <w:t>bd</w:t>
      </w:r>
      <w:r>
        <w:rPr>
          <w:spacing w:val="-3"/>
        </w:rPr>
        <w:t xml:space="preserve"> </w:t>
      </w:r>
      <w:r>
        <w:t>and</w:t>
      </w:r>
      <w:r>
        <w:rPr>
          <w:spacing w:val="-3"/>
        </w:rPr>
        <w:t xml:space="preserve"> </w:t>
      </w:r>
      <w:proofErr w:type="spellStart"/>
      <w:r w:rsidR="00B47CCB">
        <w:rPr>
          <w:spacing w:val="-2"/>
        </w:rPr>
        <w:t>v</w:t>
      </w:r>
      <w:r w:rsidR="00AD25C7">
        <w:rPr>
          <w:spacing w:val="-2"/>
        </w:rPr>
        <w:t>enetoclax</w:t>
      </w:r>
      <w:proofErr w:type="spellEnd"/>
      <w:r>
        <w:rPr>
          <w:spacing w:val="-2"/>
        </w:rPr>
        <w:t>.</w:t>
      </w:r>
    </w:p>
    <w:p w14:paraId="76E23AB1" w14:textId="2204D4E9" w:rsidR="00F33CBB" w:rsidRDefault="00F33CBB" w:rsidP="0024064C">
      <w:pPr>
        <w:pStyle w:val="BodyText"/>
        <w:spacing w:before="119"/>
        <w:ind w:left="0" w:right="195"/>
        <w:jc w:val="both"/>
      </w:pPr>
      <w:r>
        <w:t>Dose adjustments were consistent with the current</w:t>
      </w:r>
      <w:r>
        <w:rPr>
          <w:spacing w:val="-1"/>
        </w:rPr>
        <w:t xml:space="preserve"> </w:t>
      </w:r>
      <w:r>
        <w:t>dose adjustments for zanubrutinib ADRs in the</w:t>
      </w:r>
      <w:r>
        <w:rPr>
          <w:spacing w:val="-3"/>
        </w:rPr>
        <w:t xml:space="preserve"> </w:t>
      </w:r>
      <w:r>
        <w:t>zanubrutinib</w:t>
      </w:r>
      <w:r>
        <w:rPr>
          <w:spacing w:val="-5"/>
        </w:rPr>
        <w:t xml:space="preserve"> </w:t>
      </w:r>
      <w:r>
        <w:t>PI.</w:t>
      </w:r>
      <w:r>
        <w:rPr>
          <w:spacing w:val="-3"/>
        </w:rPr>
        <w:t xml:space="preserve"> </w:t>
      </w:r>
      <w:r>
        <w:t>Adjustments</w:t>
      </w:r>
      <w:r>
        <w:rPr>
          <w:spacing w:val="-2"/>
        </w:rPr>
        <w:t xml:space="preserve"> </w:t>
      </w:r>
      <w:r>
        <w:t>for</w:t>
      </w:r>
      <w:r>
        <w:rPr>
          <w:spacing w:val="-3"/>
        </w:rPr>
        <w:t xml:space="preserve"> </w:t>
      </w:r>
      <w:r>
        <w:t>comparator</w:t>
      </w:r>
      <w:r>
        <w:rPr>
          <w:spacing w:val="-3"/>
        </w:rPr>
        <w:t xml:space="preserve"> </w:t>
      </w:r>
      <w:r>
        <w:t>treatments</w:t>
      </w:r>
      <w:r>
        <w:rPr>
          <w:spacing w:val="-2"/>
        </w:rPr>
        <w:t xml:space="preserve"> </w:t>
      </w:r>
      <w:r>
        <w:t>were</w:t>
      </w:r>
      <w:r>
        <w:rPr>
          <w:spacing w:val="-3"/>
        </w:rPr>
        <w:t xml:space="preserve"> </w:t>
      </w:r>
      <w:r>
        <w:t>based</w:t>
      </w:r>
      <w:r>
        <w:rPr>
          <w:spacing w:val="-3"/>
        </w:rPr>
        <w:t xml:space="preserve"> </w:t>
      </w:r>
      <w:r>
        <w:t>on</w:t>
      </w:r>
      <w:r>
        <w:rPr>
          <w:spacing w:val="-4"/>
        </w:rPr>
        <w:t xml:space="preserve"> </w:t>
      </w:r>
      <w:r>
        <w:t>local</w:t>
      </w:r>
      <w:r>
        <w:rPr>
          <w:spacing w:val="-3"/>
        </w:rPr>
        <w:t xml:space="preserve"> </w:t>
      </w:r>
      <w:r>
        <w:t>guidelines.</w:t>
      </w:r>
      <w:r>
        <w:rPr>
          <w:spacing w:val="-2"/>
        </w:rPr>
        <w:t xml:space="preserve"> </w:t>
      </w:r>
      <w:r>
        <w:t xml:space="preserve">No further information on Cohort 3 was included in the interim </w:t>
      </w:r>
      <w:r w:rsidR="00272745">
        <w:t>clinical study report (</w:t>
      </w:r>
      <w:r>
        <w:t>CSR</w:t>
      </w:r>
      <w:r w:rsidR="00272745">
        <w:t>)</w:t>
      </w:r>
      <w:r>
        <w:t>.</w:t>
      </w:r>
    </w:p>
    <w:p w14:paraId="5FF29D72" w14:textId="385B7F68" w:rsidR="00F33CBB" w:rsidRDefault="00F33CBB" w:rsidP="0024064C">
      <w:pPr>
        <w:pStyle w:val="Heading6"/>
      </w:pPr>
      <w:r>
        <w:t>Statistical</w:t>
      </w:r>
      <w:r>
        <w:rPr>
          <w:spacing w:val="-9"/>
        </w:rPr>
        <w:t xml:space="preserve"> </w:t>
      </w:r>
      <w:r>
        <w:rPr>
          <w:spacing w:val="-2"/>
        </w:rPr>
        <w:t>planning</w:t>
      </w:r>
    </w:p>
    <w:p w14:paraId="798F1612" w14:textId="7E873620" w:rsidR="00F33CBB" w:rsidRDefault="00F33CBB" w:rsidP="0024064C">
      <w:pPr>
        <w:pStyle w:val="BodyText"/>
        <w:spacing w:before="118"/>
        <w:ind w:left="0" w:right="144"/>
      </w:pPr>
      <w:r>
        <w:t>Assuming</w:t>
      </w:r>
      <w:r>
        <w:rPr>
          <w:spacing w:val="-1"/>
        </w:rPr>
        <w:t xml:space="preserve"> </w:t>
      </w:r>
      <w:r>
        <w:t>a</w:t>
      </w:r>
      <w:r>
        <w:rPr>
          <w:spacing w:val="-3"/>
        </w:rPr>
        <w:t xml:space="preserve"> </w:t>
      </w:r>
      <w:r>
        <w:t>PFS</w:t>
      </w:r>
      <w:r>
        <w:rPr>
          <w:spacing w:val="-5"/>
        </w:rPr>
        <w:t xml:space="preserve"> </w:t>
      </w:r>
      <w:r>
        <w:t>hazard</w:t>
      </w:r>
      <w:r>
        <w:rPr>
          <w:spacing w:val="-3"/>
        </w:rPr>
        <w:t xml:space="preserve"> </w:t>
      </w:r>
      <w:r>
        <w:t>ratio</w:t>
      </w:r>
      <w:r>
        <w:rPr>
          <w:spacing w:val="-2"/>
        </w:rPr>
        <w:t xml:space="preserve"> </w:t>
      </w:r>
      <w:r>
        <w:t>(HR)</w:t>
      </w:r>
      <w:r>
        <w:rPr>
          <w:spacing w:val="-3"/>
        </w:rPr>
        <w:t xml:space="preserve"> </w:t>
      </w:r>
      <w:r>
        <w:t>(Arm</w:t>
      </w:r>
      <w:r>
        <w:rPr>
          <w:spacing w:val="-2"/>
        </w:rPr>
        <w:t xml:space="preserve"> </w:t>
      </w:r>
      <w:r>
        <w:t>A/Arm</w:t>
      </w:r>
      <w:r>
        <w:rPr>
          <w:spacing w:val="-1"/>
        </w:rPr>
        <w:t xml:space="preserve"> </w:t>
      </w:r>
      <w:r>
        <w:t>B)</w:t>
      </w:r>
      <w:r>
        <w:rPr>
          <w:spacing w:val="-3"/>
        </w:rPr>
        <w:t xml:space="preserve"> </w:t>
      </w:r>
      <w:r>
        <w:t>in</w:t>
      </w:r>
      <w:r>
        <w:rPr>
          <w:spacing w:val="-3"/>
        </w:rPr>
        <w:t xml:space="preserve"> </w:t>
      </w:r>
      <w:r>
        <w:t>Cohort</w:t>
      </w:r>
      <w:r>
        <w:rPr>
          <w:spacing w:val="-4"/>
        </w:rPr>
        <w:t xml:space="preserve"> </w:t>
      </w:r>
      <w:r>
        <w:t>1</w:t>
      </w:r>
      <w:r>
        <w:rPr>
          <w:spacing w:val="-2"/>
        </w:rPr>
        <w:t xml:space="preserve"> </w:t>
      </w:r>
      <w:r>
        <w:t>of</w:t>
      </w:r>
      <w:r>
        <w:rPr>
          <w:spacing w:val="-2"/>
        </w:rPr>
        <w:t xml:space="preserve"> </w:t>
      </w:r>
      <w:r>
        <w:t>0.58,</w:t>
      </w:r>
      <w:r>
        <w:rPr>
          <w:spacing w:val="-2"/>
        </w:rPr>
        <w:t xml:space="preserve"> </w:t>
      </w:r>
      <w:r>
        <w:t>118</w:t>
      </w:r>
      <w:r>
        <w:rPr>
          <w:spacing w:val="-2"/>
        </w:rPr>
        <w:t xml:space="preserve"> </w:t>
      </w:r>
      <w:r>
        <w:t>events</w:t>
      </w:r>
      <w:r>
        <w:rPr>
          <w:spacing w:val="-1"/>
        </w:rPr>
        <w:t xml:space="preserve"> </w:t>
      </w:r>
      <w:r>
        <w:t>were</w:t>
      </w:r>
      <w:r>
        <w:rPr>
          <w:spacing w:val="-2"/>
        </w:rPr>
        <w:t xml:space="preserve"> </w:t>
      </w:r>
      <w:r>
        <w:t>required to achieve 83.5% power at 2-sided alpha of 0.05 to reject the null hypothesis when one interim analysis was planned</w:t>
      </w:r>
      <w:r>
        <w:rPr>
          <w:spacing w:val="-1"/>
        </w:rPr>
        <w:t xml:space="preserve"> </w:t>
      </w:r>
      <w:r>
        <w:t>after</w:t>
      </w:r>
      <w:r>
        <w:rPr>
          <w:spacing w:val="-2"/>
        </w:rPr>
        <w:t xml:space="preserve"> </w:t>
      </w:r>
      <w:r>
        <w:t>73%</w:t>
      </w:r>
      <w:r>
        <w:rPr>
          <w:spacing w:val="-1"/>
        </w:rPr>
        <w:t xml:space="preserve"> </w:t>
      </w:r>
      <w:r>
        <w:t>of</w:t>
      </w:r>
      <w:r>
        <w:rPr>
          <w:spacing w:val="-1"/>
        </w:rPr>
        <w:t xml:space="preserve"> </w:t>
      </w:r>
      <w:r>
        <w:t>the</w:t>
      </w:r>
      <w:r>
        <w:rPr>
          <w:spacing w:val="-1"/>
        </w:rPr>
        <w:t xml:space="preserve"> </w:t>
      </w:r>
      <w:r>
        <w:t>target</w:t>
      </w:r>
      <w:r>
        <w:rPr>
          <w:spacing w:val="-1"/>
        </w:rPr>
        <w:t xml:space="preserve"> </w:t>
      </w:r>
      <w:r>
        <w:t>number</w:t>
      </w:r>
      <w:r>
        <w:rPr>
          <w:spacing w:val="-1"/>
        </w:rPr>
        <w:t xml:space="preserve"> </w:t>
      </w:r>
      <w:r>
        <w:t>of</w:t>
      </w:r>
      <w:r>
        <w:rPr>
          <w:spacing w:val="-1"/>
        </w:rPr>
        <w:t xml:space="preserve"> </w:t>
      </w:r>
      <w:r>
        <w:t>events at</w:t>
      </w:r>
      <w:r>
        <w:rPr>
          <w:spacing w:val="-3"/>
        </w:rPr>
        <w:t xml:space="preserve"> </w:t>
      </w:r>
      <w:r>
        <w:t>final</w:t>
      </w:r>
      <w:r>
        <w:rPr>
          <w:spacing w:val="-1"/>
        </w:rPr>
        <w:t xml:space="preserve"> </w:t>
      </w:r>
      <w:r>
        <w:t>analysis.</w:t>
      </w:r>
      <w:r>
        <w:rPr>
          <w:spacing w:val="-1"/>
        </w:rPr>
        <w:t xml:space="preserve"> </w:t>
      </w:r>
      <w:r>
        <w:t>A</w:t>
      </w:r>
      <w:r>
        <w:rPr>
          <w:spacing w:val="-5"/>
        </w:rPr>
        <w:t xml:space="preserve"> </w:t>
      </w:r>
      <w:r>
        <w:t>median</w:t>
      </w:r>
      <w:r>
        <w:rPr>
          <w:spacing w:val="-2"/>
        </w:rPr>
        <w:t xml:space="preserve"> </w:t>
      </w:r>
      <w:r>
        <w:t>PFS</w:t>
      </w:r>
      <w:r>
        <w:rPr>
          <w:spacing w:val="-1"/>
        </w:rPr>
        <w:t xml:space="preserve"> </w:t>
      </w:r>
      <w:r>
        <w:t>in Arm B</w:t>
      </w:r>
      <w:r>
        <w:rPr>
          <w:spacing w:val="-2"/>
        </w:rPr>
        <w:t xml:space="preserve"> </w:t>
      </w:r>
      <w:r>
        <w:t>of 42</w:t>
      </w:r>
      <w:r>
        <w:rPr>
          <w:spacing w:val="-4"/>
        </w:rPr>
        <w:t xml:space="preserve"> </w:t>
      </w:r>
      <w:r>
        <w:t>months was assumed. Comparison</w:t>
      </w:r>
      <w:r>
        <w:rPr>
          <w:spacing w:val="-1"/>
        </w:rPr>
        <w:t xml:space="preserve"> </w:t>
      </w:r>
      <w:r>
        <w:t>of PFS in</w:t>
      </w:r>
      <w:r>
        <w:rPr>
          <w:spacing w:val="-1"/>
        </w:rPr>
        <w:t xml:space="preserve"> </w:t>
      </w:r>
      <w:r>
        <w:t>the two arms in</w:t>
      </w:r>
      <w:r>
        <w:rPr>
          <w:spacing w:val="-1"/>
        </w:rPr>
        <w:t xml:space="preserve"> </w:t>
      </w:r>
      <w:r>
        <w:t>Cohort</w:t>
      </w:r>
      <w:r>
        <w:rPr>
          <w:spacing w:val="-1"/>
        </w:rPr>
        <w:t xml:space="preserve"> </w:t>
      </w:r>
      <w:r>
        <w:t xml:space="preserve">1 was based on a log rank test stratified by </w:t>
      </w:r>
      <w:proofErr w:type="spellStart"/>
      <w:r>
        <w:t>randomisation</w:t>
      </w:r>
      <w:proofErr w:type="spellEnd"/>
      <w:r>
        <w:t xml:space="preserve"> stratification factors (age [&lt; 65 years versus ≥ 65 years], Binet stage [C versus A or B], and IGHV mutational status [mutated versus unmutated]) per</w:t>
      </w:r>
      <w:r>
        <w:rPr>
          <w:spacing w:val="-2"/>
        </w:rPr>
        <w:t xml:space="preserve"> </w:t>
      </w:r>
      <w:r>
        <w:t>IRT</w:t>
      </w:r>
      <w:r>
        <w:rPr>
          <w:spacing w:val="-3"/>
        </w:rPr>
        <w:t xml:space="preserve"> </w:t>
      </w:r>
      <w:r>
        <w:t>in</w:t>
      </w:r>
      <w:r>
        <w:rPr>
          <w:spacing w:val="-2"/>
        </w:rPr>
        <w:t xml:space="preserve"> </w:t>
      </w:r>
      <w:r>
        <w:t>the</w:t>
      </w:r>
      <w:r>
        <w:rPr>
          <w:spacing w:val="-1"/>
        </w:rPr>
        <w:t xml:space="preserve"> </w:t>
      </w:r>
      <w:r>
        <w:t>ITT analysis Set.</w:t>
      </w:r>
      <w:r>
        <w:rPr>
          <w:spacing w:val="-4"/>
        </w:rPr>
        <w:t xml:space="preserve"> </w:t>
      </w:r>
      <w:r>
        <w:t>The</w:t>
      </w:r>
      <w:r>
        <w:rPr>
          <w:spacing w:val="-1"/>
        </w:rPr>
        <w:t xml:space="preserve"> </w:t>
      </w:r>
      <w:r>
        <w:t>hazard</w:t>
      </w:r>
      <w:r>
        <w:rPr>
          <w:spacing w:val="-2"/>
        </w:rPr>
        <w:t xml:space="preserve"> </w:t>
      </w:r>
      <w:r>
        <w:t>ratio</w:t>
      </w:r>
      <w:r>
        <w:rPr>
          <w:spacing w:val="-1"/>
        </w:rPr>
        <w:t xml:space="preserve"> </w:t>
      </w:r>
      <w:r>
        <w:t>(HR)</w:t>
      </w:r>
      <w:r>
        <w:rPr>
          <w:spacing w:val="-2"/>
        </w:rPr>
        <w:t xml:space="preserve"> </w:t>
      </w:r>
      <w:r>
        <w:t>and</w:t>
      </w:r>
      <w:r>
        <w:rPr>
          <w:spacing w:val="-2"/>
        </w:rPr>
        <w:t xml:space="preserve"> </w:t>
      </w:r>
      <w:r>
        <w:t>its</w:t>
      </w:r>
      <w:r>
        <w:rPr>
          <w:spacing w:val="-1"/>
        </w:rPr>
        <w:t xml:space="preserve"> </w:t>
      </w:r>
      <w:r>
        <w:t>two-sided</w:t>
      </w:r>
      <w:r>
        <w:rPr>
          <w:spacing w:val="-1"/>
        </w:rPr>
        <w:t xml:space="preserve"> </w:t>
      </w:r>
      <w:r>
        <w:t>95%</w:t>
      </w:r>
      <w:r>
        <w:rPr>
          <w:spacing w:val="-4"/>
        </w:rPr>
        <w:t xml:space="preserve"> </w:t>
      </w:r>
      <w:r>
        <w:t>confidence</w:t>
      </w:r>
      <w:r>
        <w:rPr>
          <w:spacing w:val="-1"/>
        </w:rPr>
        <w:t xml:space="preserve"> </w:t>
      </w:r>
      <w:r>
        <w:t>interval (CI) were estimated from a stratified Cox regression model. The distribution of PFS was estimated using Kaplan-Meier method. Multiplicity adjustment was undertaken for the primary endpoint by O’Brien Fleming type Lan-</w:t>
      </w:r>
      <w:proofErr w:type="spellStart"/>
      <w:r>
        <w:t>DeMets</w:t>
      </w:r>
      <w:proofErr w:type="spellEnd"/>
      <w:r>
        <w:t xml:space="preserve"> alpha spending function. For the secondary endpoints, overall </w:t>
      </w:r>
      <w:r w:rsidR="00AD25C7">
        <w:t>survival,</w:t>
      </w:r>
      <w:r>
        <w:t xml:space="preserve"> and PRO, were to be tested if the primary endpoint, PFS, was significant (using fixed sequencing Bonferroni method). No inferential testing was done for other secondary endpoints.</w:t>
      </w:r>
    </w:p>
    <w:p w14:paraId="33805463" w14:textId="77777777" w:rsidR="00F33CBB" w:rsidRDefault="00F33CBB" w:rsidP="0024064C">
      <w:pPr>
        <w:pStyle w:val="BodyText"/>
        <w:spacing w:before="121"/>
        <w:ind w:left="0" w:right="148"/>
      </w:pPr>
      <w:r>
        <w:t>As</w:t>
      </w:r>
      <w:r>
        <w:rPr>
          <w:spacing w:val="-1"/>
        </w:rPr>
        <w:t xml:space="preserve"> </w:t>
      </w:r>
      <w:r>
        <w:t>superiority</w:t>
      </w:r>
      <w:r>
        <w:rPr>
          <w:spacing w:val="-3"/>
        </w:rPr>
        <w:t xml:space="preserve"> </w:t>
      </w:r>
      <w:r>
        <w:t>was</w:t>
      </w:r>
      <w:r>
        <w:rPr>
          <w:spacing w:val="-1"/>
        </w:rPr>
        <w:t xml:space="preserve"> </w:t>
      </w:r>
      <w:r>
        <w:t>met</w:t>
      </w:r>
      <w:r>
        <w:rPr>
          <w:spacing w:val="-3"/>
        </w:rPr>
        <w:t xml:space="preserve"> </w:t>
      </w:r>
      <w:r>
        <w:t>at</w:t>
      </w:r>
      <w:r>
        <w:rPr>
          <w:spacing w:val="-5"/>
        </w:rPr>
        <w:t xml:space="preserve"> </w:t>
      </w:r>
      <w:r>
        <w:t>this</w:t>
      </w:r>
      <w:r>
        <w:rPr>
          <w:spacing w:val="-1"/>
        </w:rPr>
        <w:t xml:space="preserve"> </w:t>
      </w:r>
      <w:r>
        <w:t>interim</w:t>
      </w:r>
      <w:r>
        <w:rPr>
          <w:spacing w:val="-1"/>
        </w:rPr>
        <w:t xml:space="preserve"> </w:t>
      </w:r>
      <w:r>
        <w:t>analysis,</w:t>
      </w:r>
      <w:r>
        <w:rPr>
          <w:spacing w:val="-1"/>
        </w:rPr>
        <w:t xml:space="preserve"> </w:t>
      </w:r>
      <w:r>
        <w:t>a</w:t>
      </w:r>
      <w:r>
        <w:rPr>
          <w:spacing w:val="-3"/>
        </w:rPr>
        <w:t xml:space="preserve"> </w:t>
      </w:r>
      <w:r>
        <w:t>final</w:t>
      </w:r>
      <w:r>
        <w:rPr>
          <w:spacing w:val="-2"/>
        </w:rPr>
        <w:t xml:space="preserve"> </w:t>
      </w:r>
      <w:r>
        <w:t>analysis</w:t>
      </w:r>
      <w:r>
        <w:rPr>
          <w:spacing w:val="-1"/>
        </w:rPr>
        <w:t xml:space="preserve"> </w:t>
      </w:r>
      <w:r>
        <w:t>of</w:t>
      </w:r>
      <w:r>
        <w:rPr>
          <w:spacing w:val="-2"/>
        </w:rPr>
        <w:t xml:space="preserve"> </w:t>
      </w:r>
      <w:r>
        <w:t>PFS</w:t>
      </w:r>
      <w:r>
        <w:rPr>
          <w:spacing w:val="-2"/>
        </w:rPr>
        <w:t xml:space="preserve"> </w:t>
      </w:r>
      <w:r>
        <w:t>is</w:t>
      </w:r>
      <w:r>
        <w:rPr>
          <w:spacing w:val="-1"/>
        </w:rPr>
        <w:t xml:space="preserve"> </w:t>
      </w:r>
      <w:r>
        <w:t>not</w:t>
      </w:r>
      <w:r>
        <w:rPr>
          <w:spacing w:val="-2"/>
        </w:rPr>
        <w:t xml:space="preserve"> </w:t>
      </w:r>
      <w:r>
        <w:t>planned.</w:t>
      </w:r>
      <w:r>
        <w:rPr>
          <w:spacing w:val="-2"/>
        </w:rPr>
        <w:t xml:space="preserve"> </w:t>
      </w:r>
      <w:r>
        <w:t>The</w:t>
      </w:r>
      <w:r>
        <w:rPr>
          <w:spacing w:val="-2"/>
        </w:rPr>
        <w:t xml:space="preserve"> </w:t>
      </w:r>
      <w:r>
        <w:t>overall survival final analysis is planned for the study end at approximately 5 years.</w:t>
      </w:r>
    </w:p>
    <w:p w14:paraId="729E0316" w14:textId="3EF782A3" w:rsidR="00F33CBB" w:rsidRDefault="00F33CBB" w:rsidP="0024064C">
      <w:pPr>
        <w:pStyle w:val="Heading6"/>
      </w:pPr>
      <w:r>
        <w:t>Results</w:t>
      </w:r>
    </w:p>
    <w:p w14:paraId="74D9222F" w14:textId="77777777" w:rsidR="00F33CBB" w:rsidRDefault="00F33CBB" w:rsidP="007A3D9D">
      <w:pPr>
        <w:pStyle w:val="BodyText"/>
        <w:spacing w:before="1"/>
        <w:ind w:left="0" w:right="144"/>
      </w:pPr>
      <w:r w:rsidRPr="0024064C">
        <w:rPr>
          <w:b/>
          <w:bCs/>
          <w:i/>
        </w:rPr>
        <w:t>Cohort 1</w:t>
      </w:r>
      <w:r>
        <w:rPr>
          <w:i/>
        </w:rPr>
        <w:t xml:space="preserve">: </w:t>
      </w:r>
      <w:r>
        <w:t>479 patients were randomised, 241 to zanubrutinib and 238 to the B+R.</w:t>
      </w:r>
      <w:r>
        <w:rPr>
          <w:spacing w:val="40"/>
        </w:rPr>
        <w:t xml:space="preserve"> </w:t>
      </w:r>
      <w:r>
        <w:t>Twelve patients were randomised but did not receive study treatment. In the zanubrutinib arm, 34 (14.1%)</w:t>
      </w:r>
      <w:r>
        <w:rPr>
          <w:spacing w:val="-3"/>
        </w:rPr>
        <w:t xml:space="preserve"> </w:t>
      </w:r>
      <w:r>
        <w:t>patients</w:t>
      </w:r>
      <w:r>
        <w:rPr>
          <w:spacing w:val="-2"/>
        </w:rPr>
        <w:t xml:space="preserve"> </w:t>
      </w:r>
      <w:r>
        <w:t>discontinued</w:t>
      </w:r>
      <w:r>
        <w:rPr>
          <w:spacing w:val="-4"/>
        </w:rPr>
        <w:t xml:space="preserve"> </w:t>
      </w:r>
      <w:r>
        <w:t>from</w:t>
      </w:r>
      <w:r>
        <w:rPr>
          <w:spacing w:val="-2"/>
        </w:rPr>
        <w:t xml:space="preserve"> </w:t>
      </w:r>
      <w:r>
        <w:t>study</w:t>
      </w:r>
      <w:r>
        <w:rPr>
          <w:spacing w:val="-4"/>
        </w:rPr>
        <w:t xml:space="preserve"> </w:t>
      </w:r>
      <w:r>
        <w:t>treatment.</w:t>
      </w:r>
      <w:r>
        <w:rPr>
          <w:spacing w:val="-3"/>
        </w:rPr>
        <w:t xml:space="preserve"> </w:t>
      </w:r>
      <w:r>
        <w:t>B+R</w:t>
      </w:r>
      <w:r>
        <w:rPr>
          <w:spacing w:val="-4"/>
        </w:rPr>
        <w:t xml:space="preserve"> </w:t>
      </w:r>
      <w:r>
        <w:t>was</w:t>
      </w:r>
      <w:r>
        <w:rPr>
          <w:spacing w:val="-3"/>
        </w:rPr>
        <w:t xml:space="preserve"> </w:t>
      </w:r>
      <w:r>
        <w:t>a</w:t>
      </w:r>
      <w:r>
        <w:rPr>
          <w:spacing w:val="-4"/>
        </w:rPr>
        <w:t xml:space="preserve"> </w:t>
      </w:r>
      <w:r>
        <w:t>fixed</w:t>
      </w:r>
      <w:r>
        <w:rPr>
          <w:spacing w:val="-2"/>
        </w:rPr>
        <w:t xml:space="preserve"> </w:t>
      </w:r>
      <w:r>
        <w:t>duration</w:t>
      </w:r>
      <w:r>
        <w:rPr>
          <w:spacing w:val="-4"/>
        </w:rPr>
        <w:t xml:space="preserve"> </w:t>
      </w:r>
      <w:r>
        <w:t>therapy</w:t>
      </w:r>
      <w:r>
        <w:rPr>
          <w:spacing w:val="-4"/>
        </w:rPr>
        <w:t xml:space="preserve"> </w:t>
      </w:r>
      <w:r>
        <w:t>(6x28 day cycles), all patients had discontinued/completed therapy as of the data cutoff date.</w:t>
      </w:r>
    </w:p>
    <w:p w14:paraId="49015684" w14:textId="788B9709" w:rsidR="00F33CBB" w:rsidRDefault="00F33CBB" w:rsidP="007A3D9D">
      <w:pPr>
        <w:pStyle w:val="BodyText"/>
        <w:spacing w:before="118"/>
        <w:ind w:left="0" w:right="144"/>
      </w:pPr>
      <w:r>
        <w:t xml:space="preserve">Median age in both study arms was 70 years with 19% aged &lt;65 years, 91.6% of patients had CLL with the remaining patients having SLL. The median time from initial diagnosis was 31.3 and 28.7 months in the zanubrutinib and B+R </w:t>
      </w:r>
      <w:r w:rsidR="00AD25C7">
        <w:t>arms,</w:t>
      </w:r>
      <w:r>
        <w:t xml:space="preserve"> respectively. Staging levels were similar, around</w:t>
      </w:r>
      <w:r>
        <w:rPr>
          <w:spacing w:val="-3"/>
        </w:rPr>
        <w:t xml:space="preserve"> </w:t>
      </w:r>
      <w:r>
        <w:t>57%</w:t>
      </w:r>
      <w:r>
        <w:rPr>
          <w:spacing w:val="-2"/>
        </w:rPr>
        <w:t xml:space="preserve"> </w:t>
      </w:r>
      <w:r>
        <w:t>stage</w:t>
      </w:r>
      <w:r>
        <w:rPr>
          <w:spacing w:val="-2"/>
        </w:rPr>
        <w:t xml:space="preserve"> </w:t>
      </w:r>
      <w:r>
        <w:t>B</w:t>
      </w:r>
      <w:r>
        <w:rPr>
          <w:spacing w:val="-3"/>
        </w:rPr>
        <w:t xml:space="preserve"> </w:t>
      </w:r>
      <w:r>
        <w:t>and</w:t>
      </w:r>
      <w:r>
        <w:rPr>
          <w:spacing w:val="-5"/>
        </w:rPr>
        <w:t xml:space="preserve"> </w:t>
      </w:r>
      <w:r>
        <w:t>30%</w:t>
      </w:r>
      <w:r>
        <w:rPr>
          <w:spacing w:val="-2"/>
        </w:rPr>
        <w:t xml:space="preserve"> </w:t>
      </w:r>
      <w:r>
        <w:t>stage</w:t>
      </w:r>
      <w:r>
        <w:rPr>
          <w:spacing w:val="-2"/>
        </w:rPr>
        <w:t xml:space="preserve"> </w:t>
      </w:r>
      <w:r>
        <w:t>C.</w:t>
      </w:r>
      <w:r>
        <w:rPr>
          <w:spacing w:val="-2"/>
        </w:rPr>
        <w:t xml:space="preserve"> </w:t>
      </w:r>
      <w:r>
        <w:t>The</w:t>
      </w:r>
      <w:r>
        <w:rPr>
          <w:spacing w:val="-2"/>
        </w:rPr>
        <w:t xml:space="preserve"> </w:t>
      </w:r>
      <w:r>
        <w:t>rate</w:t>
      </w:r>
      <w:r>
        <w:rPr>
          <w:spacing w:val="-2"/>
        </w:rPr>
        <w:t xml:space="preserve"> </w:t>
      </w:r>
      <w:r>
        <w:t>of</w:t>
      </w:r>
      <w:r>
        <w:rPr>
          <w:spacing w:val="-2"/>
        </w:rPr>
        <w:t xml:space="preserve"> </w:t>
      </w:r>
      <w:r>
        <w:t>genetic</w:t>
      </w:r>
      <w:r>
        <w:rPr>
          <w:spacing w:val="-4"/>
        </w:rPr>
        <w:t xml:space="preserve"> </w:t>
      </w:r>
      <w:r>
        <w:t>mutations</w:t>
      </w:r>
      <w:r>
        <w:rPr>
          <w:spacing w:val="-1"/>
        </w:rPr>
        <w:t xml:space="preserve"> </w:t>
      </w:r>
      <w:r>
        <w:t>(zanubrutinib</w:t>
      </w:r>
      <w:r>
        <w:rPr>
          <w:spacing w:val="-3"/>
        </w:rPr>
        <w:t xml:space="preserve"> </w:t>
      </w:r>
      <w:r>
        <w:t>vs</w:t>
      </w:r>
      <w:r>
        <w:rPr>
          <w:spacing w:val="-1"/>
        </w:rPr>
        <w:t xml:space="preserve"> </w:t>
      </w:r>
      <w:r>
        <w:t>B+R)</w:t>
      </w:r>
      <w:r>
        <w:rPr>
          <w:spacing w:val="-3"/>
        </w:rPr>
        <w:t xml:space="preserve"> </w:t>
      </w:r>
      <w:proofErr w:type="gramStart"/>
      <w:r>
        <w:t>were</w:t>
      </w:r>
      <w:proofErr w:type="gramEnd"/>
      <w:r>
        <w:t xml:space="preserve"> similar between the groups: del17p (0.8% vs 0.0%), unmutated IGHV (51.9% vs 50.8%),</w:t>
      </w:r>
    </w:p>
    <w:p w14:paraId="5360E017" w14:textId="77777777" w:rsidR="00F33CBB" w:rsidRDefault="00F33CBB" w:rsidP="007A3D9D">
      <w:pPr>
        <w:pStyle w:val="BodyText"/>
        <w:spacing w:before="2" w:line="257" w:lineRule="exact"/>
        <w:ind w:left="0"/>
      </w:pPr>
      <w:r>
        <w:t>del(11q)</w:t>
      </w:r>
      <w:r>
        <w:rPr>
          <w:spacing w:val="-7"/>
        </w:rPr>
        <w:t xml:space="preserve"> </w:t>
      </w:r>
      <w:r>
        <w:t>(17.8%</w:t>
      </w:r>
      <w:r>
        <w:rPr>
          <w:spacing w:val="-4"/>
        </w:rPr>
        <w:t xml:space="preserve"> </w:t>
      </w:r>
      <w:r>
        <w:t>vs</w:t>
      </w:r>
      <w:r>
        <w:rPr>
          <w:spacing w:val="-3"/>
        </w:rPr>
        <w:t xml:space="preserve"> </w:t>
      </w:r>
      <w:r>
        <w:t>19.3%),</w:t>
      </w:r>
      <w:r>
        <w:rPr>
          <w:spacing w:val="-4"/>
        </w:rPr>
        <w:t xml:space="preserve"> </w:t>
      </w:r>
      <w:r>
        <w:t>TP53</w:t>
      </w:r>
      <w:r>
        <w:rPr>
          <w:spacing w:val="-4"/>
        </w:rPr>
        <w:t xml:space="preserve"> </w:t>
      </w:r>
      <w:r>
        <w:t>mutations</w:t>
      </w:r>
      <w:r>
        <w:rPr>
          <w:spacing w:val="-4"/>
        </w:rPr>
        <w:t xml:space="preserve"> </w:t>
      </w:r>
      <w:r>
        <w:t>(6.2%</w:t>
      </w:r>
      <w:r>
        <w:rPr>
          <w:spacing w:val="-4"/>
        </w:rPr>
        <w:t xml:space="preserve"> </w:t>
      </w:r>
      <w:r>
        <w:t>vs</w:t>
      </w:r>
      <w:r>
        <w:rPr>
          <w:spacing w:val="-4"/>
        </w:rPr>
        <w:t xml:space="preserve"> </w:t>
      </w:r>
      <w:r>
        <w:t>5.5%),</w:t>
      </w:r>
      <w:r>
        <w:rPr>
          <w:spacing w:val="-4"/>
        </w:rPr>
        <w:t xml:space="preserve"> </w:t>
      </w:r>
      <w:r>
        <w:t>del(13q)</w:t>
      </w:r>
      <w:r>
        <w:rPr>
          <w:spacing w:val="-4"/>
        </w:rPr>
        <w:t xml:space="preserve"> </w:t>
      </w:r>
      <w:r>
        <w:t>(56.4%</w:t>
      </w:r>
      <w:r>
        <w:rPr>
          <w:spacing w:val="-4"/>
        </w:rPr>
        <w:t xml:space="preserve"> </w:t>
      </w:r>
      <w:r>
        <w:t>vs</w:t>
      </w:r>
      <w:r>
        <w:rPr>
          <w:spacing w:val="-4"/>
        </w:rPr>
        <w:t xml:space="preserve"> </w:t>
      </w:r>
      <w:r>
        <w:t>54.2%),</w:t>
      </w:r>
      <w:r>
        <w:rPr>
          <w:spacing w:val="-4"/>
        </w:rPr>
        <w:t xml:space="preserve"> </w:t>
      </w:r>
      <w:r>
        <w:rPr>
          <w:spacing w:val="-5"/>
        </w:rPr>
        <w:t>and</w:t>
      </w:r>
    </w:p>
    <w:p w14:paraId="4681BFE7" w14:textId="77777777" w:rsidR="00F33CBB" w:rsidRDefault="00F33CBB" w:rsidP="007A3D9D">
      <w:pPr>
        <w:pStyle w:val="BodyText"/>
        <w:spacing w:line="257" w:lineRule="exact"/>
        <w:ind w:left="0"/>
      </w:pPr>
      <w:r>
        <w:t>Trisomy</w:t>
      </w:r>
      <w:r>
        <w:rPr>
          <w:spacing w:val="-3"/>
        </w:rPr>
        <w:t xml:space="preserve"> </w:t>
      </w:r>
      <w:r>
        <w:t>12</w:t>
      </w:r>
      <w:r>
        <w:rPr>
          <w:spacing w:val="-3"/>
        </w:rPr>
        <w:t xml:space="preserve"> </w:t>
      </w:r>
      <w:r>
        <w:t>(18.7%</w:t>
      </w:r>
      <w:r>
        <w:rPr>
          <w:spacing w:val="-2"/>
        </w:rPr>
        <w:t xml:space="preserve"> </w:t>
      </w:r>
      <w:r>
        <w:t>vs</w:t>
      </w:r>
      <w:r>
        <w:rPr>
          <w:spacing w:val="-2"/>
        </w:rPr>
        <w:t xml:space="preserve"> 20.6%).</w:t>
      </w:r>
    </w:p>
    <w:p w14:paraId="7AABC9D2" w14:textId="77777777" w:rsidR="00F33CBB" w:rsidRDefault="00F33CBB" w:rsidP="007A3D9D">
      <w:pPr>
        <w:pStyle w:val="BodyText"/>
        <w:spacing w:before="121"/>
        <w:ind w:left="0" w:right="144"/>
      </w:pPr>
      <w:r w:rsidRPr="0024064C">
        <w:rPr>
          <w:b/>
          <w:bCs/>
          <w:i/>
        </w:rPr>
        <w:t>Cohort 2</w:t>
      </w:r>
      <w:r>
        <w:rPr>
          <w:i/>
        </w:rPr>
        <w:t xml:space="preserve">: </w:t>
      </w:r>
      <w:r>
        <w:t>110 patients were enrolled.</w:t>
      </w:r>
      <w:r>
        <w:rPr>
          <w:spacing w:val="40"/>
        </w:rPr>
        <w:t xml:space="preserve"> </w:t>
      </w:r>
      <w:r>
        <w:t>Median age was 70 years with 14.4% aged &lt;65 years, 90.1%</w:t>
      </w:r>
      <w:r>
        <w:rPr>
          <w:spacing w:val="-4"/>
        </w:rPr>
        <w:t xml:space="preserve"> </w:t>
      </w:r>
      <w:r>
        <w:t>of</w:t>
      </w:r>
      <w:r>
        <w:rPr>
          <w:spacing w:val="-2"/>
        </w:rPr>
        <w:t xml:space="preserve"> </w:t>
      </w:r>
      <w:r>
        <w:t>patients</w:t>
      </w:r>
      <w:r>
        <w:rPr>
          <w:spacing w:val="-1"/>
        </w:rPr>
        <w:t xml:space="preserve"> </w:t>
      </w:r>
      <w:r>
        <w:t>had</w:t>
      </w:r>
      <w:r>
        <w:rPr>
          <w:spacing w:val="-2"/>
        </w:rPr>
        <w:t xml:space="preserve"> </w:t>
      </w:r>
      <w:r>
        <w:t>CLL</w:t>
      </w:r>
      <w:r>
        <w:rPr>
          <w:spacing w:val="-3"/>
        </w:rPr>
        <w:t xml:space="preserve"> </w:t>
      </w:r>
      <w:r>
        <w:t>and</w:t>
      </w:r>
      <w:r>
        <w:rPr>
          <w:spacing w:val="-3"/>
        </w:rPr>
        <w:t xml:space="preserve"> </w:t>
      </w:r>
      <w:r>
        <w:t>9.9%</w:t>
      </w:r>
      <w:r>
        <w:rPr>
          <w:spacing w:val="-2"/>
        </w:rPr>
        <w:t xml:space="preserve"> </w:t>
      </w:r>
      <w:r>
        <w:t>SLL.</w:t>
      </w:r>
      <w:r>
        <w:rPr>
          <w:spacing w:val="-2"/>
        </w:rPr>
        <w:t xml:space="preserve"> </w:t>
      </w:r>
      <w:r>
        <w:t>The</w:t>
      </w:r>
      <w:r>
        <w:rPr>
          <w:spacing w:val="-5"/>
        </w:rPr>
        <w:t xml:space="preserve"> </w:t>
      </w:r>
      <w:r>
        <w:t>median</w:t>
      </w:r>
      <w:r>
        <w:rPr>
          <w:spacing w:val="-3"/>
        </w:rPr>
        <w:t xml:space="preserve"> </w:t>
      </w:r>
      <w:r>
        <w:t>time</w:t>
      </w:r>
      <w:r>
        <w:rPr>
          <w:spacing w:val="-2"/>
        </w:rPr>
        <w:t xml:space="preserve"> </w:t>
      </w:r>
      <w:r>
        <w:t>from</w:t>
      </w:r>
      <w:r>
        <w:rPr>
          <w:spacing w:val="-1"/>
        </w:rPr>
        <w:t xml:space="preserve"> </w:t>
      </w:r>
      <w:r>
        <w:t>diagnosis</w:t>
      </w:r>
      <w:r>
        <w:rPr>
          <w:spacing w:val="-1"/>
        </w:rPr>
        <w:t xml:space="preserve"> </w:t>
      </w:r>
      <w:r>
        <w:t>of</w:t>
      </w:r>
      <w:r>
        <w:rPr>
          <w:spacing w:val="-5"/>
        </w:rPr>
        <w:t xml:space="preserve"> </w:t>
      </w:r>
      <w:r>
        <w:t>CLL/SLL</w:t>
      </w:r>
      <w:r>
        <w:rPr>
          <w:spacing w:val="-3"/>
        </w:rPr>
        <w:t xml:space="preserve"> </w:t>
      </w:r>
      <w:r>
        <w:t>was</w:t>
      </w:r>
      <w:r>
        <w:rPr>
          <w:spacing w:val="-1"/>
        </w:rPr>
        <w:t xml:space="preserve"> </w:t>
      </w:r>
      <w:r>
        <w:t>21.4 months, most CLL cases were stage B (49.0%) or stage C (37.0%). One patient did not have del17p and was not included in the efficacy analysis. Unmutated IGHV rate was 60.4%.</w:t>
      </w:r>
    </w:p>
    <w:p w14:paraId="2B6A7361" w14:textId="6463764D" w:rsidR="00F33CBB" w:rsidRDefault="00F33CBB" w:rsidP="007A3D9D">
      <w:pPr>
        <w:pStyle w:val="BodyText"/>
        <w:spacing w:before="120"/>
        <w:ind w:left="0" w:right="144"/>
      </w:pPr>
      <w:r>
        <w:t>The median study follow-up times for patients in Cohort 1 assigned to zanubrutinib and B+R were 26.35 months and 25.92 months, respectively (from clinical summary module 2.7.3). The median</w:t>
      </w:r>
      <w:r>
        <w:rPr>
          <w:spacing w:val="-3"/>
        </w:rPr>
        <w:t xml:space="preserve"> </w:t>
      </w:r>
      <w:r>
        <w:t>study</w:t>
      </w:r>
      <w:r>
        <w:rPr>
          <w:spacing w:val="-3"/>
        </w:rPr>
        <w:t xml:space="preserve"> </w:t>
      </w:r>
      <w:r>
        <w:t>follow-up</w:t>
      </w:r>
      <w:r>
        <w:rPr>
          <w:spacing w:val="-2"/>
        </w:rPr>
        <w:t xml:space="preserve"> </w:t>
      </w:r>
      <w:r>
        <w:t>time</w:t>
      </w:r>
      <w:r>
        <w:rPr>
          <w:spacing w:val="-2"/>
        </w:rPr>
        <w:t xml:space="preserve"> </w:t>
      </w:r>
      <w:r>
        <w:t>for</w:t>
      </w:r>
      <w:r>
        <w:rPr>
          <w:spacing w:val="-2"/>
        </w:rPr>
        <w:t xml:space="preserve"> </w:t>
      </w:r>
      <w:r>
        <w:t>patients</w:t>
      </w:r>
      <w:r>
        <w:rPr>
          <w:spacing w:val="-1"/>
        </w:rPr>
        <w:t xml:space="preserve"> </w:t>
      </w:r>
      <w:r>
        <w:t>assigned</w:t>
      </w:r>
      <w:r>
        <w:rPr>
          <w:spacing w:val="-3"/>
        </w:rPr>
        <w:t xml:space="preserve"> </w:t>
      </w:r>
      <w:r>
        <w:t>to</w:t>
      </w:r>
      <w:r>
        <w:rPr>
          <w:spacing w:val="-2"/>
        </w:rPr>
        <w:t xml:space="preserve"> </w:t>
      </w:r>
      <w:r>
        <w:t>zanubrutinib</w:t>
      </w:r>
      <w:r>
        <w:rPr>
          <w:spacing w:val="-2"/>
        </w:rPr>
        <w:t xml:space="preserve"> </w:t>
      </w:r>
      <w:r>
        <w:t>in</w:t>
      </w:r>
      <w:r>
        <w:rPr>
          <w:spacing w:val="-3"/>
        </w:rPr>
        <w:t xml:space="preserve"> </w:t>
      </w:r>
      <w:r>
        <w:t>Cohort</w:t>
      </w:r>
      <w:r>
        <w:rPr>
          <w:spacing w:val="-4"/>
        </w:rPr>
        <w:t xml:space="preserve"> </w:t>
      </w:r>
      <w:r>
        <w:t>2</w:t>
      </w:r>
      <w:r>
        <w:rPr>
          <w:spacing w:val="-2"/>
        </w:rPr>
        <w:t xml:space="preserve"> </w:t>
      </w:r>
      <w:r>
        <w:t>(Arm</w:t>
      </w:r>
      <w:r>
        <w:rPr>
          <w:spacing w:val="-2"/>
        </w:rPr>
        <w:t xml:space="preserve"> </w:t>
      </w:r>
      <w:r>
        <w:t>C)</w:t>
      </w:r>
      <w:r>
        <w:rPr>
          <w:spacing w:val="-3"/>
        </w:rPr>
        <w:t xml:space="preserve"> </w:t>
      </w:r>
      <w:r>
        <w:t>as</w:t>
      </w:r>
      <w:r>
        <w:rPr>
          <w:spacing w:val="-1"/>
        </w:rPr>
        <w:t xml:space="preserve"> </w:t>
      </w:r>
      <w:r>
        <w:t xml:space="preserve">30.52 months. PFS and ORR assessments by IRC for Cohorts 1 and 2 are shown in </w:t>
      </w:r>
      <w:r w:rsidR="007A3D9D">
        <w:t>Table 4</w:t>
      </w:r>
      <w:r>
        <w:t>.</w:t>
      </w:r>
    </w:p>
    <w:p w14:paraId="75E0042E" w14:textId="0C001044" w:rsidR="0089511A" w:rsidRDefault="0089511A" w:rsidP="0089511A">
      <w:pPr>
        <w:pStyle w:val="TableTitle"/>
      </w:pPr>
      <w:r w:rsidRPr="0089511A">
        <w:t xml:space="preserve">Table </w:t>
      </w:r>
      <w:r>
        <w:t>4</w:t>
      </w:r>
      <w:r w:rsidRPr="0089511A">
        <w:t>: PFS by IRC for Cohort 1 (Arm A and B) and Cohort 2 (ARM C) Study 304</w:t>
      </w:r>
    </w:p>
    <w:p w14:paraId="1E812644" w14:textId="6B236BBD" w:rsidR="00CE210F" w:rsidRDefault="007A3D9D" w:rsidP="007A3D9D">
      <w:pPr>
        <w:tabs>
          <w:tab w:val="left" w:pos="5760"/>
        </w:tabs>
      </w:pPr>
      <w:r>
        <w:rPr>
          <w:noProof/>
        </w:rPr>
        <w:drawing>
          <wp:inline distT="0" distB="0" distL="0" distR="0" wp14:anchorId="0D2C768C" wp14:editId="7A74BE88">
            <wp:extent cx="4770783" cy="5498161"/>
            <wp:effectExtent l="0" t="0" r="0" b="762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2" cstate="print">
                      <a:extLst>
                        <a:ext uri="{28A0092B-C50C-407E-A947-70E740481C1C}">
                          <a14:useLocalDpi xmlns:a14="http://schemas.microsoft.com/office/drawing/2010/main" val="0"/>
                        </a:ext>
                      </a:extLst>
                    </a:blip>
                    <a:srcRect b="5136"/>
                    <a:stretch/>
                  </pic:blipFill>
                  <pic:spPr bwMode="auto">
                    <a:xfrm>
                      <a:off x="0" y="0"/>
                      <a:ext cx="4794831" cy="55258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6343BD" wp14:editId="25B68047">
            <wp:extent cx="4884420" cy="186690"/>
            <wp:effectExtent l="0" t="0" r="0" b="3810"/>
            <wp:docPr id="288986724" name="Image 15" descr="A table of information with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86724" name="Image 15" descr="A table of information with text&#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t="96504"/>
                    <a:stretch/>
                  </pic:blipFill>
                  <pic:spPr bwMode="auto">
                    <a:xfrm>
                      <a:off x="0" y="0"/>
                      <a:ext cx="4885177" cy="186719"/>
                    </a:xfrm>
                    <a:prstGeom prst="rect">
                      <a:avLst/>
                    </a:prstGeom>
                    <a:ln>
                      <a:noFill/>
                    </a:ln>
                    <a:extLst>
                      <a:ext uri="{53640926-AAD7-44D8-BBD7-CCE9431645EC}">
                        <a14:shadowObscured xmlns:a14="http://schemas.microsoft.com/office/drawing/2010/main"/>
                      </a:ext>
                    </a:extLst>
                  </pic:spPr>
                </pic:pic>
              </a:graphicData>
            </a:graphic>
          </wp:inline>
        </w:drawing>
      </w:r>
    </w:p>
    <w:p w14:paraId="5C0E43D9" w14:textId="33E8B344" w:rsidR="0089511A" w:rsidRDefault="0089511A" w:rsidP="0089511A">
      <w:pPr>
        <w:tabs>
          <w:tab w:val="left" w:pos="5760"/>
        </w:tabs>
      </w:pPr>
      <w:r>
        <w:t xml:space="preserve">A </w:t>
      </w:r>
      <w:r w:rsidR="00EE0EB4">
        <w:t>f</w:t>
      </w:r>
      <w:r>
        <w:t>orest plot of PFS by subgroup for Cohort 1 (Arms 1 and 2) shows higher PFS rates by IRC for zanubrutinib in each of the subgroups (data not shown). The HR statistics presented in that plot are descriptive.</w:t>
      </w:r>
    </w:p>
    <w:p w14:paraId="6106FD1D" w14:textId="7A8365D3" w:rsidR="0089511A" w:rsidRDefault="0089511A" w:rsidP="0089511A">
      <w:pPr>
        <w:tabs>
          <w:tab w:val="left" w:pos="5760"/>
        </w:tabs>
      </w:pPr>
      <w:r>
        <w:t xml:space="preserve">Results for ORR by IRC in Cohorts 1 and 2 are shown in Table 5. As of the data cutoff date of 7 May 2021 there were 228 responders in the zanubrutinib arm and 203 responders in the B+R arm. Of the 27 responders with reported events in the zanubrutinib arm, 21 patients had progressive </w:t>
      </w:r>
      <w:proofErr w:type="gramStart"/>
      <w:r>
        <w:t>disease</w:t>
      </w:r>
      <w:proofErr w:type="gramEnd"/>
      <w:r>
        <w:t xml:space="preserve"> and 6 patients died; of the 58 responders with reported events in the B+R arm 53 patients had progressive disease and 5 patients died. Median follow-up time was 22.1 months in both arms. The estimated 18-month event-free rate was 91.7% in the zanubrutinib arm and 81.3% in the B+R arm. The 24-month event-free rate was 87.5% in the zanubrutinib arm and 70.3% in the B+R arm.</w:t>
      </w:r>
    </w:p>
    <w:p w14:paraId="0BC646B0" w14:textId="2233729E" w:rsidR="0089511A" w:rsidRDefault="0089511A" w:rsidP="0089511A">
      <w:pPr>
        <w:pStyle w:val="TableTitle"/>
      </w:pPr>
      <w:r w:rsidRPr="0089511A">
        <w:t xml:space="preserve">Table </w:t>
      </w:r>
      <w:r>
        <w:t>5.</w:t>
      </w:r>
      <w:r w:rsidRPr="0089511A">
        <w:t xml:space="preserve"> Analysis of Disease Response by ICR in Cohorts 1 and 2 (ITT Analysis Set [Cohort 1] and Safety Analysis Set with Central Lab del17p Patients [Cohort 2]). Study 304</w:t>
      </w:r>
    </w:p>
    <w:p w14:paraId="4531AA29" w14:textId="2D82661B" w:rsidR="0089511A" w:rsidRPr="0089511A" w:rsidRDefault="0089511A" w:rsidP="008E0E85">
      <w:r>
        <w:rPr>
          <w:noProof/>
        </w:rPr>
        <w:drawing>
          <wp:inline distT="0" distB="0" distL="0" distR="0" wp14:anchorId="260C2C98" wp14:editId="7796F07A">
            <wp:extent cx="5375082" cy="5812404"/>
            <wp:effectExtent l="0" t="0" r="0" b="0"/>
            <wp:docPr id="34633732" name="Image 16" descr="A table of information with numbers and symbol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33732" name="Image 16" descr="A table of information with numbers and symbols&#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b="12774"/>
                    <a:stretch/>
                  </pic:blipFill>
                  <pic:spPr bwMode="auto">
                    <a:xfrm>
                      <a:off x="0" y="0"/>
                      <a:ext cx="5402282" cy="58418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63B392" wp14:editId="2CEC98BE">
            <wp:extent cx="4644390" cy="619125"/>
            <wp:effectExtent l="0" t="0" r="3810" b="952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3" cstate="print">
                      <a:extLst>
                        <a:ext uri="{28A0092B-C50C-407E-A947-70E740481C1C}">
                          <a14:useLocalDpi xmlns:a14="http://schemas.microsoft.com/office/drawing/2010/main" val="0"/>
                        </a:ext>
                      </a:extLst>
                    </a:blip>
                    <a:srcRect t="88800"/>
                    <a:stretch/>
                  </pic:blipFill>
                  <pic:spPr bwMode="auto">
                    <a:xfrm>
                      <a:off x="0" y="0"/>
                      <a:ext cx="4644390" cy="619125"/>
                    </a:xfrm>
                    <a:prstGeom prst="rect">
                      <a:avLst/>
                    </a:prstGeom>
                    <a:ln>
                      <a:noFill/>
                    </a:ln>
                    <a:extLst>
                      <a:ext uri="{53640926-AAD7-44D8-BBD7-CCE9431645EC}">
                        <a14:shadowObscured xmlns:a14="http://schemas.microsoft.com/office/drawing/2010/main"/>
                      </a:ext>
                    </a:extLst>
                  </pic:spPr>
                </pic:pic>
              </a:graphicData>
            </a:graphic>
          </wp:inline>
        </w:drawing>
      </w:r>
    </w:p>
    <w:p w14:paraId="4AAAE256" w14:textId="77777777" w:rsidR="0089511A" w:rsidRDefault="0089511A" w:rsidP="008E0E85">
      <w:pPr>
        <w:pStyle w:val="BodyText"/>
        <w:spacing w:before="110"/>
        <w:ind w:left="0" w:right="144"/>
      </w:pPr>
      <w:bookmarkStart w:id="22" w:name="_Toc247691531"/>
      <w:bookmarkStart w:id="23" w:name="_Toc314842515"/>
      <w:bookmarkEnd w:id="21"/>
      <w:r>
        <w:t>The</w:t>
      </w:r>
      <w:r>
        <w:rPr>
          <w:spacing w:val="-5"/>
        </w:rPr>
        <w:t xml:space="preserve"> </w:t>
      </w:r>
      <w:r>
        <w:t>overall</w:t>
      </w:r>
      <w:r>
        <w:rPr>
          <w:spacing w:val="-5"/>
        </w:rPr>
        <w:t xml:space="preserve"> </w:t>
      </w:r>
      <w:r>
        <w:t>survival</w:t>
      </w:r>
      <w:r>
        <w:rPr>
          <w:spacing w:val="-2"/>
        </w:rPr>
        <w:t xml:space="preserve"> </w:t>
      </w:r>
      <w:r>
        <w:t>was</w:t>
      </w:r>
      <w:r>
        <w:rPr>
          <w:spacing w:val="-4"/>
        </w:rPr>
        <w:t xml:space="preserve"> </w:t>
      </w:r>
      <w:r>
        <w:t>similar</w:t>
      </w:r>
      <w:r>
        <w:rPr>
          <w:spacing w:val="-2"/>
        </w:rPr>
        <w:t xml:space="preserve"> </w:t>
      </w:r>
      <w:r>
        <w:t>between</w:t>
      </w:r>
      <w:r>
        <w:rPr>
          <w:spacing w:val="-3"/>
        </w:rPr>
        <w:t xml:space="preserve"> </w:t>
      </w:r>
      <w:r>
        <w:t>groups</w:t>
      </w:r>
      <w:r>
        <w:rPr>
          <w:spacing w:val="-1"/>
        </w:rPr>
        <w:t xml:space="preserve"> </w:t>
      </w:r>
      <w:r>
        <w:t>(94%</w:t>
      </w:r>
      <w:r>
        <w:rPr>
          <w:spacing w:val="-2"/>
        </w:rPr>
        <w:t xml:space="preserve"> </w:t>
      </w:r>
      <w:r>
        <w:t>at</w:t>
      </w:r>
      <w:r>
        <w:rPr>
          <w:spacing w:val="-3"/>
        </w:rPr>
        <w:t xml:space="preserve"> </w:t>
      </w:r>
      <w:r>
        <w:t>24</w:t>
      </w:r>
      <w:r>
        <w:rPr>
          <w:spacing w:val="-5"/>
        </w:rPr>
        <w:t xml:space="preserve"> </w:t>
      </w:r>
      <w:r>
        <w:t>months),</w:t>
      </w:r>
      <w:r>
        <w:rPr>
          <w:spacing w:val="-2"/>
        </w:rPr>
        <w:t xml:space="preserve"> </w:t>
      </w:r>
      <w:r>
        <w:t>however</w:t>
      </w:r>
      <w:r>
        <w:rPr>
          <w:spacing w:val="-2"/>
        </w:rPr>
        <w:t xml:space="preserve"> </w:t>
      </w:r>
      <w:r>
        <w:t>the</w:t>
      </w:r>
      <w:r>
        <w:rPr>
          <w:spacing w:val="-2"/>
        </w:rPr>
        <w:t xml:space="preserve"> </w:t>
      </w:r>
      <w:r>
        <w:t>study</w:t>
      </w:r>
      <w:r>
        <w:rPr>
          <w:spacing w:val="-3"/>
        </w:rPr>
        <w:t xml:space="preserve"> </w:t>
      </w:r>
      <w:r>
        <w:t xml:space="preserve">was not powered or designed for OS assessment and most patients were alive at the data cut off </w:t>
      </w:r>
      <w:r>
        <w:rPr>
          <w:spacing w:val="-2"/>
        </w:rPr>
        <w:t>point.</w:t>
      </w:r>
    </w:p>
    <w:p w14:paraId="18B9EA44" w14:textId="585B90CB" w:rsidR="0089511A" w:rsidRDefault="0089511A" w:rsidP="008E0E85">
      <w:pPr>
        <w:pStyle w:val="BodyText"/>
        <w:spacing w:before="121"/>
        <w:ind w:left="0" w:right="402"/>
        <w:jc w:val="both"/>
      </w:pPr>
      <w:r>
        <w:t xml:space="preserve">In the uncontrolled </w:t>
      </w:r>
      <w:r w:rsidR="00AD25C7">
        <w:t>high-risk</w:t>
      </w:r>
      <w:r>
        <w:rPr>
          <w:spacing w:val="-1"/>
        </w:rPr>
        <w:t xml:space="preserve"> </w:t>
      </w:r>
      <w:r>
        <w:t>group</w:t>
      </w:r>
      <w:r>
        <w:rPr>
          <w:spacing w:val="-1"/>
        </w:rPr>
        <w:t xml:space="preserve"> </w:t>
      </w:r>
      <w:r>
        <w:t xml:space="preserve">of </w:t>
      </w:r>
      <w:proofErr w:type="gramStart"/>
      <w:r>
        <w:t>del</w:t>
      </w:r>
      <w:proofErr w:type="gramEnd"/>
      <w:r>
        <w:t>(17p) patients in Cohort 2, results were concordant with</w:t>
      </w:r>
      <w:r>
        <w:rPr>
          <w:spacing w:val="-2"/>
        </w:rPr>
        <w:t xml:space="preserve"> </w:t>
      </w:r>
      <w:r>
        <w:t>the</w:t>
      </w:r>
      <w:r>
        <w:rPr>
          <w:spacing w:val="-5"/>
        </w:rPr>
        <w:t xml:space="preserve"> </w:t>
      </w:r>
      <w:r>
        <w:t>unmutated</w:t>
      </w:r>
      <w:r>
        <w:rPr>
          <w:spacing w:val="-2"/>
        </w:rPr>
        <w:t xml:space="preserve"> </w:t>
      </w:r>
      <w:r>
        <w:t>del17p</w:t>
      </w:r>
      <w:r>
        <w:rPr>
          <w:spacing w:val="-3"/>
        </w:rPr>
        <w:t xml:space="preserve"> </w:t>
      </w:r>
      <w:r>
        <w:t>patients</w:t>
      </w:r>
      <w:r>
        <w:rPr>
          <w:spacing w:val="-1"/>
        </w:rPr>
        <w:t xml:space="preserve"> </w:t>
      </w:r>
      <w:r>
        <w:t>of</w:t>
      </w:r>
      <w:r>
        <w:rPr>
          <w:spacing w:val="-2"/>
        </w:rPr>
        <w:t xml:space="preserve"> </w:t>
      </w:r>
      <w:r>
        <w:t>Cohort</w:t>
      </w:r>
      <w:r>
        <w:rPr>
          <w:spacing w:val="-4"/>
        </w:rPr>
        <w:t xml:space="preserve"> </w:t>
      </w:r>
      <w:r>
        <w:t>1,</w:t>
      </w:r>
      <w:r>
        <w:rPr>
          <w:spacing w:val="-2"/>
        </w:rPr>
        <w:t xml:space="preserve"> </w:t>
      </w:r>
      <w:r>
        <w:t>and</w:t>
      </w:r>
      <w:r>
        <w:rPr>
          <w:spacing w:val="-3"/>
        </w:rPr>
        <w:t xml:space="preserve"> </w:t>
      </w:r>
      <w:r>
        <w:t>the</w:t>
      </w:r>
      <w:r>
        <w:rPr>
          <w:spacing w:val="-2"/>
        </w:rPr>
        <w:t xml:space="preserve"> </w:t>
      </w:r>
      <w:r>
        <w:t>IRC-assessed</w:t>
      </w:r>
      <w:r>
        <w:rPr>
          <w:spacing w:val="-2"/>
        </w:rPr>
        <w:t xml:space="preserve"> </w:t>
      </w:r>
      <w:r>
        <w:t>ORR</w:t>
      </w:r>
      <w:r>
        <w:rPr>
          <w:spacing w:val="-3"/>
        </w:rPr>
        <w:t xml:space="preserve"> </w:t>
      </w:r>
      <w:r>
        <w:t>was</w:t>
      </w:r>
      <w:r>
        <w:rPr>
          <w:spacing w:val="-1"/>
        </w:rPr>
        <w:t xml:space="preserve"> </w:t>
      </w:r>
      <w:r>
        <w:t>90.0%</w:t>
      </w:r>
      <w:r>
        <w:rPr>
          <w:spacing w:val="-2"/>
        </w:rPr>
        <w:t xml:space="preserve"> </w:t>
      </w:r>
      <w:r>
        <w:t>after</w:t>
      </w:r>
      <w:r>
        <w:rPr>
          <w:spacing w:val="-2"/>
        </w:rPr>
        <w:t xml:space="preserve"> </w:t>
      </w:r>
      <w:r>
        <w:t>a medium 27.9 months follow up.</w:t>
      </w:r>
    </w:p>
    <w:p w14:paraId="2F5CF132" w14:textId="77777777" w:rsidR="0089511A" w:rsidRDefault="0089511A" w:rsidP="008E0E85">
      <w:pPr>
        <w:pStyle w:val="BodyText"/>
        <w:spacing w:before="119"/>
        <w:ind w:left="0" w:right="144"/>
      </w:pPr>
      <w:r>
        <w:t>The</w:t>
      </w:r>
      <w:r>
        <w:rPr>
          <w:spacing w:val="-3"/>
        </w:rPr>
        <w:t xml:space="preserve"> </w:t>
      </w:r>
      <w:r>
        <w:t>Patient-reported</w:t>
      </w:r>
      <w:r>
        <w:rPr>
          <w:spacing w:val="-3"/>
        </w:rPr>
        <w:t xml:space="preserve"> </w:t>
      </w:r>
      <w:r>
        <w:t>Outcomes</w:t>
      </w:r>
      <w:r>
        <w:rPr>
          <w:spacing w:val="-2"/>
        </w:rPr>
        <w:t xml:space="preserve"> </w:t>
      </w:r>
      <w:r>
        <w:t>(PRO)</w:t>
      </w:r>
      <w:r>
        <w:rPr>
          <w:spacing w:val="-4"/>
        </w:rPr>
        <w:t xml:space="preserve"> </w:t>
      </w:r>
      <w:r>
        <w:t>key</w:t>
      </w:r>
      <w:r>
        <w:rPr>
          <w:spacing w:val="-4"/>
        </w:rPr>
        <w:t xml:space="preserve"> </w:t>
      </w:r>
      <w:r>
        <w:t>endpoints</w:t>
      </w:r>
      <w:r>
        <w:rPr>
          <w:spacing w:val="-3"/>
        </w:rPr>
        <w:t xml:space="preserve"> </w:t>
      </w:r>
      <w:r>
        <w:t>include</w:t>
      </w:r>
      <w:r>
        <w:rPr>
          <w:spacing w:val="-3"/>
        </w:rPr>
        <w:t xml:space="preserve"> </w:t>
      </w:r>
      <w:r>
        <w:t>Global</w:t>
      </w:r>
      <w:r>
        <w:rPr>
          <w:spacing w:val="-3"/>
        </w:rPr>
        <w:t xml:space="preserve"> </w:t>
      </w:r>
      <w:r>
        <w:t>Health</w:t>
      </w:r>
      <w:r>
        <w:rPr>
          <w:spacing w:val="-3"/>
        </w:rPr>
        <w:t xml:space="preserve"> </w:t>
      </w:r>
      <w:r>
        <w:t>Status/</w:t>
      </w:r>
      <w:r>
        <w:rPr>
          <w:spacing w:val="-4"/>
        </w:rPr>
        <w:t xml:space="preserve"> </w:t>
      </w:r>
      <w:r>
        <w:t>Quality</w:t>
      </w:r>
      <w:r>
        <w:rPr>
          <w:spacing w:val="-4"/>
        </w:rPr>
        <w:t xml:space="preserve"> </w:t>
      </w:r>
      <w:r>
        <w:t>of Life (GHS/QoL), physical function, role function, pain, fatigue, nausea and vomiting, and diarrhoea. In</w:t>
      </w:r>
      <w:r>
        <w:rPr>
          <w:spacing w:val="-1"/>
        </w:rPr>
        <w:t xml:space="preserve"> </w:t>
      </w:r>
      <w:r>
        <w:t>Cohort</w:t>
      </w:r>
      <w:r>
        <w:rPr>
          <w:spacing w:val="-2"/>
        </w:rPr>
        <w:t xml:space="preserve"> </w:t>
      </w:r>
      <w:r>
        <w:t>1 the</w:t>
      </w:r>
      <w:r>
        <w:rPr>
          <w:spacing w:val="-2"/>
        </w:rPr>
        <w:t xml:space="preserve"> </w:t>
      </w:r>
      <w:r>
        <w:t>zanubrutinib</w:t>
      </w:r>
      <w:r>
        <w:rPr>
          <w:spacing w:val="-1"/>
        </w:rPr>
        <w:t xml:space="preserve"> </w:t>
      </w:r>
      <w:r>
        <w:t>arm</w:t>
      </w:r>
      <w:r>
        <w:rPr>
          <w:spacing w:val="-3"/>
        </w:rPr>
        <w:t xml:space="preserve"> </w:t>
      </w:r>
      <w:r>
        <w:t>had</w:t>
      </w:r>
      <w:r>
        <w:rPr>
          <w:spacing w:val="-1"/>
        </w:rPr>
        <w:t xml:space="preserve"> </w:t>
      </w:r>
      <w:r>
        <w:t>a better</w:t>
      </w:r>
      <w:r>
        <w:rPr>
          <w:spacing w:val="-1"/>
        </w:rPr>
        <w:t xml:space="preserve"> </w:t>
      </w:r>
      <w:r>
        <w:t>overall</w:t>
      </w:r>
      <w:r>
        <w:rPr>
          <w:spacing w:val="-3"/>
        </w:rPr>
        <w:t xml:space="preserve"> </w:t>
      </w:r>
      <w:r>
        <w:t>outcome compared</w:t>
      </w:r>
      <w:r>
        <w:rPr>
          <w:spacing w:val="-1"/>
        </w:rPr>
        <w:t xml:space="preserve"> </w:t>
      </w:r>
      <w:r>
        <w:t>with the B+R</w:t>
      </w:r>
      <w:r>
        <w:rPr>
          <w:spacing w:val="-2"/>
        </w:rPr>
        <w:t xml:space="preserve"> </w:t>
      </w:r>
      <w:r>
        <w:t>arm</w:t>
      </w:r>
      <w:r>
        <w:rPr>
          <w:spacing w:val="-1"/>
        </w:rPr>
        <w:t xml:space="preserve"> </w:t>
      </w:r>
      <w:r>
        <w:t>as indicated</w:t>
      </w:r>
      <w:r>
        <w:rPr>
          <w:spacing w:val="-1"/>
        </w:rPr>
        <w:t xml:space="preserve"> </w:t>
      </w:r>
      <w:r>
        <w:t>in</w:t>
      </w:r>
      <w:r>
        <w:rPr>
          <w:spacing w:val="-2"/>
        </w:rPr>
        <w:t xml:space="preserve"> </w:t>
      </w:r>
      <w:r>
        <w:t>the</w:t>
      </w:r>
      <w:r>
        <w:rPr>
          <w:spacing w:val="-1"/>
        </w:rPr>
        <w:t xml:space="preserve"> </w:t>
      </w:r>
      <w:r>
        <w:t>mean</w:t>
      </w:r>
      <w:r>
        <w:rPr>
          <w:spacing w:val="-2"/>
        </w:rPr>
        <w:t xml:space="preserve"> </w:t>
      </w:r>
      <w:r>
        <w:t>changes from baseline</w:t>
      </w:r>
      <w:r>
        <w:rPr>
          <w:spacing w:val="-1"/>
        </w:rPr>
        <w:t xml:space="preserve"> </w:t>
      </w:r>
      <w:r>
        <w:t>(standard</w:t>
      </w:r>
      <w:r>
        <w:rPr>
          <w:spacing w:val="-2"/>
        </w:rPr>
        <w:t xml:space="preserve"> </w:t>
      </w:r>
      <w:r>
        <w:t>deviation)</w:t>
      </w:r>
      <w:r>
        <w:rPr>
          <w:spacing w:val="-2"/>
        </w:rPr>
        <w:t xml:space="preserve"> </w:t>
      </w:r>
      <w:r>
        <w:t>of</w:t>
      </w:r>
      <w:r>
        <w:rPr>
          <w:spacing w:val="-1"/>
        </w:rPr>
        <w:t xml:space="preserve"> </w:t>
      </w:r>
      <w:r>
        <w:t>the</w:t>
      </w:r>
      <w:r>
        <w:rPr>
          <w:spacing w:val="-1"/>
        </w:rPr>
        <w:t xml:space="preserve"> </w:t>
      </w:r>
      <w:r>
        <w:t>PRO</w:t>
      </w:r>
      <w:r>
        <w:rPr>
          <w:spacing w:val="-2"/>
        </w:rPr>
        <w:t xml:space="preserve"> </w:t>
      </w:r>
      <w:r>
        <w:t>key endpoints of GHS, physical and role functions scales and decreased symptoms of fatigue and nausea/vomiting and diarrhoea.</w:t>
      </w:r>
    </w:p>
    <w:p w14:paraId="10760AEC" w14:textId="77777777" w:rsidR="0089511A" w:rsidRDefault="0089511A" w:rsidP="0024064C">
      <w:pPr>
        <w:pStyle w:val="Heading5"/>
      </w:pPr>
      <w:r>
        <w:t>Study</w:t>
      </w:r>
      <w:r>
        <w:rPr>
          <w:spacing w:val="-3"/>
        </w:rPr>
        <w:t xml:space="preserve"> </w:t>
      </w:r>
      <w:r>
        <w:t>305</w:t>
      </w:r>
      <w:r>
        <w:rPr>
          <w:spacing w:val="-2"/>
        </w:rPr>
        <w:t xml:space="preserve"> (ALPINE)</w:t>
      </w:r>
    </w:p>
    <w:p w14:paraId="1B8DB84F" w14:textId="5CE90ADA" w:rsidR="0089511A" w:rsidRDefault="0089511A" w:rsidP="0089511A">
      <w:pPr>
        <w:pStyle w:val="BodyText"/>
        <w:spacing w:before="122"/>
        <w:ind w:left="0" w:right="183"/>
      </w:pPr>
      <w:r>
        <w:t xml:space="preserve">This is an ongoing phase 3, randomised study of zanubrutinib compared with ibrutinib in patients with relapsed/refractory (RR) CLL or SLL. The study was conducted at 117 study </w:t>
      </w:r>
      <w:proofErr w:type="spellStart"/>
      <w:r>
        <w:t>centres</w:t>
      </w:r>
      <w:proofErr w:type="spellEnd"/>
      <w:r>
        <w:rPr>
          <w:spacing w:val="-2"/>
        </w:rPr>
        <w:t xml:space="preserve"> </w:t>
      </w:r>
      <w:r>
        <w:t>in</w:t>
      </w:r>
      <w:r>
        <w:rPr>
          <w:spacing w:val="-3"/>
        </w:rPr>
        <w:t xml:space="preserve"> </w:t>
      </w:r>
      <w:r>
        <w:t>15</w:t>
      </w:r>
      <w:r>
        <w:rPr>
          <w:spacing w:val="-5"/>
        </w:rPr>
        <w:t xml:space="preserve"> </w:t>
      </w:r>
      <w:r>
        <w:t>countries</w:t>
      </w:r>
      <w:r>
        <w:rPr>
          <w:spacing w:val="-2"/>
        </w:rPr>
        <w:t xml:space="preserve"> </w:t>
      </w:r>
      <w:r>
        <w:t>including</w:t>
      </w:r>
      <w:r>
        <w:rPr>
          <w:spacing w:val="-2"/>
        </w:rPr>
        <w:t xml:space="preserve"> </w:t>
      </w:r>
      <w:r>
        <w:t>Australia.</w:t>
      </w:r>
      <w:r>
        <w:rPr>
          <w:spacing w:val="-2"/>
        </w:rPr>
        <w:t xml:space="preserve"> </w:t>
      </w:r>
      <w:r>
        <w:t>It</w:t>
      </w:r>
      <w:r>
        <w:rPr>
          <w:spacing w:val="-5"/>
        </w:rPr>
        <w:t xml:space="preserve"> </w:t>
      </w:r>
      <w:r>
        <w:t>commenced</w:t>
      </w:r>
      <w:r>
        <w:rPr>
          <w:spacing w:val="-2"/>
        </w:rPr>
        <w:t xml:space="preserve"> </w:t>
      </w:r>
      <w:r>
        <w:t>in</w:t>
      </w:r>
      <w:r>
        <w:rPr>
          <w:spacing w:val="-3"/>
        </w:rPr>
        <w:t xml:space="preserve"> </w:t>
      </w:r>
      <w:r>
        <w:t>November</w:t>
      </w:r>
      <w:r>
        <w:rPr>
          <w:spacing w:val="-2"/>
        </w:rPr>
        <w:t xml:space="preserve"> </w:t>
      </w:r>
      <w:r>
        <w:t>2018</w:t>
      </w:r>
      <w:r>
        <w:rPr>
          <w:spacing w:val="-2"/>
        </w:rPr>
        <w:t xml:space="preserve"> </w:t>
      </w:r>
      <w:r>
        <w:t>and</w:t>
      </w:r>
      <w:r>
        <w:rPr>
          <w:spacing w:val="-3"/>
        </w:rPr>
        <w:t xml:space="preserve"> </w:t>
      </w:r>
      <w:r>
        <w:t>the</w:t>
      </w:r>
      <w:r>
        <w:rPr>
          <w:spacing w:val="-2"/>
        </w:rPr>
        <w:t xml:space="preserve"> </w:t>
      </w:r>
      <w:r>
        <w:t>interim CSR</w:t>
      </w:r>
      <w:r>
        <w:rPr>
          <w:spacing w:val="-2"/>
        </w:rPr>
        <w:t xml:space="preserve"> </w:t>
      </w:r>
      <w:r>
        <w:t>included</w:t>
      </w:r>
      <w:r>
        <w:rPr>
          <w:spacing w:val="-1"/>
        </w:rPr>
        <w:t xml:space="preserve"> </w:t>
      </w:r>
      <w:r>
        <w:t>data</w:t>
      </w:r>
      <w:r>
        <w:rPr>
          <w:spacing w:val="-2"/>
        </w:rPr>
        <w:t xml:space="preserve"> </w:t>
      </w:r>
      <w:r>
        <w:t>to</w:t>
      </w:r>
      <w:r>
        <w:rPr>
          <w:spacing w:val="-1"/>
        </w:rPr>
        <w:t xml:space="preserve"> </w:t>
      </w:r>
      <w:r>
        <w:t>31</w:t>
      </w:r>
      <w:r>
        <w:rPr>
          <w:spacing w:val="-1"/>
        </w:rPr>
        <w:t xml:space="preserve"> </w:t>
      </w:r>
      <w:r>
        <w:t>December</w:t>
      </w:r>
      <w:r>
        <w:rPr>
          <w:spacing w:val="-1"/>
        </w:rPr>
        <w:t xml:space="preserve"> </w:t>
      </w:r>
      <w:r>
        <w:t>2020. At</w:t>
      </w:r>
      <w:r>
        <w:rPr>
          <w:spacing w:val="-2"/>
        </w:rPr>
        <w:t xml:space="preserve"> </w:t>
      </w:r>
      <w:r>
        <w:t>that</w:t>
      </w:r>
      <w:r>
        <w:rPr>
          <w:spacing w:val="-1"/>
        </w:rPr>
        <w:t xml:space="preserve"> </w:t>
      </w:r>
      <w:r>
        <w:t>time</w:t>
      </w:r>
      <w:r>
        <w:rPr>
          <w:spacing w:val="-1"/>
        </w:rPr>
        <w:t xml:space="preserve"> </w:t>
      </w:r>
      <w:r>
        <w:t>415</w:t>
      </w:r>
      <w:r>
        <w:rPr>
          <w:spacing w:val="-1"/>
        </w:rPr>
        <w:t xml:space="preserve"> </w:t>
      </w:r>
      <w:r>
        <w:t>patients had</w:t>
      </w:r>
      <w:r>
        <w:rPr>
          <w:spacing w:val="-1"/>
        </w:rPr>
        <w:t xml:space="preserve"> </w:t>
      </w:r>
      <w:r>
        <w:t>been</w:t>
      </w:r>
      <w:r>
        <w:rPr>
          <w:spacing w:val="-2"/>
        </w:rPr>
        <w:t xml:space="preserve"> </w:t>
      </w:r>
      <w:r>
        <w:t>randomised</w:t>
      </w:r>
      <w:r>
        <w:rPr>
          <w:spacing w:val="-1"/>
        </w:rPr>
        <w:t xml:space="preserve"> </w:t>
      </w:r>
      <w:r>
        <w:t>and had a potential of at least 12 months of study treatment. The interim CSR included efficacy results for</w:t>
      </w:r>
      <w:r>
        <w:rPr>
          <w:spacing w:val="-1"/>
        </w:rPr>
        <w:t xml:space="preserve"> </w:t>
      </w:r>
      <w:r>
        <w:t>the first</w:t>
      </w:r>
      <w:r>
        <w:rPr>
          <w:spacing w:val="-1"/>
        </w:rPr>
        <w:t xml:space="preserve"> </w:t>
      </w:r>
      <w:r>
        <w:t>415 randomised</w:t>
      </w:r>
      <w:r>
        <w:rPr>
          <w:spacing w:val="-1"/>
        </w:rPr>
        <w:t xml:space="preserve"> </w:t>
      </w:r>
      <w:r>
        <w:t>patients as well</w:t>
      </w:r>
      <w:r>
        <w:rPr>
          <w:spacing w:val="-2"/>
        </w:rPr>
        <w:t xml:space="preserve"> </w:t>
      </w:r>
      <w:r>
        <w:t>as results for</w:t>
      </w:r>
      <w:r>
        <w:rPr>
          <w:spacing w:val="-1"/>
        </w:rPr>
        <w:t xml:space="preserve"> </w:t>
      </w:r>
      <w:r>
        <w:t>the total population</w:t>
      </w:r>
      <w:r>
        <w:rPr>
          <w:spacing w:val="-1"/>
        </w:rPr>
        <w:t xml:space="preserve"> </w:t>
      </w:r>
      <w:r>
        <w:t xml:space="preserve">of 652 </w:t>
      </w:r>
      <w:r>
        <w:rPr>
          <w:spacing w:val="-2"/>
        </w:rPr>
        <w:t>patients.</w:t>
      </w:r>
    </w:p>
    <w:p w14:paraId="26E4677F" w14:textId="2E52816D" w:rsidR="0089511A" w:rsidRDefault="0089511A" w:rsidP="0089511A">
      <w:pPr>
        <w:pStyle w:val="BodyText"/>
        <w:spacing w:before="120"/>
        <w:ind w:left="0"/>
      </w:pPr>
      <w:r>
        <w:t>The</w:t>
      </w:r>
      <w:r>
        <w:rPr>
          <w:spacing w:val="-3"/>
        </w:rPr>
        <w:t xml:space="preserve"> </w:t>
      </w:r>
      <w:r>
        <w:t>primary</w:t>
      </w:r>
      <w:r>
        <w:rPr>
          <w:spacing w:val="-4"/>
        </w:rPr>
        <w:t xml:space="preserve"> </w:t>
      </w:r>
      <w:r>
        <w:t>objective</w:t>
      </w:r>
      <w:r>
        <w:rPr>
          <w:spacing w:val="-3"/>
        </w:rPr>
        <w:t xml:space="preserve"> </w:t>
      </w:r>
      <w:r>
        <w:t>was</w:t>
      </w:r>
      <w:r>
        <w:rPr>
          <w:spacing w:val="-2"/>
        </w:rPr>
        <w:t xml:space="preserve"> </w:t>
      </w:r>
      <w:r>
        <w:t>to</w:t>
      </w:r>
      <w:r>
        <w:rPr>
          <w:spacing w:val="-3"/>
        </w:rPr>
        <w:t xml:space="preserve"> </w:t>
      </w:r>
      <w:r>
        <w:t>compare</w:t>
      </w:r>
      <w:r>
        <w:rPr>
          <w:spacing w:val="-3"/>
        </w:rPr>
        <w:t xml:space="preserve"> </w:t>
      </w:r>
      <w:r>
        <w:t>the</w:t>
      </w:r>
      <w:r>
        <w:rPr>
          <w:spacing w:val="-3"/>
        </w:rPr>
        <w:t xml:space="preserve"> </w:t>
      </w:r>
      <w:r>
        <w:t>efficacy</w:t>
      </w:r>
      <w:r>
        <w:rPr>
          <w:spacing w:val="-4"/>
        </w:rPr>
        <w:t xml:space="preserve"> </w:t>
      </w:r>
      <w:r>
        <w:t>of</w:t>
      </w:r>
      <w:r>
        <w:rPr>
          <w:spacing w:val="-3"/>
        </w:rPr>
        <w:t xml:space="preserve"> </w:t>
      </w:r>
      <w:r>
        <w:t>zanubrutinib</w:t>
      </w:r>
      <w:r>
        <w:rPr>
          <w:spacing w:val="-4"/>
        </w:rPr>
        <w:t xml:space="preserve"> </w:t>
      </w:r>
      <w:r>
        <w:t>versus</w:t>
      </w:r>
      <w:r>
        <w:rPr>
          <w:spacing w:val="-2"/>
        </w:rPr>
        <w:t xml:space="preserve"> </w:t>
      </w:r>
      <w:r>
        <w:t>ibrutinib</w:t>
      </w:r>
      <w:r>
        <w:rPr>
          <w:spacing w:val="-4"/>
        </w:rPr>
        <w:t xml:space="preserve"> </w:t>
      </w:r>
      <w:r>
        <w:t>as</w:t>
      </w:r>
      <w:r>
        <w:rPr>
          <w:spacing w:val="-2"/>
        </w:rPr>
        <w:t xml:space="preserve"> </w:t>
      </w:r>
      <w:r>
        <w:t>measured by overall response rate determined by investigator assessment. PFS by investigator and IRC as well as ORR by IRC were secondary objectives.</w:t>
      </w:r>
    </w:p>
    <w:p w14:paraId="236340D7" w14:textId="229C6B99" w:rsidR="0089511A" w:rsidRDefault="0089511A" w:rsidP="0024064C">
      <w:pPr>
        <w:pStyle w:val="Heading6"/>
      </w:pPr>
      <w:r>
        <w:t>Key</w:t>
      </w:r>
      <w:r>
        <w:rPr>
          <w:spacing w:val="-5"/>
        </w:rPr>
        <w:t xml:space="preserve"> </w:t>
      </w:r>
      <w:r>
        <w:t>eligibility</w:t>
      </w:r>
      <w:r>
        <w:rPr>
          <w:spacing w:val="-4"/>
        </w:rPr>
        <w:t xml:space="preserve"> </w:t>
      </w:r>
      <w:r>
        <w:rPr>
          <w:spacing w:val="-2"/>
        </w:rPr>
        <w:t>criteria</w:t>
      </w:r>
    </w:p>
    <w:p w14:paraId="76978CDF" w14:textId="24BEF2EF" w:rsidR="0089511A" w:rsidRDefault="0089511A" w:rsidP="001227FF">
      <w:pPr>
        <w:pStyle w:val="BodyText"/>
        <w:spacing w:before="121"/>
        <w:ind w:left="0" w:right="144"/>
      </w:pPr>
      <w:r>
        <w:t>Patients</w:t>
      </w:r>
      <w:r>
        <w:rPr>
          <w:spacing w:val="-2"/>
        </w:rPr>
        <w:t xml:space="preserve"> </w:t>
      </w:r>
      <w:r>
        <w:t>were</w:t>
      </w:r>
      <w:r>
        <w:rPr>
          <w:spacing w:val="-2"/>
        </w:rPr>
        <w:t xml:space="preserve"> </w:t>
      </w:r>
      <w:r>
        <w:t>required</w:t>
      </w:r>
      <w:r>
        <w:rPr>
          <w:spacing w:val="-3"/>
        </w:rPr>
        <w:t xml:space="preserve"> </w:t>
      </w:r>
      <w:r>
        <w:t>to</w:t>
      </w:r>
      <w:r>
        <w:rPr>
          <w:spacing w:val="-5"/>
        </w:rPr>
        <w:t xml:space="preserve"> </w:t>
      </w:r>
      <w:r>
        <w:t>have</w:t>
      </w:r>
      <w:r>
        <w:rPr>
          <w:spacing w:val="-2"/>
        </w:rPr>
        <w:t xml:space="preserve"> </w:t>
      </w:r>
      <w:r>
        <w:t>a</w:t>
      </w:r>
      <w:r>
        <w:rPr>
          <w:spacing w:val="-2"/>
        </w:rPr>
        <w:t xml:space="preserve"> </w:t>
      </w:r>
      <w:r>
        <w:t>confirmed</w:t>
      </w:r>
      <w:r>
        <w:rPr>
          <w:spacing w:val="-2"/>
        </w:rPr>
        <w:t xml:space="preserve"> </w:t>
      </w:r>
      <w:r>
        <w:t>diagnosis</w:t>
      </w:r>
      <w:r>
        <w:rPr>
          <w:spacing w:val="-1"/>
        </w:rPr>
        <w:t xml:space="preserve"> </w:t>
      </w:r>
      <w:r>
        <w:t>of</w:t>
      </w:r>
      <w:r>
        <w:rPr>
          <w:spacing w:val="-2"/>
        </w:rPr>
        <w:t xml:space="preserve"> </w:t>
      </w:r>
      <w:r>
        <w:t>CLL</w:t>
      </w:r>
      <w:r>
        <w:rPr>
          <w:spacing w:val="-3"/>
        </w:rPr>
        <w:t xml:space="preserve"> </w:t>
      </w:r>
      <w:r>
        <w:t>or</w:t>
      </w:r>
      <w:r>
        <w:rPr>
          <w:spacing w:val="-3"/>
        </w:rPr>
        <w:t xml:space="preserve"> </w:t>
      </w:r>
      <w:r>
        <w:t>SLL</w:t>
      </w:r>
      <w:r>
        <w:rPr>
          <w:spacing w:val="-3"/>
        </w:rPr>
        <w:t xml:space="preserve"> </w:t>
      </w:r>
      <w:r>
        <w:t>that</w:t>
      </w:r>
      <w:r>
        <w:rPr>
          <w:spacing w:val="-6"/>
        </w:rPr>
        <w:t xml:space="preserve"> </w:t>
      </w:r>
      <w:r>
        <w:t>meets</w:t>
      </w:r>
      <w:r>
        <w:rPr>
          <w:spacing w:val="-1"/>
        </w:rPr>
        <w:t xml:space="preserve"> </w:t>
      </w:r>
      <w:r>
        <w:t xml:space="preserve">the </w:t>
      </w:r>
      <w:proofErr w:type="spellStart"/>
      <w:r w:rsidR="00DA48E6">
        <w:t>iw</w:t>
      </w:r>
      <w:r w:rsidR="00EA3D56">
        <w:t>CLL</w:t>
      </w:r>
      <w:proofErr w:type="spellEnd"/>
      <w:r>
        <w:t xml:space="preserve"> criteria and require treatment, as defined by at least 1 of the following: progressive marrow failure; massive, progressive, or symptomatic splenomegaly; massive, progressive, or symptomatic lymphadenopathy; progressive lymphocytosis with rapid</w:t>
      </w:r>
      <w:r>
        <w:rPr>
          <w:spacing w:val="-3"/>
        </w:rPr>
        <w:t xml:space="preserve"> </w:t>
      </w:r>
      <w:r>
        <w:t>doubling time;</w:t>
      </w:r>
      <w:r>
        <w:rPr>
          <w:spacing w:val="-1"/>
        </w:rPr>
        <w:t xml:space="preserve"> </w:t>
      </w:r>
      <w:r>
        <w:t>or</w:t>
      </w:r>
      <w:r>
        <w:rPr>
          <w:spacing w:val="-3"/>
        </w:rPr>
        <w:t xml:space="preserve"> </w:t>
      </w:r>
      <w:r>
        <w:t>constitutional symptoms. Patients</w:t>
      </w:r>
      <w:r>
        <w:rPr>
          <w:spacing w:val="-2"/>
        </w:rPr>
        <w:t xml:space="preserve"> </w:t>
      </w:r>
      <w:r>
        <w:t>must</w:t>
      </w:r>
      <w:r>
        <w:rPr>
          <w:spacing w:val="-1"/>
        </w:rPr>
        <w:t xml:space="preserve"> </w:t>
      </w:r>
      <w:r>
        <w:t>be 18</w:t>
      </w:r>
      <w:r>
        <w:rPr>
          <w:spacing w:val="-1"/>
        </w:rPr>
        <w:t xml:space="preserve"> </w:t>
      </w:r>
      <w:r>
        <w:t xml:space="preserve">years or older, relapsed or refractory to at least 1 prior systemic therapy for CLL/SLL, with the last dose of prior therapy for CLL/SLL &gt; 14 days before </w:t>
      </w:r>
      <w:proofErr w:type="spellStart"/>
      <w:proofErr w:type="gramStart"/>
      <w:r>
        <w:t>randomisation</w:t>
      </w:r>
      <w:proofErr w:type="spellEnd"/>
      <w:r>
        <w:t>, and</w:t>
      </w:r>
      <w:proofErr w:type="gramEnd"/>
      <w:r>
        <w:t xml:space="preserve"> have measurable</w:t>
      </w:r>
      <w:r w:rsidR="001227FF">
        <w:t xml:space="preserve"> </w:t>
      </w:r>
      <w:r>
        <w:t>disease</w:t>
      </w:r>
      <w:r>
        <w:rPr>
          <w:spacing w:val="-2"/>
        </w:rPr>
        <w:t xml:space="preserve"> </w:t>
      </w:r>
      <w:r>
        <w:t>(defined</w:t>
      </w:r>
      <w:r>
        <w:rPr>
          <w:spacing w:val="-2"/>
        </w:rPr>
        <w:t xml:space="preserve"> </w:t>
      </w:r>
      <w:r>
        <w:t>as</w:t>
      </w:r>
      <w:r>
        <w:rPr>
          <w:spacing w:val="-1"/>
        </w:rPr>
        <w:t xml:space="preserve"> </w:t>
      </w:r>
      <w:r>
        <w:t>≥</w:t>
      </w:r>
      <w:r>
        <w:rPr>
          <w:spacing w:val="-3"/>
        </w:rPr>
        <w:t xml:space="preserve"> </w:t>
      </w:r>
      <w:r>
        <w:t>1</w:t>
      </w:r>
      <w:r>
        <w:rPr>
          <w:spacing w:val="-2"/>
        </w:rPr>
        <w:t xml:space="preserve"> </w:t>
      </w:r>
      <w:r>
        <w:t>lymph</w:t>
      </w:r>
      <w:r>
        <w:rPr>
          <w:spacing w:val="-2"/>
        </w:rPr>
        <w:t xml:space="preserve"> </w:t>
      </w:r>
      <w:r>
        <w:t>node</w:t>
      </w:r>
      <w:r>
        <w:rPr>
          <w:spacing w:val="-1"/>
        </w:rPr>
        <w:t xml:space="preserve"> </w:t>
      </w:r>
      <w:r>
        <w:t>&gt;</w:t>
      </w:r>
      <w:r>
        <w:rPr>
          <w:spacing w:val="-2"/>
        </w:rPr>
        <w:t xml:space="preserve"> </w:t>
      </w:r>
      <w:r>
        <w:t>1.5</w:t>
      </w:r>
      <w:r>
        <w:rPr>
          <w:spacing w:val="-5"/>
        </w:rPr>
        <w:t xml:space="preserve"> </w:t>
      </w:r>
      <w:r>
        <w:t>cm</w:t>
      </w:r>
      <w:r>
        <w:rPr>
          <w:spacing w:val="-4"/>
        </w:rPr>
        <w:t xml:space="preserve"> </w:t>
      </w:r>
      <w:r>
        <w:t>in</w:t>
      </w:r>
      <w:r>
        <w:rPr>
          <w:spacing w:val="-3"/>
        </w:rPr>
        <w:t xml:space="preserve"> </w:t>
      </w:r>
      <w:r>
        <w:t>longest</w:t>
      </w:r>
      <w:r>
        <w:rPr>
          <w:spacing w:val="-3"/>
        </w:rPr>
        <w:t xml:space="preserve"> </w:t>
      </w:r>
      <w:r>
        <w:t>diameter,</w:t>
      </w:r>
      <w:r>
        <w:rPr>
          <w:spacing w:val="-2"/>
        </w:rPr>
        <w:t xml:space="preserve"> </w:t>
      </w:r>
      <w:r>
        <w:t>and</w:t>
      </w:r>
      <w:r>
        <w:rPr>
          <w:spacing w:val="-3"/>
        </w:rPr>
        <w:t xml:space="preserve"> </w:t>
      </w:r>
      <w:r>
        <w:t>measurable</w:t>
      </w:r>
      <w:r>
        <w:rPr>
          <w:spacing w:val="-2"/>
        </w:rPr>
        <w:t xml:space="preserve"> </w:t>
      </w:r>
      <w:r>
        <w:t>in</w:t>
      </w:r>
      <w:r>
        <w:rPr>
          <w:spacing w:val="-3"/>
        </w:rPr>
        <w:t xml:space="preserve"> </w:t>
      </w:r>
      <w:r>
        <w:t>2 perpendicular diameters or an extranodal lesion must measure &gt; 10 mm in longest perpendicular diameter).</w:t>
      </w:r>
    </w:p>
    <w:p w14:paraId="2F044BA3" w14:textId="0A76CA89" w:rsidR="0089511A" w:rsidRDefault="0089511A" w:rsidP="0089511A">
      <w:pPr>
        <w:pStyle w:val="BodyText"/>
        <w:spacing w:before="121"/>
        <w:ind w:left="0" w:right="144"/>
      </w:pPr>
      <w:r>
        <w:t>A line of therapy is defined as completing at least 2 cycles of treatment of standard regimen according</w:t>
      </w:r>
      <w:r>
        <w:rPr>
          <w:spacing w:val="-1"/>
        </w:rPr>
        <w:t xml:space="preserve"> </w:t>
      </w:r>
      <w:r>
        <w:t>to</w:t>
      </w:r>
      <w:r>
        <w:rPr>
          <w:spacing w:val="-5"/>
        </w:rPr>
        <w:t xml:space="preserve"> </w:t>
      </w:r>
      <w:r>
        <w:t>current</w:t>
      </w:r>
      <w:r>
        <w:rPr>
          <w:spacing w:val="-6"/>
        </w:rPr>
        <w:t xml:space="preserve"> </w:t>
      </w:r>
      <w:r>
        <w:t>guidelines,</w:t>
      </w:r>
      <w:r>
        <w:rPr>
          <w:spacing w:val="-2"/>
        </w:rPr>
        <w:t xml:space="preserve"> </w:t>
      </w:r>
      <w:r>
        <w:t>or</w:t>
      </w:r>
      <w:r>
        <w:rPr>
          <w:spacing w:val="-3"/>
        </w:rPr>
        <w:t xml:space="preserve"> </w:t>
      </w:r>
      <w:r>
        <w:t>of</w:t>
      </w:r>
      <w:r>
        <w:rPr>
          <w:spacing w:val="-5"/>
        </w:rPr>
        <w:t xml:space="preserve"> </w:t>
      </w:r>
      <w:r>
        <w:t>an</w:t>
      </w:r>
      <w:r>
        <w:rPr>
          <w:spacing w:val="-1"/>
        </w:rPr>
        <w:t xml:space="preserve"> </w:t>
      </w:r>
      <w:r>
        <w:t>investigational</w:t>
      </w:r>
      <w:r>
        <w:rPr>
          <w:spacing w:val="-2"/>
        </w:rPr>
        <w:t xml:space="preserve"> </w:t>
      </w:r>
      <w:r>
        <w:t>regimen</w:t>
      </w:r>
      <w:r>
        <w:rPr>
          <w:spacing w:val="-3"/>
        </w:rPr>
        <w:t xml:space="preserve"> </w:t>
      </w:r>
      <w:r>
        <w:t>on</w:t>
      </w:r>
      <w:r>
        <w:rPr>
          <w:spacing w:val="-3"/>
        </w:rPr>
        <w:t xml:space="preserve"> </w:t>
      </w:r>
      <w:r>
        <w:t>a</w:t>
      </w:r>
      <w:r>
        <w:rPr>
          <w:spacing w:val="-2"/>
        </w:rPr>
        <w:t xml:space="preserve"> </w:t>
      </w:r>
      <w:r>
        <w:t>clinical</w:t>
      </w:r>
      <w:r>
        <w:rPr>
          <w:spacing w:val="-5"/>
        </w:rPr>
        <w:t xml:space="preserve"> </w:t>
      </w:r>
      <w:r>
        <w:t>trial.</w:t>
      </w:r>
      <w:r>
        <w:rPr>
          <w:spacing w:val="-2"/>
        </w:rPr>
        <w:t xml:space="preserve"> </w:t>
      </w:r>
      <w:r>
        <w:t>Patients were to have no history of prolymphocytic leukaemia or Richter’s transformation,</w:t>
      </w:r>
      <w:r>
        <w:rPr>
          <w:spacing w:val="-2"/>
        </w:rPr>
        <w:t xml:space="preserve"> </w:t>
      </w:r>
      <w:proofErr w:type="gramStart"/>
      <w:r>
        <w:t>no</w:t>
      </w:r>
      <w:proofErr w:type="gramEnd"/>
      <w:r>
        <w:t xml:space="preserve"> currently active clinically significant cardiovascular disease, and no HIV infection or active infection with hepatitis B or C. </w:t>
      </w:r>
    </w:p>
    <w:p w14:paraId="52D6732C" w14:textId="65D88873" w:rsidR="0089511A" w:rsidRDefault="0089511A" w:rsidP="004E360F">
      <w:pPr>
        <w:pStyle w:val="Heading6"/>
      </w:pPr>
      <w:r>
        <w:t>Study</w:t>
      </w:r>
      <w:r>
        <w:rPr>
          <w:spacing w:val="-3"/>
        </w:rPr>
        <w:t xml:space="preserve"> </w:t>
      </w:r>
      <w:r>
        <w:t>treatments</w:t>
      </w:r>
    </w:p>
    <w:p w14:paraId="080D395A" w14:textId="77777777" w:rsidR="0089511A" w:rsidRPr="001227FF" w:rsidRDefault="0089511A" w:rsidP="0089511A">
      <w:pPr>
        <w:spacing w:before="119"/>
        <w:ind w:right="144"/>
        <w:rPr>
          <w:szCs w:val="22"/>
        </w:rPr>
      </w:pPr>
      <w:r w:rsidRPr="001227FF">
        <w:rPr>
          <w:szCs w:val="22"/>
        </w:rPr>
        <w:t xml:space="preserve">Patients were randomised to zanubrutinib 160 mg (two 80mg capsules) </w:t>
      </w:r>
      <w:proofErr w:type="spellStart"/>
      <w:r w:rsidRPr="001227FF">
        <w:rPr>
          <w:szCs w:val="22"/>
        </w:rPr>
        <w:t>p.o</w:t>
      </w:r>
      <w:proofErr w:type="spellEnd"/>
      <w:r w:rsidRPr="001227FF">
        <w:rPr>
          <w:szCs w:val="22"/>
        </w:rPr>
        <w:t xml:space="preserve"> twice daily or ibrutinib 420 mg </w:t>
      </w:r>
      <w:proofErr w:type="spellStart"/>
      <w:r w:rsidRPr="001227FF">
        <w:rPr>
          <w:szCs w:val="22"/>
        </w:rPr>
        <w:t>p.o</w:t>
      </w:r>
      <w:proofErr w:type="spellEnd"/>
      <w:r w:rsidRPr="001227FF">
        <w:rPr>
          <w:szCs w:val="22"/>
        </w:rPr>
        <w:t xml:space="preserve"> once daily. Randomisation was stratified by age (&lt; 65 years vs. ≥</w:t>
      </w:r>
      <w:r w:rsidRPr="001227FF">
        <w:rPr>
          <w:spacing w:val="80"/>
          <w:szCs w:val="22"/>
        </w:rPr>
        <w:t xml:space="preserve"> </w:t>
      </w:r>
      <w:r w:rsidRPr="001227FF">
        <w:rPr>
          <w:szCs w:val="22"/>
        </w:rPr>
        <w:t>65 years), geographic region (China vs. non-China), refractory status (yes or no), and del17p/</w:t>
      </w:r>
      <w:r w:rsidRPr="001227FF">
        <w:rPr>
          <w:i/>
          <w:szCs w:val="22"/>
        </w:rPr>
        <w:t xml:space="preserve">TP53 </w:t>
      </w:r>
      <w:r w:rsidRPr="001227FF">
        <w:rPr>
          <w:szCs w:val="22"/>
        </w:rPr>
        <w:t>mutation status (present or absent). For the purposes of stratification, refractory disease</w:t>
      </w:r>
      <w:r w:rsidRPr="001227FF">
        <w:rPr>
          <w:spacing w:val="-4"/>
          <w:szCs w:val="22"/>
        </w:rPr>
        <w:t xml:space="preserve"> </w:t>
      </w:r>
      <w:r w:rsidRPr="001227FF">
        <w:rPr>
          <w:szCs w:val="22"/>
        </w:rPr>
        <w:t>was</w:t>
      </w:r>
      <w:r w:rsidRPr="001227FF">
        <w:rPr>
          <w:spacing w:val="-3"/>
          <w:szCs w:val="22"/>
        </w:rPr>
        <w:t xml:space="preserve"> </w:t>
      </w:r>
      <w:r w:rsidRPr="001227FF">
        <w:rPr>
          <w:szCs w:val="22"/>
        </w:rPr>
        <w:t>defined</w:t>
      </w:r>
      <w:r w:rsidRPr="001227FF">
        <w:rPr>
          <w:spacing w:val="-1"/>
          <w:szCs w:val="22"/>
        </w:rPr>
        <w:t xml:space="preserve"> </w:t>
      </w:r>
      <w:r w:rsidRPr="001227FF">
        <w:rPr>
          <w:szCs w:val="22"/>
        </w:rPr>
        <w:t>as</w:t>
      </w:r>
      <w:r w:rsidRPr="001227FF">
        <w:rPr>
          <w:spacing w:val="-3"/>
          <w:szCs w:val="22"/>
        </w:rPr>
        <w:t xml:space="preserve"> </w:t>
      </w:r>
      <w:r w:rsidRPr="001227FF">
        <w:rPr>
          <w:szCs w:val="22"/>
        </w:rPr>
        <w:t>either</w:t>
      </w:r>
      <w:r w:rsidRPr="001227FF">
        <w:rPr>
          <w:spacing w:val="-4"/>
          <w:szCs w:val="22"/>
        </w:rPr>
        <w:t xml:space="preserve"> </w:t>
      </w:r>
      <w:r w:rsidRPr="001227FF">
        <w:rPr>
          <w:szCs w:val="22"/>
        </w:rPr>
        <w:t>no</w:t>
      </w:r>
      <w:r w:rsidRPr="001227FF">
        <w:rPr>
          <w:spacing w:val="-3"/>
          <w:szCs w:val="22"/>
        </w:rPr>
        <w:t xml:space="preserve"> </w:t>
      </w:r>
      <w:r w:rsidRPr="001227FF">
        <w:rPr>
          <w:szCs w:val="22"/>
        </w:rPr>
        <w:t>objective</w:t>
      </w:r>
      <w:r w:rsidRPr="001227FF">
        <w:rPr>
          <w:spacing w:val="-4"/>
          <w:szCs w:val="22"/>
        </w:rPr>
        <w:t xml:space="preserve"> </w:t>
      </w:r>
      <w:r w:rsidRPr="001227FF">
        <w:rPr>
          <w:szCs w:val="22"/>
        </w:rPr>
        <w:t>response</w:t>
      </w:r>
      <w:r w:rsidRPr="001227FF">
        <w:rPr>
          <w:spacing w:val="-4"/>
          <w:szCs w:val="22"/>
        </w:rPr>
        <w:t xml:space="preserve"> </w:t>
      </w:r>
      <w:r w:rsidRPr="001227FF">
        <w:rPr>
          <w:szCs w:val="22"/>
        </w:rPr>
        <w:t>or</w:t>
      </w:r>
      <w:r w:rsidRPr="001227FF">
        <w:rPr>
          <w:spacing w:val="-3"/>
          <w:szCs w:val="22"/>
        </w:rPr>
        <w:t xml:space="preserve"> </w:t>
      </w:r>
      <w:r w:rsidRPr="001227FF">
        <w:rPr>
          <w:szCs w:val="22"/>
        </w:rPr>
        <w:t>disease</w:t>
      </w:r>
      <w:r w:rsidRPr="001227FF">
        <w:rPr>
          <w:spacing w:val="-4"/>
          <w:szCs w:val="22"/>
        </w:rPr>
        <w:t xml:space="preserve"> </w:t>
      </w:r>
      <w:r w:rsidRPr="001227FF">
        <w:rPr>
          <w:szCs w:val="22"/>
        </w:rPr>
        <w:t>progression</w:t>
      </w:r>
      <w:r w:rsidRPr="001227FF">
        <w:rPr>
          <w:spacing w:val="-3"/>
          <w:szCs w:val="22"/>
        </w:rPr>
        <w:t xml:space="preserve"> </w:t>
      </w:r>
      <w:r w:rsidRPr="001227FF">
        <w:rPr>
          <w:szCs w:val="22"/>
        </w:rPr>
        <w:t>within</w:t>
      </w:r>
      <w:r w:rsidRPr="001227FF">
        <w:rPr>
          <w:spacing w:val="-3"/>
          <w:szCs w:val="22"/>
        </w:rPr>
        <w:t xml:space="preserve"> </w:t>
      </w:r>
      <w:r w:rsidRPr="001227FF">
        <w:rPr>
          <w:szCs w:val="22"/>
        </w:rPr>
        <w:t>6</w:t>
      </w:r>
      <w:r w:rsidRPr="001227FF">
        <w:rPr>
          <w:spacing w:val="-3"/>
          <w:szCs w:val="22"/>
        </w:rPr>
        <w:t xml:space="preserve"> </w:t>
      </w:r>
      <w:r w:rsidRPr="001227FF">
        <w:rPr>
          <w:szCs w:val="22"/>
        </w:rPr>
        <w:t>months</w:t>
      </w:r>
      <w:r w:rsidRPr="001227FF">
        <w:rPr>
          <w:spacing w:val="-3"/>
          <w:szCs w:val="22"/>
        </w:rPr>
        <w:t xml:space="preserve"> </w:t>
      </w:r>
      <w:r w:rsidRPr="001227FF">
        <w:rPr>
          <w:szCs w:val="22"/>
        </w:rPr>
        <w:t>of the last CLL/SLL treatment, and relapsed disease was defined as disease that relapsed more than 6 months after the last CLL/SLL treatment and subsequently progressed.</w:t>
      </w:r>
    </w:p>
    <w:p w14:paraId="7E5DE76A" w14:textId="2C9C3F52" w:rsidR="0089511A" w:rsidRDefault="0089511A" w:rsidP="0089511A">
      <w:pPr>
        <w:pStyle w:val="BodyText"/>
        <w:spacing w:before="122"/>
        <w:ind w:left="0"/>
      </w:pPr>
      <w:r>
        <w:t>Treatment modification due to toxicities was as per local prescribing guidelines. The dose modifications</w:t>
      </w:r>
      <w:r>
        <w:rPr>
          <w:spacing w:val="-2"/>
        </w:rPr>
        <w:t xml:space="preserve"> </w:t>
      </w:r>
      <w:r>
        <w:t>were</w:t>
      </w:r>
      <w:r>
        <w:rPr>
          <w:spacing w:val="-3"/>
        </w:rPr>
        <w:t xml:space="preserve"> </w:t>
      </w:r>
      <w:r>
        <w:t>essentially</w:t>
      </w:r>
      <w:r>
        <w:rPr>
          <w:spacing w:val="-4"/>
        </w:rPr>
        <w:t xml:space="preserve"> </w:t>
      </w:r>
      <w:r>
        <w:t>the</w:t>
      </w:r>
      <w:r>
        <w:rPr>
          <w:spacing w:val="-6"/>
        </w:rPr>
        <w:t xml:space="preserve"> </w:t>
      </w:r>
      <w:r>
        <w:t>same</w:t>
      </w:r>
      <w:r>
        <w:rPr>
          <w:spacing w:val="-3"/>
        </w:rPr>
        <w:t xml:space="preserve"> </w:t>
      </w:r>
      <w:r>
        <w:t>as</w:t>
      </w:r>
      <w:r>
        <w:rPr>
          <w:spacing w:val="-2"/>
        </w:rPr>
        <w:t xml:space="preserve"> </w:t>
      </w:r>
      <w:r>
        <w:t>in</w:t>
      </w:r>
      <w:r>
        <w:rPr>
          <w:spacing w:val="-4"/>
        </w:rPr>
        <w:t xml:space="preserve"> </w:t>
      </w:r>
      <w:r>
        <w:t>study</w:t>
      </w:r>
      <w:r>
        <w:rPr>
          <w:spacing w:val="-4"/>
        </w:rPr>
        <w:t xml:space="preserve"> </w:t>
      </w:r>
      <w:r>
        <w:t>304</w:t>
      </w:r>
      <w:r>
        <w:rPr>
          <w:spacing w:val="-3"/>
        </w:rPr>
        <w:t xml:space="preserve"> </w:t>
      </w:r>
      <w:r>
        <w:t>except</w:t>
      </w:r>
      <w:r>
        <w:rPr>
          <w:spacing w:val="-4"/>
        </w:rPr>
        <w:t xml:space="preserve"> </w:t>
      </w:r>
      <w:r>
        <w:t>any</w:t>
      </w:r>
      <w:r>
        <w:rPr>
          <w:spacing w:val="-5"/>
        </w:rPr>
        <w:t xml:space="preserve"> </w:t>
      </w:r>
      <w:r>
        <w:t>intracranial</w:t>
      </w:r>
      <w:r>
        <w:rPr>
          <w:spacing w:val="-3"/>
        </w:rPr>
        <w:t xml:space="preserve"> </w:t>
      </w:r>
      <w:r>
        <w:t>hemorrhage resulted in in permanent discontinuation of zanubrutinib.</w:t>
      </w:r>
    </w:p>
    <w:p w14:paraId="7383D6C6" w14:textId="77777777" w:rsidR="0089511A" w:rsidRDefault="0089511A" w:rsidP="0089511A">
      <w:pPr>
        <w:pStyle w:val="BodyText"/>
        <w:spacing w:before="119"/>
        <w:ind w:left="0" w:right="148"/>
      </w:pPr>
      <w:r>
        <w:t>Study</w:t>
      </w:r>
      <w:r>
        <w:rPr>
          <w:spacing w:val="-3"/>
        </w:rPr>
        <w:t xml:space="preserve"> </w:t>
      </w:r>
      <w:r>
        <w:t>treatment</w:t>
      </w:r>
      <w:r>
        <w:rPr>
          <w:spacing w:val="-3"/>
        </w:rPr>
        <w:t xml:space="preserve"> </w:t>
      </w:r>
      <w:r>
        <w:t>continued</w:t>
      </w:r>
      <w:r>
        <w:rPr>
          <w:spacing w:val="-3"/>
        </w:rPr>
        <w:t xml:space="preserve"> </w:t>
      </w:r>
      <w:r>
        <w:t>until</w:t>
      </w:r>
      <w:r>
        <w:rPr>
          <w:spacing w:val="-2"/>
        </w:rPr>
        <w:t xml:space="preserve"> </w:t>
      </w:r>
      <w:r>
        <w:t>disease</w:t>
      </w:r>
      <w:r>
        <w:rPr>
          <w:spacing w:val="-2"/>
        </w:rPr>
        <w:t xml:space="preserve"> </w:t>
      </w:r>
      <w:r>
        <w:t>progression,</w:t>
      </w:r>
      <w:r>
        <w:rPr>
          <w:spacing w:val="-2"/>
        </w:rPr>
        <w:t xml:space="preserve"> </w:t>
      </w:r>
      <w:r>
        <w:t>or</w:t>
      </w:r>
      <w:r>
        <w:rPr>
          <w:spacing w:val="-3"/>
        </w:rPr>
        <w:t xml:space="preserve"> </w:t>
      </w:r>
      <w:r>
        <w:t>any</w:t>
      </w:r>
      <w:r>
        <w:rPr>
          <w:spacing w:val="-4"/>
        </w:rPr>
        <w:t xml:space="preserve"> </w:t>
      </w:r>
      <w:r>
        <w:t>of</w:t>
      </w:r>
      <w:r>
        <w:rPr>
          <w:spacing w:val="-2"/>
        </w:rPr>
        <w:t xml:space="preserve"> </w:t>
      </w:r>
      <w:r>
        <w:t>the</w:t>
      </w:r>
      <w:r>
        <w:rPr>
          <w:spacing w:val="-2"/>
        </w:rPr>
        <w:t xml:space="preserve"> </w:t>
      </w:r>
      <w:r>
        <w:t>events</w:t>
      </w:r>
      <w:r>
        <w:rPr>
          <w:spacing w:val="-4"/>
        </w:rPr>
        <w:t xml:space="preserve"> </w:t>
      </w:r>
      <w:r>
        <w:t>specified</w:t>
      </w:r>
      <w:r>
        <w:rPr>
          <w:spacing w:val="-5"/>
        </w:rPr>
        <w:t xml:space="preserve"> </w:t>
      </w:r>
      <w:r>
        <w:t>in</w:t>
      </w:r>
      <w:r>
        <w:rPr>
          <w:spacing w:val="-3"/>
        </w:rPr>
        <w:t xml:space="preserve"> </w:t>
      </w:r>
      <w:r>
        <w:t>the</w:t>
      </w:r>
      <w:r>
        <w:rPr>
          <w:spacing w:val="-2"/>
        </w:rPr>
        <w:t xml:space="preserve"> </w:t>
      </w:r>
      <w:r>
        <w:t xml:space="preserve">study protocol. The study duration was estimated to be approximately 51 months. Other anticancer therapies were prohibited until disease progression, unmanageable toxicity, or lack of further clinical benefit from study treatment, which required permanent discontinuation of the study </w:t>
      </w:r>
      <w:r>
        <w:rPr>
          <w:spacing w:val="-2"/>
        </w:rPr>
        <w:t>drug.</w:t>
      </w:r>
    </w:p>
    <w:p w14:paraId="23D36125" w14:textId="0131FD2A" w:rsidR="0089511A" w:rsidRDefault="0089511A" w:rsidP="004E360F">
      <w:pPr>
        <w:pStyle w:val="Heading6"/>
      </w:pPr>
      <w:r>
        <w:t>Efficacy</w:t>
      </w:r>
      <w:r>
        <w:rPr>
          <w:spacing w:val="-1"/>
        </w:rPr>
        <w:t xml:space="preserve"> </w:t>
      </w:r>
      <w:r>
        <w:t>endpoints</w:t>
      </w:r>
    </w:p>
    <w:p w14:paraId="7F427B9D" w14:textId="2E70990F" w:rsidR="0089511A" w:rsidRDefault="0089511A" w:rsidP="0089511A">
      <w:pPr>
        <w:pStyle w:val="BodyText"/>
        <w:spacing w:before="121"/>
        <w:ind w:left="0" w:right="144"/>
      </w:pPr>
      <w:r>
        <w:t>The</w:t>
      </w:r>
      <w:r>
        <w:rPr>
          <w:spacing w:val="-2"/>
        </w:rPr>
        <w:t xml:space="preserve"> </w:t>
      </w:r>
      <w:r>
        <w:t>primary</w:t>
      </w:r>
      <w:r>
        <w:rPr>
          <w:spacing w:val="-3"/>
        </w:rPr>
        <w:t xml:space="preserve"> </w:t>
      </w:r>
      <w:r>
        <w:t>endpoint</w:t>
      </w:r>
      <w:r>
        <w:rPr>
          <w:spacing w:val="-2"/>
        </w:rPr>
        <w:t xml:space="preserve"> </w:t>
      </w:r>
      <w:r w:rsidR="00587760">
        <w:rPr>
          <w:spacing w:val="-2"/>
        </w:rPr>
        <w:t xml:space="preserve">was </w:t>
      </w:r>
      <w:r>
        <w:t>ORR</w:t>
      </w:r>
      <w:r>
        <w:rPr>
          <w:spacing w:val="-3"/>
        </w:rPr>
        <w:t xml:space="preserve"> </w:t>
      </w:r>
      <w:r>
        <w:t>(PR</w:t>
      </w:r>
      <w:r>
        <w:rPr>
          <w:spacing w:val="-3"/>
        </w:rPr>
        <w:t xml:space="preserve"> </w:t>
      </w:r>
      <w:r>
        <w:t>or</w:t>
      </w:r>
      <w:r>
        <w:rPr>
          <w:spacing w:val="-3"/>
        </w:rPr>
        <w:t xml:space="preserve"> </w:t>
      </w:r>
      <w:r>
        <w:t>higher,</w:t>
      </w:r>
      <w:r>
        <w:rPr>
          <w:spacing w:val="-2"/>
        </w:rPr>
        <w:t xml:space="preserve"> </w:t>
      </w:r>
      <w:r>
        <w:t>defined</w:t>
      </w:r>
      <w:r>
        <w:rPr>
          <w:spacing w:val="-2"/>
        </w:rPr>
        <w:t xml:space="preserve"> </w:t>
      </w:r>
      <w:r>
        <w:t>as</w:t>
      </w:r>
      <w:r>
        <w:rPr>
          <w:spacing w:val="-1"/>
        </w:rPr>
        <w:t xml:space="preserve"> </w:t>
      </w:r>
      <w:r>
        <w:t>CR/</w:t>
      </w:r>
      <w:proofErr w:type="spellStart"/>
      <w:r>
        <w:t>CRi</w:t>
      </w:r>
      <w:proofErr w:type="spellEnd"/>
      <w:r>
        <w:rPr>
          <w:spacing w:val="-1"/>
        </w:rPr>
        <w:t xml:space="preserve"> </w:t>
      </w:r>
      <w:r>
        <w:t>+</w:t>
      </w:r>
      <w:r>
        <w:rPr>
          <w:spacing w:val="-3"/>
        </w:rPr>
        <w:t xml:space="preserve"> </w:t>
      </w:r>
      <w:r>
        <w:t>PR</w:t>
      </w:r>
      <w:r>
        <w:rPr>
          <w:spacing w:val="-3"/>
        </w:rPr>
        <w:t xml:space="preserve"> </w:t>
      </w:r>
      <w:r>
        <w:t>+</w:t>
      </w:r>
      <w:r>
        <w:rPr>
          <w:spacing w:val="-3"/>
        </w:rPr>
        <w:t xml:space="preserve"> </w:t>
      </w:r>
      <w:r>
        <w:t>nodular</w:t>
      </w:r>
      <w:r>
        <w:rPr>
          <w:spacing w:val="-2"/>
        </w:rPr>
        <w:t xml:space="preserve"> </w:t>
      </w:r>
      <w:r>
        <w:t>PR)</w:t>
      </w:r>
      <w:r>
        <w:rPr>
          <w:spacing w:val="-3"/>
        </w:rPr>
        <w:t xml:space="preserve"> </w:t>
      </w:r>
      <w:r>
        <w:t>determined</w:t>
      </w:r>
      <w:r>
        <w:rPr>
          <w:spacing w:val="-2"/>
        </w:rPr>
        <w:t xml:space="preserve"> </w:t>
      </w:r>
      <w:r>
        <w:t xml:space="preserve">by investigator assessment. For CLL the “modified” 2008 </w:t>
      </w:r>
      <w:proofErr w:type="spellStart"/>
      <w:r>
        <w:t>iwCLL</w:t>
      </w:r>
      <w:proofErr w:type="spellEnd"/>
      <w:r>
        <w:t xml:space="preserve"> guidelines with modification for treatment-related lymphocytosis</w:t>
      </w:r>
      <w:r w:rsidR="0024064C">
        <w:t xml:space="preserve"> </w:t>
      </w:r>
      <w:r>
        <w:t xml:space="preserve">were applied. For </w:t>
      </w:r>
      <w:r w:rsidR="00AD25C7">
        <w:t>SLL,</w:t>
      </w:r>
      <w:r>
        <w:t xml:space="preserve"> the Lugano Classification for NHL with CT based response criteria were applied. In the initial protocol ORR assessed by the IRC was the primary efficacy endpoint </w:t>
      </w:r>
      <w:proofErr w:type="gramStart"/>
      <w:r>
        <w:t>and in the USA,</w:t>
      </w:r>
      <w:proofErr w:type="gramEnd"/>
      <w:r>
        <w:t xml:space="preserve"> ORR assessed by independent review will be the basis for regulatory decisions.</w:t>
      </w:r>
    </w:p>
    <w:p w14:paraId="28BFAFF9" w14:textId="4E51790A" w:rsidR="0089511A" w:rsidRDefault="0089511A" w:rsidP="0089511A">
      <w:pPr>
        <w:pStyle w:val="BodyText"/>
        <w:spacing w:before="90"/>
        <w:ind w:left="0" w:right="148"/>
      </w:pPr>
      <w:r>
        <w:t>The secondary endpoints included PFS by investigator assessment and IRC, incidence of atrial fibrillation/flutter,</w:t>
      </w:r>
      <w:r>
        <w:rPr>
          <w:spacing w:val="-2"/>
        </w:rPr>
        <w:t xml:space="preserve"> </w:t>
      </w:r>
      <w:r>
        <w:t>ORR</w:t>
      </w:r>
      <w:r>
        <w:rPr>
          <w:spacing w:val="-3"/>
        </w:rPr>
        <w:t xml:space="preserve"> </w:t>
      </w:r>
      <w:r>
        <w:t>by</w:t>
      </w:r>
      <w:r>
        <w:rPr>
          <w:spacing w:val="-3"/>
        </w:rPr>
        <w:t xml:space="preserve"> </w:t>
      </w:r>
      <w:r>
        <w:t>IRC,</w:t>
      </w:r>
      <w:r>
        <w:rPr>
          <w:spacing w:val="-2"/>
        </w:rPr>
        <w:t xml:space="preserve"> </w:t>
      </w:r>
      <w:r>
        <w:t>duration</w:t>
      </w:r>
      <w:r>
        <w:rPr>
          <w:spacing w:val="-3"/>
        </w:rPr>
        <w:t xml:space="preserve"> </w:t>
      </w:r>
      <w:r>
        <w:t>of</w:t>
      </w:r>
      <w:r>
        <w:rPr>
          <w:spacing w:val="-2"/>
        </w:rPr>
        <w:t xml:space="preserve"> </w:t>
      </w:r>
      <w:r>
        <w:t>response</w:t>
      </w:r>
      <w:r>
        <w:rPr>
          <w:spacing w:val="-2"/>
        </w:rPr>
        <w:t xml:space="preserve"> </w:t>
      </w:r>
      <w:r>
        <w:t>and</w:t>
      </w:r>
      <w:r>
        <w:rPr>
          <w:spacing w:val="-3"/>
        </w:rPr>
        <w:t xml:space="preserve"> </w:t>
      </w:r>
      <w:r>
        <w:t>time</w:t>
      </w:r>
      <w:r>
        <w:rPr>
          <w:spacing w:val="-2"/>
        </w:rPr>
        <w:t xml:space="preserve"> </w:t>
      </w:r>
      <w:r>
        <w:t>to</w:t>
      </w:r>
      <w:r>
        <w:rPr>
          <w:spacing w:val="-3"/>
        </w:rPr>
        <w:t xml:space="preserve"> </w:t>
      </w:r>
      <w:r>
        <w:t>treatment</w:t>
      </w:r>
      <w:r>
        <w:rPr>
          <w:spacing w:val="-3"/>
        </w:rPr>
        <w:t xml:space="preserve"> </w:t>
      </w:r>
      <w:r>
        <w:t>failure,</w:t>
      </w:r>
      <w:r>
        <w:rPr>
          <w:spacing w:val="-2"/>
        </w:rPr>
        <w:t xml:space="preserve"> </w:t>
      </w:r>
      <w:r>
        <w:t>rate</w:t>
      </w:r>
      <w:r>
        <w:rPr>
          <w:spacing w:val="-3"/>
        </w:rPr>
        <w:t xml:space="preserve"> </w:t>
      </w:r>
      <w:r>
        <w:t>of</w:t>
      </w:r>
      <w:r>
        <w:rPr>
          <w:spacing w:val="-2"/>
        </w:rPr>
        <w:t xml:space="preserve"> </w:t>
      </w:r>
      <w:r>
        <w:t xml:space="preserve">PR-L or higher by IRC, overall </w:t>
      </w:r>
      <w:r w:rsidR="00AD25C7">
        <w:t>survival,</w:t>
      </w:r>
      <w:r>
        <w:t xml:space="preserve"> and Patient Reported Outcomes (PROs).</w:t>
      </w:r>
    </w:p>
    <w:p w14:paraId="5CCEBE1E" w14:textId="77777777" w:rsidR="0089511A" w:rsidRDefault="0089511A" w:rsidP="004E360F">
      <w:pPr>
        <w:pStyle w:val="Heading6"/>
      </w:pPr>
      <w:r>
        <w:t>Statistical</w:t>
      </w:r>
      <w:r>
        <w:rPr>
          <w:spacing w:val="-7"/>
        </w:rPr>
        <w:t xml:space="preserve"> </w:t>
      </w:r>
      <w:r>
        <w:rPr>
          <w:spacing w:val="-2"/>
        </w:rPr>
        <w:t>planning</w:t>
      </w:r>
    </w:p>
    <w:p w14:paraId="02607CDD" w14:textId="77777777" w:rsidR="0089511A" w:rsidRDefault="0089511A" w:rsidP="0089511A">
      <w:pPr>
        <w:pStyle w:val="BodyText"/>
        <w:spacing w:before="119"/>
        <w:ind w:left="0"/>
      </w:pPr>
      <w:r>
        <w:t>The</w:t>
      </w:r>
      <w:r>
        <w:rPr>
          <w:spacing w:val="-3"/>
        </w:rPr>
        <w:t xml:space="preserve"> </w:t>
      </w:r>
      <w:r>
        <w:t>primary</w:t>
      </w:r>
      <w:r>
        <w:rPr>
          <w:spacing w:val="-4"/>
        </w:rPr>
        <w:t xml:space="preserve"> </w:t>
      </w:r>
      <w:r>
        <w:t>analysis</w:t>
      </w:r>
      <w:r>
        <w:rPr>
          <w:spacing w:val="-5"/>
        </w:rPr>
        <w:t xml:space="preserve"> </w:t>
      </w:r>
      <w:r>
        <w:t>set</w:t>
      </w:r>
      <w:r>
        <w:rPr>
          <w:spacing w:val="-3"/>
        </w:rPr>
        <w:t xml:space="preserve"> </w:t>
      </w:r>
      <w:r>
        <w:t>for</w:t>
      </w:r>
      <w:r>
        <w:rPr>
          <w:spacing w:val="-3"/>
        </w:rPr>
        <w:t xml:space="preserve"> </w:t>
      </w:r>
      <w:r>
        <w:t>all</w:t>
      </w:r>
      <w:r>
        <w:rPr>
          <w:spacing w:val="-3"/>
        </w:rPr>
        <w:t xml:space="preserve"> </w:t>
      </w:r>
      <w:r>
        <w:t>efficacy</w:t>
      </w:r>
      <w:r>
        <w:rPr>
          <w:spacing w:val="-4"/>
        </w:rPr>
        <w:t xml:space="preserve"> </w:t>
      </w:r>
      <w:r>
        <w:t>analyses</w:t>
      </w:r>
      <w:r>
        <w:rPr>
          <w:spacing w:val="-2"/>
        </w:rPr>
        <w:t xml:space="preserve"> </w:t>
      </w:r>
      <w:r>
        <w:t>is</w:t>
      </w:r>
      <w:r>
        <w:rPr>
          <w:spacing w:val="-2"/>
        </w:rPr>
        <w:t xml:space="preserve"> </w:t>
      </w:r>
      <w:r>
        <w:t>the</w:t>
      </w:r>
      <w:r>
        <w:rPr>
          <w:spacing w:val="-3"/>
        </w:rPr>
        <w:t xml:space="preserve"> </w:t>
      </w:r>
      <w:r>
        <w:t>Intent-to-Treat</w:t>
      </w:r>
      <w:r>
        <w:rPr>
          <w:spacing w:val="-3"/>
        </w:rPr>
        <w:t xml:space="preserve"> </w:t>
      </w:r>
      <w:r>
        <w:t>Analysis</w:t>
      </w:r>
      <w:r>
        <w:rPr>
          <w:spacing w:val="-2"/>
        </w:rPr>
        <w:t xml:space="preserve"> </w:t>
      </w:r>
      <w:r>
        <w:t>Set</w:t>
      </w:r>
      <w:r>
        <w:rPr>
          <w:spacing w:val="-3"/>
        </w:rPr>
        <w:t xml:space="preserve"> </w:t>
      </w:r>
      <w:r>
        <w:t>(all</w:t>
      </w:r>
      <w:r>
        <w:rPr>
          <w:spacing w:val="-3"/>
        </w:rPr>
        <w:t xml:space="preserve"> </w:t>
      </w:r>
      <w:r>
        <w:t>patients randomised). For the non-inferiority testing for the primary endpoint of ORR by independent central review.</w:t>
      </w:r>
    </w:p>
    <w:p w14:paraId="6405C051" w14:textId="7A6CB1EF" w:rsidR="0089511A" w:rsidRDefault="0089511A" w:rsidP="00272745">
      <w:pPr>
        <w:pStyle w:val="BodyText"/>
        <w:spacing w:before="122"/>
        <w:ind w:left="0" w:right="148"/>
      </w:pPr>
      <w:r>
        <w:t>The</w:t>
      </w:r>
      <w:r>
        <w:rPr>
          <w:spacing w:val="-3"/>
        </w:rPr>
        <w:t xml:space="preserve"> </w:t>
      </w:r>
      <w:r>
        <w:t>primary</w:t>
      </w:r>
      <w:r>
        <w:rPr>
          <w:spacing w:val="-4"/>
        </w:rPr>
        <w:t xml:space="preserve"> </w:t>
      </w:r>
      <w:r>
        <w:t>hypothesis</w:t>
      </w:r>
      <w:r>
        <w:rPr>
          <w:spacing w:val="-2"/>
        </w:rPr>
        <w:t xml:space="preserve"> </w:t>
      </w:r>
      <w:r>
        <w:t>testing</w:t>
      </w:r>
      <w:r>
        <w:rPr>
          <w:spacing w:val="-2"/>
        </w:rPr>
        <w:t xml:space="preserve"> </w:t>
      </w:r>
      <w:r>
        <w:t>for</w:t>
      </w:r>
      <w:r>
        <w:rPr>
          <w:spacing w:val="-4"/>
        </w:rPr>
        <w:t xml:space="preserve"> </w:t>
      </w:r>
      <w:r>
        <w:t>ORR</w:t>
      </w:r>
      <w:r>
        <w:rPr>
          <w:spacing w:val="-3"/>
        </w:rPr>
        <w:t xml:space="preserve"> </w:t>
      </w:r>
      <w:r>
        <w:t>was</w:t>
      </w:r>
      <w:r>
        <w:rPr>
          <w:spacing w:val="-3"/>
        </w:rPr>
        <w:t xml:space="preserve"> </w:t>
      </w:r>
      <w:r>
        <w:t>for</w:t>
      </w:r>
      <w:r>
        <w:rPr>
          <w:spacing w:val="-3"/>
        </w:rPr>
        <w:t xml:space="preserve"> </w:t>
      </w:r>
      <w:r>
        <w:t>non-inferiority.</w:t>
      </w:r>
      <w:r>
        <w:rPr>
          <w:spacing w:val="-3"/>
        </w:rPr>
        <w:t xml:space="preserve"> </w:t>
      </w:r>
      <w:r>
        <w:t>Non-inferiority</w:t>
      </w:r>
      <w:r>
        <w:rPr>
          <w:spacing w:val="-4"/>
        </w:rPr>
        <w:t xml:space="preserve"> </w:t>
      </w:r>
      <w:r>
        <w:t>of</w:t>
      </w:r>
      <w:r>
        <w:rPr>
          <w:spacing w:val="-3"/>
        </w:rPr>
        <w:t xml:space="preserve"> </w:t>
      </w:r>
      <w:r>
        <w:t xml:space="preserve">zanubrutinib to ibrutinib was assessed on the ORR using a stratified Wald test adjusting for the four </w:t>
      </w:r>
      <w:proofErr w:type="spellStart"/>
      <w:r>
        <w:t>randomisation</w:t>
      </w:r>
      <w:proofErr w:type="spellEnd"/>
      <w:r>
        <w:t xml:space="preserve"> stratification factors. Superiority was to be tested if non-inferiority was demonstrated. The monitoring boundaries for the non-inferiority and superiority tests were</w:t>
      </w:r>
      <w:r w:rsidR="00272745">
        <w:t xml:space="preserve"> </w:t>
      </w:r>
      <w:r>
        <w:t>based on the O’Brien-Fleming boundary approximated by the Lan-</w:t>
      </w:r>
      <w:proofErr w:type="spellStart"/>
      <w:r>
        <w:t>DeMets</w:t>
      </w:r>
      <w:proofErr w:type="spellEnd"/>
      <w:r>
        <w:t xml:space="preserve"> spending function. The </w:t>
      </w:r>
      <w:r w:rsidR="008A5005">
        <w:t>Sponsor</w:t>
      </w:r>
      <w:r>
        <w:t xml:space="preserve"> stated that the non-inferiority margin of 0.8558 in the response ratio (zanubrutinib/ibrutinib) was derived using a fixed margin approach and </w:t>
      </w:r>
      <w:proofErr w:type="gramStart"/>
      <w:r>
        <w:t>took into account</w:t>
      </w:r>
      <w:proofErr w:type="gramEnd"/>
      <w:r>
        <w:t xml:space="preserve"> the response</w:t>
      </w:r>
      <w:r>
        <w:rPr>
          <w:spacing w:val="-3"/>
        </w:rPr>
        <w:t xml:space="preserve"> </w:t>
      </w:r>
      <w:r>
        <w:t>rates</w:t>
      </w:r>
      <w:r>
        <w:rPr>
          <w:spacing w:val="-2"/>
        </w:rPr>
        <w:t xml:space="preserve"> </w:t>
      </w:r>
      <w:r>
        <w:t>published</w:t>
      </w:r>
      <w:r>
        <w:rPr>
          <w:spacing w:val="-5"/>
        </w:rPr>
        <w:t xml:space="preserve"> </w:t>
      </w:r>
      <w:r>
        <w:t>from</w:t>
      </w:r>
      <w:r>
        <w:rPr>
          <w:spacing w:val="-2"/>
        </w:rPr>
        <w:t xml:space="preserve"> </w:t>
      </w:r>
      <w:r>
        <w:t>the</w:t>
      </w:r>
      <w:r>
        <w:rPr>
          <w:spacing w:val="-3"/>
        </w:rPr>
        <w:t xml:space="preserve"> </w:t>
      </w:r>
      <w:r>
        <w:t>RESONATE</w:t>
      </w:r>
      <w:r>
        <w:rPr>
          <w:spacing w:val="-3"/>
        </w:rPr>
        <w:t xml:space="preserve"> </w:t>
      </w:r>
      <w:r>
        <w:t>and</w:t>
      </w:r>
      <w:r>
        <w:rPr>
          <w:spacing w:val="-5"/>
        </w:rPr>
        <w:t xml:space="preserve"> </w:t>
      </w:r>
      <w:r>
        <w:t>RESONATE2</w:t>
      </w:r>
      <w:r>
        <w:rPr>
          <w:spacing w:val="-3"/>
        </w:rPr>
        <w:t xml:space="preserve"> </w:t>
      </w:r>
      <w:r>
        <w:t>trials</w:t>
      </w:r>
      <w:r>
        <w:rPr>
          <w:spacing w:val="-2"/>
        </w:rPr>
        <w:t xml:space="preserve"> </w:t>
      </w:r>
      <w:r>
        <w:t>of</w:t>
      </w:r>
      <w:r>
        <w:rPr>
          <w:spacing w:val="-5"/>
        </w:rPr>
        <w:t xml:space="preserve"> </w:t>
      </w:r>
      <w:r>
        <w:t>ibrutinib.</w:t>
      </w:r>
      <w:r>
        <w:rPr>
          <w:spacing w:val="-3"/>
        </w:rPr>
        <w:t xml:space="preserve"> </w:t>
      </w:r>
      <w:r>
        <w:t>The</w:t>
      </w:r>
      <w:r>
        <w:rPr>
          <w:spacing w:val="-3"/>
        </w:rPr>
        <w:t xml:space="preserve"> </w:t>
      </w:r>
      <w:r w:rsidR="00AD25C7">
        <w:t>one</w:t>
      </w:r>
      <w:r w:rsidR="00AD25C7">
        <w:rPr>
          <w:spacing w:val="-5"/>
        </w:rPr>
        <w:t>-sided</w:t>
      </w:r>
      <w:r>
        <w:t xml:space="preserve"> p value boundaries for non-inferiority testing were 0.005 and 0.0235 for the interim and final analyses,</w:t>
      </w:r>
      <w:r>
        <w:rPr>
          <w:spacing w:val="-3"/>
        </w:rPr>
        <w:t xml:space="preserve"> </w:t>
      </w:r>
      <w:r>
        <w:t>respectively.</w:t>
      </w:r>
      <w:r>
        <w:rPr>
          <w:spacing w:val="-5"/>
        </w:rPr>
        <w:t xml:space="preserve"> </w:t>
      </w:r>
      <w:r>
        <w:t>Superiority</w:t>
      </w:r>
      <w:r>
        <w:rPr>
          <w:spacing w:val="-3"/>
        </w:rPr>
        <w:t xml:space="preserve"> </w:t>
      </w:r>
      <w:r>
        <w:t>testing</w:t>
      </w:r>
      <w:r>
        <w:rPr>
          <w:spacing w:val="-4"/>
        </w:rPr>
        <w:t xml:space="preserve"> </w:t>
      </w:r>
      <w:r>
        <w:t>had</w:t>
      </w:r>
      <w:r>
        <w:rPr>
          <w:spacing w:val="-3"/>
        </w:rPr>
        <w:t xml:space="preserve"> </w:t>
      </w:r>
      <w:r>
        <w:t>the</w:t>
      </w:r>
      <w:r>
        <w:rPr>
          <w:spacing w:val="-5"/>
        </w:rPr>
        <w:t xml:space="preserve"> </w:t>
      </w:r>
      <w:r>
        <w:t>same</w:t>
      </w:r>
      <w:r>
        <w:rPr>
          <w:spacing w:val="-3"/>
        </w:rPr>
        <w:t xml:space="preserve"> </w:t>
      </w:r>
      <w:r>
        <w:t>p</w:t>
      </w:r>
      <w:r>
        <w:rPr>
          <w:spacing w:val="-3"/>
        </w:rPr>
        <w:t xml:space="preserve"> </w:t>
      </w:r>
      <w:r>
        <w:t>value</w:t>
      </w:r>
      <w:r>
        <w:rPr>
          <w:spacing w:val="-3"/>
        </w:rPr>
        <w:t xml:space="preserve"> </w:t>
      </w:r>
      <w:r>
        <w:t>boundaries which</w:t>
      </w:r>
      <w:r>
        <w:rPr>
          <w:spacing w:val="-3"/>
        </w:rPr>
        <w:t xml:space="preserve"> </w:t>
      </w:r>
      <w:r>
        <w:t>corresponded to chi-squared p-value cut offs of 0.0099 and 0.0469, respectively.</w:t>
      </w:r>
    </w:p>
    <w:p w14:paraId="4BAFC5CE" w14:textId="77777777" w:rsidR="0089511A" w:rsidRDefault="0089511A" w:rsidP="0089511A">
      <w:pPr>
        <w:pStyle w:val="BodyText"/>
        <w:spacing w:before="120"/>
        <w:ind w:left="0" w:right="127"/>
      </w:pPr>
      <w:r>
        <w:t>Stepwise</w:t>
      </w:r>
      <w:r>
        <w:rPr>
          <w:spacing w:val="-1"/>
        </w:rPr>
        <w:t xml:space="preserve"> </w:t>
      </w:r>
      <w:r>
        <w:t>hierarchical</w:t>
      </w:r>
      <w:r>
        <w:rPr>
          <w:spacing w:val="-1"/>
        </w:rPr>
        <w:t xml:space="preserve"> </w:t>
      </w:r>
      <w:r>
        <w:t>testing was used</w:t>
      </w:r>
      <w:r>
        <w:rPr>
          <w:spacing w:val="-1"/>
        </w:rPr>
        <w:t xml:space="preserve"> </w:t>
      </w:r>
      <w:r>
        <w:t>for</w:t>
      </w:r>
      <w:r>
        <w:rPr>
          <w:spacing w:val="-1"/>
        </w:rPr>
        <w:t xml:space="preserve"> </w:t>
      </w:r>
      <w:r>
        <w:t>assessment</w:t>
      </w:r>
      <w:r>
        <w:rPr>
          <w:spacing w:val="-2"/>
        </w:rPr>
        <w:t xml:space="preserve"> </w:t>
      </w:r>
      <w:r>
        <w:t>of</w:t>
      </w:r>
      <w:r>
        <w:rPr>
          <w:spacing w:val="-1"/>
        </w:rPr>
        <w:t xml:space="preserve"> </w:t>
      </w:r>
      <w:r>
        <w:t>key</w:t>
      </w:r>
      <w:r>
        <w:rPr>
          <w:spacing w:val="-2"/>
        </w:rPr>
        <w:t xml:space="preserve"> </w:t>
      </w:r>
      <w:r>
        <w:t>secondary</w:t>
      </w:r>
      <w:r>
        <w:rPr>
          <w:spacing w:val="-3"/>
        </w:rPr>
        <w:t xml:space="preserve"> </w:t>
      </w:r>
      <w:r>
        <w:t>endpoints</w:t>
      </w:r>
      <w:r>
        <w:rPr>
          <w:spacing w:val="-1"/>
        </w:rPr>
        <w:t xml:space="preserve"> </w:t>
      </w:r>
      <w:r>
        <w:t>to</w:t>
      </w:r>
      <w:r>
        <w:rPr>
          <w:spacing w:val="-4"/>
        </w:rPr>
        <w:t xml:space="preserve"> </w:t>
      </w:r>
      <w:r>
        <w:t>control</w:t>
      </w:r>
      <w:r>
        <w:rPr>
          <w:spacing w:val="-1"/>
        </w:rPr>
        <w:t xml:space="preserve"> </w:t>
      </w:r>
      <w:r>
        <w:t>for type</w:t>
      </w:r>
      <w:r>
        <w:rPr>
          <w:spacing w:val="-3"/>
        </w:rPr>
        <w:t xml:space="preserve"> </w:t>
      </w:r>
      <w:r>
        <w:t>I</w:t>
      </w:r>
      <w:r>
        <w:rPr>
          <w:spacing w:val="-2"/>
        </w:rPr>
        <w:t xml:space="preserve"> </w:t>
      </w:r>
      <w:r>
        <w:t>error.</w:t>
      </w:r>
      <w:r>
        <w:rPr>
          <w:spacing w:val="-5"/>
        </w:rPr>
        <w:t xml:space="preserve"> </w:t>
      </w:r>
      <w:r>
        <w:t>This</w:t>
      </w:r>
      <w:r>
        <w:rPr>
          <w:spacing w:val="-1"/>
        </w:rPr>
        <w:t xml:space="preserve"> </w:t>
      </w:r>
      <w:r>
        <w:t>included</w:t>
      </w:r>
      <w:r>
        <w:rPr>
          <w:spacing w:val="-5"/>
        </w:rPr>
        <w:t xml:space="preserve"> </w:t>
      </w:r>
      <w:r>
        <w:t>non-inferiority</w:t>
      </w:r>
      <w:r>
        <w:rPr>
          <w:spacing w:val="-3"/>
        </w:rPr>
        <w:t xml:space="preserve"> </w:t>
      </w:r>
      <w:r>
        <w:t>and</w:t>
      </w:r>
      <w:r>
        <w:rPr>
          <w:spacing w:val="-3"/>
        </w:rPr>
        <w:t xml:space="preserve"> </w:t>
      </w:r>
      <w:r>
        <w:t>superiority</w:t>
      </w:r>
      <w:r>
        <w:rPr>
          <w:spacing w:val="-3"/>
        </w:rPr>
        <w:t xml:space="preserve"> </w:t>
      </w:r>
      <w:r>
        <w:t>of</w:t>
      </w:r>
      <w:r>
        <w:rPr>
          <w:spacing w:val="-2"/>
        </w:rPr>
        <w:t xml:space="preserve"> </w:t>
      </w:r>
      <w:r>
        <w:t>PFS</w:t>
      </w:r>
      <w:r>
        <w:rPr>
          <w:spacing w:val="-2"/>
        </w:rPr>
        <w:t xml:space="preserve"> </w:t>
      </w:r>
      <w:r>
        <w:t>by</w:t>
      </w:r>
      <w:r>
        <w:rPr>
          <w:spacing w:val="-3"/>
        </w:rPr>
        <w:t xml:space="preserve"> </w:t>
      </w:r>
      <w:r>
        <w:t>investigator</w:t>
      </w:r>
      <w:r>
        <w:rPr>
          <w:spacing w:val="-2"/>
        </w:rPr>
        <w:t xml:space="preserve"> </w:t>
      </w:r>
      <w:r>
        <w:t>assessment</w:t>
      </w:r>
      <w:r>
        <w:rPr>
          <w:spacing w:val="-3"/>
        </w:rPr>
        <w:t xml:space="preserve"> </w:t>
      </w:r>
      <w:r>
        <w:t xml:space="preserve">and the incidence of atrial flutter/fibrillation). Assessment of other endpoints was descriptive. The non-inferiority of zanubrutinib to ibrutinib on PFS assessment used a margin of 1.3319 (for the hazard ratio of </w:t>
      </w:r>
      <w:proofErr w:type="spellStart"/>
      <w:r>
        <w:t>zanubrutinib</w:t>
      </w:r>
      <w:proofErr w:type="spellEnd"/>
      <w:r>
        <w:t xml:space="preserve">/ibrutinib) and was </w:t>
      </w:r>
      <w:proofErr w:type="spellStart"/>
      <w:r>
        <w:t>analysed</w:t>
      </w:r>
      <w:proofErr w:type="spellEnd"/>
      <w:r>
        <w:t xml:space="preserve"> using a stratified Wald test. A stratified Cox regression model estimated the hazard ratio for PFS and its 95% CI.</w:t>
      </w:r>
    </w:p>
    <w:p w14:paraId="31445CA2" w14:textId="77777777" w:rsidR="0089511A" w:rsidRDefault="0089511A" w:rsidP="0089511A">
      <w:pPr>
        <w:pStyle w:val="BodyText"/>
        <w:spacing w:before="118"/>
        <w:ind w:left="0"/>
      </w:pPr>
      <w:r>
        <w:t>There was one interim analysis for non-inferiority of the ORR after the first 415 patients were randomised</w:t>
      </w:r>
      <w:r>
        <w:rPr>
          <w:spacing w:val="-3"/>
        </w:rPr>
        <w:t xml:space="preserve"> </w:t>
      </w:r>
      <w:r>
        <w:t>patients</w:t>
      </w:r>
      <w:r>
        <w:rPr>
          <w:spacing w:val="-2"/>
        </w:rPr>
        <w:t xml:space="preserve"> </w:t>
      </w:r>
      <w:r>
        <w:t>(207</w:t>
      </w:r>
      <w:r>
        <w:rPr>
          <w:spacing w:val="-5"/>
        </w:rPr>
        <w:t xml:space="preserve"> </w:t>
      </w:r>
      <w:r>
        <w:t>zanubrutinib</w:t>
      </w:r>
      <w:r>
        <w:rPr>
          <w:spacing w:val="-3"/>
        </w:rPr>
        <w:t xml:space="preserve"> </w:t>
      </w:r>
      <w:r>
        <w:t>and</w:t>
      </w:r>
      <w:r>
        <w:rPr>
          <w:spacing w:val="-3"/>
        </w:rPr>
        <w:t xml:space="preserve"> </w:t>
      </w:r>
      <w:r>
        <w:t>208</w:t>
      </w:r>
      <w:r>
        <w:rPr>
          <w:spacing w:val="-3"/>
        </w:rPr>
        <w:t xml:space="preserve"> </w:t>
      </w:r>
      <w:r>
        <w:t>ibrutinib).</w:t>
      </w:r>
      <w:r>
        <w:rPr>
          <w:spacing w:val="-3"/>
        </w:rPr>
        <w:t xml:space="preserve"> </w:t>
      </w:r>
      <w:r>
        <w:t>If</w:t>
      </w:r>
      <w:r>
        <w:rPr>
          <w:spacing w:val="-3"/>
        </w:rPr>
        <w:t xml:space="preserve"> </w:t>
      </w:r>
      <w:r>
        <w:t>the</w:t>
      </w:r>
      <w:r>
        <w:rPr>
          <w:spacing w:val="-3"/>
        </w:rPr>
        <w:t xml:space="preserve"> </w:t>
      </w:r>
      <w:r>
        <w:t>primary</w:t>
      </w:r>
      <w:r>
        <w:rPr>
          <w:spacing w:val="-3"/>
        </w:rPr>
        <w:t xml:space="preserve"> </w:t>
      </w:r>
      <w:r>
        <w:t>study</w:t>
      </w:r>
      <w:r>
        <w:rPr>
          <w:spacing w:val="-3"/>
        </w:rPr>
        <w:t xml:space="preserve"> </w:t>
      </w:r>
      <w:r>
        <w:t xml:space="preserve">non-inferiority objective was met, then the study was to continue to follow up PFS until 205 events were </w:t>
      </w:r>
      <w:r>
        <w:rPr>
          <w:spacing w:val="-2"/>
        </w:rPr>
        <w:t>observed.</w:t>
      </w:r>
    </w:p>
    <w:p w14:paraId="26A282CD" w14:textId="2951ED06" w:rsidR="0089511A" w:rsidRDefault="0089511A" w:rsidP="004E360F">
      <w:pPr>
        <w:pStyle w:val="Heading6"/>
      </w:pPr>
      <w:r>
        <w:t>Results</w:t>
      </w:r>
    </w:p>
    <w:p w14:paraId="4380C50B" w14:textId="4970D63B" w:rsidR="0089511A" w:rsidRDefault="0089511A" w:rsidP="0089511A">
      <w:pPr>
        <w:pStyle w:val="BodyText"/>
        <w:spacing w:before="122"/>
        <w:ind w:left="0"/>
      </w:pPr>
      <w:r>
        <w:t xml:space="preserve">This </w:t>
      </w:r>
      <w:r w:rsidR="00272745">
        <w:t>CSR</w:t>
      </w:r>
      <w:r>
        <w:t xml:space="preserve"> included analyses performed on data collected through to December 2020 for the planned interim analysis. Of the first 415 randomised patients, 207 patients were randomised to zanubrutinib, and 208 to the ibrutinib. Results for patients randomised after the first</w:t>
      </w:r>
      <w:r>
        <w:rPr>
          <w:spacing w:val="-6"/>
        </w:rPr>
        <w:t xml:space="preserve"> </w:t>
      </w:r>
      <w:r>
        <w:t>415</w:t>
      </w:r>
      <w:r>
        <w:rPr>
          <w:spacing w:val="-2"/>
        </w:rPr>
        <w:t xml:space="preserve"> </w:t>
      </w:r>
      <w:r>
        <w:t>patients</w:t>
      </w:r>
      <w:r>
        <w:rPr>
          <w:spacing w:val="-1"/>
        </w:rPr>
        <w:t xml:space="preserve"> </w:t>
      </w:r>
      <w:r>
        <w:t>were</w:t>
      </w:r>
      <w:r>
        <w:rPr>
          <w:spacing w:val="-2"/>
        </w:rPr>
        <w:t xml:space="preserve"> </w:t>
      </w:r>
      <w:r>
        <w:t>also</w:t>
      </w:r>
      <w:r>
        <w:rPr>
          <w:spacing w:val="-2"/>
        </w:rPr>
        <w:t xml:space="preserve"> </w:t>
      </w:r>
      <w:r>
        <w:t>included</w:t>
      </w:r>
      <w:r>
        <w:rPr>
          <w:spacing w:val="-5"/>
        </w:rPr>
        <w:t xml:space="preserve"> </w:t>
      </w:r>
      <w:r>
        <w:t>in</w:t>
      </w:r>
      <w:r>
        <w:rPr>
          <w:spacing w:val="-3"/>
        </w:rPr>
        <w:t xml:space="preserve"> </w:t>
      </w:r>
      <w:r>
        <w:t>the</w:t>
      </w:r>
      <w:r>
        <w:rPr>
          <w:spacing w:val="-2"/>
        </w:rPr>
        <w:t xml:space="preserve"> </w:t>
      </w:r>
      <w:r>
        <w:t>CSR.</w:t>
      </w:r>
      <w:r>
        <w:rPr>
          <w:spacing w:val="-2"/>
        </w:rPr>
        <w:t xml:space="preserve"> </w:t>
      </w:r>
      <w:r>
        <w:t>A</w:t>
      </w:r>
      <w:r>
        <w:rPr>
          <w:spacing w:val="-4"/>
        </w:rPr>
        <w:t xml:space="preserve"> </w:t>
      </w:r>
      <w:r>
        <w:t>total</w:t>
      </w:r>
      <w:r>
        <w:rPr>
          <w:spacing w:val="-2"/>
        </w:rPr>
        <w:t xml:space="preserve"> </w:t>
      </w:r>
      <w:r>
        <w:t>of 652</w:t>
      </w:r>
      <w:r>
        <w:rPr>
          <w:spacing w:val="-2"/>
        </w:rPr>
        <w:t xml:space="preserve"> </w:t>
      </w:r>
      <w:r>
        <w:t>patients</w:t>
      </w:r>
      <w:r>
        <w:rPr>
          <w:spacing w:val="-1"/>
        </w:rPr>
        <w:t xml:space="preserve"> </w:t>
      </w:r>
      <w:r>
        <w:t>were</w:t>
      </w:r>
      <w:r>
        <w:rPr>
          <w:spacing w:val="-2"/>
        </w:rPr>
        <w:t xml:space="preserve"> </w:t>
      </w:r>
      <w:r w:rsidR="00AD25C7">
        <w:t>randomised:</w:t>
      </w:r>
      <w:r>
        <w:rPr>
          <w:spacing w:val="-3"/>
        </w:rPr>
        <w:t xml:space="preserve"> </w:t>
      </w:r>
      <w:r>
        <w:t>327</w:t>
      </w:r>
      <w:r>
        <w:rPr>
          <w:spacing w:val="-3"/>
        </w:rPr>
        <w:t xml:space="preserve"> </w:t>
      </w:r>
      <w:r>
        <w:t>to zanubrutinib and</w:t>
      </w:r>
      <w:r>
        <w:rPr>
          <w:spacing w:val="40"/>
        </w:rPr>
        <w:t xml:space="preserve"> </w:t>
      </w:r>
      <w:r>
        <w:t>325 to the ibrutinib. Median study follow-up times were 13.60 months and</w:t>
      </w:r>
    </w:p>
    <w:p w14:paraId="3E141748" w14:textId="77777777" w:rsidR="0089511A" w:rsidRDefault="0089511A" w:rsidP="0089511A">
      <w:pPr>
        <w:pStyle w:val="BodyText"/>
        <w:spacing w:line="257" w:lineRule="exact"/>
        <w:ind w:left="0"/>
      </w:pPr>
      <w:r>
        <w:t>13.47</w:t>
      </w:r>
      <w:r>
        <w:rPr>
          <w:spacing w:val="-9"/>
        </w:rPr>
        <w:t xml:space="preserve"> </w:t>
      </w:r>
      <w:r>
        <w:t>months</w:t>
      </w:r>
      <w:r>
        <w:rPr>
          <w:spacing w:val="-2"/>
        </w:rPr>
        <w:t xml:space="preserve"> </w:t>
      </w:r>
      <w:r>
        <w:t>in</w:t>
      </w:r>
      <w:r>
        <w:rPr>
          <w:spacing w:val="-5"/>
        </w:rPr>
        <w:t xml:space="preserve"> </w:t>
      </w:r>
      <w:r>
        <w:t>the</w:t>
      </w:r>
      <w:r>
        <w:rPr>
          <w:spacing w:val="-3"/>
        </w:rPr>
        <w:t xml:space="preserve"> </w:t>
      </w:r>
      <w:r>
        <w:t>zanubrutinib</w:t>
      </w:r>
      <w:r>
        <w:rPr>
          <w:spacing w:val="-5"/>
        </w:rPr>
        <w:t xml:space="preserve"> </w:t>
      </w:r>
      <w:r>
        <w:t>and</w:t>
      </w:r>
      <w:r>
        <w:rPr>
          <w:spacing w:val="-4"/>
        </w:rPr>
        <w:t xml:space="preserve"> </w:t>
      </w:r>
      <w:r>
        <w:t>ibrutinib</w:t>
      </w:r>
      <w:r>
        <w:rPr>
          <w:spacing w:val="-4"/>
        </w:rPr>
        <w:t xml:space="preserve"> </w:t>
      </w:r>
      <w:r>
        <w:t>arms,</w:t>
      </w:r>
      <w:r>
        <w:rPr>
          <w:spacing w:val="-3"/>
        </w:rPr>
        <w:t xml:space="preserve"> </w:t>
      </w:r>
      <w:r>
        <w:rPr>
          <w:spacing w:val="-2"/>
        </w:rPr>
        <w:t>respectively.</w:t>
      </w:r>
    </w:p>
    <w:p w14:paraId="23CDE84B" w14:textId="4C7A7797" w:rsidR="0089511A" w:rsidRDefault="0089511A" w:rsidP="0089511A">
      <w:pPr>
        <w:pStyle w:val="BodyText"/>
        <w:spacing w:before="121"/>
        <w:ind w:left="0" w:right="159"/>
      </w:pPr>
      <w:r>
        <w:t>The two arms were relatively balanced</w:t>
      </w:r>
      <w:r>
        <w:rPr>
          <w:spacing w:val="-2"/>
        </w:rPr>
        <w:t xml:space="preserve"> </w:t>
      </w:r>
      <w:r>
        <w:t>on baseline characteristics apart from</w:t>
      </w:r>
      <w:r>
        <w:rPr>
          <w:spacing w:val="-1"/>
        </w:rPr>
        <w:t xml:space="preserve"> </w:t>
      </w:r>
      <w:r w:rsidR="00B27EB9">
        <w:rPr>
          <w:spacing w:val="-1"/>
        </w:rPr>
        <w:t xml:space="preserve">a </w:t>
      </w:r>
      <w:r>
        <w:t>greater proportion of women in the zanubrutinib group (34.9% vs 28.6%). Mean age was 66.7 and 67.1 years in the zanubrutinib</w:t>
      </w:r>
      <w:r>
        <w:rPr>
          <w:spacing w:val="-3"/>
        </w:rPr>
        <w:t xml:space="preserve"> </w:t>
      </w:r>
      <w:r>
        <w:t>and</w:t>
      </w:r>
      <w:r>
        <w:rPr>
          <w:spacing w:val="-3"/>
        </w:rPr>
        <w:t xml:space="preserve"> </w:t>
      </w:r>
      <w:r>
        <w:t>ibrutinib</w:t>
      </w:r>
      <w:r>
        <w:rPr>
          <w:spacing w:val="-3"/>
        </w:rPr>
        <w:t xml:space="preserve"> </w:t>
      </w:r>
      <w:r>
        <w:t>arms,</w:t>
      </w:r>
      <w:r>
        <w:rPr>
          <w:spacing w:val="-2"/>
        </w:rPr>
        <w:t xml:space="preserve"> </w:t>
      </w:r>
      <w:r>
        <w:t>respectively.</w:t>
      </w:r>
      <w:r>
        <w:rPr>
          <w:spacing w:val="-3"/>
        </w:rPr>
        <w:t xml:space="preserve"> </w:t>
      </w:r>
      <w:r>
        <w:t>ECOG</w:t>
      </w:r>
      <w:r>
        <w:rPr>
          <w:spacing w:val="-3"/>
        </w:rPr>
        <w:t xml:space="preserve"> </w:t>
      </w:r>
      <w:r>
        <w:t>performance</w:t>
      </w:r>
      <w:r>
        <w:rPr>
          <w:spacing w:val="-2"/>
        </w:rPr>
        <w:t xml:space="preserve"> </w:t>
      </w:r>
      <w:r>
        <w:t>stage</w:t>
      </w:r>
      <w:r>
        <w:rPr>
          <w:spacing w:val="-2"/>
        </w:rPr>
        <w:t xml:space="preserve"> </w:t>
      </w:r>
      <w:r>
        <w:t>was</w:t>
      </w:r>
      <w:r>
        <w:rPr>
          <w:spacing w:val="-4"/>
        </w:rPr>
        <w:t xml:space="preserve"> </w:t>
      </w:r>
      <w:r>
        <w:t>0</w:t>
      </w:r>
      <w:r>
        <w:rPr>
          <w:spacing w:val="-2"/>
        </w:rPr>
        <w:t xml:space="preserve"> </w:t>
      </w:r>
      <w:r>
        <w:t>or</w:t>
      </w:r>
      <w:r>
        <w:rPr>
          <w:spacing w:val="-3"/>
        </w:rPr>
        <w:t xml:space="preserve"> </w:t>
      </w:r>
      <w:r>
        <w:t>1</w:t>
      </w:r>
      <w:r>
        <w:rPr>
          <w:spacing w:val="-2"/>
        </w:rPr>
        <w:t xml:space="preserve"> </w:t>
      </w:r>
      <w:r>
        <w:t>in</w:t>
      </w:r>
      <w:r>
        <w:rPr>
          <w:spacing w:val="-3"/>
        </w:rPr>
        <w:t xml:space="preserve"> </w:t>
      </w:r>
      <w:r>
        <w:t>96-98%</w:t>
      </w:r>
      <w:r>
        <w:rPr>
          <w:spacing w:val="-5"/>
        </w:rPr>
        <w:t xml:space="preserve"> </w:t>
      </w:r>
      <w:r>
        <w:t>of the patients.</w:t>
      </w:r>
      <w:r>
        <w:rPr>
          <w:spacing w:val="-2"/>
        </w:rPr>
        <w:t xml:space="preserve"> </w:t>
      </w:r>
      <w:r>
        <w:t>The disease type was balanced (CLL: 96.0% vs 95.1%, SLL: 4.0%</w:t>
      </w:r>
      <w:r>
        <w:rPr>
          <w:spacing w:val="-1"/>
        </w:rPr>
        <w:t xml:space="preserve"> </w:t>
      </w:r>
      <w:r>
        <w:t>vs 4.9%). Medical conditions were generally balanced. History of infections/infestations was 34.3</w:t>
      </w:r>
      <w:r w:rsidR="006A5D41">
        <w:t xml:space="preserve"> vs </w:t>
      </w:r>
      <w:r>
        <w:t>35.7% and the rate of atrial fibrillation was 4.9% vs 5.8% in the zanubrutinib and ibrutinib arm, respectively.</w:t>
      </w:r>
    </w:p>
    <w:p w14:paraId="2D55557F" w14:textId="77777777" w:rsidR="0089511A" w:rsidRDefault="0089511A" w:rsidP="0089511A">
      <w:pPr>
        <w:pStyle w:val="BodyText"/>
        <w:spacing w:before="120"/>
        <w:ind w:left="0" w:right="183"/>
      </w:pPr>
      <w:r>
        <w:t>The</w:t>
      </w:r>
      <w:r>
        <w:rPr>
          <w:spacing w:val="-5"/>
        </w:rPr>
        <w:t xml:space="preserve"> </w:t>
      </w:r>
      <w:r>
        <w:t>median</w:t>
      </w:r>
      <w:r>
        <w:rPr>
          <w:spacing w:val="-3"/>
        </w:rPr>
        <w:t xml:space="preserve"> </w:t>
      </w:r>
      <w:r>
        <w:t>time</w:t>
      </w:r>
      <w:r>
        <w:rPr>
          <w:spacing w:val="-2"/>
        </w:rPr>
        <w:t xml:space="preserve"> </w:t>
      </w:r>
      <w:r>
        <w:t>from</w:t>
      </w:r>
      <w:r>
        <w:rPr>
          <w:spacing w:val="-4"/>
        </w:rPr>
        <w:t xml:space="preserve"> </w:t>
      </w:r>
      <w:r>
        <w:t>initial</w:t>
      </w:r>
      <w:r>
        <w:rPr>
          <w:spacing w:val="-2"/>
        </w:rPr>
        <w:t xml:space="preserve"> </w:t>
      </w:r>
      <w:r>
        <w:t>diagnosis</w:t>
      </w:r>
      <w:r>
        <w:rPr>
          <w:spacing w:val="-1"/>
        </w:rPr>
        <w:t xml:space="preserve"> </w:t>
      </w:r>
      <w:r>
        <w:t>to</w:t>
      </w:r>
      <w:r>
        <w:rPr>
          <w:spacing w:val="-2"/>
        </w:rPr>
        <w:t xml:space="preserve"> </w:t>
      </w:r>
      <w:proofErr w:type="spellStart"/>
      <w:r>
        <w:t>randomisation</w:t>
      </w:r>
      <w:proofErr w:type="spellEnd"/>
      <w:r>
        <w:rPr>
          <w:spacing w:val="-3"/>
        </w:rPr>
        <w:t xml:space="preserve"> </w:t>
      </w:r>
      <w:r>
        <w:t>was</w:t>
      </w:r>
      <w:r>
        <w:rPr>
          <w:spacing w:val="-1"/>
        </w:rPr>
        <w:t xml:space="preserve"> </w:t>
      </w:r>
      <w:r>
        <w:t>83.3</w:t>
      </w:r>
      <w:r>
        <w:rPr>
          <w:spacing w:val="-5"/>
        </w:rPr>
        <w:t xml:space="preserve"> </w:t>
      </w:r>
      <w:r>
        <w:t>months</w:t>
      </w:r>
      <w:r>
        <w:rPr>
          <w:spacing w:val="-1"/>
        </w:rPr>
        <w:t xml:space="preserve"> </w:t>
      </w:r>
      <w:r>
        <w:t>in</w:t>
      </w:r>
      <w:r>
        <w:rPr>
          <w:spacing w:val="-4"/>
        </w:rPr>
        <w:t xml:space="preserve"> </w:t>
      </w:r>
      <w:r>
        <w:t>the</w:t>
      </w:r>
      <w:r>
        <w:rPr>
          <w:spacing w:val="-2"/>
        </w:rPr>
        <w:t xml:space="preserve"> </w:t>
      </w:r>
      <w:r>
        <w:t xml:space="preserve">zanubrutinib arm and 82.0 months in the ibrutinib arm. </w:t>
      </w:r>
      <w:proofErr w:type="gramStart"/>
      <w:r>
        <w:t>The majority of</w:t>
      </w:r>
      <w:proofErr w:type="gramEnd"/>
      <w:r>
        <w:t xml:space="preserve"> patients had CLL (96.0% in the zanubrutinib arm and 95.1% in the ibrutinib arm) at stage B (45.0% in the zanubrutinib arm and</w:t>
      </w:r>
      <w:r>
        <w:rPr>
          <w:spacing w:val="-1"/>
        </w:rPr>
        <w:t xml:space="preserve"> </w:t>
      </w:r>
      <w:r>
        <w:t>47.4%</w:t>
      </w:r>
      <w:r>
        <w:rPr>
          <w:spacing w:val="-3"/>
        </w:rPr>
        <w:t xml:space="preserve"> </w:t>
      </w:r>
      <w:r>
        <w:t>in</w:t>
      </w:r>
      <w:r>
        <w:rPr>
          <w:spacing w:val="-1"/>
        </w:rPr>
        <w:t xml:space="preserve"> </w:t>
      </w:r>
      <w:r>
        <w:t>the ibrutinib</w:t>
      </w:r>
      <w:r>
        <w:rPr>
          <w:spacing w:val="-1"/>
        </w:rPr>
        <w:t xml:space="preserve"> </w:t>
      </w:r>
      <w:r>
        <w:t>arm) and</w:t>
      </w:r>
      <w:r>
        <w:rPr>
          <w:spacing w:val="-1"/>
        </w:rPr>
        <w:t xml:space="preserve"> </w:t>
      </w:r>
      <w:r>
        <w:t>stage</w:t>
      </w:r>
      <w:r>
        <w:rPr>
          <w:spacing w:val="-3"/>
        </w:rPr>
        <w:t xml:space="preserve"> </w:t>
      </w:r>
      <w:r>
        <w:t>C (41.0% in</w:t>
      </w:r>
      <w:r>
        <w:rPr>
          <w:spacing w:val="-1"/>
        </w:rPr>
        <w:t xml:space="preserve"> </w:t>
      </w:r>
      <w:r>
        <w:t>the zanubrutinib</w:t>
      </w:r>
      <w:r>
        <w:rPr>
          <w:spacing w:val="-1"/>
        </w:rPr>
        <w:t xml:space="preserve"> </w:t>
      </w:r>
      <w:r>
        <w:t>arm and</w:t>
      </w:r>
      <w:r>
        <w:rPr>
          <w:spacing w:val="-1"/>
        </w:rPr>
        <w:t xml:space="preserve"> </w:t>
      </w:r>
      <w:r>
        <w:t>36.9% in</w:t>
      </w:r>
      <w:r>
        <w:rPr>
          <w:spacing w:val="-1"/>
        </w:rPr>
        <w:t xml:space="preserve"> </w:t>
      </w:r>
      <w:r>
        <w:t xml:space="preserve">the ibrutinib arm). Patients with SLL accounted for 4.0% in the zanubrutinib and 4.9% in the ibrutinib arms. Genetic mutations, including del17p (zanubrutinib [13.8%] versus ibrutinib [15.4%]), del11q (zanubrutinib [27.8%] versus ibrutinib [27.1%]), </w:t>
      </w:r>
      <w:r>
        <w:rPr>
          <w:i/>
        </w:rPr>
        <w:t xml:space="preserve">TP53 </w:t>
      </w:r>
      <w:r>
        <w:t>mutations</w:t>
      </w:r>
    </w:p>
    <w:p w14:paraId="3DBDB138" w14:textId="77777777" w:rsidR="0089511A" w:rsidRDefault="0089511A" w:rsidP="0089511A">
      <w:pPr>
        <w:pStyle w:val="BodyText"/>
        <w:ind w:left="0" w:right="183"/>
      </w:pPr>
      <w:r>
        <w:t xml:space="preserve">(zanubrutinib [15.3%] versus ibrutinib [13.8%]), unmutated </w:t>
      </w:r>
      <w:r>
        <w:rPr>
          <w:i/>
        </w:rPr>
        <w:t xml:space="preserve">IGHV </w:t>
      </w:r>
      <w:r>
        <w:t>(zanubrutinib [70.0%] versus</w:t>
      </w:r>
      <w:r>
        <w:rPr>
          <w:spacing w:val="-1"/>
        </w:rPr>
        <w:t xml:space="preserve"> </w:t>
      </w:r>
      <w:r>
        <w:t>ibrutinib</w:t>
      </w:r>
      <w:r>
        <w:rPr>
          <w:spacing w:val="-3"/>
        </w:rPr>
        <w:t xml:space="preserve"> </w:t>
      </w:r>
      <w:r>
        <w:t>[72.0%]),</w:t>
      </w:r>
      <w:r>
        <w:rPr>
          <w:spacing w:val="-5"/>
        </w:rPr>
        <w:t xml:space="preserve"> </w:t>
      </w:r>
      <w:r>
        <w:t>were</w:t>
      </w:r>
      <w:r>
        <w:rPr>
          <w:spacing w:val="-2"/>
        </w:rPr>
        <w:t xml:space="preserve"> </w:t>
      </w:r>
      <w:r>
        <w:t>comparable</w:t>
      </w:r>
      <w:r>
        <w:rPr>
          <w:spacing w:val="-3"/>
        </w:rPr>
        <w:t xml:space="preserve"> </w:t>
      </w:r>
      <w:r>
        <w:t>between</w:t>
      </w:r>
      <w:r>
        <w:rPr>
          <w:spacing w:val="-3"/>
        </w:rPr>
        <w:t xml:space="preserve"> </w:t>
      </w:r>
      <w:r>
        <w:t>the zanubrutinib</w:t>
      </w:r>
      <w:r>
        <w:rPr>
          <w:spacing w:val="40"/>
        </w:rPr>
        <w:t xml:space="preserve"> </w:t>
      </w:r>
      <w:r>
        <w:t>and</w:t>
      </w:r>
      <w:r>
        <w:rPr>
          <w:spacing w:val="-3"/>
        </w:rPr>
        <w:t xml:space="preserve"> </w:t>
      </w:r>
      <w:r>
        <w:t>the</w:t>
      </w:r>
      <w:r>
        <w:rPr>
          <w:spacing w:val="-2"/>
        </w:rPr>
        <w:t xml:space="preserve"> </w:t>
      </w:r>
      <w:r>
        <w:t>ibrutinib</w:t>
      </w:r>
      <w:r>
        <w:rPr>
          <w:spacing w:val="-3"/>
        </w:rPr>
        <w:t xml:space="preserve"> </w:t>
      </w:r>
      <w:r>
        <w:t>arms.</w:t>
      </w:r>
    </w:p>
    <w:p w14:paraId="2C1B2D14" w14:textId="5CC456D8" w:rsidR="0089511A" w:rsidRDefault="0089511A" w:rsidP="000E18E3">
      <w:pPr>
        <w:pStyle w:val="Heading6"/>
      </w:pPr>
      <w:r>
        <w:t>Interim</w:t>
      </w:r>
      <w:r>
        <w:rPr>
          <w:spacing w:val="-5"/>
        </w:rPr>
        <w:t xml:space="preserve"> </w:t>
      </w:r>
      <w:r>
        <w:t>analysis</w:t>
      </w:r>
      <w:r>
        <w:rPr>
          <w:spacing w:val="-3"/>
        </w:rPr>
        <w:t xml:space="preserve"> </w:t>
      </w:r>
      <w:r>
        <w:t>of</w:t>
      </w:r>
      <w:r>
        <w:rPr>
          <w:spacing w:val="-3"/>
        </w:rPr>
        <w:t xml:space="preserve"> </w:t>
      </w:r>
      <w:r>
        <w:t>the</w:t>
      </w:r>
      <w:r>
        <w:rPr>
          <w:spacing w:val="-4"/>
        </w:rPr>
        <w:t xml:space="preserve"> </w:t>
      </w:r>
      <w:r>
        <w:t>first</w:t>
      </w:r>
      <w:r>
        <w:rPr>
          <w:spacing w:val="-4"/>
        </w:rPr>
        <w:t xml:space="preserve"> </w:t>
      </w:r>
      <w:r>
        <w:t>415</w:t>
      </w:r>
      <w:r>
        <w:rPr>
          <w:spacing w:val="-3"/>
        </w:rPr>
        <w:t xml:space="preserve"> </w:t>
      </w:r>
      <w:r>
        <w:t>patients</w:t>
      </w:r>
      <w:r>
        <w:rPr>
          <w:spacing w:val="-2"/>
        </w:rPr>
        <w:t xml:space="preserve"> </w:t>
      </w:r>
      <w:r>
        <w:t>(by</w:t>
      </w:r>
      <w:r>
        <w:rPr>
          <w:spacing w:val="-4"/>
        </w:rPr>
        <w:t xml:space="preserve"> </w:t>
      </w:r>
      <w:r>
        <w:rPr>
          <w:spacing w:val="-2"/>
        </w:rPr>
        <w:t>investigator)</w:t>
      </w:r>
    </w:p>
    <w:p w14:paraId="299D1A6E" w14:textId="114AC19C" w:rsidR="0089511A" w:rsidRDefault="0089511A" w:rsidP="0089511A">
      <w:pPr>
        <w:pStyle w:val="BodyText"/>
        <w:spacing w:before="122"/>
        <w:ind w:left="0" w:right="148"/>
      </w:pPr>
      <w:r>
        <w:t>The overall median treatment duration in the first 415 randomised patients</w:t>
      </w:r>
      <w:r>
        <w:rPr>
          <w:spacing w:val="40"/>
        </w:rPr>
        <w:t xml:space="preserve"> </w:t>
      </w:r>
      <w:r>
        <w:t>was 15.277 months in the zanubrutinib arm and 14.587 months in the ibrutinib arm</w:t>
      </w:r>
      <w:r w:rsidR="00294417">
        <w:t xml:space="preserve"> (Table 6)</w:t>
      </w:r>
      <w:r>
        <w:t>.</w:t>
      </w:r>
      <w:r>
        <w:rPr>
          <w:spacing w:val="40"/>
        </w:rPr>
        <w:t xml:space="preserve"> </w:t>
      </w:r>
      <w:r>
        <w:t>The study met its primary</w:t>
      </w:r>
      <w:r>
        <w:rPr>
          <w:spacing w:val="-3"/>
        </w:rPr>
        <w:t xml:space="preserve"> </w:t>
      </w:r>
      <w:r>
        <w:t>endpoint.</w:t>
      </w:r>
      <w:r>
        <w:rPr>
          <w:spacing w:val="-5"/>
        </w:rPr>
        <w:t xml:space="preserve"> </w:t>
      </w:r>
      <w:r>
        <w:t>The</w:t>
      </w:r>
      <w:r>
        <w:rPr>
          <w:spacing w:val="-2"/>
        </w:rPr>
        <w:t xml:space="preserve"> </w:t>
      </w:r>
      <w:r>
        <w:t>ORR</w:t>
      </w:r>
      <w:r>
        <w:rPr>
          <w:spacing w:val="-3"/>
        </w:rPr>
        <w:t xml:space="preserve"> </w:t>
      </w:r>
      <w:r>
        <w:t>as</w:t>
      </w:r>
      <w:r>
        <w:rPr>
          <w:spacing w:val="-1"/>
        </w:rPr>
        <w:t xml:space="preserve"> </w:t>
      </w:r>
      <w:r>
        <w:t>determined</w:t>
      </w:r>
      <w:r>
        <w:rPr>
          <w:spacing w:val="-2"/>
        </w:rPr>
        <w:t xml:space="preserve"> </w:t>
      </w:r>
      <w:r w:rsidR="00386D67">
        <w:rPr>
          <w:spacing w:val="-2"/>
        </w:rPr>
        <w:t xml:space="preserve">by investigator </w:t>
      </w:r>
      <w:r>
        <w:t>was</w:t>
      </w:r>
      <w:r>
        <w:rPr>
          <w:spacing w:val="-4"/>
        </w:rPr>
        <w:t xml:space="preserve"> </w:t>
      </w:r>
      <w:r>
        <w:t>78.3%</w:t>
      </w:r>
      <w:r>
        <w:rPr>
          <w:spacing w:val="-2"/>
        </w:rPr>
        <w:t xml:space="preserve"> </w:t>
      </w:r>
      <w:r>
        <w:t>in</w:t>
      </w:r>
      <w:r>
        <w:rPr>
          <w:spacing w:val="-3"/>
        </w:rPr>
        <w:t xml:space="preserve"> </w:t>
      </w:r>
      <w:r>
        <w:t>the</w:t>
      </w:r>
      <w:r>
        <w:rPr>
          <w:spacing w:val="-2"/>
        </w:rPr>
        <w:t xml:space="preserve"> </w:t>
      </w:r>
      <w:r>
        <w:t>zanubrutinib</w:t>
      </w:r>
      <w:r>
        <w:rPr>
          <w:spacing w:val="-3"/>
        </w:rPr>
        <w:t xml:space="preserve"> </w:t>
      </w:r>
      <w:r>
        <w:t>group</w:t>
      </w:r>
      <w:r>
        <w:rPr>
          <w:spacing w:val="-2"/>
        </w:rPr>
        <w:t xml:space="preserve"> </w:t>
      </w:r>
      <w:r>
        <w:t>and</w:t>
      </w:r>
      <w:r>
        <w:rPr>
          <w:spacing w:val="-3"/>
        </w:rPr>
        <w:t xml:space="preserve"> </w:t>
      </w:r>
      <w:r>
        <w:t>62.5%</w:t>
      </w:r>
      <w:r>
        <w:rPr>
          <w:spacing w:val="-2"/>
        </w:rPr>
        <w:t xml:space="preserve"> </w:t>
      </w:r>
      <w:r>
        <w:t xml:space="preserve">in the ibrutinib group with a response ratio of 1.25 (95% CI: 1.10, 1.41, p&lt;0.0001). This met the criteria for non-inferiority (prespecified 1-sided alpha of 0.005) </w:t>
      </w:r>
      <w:proofErr w:type="gramStart"/>
      <w:r>
        <w:t>and also</w:t>
      </w:r>
      <w:proofErr w:type="gramEnd"/>
      <w:r>
        <w:t xml:space="preserve"> for superiority (p=0.0006 compared to prespecified 2-sided alpha of 0.0099).</w:t>
      </w:r>
    </w:p>
    <w:p w14:paraId="3617083F" w14:textId="2239E6A6" w:rsidR="000E18E3" w:rsidRDefault="000E18E3" w:rsidP="000E18E3">
      <w:pPr>
        <w:pStyle w:val="TableTitle"/>
      </w:pPr>
      <w:r w:rsidRPr="000E18E3">
        <w:t xml:space="preserve">Table 6: Interim Analysis of Disease Response per Investigator Assessment (Intent-to- Treat Analysis Set, </w:t>
      </w:r>
      <w:proofErr w:type="gramStart"/>
      <w:r w:rsidRPr="000E18E3">
        <w:t>First</w:t>
      </w:r>
      <w:proofErr w:type="gramEnd"/>
      <w:r w:rsidRPr="000E18E3">
        <w:t xml:space="preserve"> 415 Patients Randomised)</w:t>
      </w:r>
    </w:p>
    <w:p w14:paraId="2BECBE26" w14:textId="77777777" w:rsidR="000E18E3" w:rsidRDefault="0089511A" w:rsidP="000E18E3">
      <w:r>
        <w:rPr>
          <w:noProof/>
        </w:rPr>
        <w:drawing>
          <wp:inline distT="0" distB="0" distL="0" distR="0" wp14:anchorId="0C21B608" wp14:editId="597B0C04">
            <wp:extent cx="4031311" cy="3411109"/>
            <wp:effectExtent l="0" t="0" r="7620" b="0"/>
            <wp:docPr id="1350488807" name="Image 17" descr="A table of information with numbers and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488807" name="Image 17" descr="A table of information with numbers and text&#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b="20512"/>
                    <a:stretch/>
                  </pic:blipFill>
                  <pic:spPr bwMode="auto">
                    <a:xfrm>
                      <a:off x="0" y="0"/>
                      <a:ext cx="4063625" cy="3438451"/>
                    </a:xfrm>
                    <a:prstGeom prst="rect">
                      <a:avLst/>
                    </a:prstGeom>
                    <a:ln>
                      <a:noFill/>
                    </a:ln>
                    <a:extLst>
                      <a:ext uri="{53640926-AAD7-44D8-BBD7-CCE9431645EC}">
                        <a14:shadowObscured xmlns:a14="http://schemas.microsoft.com/office/drawing/2010/main"/>
                      </a:ext>
                    </a:extLst>
                  </pic:spPr>
                </pic:pic>
              </a:graphicData>
            </a:graphic>
          </wp:inline>
        </w:drawing>
      </w:r>
    </w:p>
    <w:p w14:paraId="7A8AABDB" w14:textId="54CB194A" w:rsidR="0089511A" w:rsidRDefault="0089511A" w:rsidP="000E18E3">
      <w:r>
        <w:rPr>
          <w:noProof/>
        </w:rPr>
        <w:drawing>
          <wp:inline distT="0" distB="0" distL="0" distR="0" wp14:anchorId="0E961D41" wp14:editId="0BFEDB83">
            <wp:extent cx="4253948" cy="874644"/>
            <wp:effectExtent l="0" t="0" r="0" b="190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34" cstate="print">
                      <a:extLst>
                        <a:ext uri="{28A0092B-C50C-407E-A947-70E740481C1C}">
                          <a14:useLocalDpi xmlns:a14="http://schemas.microsoft.com/office/drawing/2010/main" val="0"/>
                        </a:ext>
                      </a:extLst>
                    </a:blip>
                    <a:srcRect t="81071"/>
                    <a:stretch/>
                  </pic:blipFill>
                  <pic:spPr bwMode="auto">
                    <a:xfrm>
                      <a:off x="0" y="0"/>
                      <a:ext cx="4368013" cy="898097"/>
                    </a:xfrm>
                    <a:prstGeom prst="rect">
                      <a:avLst/>
                    </a:prstGeom>
                    <a:ln>
                      <a:noFill/>
                    </a:ln>
                    <a:extLst>
                      <a:ext uri="{53640926-AAD7-44D8-BBD7-CCE9431645EC}">
                        <a14:shadowObscured xmlns:a14="http://schemas.microsoft.com/office/drawing/2010/main"/>
                      </a:ext>
                    </a:extLst>
                  </pic:spPr>
                </pic:pic>
              </a:graphicData>
            </a:graphic>
          </wp:inline>
        </w:drawing>
      </w:r>
    </w:p>
    <w:p w14:paraId="22CB4F12" w14:textId="77777777" w:rsidR="00294417" w:rsidRDefault="00294417" w:rsidP="000E18E3">
      <w:r>
        <w:t>Overall, the concordance rates between investigator and ICR were high. For the first 415 randomised patients, the concordance rate for best overall response of PR or higher for the zanubrutinib and ibrutinib arms were 94.2% (195/207 patients) and 93.3% (194/208 patients), respectively.</w:t>
      </w:r>
    </w:p>
    <w:p w14:paraId="7AA9F1F7" w14:textId="7BF24AC5" w:rsidR="00294417" w:rsidRDefault="00294417" w:rsidP="00294417">
      <w:r>
        <w:t>The rate of CR/</w:t>
      </w:r>
      <w:proofErr w:type="spellStart"/>
      <w:r>
        <w:t>CRi</w:t>
      </w:r>
      <w:proofErr w:type="spellEnd"/>
      <w:r>
        <w:t xml:space="preserve"> was similar (1.9% vs 1.4%) while the PR rate was higher in the zanubrutinib group 75.8% vs 61.1%). Sensitivity analyses were supportive, including analysis of the </w:t>
      </w:r>
      <w:r w:rsidR="005E6484">
        <w:t>per protocol</w:t>
      </w:r>
      <w:r>
        <w:t xml:space="preserve"> population and excluding patients who died from COVID-19. Consistently higher ORR for zanubrutinib compared with ibrutinib was seen across subgroups, including in patients with a del17p/TP53 mutation, with a trend in favour of zanubrutinib, though only 79 patients had </w:t>
      </w:r>
      <w:proofErr w:type="gramStart"/>
      <w:r>
        <w:t>del(</w:t>
      </w:r>
      <w:proofErr w:type="gramEnd"/>
      <w:r>
        <w:t xml:space="preserve">17)p/TP53 mutation at baseline. (risk difference 30.5 95% CI: 10.5, 50.5). Median </w:t>
      </w:r>
      <w:r w:rsidR="00386D67">
        <w:t>t</w:t>
      </w:r>
      <w:r>
        <w:t>ime to response was 5 to 6 months in both treatment arms.</w:t>
      </w:r>
    </w:p>
    <w:p w14:paraId="4F705CBC" w14:textId="0EF25422" w:rsidR="00294417" w:rsidRDefault="00294417" w:rsidP="007E73C5">
      <w:pPr>
        <w:pStyle w:val="FigureTitle"/>
      </w:pPr>
      <w:r w:rsidRPr="00294417">
        <w:t xml:space="preserve">Figure 2 Forest Plot of Interim Analysis of Overall Response Rate by Investigator Assessment (ITT Analysis Set, </w:t>
      </w:r>
      <w:proofErr w:type="gramStart"/>
      <w:r w:rsidRPr="00294417">
        <w:t>First</w:t>
      </w:r>
      <w:proofErr w:type="gramEnd"/>
      <w:r w:rsidRPr="00294417">
        <w:t xml:space="preserve"> 415 Patients Randomised) Study 305</w:t>
      </w:r>
    </w:p>
    <w:p w14:paraId="7A329BB4" w14:textId="77777777" w:rsidR="00EE0EB4" w:rsidRDefault="005975D5" w:rsidP="007E73C5">
      <w:r>
        <w:rPr>
          <w:noProof/>
        </w:rPr>
        <w:drawing>
          <wp:inline distT="0" distB="0" distL="0" distR="0" wp14:anchorId="461676AE" wp14:editId="688594D2">
            <wp:extent cx="5637771" cy="4101248"/>
            <wp:effectExtent l="6350" t="0" r="7620" b="7620"/>
            <wp:docPr id="1886715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15446" name=""/>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Lst>
                    </a:blip>
                    <a:srcRect l="1794" r="3253"/>
                    <a:stretch/>
                  </pic:blipFill>
                  <pic:spPr bwMode="auto">
                    <a:xfrm rot="16200000">
                      <a:off x="0" y="0"/>
                      <a:ext cx="5694766" cy="4142709"/>
                    </a:xfrm>
                    <a:prstGeom prst="rect">
                      <a:avLst/>
                    </a:prstGeom>
                    <a:ln>
                      <a:noFill/>
                    </a:ln>
                    <a:extLst>
                      <a:ext uri="{53640926-AAD7-44D8-BBD7-CCE9431645EC}">
                        <a14:shadowObscured xmlns:a14="http://schemas.microsoft.com/office/drawing/2010/main"/>
                      </a:ext>
                    </a:extLst>
                  </pic:spPr>
                </pic:pic>
              </a:graphicData>
            </a:graphic>
          </wp:inline>
        </w:drawing>
      </w:r>
    </w:p>
    <w:p w14:paraId="2510686B" w14:textId="13E603F5" w:rsidR="005975D5" w:rsidRDefault="005975D5" w:rsidP="007E73C5">
      <w:pPr>
        <w:pStyle w:val="FigureDescription"/>
      </w:pPr>
      <w:r>
        <w:t>a</w:t>
      </w:r>
      <w:r w:rsidR="00233E7B">
        <w:t>)</w:t>
      </w:r>
      <w:r>
        <w:t xml:space="preserve"> Unstratified rate difference and 95% confidence interval. </w:t>
      </w:r>
      <w:r w:rsidR="00233E7B">
        <w:t>B)</w:t>
      </w:r>
      <w:r>
        <w:t xml:space="preserve"> Bulky disease of yes is derived from any target lesion longest diameter ≥ 5cm. /bgb_3111/bgb_3111_305/csru_dev_20201231/dev/pgm/tlfs/f-eff-forest-i.sas 09AUG2021 23:39 f-34-eff-forestinv-i.rtf</w:t>
      </w:r>
    </w:p>
    <w:p w14:paraId="2ECF445C" w14:textId="77777777" w:rsidR="007E73C5" w:rsidRDefault="007E73C5" w:rsidP="005975D5">
      <w:pPr>
        <w:rPr>
          <w:lang w:val="en-US"/>
        </w:rPr>
      </w:pPr>
    </w:p>
    <w:p w14:paraId="4C85420A" w14:textId="67AB39A4" w:rsidR="005975D5" w:rsidRPr="005975D5" w:rsidRDefault="005975D5" w:rsidP="005975D5">
      <w:pPr>
        <w:rPr>
          <w:lang w:val="en-US"/>
        </w:rPr>
      </w:pPr>
      <w:r w:rsidRPr="005975D5">
        <w:rPr>
          <w:lang w:val="en-US"/>
        </w:rPr>
        <w:t xml:space="preserve">Duration of response for the first 415 patients was also assessed by the investigators. As of DCO 31 December 2020, there were 162 responders in the zanubrutinib arm and 130 responders in the ibrutinib arm. Of these 9 patients had PD (5 patients) or died (4 patients) in the zanubrutinib arm. Sixteen patients had PD (14 patients) or died (2 patients) in the ibrutinib arm. Median duration of response was not reached in the zanubrutinib arm </w:t>
      </w:r>
      <w:r w:rsidR="00F149F2">
        <w:rPr>
          <w:lang w:val="en-US"/>
        </w:rPr>
        <w:t>and</w:t>
      </w:r>
      <w:r w:rsidR="00F149F2" w:rsidRPr="005975D5">
        <w:rPr>
          <w:lang w:val="en-US"/>
        </w:rPr>
        <w:t xml:space="preserve"> </w:t>
      </w:r>
      <w:r w:rsidRPr="005975D5">
        <w:rPr>
          <w:lang w:val="en-US"/>
        </w:rPr>
        <w:t>was 16.6 months (95%CI: 13.7, NE) in the ibrutinib arm. The KM estimated 12-month event-free rate was 89.8% in the zanubrutinib arm and 77.9% in the ibrutinib arm. The rate of treatment failure (discontinuation of treatment for any reason) was lower in the zanubrutinib group (9.5% vs 18.8%) with a HR of 0.45 (95% CI 0.29, 0.70, p=0.0003). Median follow-up time was 10.1 months in the zanubrutinib arm and 8.3 months in the ibrutinib arm.</w:t>
      </w:r>
    </w:p>
    <w:p w14:paraId="2F435BCA" w14:textId="77777777" w:rsidR="005975D5" w:rsidRPr="005975D5" w:rsidRDefault="005975D5" w:rsidP="000E18E3">
      <w:pPr>
        <w:pStyle w:val="Heading6"/>
        <w:rPr>
          <w:lang w:val="en-US"/>
        </w:rPr>
      </w:pPr>
      <w:r w:rsidRPr="005975D5">
        <w:rPr>
          <w:lang w:val="en-US"/>
        </w:rPr>
        <w:t>Interim analysis of the first 415 patients (by ICR)</w:t>
      </w:r>
    </w:p>
    <w:p w14:paraId="46252C46" w14:textId="5EA5B144" w:rsidR="005975D5" w:rsidRPr="005975D5" w:rsidRDefault="005975D5" w:rsidP="005975D5">
      <w:pPr>
        <w:rPr>
          <w:lang w:val="en-US"/>
        </w:rPr>
      </w:pPr>
      <w:r w:rsidRPr="005975D5">
        <w:rPr>
          <w:lang w:val="en-US"/>
        </w:rPr>
        <w:t>At the DCO the ORR for the first 415 randomised patients was (76.3% [95% CI: 69.9, 81.9]) in the zanubrutinib arm compared with (64.4% [95% CI: 57.5, 70.9]) the ibrutinib arm. The response ratio was 1.17 (95% CI: 1.04, 1.33), and noninferiority to ibrutinib was demonstrated</w:t>
      </w:r>
      <w:r w:rsidR="005E06F1">
        <w:rPr>
          <w:lang w:val="en-US"/>
        </w:rPr>
        <w:t xml:space="preserve"> (p&lt;0.0001)</w:t>
      </w:r>
      <w:r w:rsidRPr="005975D5">
        <w:rPr>
          <w:lang w:val="en-US"/>
        </w:rPr>
        <w:t>. The 2-sided p-value was 0.0121 for superiority, which is slightly higher than the prespecified 2- sided alpha of 0.0099 for the interim analysis and so was not met.</w:t>
      </w:r>
    </w:p>
    <w:p w14:paraId="42862B78" w14:textId="43D2201F" w:rsidR="005975D5" w:rsidRPr="005975D5" w:rsidRDefault="005975D5" w:rsidP="005975D5">
      <w:pPr>
        <w:rPr>
          <w:lang w:val="en-US"/>
        </w:rPr>
      </w:pPr>
      <w:r w:rsidRPr="005975D5">
        <w:rPr>
          <w:lang w:val="en-US"/>
        </w:rPr>
        <w:t>The CR/</w:t>
      </w:r>
      <w:proofErr w:type="spellStart"/>
      <w:r w:rsidRPr="005975D5">
        <w:rPr>
          <w:lang w:val="en-US"/>
        </w:rPr>
        <w:t>CRi</w:t>
      </w:r>
      <w:proofErr w:type="spellEnd"/>
      <w:r w:rsidRPr="005975D5">
        <w:rPr>
          <w:lang w:val="en-US"/>
        </w:rPr>
        <w:t xml:space="preserve"> rate was 1.4% in the zanubrutinib arm and 1.0 % in the ibrutinib arm. Best overall response of PR in the zanubrutinib arm was (154 [74.4%] patients) compared with the ibrutinib arm (132 [63.5%] patients. For the duration of response by ICR, the median </w:t>
      </w:r>
      <w:proofErr w:type="gramStart"/>
      <w:r w:rsidRPr="005975D5">
        <w:rPr>
          <w:lang w:val="en-US"/>
        </w:rPr>
        <w:t>follow</w:t>
      </w:r>
      <w:proofErr w:type="gramEnd"/>
      <w:r w:rsidRPr="005975D5">
        <w:rPr>
          <w:lang w:val="en-US"/>
        </w:rPr>
        <w:t xml:space="preserve"> up time was</w:t>
      </w:r>
      <w:r w:rsidR="00DA0D06">
        <w:rPr>
          <w:lang w:val="en-US"/>
        </w:rPr>
        <w:t xml:space="preserve"> </w:t>
      </w:r>
      <w:r w:rsidRPr="005975D5">
        <w:rPr>
          <w:lang w:val="en-US"/>
        </w:rPr>
        <w:t>10.1 and 8.3 months in the zanubrutinib and ibrutinib arms, respectively and the median duration of response was 16.7 months (95% CI: 14.3, NE) in the zanubrutinib arm and not reached in the ibrutinib arm.</w:t>
      </w:r>
    </w:p>
    <w:p w14:paraId="303E8571" w14:textId="69C888AC" w:rsidR="005975D5" w:rsidRDefault="005975D5" w:rsidP="005975D5">
      <w:pPr>
        <w:rPr>
          <w:lang w:val="en-US"/>
        </w:rPr>
      </w:pPr>
      <w:r>
        <w:rPr>
          <w:lang w:val="en-US"/>
        </w:rPr>
        <w:t xml:space="preserve">Figure </w:t>
      </w:r>
      <w:r w:rsidR="00233E7B">
        <w:rPr>
          <w:lang w:val="en-US"/>
        </w:rPr>
        <w:t>3</w:t>
      </w:r>
      <w:r>
        <w:rPr>
          <w:lang w:val="en-US"/>
        </w:rPr>
        <w:t xml:space="preserve"> shows a</w:t>
      </w:r>
      <w:r w:rsidRPr="005975D5">
        <w:rPr>
          <w:lang w:val="en-US"/>
        </w:rPr>
        <w:t xml:space="preserve"> forest plot of the ORR by subgroups.</w:t>
      </w:r>
    </w:p>
    <w:p w14:paraId="1050DC97" w14:textId="4B50F50F" w:rsidR="005975D5" w:rsidRDefault="005975D5" w:rsidP="005975D5">
      <w:pPr>
        <w:pStyle w:val="FigureTitle"/>
        <w:rPr>
          <w:lang w:val="en-US"/>
        </w:rPr>
      </w:pPr>
      <w:r w:rsidRPr="005975D5">
        <w:rPr>
          <w:lang w:val="en-US"/>
        </w:rPr>
        <w:t xml:space="preserve">Figure </w:t>
      </w:r>
      <w:r w:rsidR="00233E7B">
        <w:rPr>
          <w:lang w:val="en-US"/>
        </w:rPr>
        <w:t>3</w:t>
      </w:r>
      <w:r>
        <w:rPr>
          <w:lang w:val="en-US"/>
        </w:rPr>
        <w:t>.</w:t>
      </w:r>
      <w:r w:rsidRPr="005975D5">
        <w:rPr>
          <w:lang w:val="en-US"/>
        </w:rPr>
        <w:t xml:space="preserve"> Forest Plot of Interim Analysis of Overall Response Rate by Investigator Assessment (ITT Analysis Set, </w:t>
      </w:r>
      <w:proofErr w:type="gramStart"/>
      <w:r w:rsidRPr="005975D5">
        <w:rPr>
          <w:lang w:val="en-US"/>
        </w:rPr>
        <w:t>First</w:t>
      </w:r>
      <w:proofErr w:type="gramEnd"/>
      <w:r w:rsidRPr="005975D5">
        <w:rPr>
          <w:lang w:val="en-US"/>
        </w:rPr>
        <w:t xml:space="preserve"> 415 Patients Randomised) Study 305</w:t>
      </w:r>
    </w:p>
    <w:p w14:paraId="34249AF1" w14:textId="77777777" w:rsidR="000E18E3" w:rsidRDefault="005975D5" w:rsidP="000E18E3">
      <w:pPr>
        <w:rPr>
          <w:lang w:val="en-US"/>
        </w:rPr>
      </w:pPr>
      <w:r>
        <w:rPr>
          <w:noProof/>
        </w:rPr>
        <w:drawing>
          <wp:inline distT="0" distB="0" distL="0" distR="0" wp14:anchorId="76E4336A" wp14:editId="62CB84B9">
            <wp:extent cx="6376653" cy="4586308"/>
            <wp:effectExtent l="0" t="317" r="5397" b="5398"/>
            <wp:docPr id="125854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42574"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Lst>
                    </a:blip>
                    <a:srcRect l="1518" r="2475"/>
                    <a:stretch/>
                  </pic:blipFill>
                  <pic:spPr bwMode="auto">
                    <a:xfrm rot="16200000">
                      <a:off x="0" y="0"/>
                      <a:ext cx="6428746" cy="4623775"/>
                    </a:xfrm>
                    <a:prstGeom prst="rect">
                      <a:avLst/>
                    </a:prstGeom>
                    <a:ln>
                      <a:noFill/>
                    </a:ln>
                    <a:extLst>
                      <a:ext uri="{53640926-AAD7-44D8-BBD7-CCE9431645EC}">
                        <a14:shadowObscured xmlns:a14="http://schemas.microsoft.com/office/drawing/2010/main"/>
                      </a:ext>
                    </a:extLst>
                  </pic:spPr>
                </pic:pic>
              </a:graphicData>
            </a:graphic>
          </wp:inline>
        </w:drawing>
      </w:r>
    </w:p>
    <w:p w14:paraId="67FAD135" w14:textId="746A7C04" w:rsidR="005975D5" w:rsidRDefault="005975D5" w:rsidP="000E18E3">
      <w:pPr>
        <w:pStyle w:val="TableDescription"/>
        <w:rPr>
          <w:lang w:val="en-US"/>
        </w:rPr>
      </w:pPr>
      <w:r w:rsidRPr="005975D5">
        <w:rPr>
          <w:lang w:val="en-US"/>
        </w:rPr>
        <w:t>a Unstratified rate difference and 95% confidence interval.</w:t>
      </w:r>
    </w:p>
    <w:p w14:paraId="0EE44EB8" w14:textId="7CBFDFD4" w:rsidR="005975D5" w:rsidRPr="005975D5" w:rsidRDefault="005975D5" w:rsidP="005975D5">
      <w:pPr>
        <w:pStyle w:val="TableDescription"/>
        <w:contextualSpacing/>
        <w:rPr>
          <w:lang w:val="en-US"/>
        </w:rPr>
      </w:pPr>
      <w:r w:rsidRPr="005975D5">
        <w:rPr>
          <w:lang w:val="en-US"/>
        </w:rPr>
        <w:t>b Bulky disease of yes is derived from any target lesion longest diameter ≥ 5 cm.</w:t>
      </w:r>
    </w:p>
    <w:p w14:paraId="64B6536E" w14:textId="67AC9CB1" w:rsidR="005975D5" w:rsidRPr="005975D5" w:rsidRDefault="005975D5" w:rsidP="005975D5">
      <w:pPr>
        <w:pStyle w:val="TableDescription"/>
        <w:contextualSpacing/>
        <w:rPr>
          <w:lang w:val="en-US"/>
        </w:rPr>
      </w:pPr>
      <w:r w:rsidRPr="005975D5">
        <w:rPr>
          <w:lang w:val="en-US"/>
        </w:rPr>
        <w:t>/bgb_3111/bgb_3111_305/csru_dev_20201231/dev/pgm/tlfs/f-eff-forest-i.sas 09AUG2021 23:39 f-34-eff-forestinv-i.rtf</w:t>
      </w:r>
    </w:p>
    <w:p w14:paraId="5417AB3D" w14:textId="06C07BBB" w:rsidR="005975D5" w:rsidRDefault="005975D5" w:rsidP="005975D5">
      <w:r>
        <w:t>As of the DCO, there were 158 responders in the zanubrutinib arm and 134 responders in the ibrutinib arm. Of these responders, 14 patients had PD (11 patients) or died (3 patients) in the zanubrutinib arm. Eighteen patients had PD (16 patients) or died (2 patients) in the ibrutinib arm. The 12-month event-free rate was 90.3% in the zanubrutinib arm and 78.0% in the ibrutinib arm.</w:t>
      </w:r>
      <w:r w:rsidR="00DA0D06">
        <w:t xml:space="preserve"> </w:t>
      </w:r>
    </w:p>
    <w:p w14:paraId="2B1122D8" w14:textId="77777777" w:rsidR="005975D5" w:rsidRDefault="005975D5" w:rsidP="000E18E3">
      <w:pPr>
        <w:pStyle w:val="Heading6"/>
      </w:pPr>
      <w:r>
        <w:t>PFS for full ITT analysis population (by investigator)</w:t>
      </w:r>
    </w:p>
    <w:p w14:paraId="4B729096" w14:textId="657470EA" w:rsidR="005975D5" w:rsidRDefault="005975D5" w:rsidP="005975D5">
      <w:r>
        <w:t xml:space="preserve">As of the DCO a total of PFS events had been observed in 27 (8.3%) patients in the zanubrutinib arm and 50 (15.4%) patients in the ibrutinib arm. The median follow-up time was 11.6 months in the zanubrutinib arm and 11.3 months in the ibrutinib arm. The 12-month event-free rate was </w:t>
      </w:r>
      <w:r w:rsidR="00FD30E0">
        <w:t>93.3%</w:t>
      </w:r>
      <w:r>
        <w:t xml:space="preserve"> in the zanubrutinib arm and </w:t>
      </w:r>
      <w:r w:rsidR="00F61CBA">
        <w:t>83.1%</w:t>
      </w:r>
      <w:r>
        <w:t xml:space="preserve"> in the ibrutinib arm in the </w:t>
      </w:r>
      <w:r w:rsidR="00F61CBA">
        <w:t>ITT analysis set</w:t>
      </w:r>
      <w:r>
        <w:t>. The PFS HR was 0.47 (95% CI: 0.29, 0.76) of the zanubrutinib arm compared with the ibrutinib arm in the ITT Analysis Set.</w:t>
      </w:r>
    </w:p>
    <w:p w14:paraId="05219559" w14:textId="169471FC" w:rsidR="005975D5" w:rsidRDefault="005975D5" w:rsidP="005975D5">
      <w:r>
        <w:t xml:space="preserve">The proportion of patients with treatment failure was lower in the zanubrutinib arm (9.5%) compared with the ibrutinib arm (18.8%). The HR of treatment failure comparing the zanubrutinib arm to ibrutinib arm was 0.45 (95% CI: 0.29, 0.70). As of </w:t>
      </w:r>
      <w:r w:rsidR="00E06DEC">
        <w:t xml:space="preserve">the </w:t>
      </w:r>
      <w:r>
        <w:t xml:space="preserve">DCO, </w:t>
      </w:r>
      <w:r w:rsidR="00E06DEC">
        <w:t xml:space="preserve">the </w:t>
      </w:r>
      <w:r>
        <w:t>median time to treatment failure was not reached in either arm. The 12-month event-free rate was 91.8% in the zanubrutinib arm and 80.4% in the ibrutinib arm.</w:t>
      </w:r>
    </w:p>
    <w:p w14:paraId="746B3C6A" w14:textId="77777777" w:rsidR="005975D5" w:rsidRDefault="005975D5" w:rsidP="005975D5">
      <w:r>
        <w:t>OS was premature. At DCO there were 15 (4.6%) deaths reported in the zanubrutinib arm and 23 (7.1%) deaths reported in the ibrutinib arm. Median overall survival was not reached in either arm with median follow-up time of 13.8 months in the zanubrutinib arm and 13.6 months in the ibrutinib arm.</w:t>
      </w:r>
    </w:p>
    <w:p w14:paraId="12A830C9" w14:textId="77777777" w:rsidR="005975D5" w:rsidRDefault="005975D5" w:rsidP="000E18E3">
      <w:pPr>
        <w:pStyle w:val="Heading6"/>
      </w:pPr>
      <w:r>
        <w:t>PFS for full ITT analysis population by ICR</w:t>
      </w:r>
    </w:p>
    <w:p w14:paraId="5964492A" w14:textId="77777777" w:rsidR="005975D5" w:rsidRDefault="005975D5" w:rsidP="005975D5">
      <w:r>
        <w:t>The HR for PFS was 0.61 (95% CI: 0.39, 0.95) for the zanubrutinib arm compared with the ibrutinib arm in the ITT Analysis Set. The 12-month event-free rate was 90.4% in the zanubrutinib arm and 81.7% in the ibrutinib arm. PFS events were observed in 36 (11.0%) patients in the zanubrutinib arm and 52 (16.0%) patients in the ibrutinib arm in ITT Analysis Set. The median follow-up time was 11.3 months in both arms.</w:t>
      </w:r>
    </w:p>
    <w:p w14:paraId="7757A84C" w14:textId="28F30E6D" w:rsidR="005975D5" w:rsidRDefault="005975D5" w:rsidP="005975D5">
      <w:r>
        <w:t xml:space="preserve">Study 205 is an uncontrolled, open Phase 2 study. It is considered supportive of the relapsed or recurrent component of the proposed CLL indication. It was conducted between 2017 and 2020 in 11 centres in China. The primary objective was to evaluate the efficacy of zanubrutinib at a dose of 160 mg orally twice a day, in patients with R/R CLL or SLL as assessed by an Independent Review Committee (IRC) using the overall response rate (complete response, including complete response with incomplete blood count recovery, and partial response, including nodular partial response, and partial response with lymphocytosis) for patients with chronic lymphocytic leukemia according to modified IWCLL </w:t>
      </w:r>
      <w:r w:rsidR="00AD25C7">
        <w:t>g</w:t>
      </w:r>
      <w:r>
        <w:t>uidelines</w:t>
      </w:r>
      <w:r w:rsidR="00272745">
        <w:t xml:space="preserve"> </w:t>
      </w:r>
      <w:r>
        <w:t>and complete response and partial response for patients with small lymphocytic lymphoma according to the Revised Criteria for Response for Malignant Lymphoma in patients with small lymphocytic lymphoma.</w:t>
      </w:r>
    </w:p>
    <w:p w14:paraId="78E055DB" w14:textId="298B906E" w:rsidR="005975D5" w:rsidRDefault="005975D5" w:rsidP="005975D5">
      <w:r>
        <w:t xml:space="preserve">Approximately 80 patients were to be enrolled and treated with zanubrutinib 160 mg administered orally twice daily in repeated 28-day cycles. Patients were to receive treatment for up to 3 years or until progressive disease, unacceptable toxicity, death, withdrawal of consent, or study termination by the </w:t>
      </w:r>
      <w:r w:rsidR="008A5005">
        <w:t>Sponsor</w:t>
      </w:r>
      <w:r>
        <w:t>, whichever occurred first. The primary efficacy endpoint of this study was overall response rate.</w:t>
      </w:r>
    </w:p>
    <w:p w14:paraId="514AA247" w14:textId="77777777" w:rsidR="005975D5" w:rsidRDefault="005975D5" w:rsidP="005975D5">
      <w:r>
        <w:t>As of the final data cutoff date (11 September 2020), a total of 91 Chinese patients (82 patients with CLL and 9 patients with SLL) with a median age of 61.0 years (range: 35 to 87 years) were enrolled. Most patients were &lt; 65 years of age (65.9%) and 57.1% were male.</w:t>
      </w:r>
    </w:p>
    <w:p w14:paraId="3740510A" w14:textId="77777777" w:rsidR="005975D5" w:rsidRDefault="005975D5" w:rsidP="005975D5">
      <w:r>
        <w:t>Most patients had ≥ 1 poor prognostic factor and advanced clinical stage disease (Binet Stage C CLL [67.1%], Rai Stage III or IV CLL [67.1%], or Stage IV SLL [77.8%]). Over half of all patients (56.0%) had unmutated IGHV. Approximately one-quarter of all patients had disease with≥ 1 poor prognostic cytogenetic feature including del(17p), del(11q), and/or TP53 mutation.</w:t>
      </w:r>
    </w:p>
    <w:p w14:paraId="3971BEE8" w14:textId="77777777" w:rsidR="005975D5" w:rsidRDefault="005975D5" w:rsidP="005975D5">
      <w:r>
        <w:t>Approximately half of all patients had received ≥ 2 prior lines of anticancer drug therapy; 79.1% of all patients were refractory to the most recent systemic therapy. Median time since diagnosis of CLL/SLL was 39.43 months (range: 3.2 to 185.1 months).</w:t>
      </w:r>
    </w:p>
    <w:p w14:paraId="5BB58EB0" w14:textId="77777777" w:rsidR="005975D5" w:rsidRDefault="005975D5" w:rsidP="005975D5">
      <w:r>
        <w:t>The ORR was 87.9% with CR reached in 6.6% of patients. The median time to response was 2.79 months. As of the median follow-up time of 30.7 months, the median duration of response has not been reached. The estimated 24-month and 36-month duration of response event-free rates were 83.4% and 69.9%, respectively. Median PFS and OS have not been reached.</w:t>
      </w:r>
    </w:p>
    <w:p w14:paraId="5F2FEFEB" w14:textId="77777777" w:rsidR="005975D5" w:rsidRDefault="005975D5" w:rsidP="00B27EB9">
      <w:pPr>
        <w:pStyle w:val="Heading5"/>
      </w:pPr>
      <w:r>
        <w:t>Study AU-003</w:t>
      </w:r>
    </w:p>
    <w:p w14:paraId="4D13FF7C" w14:textId="77777777" w:rsidR="005975D5" w:rsidRDefault="005975D5" w:rsidP="005975D5">
      <w:r>
        <w:t xml:space="preserve">The final report of this first-in man study for zanubrutinib was included in the submission. This study has been previously evaluated. There were 103 patients with R/R CL and 22 </w:t>
      </w:r>
      <w:proofErr w:type="gramStart"/>
      <w:r>
        <w:t>treatment</w:t>
      </w:r>
      <w:proofErr w:type="gramEnd"/>
      <w:r>
        <w:t xml:space="preserve"> naïve CLL patients evaluable for efficacy, having received ≥ 1 dose of zanubrutinib. The ORR was 94.2% in the R/R CLL arm and 100% in the TN CLL arm. Responses were durable regardless of treatment status. In patients with R/R CLL the median duration of response (PR-L or better) was 58.6 months (95% CI:52.6 months, NE) after a median follow-up time of 35.5 months (range: 0.0 to 65.1 months). The estimated duration of response landmark rate was 86.6% at 36 months after first response.</w:t>
      </w:r>
    </w:p>
    <w:p w14:paraId="133D0E38" w14:textId="77777777" w:rsidR="005975D5" w:rsidRDefault="005975D5" w:rsidP="005975D5">
      <w:r>
        <w:t>The median duration of response was not reached in patients with TN CLL after a median follow-up time of 44.6 months. The estimated duration of response landmark rate was 81.0% at 36 months after first response. Overall survival rates at 36 months were high at 91.2% in patients with R/R CLL and 90.5% in patients with TN CLL.</w:t>
      </w:r>
    </w:p>
    <w:p w14:paraId="32DEEA77" w14:textId="77777777" w:rsidR="005975D5" w:rsidRDefault="005975D5" w:rsidP="000E18E3">
      <w:pPr>
        <w:pStyle w:val="Heading4"/>
      </w:pPr>
      <w:bookmarkStart w:id="24" w:name="_Toc184291854"/>
      <w:r>
        <w:t>Safety</w:t>
      </w:r>
      <w:bookmarkEnd w:id="24"/>
    </w:p>
    <w:p w14:paraId="2CD5931A" w14:textId="7862C074" w:rsidR="005975D5" w:rsidRDefault="005975D5" w:rsidP="005975D5">
      <w:r>
        <w:t xml:space="preserve">The adverse events of special interest associated with BTK’s </w:t>
      </w:r>
      <w:r w:rsidR="007E73C5">
        <w:t>are</w:t>
      </w:r>
      <w:r>
        <w:t xml:space="preserve"> haemorrhage, atrial fibrillation/ flutter, hypertension, second primary malignancies, tumour lysis syndrome, cytopenia, neutropenia, thrombocytopenia and anaemia.</w:t>
      </w:r>
    </w:p>
    <w:p w14:paraId="187904F2" w14:textId="77777777" w:rsidR="005975D5" w:rsidRDefault="005975D5" w:rsidP="005975D5">
      <w:r>
        <w:t>The existing integrated safety analysis was based on data from 779 patients enrolled in 6 earlier studies has been updated to include data from the 3 new studies included in this submission.</w:t>
      </w:r>
    </w:p>
    <w:p w14:paraId="4B486FD8" w14:textId="7CBC6CC1" w:rsidR="005975D5" w:rsidRDefault="005975D5" w:rsidP="005975D5">
      <w:r>
        <w:t>That analysis now includes data from 1550 patients with CLL/SLL and other B-cell malignancies enrolled into 9 clinical studies (2 Phase 1 studies, 4 Phase 2 studies, and 3 Phase 3 studies). All 9 studies have completed enrolment, 5 studies are closed and 4 are ongoing. Only patients with a planned dose of zanubrutinib at a dose of 160 mg orally twice a day or 320 mg once a day are included. The median duration of exposure was 22.95 months (range 0.1- 71.2 months) in the total patient group and was 26.58 months (range 0.5 – 42.2 months) in study 304 and 13.58 months (range 0.4 – 23.0) in study 305.</w:t>
      </w:r>
    </w:p>
    <w:p w14:paraId="19AD9018" w14:textId="63A52E88" w:rsidR="005975D5" w:rsidRDefault="005975D5" w:rsidP="005975D5">
      <w:r>
        <w:t>Of the 1550 patients receiving zanubrutinib, 73.6% were exposed for at least 1 year, 48% for at least 2 years, 23.5% for at least 3 years and 6.7% for at least 4 years. In study 304 there were 341 patients exposed to zanubrutinib for at least 12 months and 341 exposed for at least 2 years. In study 305 there were 190 patients exposed to zanubrutinib for at least 12 months. No patients were exposed for at least 2 years by the DCO date for the interim CSR.</w:t>
      </w:r>
    </w:p>
    <w:p w14:paraId="327DB539" w14:textId="77777777" w:rsidR="005975D5" w:rsidRDefault="005975D5" w:rsidP="005975D5">
      <w:r>
        <w:t>The most commonly occurring adverse reactions (≥ 20%) in the 9 studies included in the combined safety analysis were: neutropenia, thrombocytopenia, upper respiratory tract infection, haemorrhage/haematoma, bruising, rash, anaemia, and musculoskeletal pain. The most common Grade 3 or higher adverse reactions (≥ 5%) were: neutropenia, pneumonia, and thrombocytopenia.</w:t>
      </w:r>
    </w:p>
    <w:p w14:paraId="3514D9CE" w14:textId="24F9B7AC" w:rsidR="005975D5" w:rsidRDefault="005975D5" w:rsidP="005975D5">
      <w:r>
        <w:t xml:space="preserve">In study 304 there were 391 patients treated with zanubrutinib (including 240 patients in Cohort 1, 40 patients in Cohort 1a, and 111 patients in Cohort 2). There were 265 patients treated with B+R. In study 305 there were 324 patients treated with zanubrutinib and 324 treated with ibrutinib. There are no major differences in the incidences of ≥3 grade AEs, SAEs, deaths, dose reductions, treatment changes and AEs considered to be treatment related across the various subgroups within the integrated analysis and in the integrated </w:t>
      </w:r>
      <w:proofErr w:type="gramStart"/>
      <w:r>
        <w:t>analysis as a whole</w:t>
      </w:r>
      <w:proofErr w:type="gramEnd"/>
      <w:r>
        <w:t xml:space="preserve">. Dose interruptions were very common and occurred in 30.2% to 44.8% of patients across the CLL subgroups in the overall safety analysis. Grade ≥3 TEAEs occurred in over 50% of patients with CLL with 76 (4.9%) of these events leading to death. Summary TEAEs from the integrated analysis and each of the new pivotal studies, all R/R CLL and all CLL/SLL are shown </w:t>
      </w:r>
      <w:r w:rsidR="00233E7B">
        <w:t>in Table 7</w:t>
      </w:r>
      <w:r>
        <w:t>.</w:t>
      </w:r>
    </w:p>
    <w:p w14:paraId="30734C75" w14:textId="3128112F" w:rsidR="00821D8F" w:rsidRDefault="00821D8F" w:rsidP="00821D8F">
      <w:pPr>
        <w:pStyle w:val="TableTitle"/>
      </w:pPr>
      <w:r w:rsidRPr="00821D8F">
        <w:t xml:space="preserve">Table </w:t>
      </w:r>
      <w:r w:rsidR="00233E7B">
        <w:t>7.</w:t>
      </w:r>
      <w:r w:rsidRPr="00821D8F">
        <w:t xml:space="preserve"> Overall Summary of Treatment-Emergent Adverse Events (Safety Analysis Set)</w:t>
      </w:r>
    </w:p>
    <w:p w14:paraId="6798550A" w14:textId="67E01780" w:rsidR="00821D8F" w:rsidRDefault="00821D8F" w:rsidP="005975D5">
      <w:r>
        <w:rPr>
          <w:noProof/>
        </w:rPr>
        <w:drawing>
          <wp:inline distT="0" distB="0" distL="0" distR="0" wp14:anchorId="1AF26E82" wp14:editId="46924C63">
            <wp:extent cx="5571490" cy="2727926"/>
            <wp:effectExtent l="0" t="0" r="0" b="0"/>
            <wp:docPr id="1294424108" name="Image 20" descr="A table with numbe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table with numbers and text&#10;&#10;Description automatically generated"/>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665" t="934" r="-1" b="40534"/>
                    <a:stretch/>
                  </pic:blipFill>
                  <pic:spPr bwMode="auto">
                    <a:xfrm>
                      <a:off x="0" y="0"/>
                      <a:ext cx="5613225" cy="27483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887A6A" wp14:editId="19AD7EE8">
            <wp:extent cx="5658370" cy="1631950"/>
            <wp:effectExtent l="0" t="0" r="0" b="6350"/>
            <wp:docPr id="20" name="Image 20" descr="A table with numbe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table with numbers and text&#10;&#10;Description automatically generated"/>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266" t="62000"/>
                    <a:stretch/>
                  </pic:blipFill>
                  <pic:spPr bwMode="auto">
                    <a:xfrm>
                      <a:off x="0" y="0"/>
                      <a:ext cx="5660544" cy="1632577"/>
                    </a:xfrm>
                    <a:prstGeom prst="rect">
                      <a:avLst/>
                    </a:prstGeom>
                    <a:ln>
                      <a:noFill/>
                    </a:ln>
                    <a:extLst>
                      <a:ext uri="{53640926-AAD7-44D8-BBD7-CCE9431645EC}">
                        <a14:shadowObscured xmlns:a14="http://schemas.microsoft.com/office/drawing/2010/main"/>
                      </a:ext>
                    </a:extLst>
                  </pic:spPr>
                </pic:pic>
              </a:graphicData>
            </a:graphic>
          </wp:inline>
        </w:drawing>
      </w:r>
    </w:p>
    <w:p w14:paraId="7E7E2D64" w14:textId="77777777" w:rsidR="00EE0EB4" w:rsidRDefault="00233E7B" w:rsidP="00EE0EB4">
      <w:r w:rsidRPr="00233E7B">
        <w:t>Across all groups, the most frequently reported (&gt;10%) TEAEs were upper respiratory tract infection (URTI), diarrhoea, contusion, neutropenia and hypertension</w:t>
      </w:r>
      <w:r w:rsidR="00A3563A">
        <w:t xml:space="preserve"> </w:t>
      </w:r>
      <w:r w:rsidR="00A3563A" w:rsidRPr="00A3563A">
        <w:t>(Table 8)</w:t>
      </w:r>
      <w:r w:rsidRPr="00233E7B">
        <w:t>. Pneumonia, URTI and neutrophil count decreased were more commonly reported in the All RR CLL/SLL population. In the All CLL/SLL population, the grade 3 AEs reported in ≥5% of patients were neutropenia (9.5%), decreased neutrophil count (8.3%), pneumonia (6.3%) and hypertension (6.4%)</w:t>
      </w:r>
      <w:r w:rsidR="00A3563A">
        <w:t xml:space="preserve"> (Table 9)</w:t>
      </w:r>
      <w:r w:rsidRPr="00233E7B">
        <w:t>. These incidence rates are very similar to those previously reported in the earlier integrated safety data of 779 patients.</w:t>
      </w:r>
    </w:p>
    <w:p w14:paraId="3C84E419" w14:textId="6143BB88" w:rsidR="00233E7B" w:rsidRDefault="00233E7B" w:rsidP="00EE0EB4">
      <w:pPr>
        <w:pStyle w:val="TableTitle"/>
      </w:pPr>
      <w:r w:rsidRPr="00233E7B">
        <w:t xml:space="preserve">Table </w:t>
      </w:r>
      <w:r>
        <w:t>8.</w:t>
      </w:r>
      <w:r w:rsidRPr="00233E7B">
        <w:t xml:space="preserve"> TEAE Reported in ≥ 10% of Patients in Any Patient Group by System Organ Class and Preferred Term (Safety Analysis Set)</w:t>
      </w:r>
    </w:p>
    <w:p w14:paraId="2B232307" w14:textId="74EBCF94" w:rsidR="00EE0EB4" w:rsidRDefault="00EE0EB4" w:rsidP="00EE0EB4">
      <w:r>
        <w:rPr>
          <w:noProof/>
        </w:rPr>
        <w:drawing>
          <wp:inline distT="0" distB="0" distL="0" distR="0" wp14:anchorId="5710190E" wp14:editId="154603A8">
            <wp:extent cx="5101590" cy="3208283"/>
            <wp:effectExtent l="0" t="0" r="3810" b="0"/>
            <wp:docPr id="21" name="Image 2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A table with numbers and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5479" cy="3217018"/>
                    </a:xfrm>
                    <a:prstGeom prst="rect">
                      <a:avLst/>
                    </a:prstGeom>
                  </pic:spPr>
                </pic:pic>
              </a:graphicData>
            </a:graphic>
          </wp:inline>
        </w:drawing>
      </w:r>
      <w:r>
        <w:rPr>
          <w:noProof/>
        </w:rPr>
        <w:drawing>
          <wp:inline distT="0" distB="0" distL="0" distR="0" wp14:anchorId="677AFB28" wp14:editId="36618092">
            <wp:extent cx="5123093" cy="3231931"/>
            <wp:effectExtent l="0" t="0" r="1905" b="6985"/>
            <wp:docPr id="672281104" name="Image 22" descr="A table of information with numbers and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table of information with numbers and text&#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l="1761" t="12511" b="32684"/>
                    <a:stretch/>
                  </pic:blipFill>
                  <pic:spPr bwMode="auto">
                    <a:xfrm>
                      <a:off x="0" y="0"/>
                      <a:ext cx="5136337" cy="3240286"/>
                    </a:xfrm>
                    <a:prstGeom prst="rect">
                      <a:avLst/>
                    </a:prstGeom>
                    <a:ln>
                      <a:noFill/>
                    </a:ln>
                    <a:extLst>
                      <a:ext uri="{53640926-AAD7-44D8-BBD7-CCE9431645EC}">
                        <a14:shadowObscured xmlns:a14="http://schemas.microsoft.com/office/drawing/2010/main"/>
                      </a:ext>
                    </a:extLst>
                  </pic:spPr>
                </pic:pic>
              </a:graphicData>
            </a:graphic>
          </wp:inline>
        </w:drawing>
      </w:r>
    </w:p>
    <w:p w14:paraId="737EAC78" w14:textId="609ADEE2" w:rsidR="00233E7B" w:rsidRDefault="00233E7B" w:rsidP="007E73C5">
      <w:r>
        <w:rPr>
          <w:noProof/>
        </w:rPr>
        <w:drawing>
          <wp:inline distT="0" distB="0" distL="0" distR="0" wp14:anchorId="10A46508" wp14:editId="2CBAB0D0">
            <wp:extent cx="5122545" cy="1455088"/>
            <wp:effectExtent l="0" t="0" r="1905" b="0"/>
            <wp:docPr id="22" name="Image 22" descr="A table of information with numbers and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table of information with numbers and text&#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l="1761" t="72796"/>
                    <a:stretch/>
                  </pic:blipFill>
                  <pic:spPr bwMode="auto">
                    <a:xfrm>
                      <a:off x="0" y="0"/>
                      <a:ext cx="5197560" cy="1476396"/>
                    </a:xfrm>
                    <a:prstGeom prst="rect">
                      <a:avLst/>
                    </a:prstGeom>
                    <a:ln>
                      <a:noFill/>
                    </a:ln>
                    <a:extLst>
                      <a:ext uri="{53640926-AAD7-44D8-BBD7-CCE9431645EC}">
                        <a14:shadowObscured xmlns:a14="http://schemas.microsoft.com/office/drawing/2010/main"/>
                      </a:ext>
                    </a:extLst>
                  </pic:spPr>
                </pic:pic>
              </a:graphicData>
            </a:graphic>
          </wp:inline>
        </w:drawing>
      </w:r>
    </w:p>
    <w:p w14:paraId="0F0CF377" w14:textId="4D77D058" w:rsidR="0089511A" w:rsidRDefault="00F50732" w:rsidP="00F50732">
      <w:pPr>
        <w:pStyle w:val="TableTitle"/>
      </w:pPr>
      <w:r>
        <w:t xml:space="preserve">Table </w:t>
      </w:r>
      <w:r w:rsidR="00A3563A">
        <w:t>9.</w:t>
      </w:r>
      <w:r>
        <w:t xml:space="preserve"> Grade 3 or Higher TEAE Reported in ≥ 3% of Patients in Any Patient Group by System Organ Class and Preferred Term (Safety Analysis Set)</w:t>
      </w:r>
    </w:p>
    <w:p w14:paraId="2C403612" w14:textId="7B925D3B" w:rsidR="0089511A" w:rsidRDefault="00A3563A" w:rsidP="00C22214">
      <w:pPr>
        <w:rPr>
          <w:szCs w:val="22"/>
        </w:rPr>
      </w:pPr>
      <w:r>
        <w:rPr>
          <w:noProof/>
        </w:rPr>
        <w:drawing>
          <wp:inline distT="0" distB="0" distL="0" distR="0" wp14:anchorId="390F9E2A" wp14:editId="120AD313">
            <wp:extent cx="5252945" cy="2687541"/>
            <wp:effectExtent l="0" t="0" r="5080" b="0"/>
            <wp:docPr id="121210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06494" name=""/>
                    <pic:cNvPicPr/>
                  </pic:nvPicPr>
                  <pic:blipFill rotWithShape="1">
                    <a:blip r:embed="rId43"/>
                    <a:srcRect b="34775"/>
                    <a:stretch/>
                  </pic:blipFill>
                  <pic:spPr bwMode="auto">
                    <a:xfrm>
                      <a:off x="0" y="0"/>
                      <a:ext cx="5258797" cy="2690535"/>
                    </a:xfrm>
                    <a:prstGeom prst="rect">
                      <a:avLst/>
                    </a:prstGeom>
                    <a:ln>
                      <a:noFill/>
                    </a:ln>
                    <a:extLst>
                      <a:ext uri="{53640926-AAD7-44D8-BBD7-CCE9431645EC}">
                        <a14:shadowObscured xmlns:a14="http://schemas.microsoft.com/office/drawing/2010/main"/>
                      </a:ext>
                    </a:extLst>
                  </pic:spPr>
                </pic:pic>
              </a:graphicData>
            </a:graphic>
          </wp:inline>
        </w:drawing>
      </w:r>
    </w:p>
    <w:p w14:paraId="1694E6D5" w14:textId="24E32564" w:rsidR="00A3563A" w:rsidRDefault="00A3563A" w:rsidP="00C22214">
      <w:pPr>
        <w:rPr>
          <w:szCs w:val="22"/>
        </w:rPr>
      </w:pPr>
      <w:r w:rsidRPr="00A3563A">
        <w:rPr>
          <w:szCs w:val="22"/>
        </w:rPr>
        <w:t xml:space="preserve">The incidences of various adverse events of special interest (AESI) are shown in Table </w:t>
      </w:r>
      <w:r>
        <w:rPr>
          <w:szCs w:val="22"/>
        </w:rPr>
        <w:t>10</w:t>
      </w:r>
      <w:r w:rsidRPr="00A3563A">
        <w:rPr>
          <w:szCs w:val="22"/>
        </w:rPr>
        <w:t xml:space="preserve">. </w:t>
      </w:r>
      <w:proofErr w:type="gramStart"/>
      <w:r w:rsidRPr="00A3563A">
        <w:rPr>
          <w:szCs w:val="22"/>
        </w:rPr>
        <w:t>With the exception of</w:t>
      </w:r>
      <w:proofErr w:type="gramEnd"/>
      <w:r w:rsidRPr="00A3563A">
        <w:rPr>
          <w:szCs w:val="22"/>
        </w:rPr>
        <w:t xml:space="preserve"> tumour lysis syndrome, these events are adequately described in the current PI and the proposed statement in the draft PI included with this submission was also adequate to describe TLS in patients with CLL given zanubrutinib.</w:t>
      </w:r>
    </w:p>
    <w:p w14:paraId="2E4AC8B6" w14:textId="126EE642" w:rsidR="00A3563A" w:rsidRDefault="00A3563A" w:rsidP="00786E7E">
      <w:pPr>
        <w:pStyle w:val="TableTitle"/>
      </w:pPr>
      <w:r w:rsidRPr="00A3563A">
        <w:t xml:space="preserve">Table </w:t>
      </w:r>
      <w:r>
        <w:t>10.</w:t>
      </w:r>
      <w:r w:rsidRPr="00A3563A">
        <w:t xml:space="preserve"> TEAE of Special Interest by Category (Safety Analysis Set)</w:t>
      </w:r>
    </w:p>
    <w:p w14:paraId="02978970" w14:textId="7972DD6F" w:rsidR="0089511A" w:rsidRDefault="00A3563A" w:rsidP="00C22214">
      <w:pPr>
        <w:rPr>
          <w:szCs w:val="22"/>
        </w:rPr>
      </w:pPr>
      <w:r>
        <w:rPr>
          <w:noProof/>
        </w:rPr>
        <w:drawing>
          <wp:inline distT="0" distB="0" distL="0" distR="0" wp14:anchorId="46A5E622" wp14:editId="5EA05AC9">
            <wp:extent cx="5731510" cy="4860290"/>
            <wp:effectExtent l="0" t="0" r="2540" b="0"/>
            <wp:docPr id="209889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2763" name=""/>
                    <pic:cNvPicPr/>
                  </pic:nvPicPr>
                  <pic:blipFill>
                    <a:blip r:embed="rId44"/>
                    <a:stretch>
                      <a:fillRect/>
                    </a:stretch>
                  </pic:blipFill>
                  <pic:spPr>
                    <a:xfrm>
                      <a:off x="0" y="0"/>
                      <a:ext cx="5731510" cy="4860290"/>
                    </a:xfrm>
                    <a:prstGeom prst="rect">
                      <a:avLst/>
                    </a:prstGeom>
                  </pic:spPr>
                </pic:pic>
              </a:graphicData>
            </a:graphic>
          </wp:inline>
        </w:drawing>
      </w:r>
    </w:p>
    <w:p w14:paraId="2AA91B98" w14:textId="72DDE5CF" w:rsidR="00A3563A" w:rsidRDefault="00247E3C" w:rsidP="00C22214">
      <w:pPr>
        <w:rPr>
          <w:szCs w:val="22"/>
        </w:rPr>
      </w:pPr>
      <w:r>
        <w:rPr>
          <w:szCs w:val="22"/>
        </w:rPr>
        <w:br w:type="page"/>
      </w:r>
      <w:r w:rsidR="00A3563A" w:rsidRPr="00A3563A">
        <w:rPr>
          <w:szCs w:val="22"/>
        </w:rPr>
        <w:t>Study 305 allows for a comparison of AEs between ibrutinib and zanubrutinib</w:t>
      </w:r>
      <w:r>
        <w:rPr>
          <w:szCs w:val="22"/>
        </w:rPr>
        <w:t xml:space="preserve"> (Table 11)</w:t>
      </w:r>
      <w:r w:rsidR="00A3563A" w:rsidRPr="00A3563A">
        <w:rPr>
          <w:szCs w:val="22"/>
        </w:rPr>
        <w:t>.</w:t>
      </w:r>
    </w:p>
    <w:p w14:paraId="5082D14F" w14:textId="0F3956F6" w:rsidR="00A3563A" w:rsidRDefault="00A3563A" w:rsidP="00A3563A">
      <w:pPr>
        <w:pStyle w:val="TableTitle"/>
      </w:pPr>
      <w:r w:rsidRPr="00A3563A">
        <w:t xml:space="preserve">Table </w:t>
      </w:r>
      <w:r w:rsidR="00786E7E">
        <w:t>11</w:t>
      </w:r>
      <w:r w:rsidRPr="00A3563A">
        <w:t xml:space="preserve"> Overall Summary of Treatment-Emergent Adverse Events (Safety Analysis Set)</w:t>
      </w:r>
    </w:p>
    <w:p w14:paraId="2114CB75" w14:textId="6ED20581" w:rsidR="00A3563A" w:rsidRDefault="00A3563A" w:rsidP="00EE0EB4">
      <w:r>
        <w:rPr>
          <w:noProof/>
        </w:rPr>
        <w:drawing>
          <wp:inline distT="0" distB="0" distL="0" distR="0" wp14:anchorId="0A2A27CB" wp14:editId="0D4CF18E">
            <wp:extent cx="4882101" cy="2671639"/>
            <wp:effectExtent l="0" t="0" r="0" b="0"/>
            <wp:docPr id="27" name="Image 27" descr="A screenshot of a medical repo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medical report&#10;&#10;Description automatically generated"/>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25983" cy="2695653"/>
                    </a:xfrm>
                    <a:prstGeom prst="rect">
                      <a:avLst/>
                    </a:prstGeom>
                  </pic:spPr>
                </pic:pic>
              </a:graphicData>
            </a:graphic>
          </wp:inline>
        </w:drawing>
      </w:r>
    </w:p>
    <w:p w14:paraId="276DC152" w14:textId="1729BEDF" w:rsidR="0089511A" w:rsidRPr="00BD5DBD" w:rsidRDefault="00786E7E" w:rsidP="007E73C5">
      <w:r>
        <w:rPr>
          <w:noProof/>
        </w:rPr>
        <w:drawing>
          <wp:inline distT="0" distB="0" distL="0" distR="0" wp14:anchorId="5D9C5E57" wp14:editId="40E97A64">
            <wp:extent cx="4603750" cy="3101009"/>
            <wp:effectExtent l="0" t="0" r="6350" b="444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13260" cy="3107415"/>
                    </a:xfrm>
                    <a:prstGeom prst="rect">
                      <a:avLst/>
                    </a:prstGeom>
                  </pic:spPr>
                </pic:pic>
              </a:graphicData>
            </a:graphic>
          </wp:inline>
        </w:drawing>
      </w:r>
      <w:r>
        <w:rPr>
          <w:noProof/>
        </w:rPr>
        <w:drawing>
          <wp:inline distT="0" distB="0" distL="0" distR="0" wp14:anchorId="27A3F431" wp14:editId="4F15731D">
            <wp:extent cx="4603805" cy="2703443"/>
            <wp:effectExtent l="0" t="0" r="6350" b="1905"/>
            <wp:docPr id="29" name="Image 29" descr="A table of information with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table of information with text&#10;&#10;Description automatically generated with medium confidence"/>
                    <pic:cNvPicPr/>
                  </pic:nvPicPr>
                  <pic:blipFill>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17963" cy="2711757"/>
                    </a:xfrm>
                    <a:prstGeom prst="rect">
                      <a:avLst/>
                    </a:prstGeom>
                  </pic:spPr>
                </pic:pic>
              </a:graphicData>
            </a:graphic>
          </wp:inline>
        </w:drawing>
      </w:r>
    </w:p>
    <w:p w14:paraId="1BABEEB3" w14:textId="77777777" w:rsidR="00247E3C" w:rsidRPr="00247E3C" w:rsidRDefault="00247E3C" w:rsidP="00247E3C">
      <w:pPr>
        <w:rPr>
          <w:lang w:val="en-US"/>
        </w:rPr>
      </w:pPr>
      <w:bookmarkStart w:id="25" w:name="_Toc103679299"/>
      <w:r w:rsidRPr="00247E3C">
        <w:rPr>
          <w:lang w:val="en-US"/>
        </w:rPr>
        <w:t>In Study 305 the incidences of AEs were generally comparable between the zanubrutinib arm and ibrutinib arm except for the following events which had an incidence difference of ≥ 5% between the 2 arms:</w:t>
      </w:r>
    </w:p>
    <w:p w14:paraId="2DF105B8" w14:textId="77777777" w:rsidR="00247E3C" w:rsidRPr="00247E3C" w:rsidRDefault="00247E3C" w:rsidP="007E73C5">
      <w:pPr>
        <w:pStyle w:val="ListBullet"/>
        <w:rPr>
          <w:lang w:val="en-US"/>
        </w:rPr>
      </w:pPr>
      <w:r w:rsidRPr="00247E3C">
        <w:rPr>
          <w:lang w:val="en-US"/>
        </w:rPr>
        <w:t>Diarrhoea: zanubrutinib 11.7% versus ibrutinib 18.8%</w:t>
      </w:r>
    </w:p>
    <w:p w14:paraId="127542A2" w14:textId="77777777" w:rsidR="00247E3C" w:rsidRPr="00247E3C" w:rsidRDefault="00247E3C" w:rsidP="007E73C5">
      <w:pPr>
        <w:pStyle w:val="ListBullet"/>
        <w:rPr>
          <w:lang w:val="en-US"/>
        </w:rPr>
      </w:pPr>
      <w:r w:rsidRPr="00247E3C">
        <w:rPr>
          <w:lang w:val="en-US"/>
        </w:rPr>
        <w:t>Muscle spasms: zanubrutinib 2.5% versus ibrutinib 9.6%</w:t>
      </w:r>
    </w:p>
    <w:p w14:paraId="3789EBB6" w14:textId="77777777" w:rsidR="00247E3C" w:rsidRPr="00247E3C" w:rsidRDefault="00247E3C" w:rsidP="007E73C5">
      <w:pPr>
        <w:pStyle w:val="ListBullet"/>
        <w:rPr>
          <w:lang w:val="en-US"/>
        </w:rPr>
      </w:pPr>
      <w:r w:rsidRPr="00247E3C">
        <w:rPr>
          <w:lang w:val="en-US"/>
        </w:rPr>
        <w:t>Atrial fibrillation: zanubrutinib 1.5% versus ibrutinib 7.4%</w:t>
      </w:r>
    </w:p>
    <w:p w14:paraId="2F91D567" w14:textId="28260C21" w:rsidR="00247E3C" w:rsidRPr="00247E3C" w:rsidRDefault="00247E3C" w:rsidP="00247E3C">
      <w:pPr>
        <w:rPr>
          <w:lang w:val="en-US"/>
        </w:rPr>
      </w:pPr>
      <w:r w:rsidRPr="00247E3C">
        <w:rPr>
          <w:lang w:val="en-US"/>
        </w:rPr>
        <w:t>The most common Grade 3 or higher adverse events in the zanubrutinib arm and the ibrutinib arm, respectively, were:</w:t>
      </w:r>
    </w:p>
    <w:p w14:paraId="08B499ED" w14:textId="77777777" w:rsidR="00247E3C" w:rsidRPr="00247E3C" w:rsidRDefault="00247E3C" w:rsidP="007E73C5">
      <w:pPr>
        <w:pStyle w:val="ListBullet"/>
        <w:rPr>
          <w:lang w:val="en-US"/>
        </w:rPr>
      </w:pPr>
      <w:r w:rsidRPr="00247E3C">
        <w:rPr>
          <w:lang w:val="en-US"/>
        </w:rPr>
        <w:t>Neutropenia: 10.2% versus 8.6%</w:t>
      </w:r>
    </w:p>
    <w:p w14:paraId="1381D3D8" w14:textId="77777777" w:rsidR="00247E3C" w:rsidRPr="00247E3C" w:rsidRDefault="00247E3C" w:rsidP="007E73C5">
      <w:pPr>
        <w:pStyle w:val="ListBullet"/>
        <w:rPr>
          <w:lang w:val="en-US"/>
        </w:rPr>
      </w:pPr>
      <w:r w:rsidRPr="00247E3C">
        <w:rPr>
          <w:lang w:val="en-US"/>
        </w:rPr>
        <w:t>Hypertension: 8.0% versus 5.2%</w:t>
      </w:r>
    </w:p>
    <w:p w14:paraId="76A8C887" w14:textId="77777777" w:rsidR="00247E3C" w:rsidRPr="00247E3C" w:rsidRDefault="00247E3C" w:rsidP="007E73C5">
      <w:pPr>
        <w:pStyle w:val="ListBullet"/>
        <w:rPr>
          <w:lang w:val="en-US"/>
        </w:rPr>
      </w:pPr>
      <w:r w:rsidRPr="00247E3C">
        <w:rPr>
          <w:lang w:val="en-US"/>
        </w:rPr>
        <w:t>Neutrophil count decreased: 3.7% versus 3.7%</w:t>
      </w:r>
    </w:p>
    <w:p w14:paraId="4421D2B0" w14:textId="77777777" w:rsidR="00247E3C" w:rsidRDefault="00247E3C" w:rsidP="007E73C5">
      <w:pPr>
        <w:pStyle w:val="ListBullet"/>
        <w:rPr>
          <w:lang w:val="en-US"/>
        </w:rPr>
      </w:pPr>
      <w:r w:rsidRPr="00247E3C">
        <w:rPr>
          <w:lang w:val="en-US"/>
        </w:rPr>
        <w:t>Pneumonia: 3.4% versus 4.6%</w:t>
      </w:r>
    </w:p>
    <w:p w14:paraId="609C764A" w14:textId="77777777" w:rsidR="00247E3C" w:rsidRPr="00247E3C" w:rsidRDefault="00247E3C" w:rsidP="00247E3C">
      <w:pPr>
        <w:rPr>
          <w:lang w:val="en-US"/>
        </w:rPr>
      </w:pPr>
      <w:r w:rsidRPr="00247E3C">
        <w:rPr>
          <w:lang w:val="en-US"/>
        </w:rPr>
        <w:t>Of note while there were fewer atrial fibrillation/flutter events associated with zanubrutinib compared with ibrutinib there were somewhat more hypertension events, including grade ≥3 events in patients given zanubrutinib compared with ibrutinib.</w:t>
      </w:r>
    </w:p>
    <w:p w14:paraId="1F8BE211" w14:textId="15E2860C" w:rsidR="00247E3C" w:rsidRPr="00247E3C" w:rsidRDefault="00247E3C" w:rsidP="00247E3C">
      <w:pPr>
        <w:rPr>
          <w:lang w:val="en-US"/>
        </w:rPr>
      </w:pPr>
      <w:r w:rsidRPr="00247E3C">
        <w:rPr>
          <w:lang w:val="en-US"/>
        </w:rPr>
        <w:t>An analysis of AEs in patients aged ≥75 years compared with those &lt;75 years was conducted within the pooled safety analysis of the All Zanubrutinib group (n=1550) of whom 335 were aged 75 years and older. The median treatment duration was 21.9 months and 23.3 months in</w:t>
      </w:r>
      <w:r>
        <w:rPr>
          <w:lang w:val="en-US"/>
        </w:rPr>
        <w:t xml:space="preserve"> </w:t>
      </w:r>
      <w:r w:rsidRPr="00247E3C">
        <w:rPr>
          <w:lang w:val="en-US"/>
        </w:rPr>
        <w:t>the ≥75 years and &lt;75 years age groups, respectively. Compared to younger patients, those aged</w:t>
      </w:r>
      <w:r>
        <w:rPr>
          <w:lang w:val="en-US"/>
        </w:rPr>
        <w:t xml:space="preserve"> </w:t>
      </w:r>
      <w:r w:rsidRPr="00247E3C">
        <w:rPr>
          <w:lang w:val="en-US"/>
        </w:rPr>
        <w:t>≥75 years had a higher rate of Grade ≥3 TEAEs (65.7% vs 55.7%), SAEs (50.1% vs 37.4%),</w:t>
      </w:r>
      <w:r>
        <w:rPr>
          <w:lang w:val="en-US"/>
        </w:rPr>
        <w:t xml:space="preserve"> </w:t>
      </w:r>
      <w:r w:rsidRPr="00247E3C">
        <w:rPr>
          <w:lang w:val="en-US"/>
        </w:rPr>
        <w:t>TEAEs leading to death (8.4% vs 4.0%), TEAEs leading to treatment discontinuation (12.5% vs 8.4%) and TEAEs leading to dose reduction (11.0% vs 6.5%). The 95% confidence intervals for the rates showed overlap between the age groups.</w:t>
      </w:r>
    </w:p>
    <w:p w14:paraId="4945CB14" w14:textId="64C338C2" w:rsidR="00247E3C" w:rsidRPr="00247E3C" w:rsidRDefault="00247E3C" w:rsidP="00247E3C">
      <w:pPr>
        <w:rPr>
          <w:lang w:val="en-US"/>
        </w:rPr>
      </w:pPr>
      <w:r w:rsidRPr="00247E3C">
        <w:rPr>
          <w:lang w:val="en-US"/>
        </w:rPr>
        <w:t xml:space="preserve">For AEs of special interest, there was a higher rate of AF/flutter (7.2% vs 2.1%), </w:t>
      </w:r>
      <w:proofErr w:type="spellStart"/>
      <w:r w:rsidRPr="00247E3C">
        <w:rPr>
          <w:lang w:val="en-US"/>
        </w:rPr>
        <w:t>haemorrhage</w:t>
      </w:r>
      <w:proofErr w:type="spellEnd"/>
      <w:r>
        <w:rPr>
          <w:lang w:val="en-US"/>
        </w:rPr>
        <w:t xml:space="preserve"> </w:t>
      </w:r>
      <w:r w:rsidRPr="00247E3C">
        <w:rPr>
          <w:lang w:val="en-US"/>
        </w:rPr>
        <w:t xml:space="preserve">(54.9% vs 46.3%) and major </w:t>
      </w:r>
      <w:proofErr w:type="spellStart"/>
      <w:r w:rsidRPr="00247E3C">
        <w:rPr>
          <w:lang w:val="en-US"/>
        </w:rPr>
        <w:t>haemorrhage</w:t>
      </w:r>
      <w:proofErr w:type="spellEnd"/>
      <w:r w:rsidRPr="00247E3C">
        <w:rPr>
          <w:lang w:val="en-US"/>
        </w:rPr>
        <w:t xml:space="preserve"> (8.4% vs 3.5%) in the ≥75 years compared to the</w:t>
      </w:r>
      <w:r>
        <w:rPr>
          <w:lang w:val="en-US"/>
        </w:rPr>
        <w:t xml:space="preserve"> </w:t>
      </w:r>
      <w:r w:rsidRPr="00247E3C">
        <w:rPr>
          <w:lang w:val="en-US"/>
        </w:rPr>
        <w:t xml:space="preserve">&lt;75 years age group. The </w:t>
      </w:r>
      <w:r w:rsidR="008A5005">
        <w:rPr>
          <w:lang w:val="en-US"/>
        </w:rPr>
        <w:t>Sponsor</w:t>
      </w:r>
      <w:r w:rsidRPr="00247E3C">
        <w:rPr>
          <w:lang w:val="en-US"/>
        </w:rPr>
        <w:t xml:space="preserve"> considered that the higher rates in the very elderly are </w:t>
      </w:r>
      <w:r>
        <w:rPr>
          <w:lang w:val="en-US"/>
        </w:rPr>
        <w:t>‘</w:t>
      </w:r>
      <w:r w:rsidRPr="00247E3C">
        <w:rPr>
          <w:i/>
          <w:lang w:val="en-US"/>
        </w:rPr>
        <w:t>driven by more concomitant use of anti-coagulants or anti-platelets and relevant medical history</w:t>
      </w:r>
      <w:r>
        <w:rPr>
          <w:i/>
          <w:lang w:val="en-US"/>
        </w:rPr>
        <w:t>’</w:t>
      </w:r>
      <w:r w:rsidRPr="00247E3C">
        <w:rPr>
          <w:lang w:val="en-US"/>
        </w:rPr>
        <w:t>. This seems likely. The higher prevalence of AF/flutter in the very elderly could be anticipated given it is known to increase with increasing age.</w:t>
      </w:r>
    </w:p>
    <w:p w14:paraId="74A4F87F" w14:textId="3EBDD546" w:rsidR="00C22214" w:rsidRDefault="00C22214" w:rsidP="005749BE">
      <w:pPr>
        <w:pStyle w:val="Heading2"/>
      </w:pPr>
      <w:bookmarkStart w:id="26" w:name="_Toc184291855"/>
      <w:r>
        <w:t>Risk-benefit analysis</w:t>
      </w:r>
      <w:bookmarkEnd w:id="22"/>
      <w:bookmarkEnd w:id="23"/>
      <w:bookmarkEnd w:id="25"/>
      <w:bookmarkEnd w:id="26"/>
    </w:p>
    <w:p w14:paraId="20B467E6" w14:textId="432578A8" w:rsidR="00247E3C" w:rsidRDefault="00247E3C" w:rsidP="00247E3C">
      <w:r>
        <w:t xml:space="preserve">The proposed indication for </w:t>
      </w:r>
      <w:r w:rsidR="005E6484">
        <w:t>Brukinsa</w:t>
      </w:r>
      <w:r>
        <w:t xml:space="preserve"> assumes use in both treatment naïve and all stages of previously treated patients with and without mutations that may affect responses to treatment.</w:t>
      </w:r>
    </w:p>
    <w:p w14:paraId="44029D73" w14:textId="3F1CBF30" w:rsidR="00247E3C" w:rsidRDefault="00247E3C" w:rsidP="00247E3C">
      <w:r>
        <w:t xml:space="preserve">The designs of the two pivotal efficacy and safety studies, 304 (treatment naïve CLL) and 305 (relapsed or recurrent CLL) were consistent with the </w:t>
      </w:r>
      <w:proofErr w:type="spellStart"/>
      <w:r w:rsidR="00D16283">
        <w:t>iw</w:t>
      </w:r>
      <w:r>
        <w:t>CLL</w:t>
      </w:r>
      <w:proofErr w:type="spellEnd"/>
      <w:r>
        <w:t xml:space="preserve"> guidelines with modification for treatment related lymphocytosis and per the Lugano Classification for NHL for SLL. Appropriate nature and frequency of assessments were undertaken to monitor disease response (12 weekly to 96 weeks then every 24 weeks). Blinded tumour response assessment by an </w:t>
      </w:r>
      <w:r w:rsidR="000E18E3">
        <w:t>independent review committee</w:t>
      </w:r>
      <w:r>
        <w:t xml:space="preserve"> was undertaken in both studies.</w:t>
      </w:r>
    </w:p>
    <w:p w14:paraId="7E8B6DD4" w14:textId="471286D7" w:rsidR="00247E3C" w:rsidRDefault="00247E3C" w:rsidP="00247E3C">
      <w:r>
        <w:t xml:space="preserve">The outcomes of most interest to patients and treating doctors are overall response rate (ORR), which consists of the complete and partial response rates, and duration of ORR. Both the 2008 and 2018 </w:t>
      </w:r>
      <w:proofErr w:type="spellStart"/>
      <w:r w:rsidR="00564949">
        <w:t>iw</w:t>
      </w:r>
      <w:r>
        <w:t>CLL</w:t>
      </w:r>
      <w:proofErr w:type="spellEnd"/>
      <w:r>
        <w:t xml:space="preserve"> guidelines state that responses that should be considered clinically beneficial</w:t>
      </w:r>
      <w:r w:rsidR="00B47CCB">
        <w:t xml:space="preserve"> </w:t>
      </w:r>
      <w:r>
        <w:t>include CR and PR; all others (</w:t>
      </w:r>
      <w:r w:rsidR="00AD25C7">
        <w:t>e.g.</w:t>
      </w:r>
      <w:r>
        <w:t>, stable disease, nonresponse, PD, death from any cause) should be rated as a treatment failure</w:t>
      </w:r>
      <w:r w:rsidR="007841C6">
        <w:rPr>
          <w:rStyle w:val="FootnoteReference"/>
        </w:rPr>
        <w:footnoteReference w:id="3"/>
      </w:r>
      <w:r w:rsidR="007841C6">
        <w:t>.</w:t>
      </w:r>
    </w:p>
    <w:p w14:paraId="46014CC2" w14:textId="77777777" w:rsidR="00247E3C" w:rsidRDefault="00247E3C" w:rsidP="00247E3C">
      <w:r>
        <w:t xml:space="preserve">In study 304, PFS was the primary endpoint rather than ORR. In the CSR, it was stated that prolongation of PFS is likely to delay or prevent symptoms of progressive CLL/SLL and delay the need for subsequent therapies to treat CLL/SLL and was the basis of regulatory approval for several new therapeutic agents, including ibrutinib and acalabrutinib. While this may be so cohort 1 of study 304 also demonstrated superiority of zanubrutinib over its ICH comparator, bendamustine + rituximab, for ORR which was a secondary endpoint. The ORR for the uncontrolled zanubrutinib cohort with del(17p) was also </w:t>
      </w:r>
      <w:proofErr w:type="gramStart"/>
      <w:r>
        <w:t>similar to</w:t>
      </w:r>
      <w:proofErr w:type="gramEnd"/>
      <w:r>
        <w:t xml:space="preserve"> that of patients without that mutation given zanubrutinib.</w:t>
      </w:r>
    </w:p>
    <w:p w14:paraId="3AEA9A4D" w14:textId="77777777" w:rsidR="00247E3C" w:rsidRDefault="00247E3C" w:rsidP="00247E3C">
      <w:r>
        <w:t>The appropriate standard of initial treatment regimen for CLL/SLL is dependent on patient age, presence or absence of comorbidities, and molecular features, particularly the presence of del(17p). Infections are a common complication of the disease and of treatment, and the risk of recurrent infection can limit treatment choices. Patients with 17p are not recommended to received bendamustine and rituximab and those patients in study 304 received zanubrutinib only.</w:t>
      </w:r>
    </w:p>
    <w:p w14:paraId="552E3E0F" w14:textId="5C7364CC" w:rsidR="00247E3C" w:rsidRDefault="00247E3C" w:rsidP="00247E3C">
      <w:r>
        <w:t xml:space="preserve">The American Society of Clinical Oncology (ASCO) highlights of the 2022 meeting included a presentation on the efficacy of </w:t>
      </w:r>
      <w:r w:rsidR="000E18E3">
        <w:t>first-line</w:t>
      </w:r>
      <w:r>
        <w:t xml:space="preserve"> treatment for CLL that referred to zanubrutinib. The following was extracted from that summary</w:t>
      </w:r>
      <w:r w:rsidR="000E18E3">
        <w:rPr>
          <w:rStyle w:val="FootnoteReference"/>
        </w:rPr>
        <w:footnoteReference w:id="4"/>
      </w:r>
      <w:r>
        <w:t>:</w:t>
      </w:r>
    </w:p>
    <w:p w14:paraId="6A0FA73A" w14:textId="08D77CB0" w:rsidR="00247E3C" w:rsidRDefault="00247E3C" w:rsidP="00B27EB9">
      <w:pPr>
        <w:ind w:left="720" w:right="1286"/>
      </w:pPr>
      <w:r>
        <w:t xml:space="preserve">The SEQUOIA (ClinicalTrials.gov Identifier: NCT03336333) is a network meta-analysis of randomized controlled trials (RCTs) that compared the efficacy of the second-generation BTK inhibitor zanubrutinib with frontline therapies usually administered to adult patients with CLL who are </w:t>
      </w:r>
      <w:proofErr w:type="gramStart"/>
      <w:r>
        <w:t>treatment-naive</w:t>
      </w:r>
      <w:proofErr w:type="gramEnd"/>
      <w:r>
        <w:t>. Patients who received zanubrutinib achieved a statistically significant improvement in PFS compared with patients randomly assigned to bendamustine plus rituximab (hazard ratio [HR], 0.42; 95% CI, 0.27-0.65).</w:t>
      </w:r>
    </w:p>
    <w:p w14:paraId="18101863" w14:textId="4FCFD2FC" w:rsidR="00247E3C" w:rsidRDefault="00247E3C" w:rsidP="00B27EB9">
      <w:pPr>
        <w:ind w:left="720" w:right="1286"/>
      </w:pPr>
      <w:r>
        <w:t xml:space="preserve">In the CLL11 study (ClinicalTrials.gov Identifier: NCT01010061), patients treated with zanubrutinib achieved a statistically significant PFS improvement compared with those treated with </w:t>
      </w:r>
      <w:proofErr w:type="spellStart"/>
      <w:r>
        <w:t>obinutuzumab</w:t>
      </w:r>
      <w:proofErr w:type="spellEnd"/>
      <w:r>
        <w:t xml:space="preserve"> plus chlorambucil (HR, 0.45; 95% CI, 0.23-0.86). In the ALLIANCE trial (ClinicalTrials.gov Identifier: NCT01886872), patients who received zanubrutinib achieved a statistically significant improvement in PFS compared with those who received chlorambucil plus rituximab (HR, 0.22; 95% CI, 0.12-0.41). In the </w:t>
      </w:r>
      <w:proofErr w:type="spellStart"/>
      <w:r>
        <w:t>MaBLe</w:t>
      </w:r>
      <w:proofErr w:type="spellEnd"/>
      <w:r>
        <w:t xml:space="preserve"> trial (ClinicalTrials.gov</w:t>
      </w:r>
      <w:r w:rsidR="00272745">
        <w:t xml:space="preserve"> </w:t>
      </w:r>
      <w:r>
        <w:t>Identifier: NCT01056510</w:t>
      </w:r>
      <w:proofErr w:type="gramStart"/>
      <w:r>
        <w:t>),treatment</w:t>
      </w:r>
      <w:proofErr w:type="gramEnd"/>
      <w:r>
        <w:t xml:space="preserve"> with zanubrutinib achieved PFS outcomes comparable to those seen with ibrutinib (HR, 1.07; 95% CI, 0.59-1.94).</w:t>
      </w:r>
    </w:p>
    <w:p w14:paraId="3C845D9D" w14:textId="6B638F01" w:rsidR="00247E3C" w:rsidRDefault="00247E3C" w:rsidP="00B27EB9">
      <w:pPr>
        <w:ind w:left="720" w:right="1286"/>
      </w:pPr>
      <w:r>
        <w:t xml:space="preserve">Clinical Impact: In recent RCTs, </w:t>
      </w:r>
      <w:r w:rsidR="007841C6">
        <w:t xml:space="preserve">Zanubrutinib </w:t>
      </w:r>
      <w:r>
        <w:t>demonstrated greater efficacy than the 3 combination regimens currently used to treat CLL. The study findings suggest that, in terms of PFS, it is as promising a therapy as ibrutinib, the standard first-line treatment for CLL.</w:t>
      </w:r>
    </w:p>
    <w:p w14:paraId="3D082D19" w14:textId="77777777" w:rsidR="00247E3C" w:rsidRDefault="00247E3C" w:rsidP="00247E3C">
      <w:r>
        <w:t>Cross study comparison of monotherapy zanubrutinib with monotherapy acalabrutinib in 1-L CLL (Elevate-TN study in PI for CALQUENCE) showed a similar ORR for CLL with and without del(17p).</w:t>
      </w:r>
    </w:p>
    <w:p w14:paraId="6E3E0F84" w14:textId="4469C73D" w:rsidR="00247E3C" w:rsidRDefault="00247E3C" w:rsidP="00247E3C">
      <w:r>
        <w:t>Zanubrutinib also demonstrated superiority over ibrutinib in a patient population with R/R CLL that included those with and without IGHV, and TP53 mutations/ del(17p) in study 305.</w:t>
      </w:r>
      <w:r w:rsidR="00272745">
        <w:t xml:space="preserve"> </w:t>
      </w:r>
      <w:r>
        <w:t>Efficacy across the subgroups examined was consistent. Further follow</w:t>
      </w:r>
      <w:r w:rsidR="00B27EB9">
        <w:t>-</w:t>
      </w:r>
      <w:r>
        <w:t>up to assess overall survival in both studies 304 and 305 should be a condition of approval of the CLL indication.</w:t>
      </w:r>
    </w:p>
    <w:p w14:paraId="29FD099D" w14:textId="6E4BC0D2" w:rsidR="00247E3C" w:rsidRDefault="00247E3C" w:rsidP="00247E3C">
      <w:r>
        <w:t>Durability of response has been best assessed in study AU-003 where, for patients with R/R CLL, the median duration of response (PR-L or better) was 58.6 months (95% CI:52.6 months, NE) after a median follow-up time of 35.5 months (range: 0.0 to 65.1 months). The estimated duration of response landmark rate was 86.6% at 36 months after first response. The median duration of response was not reached in patients with TN CLL after a median follow-up time of</w:t>
      </w:r>
      <w:r w:rsidR="00272745">
        <w:t xml:space="preserve"> </w:t>
      </w:r>
      <w:r>
        <w:t>44.6 months. The estimated duration of response landmark rate was 81.0% at 36 months after first response. Overall survival rates at 36 months were high at 91.2% in patients with R/R CLL and 90.5% in patients with TN CLL.</w:t>
      </w:r>
    </w:p>
    <w:p w14:paraId="57E8A2BB" w14:textId="5920593A" w:rsidR="00247E3C" w:rsidRDefault="00247E3C" w:rsidP="00247E3C">
      <w:r>
        <w:t>No major differences in the established safety profile of zanubrutinib have been identified in this submission. Across all groups, the most frequently reported (&gt;10%) TEAEs were upper respiratory tract infection (URTI), diarrhoea, contusion, neutropenia and hypertension.</w:t>
      </w:r>
      <w:r w:rsidR="00272745">
        <w:t xml:space="preserve"> </w:t>
      </w:r>
      <w:r>
        <w:t xml:space="preserve">Pneumonia, URTI and neutrophil count decreased were more commonly reported in the </w:t>
      </w:r>
      <w:proofErr w:type="gramStart"/>
      <w:r>
        <w:t>All RR CLL</w:t>
      </w:r>
      <w:proofErr w:type="gramEnd"/>
      <w:r>
        <w:t xml:space="preserve"> population. In the All CLL population, the grade 3 AEs reported in ≥5% of patients were neutropenia (9.5%), decreased neutrophil count (8.3%), pneumonia (6.3%) and hypertension (6.4%). These incidence rates are very similar to those previously reported in the earlier integrated safety data of 779 patients.</w:t>
      </w:r>
    </w:p>
    <w:p w14:paraId="12B7D74C" w14:textId="1A1B87E6" w:rsidR="00247E3C" w:rsidRDefault="00247E3C" w:rsidP="00247E3C">
      <w:r>
        <w:t xml:space="preserve">The </w:t>
      </w:r>
      <w:r w:rsidR="008A5005">
        <w:t>Sponsor</w:t>
      </w:r>
      <w:r>
        <w:t xml:space="preserve"> has stated that zanubrutinib was designed to be more selective than ibrutinib for BTK inhibition and with less off target activity. The </w:t>
      </w:r>
      <w:r w:rsidR="008A5005">
        <w:t>Sponsor</w:t>
      </w:r>
      <w:r>
        <w:t xml:space="preserve"> has postulated that those pharmacologic and selectivity advantages might result </w:t>
      </w:r>
      <w:r w:rsidR="00AD25C7">
        <w:t>in</w:t>
      </w:r>
      <w:r>
        <w:t xml:space="preserve"> more sustained BTK occupancy, greater response depth and/or quality, and greater safety and tolerability as compared to the first generation BTK inhibitor.</w:t>
      </w:r>
    </w:p>
    <w:p w14:paraId="49320141" w14:textId="31CB3FA6" w:rsidR="00247E3C" w:rsidRPr="00247E3C" w:rsidRDefault="00247E3C" w:rsidP="00247E3C">
      <w:r>
        <w:t>Study 305 allowed a comparison of safety with ibrutinib. Zanubrutinib was slightly better tolerated than ibrutinib with a lower rate of treatment discontinuation (6.5% vs 10.5%) and dose modification (31.8% vs 37.7%) due to an AE (see Table 7). There were lower rates of diarrhoea, major haemorrhage, atrial fibrillation and infections with zanubrutinib. Other events of interest occurred at similar rates. In a predefined analysis, there was a statistically significant lower rate of atrial fibrillation/flutter with zanubrutinib than ibrutinib (2.5% vs 10.1%, rate difference = -7.7% 95% CI: -12.3, -3.1). Hypertension was somewhat more frequent in patients given zanubrutinib than in those given ibrutinib.</w:t>
      </w:r>
    </w:p>
    <w:p w14:paraId="3916F296" w14:textId="77777777" w:rsidR="00C22214" w:rsidRDefault="00C22214" w:rsidP="00C22214">
      <w:pPr>
        <w:pStyle w:val="Heading4"/>
      </w:pPr>
      <w:bookmarkStart w:id="27" w:name="_Toc98931933"/>
      <w:bookmarkStart w:id="28" w:name="_Toc184291856"/>
      <w:r w:rsidRPr="00D23139">
        <w:t>Proposed action</w:t>
      </w:r>
      <w:bookmarkEnd w:id="27"/>
      <w:bookmarkEnd w:id="28"/>
    </w:p>
    <w:p w14:paraId="7ECF5138" w14:textId="06B7A4C2" w:rsidR="00247E3C" w:rsidRDefault="00247E3C" w:rsidP="00247E3C">
      <w:r>
        <w:t xml:space="preserve">The delegate proposes to approve an extension to the indication for </w:t>
      </w:r>
      <w:r w:rsidR="005E6484">
        <w:t>Brukinsa</w:t>
      </w:r>
      <w:r>
        <w:t xml:space="preserve"> (zanubrutinib) to include:</w:t>
      </w:r>
    </w:p>
    <w:p w14:paraId="726BCB79" w14:textId="61308AB6" w:rsidR="00247E3C" w:rsidRPr="00272745" w:rsidRDefault="005E6484" w:rsidP="00272745">
      <w:pPr>
        <w:ind w:left="720"/>
        <w:rPr>
          <w:i/>
          <w:iCs/>
        </w:rPr>
      </w:pPr>
      <w:r w:rsidRPr="00272745">
        <w:rPr>
          <w:i/>
          <w:iCs/>
        </w:rPr>
        <w:t>Brukinsa</w:t>
      </w:r>
      <w:r w:rsidR="00247E3C" w:rsidRPr="00272745">
        <w:rPr>
          <w:i/>
          <w:iCs/>
        </w:rPr>
        <w:t xml:space="preserve"> is indicated as monotherapy for the treatment of adult patients with chronic lymphocytic leukaemia (CLL) or small lymphocytic lymphoma (SLL).</w:t>
      </w:r>
    </w:p>
    <w:p w14:paraId="2C69E428" w14:textId="08F29EF4" w:rsidR="00247E3C" w:rsidRDefault="00247E3C" w:rsidP="00247E3C">
      <w:r>
        <w:t xml:space="preserve">The delegate does not consider it necessary to include that zanubrutinib is effective in CLL/SLL with del(17p) and/or TP53 mutation in the indication. This effect appears to be a characteristic of BTKs to date and is not included in the indications for ibrutinib or acalabrutinib. If it became routine to include a list the major mutations in which a product is effective as part of each indication it is likely that for many products the indications would become very cumbersome as more mutations are identified. The effect of </w:t>
      </w:r>
      <w:r w:rsidR="005E6484">
        <w:t>Brukinsa</w:t>
      </w:r>
      <w:r>
        <w:t xml:space="preserve"> in CLL/SLL with del(17p) and/or TP53 mutation is adequately described in the clinical trials section of the PI.</w:t>
      </w:r>
    </w:p>
    <w:p w14:paraId="7CBE47F6" w14:textId="7562AE77" w:rsidR="00247E3C" w:rsidRPr="00247E3C" w:rsidRDefault="00247E3C" w:rsidP="00247E3C">
      <w:r>
        <w:t>The final study reports for studies BGB-3111-304 and BGB-3111-305 should be submitted to the TGA within 6 months of their completion.</w:t>
      </w:r>
    </w:p>
    <w:p w14:paraId="318CFABC" w14:textId="77777777" w:rsidR="00C22214" w:rsidRPr="00F73346" w:rsidRDefault="00C22214" w:rsidP="00C22214">
      <w:pPr>
        <w:pStyle w:val="Heading4"/>
      </w:pPr>
      <w:bookmarkStart w:id="29" w:name="_Toc98931936"/>
      <w:bookmarkStart w:id="30" w:name="_Toc247691532"/>
      <w:bookmarkStart w:id="31" w:name="_Toc314842516"/>
      <w:bookmarkStart w:id="32" w:name="_Toc184291857"/>
      <w:r w:rsidRPr="00F73346">
        <w:t>Advisory Committee considerations</w:t>
      </w:r>
      <w:bookmarkEnd w:id="29"/>
      <w:bookmarkEnd w:id="32"/>
    </w:p>
    <w:p w14:paraId="087BB9CB" w14:textId="09BA8179" w:rsidR="00C22214" w:rsidRDefault="00C22214" w:rsidP="00C22214">
      <w:pPr>
        <w:rPr>
          <w:bCs/>
          <w:szCs w:val="22"/>
        </w:rPr>
      </w:pPr>
      <w:r w:rsidRPr="00BD5DBD">
        <w:rPr>
          <w:bCs/>
          <w:szCs w:val="22"/>
        </w:rPr>
        <w:t xml:space="preserve">The </w:t>
      </w:r>
      <w:hyperlink r:id="rId51" w:history="1">
        <w:r w:rsidRPr="00BD5DBD">
          <w:rPr>
            <w:rStyle w:val="Hyperlink"/>
            <w:szCs w:val="22"/>
          </w:rPr>
          <w:t>Advisory Committee on Medicines (ACM)</w:t>
        </w:r>
      </w:hyperlink>
      <w:r w:rsidRPr="00BD5DBD">
        <w:rPr>
          <w:color w:val="007099"/>
          <w:szCs w:val="22"/>
        </w:rPr>
        <w:t xml:space="preserve"> </w:t>
      </w:r>
      <w:r w:rsidRPr="00BD5DBD">
        <w:rPr>
          <w:bCs/>
          <w:szCs w:val="22"/>
        </w:rPr>
        <w:t xml:space="preserve">having considered the evaluations and the Delegate’s overview, as well as the </w:t>
      </w:r>
      <w:r w:rsidR="008A5005">
        <w:rPr>
          <w:bCs/>
          <w:szCs w:val="22"/>
        </w:rPr>
        <w:t>Sponsor</w:t>
      </w:r>
      <w:r w:rsidRPr="00BD5DBD">
        <w:rPr>
          <w:bCs/>
          <w:szCs w:val="22"/>
        </w:rPr>
        <w:t>’s response to these documents, advised the following.</w:t>
      </w:r>
    </w:p>
    <w:p w14:paraId="0EA9E0EE" w14:textId="2639CFD7" w:rsidR="00247E3C" w:rsidRPr="00247E3C" w:rsidRDefault="00247E3C" w:rsidP="00247E3C">
      <w:pPr>
        <w:pStyle w:val="DelegatesQuestions"/>
      </w:pPr>
      <w:r w:rsidRPr="00247E3C">
        <w:t>Please discuss the current treatments for TN and R/R CLL/SLL that are in use in Australia at present. Do these differ markedly from the ESMO guidelines? Does the Committee see a role for zanubrutinib in the treatment options for CLL/SLL in Australia?</w:t>
      </w:r>
    </w:p>
    <w:p w14:paraId="2626C86E" w14:textId="77777777" w:rsidR="00247E3C" w:rsidRPr="00247E3C" w:rsidRDefault="00247E3C" w:rsidP="00247E3C">
      <w:pPr>
        <w:rPr>
          <w:bCs/>
          <w:szCs w:val="22"/>
        </w:rPr>
      </w:pPr>
      <w:r w:rsidRPr="00247E3C">
        <w:rPr>
          <w:bCs/>
          <w:szCs w:val="22"/>
        </w:rPr>
        <w:t>The ACM noted that current Australian treatment for treatment naïve CLL/SLL differs from the ESMO guidelines primarily due to the limited availability of BTK inhibitors.</w:t>
      </w:r>
    </w:p>
    <w:p w14:paraId="38E3DFC1" w14:textId="77777777" w:rsidR="00247E3C" w:rsidRPr="00247E3C" w:rsidRDefault="00247E3C" w:rsidP="00247E3C">
      <w:pPr>
        <w:rPr>
          <w:bCs/>
          <w:szCs w:val="22"/>
        </w:rPr>
      </w:pPr>
      <w:r w:rsidRPr="00247E3C">
        <w:rPr>
          <w:bCs/>
          <w:szCs w:val="22"/>
        </w:rPr>
        <w:t xml:space="preserve">The ACM advised that for relapsed and refractory CLL/SLL the Australian treatment algorithms are </w:t>
      </w:r>
      <w:proofErr w:type="gramStart"/>
      <w:r w:rsidRPr="00247E3C">
        <w:rPr>
          <w:bCs/>
          <w:szCs w:val="22"/>
        </w:rPr>
        <w:t>similar to</w:t>
      </w:r>
      <w:proofErr w:type="gramEnd"/>
      <w:r w:rsidRPr="00247E3C">
        <w:rPr>
          <w:bCs/>
          <w:szCs w:val="22"/>
        </w:rPr>
        <w:t xml:space="preserve"> the ESMO guidelines (noting that BTK inhibitors are available within these treatment lines in Australia).</w:t>
      </w:r>
    </w:p>
    <w:p w14:paraId="190BC702" w14:textId="77777777" w:rsidR="00247E3C" w:rsidRPr="00247E3C" w:rsidRDefault="00247E3C" w:rsidP="00247E3C">
      <w:pPr>
        <w:rPr>
          <w:bCs/>
          <w:szCs w:val="22"/>
        </w:rPr>
      </w:pPr>
      <w:r w:rsidRPr="00247E3C">
        <w:rPr>
          <w:bCs/>
          <w:szCs w:val="22"/>
        </w:rPr>
        <w:t xml:space="preserve">The ACM was of the view that there is a role for zanubrutinib within the treatment options for CLL/SLL in Australia. The ACM noted the availability of a number of BTK inhibitors will allow clinician choice and greater options to manage tolerability and toxicity challenges in both </w:t>
      </w:r>
      <w:proofErr w:type="gramStart"/>
      <w:r w:rsidRPr="00247E3C">
        <w:rPr>
          <w:bCs/>
          <w:szCs w:val="22"/>
        </w:rPr>
        <w:t>first-line</w:t>
      </w:r>
      <w:proofErr w:type="gramEnd"/>
      <w:r w:rsidRPr="00247E3C">
        <w:rPr>
          <w:bCs/>
          <w:szCs w:val="22"/>
        </w:rPr>
        <w:t xml:space="preserve"> and relapsed/refractory CLL/SLL.</w:t>
      </w:r>
    </w:p>
    <w:p w14:paraId="73DE4DAC" w14:textId="23567D13" w:rsidR="00247E3C" w:rsidRPr="00247E3C" w:rsidRDefault="00247E3C" w:rsidP="00247E3C">
      <w:pPr>
        <w:pStyle w:val="DelegatesQuestions"/>
      </w:pPr>
      <w:r w:rsidRPr="00247E3C">
        <w:t>Please comment on the use of PFS as the primary endpoint in study 304 (treatment naïve CLL/SLL).</w:t>
      </w:r>
    </w:p>
    <w:p w14:paraId="3256B74C" w14:textId="77777777" w:rsidR="00247E3C" w:rsidRPr="00247E3C" w:rsidRDefault="00247E3C" w:rsidP="00247E3C">
      <w:pPr>
        <w:rPr>
          <w:bCs/>
          <w:szCs w:val="22"/>
        </w:rPr>
      </w:pPr>
      <w:r w:rsidRPr="00247E3C">
        <w:rPr>
          <w:bCs/>
          <w:szCs w:val="22"/>
        </w:rPr>
        <w:t>The ACM was of the view that the use of progression free survival (PFS) as a primary endpoint within the treatment naïve CLL/SLL study is reasonable and provides a strong signal regarding clinically relevant efficacy.</w:t>
      </w:r>
    </w:p>
    <w:p w14:paraId="43C2A32B" w14:textId="77777777" w:rsidR="00247E3C" w:rsidRPr="00247E3C" w:rsidRDefault="00247E3C" w:rsidP="00247E3C">
      <w:pPr>
        <w:rPr>
          <w:bCs/>
          <w:szCs w:val="22"/>
        </w:rPr>
      </w:pPr>
      <w:r w:rsidRPr="00247E3C">
        <w:rPr>
          <w:bCs/>
          <w:szCs w:val="22"/>
        </w:rPr>
        <w:t>The ACM noted that this study is ongoing and overall survival (OS) data is often only mature several years after the study. The ACM advised that PFS is a validated surrogate for OS in CLL, in both relapsed disease and first-line treatment (especially for higher genetic risk disease i.e. del17p, unmutated IGHV).</w:t>
      </w:r>
    </w:p>
    <w:p w14:paraId="1CFA8A2E" w14:textId="0EE9ADAD" w:rsidR="00247E3C" w:rsidRPr="00247E3C" w:rsidRDefault="00247E3C" w:rsidP="00247E3C">
      <w:pPr>
        <w:pStyle w:val="DelegatesQuestions"/>
      </w:pPr>
      <w:r w:rsidRPr="00247E3C">
        <w:t>Please comment on the appropriateness of bendamustine + rituximab as the comparator in Cohort 1 of study 304.</w:t>
      </w:r>
    </w:p>
    <w:p w14:paraId="5293CD38" w14:textId="77777777" w:rsidR="00247E3C" w:rsidRPr="00247E3C" w:rsidRDefault="00247E3C" w:rsidP="00247E3C">
      <w:pPr>
        <w:rPr>
          <w:bCs/>
          <w:szCs w:val="22"/>
        </w:rPr>
      </w:pPr>
      <w:r w:rsidRPr="00247E3C">
        <w:rPr>
          <w:bCs/>
          <w:szCs w:val="22"/>
        </w:rPr>
        <w:t>The ACM advised that bendamustine + rituximab is an acceptable comparator within the study.</w:t>
      </w:r>
    </w:p>
    <w:p w14:paraId="0B34B444" w14:textId="77777777" w:rsidR="00247E3C" w:rsidRPr="00247E3C" w:rsidRDefault="00247E3C" w:rsidP="00247E3C">
      <w:pPr>
        <w:rPr>
          <w:bCs/>
          <w:szCs w:val="22"/>
        </w:rPr>
      </w:pPr>
      <w:r w:rsidRPr="00247E3C">
        <w:rPr>
          <w:bCs/>
          <w:szCs w:val="22"/>
        </w:rPr>
        <w:t>The ACM noted that CLL predominately affects patients aged 70 years and older and that bendamustine + rituximab is often utilised within this population for first-line CLL treatment, as patients may not be fit enough / suitable for FCR (fludarabine, cyclophosphamide and rituximab).</w:t>
      </w:r>
    </w:p>
    <w:p w14:paraId="7FF43CC9" w14:textId="682BFDFD" w:rsidR="00247E3C" w:rsidRPr="00247E3C" w:rsidRDefault="00247E3C" w:rsidP="00247E3C">
      <w:pPr>
        <w:pStyle w:val="DelegatesQuestions"/>
      </w:pPr>
      <w:r w:rsidRPr="00247E3C">
        <w:t>Study 305 presents an opportunity to directly compare the relative safety of zanubrutinib and ibrutinib. Does the Committee consider there are clinically significant differences in specific adverse events between these treatments in that study? If so, please identify them.</w:t>
      </w:r>
    </w:p>
    <w:p w14:paraId="57CCF20A" w14:textId="3C8CCA50" w:rsidR="00247E3C" w:rsidRPr="00247E3C" w:rsidRDefault="00247E3C" w:rsidP="00247E3C">
      <w:pPr>
        <w:rPr>
          <w:bCs/>
          <w:szCs w:val="22"/>
        </w:rPr>
      </w:pPr>
      <w:r w:rsidRPr="00247E3C">
        <w:rPr>
          <w:bCs/>
          <w:szCs w:val="22"/>
        </w:rPr>
        <w:t>The ACM noted that Study 305 is a randomised but open label study and is not powered for major safety events (n=</w:t>
      </w:r>
      <w:r w:rsidR="007841C6">
        <w:rPr>
          <w:bCs/>
          <w:szCs w:val="22"/>
        </w:rPr>
        <w:t>324</w:t>
      </w:r>
      <w:r w:rsidRPr="00247E3C">
        <w:rPr>
          <w:bCs/>
          <w:szCs w:val="22"/>
        </w:rPr>
        <w:t xml:space="preserve"> in zanubrutinib group).</w:t>
      </w:r>
    </w:p>
    <w:p w14:paraId="6C6E4FC2" w14:textId="77777777" w:rsidR="00247E3C" w:rsidRPr="00247E3C" w:rsidRDefault="00247E3C" w:rsidP="00247E3C">
      <w:pPr>
        <w:rPr>
          <w:bCs/>
          <w:szCs w:val="22"/>
        </w:rPr>
      </w:pPr>
      <w:r w:rsidRPr="00247E3C">
        <w:rPr>
          <w:bCs/>
          <w:szCs w:val="22"/>
        </w:rPr>
        <w:t xml:space="preserve">The ACM advised that the pattern of treatment emergent adverse events is typical for a BTK inhibitor and noted that a concern with BTK inhibitors is cardiac safety. The ACM indicated that the data appear to suggest less atrial fibrillation, cardiac events, serious or fatal cardiac events, and cardiac events leading to treatment discontinuation with zanubrutinib compared to ibrutinib. </w:t>
      </w:r>
    </w:p>
    <w:p w14:paraId="5EF6B56B" w14:textId="499A2910" w:rsidR="00247E3C" w:rsidRPr="00247E3C" w:rsidRDefault="00247E3C" w:rsidP="00247E3C">
      <w:pPr>
        <w:rPr>
          <w:bCs/>
          <w:szCs w:val="22"/>
        </w:rPr>
      </w:pPr>
      <w:r w:rsidRPr="00247E3C">
        <w:rPr>
          <w:bCs/>
          <w:szCs w:val="22"/>
        </w:rPr>
        <w:t xml:space="preserve">The ACM commented that </w:t>
      </w:r>
      <w:r w:rsidR="00AD25C7" w:rsidRPr="00247E3C">
        <w:rPr>
          <w:bCs/>
          <w:szCs w:val="22"/>
        </w:rPr>
        <w:t>overall,</w:t>
      </w:r>
      <w:r w:rsidRPr="00247E3C">
        <w:rPr>
          <w:bCs/>
          <w:szCs w:val="22"/>
        </w:rPr>
        <w:t xml:space="preserve"> the data indicate that zanubrutinib is at least as safe as ibrutinib over the moderate length term of this study to date.</w:t>
      </w:r>
    </w:p>
    <w:p w14:paraId="399AB219" w14:textId="51F461B2" w:rsidR="00247E3C" w:rsidRPr="00247E3C" w:rsidRDefault="00247E3C" w:rsidP="00247E3C">
      <w:pPr>
        <w:pStyle w:val="DelegatesQuestions"/>
      </w:pPr>
      <w:r w:rsidRPr="00247E3C">
        <w:t xml:space="preserve">Does the Committee consider that it is useful to include in the indications that zanubrutinib is indicated in patients with deletion 17p and/or TP53 mutation? I note that activity against mutations </w:t>
      </w:r>
      <w:proofErr w:type="gramStart"/>
      <w:r w:rsidRPr="00247E3C">
        <w:t>are</w:t>
      </w:r>
      <w:proofErr w:type="gramEnd"/>
      <w:r w:rsidRPr="00247E3C">
        <w:t xml:space="preserve"> not listed in the indications for either ibrutinib or acalabrutinib.</w:t>
      </w:r>
    </w:p>
    <w:p w14:paraId="7EAF35F4" w14:textId="77777777" w:rsidR="00247E3C" w:rsidRPr="00247E3C" w:rsidRDefault="00247E3C" w:rsidP="00247E3C">
      <w:pPr>
        <w:rPr>
          <w:bCs/>
          <w:szCs w:val="22"/>
        </w:rPr>
      </w:pPr>
      <w:r w:rsidRPr="00247E3C">
        <w:rPr>
          <w:bCs/>
          <w:szCs w:val="22"/>
        </w:rPr>
        <w:t>The ACM was of the view that it is not necessary to include patients with deletion 17p and/or TP53 mutation within the indication, but information on this group should be listed within the PI. The ACM noted that this approach is consistent with other BTK inhibitors.</w:t>
      </w:r>
    </w:p>
    <w:p w14:paraId="22B5DFC8" w14:textId="77777777" w:rsidR="00247E3C" w:rsidRPr="00247E3C" w:rsidRDefault="00247E3C" w:rsidP="00247E3C">
      <w:pPr>
        <w:rPr>
          <w:bCs/>
          <w:szCs w:val="22"/>
        </w:rPr>
      </w:pPr>
      <w:r w:rsidRPr="00247E3C">
        <w:rPr>
          <w:bCs/>
          <w:szCs w:val="22"/>
        </w:rPr>
        <w:t>The ACM also noted that the proposed indication does not separate treatment naïve and relapsed/refractory patients. The ACM noted that this is a different approach to other BTK inhibitors but was of the view this was appropriate.</w:t>
      </w:r>
    </w:p>
    <w:p w14:paraId="786BC46C" w14:textId="77777777" w:rsidR="00247E3C" w:rsidRPr="00247E3C" w:rsidRDefault="00247E3C" w:rsidP="00247E3C">
      <w:pPr>
        <w:pStyle w:val="Heading5"/>
      </w:pPr>
      <w:r w:rsidRPr="00247E3C">
        <w:t>ACM conclusion</w:t>
      </w:r>
    </w:p>
    <w:p w14:paraId="595B52E0" w14:textId="77777777" w:rsidR="00247E3C" w:rsidRPr="00247E3C" w:rsidRDefault="00247E3C" w:rsidP="00247E3C">
      <w:pPr>
        <w:rPr>
          <w:bCs/>
          <w:szCs w:val="22"/>
        </w:rPr>
      </w:pPr>
      <w:r w:rsidRPr="00247E3C">
        <w:rPr>
          <w:bCs/>
          <w:szCs w:val="22"/>
        </w:rPr>
        <w:t>The ACM considered this product to have an overall positive benefit-risk profile for the indication:</w:t>
      </w:r>
    </w:p>
    <w:p w14:paraId="22994B69" w14:textId="558337EE" w:rsidR="00247E3C" w:rsidRPr="00247E3C" w:rsidRDefault="005E6484" w:rsidP="00247E3C">
      <w:pPr>
        <w:ind w:left="720"/>
        <w:rPr>
          <w:bCs/>
          <w:i/>
          <w:iCs/>
          <w:szCs w:val="22"/>
        </w:rPr>
      </w:pPr>
      <w:r>
        <w:rPr>
          <w:bCs/>
          <w:i/>
          <w:iCs/>
          <w:szCs w:val="22"/>
        </w:rPr>
        <w:t>Brukinsa</w:t>
      </w:r>
      <w:r w:rsidR="00247E3C" w:rsidRPr="00247E3C">
        <w:rPr>
          <w:bCs/>
          <w:i/>
          <w:iCs/>
          <w:szCs w:val="22"/>
        </w:rPr>
        <w:t xml:space="preserve"> is indicated as monotherapy for the treatment of adult patients with chronic lymphocytic leukaemia (CLL) or small lymphocytic lymphoma (SLL).</w:t>
      </w:r>
    </w:p>
    <w:p w14:paraId="307F236C" w14:textId="77777777" w:rsidR="00C22214" w:rsidRPr="002E238E" w:rsidRDefault="00C22214" w:rsidP="00C22214">
      <w:pPr>
        <w:pStyle w:val="Heading2"/>
      </w:pPr>
      <w:bookmarkStart w:id="33" w:name="_Toc103679300"/>
      <w:bookmarkStart w:id="34" w:name="_Toc184291858"/>
      <w:r>
        <w:t>Outcome</w:t>
      </w:r>
      <w:bookmarkEnd w:id="30"/>
      <w:bookmarkEnd w:id="31"/>
      <w:bookmarkEnd w:id="33"/>
      <w:bookmarkEnd w:id="34"/>
    </w:p>
    <w:p w14:paraId="4EF22939" w14:textId="31E9F33A"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5E6484">
        <w:t>Brukinsa</w:t>
      </w:r>
      <w:proofErr w:type="spellEnd"/>
      <w:r w:rsidRPr="0017005C">
        <w:t xml:space="preserve"> (</w:t>
      </w:r>
      <w:proofErr w:type="spellStart"/>
      <w:r w:rsidR="001227FF">
        <w:t>zanubritinib</w:t>
      </w:r>
      <w:proofErr w:type="spellEnd"/>
      <w:r w:rsidRPr="0017005C">
        <w:t xml:space="preserve">) for the following extension of </w:t>
      </w:r>
      <w:proofErr w:type="gramStart"/>
      <w:r w:rsidRPr="0017005C">
        <w:t>indications :</w:t>
      </w:r>
      <w:proofErr w:type="gramEnd"/>
    </w:p>
    <w:p w14:paraId="5FF801A1" w14:textId="77777777" w:rsidR="001227FF" w:rsidRPr="00B27EB9" w:rsidRDefault="001227FF" w:rsidP="00B27EB9">
      <w:pPr>
        <w:pStyle w:val="Instructions"/>
        <w:ind w:left="720"/>
        <w:rPr>
          <w:rFonts w:eastAsiaTheme="minorHAnsi" w:cstheme="minorBidi"/>
          <w:b/>
          <w:bCs/>
          <w:color w:val="000000" w:themeColor="text1"/>
          <w:szCs w:val="20"/>
        </w:rPr>
      </w:pPr>
      <w:r w:rsidRPr="00B27EB9">
        <w:rPr>
          <w:rFonts w:eastAsiaTheme="minorHAnsi" w:cstheme="minorBidi"/>
          <w:b/>
          <w:bCs/>
          <w:color w:val="000000" w:themeColor="text1"/>
          <w:szCs w:val="20"/>
        </w:rPr>
        <w:t>Chronic Lymphocytic Leukaemia (CLL)/Small Lymphocytic Lymphoma (SLL)</w:t>
      </w:r>
    </w:p>
    <w:p w14:paraId="7CB893EA" w14:textId="24A91E5E" w:rsidR="00C22214" w:rsidRDefault="005E6484" w:rsidP="00B27EB9">
      <w:pPr>
        <w:pStyle w:val="Instructions"/>
        <w:ind w:left="720"/>
      </w:pPr>
      <w:r>
        <w:rPr>
          <w:rFonts w:eastAsiaTheme="minorHAnsi" w:cstheme="minorBidi"/>
          <w:color w:val="000000" w:themeColor="text1"/>
          <w:szCs w:val="20"/>
        </w:rPr>
        <w:t>Brukinsa</w:t>
      </w:r>
      <w:r w:rsidR="001227FF" w:rsidRPr="001227FF">
        <w:rPr>
          <w:rFonts w:eastAsiaTheme="minorHAnsi" w:cstheme="minorBidi"/>
          <w:color w:val="000000" w:themeColor="text1"/>
          <w:szCs w:val="20"/>
        </w:rPr>
        <w:t xml:space="preserve"> is indicated as monotherapy for the treatment of adult patients with chronic lymphocytic leukaemia (CLL) or small lymphocytic lymphoma (SLL), including patients with deletion 17p and/or TP53 mutation.</w:t>
      </w:r>
    </w:p>
    <w:p w14:paraId="500F60C2" w14:textId="2F8F388C" w:rsidR="00C22214" w:rsidRPr="00BD5DBD" w:rsidRDefault="001227FF" w:rsidP="00C22214">
      <w:pPr>
        <w:rPr>
          <w:szCs w:val="22"/>
        </w:rPr>
      </w:pPr>
      <w:r>
        <w:rPr>
          <w:szCs w:val="22"/>
        </w:rPr>
        <w:t>T</w:t>
      </w:r>
      <w:r w:rsidR="00C22214" w:rsidRPr="00BD5DBD">
        <w:rPr>
          <w:szCs w:val="22"/>
        </w:rPr>
        <w:t>he full indications at this time were:</w:t>
      </w:r>
    </w:p>
    <w:p w14:paraId="5B45D0CB" w14:textId="4B822144" w:rsidR="00B27EB9" w:rsidRPr="007E73C5" w:rsidRDefault="001227FF" w:rsidP="007E73C5">
      <w:pPr>
        <w:rPr>
          <w:b/>
          <w:bCs/>
        </w:rPr>
      </w:pPr>
      <w:r w:rsidRPr="007E73C5">
        <w:rPr>
          <w:b/>
          <w:bCs/>
        </w:rPr>
        <w:t>Waldenström’s Macroglobulinaemia (WM)</w:t>
      </w:r>
    </w:p>
    <w:p w14:paraId="78FFC9EA" w14:textId="4B966E1B" w:rsidR="00C22214" w:rsidRDefault="005E6484" w:rsidP="007E73C5">
      <w:proofErr w:type="spellStart"/>
      <w:r>
        <w:t>Brukinsa</w:t>
      </w:r>
      <w:proofErr w:type="spellEnd"/>
      <w:r w:rsidR="001227FF">
        <w:t xml:space="preserve"> is indicated for the treatment of adult patients with Waldenström’s macroglobulinaemia (WM) who have received at least one prior therapy, or in first line treatment for patients unsuitable for chemo-immunotherapy.</w:t>
      </w:r>
    </w:p>
    <w:p w14:paraId="7CDDAE5D" w14:textId="77777777" w:rsidR="001227FF" w:rsidRPr="007E73C5" w:rsidRDefault="001227FF" w:rsidP="007E73C5">
      <w:pPr>
        <w:rPr>
          <w:b/>
          <w:bCs/>
          <w:i/>
          <w:iCs/>
        </w:rPr>
      </w:pPr>
      <w:r w:rsidRPr="007E73C5">
        <w:rPr>
          <w:b/>
          <w:bCs/>
          <w:i/>
          <w:iCs/>
        </w:rPr>
        <w:t>Mantle cell lymphoma (MCL)</w:t>
      </w:r>
    </w:p>
    <w:p w14:paraId="5F772BAE" w14:textId="7DAB35E8" w:rsidR="001227FF" w:rsidRPr="00B27EB9" w:rsidRDefault="005E6484" w:rsidP="007E73C5">
      <w:pPr>
        <w:rPr>
          <w:i/>
          <w:iCs/>
        </w:rPr>
      </w:pPr>
      <w:r w:rsidRPr="00B27EB9">
        <w:rPr>
          <w:i/>
          <w:iCs/>
        </w:rPr>
        <w:t>Brukinsa</w:t>
      </w:r>
      <w:r w:rsidR="001227FF" w:rsidRPr="00B27EB9">
        <w:rPr>
          <w:i/>
          <w:iCs/>
        </w:rPr>
        <w:t xml:space="preserve"> is indicated for the treatment of adult patients with mantle cell lymphoma (MCL) who have received at least one prior therapy.</w:t>
      </w:r>
    </w:p>
    <w:p w14:paraId="79D3A2D3" w14:textId="77777777" w:rsidR="001227FF" w:rsidRPr="00B27EB9" w:rsidRDefault="001227FF" w:rsidP="007E73C5">
      <w:pPr>
        <w:rPr>
          <w:i/>
          <w:iCs/>
        </w:rPr>
      </w:pPr>
      <w:r w:rsidRPr="00B27EB9">
        <w:rPr>
          <w:i/>
          <w:iCs/>
        </w:rPr>
        <w:t>This indication was approved via the provisional approval pathway, based on objective response rate. Continued approval for this indication depends on verification and description of clinical benefit in the confirmatory trials.</w:t>
      </w:r>
    </w:p>
    <w:p w14:paraId="471A7914" w14:textId="77777777" w:rsidR="001227FF" w:rsidRPr="007E73C5" w:rsidRDefault="001227FF" w:rsidP="007E73C5">
      <w:pPr>
        <w:rPr>
          <w:b/>
          <w:bCs/>
          <w:i/>
          <w:iCs/>
        </w:rPr>
      </w:pPr>
      <w:r w:rsidRPr="007E73C5">
        <w:rPr>
          <w:b/>
          <w:bCs/>
          <w:i/>
          <w:iCs/>
        </w:rPr>
        <w:t>Marginal Zone Lymphoma (MZL)</w:t>
      </w:r>
    </w:p>
    <w:p w14:paraId="5DA3DAFE" w14:textId="2E646047" w:rsidR="001227FF" w:rsidRPr="00B27EB9" w:rsidRDefault="005E6484" w:rsidP="007E73C5">
      <w:pPr>
        <w:rPr>
          <w:i/>
          <w:iCs/>
        </w:rPr>
      </w:pPr>
      <w:r w:rsidRPr="00B27EB9">
        <w:rPr>
          <w:i/>
          <w:iCs/>
        </w:rPr>
        <w:t>Brukinsa</w:t>
      </w:r>
      <w:r w:rsidR="001227FF" w:rsidRPr="00B27EB9">
        <w:rPr>
          <w:i/>
          <w:iCs/>
        </w:rPr>
        <w:t xml:space="preserve"> is indicated for the treatment of adult patients with marginal zone lymphoma (MZL) who have received at least one-prior anti-CD20-based therapy.</w:t>
      </w:r>
    </w:p>
    <w:p w14:paraId="72151D3C" w14:textId="77777777" w:rsidR="001227FF" w:rsidRPr="00B27EB9" w:rsidRDefault="001227FF" w:rsidP="007E73C5">
      <w:pPr>
        <w:rPr>
          <w:i/>
          <w:iCs/>
        </w:rPr>
      </w:pPr>
      <w:r w:rsidRPr="00B27EB9">
        <w:rPr>
          <w:i/>
          <w:iCs/>
        </w:rPr>
        <w:t>This indication was approved via the provisional approval pathway, based on objective response rate. Continued approval for this indication depends on verification and description of clinical benefit in the confirmatory trials.</w:t>
      </w:r>
    </w:p>
    <w:p w14:paraId="2F0F7445" w14:textId="77777777" w:rsidR="001227FF" w:rsidRPr="007E73C5" w:rsidRDefault="001227FF" w:rsidP="007E73C5">
      <w:pPr>
        <w:rPr>
          <w:b/>
          <w:bCs/>
          <w:i/>
          <w:iCs/>
        </w:rPr>
      </w:pPr>
      <w:r w:rsidRPr="007E73C5">
        <w:rPr>
          <w:b/>
          <w:bCs/>
          <w:i/>
          <w:iCs/>
        </w:rPr>
        <w:t>Chronic Lymphocytic Leukaemia (CLL)/Small Lymphocytic Lymphoma (SLL)</w:t>
      </w:r>
    </w:p>
    <w:p w14:paraId="468A1489" w14:textId="1316ADA0" w:rsidR="001227FF" w:rsidRPr="00B27EB9" w:rsidRDefault="005E6484" w:rsidP="007E73C5">
      <w:pPr>
        <w:rPr>
          <w:i/>
          <w:iCs/>
        </w:rPr>
      </w:pPr>
      <w:r w:rsidRPr="00B27EB9">
        <w:rPr>
          <w:i/>
          <w:iCs/>
        </w:rPr>
        <w:t>Brukinsa</w:t>
      </w:r>
      <w:r w:rsidR="001227FF" w:rsidRPr="00B27EB9">
        <w:rPr>
          <w:i/>
          <w:iCs/>
        </w:rPr>
        <w:t xml:space="preserve"> is indicated as monotherapy for the treatment of adult patients with chronic lymphocytic leukaemia (CLL) or small lymphocytic lymphoma (SLL), including patients with deletion 17p and/or TP53 mutation.</w:t>
      </w:r>
    </w:p>
    <w:p w14:paraId="451DC3FC" w14:textId="2D1EC6E2" w:rsidR="00C22214" w:rsidRDefault="00C22214" w:rsidP="00F7014C">
      <w:pPr>
        <w:pStyle w:val="Heading2"/>
      </w:pPr>
      <w:bookmarkStart w:id="35" w:name="_Toc103679303"/>
      <w:bookmarkStart w:id="36" w:name="_Toc184291859"/>
      <w:r>
        <w:t>Attachment 1. Product Information</w:t>
      </w:r>
      <w:bookmarkEnd w:id="35"/>
      <w:bookmarkEnd w:id="36"/>
    </w:p>
    <w:p w14:paraId="74F59983" w14:textId="3A3ACA9F" w:rsidR="00675F81" w:rsidRPr="00BD5DBD" w:rsidRDefault="00675F81" w:rsidP="00675F81">
      <w:pPr>
        <w:rPr>
          <w:szCs w:val="22"/>
        </w:rPr>
      </w:pPr>
      <w:r w:rsidRPr="00BD5DBD">
        <w:rPr>
          <w:szCs w:val="22"/>
        </w:rPr>
        <w:t xml:space="preserve">The </w:t>
      </w:r>
      <w:hyperlink r:id="rId52" w:history="1">
        <w:r w:rsidRPr="00BD5DBD">
          <w:rPr>
            <w:rStyle w:val="Hyperlink"/>
            <w:szCs w:val="22"/>
          </w:rPr>
          <w:t>Product Information</w:t>
        </w:r>
      </w:hyperlink>
      <w:r w:rsidRPr="00BD5DBD">
        <w:rPr>
          <w:szCs w:val="22"/>
        </w:rPr>
        <w:t xml:space="preserve"> (</w:t>
      </w:r>
      <w:hyperlink r:id="rId53"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5E6484">
        <w:t>Brukinsa</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54" w:history="1">
        <w:r w:rsidRPr="00BD5DBD">
          <w:rPr>
            <w:rStyle w:val="Hyperlink"/>
            <w:szCs w:val="22"/>
          </w:rPr>
          <w:t>Consumer Medicines Information</w:t>
        </w:r>
      </w:hyperlink>
      <w:r w:rsidRPr="00BD5DBD">
        <w:rPr>
          <w:szCs w:val="22"/>
        </w:rPr>
        <w:t xml:space="preserve"> (CMI), please refer to the TGA </w:t>
      </w:r>
      <w:hyperlink r:id="rId55" w:history="1">
        <w:r w:rsidRPr="00BD5DBD">
          <w:rPr>
            <w:rStyle w:val="Hyperlink"/>
            <w:szCs w:val="22"/>
          </w:rPr>
          <w:t>PI/CMI search facility.</w:t>
        </w:r>
      </w:hyperlink>
    </w:p>
    <w:p w14:paraId="53357BF3" w14:textId="276457B5" w:rsidR="00C22214" w:rsidRDefault="00C22214" w:rsidP="00C22214">
      <w:pPr>
        <w:rPr>
          <w:lang w:eastAsia="ja-JP"/>
        </w:rPr>
        <w:sectPr w:rsidR="00C22214" w:rsidSect="00F50732">
          <w:headerReference w:type="default" r:id="rId56"/>
          <w:footerReference w:type="default" r:id="rId57"/>
          <w:pgSz w:w="11906" w:h="16838" w:code="9"/>
          <w:pgMar w:top="887" w:right="1440" w:bottom="1440" w:left="1440"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1943" w14:paraId="3C0C07BF" w14:textId="77777777" w:rsidTr="007452E8">
        <w:trPr>
          <w:trHeight w:hRule="exact" w:val="565"/>
          <w:jc w:val="center"/>
        </w:trPr>
        <w:tc>
          <w:tcPr>
            <w:tcW w:w="9145" w:type="dxa"/>
          </w:tcPr>
          <w:bookmarkEnd w:id="2"/>
          <w:bookmarkEnd w:id="3"/>
          <w:p w14:paraId="7E090B86" w14:textId="77777777" w:rsidR="00F02AEC" w:rsidRPr="00211943" w:rsidRDefault="00F02AEC" w:rsidP="007452E8">
            <w:pPr>
              <w:pStyle w:val="TGASignoff"/>
              <w:rPr>
                <w:rFonts w:ascii="Arial Nova" w:hAnsi="Arial Nova"/>
              </w:rPr>
            </w:pPr>
            <w:r w:rsidRPr="00211943">
              <w:rPr>
                <w:rFonts w:ascii="Arial Nova" w:hAnsi="Arial Nova"/>
              </w:rPr>
              <w:t>Therapeutic Goods Administration</w:t>
            </w:r>
          </w:p>
        </w:tc>
      </w:tr>
      <w:tr w:rsidR="00F02AEC" w:rsidRPr="00211943" w14:paraId="70F47EA1" w14:textId="77777777" w:rsidTr="007452E8">
        <w:trPr>
          <w:trHeight w:val="963"/>
          <w:jc w:val="center"/>
        </w:trPr>
        <w:tc>
          <w:tcPr>
            <w:tcW w:w="9145" w:type="dxa"/>
            <w:tcMar>
              <w:top w:w="28" w:type="dxa"/>
            </w:tcMar>
          </w:tcPr>
          <w:p w14:paraId="3491EBCD" w14:textId="77777777" w:rsidR="00F02AEC" w:rsidRPr="00211943" w:rsidRDefault="00F02AEC" w:rsidP="007452E8">
            <w:pPr>
              <w:pStyle w:val="Address"/>
              <w:jc w:val="center"/>
              <w:rPr>
                <w:rFonts w:ascii="Arial Nova" w:hAnsi="Arial Nova"/>
              </w:rPr>
            </w:pPr>
            <w:r w:rsidRPr="00211943">
              <w:rPr>
                <w:rFonts w:ascii="Arial Nova" w:hAnsi="Arial Nova"/>
              </w:rPr>
              <w:t>PO Box 100 Woden ACT 2606 Australia</w:t>
            </w:r>
          </w:p>
          <w:p w14:paraId="5D0FE0E7" w14:textId="53CB9479" w:rsidR="00F02AEC" w:rsidRPr="00211943" w:rsidRDefault="00F02AEC">
            <w:pPr>
              <w:pStyle w:val="Address"/>
              <w:jc w:val="center"/>
              <w:rPr>
                <w:rFonts w:ascii="Arial Nova" w:hAnsi="Arial Nova"/>
                <w:sz w:val="22"/>
                <w:szCs w:val="22"/>
              </w:rPr>
            </w:pPr>
            <w:r w:rsidRPr="00211943">
              <w:rPr>
                <w:rFonts w:ascii="Arial Nova" w:hAnsi="Arial Nova"/>
              </w:rPr>
              <w:t xml:space="preserve">Email: </w:t>
            </w:r>
            <w:hyperlink r:id="rId58" w:history="1">
              <w:r w:rsidRPr="00211943">
                <w:rPr>
                  <w:rStyle w:val="Hyperlink"/>
                  <w:rFonts w:ascii="Arial Nova" w:hAnsi="Arial Nova"/>
                </w:rPr>
                <w:t>info@tga.gov.au</w:t>
              </w:r>
            </w:hyperlink>
            <w:r w:rsidRPr="00211943">
              <w:rPr>
                <w:rFonts w:ascii="Arial Nova" w:hAnsi="Arial Nova"/>
              </w:rPr>
              <w:t xml:space="preserve">  Phone: 1800 020 </w:t>
            </w:r>
            <w:proofErr w:type="gramStart"/>
            <w:r w:rsidRPr="00211943">
              <w:rPr>
                <w:rFonts w:ascii="Arial Nova" w:hAnsi="Arial Nova"/>
              </w:rPr>
              <w:t>653  Fax</w:t>
            </w:r>
            <w:proofErr w:type="gramEnd"/>
            <w:r w:rsidRPr="00211943">
              <w:rPr>
                <w:rFonts w:ascii="Arial Nova" w:hAnsi="Arial Nova"/>
              </w:rPr>
              <w:t>: 02 6203 1605</w:t>
            </w:r>
          </w:p>
          <w:p w14:paraId="4533D80F" w14:textId="1519D7A3" w:rsidR="00F02AEC" w:rsidRPr="00211943" w:rsidRDefault="00F02AEC">
            <w:pPr>
              <w:pStyle w:val="Address"/>
              <w:jc w:val="center"/>
              <w:rPr>
                <w:rStyle w:val="Hyperlink"/>
                <w:rFonts w:ascii="Arial Nova" w:hAnsi="Arial Nova"/>
                <w:b/>
                <w:color w:val="auto"/>
                <w:sz w:val="22"/>
              </w:rPr>
            </w:pPr>
            <w:hyperlink r:id="rId59" w:history="1">
              <w:r w:rsidRPr="00211943">
                <w:rPr>
                  <w:rStyle w:val="Hyperlink"/>
                  <w:rFonts w:ascii="Arial Nova" w:hAnsi="Arial Nova"/>
                  <w:b/>
                </w:rPr>
                <w:t>https://www.tga.gov.au</w:t>
              </w:r>
            </w:hyperlink>
          </w:p>
        </w:tc>
      </w:tr>
      <w:tr w:rsidR="00F02AEC" w:rsidRPr="00211943" w14:paraId="2AD74347" w14:textId="77777777" w:rsidTr="007452E8">
        <w:trPr>
          <w:trHeight w:val="251"/>
          <w:jc w:val="center"/>
        </w:trPr>
        <w:tc>
          <w:tcPr>
            <w:tcW w:w="9145" w:type="dxa"/>
            <w:tcMar>
              <w:top w:w="28" w:type="dxa"/>
            </w:tcMar>
          </w:tcPr>
          <w:p w14:paraId="6EAAD5C1" w14:textId="62349F72" w:rsidR="00F02AEC" w:rsidRPr="00211943" w:rsidRDefault="00F02AEC" w:rsidP="007452E8">
            <w:pPr>
              <w:pStyle w:val="Address"/>
              <w:jc w:val="center"/>
              <w:rPr>
                <w:rFonts w:ascii="Arial Nova" w:hAnsi="Arial Nova"/>
              </w:rPr>
            </w:pPr>
          </w:p>
        </w:tc>
      </w:tr>
    </w:tbl>
    <w:p w14:paraId="788B80FD" w14:textId="77777777" w:rsidR="007452E8" w:rsidRDefault="007452E8"/>
    <w:sectPr w:rsidR="007452E8" w:rsidSect="007452E8">
      <w:headerReference w:type="first" r:id="rId60"/>
      <w:footerReference w:type="first" r:id="rId6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38EBA" w14:textId="77777777" w:rsidR="00BF11C6" w:rsidRDefault="00BF11C6" w:rsidP="00F02AEC">
      <w:pPr>
        <w:spacing w:after="0" w:line="240" w:lineRule="auto"/>
      </w:pPr>
      <w:r>
        <w:separator/>
      </w:r>
    </w:p>
  </w:endnote>
  <w:endnote w:type="continuationSeparator" w:id="0">
    <w:p w14:paraId="59BA8F72" w14:textId="77777777" w:rsidR="00BF11C6" w:rsidRDefault="00BF11C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C45CADC" w:rsidR="007452E8" w:rsidRPr="004A3084" w:rsidRDefault="007452E8" w:rsidP="007452E8">
          <w:pPr>
            <w:pStyle w:val="Footer"/>
          </w:pPr>
          <w:r w:rsidRPr="00487162">
            <w:t>AusPA</w:t>
          </w:r>
          <w:r>
            <w:t xml:space="preserve">R - </w:t>
          </w:r>
          <w:r w:rsidR="00B47CCB">
            <w:t>Brukinsa</w:t>
          </w:r>
          <w:r w:rsidR="002544E7" w:rsidRPr="002544E7">
            <w:t xml:space="preserve"> </w:t>
          </w:r>
          <w:r>
            <w:t>-</w:t>
          </w:r>
          <w:r w:rsidRPr="00460036">
            <w:t xml:space="preserve"> </w:t>
          </w:r>
          <w:proofErr w:type="spellStart"/>
          <w:r w:rsidR="002544E7" w:rsidRPr="002544E7">
            <w:t>zanubrutinib</w:t>
          </w:r>
          <w:proofErr w:type="spellEnd"/>
          <w:r w:rsidRPr="00460036">
            <w:t xml:space="preserve"> </w:t>
          </w:r>
          <w:r w:rsidR="008C754C">
            <w:t>-</w:t>
          </w:r>
          <w:r>
            <w:t xml:space="preserve"> </w:t>
          </w:r>
          <w:proofErr w:type="spellStart"/>
          <w:r w:rsidR="002544E7" w:rsidRPr="002544E7">
            <w:t>BeiGene</w:t>
          </w:r>
          <w:proofErr w:type="spellEnd"/>
          <w:r w:rsidR="002544E7" w:rsidRPr="002544E7">
            <w:t xml:space="preserve"> AUS Pty </w:t>
          </w:r>
          <w:proofErr w:type="gramStart"/>
          <w:r w:rsidR="002544E7" w:rsidRPr="002544E7">
            <w:t xml:space="preserve">Ltd </w:t>
          </w:r>
          <w:r w:rsidR="002544E7">
            <w:t xml:space="preserve"> -</w:t>
          </w:r>
          <w:proofErr w:type="gramEnd"/>
          <w:r w:rsidR="002544E7">
            <w:t xml:space="preserve"> Type C </w:t>
          </w:r>
          <w:r>
            <w:t xml:space="preserve">- </w:t>
          </w:r>
          <w:r w:rsidR="002544E7" w:rsidRPr="002544E7">
            <w:t>PM-2022-01012-1-4</w:t>
          </w:r>
          <w:r>
            <w:br/>
          </w:r>
          <w:r w:rsidRPr="00487162">
            <w:t>Date of Finalisation</w:t>
          </w:r>
          <w:r w:rsidR="00DA0D06">
            <w:t>: 5 November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7059834E" w14:textId="77777777" w:rsidR="007F54F5" w:rsidRDefault="007F54F5" w:rsidP="00593BA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7A9FC" w14:textId="77777777" w:rsidR="00BF11C6" w:rsidRDefault="00BF11C6" w:rsidP="00F02AEC">
      <w:pPr>
        <w:spacing w:after="0" w:line="240" w:lineRule="auto"/>
      </w:pPr>
      <w:r>
        <w:separator/>
      </w:r>
    </w:p>
  </w:footnote>
  <w:footnote w:type="continuationSeparator" w:id="0">
    <w:p w14:paraId="55B06AE4" w14:textId="77777777" w:rsidR="00BF11C6" w:rsidRDefault="00BF11C6" w:rsidP="00F02AEC">
      <w:pPr>
        <w:spacing w:after="0" w:line="240" w:lineRule="auto"/>
      </w:pPr>
      <w:r>
        <w:continuationSeparator/>
      </w:r>
    </w:p>
  </w:footnote>
  <w:footnote w:id="1">
    <w:p w14:paraId="5AE0AD1A" w14:textId="28C79D33" w:rsidR="00B85DDC" w:rsidRDefault="00B85DDC">
      <w:pPr>
        <w:pStyle w:val="FootnoteText"/>
      </w:pPr>
      <w:r>
        <w:rPr>
          <w:rStyle w:val="FootnoteReference"/>
        </w:rPr>
        <w:footnoteRef/>
      </w:r>
      <w:r>
        <w:t xml:space="preserve"> </w:t>
      </w:r>
      <w:r w:rsidRPr="00B85DDC">
        <w:t>Eichhorst B. et al. Chronic lymphocytic leukaemia: ESMO Clinical Practice Guidelines for diagnosis, treatment and follow-up. Annals of Oncology January 2021.</w:t>
      </w:r>
    </w:p>
  </w:footnote>
  <w:footnote w:id="2">
    <w:p w14:paraId="7049626C" w14:textId="77777777" w:rsidR="00BC5298" w:rsidRDefault="00BC5298" w:rsidP="00BC5298">
      <w:pPr>
        <w:pStyle w:val="FootnoteText"/>
      </w:pPr>
      <w:r>
        <w:rPr>
          <w:rStyle w:val="FootnoteReference"/>
        </w:rPr>
        <w:footnoteRef/>
      </w:r>
      <w:r>
        <w:t xml:space="preserve"> </w:t>
      </w:r>
      <w:r w:rsidRPr="00AD0111">
        <w:t xml:space="preserve"> </w:t>
      </w:r>
      <w:r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3">
    <w:p w14:paraId="3F9AEDDB" w14:textId="694FFBF7" w:rsidR="007841C6" w:rsidRDefault="007841C6">
      <w:pPr>
        <w:pStyle w:val="FootnoteText"/>
      </w:pPr>
      <w:r>
        <w:rPr>
          <w:rStyle w:val="FootnoteReference"/>
        </w:rPr>
        <w:footnoteRef/>
      </w:r>
      <w:r>
        <w:t xml:space="preserve"> </w:t>
      </w:r>
      <w:proofErr w:type="spellStart"/>
      <w:r w:rsidRPr="007841C6">
        <w:t>Hallek</w:t>
      </w:r>
      <w:proofErr w:type="spellEnd"/>
      <w:r w:rsidRPr="007841C6">
        <w:t xml:space="preserve"> et al. iwCLL guidelines for diagnosis, indications for treatment, response assessment, and supportive management of CLL. Blood .2018;131(250;2745-2760.</w:t>
      </w:r>
    </w:p>
  </w:footnote>
  <w:footnote w:id="4">
    <w:p w14:paraId="51EEC0B2" w14:textId="2DE32062" w:rsidR="000E18E3" w:rsidRDefault="000E18E3">
      <w:pPr>
        <w:pStyle w:val="FootnoteText"/>
      </w:pPr>
      <w:r>
        <w:rPr>
          <w:rStyle w:val="FootnoteReference"/>
        </w:rPr>
        <w:footnoteRef/>
      </w:r>
      <w:r>
        <w:t xml:space="preserve"> </w:t>
      </w:r>
      <w:r w:rsidRPr="000E18E3">
        <w:t>Cancer Content Hub. ASCO 2022 Highlights: Combination Therapy for Chronic Lymphocytic leukemia https://www.cancertherapyadvisor.com/downloadingthedata/asco-2022-conference-highlights-on-combination- therapies-for-chronic-lymphocytic-leukemia/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7E73C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0CD6F" w14:textId="77777777" w:rsidR="00593BA7" w:rsidRDefault="00593BA7" w:rsidP="00593BA7">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2498"/>
    <w:multiLevelType w:val="hybridMultilevel"/>
    <w:tmpl w:val="402C2B06"/>
    <w:lvl w:ilvl="0" w:tplc="13445AFE">
      <w:numFmt w:val="bullet"/>
      <w:lvlText w:val=""/>
      <w:lvlJc w:val="left"/>
      <w:pPr>
        <w:ind w:left="620" w:hanging="360"/>
      </w:pPr>
      <w:rPr>
        <w:rFonts w:ascii="Symbol" w:eastAsia="Symbol" w:hAnsi="Symbol" w:cs="Symbol" w:hint="default"/>
        <w:b w:val="0"/>
        <w:bCs w:val="0"/>
        <w:i w:val="0"/>
        <w:iCs w:val="0"/>
        <w:spacing w:val="0"/>
        <w:w w:val="100"/>
        <w:sz w:val="22"/>
        <w:szCs w:val="22"/>
        <w:lang w:val="en-US" w:eastAsia="en-US" w:bidi="ar-SA"/>
      </w:rPr>
    </w:lvl>
    <w:lvl w:ilvl="1" w:tplc="3DF2EB54">
      <w:numFmt w:val="bullet"/>
      <w:lvlText w:val="•"/>
      <w:lvlJc w:val="left"/>
      <w:pPr>
        <w:ind w:left="1498" w:hanging="360"/>
      </w:pPr>
      <w:rPr>
        <w:rFonts w:hint="default"/>
        <w:lang w:val="en-US" w:eastAsia="en-US" w:bidi="ar-SA"/>
      </w:rPr>
    </w:lvl>
    <w:lvl w:ilvl="2" w:tplc="9E84CAE2">
      <w:numFmt w:val="bullet"/>
      <w:lvlText w:val="•"/>
      <w:lvlJc w:val="left"/>
      <w:pPr>
        <w:ind w:left="2377" w:hanging="360"/>
      </w:pPr>
      <w:rPr>
        <w:rFonts w:hint="default"/>
        <w:lang w:val="en-US" w:eastAsia="en-US" w:bidi="ar-SA"/>
      </w:rPr>
    </w:lvl>
    <w:lvl w:ilvl="3" w:tplc="DCC05B5A">
      <w:numFmt w:val="bullet"/>
      <w:lvlText w:val="•"/>
      <w:lvlJc w:val="left"/>
      <w:pPr>
        <w:ind w:left="3255" w:hanging="360"/>
      </w:pPr>
      <w:rPr>
        <w:rFonts w:hint="default"/>
        <w:lang w:val="en-US" w:eastAsia="en-US" w:bidi="ar-SA"/>
      </w:rPr>
    </w:lvl>
    <w:lvl w:ilvl="4" w:tplc="0C9ABE40">
      <w:numFmt w:val="bullet"/>
      <w:lvlText w:val="•"/>
      <w:lvlJc w:val="left"/>
      <w:pPr>
        <w:ind w:left="4134" w:hanging="360"/>
      </w:pPr>
      <w:rPr>
        <w:rFonts w:hint="default"/>
        <w:lang w:val="en-US" w:eastAsia="en-US" w:bidi="ar-SA"/>
      </w:rPr>
    </w:lvl>
    <w:lvl w:ilvl="5" w:tplc="52F055F8">
      <w:numFmt w:val="bullet"/>
      <w:lvlText w:val="•"/>
      <w:lvlJc w:val="left"/>
      <w:pPr>
        <w:ind w:left="5013" w:hanging="360"/>
      </w:pPr>
      <w:rPr>
        <w:rFonts w:hint="default"/>
        <w:lang w:val="en-US" w:eastAsia="en-US" w:bidi="ar-SA"/>
      </w:rPr>
    </w:lvl>
    <w:lvl w:ilvl="6" w:tplc="8E2CAA94">
      <w:numFmt w:val="bullet"/>
      <w:lvlText w:val="•"/>
      <w:lvlJc w:val="left"/>
      <w:pPr>
        <w:ind w:left="5891" w:hanging="360"/>
      </w:pPr>
      <w:rPr>
        <w:rFonts w:hint="default"/>
        <w:lang w:val="en-US" w:eastAsia="en-US" w:bidi="ar-SA"/>
      </w:rPr>
    </w:lvl>
    <w:lvl w:ilvl="7" w:tplc="893AED24">
      <w:numFmt w:val="bullet"/>
      <w:lvlText w:val="•"/>
      <w:lvlJc w:val="left"/>
      <w:pPr>
        <w:ind w:left="6770" w:hanging="360"/>
      </w:pPr>
      <w:rPr>
        <w:rFonts w:hint="default"/>
        <w:lang w:val="en-US" w:eastAsia="en-US" w:bidi="ar-SA"/>
      </w:rPr>
    </w:lvl>
    <w:lvl w:ilvl="8" w:tplc="0FB059C2">
      <w:numFmt w:val="bullet"/>
      <w:lvlText w:val="•"/>
      <w:lvlJc w:val="left"/>
      <w:pPr>
        <w:ind w:left="7649" w:hanging="360"/>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08A78E6"/>
    <w:multiLevelType w:val="hybridMultilevel"/>
    <w:tmpl w:val="B21C7B30"/>
    <w:lvl w:ilvl="0" w:tplc="32EAA2C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7D35C4"/>
    <w:multiLevelType w:val="hybridMultilevel"/>
    <w:tmpl w:val="9E385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CA1202"/>
    <w:multiLevelType w:val="hybridMultilevel"/>
    <w:tmpl w:val="32CADC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8203D28"/>
    <w:multiLevelType w:val="hybridMultilevel"/>
    <w:tmpl w:val="B2585186"/>
    <w:lvl w:ilvl="0" w:tplc="EE34F3A2">
      <w:numFmt w:val="bullet"/>
      <w:lvlText w:val="•"/>
      <w:lvlJc w:val="left"/>
      <w:pPr>
        <w:ind w:left="406" w:hanging="147"/>
      </w:pPr>
      <w:rPr>
        <w:rFonts w:ascii="Cambria" w:eastAsia="Cambria" w:hAnsi="Cambria" w:cs="Cambria" w:hint="default"/>
        <w:spacing w:val="0"/>
        <w:w w:val="100"/>
        <w:lang w:val="en-US" w:eastAsia="en-US" w:bidi="ar-SA"/>
      </w:rPr>
    </w:lvl>
    <w:lvl w:ilvl="1" w:tplc="25D0E662">
      <w:numFmt w:val="bullet"/>
      <w:lvlText w:val="•"/>
      <w:lvlJc w:val="left"/>
      <w:pPr>
        <w:ind w:left="1300" w:hanging="147"/>
      </w:pPr>
      <w:rPr>
        <w:rFonts w:hint="default"/>
        <w:lang w:val="en-US" w:eastAsia="en-US" w:bidi="ar-SA"/>
      </w:rPr>
    </w:lvl>
    <w:lvl w:ilvl="2" w:tplc="01CA2588">
      <w:numFmt w:val="bullet"/>
      <w:lvlText w:val="•"/>
      <w:lvlJc w:val="left"/>
      <w:pPr>
        <w:ind w:left="2201" w:hanging="147"/>
      </w:pPr>
      <w:rPr>
        <w:rFonts w:hint="default"/>
        <w:lang w:val="en-US" w:eastAsia="en-US" w:bidi="ar-SA"/>
      </w:rPr>
    </w:lvl>
    <w:lvl w:ilvl="3" w:tplc="480EBD92">
      <w:numFmt w:val="bullet"/>
      <w:lvlText w:val="•"/>
      <w:lvlJc w:val="left"/>
      <w:pPr>
        <w:ind w:left="3101" w:hanging="147"/>
      </w:pPr>
      <w:rPr>
        <w:rFonts w:hint="default"/>
        <w:lang w:val="en-US" w:eastAsia="en-US" w:bidi="ar-SA"/>
      </w:rPr>
    </w:lvl>
    <w:lvl w:ilvl="4" w:tplc="094CE19C">
      <w:numFmt w:val="bullet"/>
      <w:lvlText w:val="•"/>
      <w:lvlJc w:val="left"/>
      <w:pPr>
        <w:ind w:left="4002" w:hanging="147"/>
      </w:pPr>
      <w:rPr>
        <w:rFonts w:hint="default"/>
        <w:lang w:val="en-US" w:eastAsia="en-US" w:bidi="ar-SA"/>
      </w:rPr>
    </w:lvl>
    <w:lvl w:ilvl="5" w:tplc="B4CC9C48">
      <w:numFmt w:val="bullet"/>
      <w:lvlText w:val="•"/>
      <w:lvlJc w:val="left"/>
      <w:pPr>
        <w:ind w:left="4903" w:hanging="147"/>
      </w:pPr>
      <w:rPr>
        <w:rFonts w:hint="default"/>
        <w:lang w:val="en-US" w:eastAsia="en-US" w:bidi="ar-SA"/>
      </w:rPr>
    </w:lvl>
    <w:lvl w:ilvl="6" w:tplc="1BF864AA">
      <w:numFmt w:val="bullet"/>
      <w:lvlText w:val="•"/>
      <w:lvlJc w:val="left"/>
      <w:pPr>
        <w:ind w:left="5803" w:hanging="147"/>
      </w:pPr>
      <w:rPr>
        <w:rFonts w:hint="default"/>
        <w:lang w:val="en-US" w:eastAsia="en-US" w:bidi="ar-SA"/>
      </w:rPr>
    </w:lvl>
    <w:lvl w:ilvl="7" w:tplc="52B8D636">
      <w:numFmt w:val="bullet"/>
      <w:lvlText w:val="•"/>
      <w:lvlJc w:val="left"/>
      <w:pPr>
        <w:ind w:left="6704" w:hanging="147"/>
      </w:pPr>
      <w:rPr>
        <w:rFonts w:hint="default"/>
        <w:lang w:val="en-US" w:eastAsia="en-US" w:bidi="ar-SA"/>
      </w:rPr>
    </w:lvl>
    <w:lvl w:ilvl="8" w:tplc="6DC0E84E">
      <w:numFmt w:val="bullet"/>
      <w:lvlText w:val="•"/>
      <w:lvlJc w:val="left"/>
      <w:pPr>
        <w:ind w:left="7605" w:hanging="147"/>
      </w:pPr>
      <w:rPr>
        <w:rFonts w:hint="default"/>
        <w:lang w:val="en-US" w:eastAsia="en-US" w:bidi="ar-SA"/>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9A048C"/>
    <w:multiLevelType w:val="hybridMultilevel"/>
    <w:tmpl w:val="2AE4E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B6564D"/>
    <w:multiLevelType w:val="hybridMultilevel"/>
    <w:tmpl w:val="24EE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3D1036"/>
    <w:multiLevelType w:val="hybridMultilevel"/>
    <w:tmpl w:val="3D321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6"/>
  </w:num>
  <w:num w:numId="5" w16cid:durableId="1652950129">
    <w:abstractNumId w:val="7"/>
  </w:num>
  <w:num w:numId="6" w16cid:durableId="1053193207">
    <w:abstractNumId w:val="14"/>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2"/>
  </w:num>
  <w:num w:numId="10" w16cid:durableId="2108043357">
    <w:abstractNumId w:val="5"/>
  </w:num>
  <w:num w:numId="11" w16cid:durableId="1725904230">
    <w:abstractNumId w:val="12"/>
  </w:num>
  <w:num w:numId="12" w16cid:durableId="141579354">
    <w:abstractNumId w:val="17"/>
  </w:num>
  <w:num w:numId="13" w16cid:durableId="283735081">
    <w:abstractNumId w:val="22"/>
  </w:num>
  <w:num w:numId="14" w16cid:durableId="8457137">
    <w:abstractNumId w:val="9"/>
  </w:num>
  <w:num w:numId="15" w16cid:durableId="1846434600">
    <w:abstractNumId w:val="18"/>
  </w:num>
  <w:num w:numId="16" w16cid:durableId="2010448723">
    <w:abstractNumId w:val="8"/>
  </w:num>
  <w:num w:numId="17" w16cid:durableId="2094203142">
    <w:abstractNumId w:val="20"/>
  </w:num>
  <w:num w:numId="18" w16cid:durableId="2050569735">
    <w:abstractNumId w:val="21"/>
  </w:num>
  <w:num w:numId="19" w16cid:durableId="1166240386">
    <w:abstractNumId w:val="10"/>
  </w:num>
  <w:num w:numId="20" w16cid:durableId="1966345198">
    <w:abstractNumId w:val="19"/>
  </w:num>
  <w:num w:numId="21" w16cid:durableId="1318799663">
    <w:abstractNumId w:val="11"/>
  </w:num>
  <w:num w:numId="22" w16cid:durableId="555775878">
    <w:abstractNumId w:val="6"/>
  </w:num>
  <w:num w:numId="23" w16cid:durableId="959602956">
    <w:abstractNumId w:val="0"/>
  </w:num>
  <w:num w:numId="24" w16cid:durableId="15017714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7844"/>
    <w:rsid w:val="000904B4"/>
    <w:rsid w:val="00090510"/>
    <w:rsid w:val="0009070F"/>
    <w:rsid w:val="000917AE"/>
    <w:rsid w:val="00094B81"/>
    <w:rsid w:val="000975AA"/>
    <w:rsid w:val="000A0C74"/>
    <w:rsid w:val="000B6B15"/>
    <w:rsid w:val="000C25A7"/>
    <w:rsid w:val="000C6207"/>
    <w:rsid w:val="000D78EC"/>
    <w:rsid w:val="000D7934"/>
    <w:rsid w:val="000E18E3"/>
    <w:rsid w:val="000E2597"/>
    <w:rsid w:val="000E2724"/>
    <w:rsid w:val="000E6746"/>
    <w:rsid w:val="000F44E8"/>
    <w:rsid w:val="000F7B51"/>
    <w:rsid w:val="00101BEE"/>
    <w:rsid w:val="00101CE6"/>
    <w:rsid w:val="00101FB1"/>
    <w:rsid w:val="0010558A"/>
    <w:rsid w:val="001101FF"/>
    <w:rsid w:val="00113F9F"/>
    <w:rsid w:val="001227FF"/>
    <w:rsid w:val="0012473C"/>
    <w:rsid w:val="00127A74"/>
    <w:rsid w:val="0013132F"/>
    <w:rsid w:val="0013306D"/>
    <w:rsid w:val="0013528C"/>
    <w:rsid w:val="001400B5"/>
    <w:rsid w:val="001442A2"/>
    <w:rsid w:val="001468CA"/>
    <w:rsid w:val="001500A8"/>
    <w:rsid w:val="001516B3"/>
    <w:rsid w:val="00155D85"/>
    <w:rsid w:val="00165D28"/>
    <w:rsid w:val="0017005C"/>
    <w:rsid w:val="00174A05"/>
    <w:rsid w:val="00175CD8"/>
    <w:rsid w:val="00182BD8"/>
    <w:rsid w:val="001A26EE"/>
    <w:rsid w:val="001A76F9"/>
    <w:rsid w:val="001B06FF"/>
    <w:rsid w:val="001B1703"/>
    <w:rsid w:val="001B6DF3"/>
    <w:rsid w:val="001C1C2E"/>
    <w:rsid w:val="001C31A1"/>
    <w:rsid w:val="001C3FA2"/>
    <w:rsid w:val="001C5EE2"/>
    <w:rsid w:val="001D0077"/>
    <w:rsid w:val="001E407B"/>
    <w:rsid w:val="001E7EA6"/>
    <w:rsid w:val="001E7FC6"/>
    <w:rsid w:val="001F2502"/>
    <w:rsid w:val="001F5B03"/>
    <w:rsid w:val="001F70A5"/>
    <w:rsid w:val="0020235D"/>
    <w:rsid w:val="0020369B"/>
    <w:rsid w:val="00207B4D"/>
    <w:rsid w:val="002117B1"/>
    <w:rsid w:val="00211943"/>
    <w:rsid w:val="00217CCE"/>
    <w:rsid w:val="002203B1"/>
    <w:rsid w:val="00226F39"/>
    <w:rsid w:val="002334AD"/>
    <w:rsid w:val="00233E7B"/>
    <w:rsid w:val="00234770"/>
    <w:rsid w:val="0024064C"/>
    <w:rsid w:val="00241B60"/>
    <w:rsid w:val="00247E3C"/>
    <w:rsid w:val="002544E7"/>
    <w:rsid w:val="0025785B"/>
    <w:rsid w:val="00257969"/>
    <w:rsid w:val="00272745"/>
    <w:rsid w:val="00280048"/>
    <w:rsid w:val="0028489E"/>
    <w:rsid w:val="002848DE"/>
    <w:rsid w:val="00284E9F"/>
    <w:rsid w:val="0028794E"/>
    <w:rsid w:val="00294417"/>
    <w:rsid w:val="002A5841"/>
    <w:rsid w:val="002B1EDF"/>
    <w:rsid w:val="002B2061"/>
    <w:rsid w:val="002C1232"/>
    <w:rsid w:val="002C1E44"/>
    <w:rsid w:val="002C5C92"/>
    <w:rsid w:val="002C5E29"/>
    <w:rsid w:val="002D0478"/>
    <w:rsid w:val="002D7127"/>
    <w:rsid w:val="002F599E"/>
    <w:rsid w:val="003008D8"/>
    <w:rsid w:val="00301D9A"/>
    <w:rsid w:val="00303959"/>
    <w:rsid w:val="00305439"/>
    <w:rsid w:val="00306E72"/>
    <w:rsid w:val="00312AC3"/>
    <w:rsid w:val="00314430"/>
    <w:rsid w:val="003163BC"/>
    <w:rsid w:val="0032351A"/>
    <w:rsid w:val="00324B33"/>
    <w:rsid w:val="00327488"/>
    <w:rsid w:val="00336FE1"/>
    <w:rsid w:val="00342D56"/>
    <w:rsid w:val="00343D93"/>
    <w:rsid w:val="003456E7"/>
    <w:rsid w:val="00346EC2"/>
    <w:rsid w:val="003477F9"/>
    <w:rsid w:val="0035444D"/>
    <w:rsid w:val="00356D62"/>
    <w:rsid w:val="003572E7"/>
    <w:rsid w:val="00363EE3"/>
    <w:rsid w:val="00366738"/>
    <w:rsid w:val="003735F3"/>
    <w:rsid w:val="00374729"/>
    <w:rsid w:val="00386620"/>
    <w:rsid w:val="00386D67"/>
    <w:rsid w:val="00387298"/>
    <w:rsid w:val="00387631"/>
    <w:rsid w:val="00387984"/>
    <w:rsid w:val="00395140"/>
    <w:rsid w:val="003A2422"/>
    <w:rsid w:val="003B149C"/>
    <w:rsid w:val="003B2158"/>
    <w:rsid w:val="003B6302"/>
    <w:rsid w:val="003C0FDB"/>
    <w:rsid w:val="003C1192"/>
    <w:rsid w:val="003C55E2"/>
    <w:rsid w:val="003C63D5"/>
    <w:rsid w:val="003C7AA8"/>
    <w:rsid w:val="003D2476"/>
    <w:rsid w:val="003D71A1"/>
    <w:rsid w:val="003E351E"/>
    <w:rsid w:val="003E48BE"/>
    <w:rsid w:val="0041688F"/>
    <w:rsid w:val="004236EA"/>
    <w:rsid w:val="0042376F"/>
    <w:rsid w:val="004246B8"/>
    <w:rsid w:val="004248F1"/>
    <w:rsid w:val="00433318"/>
    <w:rsid w:val="00442A56"/>
    <w:rsid w:val="004444B0"/>
    <w:rsid w:val="0045060B"/>
    <w:rsid w:val="004530F9"/>
    <w:rsid w:val="004626FF"/>
    <w:rsid w:val="00470A52"/>
    <w:rsid w:val="00471BD5"/>
    <w:rsid w:val="00476EC8"/>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41F2"/>
    <w:rsid w:val="004D480D"/>
    <w:rsid w:val="004D5388"/>
    <w:rsid w:val="004E2269"/>
    <w:rsid w:val="004E360F"/>
    <w:rsid w:val="004E7F16"/>
    <w:rsid w:val="004F05DC"/>
    <w:rsid w:val="004F18EC"/>
    <w:rsid w:val="00500D68"/>
    <w:rsid w:val="0053377D"/>
    <w:rsid w:val="00535DFE"/>
    <w:rsid w:val="005373B5"/>
    <w:rsid w:val="00537AB7"/>
    <w:rsid w:val="0054669B"/>
    <w:rsid w:val="005610D1"/>
    <w:rsid w:val="00562F42"/>
    <w:rsid w:val="00564949"/>
    <w:rsid w:val="00565739"/>
    <w:rsid w:val="0056766D"/>
    <w:rsid w:val="005749BE"/>
    <w:rsid w:val="00575215"/>
    <w:rsid w:val="0058575E"/>
    <w:rsid w:val="00587760"/>
    <w:rsid w:val="0058783C"/>
    <w:rsid w:val="005911AE"/>
    <w:rsid w:val="005926E2"/>
    <w:rsid w:val="0059313A"/>
    <w:rsid w:val="00593BA7"/>
    <w:rsid w:val="005975D5"/>
    <w:rsid w:val="005A54EA"/>
    <w:rsid w:val="005B023F"/>
    <w:rsid w:val="005B02A2"/>
    <w:rsid w:val="005B1417"/>
    <w:rsid w:val="005B69CF"/>
    <w:rsid w:val="005C3F07"/>
    <w:rsid w:val="005C45DB"/>
    <w:rsid w:val="005C4B46"/>
    <w:rsid w:val="005C5DC5"/>
    <w:rsid w:val="005D2089"/>
    <w:rsid w:val="005D7514"/>
    <w:rsid w:val="005E06F1"/>
    <w:rsid w:val="005E0FC6"/>
    <w:rsid w:val="005E1A7B"/>
    <w:rsid w:val="005E231F"/>
    <w:rsid w:val="005E6484"/>
    <w:rsid w:val="00602D6E"/>
    <w:rsid w:val="00605C05"/>
    <w:rsid w:val="006067B9"/>
    <w:rsid w:val="00611351"/>
    <w:rsid w:val="0061217D"/>
    <w:rsid w:val="00616B49"/>
    <w:rsid w:val="006277A1"/>
    <w:rsid w:val="00633BD7"/>
    <w:rsid w:val="00634580"/>
    <w:rsid w:val="00634884"/>
    <w:rsid w:val="006351D9"/>
    <w:rsid w:val="00637130"/>
    <w:rsid w:val="00637F0E"/>
    <w:rsid w:val="006423F2"/>
    <w:rsid w:val="00644F3A"/>
    <w:rsid w:val="00650234"/>
    <w:rsid w:val="006558B6"/>
    <w:rsid w:val="0066044B"/>
    <w:rsid w:val="006630AA"/>
    <w:rsid w:val="00663544"/>
    <w:rsid w:val="00666539"/>
    <w:rsid w:val="00666911"/>
    <w:rsid w:val="0066734A"/>
    <w:rsid w:val="00675F81"/>
    <w:rsid w:val="0067671A"/>
    <w:rsid w:val="0068143E"/>
    <w:rsid w:val="00684540"/>
    <w:rsid w:val="0068507D"/>
    <w:rsid w:val="00691AF2"/>
    <w:rsid w:val="00692B80"/>
    <w:rsid w:val="00692CCD"/>
    <w:rsid w:val="00692D51"/>
    <w:rsid w:val="0069377B"/>
    <w:rsid w:val="00694DD7"/>
    <w:rsid w:val="0069636B"/>
    <w:rsid w:val="006A1762"/>
    <w:rsid w:val="006A1F0B"/>
    <w:rsid w:val="006A277A"/>
    <w:rsid w:val="006A5973"/>
    <w:rsid w:val="006A5D41"/>
    <w:rsid w:val="006B32CF"/>
    <w:rsid w:val="006B7126"/>
    <w:rsid w:val="006B7659"/>
    <w:rsid w:val="006C6B86"/>
    <w:rsid w:val="006D2A7F"/>
    <w:rsid w:val="006D4553"/>
    <w:rsid w:val="006D4A35"/>
    <w:rsid w:val="006D6B44"/>
    <w:rsid w:val="006E27FE"/>
    <w:rsid w:val="00701110"/>
    <w:rsid w:val="00702E91"/>
    <w:rsid w:val="0070330F"/>
    <w:rsid w:val="00703624"/>
    <w:rsid w:val="007046ED"/>
    <w:rsid w:val="00705C76"/>
    <w:rsid w:val="007072A1"/>
    <w:rsid w:val="007076FA"/>
    <w:rsid w:val="00710BC5"/>
    <w:rsid w:val="007121CA"/>
    <w:rsid w:val="0072003B"/>
    <w:rsid w:val="00721059"/>
    <w:rsid w:val="007211E6"/>
    <w:rsid w:val="007220C4"/>
    <w:rsid w:val="0073167A"/>
    <w:rsid w:val="00732361"/>
    <w:rsid w:val="007341C4"/>
    <w:rsid w:val="007357B9"/>
    <w:rsid w:val="00741AB9"/>
    <w:rsid w:val="00742D03"/>
    <w:rsid w:val="00744216"/>
    <w:rsid w:val="007452E8"/>
    <w:rsid w:val="00746990"/>
    <w:rsid w:val="00747093"/>
    <w:rsid w:val="00750D70"/>
    <w:rsid w:val="00752AC0"/>
    <w:rsid w:val="007575D0"/>
    <w:rsid w:val="00765F00"/>
    <w:rsid w:val="007662E0"/>
    <w:rsid w:val="00776E9C"/>
    <w:rsid w:val="007816D8"/>
    <w:rsid w:val="00784150"/>
    <w:rsid w:val="007841C6"/>
    <w:rsid w:val="00786E7E"/>
    <w:rsid w:val="00793272"/>
    <w:rsid w:val="0079499A"/>
    <w:rsid w:val="00794B64"/>
    <w:rsid w:val="007967C3"/>
    <w:rsid w:val="007A0A33"/>
    <w:rsid w:val="007A3D9D"/>
    <w:rsid w:val="007A50D3"/>
    <w:rsid w:val="007B04DE"/>
    <w:rsid w:val="007B0AE6"/>
    <w:rsid w:val="007C0F0B"/>
    <w:rsid w:val="007C57BC"/>
    <w:rsid w:val="007D04CA"/>
    <w:rsid w:val="007D0A2B"/>
    <w:rsid w:val="007D12A1"/>
    <w:rsid w:val="007D40E5"/>
    <w:rsid w:val="007D4138"/>
    <w:rsid w:val="007E4178"/>
    <w:rsid w:val="007E73C5"/>
    <w:rsid w:val="007F0A77"/>
    <w:rsid w:val="007F1E37"/>
    <w:rsid w:val="007F50D3"/>
    <w:rsid w:val="007F54F5"/>
    <w:rsid w:val="007F6B1F"/>
    <w:rsid w:val="0080103E"/>
    <w:rsid w:val="00804897"/>
    <w:rsid w:val="00821D8F"/>
    <w:rsid w:val="008300F4"/>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511A"/>
    <w:rsid w:val="008964B3"/>
    <w:rsid w:val="008A5005"/>
    <w:rsid w:val="008B1CB5"/>
    <w:rsid w:val="008C2D69"/>
    <w:rsid w:val="008C49C6"/>
    <w:rsid w:val="008C754C"/>
    <w:rsid w:val="008D56C9"/>
    <w:rsid w:val="008D6A54"/>
    <w:rsid w:val="008E0E85"/>
    <w:rsid w:val="008E2585"/>
    <w:rsid w:val="008E2D7A"/>
    <w:rsid w:val="008E4C7D"/>
    <w:rsid w:val="008F3215"/>
    <w:rsid w:val="008F4A62"/>
    <w:rsid w:val="008F668B"/>
    <w:rsid w:val="008F7256"/>
    <w:rsid w:val="0090054A"/>
    <w:rsid w:val="009016C2"/>
    <w:rsid w:val="0090424C"/>
    <w:rsid w:val="0090605E"/>
    <w:rsid w:val="009108CE"/>
    <w:rsid w:val="00912940"/>
    <w:rsid w:val="009136DB"/>
    <w:rsid w:val="00915A9F"/>
    <w:rsid w:val="00930D58"/>
    <w:rsid w:val="00935AAA"/>
    <w:rsid w:val="00936F89"/>
    <w:rsid w:val="0095031E"/>
    <w:rsid w:val="00954297"/>
    <w:rsid w:val="00960A56"/>
    <w:rsid w:val="00966EF1"/>
    <w:rsid w:val="00967223"/>
    <w:rsid w:val="009751F7"/>
    <w:rsid w:val="0098350E"/>
    <w:rsid w:val="0099404F"/>
    <w:rsid w:val="00996FA5"/>
    <w:rsid w:val="009B5662"/>
    <w:rsid w:val="009C2211"/>
    <w:rsid w:val="009C40E8"/>
    <w:rsid w:val="009C45C5"/>
    <w:rsid w:val="009C677C"/>
    <w:rsid w:val="009E3553"/>
    <w:rsid w:val="009E6858"/>
    <w:rsid w:val="009E6F8C"/>
    <w:rsid w:val="009F405F"/>
    <w:rsid w:val="00A01C3F"/>
    <w:rsid w:val="00A01C56"/>
    <w:rsid w:val="00A11B99"/>
    <w:rsid w:val="00A25E6E"/>
    <w:rsid w:val="00A32C50"/>
    <w:rsid w:val="00A3563A"/>
    <w:rsid w:val="00A358E7"/>
    <w:rsid w:val="00A4380B"/>
    <w:rsid w:val="00A44588"/>
    <w:rsid w:val="00A51A2D"/>
    <w:rsid w:val="00A5596B"/>
    <w:rsid w:val="00A63C07"/>
    <w:rsid w:val="00A63D9B"/>
    <w:rsid w:val="00A704DC"/>
    <w:rsid w:val="00A81A91"/>
    <w:rsid w:val="00A93DC6"/>
    <w:rsid w:val="00A9411A"/>
    <w:rsid w:val="00A95311"/>
    <w:rsid w:val="00AA20F3"/>
    <w:rsid w:val="00AA4A4B"/>
    <w:rsid w:val="00AA6682"/>
    <w:rsid w:val="00AB0613"/>
    <w:rsid w:val="00AB7C5C"/>
    <w:rsid w:val="00AB7CBF"/>
    <w:rsid w:val="00AD0111"/>
    <w:rsid w:val="00AD25C7"/>
    <w:rsid w:val="00AD45B6"/>
    <w:rsid w:val="00AD4C72"/>
    <w:rsid w:val="00AD5451"/>
    <w:rsid w:val="00AE1947"/>
    <w:rsid w:val="00AF1C8B"/>
    <w:rsid w:val="00AF299B"/>
    <w:rsid w:val="00AF7E43"/>
    <w:rsid w:val="00B02AE0"/>
    <w:rsid w:val="00B05326"/>
    <w:rsid w:val="00B14545"/>
    <w:rsid w:val="00B14E60"/>
    <w:rsid w:val="00B178BE"/>
    <w:rsid w:val="00B17BA2"/>
    <w:rsid w:val="00B26DC3"/>
    <w:rsid w:val="00B27EB9"/>
    <w:rsid w:val="00B30B9D"/>
    <w:rsid w:val="00B34605"/>
    <w:rsid w:val="00B3502F"/>
    <w:rsid w:val="00B37FB4"/>
    <w:rsid w:val="00B4574D"/>
    <w:rsid w:val="00B468E1"/>
    <w:rsid w:val="00B46BC0"/>
    <w:rsid w:val="00B46DFB"/>
    <w:rsid w:val="00B47CCB"/>
    <w:rsid w:val="00B5141B"/>
    <w:rsid w:val="00B53679"/>
    <w:rsid w:val="00B544BB"/>
    <w:rsid w:val="00B55681"/>
    <w:rsid w:val="00B57AAD"/>
    <w:rsid w:val="00B72B16"/>
    <w:rsid w:val="00B80408"/>
    <w:rsid w:val="00B80D2A"/>
    <w:rsid w:val="00B81397"/>
    <w:rsid w:val="00B85DDC"/>
    <w:rsid w:val="00B925DB"/>
    <w:rsid w:val="00B967FF"/>
    <w:rsid w:val="00B974B9"/>
    <w:rsid w:val="00B97A0C"/>
    <w:rsid w:val="00BA3F6D"/>
    <w:rsid w:val="00BA4BE6"/>
    <w:rsid w:val="00BA4FC0"/>
    <w:rsid w:val="00BA61E0"/>
    <w:rsid w:val="00BA7F7D"/>
    <w:rsid w:val="00BB1C14"/>
    <w:rsid w:val="00BB6847"/>
    <w:rsid w:val="00BB7F8F"/>
    <w:rsid w:val="00BC5298"/>
    <w:rsid w:val="00BC716A"/>
    <w:rsid w:val="00BD07DF"/>
    <w:rsid w:val="00BD26F4"/>
    <w:rsid w:val="00BD5DBD"/>
    <w:rsid w:val="00BD5DF6"/>
    <w:rsid w:val="00BE0041"/>
    <w:rsid w:val="00BE229E"/>
    <w:rsid w:val="00BE640F"/>
    <w:rsid w:val="00BF11C6"/>
    <w:rsid w:val="00BF4638"/>
    <w:rsid w:val="00C059D0"/>
    <w:rsid w:val="00C07551"/>
    <w:rsid w:val="00C1109F"/>
    <w:rsid w:val="00C12D65"/>
    <w:rsid w:val="00C133AB"/>
    <w:rsid w:val="00C20B56"/>
    <w:rsid w:val="00C22214"/>
    <w:rsid w:val="00C26F72"/>
    <w:rsid w:val="00C309A7"/>
    <w:rsid w:val="00C335AB"/>
    <w:rsid w:val="00C37B59"/>
    <w:rsid w:val="00C407AB"/>
    <w:rsid w:val="00C466C3"/>
    <w:rsid w:val="00C50D3A"/>
    <w:rsid w:val="00C52B7B"/>
    <w:rsid w:val="00C547CD"/>
    <w:rsid w:val="00C570FF"/>
    <w:rsid w:val="00C57CEA"/>
    <w:rsid w:val="00C60FEC"/>
    <w:rsid w:val="00C6574E"/>
    <w:rsid w:val="00C707FD"/>
    <w:rsid w:val="00C768C0"/>
    <w:rsid w:val="00C76DEB"/>
    <w:rsid w:val="00C816C6"/>
    <w:rsid w:val="00C863A7"/>
    <w:rsid w:val="00C912F4"/>
    <w:rsid w:val="00C9153D"/>
    <w:rsid w:val="00C9156F"/>
    <w:rsid w:val="00C9581A"/>
    <w:rsid w:val="00C97D29"/>
    <w:rsid w:val="00CB0550"/>
    <w:rsid w:val="00CB6813"/>
    <w:rsid w:val="00CC393D"/>
    <w:rsid w:val="00CE210F"/>
    <w:rsid w:val="00CE4962"/>
    <w:rsid w:val="00CE56B9"/>
    <w:rsid w:val="00CF6A55"/>
    <w:rsid w:val="00CF6DC6"/>
    <w:rsid w:val="00CF6DCF"/>
    <w:rsid w:val="00CF7252"/>
    <w:rsid w:val="00D01DDB"/>
    <w:rsid w:val="00D078BE"/>
    <w:rsid w:val="00D12150"/>
    <w:rsid w:val="00D13F8A"/>
    <w:rsid w:val="00D16283"/>
    <w:rsid w:val="00D16F60"/>
    <w:rsid w:val="00D22616"/>
    <w:rsid w:val="00D22981"/>
    <w:rsid w:val="00D3349B"/>
    <w:rsid w:val="00D424A8"/>
    <w:rsid w:val="00D6036F"/>
    <w:rsid w:val="00D62877"/>
    <w:rsid w:val="00D63760"/>
    <w:rsid w:val="00D6703F"/>
    <w:rsid w:val="00D67706"/>
    <w:rsid w:val="00D711BE"/>
    <w:rsid w:val="00D734EB"/>
    <w:rsid w:val="00D82713"/>
    <w:rsid w:val="00D85A9D"/>
    <w:rsid w:val="00D86F00"/>
    <w:rsid w:val="00D918D5"/>
    <w:rsid w:val="00D9340C"/>
    <w:rsid w:val="00D94C8E"/>
    <w:rsid w:val="00DA0D06"/>
    <w:rsid w:val="00DA48E1"/>
    <w:rsid w:val="00DA48E6"/>
    <w:rsid w:val="00DB1372"/>
    <w:rsid w:val="00DB192C"/>
    <w:rsid w:val="00DB1CF3"/>
    <w:rsid w:val="00DB5425"/>
    <w:rsid w:val="00DB72A6"/>
    <w:rsid w:val="00DC6611"/>
    <w:rsid w:val="00DE1344"/>
    <w:rsid w:val="00DF0A82"/>
    <w:rsid w:val="00DF5BFE"/>
    <w:rsid w:val="00E0523F"/>
    <w:rsid w:val="00E06DEC"/>
    <w:rsid w:val="00E22C04"/>
    <w:rsid w:val="00E23E50"/>
    <w:rsid w:val="00E26213"/>
    <w:rsid w:val="00E274DF"/>
    <w:rsid w:val="00E31A84"/>
    <w:rsid w:val="00E3284A"/>
    <w:rsid w:val="00E34D66"/>
    <w:rsid w:val="00E362C4"/>
    <w:rsid w:val="00E46CC2"/>
    <w:rsid w:val="00E47E0C"/>
    <w:rsid w:val="00E51813"/>
    <w:rsid w:val="00E52C0B"/>
    <w:rsid w:val="00E53D3F"/>
    <w:rsid w:val="00E5579B"/>
    <w:rsid w:val="00E57FF4"/>
    <w:rsid w:val="00E679D1"/>
    <w:rsid w:val="00E67C1C"/>
    <w:rsid w:val="00E7175F"/>
    <w:rsid w:val="00E77E62"/>
    <w:rsid w:val="00E91F11"/>
    <w:rsid w:val="00E9706D"/>
    <w:rsid w:val="00EA328A"/>
    <w:rsid w:val="00EA3AF4"/>
    <w:rsid w:val="00EA3D56"/>
    <w:rsid w:val="00EB1740"/>
    <w:rsid w:val="00EE0EB4"/>
    <w:rsid w:val="00EE362D"/>
    <w:rsid w:val="00EF3F0B"/>
    <w:rsid w:val="00EF5583"/>
    <w:rsid w:val="00F0289D"/>
    <w:rsid w:val="00F02AEC"/>
    <w:rsid w:val="00F07572"/>
    <w:rsid w:val="00F133F1"/>
    <w:rsid w:val="00F149F2"/>
    <w:rsid w:val="00F157FC"/>
    <w:rsid w:val="00F30AF3"/>
    <w:rsid w:val="00F33CBB"/>
    <w:rsid w:val="00F40079"/>
    <w:rsid w:val="00F43CD1"/>
    <w:rsid w:val="00F45AE0"/>
    <w:rsid w:val="00F50732"/>
    <w:rsid w:val="00F60CF2"/>
    <w:rsid w:val="00F61CBA"/>
    <w:rsid w:val="00F61E89"/>
    <w:rsid w:val="00F657B4"/>
    <w:rsid w:val="00F7014C"/>
    <w:rsid w:val="00F7649F"/>
    <w:rsid w:val="00F8083B"/>
    <w:rsid w:val="00F865A7"/>
    <w:rsid w:val="00F876E9"/>
    <w:rsid w:val="00F956CF"/>
    <w:rsid w:val="00FA0754"/>
    <w:rsid w:val="00FA1BC9"/>
    <w:rsid w:val="00FA49C3"/>
    <w:rsid w:val="00FB236E"/>
    <w:rsid w:val="00FB3F7B"/>
    <w:rsid w:val="00FB4C2A"/>
    <w:rsid w:val="00FC2107"/>
    <w:rsid w:val="00FC48FE"/>
    <w:rsid w:val="00FC6F56"/>
    <w:rsid w:val="00FD30E0"/>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BA7"/>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6D2A7F"/>
    <w:pPr>
      <w:numPr>
        <w:numId w:val="1"/>
      </w:numPr>
      <w:spacing w:before="120" w:after="180" w:line="240" w:lineRule="atLeast"/>
      <w:ind w:left="357" w:hanging="357"/>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6D2A7F"/>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1"/>
    <w:qFormat/>
    <w:rsid w:val="00BC5298"/>
    <w:pPr>
      <w:numPr>
        <w:numId w:val="22"/>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BC5298"/>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BodyText">
    <w:name w:val="Body Text"/>
    <w:basedOn w:val="Normal"/>
    <w:link w:val="BodyTextChar"/>
    <w:uiPriority w:val="1"/>
    <w:qFormat/>
    <w:rsid w:val="00F33CBB"/>
    <w:pPr>
      <w:widowControl w:val="0"/>
      <w:autoSpaceDE w:val="0"/>
      <w:autoSpaceDN w:val="0"/>
      <w:spacing w:after="0" w:line="240" w:lineRule="auto"/>
      <w:ind w:left="260"/>
    </w:pPr>
    <w:rPr>
      <w:rFonts w:eastAsia="Cambria" w:cs="Cambria"/>
      <w:szCs w:val="22"/>
      <w:lang w:val="en-US"/>
    </w:rPr>
  </w:style>
  <w:style w:type="character" w:customStyle="1" w:styleId="BodyTextChar">
    <w:name w:val="Body Text Char"/>
    <w:basedOn w:val="DefaultParagraphFont"/>
    <w:link w:val="BodyText"/>
    <w:uiPriority w:val="1"/>
    <w:rsid w:val="00F33CBB"/>
    <w:rPr>
      <w:rFonts w:ascii="Cambria" w:eastAsia="Cambria" w:hAnsi="Cambria" w:cs="Cambr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85842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image" Target="media/image23.png"/><Relationship Id="rId50" Type="http://schemas.microsoft.com/office/2007/relationships/hdphoto" Target="media/hdphoto8.wdp"/><Relationship Id="rId55" Type="http://schemas.openxmlformats.org/officeDocument/2006/relationships/hyperlink" Target="https://www.tga.gov.au/picmi-search-facilit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hyperlink" Target="https://www.tga.gov.au/how-we-regulate/supply-therapeutic-good-0/supply-prescription-medicine/application-process/prescription-medicines-registration-process" TargetMode="External"/><Relationship Id="rId41" Type="http://schemas.openxmlformats.org/officeDocument/2006/relationships/image" Target="media/image18.png"/><Relationship Id="rId54" Type="http://schemas.openxmlformats.org/officeDocument/2006/relationships/hyperlink" Target="https://www.tga.gov.au/products/australian-register-therapeutic-goods-artg/consumer-medicines-information-cm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image" Target="media/image16.png"/><Relationship Id="rId40" Type="http://schemas.microsoft.com/office/2007/relationships/hdphoto" Target="media/hdphoto5.wdp"/><Relationship Id="rId45" Type="http://schemas.openxmlformats.org/officeDocument/2006/relationships/image" Target="media/image22.png"/><Relationship Id="rId53" Type="http://schemas.openxmlformats.org/officeDocument/2006/relationships/hyperlink" Target="https://www.tga.gov.au/products/australian-register-therapeutic-goods-artg/product-information-one" TargetMode="External"/><Relationship Id="rId58" Type="http://schemas.openxmlformats.org/officeDocument/2006/relationships/hyperlink" Target="mailto:info@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9.png"/><Relationship Id="rId36" Type="http://schemas.microsoft.com/office/2007/relationships/hdphoto" Target="media/hdphoto3.wdp"/><Relationship Id="rId49" Type="http://schemas.openxmlformats.org/officeDocument/2006/relationships/image" Target="media/image24.png"/><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s://www.tga.gov.au/products/australian-register-therapeutic-goods-artg/product-information-one"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png"/><Relationship Id="rId48" Type="http://schemas.microsoft.com/office/2007/relationships/hdphoto" Target="media/hdphoto7.wdp"/><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tga.gov.au/committee/advisory-committee-medicines-ac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microsoft.com/office/2007/relationships/hdphoto" Target="media/hdphoto2.wdp"/><Relationship Id="rId33" Type="http://schemas.openxmlformats.org/officeDocument/2006/relationships/image" Target="media/image13.jpeg"/><Relationship Id="rId38" Type="http://schemas.microsoft.com/office/2007/relationships/hdphoto" Target="media/hdphoto4.wdp"/><Relationship Id="rId46" Type="http://schemas.microsoft.com/office/2007/relationships/hdphoto" Target="media/hdphoto6.wdp"/><Relationship Id="rId5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aef09b-5850-4488-960a-4caa1867a8fc">
      <Terms xmlns="http://schemas.microsoft.com/office/infopath/2007/PartnerControls"/>
    </lcf76f155ced4ddcb4097134ff3c332f>
    <y3vz xmlns="83aef09b-5850-4488-960a-4caa1867a8fc" xsi:nil="true"/>
    <rz4o xmlns="83aef09b-5850-4488-960a-4caa1867a8fc" xsi:nil="true"/>
    <TaxCatchAll xmlns="bdf5c4b0-0edc-4de5-9cfd-c1015a14bc0e" xsi:nil="true"/>
    <Comments xmlns="83aef09b-5850-4488-960a-4caa1867a8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24FEDB394EB1448B3A123A7AC3C381" ma:contentTypeVersion="28" ma:contentTypeDescription="Create a new document." ma:contentTypeScope="" ma:versionID="e19c1285271a88334508fdd203ceb0ab">
  <xsd:schema xmlns:xsd="http://www.w3.org/2001/XMLSchema" xmlns:xs="http://www.w3.org/2001/XMLSchema" xmlns:p="http://schemas.microsoft.com/office/2006/metadata/properties" xmlns:ns2="83aef09b-5850-4488-960a-4caa1867a8fc" xmlns:ns3="bdf5c4b0-0edc-4de5-9cfd-c1015a14bc0e" targetNamespace="http://schemas.microsoft.com/office/2006/metadata/properties" ma:root="true" ma:fieldsID="62f0f7bcbdf1508de258fc3689860a5c" ns2:_="" ns3:_="">
    <xsd:import namespace="83aef09b-5850-4488-960a-4caa1867a8fc"/>
    <xsd:import namespace="bdf5c4b0-0edc-4de5-9cfd-c1015a14bc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y3vz" minOccurs="0"/>
                <xsd:element ref="ns2:rz4o" minOccurs="0"/>
                <xsd:element ref="ns2:d7b28453-cffa-4c27-96e1-3d741a2fc6ceCountryOrRegion" minOccurs="0"/>
                <xsd:element ref="ns2:d7b28453-cffa-4c27-96e1-3d741a2fc6ceState" minOccurs="0"/>
                <xsd:element ref="ns2:d7b28453-cffa-4c27-96e1-3d741a2fc6ceCity" minOccurs="0"/>
                <xsd:element ref="ns2:d7b28453-cffa-4c27-96e1-3d741a2fc6cePostalCode" minOccurs="0"/>
                <xsd:element ref="ns2:d7b28453-cffa-4c27-96e1-3d741a2fc6ceStreet" minOccurs="0"/>
                <xsd:element ref="ns2:d7b28453-cffa-4c27-96e1-3d741a2fc6ceGeoLoc" minOccurs="0"/>
                <xsd:element ref="ns2:d7b28453-cffa-4c27-96e1-3d741a2fc6ceDispName" minOccurs="0"/>
                <xsd:element ref="ns2:MediaServiceDateTaken" minOccurs="0"/>
                <xsd:element ref="ns2:MediaServiceLocation" minOccurs="0"/>
                <xsd:element ref="ns2:MediaLengthInSeconds" minOccurs="0"/>
                <xsd:element ref="ns2:lcf76f155ced4ddcb4097134ff3c332f" minOccurs="0"/>
                <xsd:element ref="ns3:TaxCatchAll"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ef09b-5850-4488-960a-4caa1867a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y3vz" ma:index="18" nillable="true" ma:displayName="Number" ma:internalName="y3vz">
      <xsd:simpleType>
        <xsd:restriction base="dms:Number"/>
      </xsd:simpleType>
    </xsd:element>
    <xsd:element name="rz4o" ma:index="19" nillable="true" ma:displayName="Location" ma:internalName="rz4o">
      <xsd:simpleType>
        <xsd:restriction base="dms:Unknown"/>
      </xsd:simpleType>
    </xsd:element>
    <xsd:element name="d7b28453-cffa-4c27-96e1-3d741a2fc6ceCountryOrRegion" ma:index="20" nillable="true" ma:displayName="Location: Country/Region" ma:internalName="CountryOrRegion" ma:readOnly="true">
      <xsd:simpleType>
        <xsd:restriction base="dms:Text"/>
      </xsd:simpleType>
    </xsd:element>
    <xsd:element name="d7b28453-cffa-4c27-96e1-3d741a2fc6ceState" ma:index="21" nillable="true" ma:displayName="Location: State" ma:internalName="State" ma:readOnly="true">
      <xsd:simpleType>
        <xsd:restriction base="dms:Text"/>
      </xsd:simpleType>
    </xsd:element>
    <xsd:element name="d7b28453-cffa-4c27-96e1-3d741a2fc6ceCity" ma:index="22" nillable="true" ma:displayName="Location: City" ma:internalName="City" ma:readOnly="true">
      <xsd:simpleType>
        <xsd:restriction base="dms:Text"/>
      </xsd:simpleType>
    </xsd:element>
    <xsd:element name="d7b28453-cffa-4c27-96e1-3d741a2fc6cePostalCode" ma:index="23" nillable="true" ma:displayName="Location: Postal Code" ma:internalName="PostalCode" ma:readOnly="true">
      <xsd:simpleType>
        <xsd:restriction base="dms:Text"/>
      </xsd:simpleType>
    </xsd:element>
    <xsd:element name="d7b28453-cffa-4c27-96e1-3d741a2fc6ceStreet" ma:index="24" nillable="true" ma:displayName="Location: Street" ma:internalName="Street" ma:readOnly="true">
      <xsd:simpleType>
        <xsd:restriction base="dms:Text"/>
      </xsd:simpleType>
    </xsd:element>
    <xsd:element name="d7b28453-cffa-4c27-96e1-3d741a2fc6ceGeoLoc" ma:index="25" nillable="true" ma:displayName="Location: Coordinates" ma:internalName="GeoLoc" ma:readOnly="true">
      <xsd:simpleType>
        <xsd:restriction base="dms:Unknown"/>
      </xsd:simpleType>
    </xsd:element>
    <xsd:element name="d7b28453-cffa-4c27-96e1-3d741a2fc6ceDispName" ma:index="26" nillable="true" ma:displayName="Location: Name" ma:internalName="DispNam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003d8f8-0131-4872-956d-282be94aac3a" ma:termSetId="09814cd3-568e-fe90-9814-8d621ff8fb84" ma:anchorId="fba54fb3-c3e1-fe81-a776-ca4b69148c4d" ma:open="true" ma:isKeyword="false">
      <xsd:complexType>
        <xsd:sequence>
          <xsd:element ref="pc:Terms" minOccurs="0" maxOccurs="1"/>
        </xsd:sequence>
      </xsd:complexType>
    </xsd:element>
    <xsd:element name="Comments" ma:index="33" nillable="true" ma:displayName="Comments" ma:format="Dropdown" ma:internalName="Comments">
      <xsd:simpleType>
        <xsd:restriction base="dms:Note">
          <xsd:maxLength value="255"/>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f5c4b0-0edc-4de5-9cfd-c1015a14bc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149fd73c-d35c-4ed0-988f-950ab7b890c4}" ma:internalName="TaxCatchAll" ma:showField="CatchAllData" ma:web="bdf5c4b0-0edc-4de5-9cfd-c1015a14bc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01028-3CBA-4D07-9D69-F4B7EB78950F}">
  <ds:schemaRefs>
    <ds:schemaRef ds:uri="http://schemas.microsoft.com/office/2006/metadata/properties"/>
    <ds:schemaRef ds:uri="http://schemas.microsoft.com/office/infopath/2007/PartnerControls"/>
    <ds:schemaRef ds:uri="83aef09b-5850-4488-960a-4caa1867a8fc"/>
    <ds:schemaRef ds:uri="bdf5c4b0-0edc-4de5-9cfd-c1015a14bc0e"/>
  </ds:schemaRefs>
</ds:datastoreItem>
</file>

<file path=customXml/itemProps2.xml><?xml version="1.0" encoding="utf-8"?>
<ds:datastoreItem xmlns:ds="http://schemas.openxmlformats.org/officeDocument/2006/customXml" ds:itemID="{F1F8041C-8F97-4DA2-84D8-5A3899B3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ef09b-5850-4488-960a-4caa1867a8fc"/>
    <ds:schemaRef ds:uri="bdf5c4b0-0edc-4de5-9cfd-c1015a14b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59C75-2711-4DB8-B3C8-2D1F42447E91}">
  <ds:schemaRefs>
    <ds:schemaRef ds:uri="http://schemas.microsoft.com/sharepoint/v3/contenttype/form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10920</Words>
  <Characters>62248</Characters>
  <Application>Microsoft Office Word</Application>
  <DocSecurity>0</DocSecurity>
  <Lines>518</Lines>
  <Paragraphs>146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Australian public assessment report for</vt:lpstr>
      <vt:lpstr>    About the Therapeutic Goods Administration (TGA)</vt:lpstr>
      <vt:lpstr>    About AusPARs</vt:lpstr>
      <vt:lpstr>    Copyright</vt:lpstr>
      <vt:lpstr>    &lt;Contents</vt:lpstr>
      <vt:lpstr>    List of abbreviations</vt:lpstr>
      <vt:lpstr>    Brukinsa (zanubrutinib) submission</vt:lpstr>
      <vt:lpstr>    Submission overview and risk/benefit assessment</vt:lpstr>
      <vt:lpstr>        Clinical evaluation summary</vt:lpstr>
      <vt:lpstr>    Risk-benefit analysis</vt:lpstr>
      <vt:lpstr>    Outcome</vt:lpstr>
      <vt:lpstr>    Attachment 1. Product Information</vt:lpstr>
    </vt:vector>
  </TitlesOfParts>
  <Company>Department of Health and Aged Care</Company>
  <LinksUpToDate>false</LinksUpToDate>
  <CharactersWithSpaces>73022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Brukinsa</dc:title>
  <dc:subject>Prescription medicines</dc:subject>
  <dc:creator>Therapeutic Goods Administration</dc:creator>
  <cp:keywords/>
  <dc:description/>
  <cp:lastModifiedBy>LACK, Janet</cp:lastModifiedBy>
  <cp:revision>3</cp:revision>
  <dcterms:created xsi:type="dcterms:W3CDTF">2024-12-05T00:31:00Z</dcterms:created>
  <dcterms:modified xsi:type="dcterms:W3CDTF">2024-12-05T00:50:00Z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0x0101000724FEDB394EB1448B3A123A7AC3C381</vt:lpwstr>
  </property>
  <property fmtid="{D5CDD505-2E9C-101B-9397-08002B2CF9AE}" pid="3" name="MediaServiceImageTags">
    <vt:lpwstr/>
  </property>
</Properties>
</file>