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8E0B" w14:textId="77777777" w:rsidR="00896308" w:rsidRDefault="00896308"/>
    <w:p w14:paraId="29A6F817" w14:textId="77777777" w:rsidR="005F6958" w:rsidRDefault="005F6958"/>
    <w:p w14:paraId="058857C3" w14:textId="77777777" w:rsidR="005F6958" w:rsidRDefault="005F6958"/>
    <w:p w14:paraId="49D83EEB" w14:textId="5E6526F7" w:rsidR="005F6958" w:rsidRDefault="00C968DD">
      <w:r w:rsidRPr="00C968DD">
        <w:rPr>
          <w:rFonts w:eastAsia="Times New Roman" w:cs="Times New Roman"/>
          <w:color w:val="001871"/>
          <w:spacing w:val="5"/>
          <w:kern w:val="28"/>
          <w:sz w:val="52"/>
          <w:szCs w:val="52"/>
        </w:rPr>
        <w:t xml:space="preserve">How to obtain GMP clearance through </w:t>
      </w:r>
      <w:r>
        <w:rPr>
          <w:rFonts w:eastAsia="Times New Roman" w:cs="Times New Roman"/>
          <w:color w:val="001871"/>
          <w:spacing w:val="5"/>
          <w:kern w:val="28"/>
          <w:sz w:val="52"/>
          <w:szCs w:val="52"/>
        </w:rPr>
        <w:t>i</w:t>
      </w:r>
      <w:r w:rsidRPr="00C968DD">
        <w:rPr>
          <w:rFonts w:eastAsia="Times New Roman" w:cs="Times New Roman"/>
          <w:color w:val="001871"/>
          <w:spacing w:val="5"/>
          <w:kern w:val="28"/>
          <w:sz w:val="52"/>
          <w:szCs w:val="52"/>
        </w:rPr>
        <w:t xml:space="preserve">nspection </w:t>
      </w:r>
      <w:r>
        <w:rPr>
          <w:rFonts w:eastAsia="Times New Roman" w:cs="Times New Roman"/>
          <w:color w:val="001871"/>
          <w:spacing w:val="5"/>
          <w:kern w:val="28"/>
          <w:sz w:val="52"/>
          <w:szCs w:val="52"/>
        </w:rPr>
        <w:t>r</w:t>
      </w:r>
      <w:r w:rsidRPr="00C968DD">
        <w:rPr>
          <w:rFonts w:eastAsia="Times New Roman" w:cs="Times New Roman"/>
          <w:color w:val="001871"/>
          <w:spacing w:val="5"/>
          <w:kern w:val="28"/>
          <w:sz w:val="52"/>
          <w:szCs w:val="52"/>
        </w:rPr>
        <w:t>eliance</w:t>
      </w:r>
    </w:p>
    <w:p w14:paraId="07F29245" w14:textId="77777777" w:rsidR="005F6958" w:rsidRDefault="005F6958"/>
    <w:p w14:paraId="7FE20CD2" w14:textId="77777777" w:rsidR="005F6958" w:rsidRDefault="005F6958"/>
    <w:p w14:paraId="1E12D77E" w14:textId="77777777" w:rsidR="005F6958" w:rsidRDefault="005F6958"/>
    <w:p w14:paraId="53E1B259" w14:textId="77777777" w:rsidR="005F6958" w:rsidRDefault="005F6958"/>
    <w:p w14:paraId="1483D54E" w14:textId="77777777" w:rsidR="005F6958" w:rsidRDefault="005F6958"/>
    <w:p w14:paraId="209AC411" w14:textId="69B8121C" w:rsidR="005F6958" w:rsidRDefault="005F6958" w:rsidP="005F6958">
      <w:pPr>
        <w:pStyle w:val="Date"/>
      </w:pPr>
      <w:r>
        <w:t xml:space="preserve">Version </w:t>
      </w:r>
      <w:r w:rsidR="003B0694">
        <w:t>18</w:t>
      </w:r>
      <w:r>
        <w:t>.</w:t>
      </w:r>
      <w:r w:rsidR="00097DF5">
        <w:t>6</w:t>
      </w:r>
      <w:r>
        <w:t xml:space="preserve">, </w:t>
      </w:r>
      <w:r w:rsidR="006E5D93">
        <w:t>May</w:t>
      </w:r>
      <w:r w:rsidR="000B7E35">
        <w:t xml:space="preserve"> 2025</w:t>
      </w:r>
    </w:p>
    <w:p w14:paraId="6C607286" w14:textId="728EAD42" w:rsidR="005F6958" w:rsidRDefault="005F6958">
      <w:r>
        <w:br w:type="page"/>
      </w:r>
    </w:p>
    <w:p w14:paraId="4B168148"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396A71B6" w14:textId="26EB48BC" w:rsidR="0089410A" w:rsidRDefault="00DD3815" w:rsidP="004E2F19">
      <w:pPr>
        <w:pStyle w:val="LegalSubheading"/>
      </w:pPr>
      <w:bookmarkStart w:id="1" w:name="_Toc126664138"/>
      <w:r w:rsidRPr="00DD3815">
        <w:t>© Commonwealth of Australia</w:t>
      </w:r>
      <w:r w:rsidR="008E6696">
        <w:t xml:space="preserve"> </w:t>
      </w:r>
      <w:r w:rsidR="001469CA">
        <w:t>2025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8" w:history="1">
        <w:r w:rsidRPr="00DD3815">
          <w:rPr>
            <w:rStyle w:val="Hyperlink"/>
            <w:rFonts w:cs="Arial"/>
            <w:b/>
            <w:bCs/>
          </w:rPr>
          <w:t>tga.copyright@tga.gov.au</w:t>
        </w:r>
      </w:hyperlink>
      <w:r w:rsidRPr="00DD3815">
        <w:t>&gt;.</w:t>
      </w:r>
      <w:bookmarkEnd w:id="1"/>
    </w:p>
    <w:p w14:paraId="439922B1"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64D4B664" w14:textId="1F11D49B" w:rsidR="0089410A" w:rsidRPr="00215D48" w:rsidRDefault="0089410A" w:rsidP="0089410A">
          <w:pPr>
            <w:pStyle w:val="NonTOCheading2"/>
          </w:pPr>
          <w:r w:rsidRPr="00215D48">
            <w:t>Contents</w:t>
          </w:r>
        </w:p>
        <w:p w14:paraId="2D979D6F" w14:textId="4313D65B" w:rsidR="0079281D"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5841F1">
            <w:rPr>
              <w:color w:val="auto"/>
            </w:rPr>
            <w:fldChar w:fldCharType="begin"/>
          </w:r>
          <w:r w:rsidRPr="005841F1">
            <w:rPr>
              <w:color w:val="auto"/>
            </w:rPr>
            <w:instrText xml:space="preserve"> TOC \h \z \u \t "Heading 2,1,Heading 3,2,Heading 4,3" </w:instrText>
          </w:r>
          <w:r w:rsidRPr="005841F1">
            <w:rPr>
              <w:color w:val="auto"/>
            </w:rPr>
            <w:fldChar w:fldCharType="separate"/>
          </w:r>
          <w:hyperlink w:anchor="_Toc198723707" w:history="1">
            <w:r w:rsidR="0079281D" w:rsidRPr="000E7B21">
              <w:rPr>
                <w:rStyle w:val="Hyperlink"/>
                <w:noProof/>
              </w:rPr>
              <w:t>Purpose of this document</w:t>
            </w:r>
            <w:r w:rsidR="0079281D">
              <w:rPr>
                <w:noProof/>
                <w:webHidden/>
              </w:rPr>
              <w:tab/>
            </w:r>
            <w:r w:rsidR="0079281D">
              <w:rPr>
                <w:noProof/>
                <w:webHidden/>
              </w:rPr>
              <w:fldChar w:fldCharType="begin"/>
            </w:r>
            <w:r w:rsidR="0079281D">
              <w:rPr>
                <w:noProof/>
                <w:webHidden/>
              </w:rPr>
              <w:instrText xml:space="preserve"> PAGEREF _Toc198723707 \h </w:instrText>
            </w:r>
            <w:r w:rsidR="0079281D">
              <w:rPr>
                <w:noProof/>
                <w:webHidden/>
              </w:rPr>
            </w:r>
            <w:r w:rsidR="0079281D">
              <w:rPr>
                <w:noProof/>
                <w:webHidden/>
              </w:rPr>
              <w:fldChar w:fldCharType="separate"/>
            </w:r>
            <w:r w:rsidR="0079281D">
              <w:rPr>
                <w:noProof/>
                <w:webHidden/>
              </w:rPr>
              <w:t>7</w:t>
            </w:r>
            <w:r w:rsidR="0079281D">
              <w:rPr>
                <w:noProof/>
                <w:webHidden/>
              </w:rPr>
              <w:fldChar w:fldCharType="end"/>
            </w:r>
          </w:hyperlink>
        </w:p>
        <w:p w14:paraId="2C7F6552" w14:textId="496D7ED3"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08" w:history="1">
            <w:r w:rsidRPr="000E7B21">
              <w:rPr>
                <w:rStyle w:val="Hyperlink"/>
                <w:noProof/>
              </w:rPr>
              <w:t>GMP Clearance basics</w:t>
            </w:r>
            <w:r>
              <w:rPr>
                <w:noProof/>
                <w:webHidden/>
              </w:rPr>
              <w:tab/>
            </w:r>
            <w:r>
              <w:rPr>
                <w:noProof/>
                <w:webHidden/>
              </w:rPr>
              <w:fldChar w:fldCharType="begin"/>
            </w:r>
            <w:r>
              <w:rPr>
                <w:noProof/>
                <w:webHidden/>
              </w:rPr>
              <w:instrText xml:space="preserve"> PAGEREF _Toc198723708 \h </w:instrText>
            </w:r>
            <w:r>
              <w:rPr>
                <w:noProof/>
                <w:webHidden/>
              </w:rPr>
            </w:r>
            <w:r>
              <w:rPr>
                <w:noProof/>
                <w:webHidden/>
              </w:rPr>
              <w:fldChar w:fldCharType="separate"/>
            </w:r>
            <w:r>
              <w:rPr>
                <w:noProof/>
                <w:webHidden/>
              </w:rPr>
              <w:t>7</w:t>
            </w:r>
            <w:r>
              <w:rPr>
                <w:noProof/>
                <w:webHidden/>
              </w:rPr>
              <w:fldChar w:fldCharType="end"/>
            </w:r>
          </w:hyperlink>
        </w:p>
        <w:p w14:paraId="2E5EC4E5" w14:textId="51F50910"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09" w:history="1">
            <w:r w:rsidRPr="000E7B21">
              <w:rPr>
                <w:rStyle w:val="Hyperlink"/>
                <w:noProof/>
              </w:rPr>
              <w:t>What GMP Clearance is</w:t>
            </w:r>
            <w:r>
              <w:rPr>
                <w:noProof/>
                <w:webHidden/>
              </w:rPr>
              <w:tab/>
            </w:r>
            <w:r>
              <w:rPr>
                <w:noProof/>
                <w:webHidden/>
              </w:rPr>
              <w:fldChar w:fldCharType="begin"/>
            </w:r>
            <w:r>
              <w:rPr>
                <w:noProof/>
                <w:webHidden/>
              </w:rPr>
              <w:instrText xml:space="preserve"> PAGEREF _Toc198723709 \h </w:instrText>
            </w:r>
            <w:r>
              <w:rPr>
                <w:noProof/>
                <w:webHidden/>
              </w:rPr>
            </w:r>
            <w:r>
              <w:rPr>
                <w:noProof/>
                <w:webHidden/>
              </w:rPr>
              <w:fldChar w:fldCharType="separate"/>
            </w:r>
            <w:r>
              <w:rPr>
                <w:noProof/>
                <w:webHidden/>
              </w:rPr>
              <w:t>7</w:t>
            </w:r>
            <w:r>
              <w:rPr>
                <w:noProof/>
                <w:webHidden/>
              </w:rPr>
              <w:fldChar w:fldCharType="end"/>
            </w:r>
          </w:hyperlink>
        </w:p>
        <w:p w14:paraId="04B45153" w14:textId="08946C4B"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10" w:history="1">
            <w:r w:rsidRPr="000E7B21">
              <w:rPr>
                <w:rStyle w:val="Hyperlink"/>
                <w:noProof/>
              </w:rPr>
              <w:t>Why GMP Clearance is required</w:t>
            </w:r>
            <w:r>
              <w:rPr>
                <w:noProof/>
                <w:webHidden/>
              </w:rPr>
              <w:tab/>
            </w:r>
            <w:r>
              <w:rPr>
                <w:noProof/>
                <w:webHidden/>
              </w:rPr>
              <w:fldChar w:fldCharType="begin"/>
            </w:r>
            <w:r>
              <w:rPr>
                <w:noProof/>
                <w:webHidden/>
              </w:rPr>
              <w:instrText xml:space="preserve"> PAGEREF _Toc198723710 \h </w:instrText>
            </w:r>
            <w:r>
              <w:rPr>
                <w:noProof/>
                <w:webHidden/>
              </w:rPr>
            </w:r>
            <w:r>
              <w:rPr>
                <w:noProof/>
                <w:webHidden/>
              </w:rPr>
              <w:fldChar w:fldCharType="separate"/>
            </w:r>
            <w:r>
              <w:rPr>
                <w:noProof/>
                <w:webHidden/>
              </w:rPr>
              <w:t>7</w:t>
            </w:r>
            <w:r>
              <w:rPr>
                <w:noProof/>
                <w:webHidden/>
              </w:rPr>
              <w:fldChar w:fldCharType="end"/>
            </w:r>
          </w:hyperlink>
        </w:p>
        <w:p w14:paraId="14A07F3F" w14:textId="2A60EC7E"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11" w:history="1">
            <w:r w:rsidRPr="000E7B21">
              <w:rPr>
                <w:rStyle w:val="Hyperlink"/>
                <w:noProof/>
              </w:rPr>
              <w:t>What manufacturing steps require GMP Clearance</w:t>
            </w:r>
            <w:r>
              <w:rPr>
                <w:noProof/>
                <w:webHidden/>
              </w:rPr>
              <w:tab/>
            </w:r>
            <w:r>
              <w:rPr>
                <w:noProof/>
                <w:webHidden/>
              </w:rPr>
              <w:fldChar w:fldCharType="begin"/>
            </w:r>
            <w:r>
              <w:rPr>
                <w:noProof/>
                <w:webHidden/>
              </w:rPr>
              <w:instrText xml:space="preserve"> PAGEREF _Toc198723711 \h </w:instrText>
            </w:r>
            <w:r>
              <w:rPr>
                <w:noProof/>
                <w:webHidden/>
              </w:rPr>
            </w:r>
            <w:r>
              <w:rPr>
                <w:noProof/>
                <w:webHidden/>
              </w:rPr>
              <w:fldChar w:fldCharType="separate"/>
            </w:r>
            <w:r>
              <w:rPr>
                <w:noProof/>
                <w:webHidden/>
              </w:rPr>
              <w:t>7</w:t>
            </w:r>
            <w:r>
              <w:rPr>
                <w:noProof/>
                <w:webHidden/>
              </w:rPr>
              <w:fldChar w:fldCharType="end"/>
            </w:r>
          </w:hyperlink>
        </w:p>
        <w:p w14:paraId="6C3E6029" w14:textId="7FD8DDE1"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12" w:history="1">
            <w:r w:rsidRPr="000E7B21">
              <w:rPr>
                <w:rStyle w:val="Hyperlink"/>
                <w:noProof/>
              </w:rPr>
              <w:t>Sponsor responsibilities</w:t>
            </w:r>
            <w:r>
              <w:rPr>
                <w:noProof/>
                <w:webHidden/>
              </w:rPr>
              <w:tab/>
            </w:r>
            <w:r>
              <w:rPr>
                <w:noProof/>
                <w:webHidden/>
              </w:rPr>
              <w:fldChar w:fldCharType="begin"/>
            </w:r>
            <w:r>
              <w:rPr>
                <w:noProof/>
                <w:webHidden/>
              </w:rPr>
              <w:instrText xml:space="preserve"> PAGEREF _Toc198723712 \h </w:instrText>
            </w:r>
            <w:r>
              <w:rPr>
                <w:noProof/>
                <w:webHidden/>
              </w:rPr>
            </w:r>
            <w:r>
              <w:rPr>
                <w:noProof/>
                <w:webHidden/>
              </w:rPr>
              <w:fldChar w:fldCharType="separate"/>
            </w:r>
            <w:r>
              <w:rPr>
                <w:noProof/>
                <w:webHidden/>
              </w:rPr>
              <w:t>8</w:t>
            </w:r>
            <w:r>
              <w:rPr>
                <w:noProof/>
                <w:webHidden/>
              </w:rPr>
              <w:fldChar w:fldCharType="end"/>
            </w:r>
          </w:hyperlink>
        </w:p>
        <w:p w14:paraId="2FFC01A7" w14:textId="3BC9E6CD"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13" w:history="1">
            <w:r w:rsidRPr="000E7B21">
              <w:rPr>
                <w:rStyle w:val="Hyperlink"/>
                <w:noProof/>
              </w:rPr>
              <w:t>Understanding your supply chain and establishing agreements</w:t>
            </w:r>
            <w:r>
              <w:rPr>
                <w:noProof/>
                <w:webHidden/>
              </w:rPr>
              <w:tab/>
            </w:r>
            <w:r>
              <w:rPr>
                <w:noProof/>
                <w:webHidden/>
              </w:rPr>
              <w:fldChar w:fldCharType="begin"/>
            </w:r>
            <w:r>
              <w:rPr>
                <w:noProof/>
                <w:webHidden/>
              </w:rPr>
              <w:instrText xml:space="preserve"> PAGEREF _Toc198723713 \h </w:instrText>
            </w:r>
            <w:r>
              <w:rPr>
                <w:noProof/>
                <w:webHidden/>
              </w:rPr>
            </w:r>
            <w:r>
              <w:rPr>
                <w:noProof/>
                <w:webHidden/>
              </w:rPr>
              <w:fldChar w:fldCharType="separate"/>
            </w:r>
            <w:r>
              <w:rPr>
                <w:noProof/>
                <w:webHidden/>
              </w:rPr>
              <w:t>9</w:t>
            </w:r>
            <w:r>
              <w:rPr>
                <w:noProof/>
                <w:webHidden/>
              </w:rPr>
              <w:fldChar w:fldCharType="end"/>
            </w:r>
          </w:hyperlink>
        </w:p>
        <w:p w14:paraId="71D827C6" w14:textId="7EA04D26"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14" w:history="1">
            <w:r w:rsidRPr="000E7B21">
              <w:rPr>
                <w:rStyle w:val="Hyperlink"/>
                <w:noProof/>
              </w:rPr>
              <w:t>How GMP Clearance is obtained</w:t>
            </w:r>
            <w:r>
              <w:rPr>
                <w:noProof/>
                <w:webHidden/>
              </w:rPr>
              <w:tab/>
            </w:r>
            <w:r>
              <w:rPr>
                <w:noProof/>
                <w:webHidden/>
              </w:rPr>
              <w:fldChar w:fldCharType="begin"/>
            </w:r>
            <w:r>
              <w:rPr>
                <w:noProof/>
                <w:webHidden/>
              </w:rPr>
              <w:instrText xml:space="preserve"> PAGEREF _Toc198723714 \h </w:instrText>
            </w:r>
            <w:r>
              <w:rPr>
                <w:noProof/>
                <w:webHidden/>
              </w:rPr>
            </w:r>
            <w:r>
              <w:rPr>
                <w:noProof/>
                <w:webHidden/>
              </w:rPr>
              <w:fldChar w:fldCharType="separate"/>
            </w:r>
            <w:r>
              <w:rPr>
                <w:noProof/>
                <w:webHidden/>
              </w:rPr>
              <w:t>10</w:t>
            </w:r>
            <w:r>
              <w:rPr>
                <w:noProof/>
                <w:webHidden/>
              </w:rPr>
              <w:fldChar w:fldCharType="end"/>
            </w:r>
          </w:hyperlink>
        </w:p>
        <w:p w14:paraId="0C7ADB68" w14:textId="02294D7E"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15" w:history="1">
            <w:r w:rsidRPr="000E7B21">
              <w:rPr>
                <w:rStyle w:val="Hyperlink"/>
                <w:noProof/>
              </w:rPr>
              <w:t>Mutual Recognition Agreements (MRA)</w:t>
            </w:r>
            <w:r>
              <w:rPr>
                <w:noProof/>
                <w:webHidden/>
              </w:rPr>
              <w:tab/>
            </w:r>
            <w:r>
              <w:rPr>
                <w:noProof/>
                <w:webHidden/>
              </w:rPr>
              <w:fldChar w:fldCharType="begin"/>
            </w:r>
            <w:r>
              <w:rPr>
                <w:noProof/>
                <w:webHidden/>
              </w:rPr>
              <w:instrText xml:space="preserve"> PAGEREF _Toc198723715 \h </w:instrText>
            </w:r>
            <w:r>
              <w:rPr>
                <w:noProof/>
                <w:webHidden/>
              </w:rPr>
            </w:r>
            <w:r>
              <w:rPr>
                <w:noProof/>
                <w:webHidden/>
              </w:rPr>
              <w:fldChar w:fldCharType="separate"/>
            </w:r>
            <w:r>
              <w:rPr>
                <w:noProof/>
                <w:webHidden/>
              </w:rPr>
              <w:t>10</w:t>
            </w:r>
            <w:r>
              <w:rPr>
                <w:noProof/>
                <w:webHidden/>
              </w:rPr>
              <w:fldChar w:fldCharType="end"/>
            </w:r>
          </w:hyperlink>
        </w:p>
        <w:p w14:paraId="603FDDA6" w14:textId="71844E5B"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16" w:history="1">
            <w:r w:rsidRPr="000E7B21">
              <w:rPr>
                <w:rStyle w:val="Hyperlink"/>
                <w:noProof/>
              </w:rPr>
              <w:t>Compliance Verification (CV)</w:t>
            </w:r>
            <w:r>
              <w:rPr>
                <w:noProof/>
                <w:webHidden/>
              </w:rPr>
              <w:tab/>
            </w:r>
            <w:r>
              <w:rPr>
                <w:noProof/>
                <w:webHidden/>
              </w:rPr>
              <w:fldChar w:fldCharType="begin"/>
            </w:r>
            <w:r>
              <w:rPr>
                <w:noProof/>
                <w:webHidden/>
              </w:rPr>
              <w:instrText xml:space="preserve"> PAGEREF _Toc198723716 \h </w:instrText>
            </w:r>
            <w:r>
              <w:rPr>
                <w:noProof/>
                <w:webHidden/>
              </w:rPr>
            </w:r>
            <w:r>
              <w:rPr>
                <w:noProof/>
                <w:webHidden/>
              </w:rPr>
              <w:fldChar w:fldCharType="separate"/>
            </w:r>
            <w:r>
              <w:rPr>
                <w:noProof/>
                <w:webHidden/>
              </w:rPr>
              <w:t>10</w:t>
            </w:r>
            <w:r>
              <w:rPr>
                <w:noProof/>
                <w:webHidden/>
              </w:rPr>
              <w:fldChar w:fldCharType="end"/>
            </w:r>
          </w:hyperlink>
        </w:p>
        <w:p w14:paraId="0D272457" w14:textId="3D31092B"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17" w:history="1">
            <w:r w:rsidRPr="000E7B21">
              <w:rPr>
                <w:rStyle w:val="Hyperlink"/>
                <w:noProof/>
              </w:rPr>
              <w:t>TGA inspection</w:t>
            </w:r>
            <w:r>
              <w:rPr>
                <w:noProof/>
                <w:webHidden/>
              </w:rPr>
              <w:tab/>
            </w:r>
            <w:r>
              <w:rPr>
                <w:noProof/>
                <w:webHidden/>
              </w:rPr>
              <w:fldChar w:fldCharType="begin"/>
            </w:r>
            <w:r>
              <w:rPr>
                <w:noProof/>
                <w:webHidden/>
              </w:rPr>
              <w:instrText xml:space="preserve"> PAGEREF _Toc198723717 \h </w:instrText>
            </w:r>
            <w:r>
              <w:rPr>
                <w:noProof/>
                <w:webHidden/>
              </w:rPr>
            </w:r>
            <w:r>
              <w:rPr>
                <w:noProof/>
                <w:webHidden/>
              </w:rPr>
              <w:fldChar w:fldCharType="separate"/>
            </w:r>
            <w:r>
              <w:rPr>
                <w:noProof/>
                <w:webHidden/>
              </w:rPr>
              <w:t>11</w:t>
            </w:r>
            <w:r>
              <w:rPr>
                <w:noProof/>
                <w:webHidden/>
              </w:rPr>
              <w:fldChar w:fldCharType="end"/>
            </w:r>
          </w:hyperlink>
        </w:p>
        <w:p w14:paraId="31A9DAD3" w14:textId="6B277113"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18" w:history="1">
            <w:r w:rsidRPr="000E7B21">
              <w:rPr>
                <w:rStyle w:val="Hyperlink"/>
                <w:noProof/>
              </w:rPr>
              <w:t>Fees for GMP Clearances</w:t>
            </w:r>
            <w:r>
              <w:rPr>
                <w:noProof/>
                <w:webHidden/>
              </w:rPr>
              <w:tab/>
            </w:r>
            <w:r>
              <w:rPr>
                <w:noProof/>
                <w:webHidden/>
              </w:rPr>
              <w:fldChar w:fldCharType="begin"/>
            </w:r>
            <w:r>
              <w:rPr>
                <w:noProof/>
                <w:webHidden/>
              </w:rPr>
              <w:instrText xml:space="preserve"> PAGEREF _Toc198723718 \h </w:instrText>
            </w:r>
            <w:r>
              <w:rPr>
                <w:noProof/>
                <w:webHidden/>
              </w:rPr>
            </w:r>
            <w:r>
              <w:rPr>
                <w:noProof/>
                <w:webHidden/>
              </w:rPr>
              <w:fldChar w:fldCharType="separate"/>
            </w:r>
            <w:r>
              <w:rPr>
                <w:noProof/>
                <w:webHidden/>
              </w:rPr>
              <w:t>12</w:t>
            </w:r>
            <w:r>
              <w:rPr>
                <w:noProof/>
                <w:webHidden/>
              </w:rPr>
              <w:fldChar w:fldCharType="end"/>
            </w:r>
          </w:hyperlink>
        </w:p>
        <w:p w14:paraId="5C3C937D" w14:textId="3AA7199F"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19" w:history="1">
            <w:r w:rsidRPr="000E7B21">
              <w:rPr>
                <w:rStyle w:val="Hyperlink"/>
                <w:noProof/>
              </w:rPr>
              <w:t>How long GMP Clearance takes</w:t>
            </w:r>
            <w:r>
              <w:rPr>
                <w:noProof/>
                <w:webHidden/>
              </w:rPr>
              <w:tab/>
            </w:r>
            <w:r>
              <w:rPr>
                <w:noProof/>
                <w:webHidden/>
              </w:rPr>
              <w:fldChar w:fldCharType="begin"/>
            </w:r>
            <w:r>
              <w:rPr>
                <w:noProof/>
                <w:webHidden/>
              </w:rPr>
              <w:instrText xml:space="preserve"> PAGEREF _Toc198723719 \h </w:instrText>
            </w:r>
            <w:r>
              <w:rPr>
                <w:noProof/>
                <w:webHidden/>
              </w:rPr>
            </w:r>
            <w:r>
              <w:rPr>
                <w:noProof/>
                <w:webHidden/>
              </w:rPr>
              <w:fldChar w:fldCharType="separate"/>
            </w:r>
            <w:r>
              <w:rPr>
                <w:noProof/>
                <w:webHidden/>
              </w:rPr>
              <w:t>14</w:t>
            </w:r>
            <w:r>
              <w:rPr>
                <w:noProof/>
                <w:webHidden/>
              </w:rPr>
              <w:fldChar w:fldCharType="end"/>
            </w:r>
          </w:hyperlink>
        </w:p>
        <w:p w14:paraId="1AF2FD27" w14:textId="36A4E233"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20" w:history="1">
            <w:r w:rsidRPr="000E7B21">
              <w:rPr>
                <w:rStyle w:val="Hyperlink"/>
                <w:noProof/>
              </w:rPr>
              <w:t>Current processing times</w:t>
            </w:r>
            <w:r>
              <w:rPr>
                <w:noProof/>
                <w:webHidden/>
              </w:rPr>
              <w:tab/>
            </w:r>
            <w:r>
              <w:rPr>
                <w:noProof/>
                <w:webHidden/>
              </w:rPr>
              <w:fldChar w:fldCharType="begin"/>
            </w:r>
            <w:r>
              <w:rPr>
                <w:noProof/>
                <w:webHidden/>
              </w:rPr>
              <w:instrText xml:space="preserve"> PAGEREF _Toc198723720 \h </w:instrText>
            </w:r>
            <w:r>
              <w:rPr>
                <w:noProof/>
                <w:webHidden/>
              </w:rPr>
            </w:r>
            <w:r>
              <w:rPr>
                <w:noProof/>
                <w:webHidden/>
              </w:rPr>
              <w:fldChar w:fldCharType="separate"/>
            </w:r>
            <w:r>
              <w:rPr>
                <w:noProof/>
                <w:webHidden/>
              </w:rPr>
              <w:t>14</w:t>
            </w:r>
            <w:r>
              <w:rPr>
                <w:noProof/>
                <w:webHidden/>
              </w:rPr>
              <w:fldChar w:fldCharType="end"/>
            </w:r>
          </w:hyperlink>
        </w:p>
        <w:p w14:paraId="76E6735E" w14:textId="6AB953B2"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21" w:history="1">
            <w:r w:rsidRPr="000E7B21">
              <w:rPr>
                <w:rStyle w:val="Hyperlink"/>
                <w:noProof/>
              </w:rPr>
              <w:t>TGA vs Industry time and stop clocks</w:t>
            </w:r>
            <w:r>
              <w:rPr>
                <w:noProof/>
                <w:webHidden/>
              </w:rPr>
              <w:tab/>
            </w:r>
            <w:r>
              <w:rPr>
                <w:noProof/>
                <w:webHidden/>
              </w:rPr>
              <w:fldChar w:fldCharType="begin"/>
            </w:r>
            <w:r>
              <w:rPr>
                <w:noProof/>
                <w:webHidden/>
              </w:rPr>
              <w:instrText xml:space="preserve"> PAGEREF _Toc198723721 \h </w:instrText>
            </w:r>
            <w:r>
              <w:rPr>
                <w:noProof/>
                <w:webHidden/>
              </w:rPr>
            </w:r>
            <w:r>
              <w:rPr>
                <w:noProof/>
                <w:webHidden/>
              </w:rPr>
              <w:fldChar w:fldCharType="separate"/>
            </w:r>
            <w:r>
              <w:rPr>
                <w:noProof/>
                <w:webHidden/>
              </w:rPr>
              <w:t>14</w:t>
            </w:r>
            <w:r>
              <w:rPr>
                <w:noProof/>
                <w:webHidden/>
              </w:rPr>
              <w:fldChar w:fldCharType="end"/>
            </w:r>
          </w:hyperlink>
        </w:p>
        <w:p w14:paraId="01E4D1D1" w14:textId="06052129"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22" w:history="1">
            <w:r w:rsidRPr="000E7B21">
              <w:rPr>
                <w:rStyle w:val="Hyperlink"/>
                <w:noProof/>
              </w:rPr>
              <w:t>Prioritisation requests</w:t>
            </w:r>
            <w:r>
              <w:rPr>
                <w:noProof/>
                <w:webHidden/>
              </w:rPr>
              <w:tab/>
            </w:r>
            <w:r>
              <w:rPr>
                <w:noProof/>
                <w:webHidden/>
              </w:rPr>
              <w:fldChar w:fldCharType="begin"/>
            </w:r>
            <w:r>
              <w:rPr>
                <w:noProof/>
                <w:webHidden/>
              </w:rPr>
              <w:instrText xml:space="preserve"> PAGEREF _Toc198723722 \h </w:instrText>
            </w:r>
            <w:r>
              <w:rPr>
                <w:noProof/>
                <w:webHidden/>
              </w:rPr>
            </w:r>
            <w:r>
              <w:rPr>
                <w:noProof/>
                <w:webHidden/>
              </w:rPr>
              <w:fldChar w:fldCharType="separate"/>
            </w:r>
            <w:r>
              <w:rPr>
                <w:noProof/>
                <w:webHidden/>
              </w:rPr>
              <w:t>15</w:t>
            </w:r>
            <w:r>
              <w:rPr>
                <w:noProof/>
                <w:webHidden/>
              </w:rPr>
              <w:fldChar w:fldCharType="end"/>
            </w:r>
          </w:hyperlink>
        </w:p>
        <w:p w14:paraId="4251EB5C" w14:textId="60BD5358"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23"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_Toc198723723 \h </w:instrText>
            </w:r>
            <w:r>
              <w:rPr>
                <w:noProof/>
                <w:webHidden/>
              </w:rPr>
            </w:r>
            <w:r>
              <w:rPr>
                <w:noProof/>
                <w:webHidden/>
              </w:rPr>
              <w:fldChar w:fldCharType="separate"/>
            </w:r>
            <w:r>
              <w:rPr>
                <w:noProof/>
                <w:webHidden/>
              </w:rPr>
              <w:t>15</w:t>
            </w:r>
            <w:r>
              <w:rPr>
                <w:noProof/>
                <w:webHidden/>
              </w:rPr>
              <w:fldChar w:fldCharType="end"/>
            </w:r>
          </w:hyperlink>
        </w:p>
        <w:p w14:paraId="5BBEF73F" w14:textId="641658BD"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24" w:history="1">
            <w:r w:rsidRPr="000E7B21">
              <w:rPr>
                <w:rStyle w:val="Hyperlink"/>
                <w:noProof/>
              </w:rPr>
              <w:t>The GMP Clearance process</w:t>
            </w:r>
            <w:r>
              <w:rPr>
                <w:noProof/>
                <w:webHidden/>
              </w:rPr>
              <w:tab/>
            </w:r>
            <w:r>
              <w:rPr>
                <w:noProof/>
                <w:webHidden/>
              </w:rPr>
              <w:fldChar w:fldCharType="begin"/>
            </w:r>
            <w:r>
              <w:rPr>
                <w:noProof/>
                <w:webHidden/>
              </w:rPr>
              <w:instrText xml:space="preserve"> PAGEREF _Toc198723724 \h </w:instrText>
            </w:r>
            <w:r>
              <w:rPr>
                <w:noProof/>
                <w:webHidden/>
              </w:rPr>
            </w:r>
            <w:r>
              <w:rPr>
                <w:noProof/>
                <w:webHidden/>
              </w:rPr>
              <w:fldChar w:fldCharType="separate"/>
            </w:r>
            <w:r>
              <w:rPr>
                <w:noProof/>
                <w:webHidden/>
              </w:rPr>
              <w:t>16</w:t>
            </w:r>
            <w:r>
              <w:rPr>
                <w:noProof/>
                <w:webHidden/>
              </w:rPr>
              <w:fldChar w:fldCharType="end"/>
            </w:r>
          </w:hyperlink>
        </w:p>
        <w:p w14:paraId="48202007" w14:textId="1BE71BC1"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25" w:history="1">
            <w:r w:rsidRPr="000E7B21">
              <w:rPr>
                <w:rStyle w:val="Hyperlink"/>
                <w:noProof/>
              </w:rPr>
              <w:t>Application receipt</w:t>
            </w:r>
            <w:r>
              <w:rPr>
                <w:noProof/>
                <w:webHidden/>
              </w:rPr>
              <w:tab/>
            </w:r>
            <w:r>
              <w:rPr>
                <w:noProof/>
                <w:webHidden/>
              </w:rPr>
              <w:fldChar w:fldCharType="begin"/>
            </w:r>
            <w:r>
              <w:rPr>
                <w:noProof/>
                <w:webHidden/>
              </w:rPr>
              <w:instrText xml:space="preserve"> PAGEREF _Toc198723725 \h </w:instrText>
            </w:r>
            <w:r>
              <w:rPr>
                <w:noProof/>
                <w:webHidden/>
              </w:rPr>
            </w:r>
            <w:r>
              <w:rPr>
                <w:noProof/>
                <w:webHidden/>
              </w:rPr>
              <w:fldChar w:fldCharType="separate"/>
            </w:r>
            <w:r>
              <w:rPr>
                <w:noProof/>
                <w:webHidden/>
              </w:rPr>
              <w:t>16</w:t>
            </w:r>
            <w:r>
              <w:rPr>
                <w:noProof/>
                <w:webHidden/>
              </w:rPr>
              <w:fldChar w:fldCharType="end"/>
            </w:r>
          </w:hyperlink>
        </w:p>
        <w:p w14:paraId="137974DA" w14:textId="06FDBF46"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26" w:history="1">
            <w:r w:rsidRPr="000E7B21">
              <w:rPr>
                <w:rStyle w:val="Hyperlink"/>
                <w:rFonts w:cs="Arial"/>
                <w:noProof/>
              </w:rPr>
              <w:t>Proactively providing the latest evidence</w:t>
            </w:r>
            <w:r>
              <w:rPr>
                <w:noProof/>
                <w:webHidden/>
              </w:rPr>
              <w:tab/>
            </w:r>
            <w:r>
              <w:rPr>
                <w:noProof/>
                <w:webHidden/>
              </w:rPr>
              <w:fldChar w:fldCharType="begin"/>
            </w:r>
            <w:r>
              <w:rPr>
                <w:noProof/>
                <w:webHidden/>
              </w:rPr>
              <w:instrText xml:space="preserve"> PAGEREF _Toc198723726 \h </w:instrText>
            </w:r>
            <w:r>
              <w:rPr>
                <w:noProof/>
                <w:webHidden/>
              </w:rPr>
            </w:r>
            <w:r>
              <w:rPr>
                <w:noProof/>
                <w:webHidden/>
              </w:rPr>
              <w:fldChar w:fldCharType="separate"/>
            </w:r>
            <w:r>
              <w:rPr>
                <w:noProof/>
                <w:webHidden/>
              </w:rPr>
              <w:t>16</w:t>
            </w:r>
            <w:r>
              <w:rPr>
                <w:noProof/>
                <w:webHidden/>
              </w:rPr>
              <w:fldChar w:fldCharType="end"/>
            </w:r>
          </w:hyperlink>
        </w:p>
        <w:p w14:paraId="35848D89" w14:textId="0413B723"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27" w:history="1">
            <w:r w:rsidRPr="000E7B21">
              <w:rPr>
                <w:rStyle w:val="Hyperlink"/>
                <w:noProof/>
              </w:rPr>
              <w:t>How to interpret the status of your application</w:t>
            </w:r>
            <w:r>
              <w:rPr>
                <w:noProof/>
                <w:webHidden/>
              </w:rPr>
              <w:tab/>
            </w:r>
            <w:r>
              <w:rPr>
                <w:noProof/>
                <w:webHidden/>
              </w:rPr>
              <w:fldChar w:fldCharType="begin"/>
            </w:r>
            <w:r>
              <w:rPr>
                <w:noProof/>
                <w:webHidden/>
              </w:rPr>
              <w:instrText xml:space="preserve"> PAGEREF _Toc198723727 \h </w:instrText>
            </w:r>
            <w:r>
              <w:rPr>
                <w:noProof/>
                <w:webHidden/>
              </w:rPr>
            </w:r>
            <w:r>
              <w:rPr>
                <w:noProof/>
                <w:webHidden/>
              </w:rPr>
              <w:fldChar w:fldCharType="separate"/>
            </w:r>
            <w:r>
              <w:rPr>
                <w:noProof/>
                <w:webHidden/>
              </w:rPr>
              <w:t>16</w:t>
            </w:r>
            <w:r>
              <w:rPr>
                <w:noProof/>
                <w:webHidden/>
              </w:rPr>
              <w:fldChar w:fldCharType="end"/>
            </w:r>
          </w:hyperlink>
        </w:p>
        <w:p w14:paraId="39369F68" w14:textId="46AA8DC5"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28" w:history="1">
            <w:r w:rsidRPr="000E7B21">
              <w:rPr>
                <w:rStyle w:val="Hyperlink"/>
                <w:noProof/>
              </w:rPr>
              <w:t>Variations to in-process GMP Clearances</w:t>
            </w:r>
            <w:r>
              <w:rPr>
                <w:noProof/>
                <w:webHidden/>
              </w:rPr>
              <w:tab/>
            </w:r>
            <w:r>
              <w:rPr>
                <w:noProof/>
                <w:webHidden/>
              </w:rPr>
              <w:fldChar w:fldCharType="begin"/>
            </w:r>
            <w:r>
              <w:rPr>
                <w:noProof/>
                <w:webHidden/>
              </w:rPr>
              <w:instrText xml:space="preserve"> PAGEREF _Toc198723728 \h </w:instrText>
            </w:r>
            <w:r>
              <w:rPr>
                <w:noProof/>
                <w:webHidden/>
              </w:rPr>
            </w:r>
            <w:r>
              <w:rPr>
                <w:noProof/>
                <w:webHidden/>
              </w:rPr>
              <w:fldChar w:fldCharType="separate"/>
            </w:r>
            <w:r>
              <w:rPr>
                <w:noProof/>
                <w:webHidden/>
              </w:rPr>
              <w:t>17</w:t>
            </w:r>
            <w:r>
              <w:rPr>
                <w:noProof/>
                <w:webHidden/>
              </w:rPr>
              <w:fldChar w:fldCharType="end"/>
            </w:r>
          </w:hyperlink>
        </w:p>
        <w:p w14:paraId="7F8E1C10" w14:textId="131F5B99"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29" w:history="1">
            <w:r w:rsidRPr="000E7B21">
              <w:rPr>
                <w:rStyle w:val="Hyperlink"/>
                <w:noProof/>
              </w:rPr>
              <w:t>Application evaluation</w:t>
            </w:r>
            <w:r>
              <w:rPr>
                <w:noProof/>
                <w:webHidden/>
              </w:rPr>
              <w:tab/>
            </w:r>
            <w:r>
              <w:rPr>
                <w:noProof/>
                <w:webHidden/>
              </w:rPr>
              <w:fldChar w:fldCharType="begin"/>
            </w:r>
            <w:r>
              <w:rPr>
                <w:noProof/>
                <w:webHidden/>
              </w:rPr>
              <w:instrText xml:space="preserve"> PAGEREF _Toc198723729 \h </w:instrText>
            </w:r>
            <w:r>
              <w:rPr>
                <w:noProof/>
                <w:webHidden/>
              </w:rPr>
            </w:r>
            <w:r>
              <w:rPr>
                <w:noProof/>
                <w:webHidden/>
              </w:rPr>
              <w:fldChar w:fldCharType="separate"/>
            </w:r>
            <w:r>
              <w:rPr>
                <w:noProof/>
                <w:webHidden/>
              </w:rPr>
              <w:t>19</w:t>
            </w:r>
            <w:r>
              <w:rPr>
                <w:noProof/>
                <w:webHidden/>
              </w:rPr>
              <w:fldChar w:fldCharType="end"/>
            </w:r>
          </w:hyperlink>
        </w:p>
        <w:p w14:paraId="09D7965D" w14:textId="64808FEE"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30" w:history="1">
            <w:r w:rsidRPr="000E7B21">
              <w:rPr>
                <w:rStyle w:val="Hyperlink"/>
                <w:rFonts w:cs="Arial"/>
                <w:noProof/>
              </w:rPr>
              <w:t>MRA pathway</w:t>
            </w:r>
            <w:r>
              <w:rPr>
                <w:noProof/>
                <w:webHidden/>
              </w:rPr>
              <w:tab/>
            </w:r>
            <w:r>
              <w:rPr>
                <w:noProof/>
                <w:webHidden/>
              </w:rPr>
              <w:fldChar w:fldCharType="begin"/>
            </w:r>
            <w:r>
              <w:rPr>
                <w:noProof/>
                <w:webHidden/>
              </w:rPr>
              <w:instrText xml:space="preserve"> PAGEREF _Toc198723730 \h </w:instrText>
            </w:r>
            <w:r>
              <w:rPr>
                <w:noProof/>
                <w:webHidden/>
              </w:rPr>
            </w:r>
            <w:r>
              <w:rPr>
                <w:noProof/>
                <w:webHidden/>
              </w:rPr>
              <w:fldChar w:fldCharType="separate"/>
            </w:r>
            <w:r>
              <w:rPr>
                <w:noProof/>
                <w:webHidden/>
              </w:rPr>
              <w:t>19</w:t>
            </w:r>
            <w:r>
              <w:rPr>
                <w:noProof/>
                <w:webHidden/>
              </w:rPr>
              <w:fldChar w:fldCharType="end"/>
            </w:r>
          </w:hyperlink>
        </w:p>
        <w:p w14:paraId="2EB02DB3" w14:textId="1FA1219E"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31" w:history="1">
            <w:r w:rsidRPr="000E7B21">
              <w:rPr>
                <w:rStyle w:val="Hyperlink"/>
                <w:rFonts w:cs="Arial"/>
                <w:noProof/>
              </w:rPr>
              <w:t>CV pathway</w:t>
            </w:r>
            <w:r>
              <w:rPr>
                <w:noProof/>
                <w:webHidden/>
              </w:rPr>
              <w:tab/>
            </w:r>
            <w:r>
              <w:rPr>
                <w:noProof/>
                <w:webHidden/>
              </w:rPr>
              <w:fldChar w:fldCharType="begin"/>
            </w:r>
            <w:r>
              <w:rPr>
                <w:noProof/>
                <w:webHidden/>
              </w:rPr>
              <w:instrText xml:space="preserve"> PAGEREF _Toc198723731 \h </w:instrText>
            </w:r>
            <w:r>
              <w:rPr>
                <w:noProof/>
                <w:webHidden/>
              </w:rPr>
            </w:r>
            <w:r>
              <w:rPr>
                <w:noProof/>
                <w:webHidden/>
              </w:rPr>
              <w:fldChar w:fldCharType="separate"/>
            </w:r>
            <w:r>
              <w:rPr>
                <w:noProof/>
                <w:webHidden/>
              </w:rPr>
              <w:t>19</w:t>
            </w:r>
            <w:r>
              <w:rPr>
                <w:noProof/>
                <w:webHidden/>
              </w:rPr>
              <w:fldChar w:fldCharType="end"/>
            </w:r>
          </w:hyperlink>
        </w:p>
        <w:p w14:paraId="37D6038B" w14:textId="5117D61C"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32" w:history="1">
            <w:r w:rsidRPr="000E7B21">
              <w:rPr>
                <w:rStyle w:val="Hyperlink"/>
                <w:noProof/>
              </w:rPr>
              <w:t>Making a determination and assigning expiry dates</w:t>
            </w:r>
            <w:r>
              <w:rPr>
                <w:noProof/>
                <w:webHidden/>
              </w:rPr>
              <w:tab/>
            </w:r>
            <w:r>
              <w:rPr>
                <w:noProof/>
                <w:webHidden/>
              </w:rPr>
              <w:fldChar w:fldCharType="begin"/>
            </w:r>
            <w:r>
              <w:rPr>
                <w:noProof/>
                <w:webHidden/>
              </w:rPr>
              <w:instrText xml:space="preserve"> PAGEREF _Toc198723732 \h </w:instrText>
            </w:r>
            <w:r>
              <w:rPr>
                <w:noProof/>
                <w:webHidden/>
              </w:rPr>
            </w:r>
            <w:r>
              <w:rPr>
                <w:noProof/>
                <w:webHidden/>
              </w:rPr>
              <w:fldChar w:fldCharType="separate"/>
            </w:r>
            <w:r>
              <w:rPr>
                <w:noProof/>
                <w:webHidden/>
              </w:rPr>
              <w:t>19</w:t>
            </w:r>
            <w:r>
              <w:rPr>
                <w:noProof/>
                <w:webHidden/>
              </w:rPr>
              <w:fldChar w:fldCharType="end"/>
            </w:r>
          </w:hyperlink>
        </w:p>
        <w:p w14:paraId="2852CB55" w14:textId="51F848FA"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33" w:history="1">
            <w:r w:rsidRPr="000E7B21">
              <w:rPr>
                <w:rStyle w:val="Hyperlink"/>
                <w:rFonts w:cs="Arial"/>
                <w:noProof/>
              </w:rPr>
              <w:t>Issued</w:t>
            </w:r>
            <w:r>
              <w:rPr>
                <w:noProof/>
                <w:webHidden/>
              </w:rPr>
              <w:tab/>
            </w:r>
            <w:r>
              <w:rPr>
                <w:noProof/>
                <w:webHidden/>
              </w:rPr>
              <w:fldChar w:fldCharType="begin"/>
            </w:r>
            <w:r>
              <w:rPr>
                <w:noProof/>
                <w:webHidden/>
              </w:rPr>
              <w:instrText xml:space="preserve"> PAGEREF _Toc198723733 \h </w:instrText>
            </w:r>
            <w:r>
              <w:rPr>
                <w:noProof/>
                <w:webHidden/>
              </w:rPr>
            </w:r>
            <w:r>
              <w:rPr>
                <w:noProof/>
                <w:webHidden/>
              </w:rPr>
              <w:fldChar w:fldCharType="separate"/>
            </w:r>
            <w:r>
              <w:rPr>
                <w:noProof/>
                <w:webHidden/>
              </w:rPr>
              <w:t>20</w:t>
            </w:r>
            <w:r>
              <w:rPr>
                <w:noProof/>
                <w:webHidden/>
              </w:rPr>
              <w:fldChar w:fldCharType="end"/>
            </w:r>
          </w:hyperlink>
        </w:p>
        <w:p w14:paraId="0B4F3B92" w14:textId="353F4545"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34" w:history="1">
            <w:r w:rsidRPr="000E7B21">
              <w:rPr>
                <w:rStyle w:val="Hyperlink"/>
                <w:rFonts w:cs="Arial"/>
                <w:noProof/>
              </w:rPr>
              <w:t>Issued with a condition</w:t>
            </w:r>
            <w:r>
              <w:rPr>
                <w:noProof/>
                <w:webHidden/>
              </w:rPr>
              <w:tab/>
            </w:r>
            <w:r>
              <w:rPr>
                <w:noProof/>
                <w:webHidden/>
              </w:rPr>
              <w:fldChar w:fldCharType="begin"/>
            </w:r>
            <w:r>
              <w:rPr>
                <w:noProof/>
                <w:webHidden/>
              </w:rPr>
              <w:instrText xml:space="preserve"> PAGEREF _Toc198723734 \h </w:instrText>
            </w:r>
            <w:r>
              <w:rPr>
                <w:noProof/>
                <w:webHidden/>
              </w:rPr>
            </w:r>
            <w:r>
              <w:rPr>
                <w:noProof/>
                <w:webHidden/>
              </w:rPr>
              <w:fldChar w:fldCharType="separate"/>
            </w:r>
            <w:r>
              <w:rPr>
                <w:noProof/>
                <w:webHidden/>
              </w:rPr>
              <w:t>20</w:t>
            </w:r>
            <w:r>
              <w:rPr>
                <w:noProof/>
                <w:webHidden/>
              </w:rPr>
              <w:fldChar w:fldCharType="end"/>
            </w:r>
          </w:hyperlink>
        </w:p>
        <w:p w14:paraId="79AD12A6" w14:textId="349C887C"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35" w:history="1">
            <w:r w:rsidRPr="000E7B21">
              <w:rPr>
                <w:rStyle w:val="Hyperlink"/>
                <w:rFonts w:cs="Arial"/>
                <w:noProof/>
              </w:rPr>
              <w:t>Not issued</w:t>
            </w:r>
            <w:r>
              <w:rPr>
                <w:noProof/>
                <w:webHidden/>
              </w:rPr>
              <w:tab/>
            </w:r>
            <w:r>
              <w:rPr>
                <w:noProof/>
                <w:webHidden/>
              </w:rPr>
              <w:fldChar w:fldCharType="begin"/>
            </w:r>
            <w:r>
              <w:rPr>
                <w:noProof/>
                <w:webHidden/>
              </w:rPr>
              <w:instrText xml:space="preserve"> PAGEREF _Toc198723735 \h </w:instrText>
            </w:r>
            <w:r>
              <w:rPr>
                <w:noProof/>
                <w:webHidden/>
              </w:rPr>
            </w:r>
            <w:r>
              <w:rPr>
                <w:noProof/>
                <w:webHidden/>
              </w:rPr>
              <w:fldChar w:fldCharType="separate"/>
            </w:r>
            <w:r>
              <w:rPr>
                <w:noProof/>
                <w:webHidden/>
              </w:rPr>
              <w:t>20</w:t>
            </w:r>
            <w:r>
              <w:rPr>
                <w:noProof/>
                <w:webHidden/>
              </w:rPr>
              <w:fldChar w:fldCharType="end"/>
            </w:r>
          </w:hyperlink>
        </w:p>
        <w:p w14:paraId="7FB1567F" w14:textId="6FDFA57A"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36" w:history="1">
            <w:r w:rsidRPr="000E7B21">
              <w:rPr>
                <w:rStyle w:val="Hyperlink"/>
                <w:rFonts w:cs="Arial"/>
                <w:noProof/>
              </w:rPr>
              <w:t>MRA pathway only</w:t>
            </w:r>
            <w:r>
              <w:rPr>
                <w:noProof/>
                <w:webHidden/>
              </w:rPr>
              <w:tab/>
            </w:r>
            <w:r>
              <w:rPr>
                <w:noProof/>
                <w:webHidden/>
              </w:rPr>
              <w:fldChar w:fldCharType="begin"/>
            </w:r>
            <w:r>
              <w:rPr>
                <w:noProof/>
                <w:webHidden/>
              </w:rPr>
              <w:instrText xml:space="preserve"> PAGEREF _Toc198723736 \h </w:instrText>
            </w:r>
            <w:r>
              <w:rPr>
                <w:noProof/>
                <w:webHidden/>
              </w:rPr>
            </w:r>
            <w:r>
              <w:rPr>
                <w:noProof/>
                <w:webHidden/>
              </w:rPr>
              <w:fldChar w:fldCharType="separate"/>
            </w:r>
            <w:r>
              <w:rPr>
                <w:noProof/>
                <w:webHidden/>
              </w:rPr>
              <w:t>21</w:t>
            </w:r>
            <w:r>
              <w:rPr>
                <w:noProof/>
                <w:webHidden/>
              </w:rPr>
              <w:fldChar w:fldCharType="end"/>
            </w:r>
          </w:hyperlink>
        </w:p>
        <w:p w14:paraId="5150516D" w14:textId="24BA702D"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37" w:history="1">
            <w:r w:rsidRPr="000E7B21">
              <w:rPr>
                <w:rStyle w:val="Hyperlink"/>
                <w:noProof/>
              </w:rPr>
              <w:t>Maintaining your active GMP Clearance</w:t>
            </w:r>
            <w:r>
              <w:rPr>
                <w:noProof/>
                <w:webHidden/>
              </w:rPr>
              <w:tab/>
            </w:r>
            <w:r>
              <w:rPr>
                <w:noProof/>
                <w:webHidden/>
              </w:rPr>
              <w:fldChar w:fldCharType="begin"/>
            </w:r>
            <w:r>
              <w:rPr>
                <w:noProof/>
                <w:webHidden/>
              </w:rPr>
              <w:instrText xml:space="preserve"> PAGEREF _Toc198723737 \h </w:instrText>
            </w:r>
            <w:r>
              <w:rPr>
                <w:noProof/>
                <w:webHidden/>
              </w:rPr>
            </w:r>
            <w:r>
              <w:rPr>
                <w:noProof/>
                <w:webHidden/>
              </w:rPr>
              <w:fldChar w:fldCharType="separate"/>
            </w:r>
            <w:r>
              <w:rPr>
                <w:noProof/>
                <w:webHidden/>
              </w:rPr>
              <w:t>22</w:t>
            </w:r>
            <w:r>
              <w:rPr>
                <w:noProof/>
                <w:webHidden/>
              </w:rPr>
              <w:fldChar w:fldCharType="end"/>
            </w:r>
          </w:hyperlink>
        </w:p>
        <w:p w14:paraId="1150B637" w14:textId="6A7B351F"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38" w:history="1">
            <w:r w:rsidRPr="000E7B21">
              <w:rPr>
                <w:rStyle w:val="Hyperlink"/>
                <w:noProof/>
              </w:rPr>
              <w:t>Renewals, changes and extensions</w:t>
            </w:r>
            <w:r>
              <w:rPr>
                <w:noProof/>
                <w:webHidden/>
              </w:rPr>
              <w:tab/>
            </w:r>
            <w:r>
              <w:rPr>
                <w:noProof/>
                <w:webHidden/>
              </w:rPr>
              <w:fldChar w:fldCharType="begin"/>
            </w:r>
            <w:r>
              <w:rPr>
                <w:noProof/>
                <w:webHidden/>
              </w:rPr>
              <w:instrText xml:space="preserve"> PAGEREF _Toc198723738 \h </w:instrText>
            </w:r>
            <w:r>
              <w:rPr>
                <w:noProof/>
                <w:webHidden/>
              </w:rPr>
            </w:r>
            <w:r>
              <w:rPr>
                <w:noProof/>
                <w:webHidden/>
              </w:rPr>
              <w:fldChar w:fldCharType="separate"/>
            </w:r>
            <w:r>
              <w:rPr>
                <w:noProof/>
                <w:webHidden/>
              </w:rPr>
              <w:t>22</w:t>
            </w:r>
            <w:r>
              <w:rPr>
                <w:noProof/>
                <w:webHidden/>
              </w:rPr>
              <w:fldChar w:fldCharType="end"/>
            </w:r>
          </w:hyperlink>
        </w:p>
        <w:p w14:paraId="606B19DF" w14:textId="47E51327"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39" w:history="1">
            <w:r w:rsidRPr="000E7B21">
              <w:rPr>
                <w:rStyle w:val="Hyperlink"/>
                <w:noProof/>
              </w:rPr>
              <w:t>Change clearance details - Scope, applicant or manufacturer changes</w:t>
            </w:r>
            <w:r>
              <w:rPr>
                <w:noProof/>
                <w:webHidden/>
              </w:rPr>
              <w:tab/>
            </w:r>
            <w:r>
              <w:rPr>
                <w:noProof/>
                <w:webHidden/>
              </w:rPr>
              <w:fldChar w:fldCharType="begin"/>
            </w:r>
            <w:r>
              <w:rPr>
                <w:noProof/>
                <w:webHidden/>
              </w:rPr>
              <w:instrText xml:space="preserve"> PAGEREF _Toc198723739 \h </w:instrText>
            </w:r>
            <w:r>
              <w:rPr>
                <w:noProof/>
                <w:webHidden/>
              </w:rPr>
            </w:r>
            <w:r>
              <w:rPr>
                <w:noProof/>
                <w:webHidden/>
              </w:rPr>
              <w:fldChar w:fldCharType="separate"/>
            </w:r>
            <w:r>
              <w:rPr>
                <w:noProof/>
                <w:webHidden/>
              </w:rPr>
              <w:t>23</w:t>
            </w:r>
            <w:r>
              <w:rPr>
                <w:noProof/>
                <w:webHidden/>
              </w:rPr>
              <w:fldChar w:fldCharType="end"/>
            </w:r>
          </w:hyperlink>
        </w:p>
        <w:p w14:paraId="07CC5B34" w14:textId="595DA39E"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40" w:history="1">
            <w:r w:rsidRPr="000E7B21">
              <w:rPr>
                <w:rStyle w:val="Hyperlink"/>
                <w:rFonts w:cs="Arial"/>
                <w:noProof/>
              </w:rPr>
              <w:t>What you should provide for administrative changes</w:t>
            </w:r>
            <w:r>
              <w:rPr>
                <w:noProof/>
                <w:webHidden/>
              </w:rPr>
              <w:tab/>
            </w:r>
            <w:r>
              <w:rPr>
                <w:noProof/>
                <w:webHidden/>
              </w:rPr>
              <w:fldChar w:fldCharType="begin"/>
            </w:r>
            <w:r>
              <w:rPr>
                <w:noProof/>
                <w:webHidden/>
              </w:rPr>
              <w:instrText xml:space="preserve"> PAGEREF _Toc198723740 \h </w:instrText>
            </w:r>
            <w:r>
              <w:rPr>
                <w:noProof/>
                <w:webHidden/>
              </w:rPr>
            </w:r>
            <w:r>
              <w:rPr>
                <w:noProof/>
                <w:webHidden/>
              </w:rPr>
              <w:fldChar w:fldCharType="separate"/>
            </w:r>
            <w:r>
              <w:rPr>
                <w:noProof/>
                <w:webHidden/>
              </w:rPr>
              <w:t>23</w:t>
            </w:r>
            <w:r>
              <w:rPr>
                <w:noProof/>
                <w:webHidden/>
              </w:rPr>
              <w:fldChar w:fldCharType="end"/>
            </w:r>
          </w:hyperlink>
        </w:p>
        <w:p w14:paraId="45D38F8A" w14:textId="118A39BC"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41" w:history="1">
            <w:r w:rsidRPr="000E7B21">
              <w:rPr>
                <w:rStyle w:val="Hyperlink"/>
                <w:noProof/>
              </w:rPr>
              <w:t>Extension</w:t>
            </w:r>
            <w:r>
              <w:rPr>
                <w:noProof/>
                <w:webHidden/>
              </w:rPr>
              <w:tab/>
            </w:r>
            <w:r>
              <w:rPr>
                <w:noProof/>
                <w:webHidden/>
              </w:rPr>
              <w:fldChar w:fldCharType="begin"/>
            </w:r>
            <w:r>
              <w:rPr>
                <w:noProof/>
                <w:webHidden/>
              </w:rPr>
              <w:instrText xml:space="preserve"> PAGEREF _Toc198723741 \h </w:instrText>
            </w:r>
            <w:r>
              <w:rPr>
                <w:noProof/>
                <w:webHidden/>
              </w:rPr>
            </w:r>
            <w:r>
              <w:rPr>
                <w:noProof/>
                <w:webHidden/>
              </w:rPr>
              <w:fldChar w:fldCharType="separate"/>
            </w:r>
            <w:r>
              <w:rPr>
                <w:noProof/>
                <w:webHidden/>
              </w:rPr>
              <w:t>24</w:t>
            </w:r>
            <w:r>
              <w:rPr>
                <w:noProof/>
                <w:webHidden/>
              </w:rPr>
              <w:fldChar w:fldCharType="end"/>
            </w:r>
          </w:hyperlink>
        </w:p>
        <w:p w14:paraId="60367D11" w14:textId="661EBA16"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42" w:history="1">
            <w:r w:rsidRPr="000E7B21">
              <w:rPr>
                <w:rStyle w:val="Hyperlink"/>
                <w:noProof/>
              </w:rPr>
              <w:t>Transferring your GMP Clearance</w:t>
            </w:r>
            <w:r>
              <w:rPr>
                <w:noProof/>
                <w:webHidden/>
              </w:rPr>
              <w:tab/>
            </w:r>
            <w:r>
              <w:rPr>
                <w:noProof/>
                <w:webHidden/>
              </w:rPr>
              <w:fldChar w:fldCharType="begin"/>
            </w:r>
            <w:r>
              <w:rPr>
                <w:noProof/>
                <w:webHidden/>
              </w:rPr>
              <w:instrText xml:space="preserve"> PAGEREF _Toc198723742 \h </w:instrText>
            </w:r>
            <w:r>
              <w:rPr>
                <w:noProof/>
                <w:webHidden/>
              </w:rPr>
            </w:r>
            <w:r>
              <w:rPr>
                <w:noProof/>
                <w:webHidden/>
              </w:rPr>
              <w:fldChar w:fldCharType="separate"/>
            </w:r>
            <w:r>
              <w:rPr>
                <w:noProof/>
                <w:webHidden/>
              </w:rPr>
              <w:t>25</w:t>
            </w:r>
            <w:r>
              <w:rPr>
                <w:noProof/>
                <w:webHidden/>
              </w:rPr>
              <w:fldChar w:fldCharType="end"/>
            </w:r>
          </w:hyperlink>
        </w:p>
        <w:p w14:paraId="2568F082" w14:textId="168CA542"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43" w:history="1">
            <w:r w:rsidRPr="000E7B21">
              <w:rPr>
                <w:rStyle w:val="Hyperlink"/>
                <w:noProof/>
              </w:rPr>
              <w:t>Re-instatement of expired GMP Clearance</w:t>
            </w:r>
            <w:r>
              <w:rPr>
                <w:noProof/>
                <w:webHidden/>
              </w:rPr>
              <w:tab/>
            </w:r>
            <w:r>
              <w:rPr>
                <w:noProof/>
                <w:webHidden/>
              </w:rPr>
              <w:fldChar w:fldCharType="begin"/>
            </w:r>
            <w:r>
              <w:rPr>
                <w:noProof/>
                <w:webHidden/>
              </w:rPr>
              <w:instrText xml:space="preserve"> PAGEREF _Toc198723743 \h </w:instrText>
            </w:r>
            <w:r>
              <w:rPr>
                <w:noProof/>
                <w:webHidden/>
              </w:rPr>
            </w:r>
            <w:r>
              <w:rPr>
                <w:noProof/>
                <w:webHidden/>
              </w:rPr>
              <w:fldChar w:fldCharType="separate"/>
            </w:r>
            <w:r>
              <w:rPr>
                <w:noProof/>
                <w:webHidden/>
              </w:rPr>
              <w:t>25</w:t>
            </w:r>
            <w:r>
              <w:rPr>
                <w:noProof/>
                <w:webHidden/>
              </w:rPr>
              <w:fldChar w:fldCharType="end"/>
            </w:r>
          </w:hyperlink>
        </w:p>
        <w:p w14:paraId="45DF8451" w14:textId="69E59066"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44" w:history="1">
            <w:r w:rsidRPr="000E7B21">
              <w:rPr>
                <w:rStyle w:val="Hyperlink"/>
                <w:noProof/>
              </w:rPr>
              <w:t>Cancellation, suspension, additional conditions or reduction in scope by TGA</w:t>
            </w:r>
            <w:r>
              <w:rPr>
                <w:noProof/>
                <w:webHidden/>
              </w:rPr>
              <w:tab/>
            </w:r>
            <w:r>
              <w:rPr>
                <w:noProof/>
                <w:webHidden/>
              </w:rPr>
              <w:fldChar w:fldCharType="begin"/>
            </w:r>
            <w:r>
              <w:rPr>
                <w:noProof/>
                <w:webHidden/>
              </w:rPr>
              <w:instrText xml:space="preserve"> PAGEREF _Toc198723744 \h </w:instrText>
            </w:r>
            <w:r>
              <w:rPr>
                <w:noProof/>
                <w:webHidden/>
              </w:rPr>
            </w:r>
            <w:r>
              <w:rPr>
                <w:noProof/>
                <w:webHidden/>
              </w:rPr>
              <w:fldChar w:fldCharType="separate"/>
            </w:r>
            <w:r>
              <w:rPr>
                <w:noProof/>
                <w:webHidden/>
              </w:rPr>
              <w:t>26</w:t>
            </w:r>
            <w:r>
              <w:rPr>
                <w:noProof/>
                <w:webHidden/>
              </w:rPr>
              <w:fldChar w:fldCharType="end"/>
            </w:r>
          </w:hyperlink>
        </w:p>
        <w:p w14:paraId="2AE3F024" w14:textId="5313BEB5"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45" w:history="1">
            <w:r w:rsidRPr="000E7B21">
              <w:rPr>
                <w:rStyle w:val="Hyperlink"/>
                <w:noProof/>
              </w:rPr>
              <w:t>GMP Compliance Signals</w:t>
            </w:r>
            <w:r>
              <w:rPr>
                <w:noProof/>
                <w:webHidden/>
              </w:rPr>
              <w:tab/>
            </w:r>
            <w:r>
              <w:rPr>
                <w:noProof/>
                <w:webHidden/>
              </w:rPr>
              <w:fldChar w:fldCharType="begin"/>
            </w:r>
            <w:r>
              <w:rPr>
                <w:noProof/>
                <w:webHidden/>
              </w:rPr>
              <w:instrText xml:space="preserve"> PAGEREF _Toc198723745 \h </w:instrText>
            </w:r>
            <w:r>
              <w:rPr>
                <w:noProof/>
                <w:webHidden/>
              </w:rPr>
            </w:r>
            <w:r>
              <w:rPr>
                <w:noProof/>
                <w:webHidden/>
              </w:rPr>
              <w:fldChar w:fldCharType="separate"/>
            </w:r>
            <w:r>
              <w:rPr>
                <w:noProof/>
                <w:webHidden/>
              </w:rPr>
              <w:t>26</w:t>
            </w:r>
            <w:r>
              <w:rPr>
                <w:noProof/>
                <w:webHidden/>
              </w:rPr>
              <w:fldChar w:fldCharType="end"/>
            </w:r>
          </w:hyperlink>
        </w:p>
        <w:p w14:paraId="05807152" w14:textId="59DAED56" w:rsidR="0079281D" w:rsidRDefault="0079281D">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723746" w:history="1">
            <w:r w:rsidRPr="000E7B21">
              <w:rPr>
                <w:rStyle w:val="Hyperlink"/>
                <w:noProof/>
              </w:rPr>
              <w:t>Identifying what documentation is required</w:t>
            </w:r>
            <w:r>
              <w:rPr>
                <w:noProof/>
                <w:webHidden/>
              </w:rPr>
              <w:tab/>
            </w:r>
            <w:r>
              <w:rPr>
                <w:noProof/>
                <w:webHidden/>
              </w:rPr>
              <w:fldChar w:fldCharType="begin"/>
            </w:r>
            <w:r>
              <w:rPr>
                <w:noProof/>
                <w:webHidden/>
              </w:rPr>
              <w:instrText xml:space="preserve"> PAGEREF _Toc198723746 \h </w:instrText>
            </w:r>
            <w:r>
              <w:rPr>
                <w:noProof/>
                <w:webHidden/>
              </w:rPr>
            </w:r>
            <w:r>
              <w:rPr>
                <w:noProof/>
                <w:webHidden/>
              </w:rPr>
              <w:fldChar w:fldCharType="separate"/>
            </w:r>
            <w:r>
              <w:rPr>
                <w:noProof/>
                <w:webHidden/>
              </w:rPr>
              <w:t>27</w:t>
            </w:r>
            <w:r>
              <w:rPr>
                <w:noProof/>
                <w:webHidden/>
              </w:rPr>
              <w:fldChar w:fldCharType="end"/>
            </w:r>
          </w:hyperlink>
        </w:p>
        <w:p w14:paraId="2B87FAE8" w14:textId="1523D9DE"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47" w:history="1">
            <w:r w:rsidRPr="000E7B21">
              <w:rPr>
                <w:rStyle w:val="Hyperlink"/>
                <w:noProof/>
              </w:rPr>
              <w:t>General documentary requirements</w:t>
            </w:r>
            <w:r>
              <w:rPr>
                <w:noProof/>
                <w:webHidden/>
              </w:rPr>
              <w:tab/>
            </w:r>
            <w:r>
              <w:rPr>
                <w:noProof/>
                <w:webHidden/>
              </w:rPr>
              <w:fldChar w:fldCharType="begin"/>
            </w:r>
            <w:r>
              <w:rPr>
                <w:noProof/>
                <w:webHidden/>
              </w:rPr>
              <w:instrText xml:space="preserve"> PAGEREF _Toc198723747 \h </w:instrText>
            </w:r>
            <w:r>
              <w:rPr>
                <w:noProof/>
                <w:webHidden/>
              </w:rPr>
            </w:r>
            <w:r>
              <w:rPr>
                <w:noProof/>
                <w:webHidden/>
              </w:rPr>
              <w:fldChar w:fldCharType="separate"/>
            </w:r>
            <w:r>
              <w:rPr>
                <w:noProof/>
                <w:webHidden/>
              </w:rPr>
              <w:t>28</w:t>
            </w:r>
            <w:r>
              <w:rPr>
                <w:noProof/>
                <w:webHidden/>
              </w:rPr>
              <w:fldChar w:fldCharType="end"/>
            </w:r>
          </w:hyperlink>
        </w:p>
        <w:p w14:paraId="1AB15EE4" w14:textId="229BA977"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48" w:history="1">
            <w:r w:rsidRPr="000E7B21">
              <w:rPr>
                <w:rStyle w:val="Hyperlink"/>
                <w:noProof/>
              </w:rPr>
              <w:t>MRA pathway documentation</w:t>
            </w:r>
            <w:r>
              <w:rPr>
                <w:noProof/>
                <w:webHidden/>
              </w:rPr>
              <w:tab/>
            </w:r>
            <w:r>
              <w:rPr>
                <w:noProof/>
                <w:webHidden/>
              </w:rPr>
              <w:fldChar w:fldCharType="begin"/>
            </w:r>
            <w:r>
              <w:rPr>
                <w:noProof/>
                <w:webHidden/>
              </w:rPr>
              <w:instrText xml:space="preserve"> PAGEREF _Toc198723748 \h </w:instrText>
            </w:r>
            <w:r>
              <w:rPr>
                <w:noProof/>
                <w:webHidden/>
              </w:rPr>
            </w:r>
            <w:r>
              <w:rPr>
                <w:noProof/>
                <w:webHidden/>
              </w:rPr>
              <w:fldChar w:fldCharType="separate"/>
            </w:r>
            <w:r>
              <w:rPr>
                <w:noProof/>
                <w:webHidden/>
              </w:rPr>
              <w:t>29</w:t>
            </w:r>
            <w:r>
              <w:rPr>
                <w:noProof/>
                <w:webHidden/>
              </w:rPr>
              <w:fldChar w:fldCharType="end"/>
            </w:r>
          </w:hyperlink>
        </w:p>
        <w:p w14:paraId="219204AE" w14:textId="66854C39"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49" w:history="1">
            <w:r w:rsidRPr="000E7B21">
              <w:rPr>
                <w:rStyle w:val="Hyperlink"/>
                <w:noProof/>
              </w:rPr>
              <w:t>MRA GMP certificates</w:t>
            </w:r>
            <w:r>
              <w:rPr>
                <w:noProof/>
                <w:webHidden/>
              </w:rPr>
              <w:tab/>
            </w:r>
            <w:r>
              <w:rPr>
                <w:noProof/>
                <w:webHidden/>
              </w:rPr>
              <w:fldChar w:fldCharType="begin"/>
            </w:r>
            <w:r>
              <w:rPr>
                <w:noProof/>
                <w:webHidden/>
              </w:rPr>
              <w:instrText xml:space="preserve"> PAGEREF _Toc198723749 \h </w:instrText>
            </w:r>
            <w:r>
              <w:rPr>
                <w:noProof/>
                <w:webHidden/>
              </w:rPr>
            </w:r>
            <w:r>
              <w:rPr>
                <w:noProof/>
                <w:webHidden/>
              </w:rPr>
              <w:fldChar w:fldCharType="separate"/>
            </w:r>
            <w:r>
              <w:rPr>
                <w:noProof/>
                <w:webHidden/>
              </w:rPr>
              <w:t>29</w:t>
            </w:r>
            <w:r>
              <w:rPr>
                <w:noProof/>
                <w:webHidden/>
              </w:rPr>
              <w:fldChar w:fldCharType="end"/>
            </w:r>
          </w:hyperlink>
        </w:p>
        <w:p w14:paraId="79CA555C" w14:textId="0EB781D9"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50"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_Toc198723750 \h </w:instrText>
            </w:r>
            <w:r>
              <w:rPr>
                <w:noProof/>
                <w:webHidden/>
              </w:rPr>
            </w:r>
            <w:r>
              <w:rPr>
                <w:noProof/>
                <w:webHidden/>
              </w:rPr>
              <w:fldChar w:fldCharType="separate"/>
            </w:r>
            <w:r>
              <w:rPr>
                <w:noProof/>
                <w:webHidden/>
              </w:rPr>
              <w:t>29</w:t>
            </w:r>
            <w:r>
              <w:rPr>
                <w:noProof/>
                <w:webHidden/>
              </w:rPr>
              <w:fldChar w:fldCharType="end"/>
            </w:r>
          </w:hyperlink>
        </w:p>
        <w:p w14:paraId="62399591" w14:textId="78B65516"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51"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_Toc198723751 \h </w:instrText>
            </w:r>
            <w:r>
              <w:rPr>
                <w:noProof/>
                <w:webHidden/>
              </w:rPr>
            </w:r>
            <w:r>
              <w:rPr>
                <w:noProof/>
                <w:webHidden/>
              </w:rPr>
              <w:fldChar w:fldCharType="separate"/>
            </w:r>
            <w:r>
              <w:rPr>
                <w:noProof/>
                <w:webHidden/>
              </w:rPr>
              <w:t>29</w:t>
            </w:r>
            <w:r>
              <w:rPr>
                <w:noProof/>
                <w:webHidden/>
              </w:rPr>
              <w:fldChar w:fldCharType="end"/>
            </w:r>
          </w:hyperlink>
        </w:p>
        <w:p w14:paraId="562BD249" w14:textId="644CC2C6"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52"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_Toc198723752 \h </w:instrText>
            </w:r>
            <w:r>
              <w:rPr>
                <w:noProof/>
                <w:webHidden/>
              </w:rPr>
            </w:r>
            <w:r>
              <w:rPr>
                <w:noProof/>
                <w:webHidden/>
              </w:rPr>
              <w:fldChar w:fldCharType="separate"/>
            </w:r>
            <w:r>
              <w:rPr>
                <w:noProof/>
                <w:webHidden/>
              </w:rPr>
              <w:t>30</w:t>
            </w:r>
            <w:r>
              <w:rPr>
                <w:noProof/>
                <w:webHidden/>
              </w:rPr>
              <w:fldChar w:fldCharType="end"/>
            </w:r>
          </w:hyperlink>
        </w:p>
        <w:p w14:paraId="6A2F28F6" w14:textId="286BF994"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53" w:history="1">
            <w:r w:rsidRPr="000E7B21">
              <w:rPr>
                <w:rStyle w:val="Hyperlink"/>
                <w:rFonts w:cs="Arial"/>
                <w:noProof/>
              </w:rPr>
              <w:t>Alternative evidence (Contract laboratories and sterilisers)</w:t>
            </w:r>
            <w:r>
              <w:rPr>
                <w:noProof/>
                <w:webHidden/>
              </w:rPr>
              <w:tab/>
            </w:r>
            <w:r>
              <w:rPr>
                <w:noProof/>
                <w:webHidden/>
              </w:rPr>
              <w:fldChar w:fldCharType="begin"/>
            </w:r>
            <w:r>
              <w:rPr>
                <w:noProof/>
                <w:webHidden/>
              </w:rPr>
              <w:instrText xml:space="preserve"> PAGEREF _Toc198723753 \h </w:instrText>
            </w:r>
            <w:r>
              <w:rPr>
                <w:noProof/>
                <w:webHidden/>
              </w:rPr>
            </w:r>
            <w:r>
              <w:rPr>
                <w:noProof/>
                <w:webHidden/>
              </w:rPr>
              <w:fldChar w:fldCharType="separate"/>
            </w:r>
            <w:r>
              <w:rPr>
                <w:noProof/>
                <w:webHidden/>
              </w:rPr>
              <w:t>30</w:t>
            </w:r>
            <w:r>
              <w:rPr>
                <w:noProof/>
                <w:webHidden/>
              </w:rPr>
              <w:fldChar w:fldCharType="end"/>
            </w:r>
          </w:hyperlink>
        </w:p>
        <w:p w14:paraId="2E435B88" w14:textId="6D391770"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54" w:history="1">
            <w:r w:rsidRPr="000E7B21">
              <w:rPr>
                <w:rStyle w:val="Hyperlink"/>
                <w:rFonts w:cs="Arial"/>
                <w:noProof/>
              </w:rPr>
              <w:t>Liaison</w:t>
            </w:r>
            <w:r>
              <w:rPr>
                <w:noProof/>
                <w:webHidden/>
              </w:rPr>
              <w:tab/>
            </w:r>
            <w:r>
              <w:rPr>
                <w:noProof/>
                <w:webHidden/>
              </w:rPr>
              <w:fldChar w:fldCharType="begin"/>
            </w:r>
            <w:r>
              <w:rPr>
                <w:noProof/>
                <w:webHidden/>
              </w:rPr>
              <w:instrText xml:space="preserve"> PAGEREF _Toc198723754 \h </w:instrText>
            </w:r>
            <w:r>
              <w:rPr>
                <w:noProof/>
                <w:webHidden/>
              </w:rPr>
            </w:r>
            <w:r>
              <w:rPr>
                <w:noProof/>
                <w:webHidden/>
              </w:rPr>
              <w:fldChar w:fldCharType="separate"/>
            </w:r>
            <w:r>
              <w:rPr>
                <w:noProof/>
                <w:webHidden/>
              </w:rPr>
              <w:t>30</w:t>
            </w:r>
            <w:r>
              <w:rPr>
                <w:noProof/>
                <w:webHidden/>
              </w:rPr>
              <w:fldChar w:fldCharType="end"/>
            </w:r>
          </w:hyperlink>
        </w:p>
        <w:p w14:paraId="691B350A" w14:textId="36B0DF37"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55" w:history="1">
            <w:r w:rsidRPr="000E7B21">
              <w:rPr>
                <w:rStyle w:val="Hyperlink"/>
                <w:noProof/>
              </w:rPr>
              <w:t>API declaration</w:t>
            </w:r>
            <w:r>
              <w:rPr>
                <w:noProof/>
                <w:webHidden/>
              </w:rPr>
              <w:tab/>
            </w:r>
            <w:r>
              <w:rPr>
                <w:noProof/>
                <w:webHidden/>
              </w:rPr>
              <w:fldChar w:fldCharType="begin"/>
            </w:r>
            <w:r>
              <w:rPr>
                <w:noProof/>
                <w:webHidden/>
              </w:rPr>
              <w:instrText xml:space="preserve"> PAGEREF _Toc198723755 \h </w:instrText>
            </w:r>
            <w:r>
              <w:rPr>
                <w:noProof/>
                <w:webHidden/>
              </w:rPr>
            </w:r>
            <w:r>
              <w:rPr>
                <w:noProof/>
                <w:webHidden/>
              </w:rPr>
              <w:fldChar w:fldCharType="separate"/>
            </w:r>
            <w:r>
              <w:rPr>
                <w:noProof/>
                <w:webHidden/>
              </w:rPr>
              <w:t>31</w:t>
            </w:r>
            <w:r>
              <w:rPr>
                <w:noProof/>
                <w:webHidden/>
              </w:rPr>
              <w:fldChar w:fldCharType="end"/>
            </w:r>
          </w:hyperlink>
        </w:p>
        <w:p w14:paraId="53CEA928" w14:textId="16EA3620"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56" w:history="1">
            <w:r w:rsidRPr="000E7B21">
              <w:rPr>
                <w:rStyle w:val="Hyperlink"/>
                <w:rFonts w:cs="Arial"/>
                <w:noProof/>
              </w:rPr>
              <w:t>When we require it</w:t>
            </w:r>
            <w:r>
              <w:rPr>
                <w:noProof/>
                <w:webHidden/>
              </w:rPr>
              <w:tab/>
            </w:r>
            <w:r>
              <w:rPr>
                <w:noProof/>
                <w:webHidden/>
              </w:rPr>
              <w:fldChar w:fldCharType="begin"/>
            </w:r>
            <w:r>
              <w:rPr>
                <w:noProof/>
                <w:webHidden/>
              </w:rPr>
              <w:instrText xml:space="preserve"> PAGEREF _Toc198723756 \h </w:instrText>
            </w:r>
            <w:r>
              <w:rPr>
                <w:noProof/>
                <w:webHidden/>
              </w:rPr>
            </w:r>
            <w:r>
              <w:rPr>
                <w:noProof/>
                <w:webHidden/>
              </w:rPr>
              <w:fldChar w:fldCharType="separate"/>
            </w:r>
            <w:r>
              <w:rPr>
                <w:noProof/>
                <w:webHidden/>
              </w:rPr>
              <w:t>31</w:t>
            </w:r>
            <w:r>
              <w:rPr>
                <w:noProof/>
                <w:webHidden/>
              </w:rPr>
              <w:fldChar w:fldCharType="end"/>
            </w:r>
          </w:hyperlink>
        </w:p>
        <w:p w14:paraId="3A3C4C48" w14:textId="0F9C0F02"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57"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_Toc198723757 \h </w:instrText>
            </w:r>
            <w:r>
              <w:rPr>
                <w:noProof/>
                <w:webHidden/>
              </w:rPr>
            </w:r>
            <w:r>
              <w:rPr>
                <w:noProof/>
                <w:webHidden/>
              </w:rPr>
              <w:fldChar w:fldCharType="separate"/>
            </w:r>
            <w:r>
              <w:rPr>
                <w:noProof/>
                <w:webHidden/>
              </w:rPr>
              <w:t>31</w:t>
            </w:r>
            <w:r>
              <w:rPr>
                <w:noProof/>
                <w:webHidden/>
              </w:rPr>
              <w:fldChar w:fldCharType="end"/>
            </w:r>
          </w:hyperlink>
        </w:p>
        <w:p w14:paraId="36473D73" w14:textId="232B6152"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58"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_Toc198723758 \h </w:instrText>
            </w:r>
            <w:r>
              <w:rPr>
                <w:noProof/>
                <w:webHidden/>
              </w:rPr>
            </w:r>
            <w:r>
              <w:rPr>
                <w:noProof/>
                <w:webHidden/>
              </w:rPr>
              <w:fldChar w:fldCharType="separate"/>
            </w:r>
            <w:r>
              <w:rPr>
                <w:noProof/>
                <w:webHidden/>
              </w:rPr>
              <w:t>31</w:t>
            </w:r>
            <w:r>
              <w:rPr>
                <w:noProof/>
                <w:webHidden/>
              </w:rPr>
              <w:fldChar w:fldCharType="end"/>
            </w:r>
          </w:hyperlink>
        </w:p>
        <w:p w14:paraId="660D2FB4" w14:textId="4F7C59CA"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59" w:history="1">
            <w:r w:rsidRPr="000E7B21">
              <w:rPr>
                <w:rStyle w:val="Hyperlink"/>
                <w:noProof/>
              </w:rPr>
              <w:t>Complementary medicine declaration</w:t>
            </w:r>
            <w:r>
              <w:rPr>
                <w:noProof/>
                <w:webHidden/>
              </w:rPr>
              <w:tab/>
            </w:r>
            <w:r>
              <w:rPr>
                <w:noProof/>
                <w:webHidden/>
              </w:rPr>
              <w:fldChar w:fldCharType="begin"/>
            </w:r>
            <w:r>
              <w:rPr>
                <w:noProof/>
                <w:webHidden/>
              </w:rPr>
              <w:instrText xml:space="preserve"> PAGEREF _Toc198723759 \h </w:instrText>
            </w:r>
            <w:r>
              <w:rPr>
                <w:noProof/>
                <w:webHidden/>
              </w:rPr>
            </w:r>
            <w:r>
              <w:rPr>
                <w:noProof/>
                <w:webHidden/>
              </w:rPr>
              <w:fldChar w:fldCharType="separate"/>
            </w:r>
            <w:r>
              <w:rPr>
                <w:noProof/>
                <w:webHidden/>
              </w:rPr>
              <w:t>32</w:t>
            </w:r>
            <w:r>
              <w:rPr>
                <w:noProof/>
                <w:webHidden/>
              </w:rPr>
              <w:fldChar w:fldCharType="end"/>
            </w:r>
          </w:hyperlink>
        </w:p>
        <w:p w14:paraId="22EBFECF" w14:textId="4764752C"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60" w:history="1">
            <w:r w:rsidRPr="000E7B21">
              <w:rPr>
                <w:rStyle w:val="Hyperlink"/>
                <w:rFonts w:cs="Arial"/>
                <w:noProof/>
              </w:rPr>
              <w:t>When we require it</w:t>
            </w:r>
            <w:r>
              <w:rPr>
                <w:noProof/>
                <w:webHidden/>
              </w:rPr>
              <w:tab/>
            </w:r>
            <w:r>
              <w:rPr>
                <w:noProof/>
                <w:webHidden/>
              </w:rPr>
              <w:fldChar w:fldCharType="begin"/>
            </w:r>
            <w:r>
              <w:rPr>
                <w:noProof/>
                <w:webHidden/>
              </w:rPr>
              <w:instrText xml:space="preserve"> PAGEREF _Toc198723760 \h </w:instrText>
            </w:r>
            <w:r>
              <w:rPr>
                <w:noProof/>
                <w:webHidden/>
              </w:rPr>
            </w:r>
            <w:r>
              <w:rPr>
                <w:noProof/>
                <w:webHidden/>
              </w:rPr>
              <w:fldChar w:fldCharType="separate"/>
            </w:r>
            <w:r>
              <w:rPr>
                <w:noProof/>
                <w:webHidden/>
              </w:rPr>
              <w:t>32</w:t>
            </w:r>
            <w:r>
              <w:rPr>
                <w:noProof/>
                <w:webHidden/>
              </w:rPr>
              <w:fldChar w:fldCharType="end"/>
            </w:r>
          </w:hyperlink>
        </w:p>
        <w:p w14:paraId="529B0CB0" w14:textId="755C2F81"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61"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_Toc198723761 \h </w:instrText>
            </w:r>
            <w:r>
              <w:rPr>
                <w:noProof/>
                <w:webHidden/>
              </w:rPr>
            </w:r>
            <w:r>
              <w:rPr>
                <w:noProof/>
                <w:webHidden/>
              </w:rPr>
              <w:fldChar w:fldCharType="separate"/>
            </w:r>
            <w:r>
              <w:rPr>
                <w:noProof/>
                <w:webHidden/>
              </w:rPr>
              <w:t>32</w:t>
            </w:r>
            <w:r>
              <w:rPr>
                <w:noProof/>
                <w:webHidden/>
              </w:rPr>
              <w:fldChar w:fldCharType="end"/>
            </w:r>
          </w:hyperlink>
        </w:p>
        <w:p w14:paraId="21428C56" w14:textId="7BABBA15"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62" w:history="1">
            <w:r w:rsidRPr="000E7B21">
              <w:rPr>
                <w:rStyle w:val="Hyperlink"/>
                <w:noProof/>
              </w:rPr>
              <w:t>CV pathway documentation</w:t>
            </w:r>
            <w:r>
              <w:rPr>
                <w:noProof/>
                <w:webHidden/>
              </w:rPr>
              <w:tab/>
            </w:r>
            <w:r>
              <w:rPr>
                <w:noProof/>
                <w:webHidden/>
              </w:rPr>
              <w:fldChar w:fldCharType="begin"/>
            </w:r>
            <w:r>
              <w:rPr>
                <w:noProof/>
                <w:webHidden/>
              </w:rPr>
              <w:instrText xml:space="preserve"> PAGEREF _Toc198723762 \h </w:instrText>
            </w:r>
            <w:r>
              <w:rPr>
                <w:noProof/>
                <w:webHidden/>
              </w:rPr>
            </w:r>
            <w:r>
              <w:rPr>
                <w:noProof/>
                <w:webHidden/>
              </w:rPr>
              <w:fldChar w:fldCharType="separate"/>
            </w:r>
            <w:r>
              <w:rPr>
                <w:noProof/>
                <w:webHidden/>
              </w:rPr>
              <w:t>33</w:t>
            </w:r>
            <w:r>
              <w:rPr>
                <w:noProof/>
                <w:webHidden/>
              </w:rPr>
              <w:fldChar w:fldCharType="end"/>
            </w:r>
          </w:hyperlink>
        </w:p>
        <w:p w14:paraId="110E9543" w14:textId="55DE95E6"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63" w:history="1">
            <w:r w:rsidRPr="000E7B21">
              <w:rPr>
                <w:rStyle w:val="Hyperlink"/>
                <w:noProof/>
              </w:rPr>
              <w:t>Health Canada extra-jurisdictional inspections</w:t>
            </w:r>
            <w:r>
              <w:rPr>
                <w:noProof/>
                <w:webHidden/>
              </w:rPr>
              <w:tab/>
            </w:r>
            <w:r>
              <w:rPr>
                <w:noProof/>
                <w:webHidden/>
              </w:rPr>
              <w:fldChar w:fldCharType="begin"/>
            </w:r>
            <w:r>
              <w:rPr>
                <w:noProof/>
                <w:webHidden/>
              </w:rPr>
              <w:instrText xml:space="preserve"> PAGEREF _Toc198723763 \h </w:instrText>
            </w:r>
            <w:r>
              <w:rPr>
                <w:noProof/>
                <w:webHidden/>
              </w:rPr>
            </w:r>
            <w:r>
              <w:rPr>
                <w:noProof/>
                <w:webHidden/>
              </w:rPr>
              <w:fldChar w:fldCharType="separate"/>
            </w:r>
            <w:r>
              <w:rPr>
                <w:noProof/>
                <w:webHidden/>
              </w:rPr>
              <w:t>34</w:t>
            </w:r>
            <w:r>
              <w:rPr>
                <w:noProof/>
                <w:webHidden/>
              </w:rPr>
              <w:fldChar w:fldCharType="end"/>
            </w:r>
          </w:hyperlink>
        </w:p>
        <w:p w14:paraId="7780F2E5" w14:textId="42C9682D"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64" w:history="1">
            <w:r w:rsidRPr="000E7B21">
              <w:rPr>
                <w:rStyle w:val="Hyperlink"/>
                <w:noProof/>
              </w:rPr>
              <w:t>GMP certificates</w:t>
            </w:r>
            <w:r>
              <w:rPr>
                <w:noProof/>
                <w:webHidden/>
              </w:rPr>
              <w:tab/>
            </w:r>
            <w:r>
              <w:rPr>
                <w:noProof/>
                <w:webHidden/>
              </w:rPr>
              <w:fldChar w:fldCharType="begin"/>
            </w:r>
            <w:r>
              <w:rPr>
                <w:noProof/>
                <w:webHidden/>
              </w:rPr>
              <w:instrText xml:space="preserve"> PAGEREF _Toc198723764 \h </w:instrText>
            </w:r>
            <w:r>
              <w:rPr>
                <w:noProof/>
                <w:webHidden/>
              </w:rPr>
            </w:r>
            <w:r>
              <w:rPr>
                <w:noProof/>
                <w:webHidden/>
              </w:rPr>
              <w:fldChar w:fldCharType="separate"/>
            </w:r>
            <w:r>
              <w:rPr>
                <w:noProof/>
                <w:webHidden/>
              </w:rPr>
              <w:t>35</w:t>
            </w:r>
            <w:r>
              <w:rPr>
                <w:noProof/>
                <w:webHidden/>
              </w:rPr>
              <w:fldChar w:fldCharType="end"/>
            </w:r>
          </w:hyperlink>
        </w:p>
        <w:p w14:paraId="28F326F1" w14:textId="6C3A2C69"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65"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_Toc198723765 \h </w:instrText>
            </w:r>
            <w:r>
              <w:rPr>
                <w:noProof/>
                <w:webHidden/>
              </w:rPr>
            </w:r>
            <w:r>
              <w:rPr>
                <w:noProof/>
                <w:webHidden/>
              </w:rPr>
              <w:fldChar w:fldCharType="separate"/>
            </w:r>
            <w:r>
              <w:rPr>
                <w:noProof/>
                <w:webHidden/>
              </w:rPr>
              <w:t>35</w:t>
            </w:r>
            <w:r>
              <w:rPr>
                <w:noProof/>
                <w:webHidden/>
              </w:rPr>
              <w:fldChar w:fldCharType="end"/>
            </w:r>
          </w:hyperlink>
        </w:p>
        <w:p w14:paraId="1329A6D2" w14:textId="176363A8"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66"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_Toc198723766 \h </w:instrText>
            </w:r>
            <w:r>
              <w:rPr>
                <w:noProof/>
                <w:webHidden/>
              </w:rPr>
            </w:r>
            <w:r>
              <w:rPr>
                <w:noProof/>
                <w:webHidden/>
              </w:rPr>
              <w:fldChar w:fldCharType="separate"/>
            </w:r>
            <w:r>
              <w:rPr>
                <w:noProof/>
                <w:webHidden/>
              </w:rPr>
              <w:t>35</w:t>
            </w:r>
            <w:r>
              <w:rPr>
                <w:noProof/>
                <w:webHidden/>
              </w:rPr>
              <w:fldChar w:fldCharType="end"/>
            </w:r>
          </w:hyperlink>
        </w:p>
        <w:p w14:paraId="3FF193C4" w14:textId="16994793"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67"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_Toc198723767 \h </w:instrText>
            </w:r>
            <w:r>
              <w:rPr>
                <w:noProof/>
                <w:webHidden/>
              </w:rPr>
            </w:r>
            <w:r>
              <w:rPr>
                <w:noProof/>
                <w:webHidden/>
              </w:rPr>
              <w:fldChar w:fldCharType="separate"/>
            </w:r>
            <w:r>
              <w:rPr>
                <w:noProof/>
                <w:webHidden/>
              </w:rPr>
              <w:t>35</w:t>
            </w:r>
            <w:r>
              <w:rPr>
                <w:noProof/>
                <w:webHidden/>
              </w:rPr>
              <w:fldChar w:fldCharType="end"/>
            </w:r>
          </w:hyperlink>
        </w:p>
        <w:p w14:paraId="31BE9900" w14:textId="32C7649D"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68" w:history="1">
            <w:r w:rsidRPr="000E7B21">
              <w:rPr>
                <w:rStyle w:val="Hyperlink"/>
                <w:rFonts w:cs="Arial"/>
                <w:noProof/>
              </w:rPr>
              <w:t>Obtain evidence for US FDA evidence</w:t>
            </w:r>
            <w:r>
              <w:rPr>
                <w:noProof/>
                <w:webHidden/>
              </w:rPr>
              <w:tab/>
            </w:r>
            <w:r>
              <w:rPr>
                <w:noProof/>
                <w:webHidden/>
              </w:rPr>
              <w:fldChar w:fldCharType="begin"/>
            </w:r>
            <w:r>
              <w:rPr>
                <w:noProof/>
                <w:webHidden/>
              </w:rPr>
              <w:instrText xml:space="preserve"> PAGEREF _Toc198723768 \h </w:instrText>
            </w:r>
            <w:r>
              <w:rPr>
                <w:noProof/>
                <w:webHidden/>
              </w:rPr>
            </w:r>
            <w:r>
              <w:rPr>
                <w:noProof/>
                <w:webHidden/>
              </w:rPr>
              <w:fldChar w:fldCharType="separate"/>
            </w:r>
            <w:r>
              <w:rPr>
                <w:noProof/>
                <w:webHidden/>
              </w:rPr>
              <w:t>35</w:t>
            </w:r>
            <w:r>
              <w:rPr>
                <w:noProof/>
                <w:webHidden/>
              </w:rPr>
              <w:fldChar w:fldCharType="end"/>
            </w:r>
          </w:hyperlink>
        </w:p>
        <w:p w14:paraId="780063D2" w14:textId="5BDCB8E0"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69" w:history="1">
            <w:r w:rsidRPr="000E7B21">
              <w:rPr>
                <w:rStyle w:val="Hyperlink"/>
                <w:noProof/>
              </w:rPr>
              <w:t>Most recent inspection report</w:t>
            </w:r>
            <w:r>
              <w:rPr>
                <w:noProof/>
                <w:webHidden/>
              </w:rPr>
              <w:tab/>
            </w:r>
            <w:r>
              <w:rPr>
                <w:noProof/>
                <w:webHidden/>
              </w:rPr>
              <w:fldChar w:fldCharType="begin"/>
            </w:r>
            <w:r>
              <w:rPr>
                <w:noProof/>
                <w:webHidden/>
              </w:rPr>
              <w:instrText xml:space="preserve"> PAGEREF _Toc198723769 \h </w:instrText>
            </w:r>
            <w:r>
              <w:rPr>
                <w:noProof/>
                <w:webHidden/>
              </w:rPr>
            </w:r>
            <w:r>
              <w:rPr>
                <w:noProof/>
                <w:webHidden/>
              </w:rPr>
              <w:fldChar w:fldCharType="separate"/>
            </w:r>
            <w:r>
              <w:rPr>
                <w:noProof/>
                <w:webHidden/>
              </w:rPr>
              <w:t>36</w:t>
            </w:r>
            <w:r>
              <w:rPr>
                <w:noProof/>
                <w:webHidden/>
              </w:rPr>
              <w:fldChar w:fldCharType="end"/>
            </w:r>
          </w:hyperlink>
        </w:p>
        <w:p w14:paraId="420272CA" w14:textId="34E9B9A5"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70"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_Toc198723770 \h </w:instrText>
            </w:r>
            <w:r>
              <w:rPr>
                <w:noProof/>
                <w:webHidden/>
              </w:rPr>
            </w:r>
            <w:r>
              <w:rPr>
                <w:noProof/>
                <w:webHidden/>
              </w:rPr>
              <w:fldChar w:fldCharType="separate"/>
            </w:r>
            <w:r>
              <w:rPr>
                <w:noProof/>
                <w:webHidden/>
              </w:rPr>
              <w:t>36</w:t>
            </w:r>
            <w:r>
              <w:rPr>
                <w:noProof/>
                <w:webHidden/>
              </w:rPr>
              <w:fldChar w:fldCharType="end"/>
            </w:r>
          </w:hyperlink>
        </w:p>
        <w:p w14:paraId="72FA80D4" w14:textId="546526BE"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71"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_Toc198723771 \h </w:instrText>
            </w:r>
            <w:r>
              <w:rPr>
                <w:noProof/>
                <w:webHidden/>
              </w:rPr>
            </w:r>
            <w:r>
              <w:rPr>
                <w:noProof/>
                <w:webHidden/>
              </w:rPr>
              <w:fldChar w:fldCharType="separate"/>
            </w:r>
            <w:r>
              <w:rPr>
                <w:noProof/>
                <w:webHidden/>
              </w:rPr>
              <w:t>36</w:t>
            </w:r>
            <w:r>
              <w:rPr>
                <w:noProof/>
                <w:webHidden/>
              </w:rPr>
              <w:fldChar w:fldCharType="end"/>
            </w:r>
          </w:hyperlink>
        </w:p>
        <w:p w14:paraId="0F2D2FDE" w14:textId="723B7691"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72"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_Toc198723772 \h </w:instrText>
            </w:r>
            <w:r>
              <w:rPr>
                <w:noProof/>
                <w:webHidden/>
              </w:rPr>
            </w:r>
            <w:r>
              <w:rPr>
                <w:noProof/>
                <w:webHidden/>
              </w:rPr>
              <w:fldChar w:fldCharType="separate"/>
            </w:r>
            <w:r>
              <w:rPr>
                <w:noProof/>
                <w:webHidden/>
              </w:rPr>
              <w:t>36</w:t>
            </w:r>
            <w:r>
              <w:rPr>
                <w:noProof/>
                <w:webHidden/>
              </w:rPr>
              <w:fldChar w:fldCharType="end"/>
            </w:r>
          </w:hyperlink>
        </w:p>
        <w:p w14:paraId="53920C06" w14:textId="74FD6D48"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73" w:history="1">
            <w:r w:rsidRPr="000E7B21">
              <w:rPr>
                <w:rStyle w:val="Hyperlink"/>
                <w:rFonts w:cs="Arial"/>
                <w:noProof/>
              </w:rPr>
              <w:t>Alternative evidence (Health Canada Exit Notice only)</w:t>
            </w:r>
            <w:r>
              <w:rPr>
                <w:noProof/>
                <w:webHidden/>
              </w:rPr>
              <w:tab/>
            </w:r>
            <w:r>
              <w:rPr>
                <w:noProof/>
                <w:webHidden/>
              </w:rPr>
              <w:fldChar w:fldCharType="begin"/>
            </w:r>
            <w:r>
              <w:rPr>
                <w:noProof/>
                <w:webHidden/>
              </w:rPr>
              <w:instrText xml:space="preserve"> PAGEREF _Toc198723773 \h </w:instrText>
            </w:r>
            <w:r>
              <w:rPr>
                <w:noProof/>
                <w:webHidden/>
              </w:rPr>
            </w:r>
            <w:r>
              <w:rPr>
                <w:noProof/>
                <w:webHidden/>
              </w:rPr>
              <w:fldChar w:fldCharType="separate"/>
            </w:r>
            <w:r>
              <w:rPr>
                <w:noProof/>
                <w:webHidden/>
              </w:rPr>
              <w:t>36</w:t>
            </w:r>
            <w:r>
              <w:rPr>
                <w:noProof/>
                <w:webHidden/>
              </w:rPr>
              <w:fldChar w:fldCharType="end"/>
            </w:r>
          </w:hyperlink>
        </w:p>
        <w:p w14:paraId="24E41ABF" w14:textId="4E9AACB6"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74" w:history="1">
            <w:r w:rsidRPr="000E7B21">
              <w:rPr>
                <w:rStyle w:val="Hyperlink"/>
                <w:noProof/>
              </w:rPr>
              <w:t>Regulatory inspections list</w:t>
            </w:r>
            <w:r>
              <w:rPr>
                <w:noProof/>
                <w:webHidden/>
              </w:rPr>
              <w:tab/>
            </w:r>
            <w:r>
              <w:rPr>
                <w:noProof/>
                <w:webHidden/>
              </w:rPr>
              <w:fldChar w:fldCharType="begin"/>
            </w:r>
            <w:r>
              <w:rPr>
                <w:noProof/>
                <w:webHidden/>
              </w:rPr>
              <w:instrText xml:space="preserve"> PAGEREF _Toc198723774 \h </w:instrText>
            </w:r>
            <w:r>
              <w:rPr>
                <w:noProof/>
                <w:webHidden/>
              </w:rPr>
            </w:r>
            <w:r>
              <w:rPr>
                <w:noProof/>
                <w:webHidden/>
              </w:rPr>
              <w:fldChar w:fldCharType="separate"/>
            </w:r>
            <w:r>
              <w:rPr>
                <w:noProof/>
                <w:webHidden/>
              </w:rPr>
              <w:t>37</w:t>
            </w:r>
            <w:r>
              <w:rPr>
                <w:noProof/>
                <w:webHidden/>
              </w:rPr>
              <w:fldChar w:fldCharType="end"/>
            </w:r>
          </w:hyperlink>
        </w:p>
        <w:p w14:paraId="5DE2DFAF" w14:textId="1FDD7885"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75"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_Toc198723775 \h </w:instrText>
            </w:r>
            <w:r>
              <w:rPr>
                <w:noProof/>
                <w:webHidden/>
              </w:rPr>
            </w:r>
            <w:r>
              <w:rPr>
                <w:noProof/>
                <w:webHidden/>
              </w:rPr>
              <w:fldChar w:fldCharType="separate"/>
            </w:r>
            <w:r>
              <w:rPr>
                <w:noProof/>
                <w:webHidden/>
              </w:rPr>
              <w:t>37</w:t>
            </w:r>
            <w:r>
              <w:rPr>
                <w:noProof/>
                <w:webHidden/>
              </w:rPr>
              <w:fldChar w:fldCharType="end"/>
            </w:r>
          </w:hyperlink>
        </w:p>
        <w:p w14:paraId="63AC35A8" w14:textId="1F5E6BA1"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76"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_Toc198723776 \h </w:instrText>
            </w:r>
            <w:r>
              <w:rPr>
                <w:noProof/>
                <w:webHidden/>
              </w:rPr>
            </w:r>
            <w:r>
              <w:rPr>
                <w:noProof/>
                <w:webHidden/>
              </w:rPr>
              <w:fldChar w:fldCharType="separate"/>
            </w:r>
            <w:r>
              <w:rPr>
                <w:noProof/>
                <w:webHidden/>
              </w:rPr>
              <w:t>37</w:t>
            </w:r>
            <w:r>
              <w:rPr>
                <w:noProof/>
                <w:webHidden/>
              </w:rPr>
              <w:fldChar w:fldCharType="end"/>
            </w:r>
          </w:hyperlink>
        </w:p>
        <w:p w14:paraId="60935C40" w14:textId="652DA392"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77"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_Toc198723777 \h </w:instrText>
            </w:r>
            <w:r>
              <w:rPr>
                <w:noProof/>
                <w:webHidden/>
              </w:rPr>
            </w:r>
            <w:r>
              <w:rPr>
                <w:noProof/>
                <w:webHidden/>
              </w:rPr>
              <w:fldChar w:fldCharType="separate"/>
            </w:r>
            <w:r>
              <w:rPr>
                <w:noProof/>
                <w:webHidden/>
              </w:rPr>
              <w:t>37</w:t>
            </w:r>
            <w:r>
              <w:rPr>
                <w:noProof/>
                <w:webHidden/>
              </w:rPr>
              <w:fldChar w:fldCharType="end"/>
            </w:r>
          </w:hyperlink>
        </w:p>
        <w:p w14:paraId="1046E483" w14:textId="4428353E"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78" w:history="1">
            <w:r w:rsidRPr="000E7B21">
              <w:rPr>
                <w:rStyle w:val="Hyperlink"/>
                <w:noProof/>
              </w:rPr>
              <w:t>Regulatory action details</w:t>
            </w:r>
            <w:r>
              <w:rPr>
                <w:noProof/>
                <w:webHidden/>
              </w:rPr>
              <w:tab/>
            </w:r>
            <w:r>
              <w:rPr>
                <w:noProof/>
                <w:webHidden/>
              </w:rPr>
              <w:fldChar w:fldCharType="begin"/>
            </w:r>
            <w:r>
              <w:rPr>
                <w:noProof/>
                <w:webHidden/>
              </w:rPr>
              <w:instrText xml:space="preserve"> PAGEREF _Toc198723778 \h </w:instrText>
            </w:r>
            <w:r>
              <w:rPr>
                <w:noProof/>
                <w:webHidden/>
              </w:rPr>
            </w:r>
            <w:r>
              <w:rPr>
                <w:noProof/>
                <w:webHidden/>
              </w:rPr>
              <w:fldChar w:fldCharType="separate"/>
            </w:r>
            <w:r>
              <w:rPr>
                <w:noProof/>
                <w:webHidden/>
              </w:rPr>
              <w:t>37</w:t>
            </w:r>
            <w:r>
              <w:rPr>
                <w:noProof/>
                <w:webHidden/>
              </w:rPr>
              <w:fldChar w:fldCharType="end"/>
            </w:r>
          </w:hyperlink>
        </w:p>
        <w:p w14:paraId="0AB9203A" w14:textId="6C180F5D"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79"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_Toc198723779 \h </w:instrText>
            </w:r>
            <w:r>
              <w:rPr>
                <w:noProof/>
                <w:webHidden/>
              </w:rPr>
            </w:r>
            <w:r>
              <w:rPr>
                <w:noProof/>
                <w:webHidden/>
              </w:rPr>
              <w:fldChar w:fldCharType="separate"/>
            </w:r>
            <w:r>
              <w:rPr>
                <w:noProof/>
                <w:webHidden/>
              </w:rPr>
              <w:t>37</w:t>
            </w:r>
            <w:r>
              <w:rPr>
                <w:noProof/>
                <w:webHidden/>
              </w:rPr>
              <w:fldChar w:fldCharType="end"/>
            </w:r>
          </w:hyperlink>
        </w:p>
        <w:p w14:paraId="7B16121B" w14:textId="6134C4A4"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80"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_Toc198723780 \h </w:instrText>
            </w:r>
            <w:r>
              <w:rPr>
                <w:noProof/>
                <w:webHidden/>
              </w:rPr>
            </w:r>
            <w:r>
              <w:rPr>
                <w:noProof/>
                <w:webHidden/>
              </w:rPr>
              <w:fldChar w:fldCharType="separate"/>
            </w:r>
            <w:r>
              <w:rPr>
                <w:noProof/>
                <w:webHidden/>
              </w:rPr>
              <w:t>37</w:t>
            </w:r>
            <w:r>
              <w:rPr>
                <w:noProof/>
                <w:webHidden/>
              </w:rPr>
              <w:fldChar w:fldCharType="end"/>
            </w:r>
          </w:hyperlink>
        </w:p>
        <w:p w14:paraId="18C18920" w14:textId="79B66A9E"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81"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_Toc198723781 \h </w:instrText>
            </w:r>
            <w:r>
              <w:rPr>
                <w:noProof/>
                <w:webHidden/>
              </w:rPr>
            </w:r>
            <w:r>
              <w:rPr>
                <w:noProof/>
                <w:webHidden/>
              </w:rPr>
              <w:fldChar w:fldCharType="separate"/>
            </w:r>
            <w:r>
              <w:rPr>
                <w:noProof/>
                <w:webHidden/>
              </w:rPr>
              <w:t>37</w:t>
            </w:r>
            <w:r>
              <w:rPr>
                <w:noProof/>
                <w:webHidden/>
              </w:rPr>
              <w:fldChar w:fldCharType="end"/>
            </w:r>
          </w:hyperlink>
        </w:p>
        <w:p w14:paraId="53B65914" w14:textId="3E150A49"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82" w:history="1">
            <w:r w:rsidRPr="000E7B21">
              <w:rPr>
                <w:rStyle w:val="Hyperlink"/>
                <w:rFonts w:cs="Arial"/>
                <w:noProof/>
              </w:rPr>
              <w:t>Alternative evidence</w:t>
            </w:r>
            <w:r>
              <w:rPr>
                <w:noProof/>
                <w:webHidden/>
              </w:rPr>
              <w:tab/>
            </w:r>
            <w:r>
              <w:rPr>
                <w:noProof/>
                <w:webHidden/>
              </w:rPr>
              <w:fldChar w:fldCharType="begin"/>
            </w:r>
            <w:r>
              <w:rPr>
                <w:noProof/>
                <w:webHidden/>
              </w:rPr>
              <w:instrText xml:space="preserve"> PAGEREF _Toc198723782 \h </w:instrText>
            </w:r>
            <w:r>
              <w:rPr>
                <w:noProof/>
                <w:webHidden/>
              </w:rPr>
            </w:r>
            <w:r>
              <w:rPr>
                <w:noProof/>
                <w:webHidden/>
              </w:rPr>
              <w:fldChar w:fldCharType="separate"/>
            </w:r>
            <w:r>
              <w:rPr>
                <w:noProof/>
                <w:webHidden/>
              </w:rPr>
              <w:t>38</w:t>
            </w:r>
            <w:r>
              <w:rPr>
                <w:noProof/>
                <w:webHidden/>
              </w:rPr>
              <w:fldChar w:fldCharType="end"/>
            </w:r>
          </w:hyperlink>
        </w:p>
        <w:p w14:paraId="158446E9" w14:textId="08056A35"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83" w:history="1">
            <w:r w:rsidRPr="000E7B21">
              <w:rPr>
                <w:rStyle w:val="Hyperlink"/>
                <w:noProof/>
              </w:rPr>
              <w:t>Site master file</w:t>
            </w:r>
            <w:r>
              <w:rPr>
                <w:noProof/>
                <w:webHidden/>
              </w:rPr>
              <w:tab/>
            </w:r>
            <w:r>
              <w:rPr>
                <w:noProof/>
                <w:webHidden/>
              </w:rPr>
              <w:fldChar w:fldCharType="begin"/>
            </w:r>
            <w:r>
              <w:rPr>
                <w:noProof/>
                <w:webHidden/>
              </w:rPr>
              <w:instrText xml:space="preserve"> PAGEREF _Toc198723783 \h </w:instrText>
            </w:r>
            <w:r>
              <w:rPr>
                <w:noProof/>
                <w:webHidden/>
              </w:rPr>
            </w:r>
            <w:r>
              <w:rPr>
                <w:noProof/>
                <w:webHidden/>
              </w:rPr>
              <w:fldChar w:fldCharType="separate"/>
            </w:r>
            <w:r>
              <w:rPr>
                <w:noProof/>
                <w:webHidden/>
              </w:rPr>
              <w:t>38</w:t>
            </w:r>
            <w:r>
              <w:rPr>
                <w:noProof/>
                <w:webHidden/>
              </w:rPr>
              <w:fldChar w:fldCharType="end"/>
            </w:r>
          </w:hyperlink>
        </w:p>
        <w:p w14:paraId="0EA108AD" w14:textId="57B5391C"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84"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_Toc198723784 \h </w:instrText>
            </w:r>
            <w:r>
              <w:rPr>
                <w:noProof/>
                <w:webHidden/>
              </w:rPr>
            </w:r>
            <w:r>
              <w:rPr>
                <w:noProof/>
                <w:webHidden/>
              </w:rPr>
              <w:fldChar w:fldCharType="separate"/>
            </w:r>
            <w:r>
              <w:rPr>
                <w:noProof/>
                <w:webHidden/>
              </w:rPr>
              <w:t>38</w:t>
            </w:r>
            <w:r>
              <w:rPr>
                <w:noProof/>
                <w:webHidden/>
              </w:rPr>
              <w:fldChar w:fldCharType="end"/>
            </w:r>
          </w:hyperlink>
        </w:p>
        <w:p w14:paraId="52D698E2" w14:textId="514F904E"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85"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_Toc198723785 \h </w:instrText>
            </w:r>
            <w:r>
              <w:rPr>
                <w:noProof/>
                <w:webHidden/>
              </w:rPr>
            </w:r>
            <w:r>
              <w:rPr>
                <w:noProof/>
                <w:webHidden/>
              </w:rPr>
              <w:fldChar w:fldCharType="separate"/>
            </w:r>
            <w:r>
              <w:rPr>
                <w:noProof/>
                <w:webHidden/>
              </w:rPr>
              <w:t>38</w:t>
            </w:r>
            <w:r>
              <w:rPr>
                <w:noProof/>
                <w:webHidden/>
              </w:rPr>
              <w:fldChar w:fldCharType="end"/>
            </w:r>
          </w:hyperlink>
        </w:p>
        <w:p w14:paraId="0DB3ED3F" w14:textId="7837E38C"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86"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_Toc198723786 \h </w:instrText>
            </w:r>
            <w:r>
              <w:rPr>
                <w:noProof/>
                <w:webHidden/>
              </w:rPr>
            </w:r>
            <w:r>
              <w:rPr>
                <w:noProof/>
                <w:webHidden/>
              </w:rPr>
              <w:fldChar w:fldCharType="separate"/>
            </w:r>
            <w:r>
              <w:rPr>
                <w:noProof/>
                <w:webHidden/>
              </w:rPr>
              <w:t>38</w:t>
            </w:r>
            <w:r>
              <w:rPr>
                <w:noProof/>
                <w:webHidden/>
              </w:rPr>
              <w:fldChar w:fldCharType="end"/>
            </w:r>
          </w:hyperlink>
        </w:p>
        <w:p w14:paraId="4AA146E1" w14:textId="64C74F48"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87" w:history="1">
            <w:r w:rsidRPr="000E7B21">
              <w:rPr>
                <w:rStyle w:val="Hyperlink"/>
                <w:rFonts w:cs="Arial"/>
                <w:noProof/>
              </w:rPr>
              <w:t>Alternative evidence</w:t>
            </w:r>
            <w:r>
              <w:rPr>
                <w:noProof/>
                <w:webHidden/>
              </w:rPr>
              <w:tab/>
            </w:r>
            <w:r>
              <w:rPr>
                <w:noProof/>
                <w:webHidden/>
              </w:rPr>
              <w:fldChar w:fldCharType="begin"/>
            </w:r>
            <w:r>
              <w:rPr>
                <w:noProof/>
                <w:webHidden/>
              </w:rPr>
              <w:instrText xml:space="preserve"> PAGEREF _Toc198723787 \h </w:instrText>
            </w:r>
            <w:r>
              <w:rPr>
                <w:noProof/>
                <w:webHidden/>
              </w:rPr>
            </w:r>
            <w:r>
              <w:rPr>
                <w:noProof/>
                <w:webHidden/>
              </w:rPr>
              <w:fldChar w:fldCharType="separate"/>
            </w:r>
            <w:r>
              <w:rPr>
                <w:noProof/>
                <w:webHidden/>
              </w:rPr>
              <w:t>38</w:t>
            </w:r>
            <w:r>
              <w:rPr>
                <w:noProof/>
                <w:webHidden/>
              </w:rPr>
              <w:fldChar w:fldCharType="end"/>
            </w:r>
          </w:hyperlink>
        </w:p>
        <w:p w14:paraId="2828FA09" w14:textId="4BB045A0"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88" w:history="1">
            <w:r w:rsidRPr="000E7B21">
              <w:rPr>
                <w:rStyle w:val="Hyperlink"/>
                <w:noProof/>
              </w:rPr>
              <w:t>List of products intended for supply</w:t>
            </w:r>
            <w:r>
              <w:rPr>
                <w:noProof/>
                <w:webHidden/>
              </w:rPr>
              <w:tab/>
            </w:r>
            <w:r>
              <w:rPr>
                <w:noProof/>
                <w:webHidden/>
              </w:rPr>
              <w:fldChar w:fldCharType="begin"/>
            </w:r>
            <w:r>
              <w:rPr>
                <w:noProof/>
                <w:webHidden/>
              </w:rPr>
              <w:instrText xml:space="preserve"> PAGEREF _Toc198723788 \h </w:instrText>
            </w:r>
            <w:r>
              <w:rPr>
                <w:noProof/>
                <w:webHidden/>
              </w:rPr>
            </w:r>
            <w:r>
              <w:rPr>
                <w:noProof/>
                <w:webHidden/>
              </w:rPr>
              <w:fldChar w:fldCharType="separate"/>
            </w:r>
            <w:r>
              <w:rPr>
                <w:noProof/>
                <w:webHidden/>
              </w:rPr>
              <w:t>38</w:t>
            </w:r>
            <w:r>
              <w:rPr>
                <w:noProof/>
                <w:webHidden/>
              </w:rPr>
              <w:fldChar w:fldCharType="end"/>
            </w:r>
          </w:hyperlink>
        </w:p>
        <w:p w14:paraId="470CEC02" w14:textId="15308E6B"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89"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_Toc198723789 \h </w:instrText>
            </w:r>
            <w:r>
              <w:rPr>
                <w:noProof/>
                <w:webHidden/>
              </w:rPr>
            </w:r>
            <w:r>
              <w:rPr>
                <w:noProof/>
                <w:webHidden/>
              </w:rPr>
              <w:fldChar w:fldCharType="separate"/>
            </w:r>
            <w:r>
              <w:rPr>
                <w:noProof/>
                <w:webHidden/>
              </w:rPr>
              <w:t>38</w:t>
            </w:r>
            <w:r>
              <w:rPr>
                <w:noProof/>
                <w:webHidden/>
              </w:rPr>
              <w:fldChar w:fldCharType="end"/>
            </w:r>
          </w:hyperlink>
        </w:p>
        <w:p w14:paraId="55C6E02B" w14:textId="5986F7C0"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90"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_Toc198723790 \h </w:instrText>
            </w:r>
            <w:r>
              <w:rPr>
                <w:noProof/>
                <w:webHidden/>
              </w:rPr>
            </w:r>
            <w:r>
              <w:rPr>
                <w:noProof/>
                <w:webHidden/>
              </w:rPr>
              <w:fldChar w:fldCharType="separate"/>
            </w:r>
            <w:r>
              <w:rPr>
                <w:noProof/>
                <w:webHidden/>
              </w:rPr>
              <w:t>38</w:t>
            </w:r>
            <w:r>
              <w:rPr>
                <w:noProof/>
                <w:webHidden/>
              </w:rPr>
              <w:fldChar w:fldCharType="end"/>
            </w:r>
          </w:hyperlink>
        </w:p>
        <w:p w14:paraId="4992AA7C" w14:textId="053315D0"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91"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_Toc198723791 \h </w:instrText>
            </w:r>
            <w:r>
              <w:rPr>
                <w:noProof/>
                <w:webHidden/>
              </w:rPr>
            </w:r>
            <w:r>
              <w:rPr>
                <w:noProof/>
                <w:webHidden/>
              </w:rPr>
              <w:fldChar w:fldCharType="separate"/>
            </w:r>
            <w:r>
              <w:rPr>
                <w:noProof/>
                <w:webHidden/>
              </w:rPr>
              <w:t>39</w:t>
            </w:r>
            <w:r>
              <w:rPr>
                <w:noProof/>
                <w:webHidden/>
              </w:rPr>
              <w:fldChar w:fldCharType="end"/>
            </w:r>
          </w:hyperlink>
        </w:p>
        <w:p w14:paraId="1AA34139" w14:textId="672DFC8D"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92" w:history="1">
            <w:r w:rsidRPr="000E7B21">
              <w:rPr>
                <w:rStyle w:val="Hyperlink"/>
                <w:noProof/>
              </w:rPr>
              <w:t>GMP agreement or equivalent</w:t>
            </w:r>
            <w:r>
              <w:rPr>
                <w:noProof/>
                <w:webHidden/>
              </w:rPr>
              <w:tab/>
            </w:r>
            <w:r>
              <w:rPr>
                <w:noProof/>
                <w:webHidden/>
              </w:rPr>
              <w:fldChar w:fldCharType="begin"/>
            </w:r>
            <w:r>
              <w:rPr>
                <w:noProof/>
                <w:webHidden/>
              </w:rPr>
              <w:instrText xml:space="preserve"> PAGEREF _Toc198723792 \h </w:instrText>
            </w:r>
            <w:r>
              <w:rPr>
                <w:noProof/>
                <w:webHidden/>
              </w:rPr>
            </w:r>
            <w:r>
              <w:rPr>
                <w:noProof/>
                <w:webHidden/>
              </w:rPr>
              <w:fldChar w:fldCharType="separate"/>
            </w:r>
            <w:r>
              <w:rPr>
                <w:noProof/>
                <w:webHidden/>
              </w:rPr>
              <w:t>39</w:t>
            </w:r>
            <w:r>
              <w:rPr>
                <w:noProof/>
                <w:webHidden/>
              </w:rPr>
              <w:fldChar w:fldCharType="end"/>
            </w:r>
          </w:hyperlink>
        </w:p>
        <w:p w14:paraId="0409E9F3" w14:textId="422F8452"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93"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_Toc198723793 \h </w:instrText>
            </w:r>
            <w:r>
              <w:rPr>
                <w:noProof/>
                <w:webHidden/>
              </w:rPr>
            </w:r>
            <w:r>
              <w:rPr>
                <w:noProof/>
                <w:webHidden/>
              </w:rPr>
              <w:fldChar w:fldCharType="separate"/>
            </w:r>
            <w:r>
              <w:rPr>
                <w:noProof/>
                <w:webHidden/>
              </w:rPr>
              <w:t>39</w:t>
            </w:r>
            <w:r>
              <w:rPr>
                <w:noProof/>
                <w:webHidden/>
              </w:rPr>
              <w:fldChar w:fldCharType="end"/>
            </w:r>
          </w:hyperlink>
        </w:p>
        <w:p w14:paraId="0B60B246" w14:textId="79153F7D"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94"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_Toc198723794 \h </w:instrText>
            </w:r>
            <w:r>
              <w:rPr>
                <w:noProof/>
                <w:webHidden/>
              </w:rPr>
            </w:r>
            <w:r>
              <w:rPr>
                <w:noProof/>
                <w:webHidden/>
              </w:rPr>
              <w:fldChar w:fldCharType="separate"/>
            </w:r>
            <w:r>
              <w:rPr>
                <w:noProof/>
                <w:webHidden/>
              </w:rPr>
              <w:t>39</w:t>
            </w:r>
            <w:r>
              <w:rPr>
                <w:noProof/>
                <w:webHidden/>
              </w:rPr>
              <w:fldChar w:fldCharType="end"/>
            </w:r>
          </w:hyperlink>
        </w:p>
        <w:p w14:paraId="17A3D43D" w14:textId="311462F0"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95"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_Toc198723795 \h </w:instrText>
            </w:r>
            <w:r>
              <w:rPr>
                <w:noProof/>
                <w:webHidden/>
              </w:rPr>
            </w:r>
            <w:r>
              <w:rPr>
                <w:noProof/>
                <w:webHidden/>
              </w:rPr>
              <w:fldChar w:fldCharType="separate"/>
            </w:r>
            <w:r>
              <w:rPr>
                <w:noProof/>
                <w:webHidden/>
              </w:rPr>
              <w:t>39</w:t>
            </w:r>
            <w:r>
              <w:rPr>
                <w:noProof/>
                <w:webHidden/>
              </w:rPr>
              <w:fldChar w:fldCharType="end"/>
            </w:r>
          </w:hyperlink>
        </w:p>
        <w:p w14:paraId="0311F378" w14:textId="20A56383"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96" w:history="1">
            <w:r w:rsidRPr="000E7B21">
              <w:rPr>
                <w:rStyle w:val="Hyperlink"/>
                <w:rFonts w:cs="Arial"/>
                <w:noProof/>
              </w:rPr>
              <w:t>Additional entities and alternative evidence</w:t>
            </w:r>
            <w:r>
              <w:rPr>
                <w:noProof/>
                <w:webHidden/>
              </w:rPr>
              <w:tab/>
            </w:r>
            <w:r>
              <w:rPr>
                <w:noProof/>
                <w:webHidden/>
              </w:rPr>
              <w:fldChar w:fldCharType="begin"/>
            </w:r>
            <w:r>
              <w:rPr>
                <w:noProof/>
                <w:webHidden/>
              </w:rPr>
              <w:instrText xml:space="preserve"> PAGEREF _Toc198723796 \h </w:instrText>
            </w:r>
            <w:r>
              <w:rPr>
                <w:noProof/>
                <w:webHidden/>
              </w:rPr>
            </w:r>
            <w:r>
              <w:rPr>
                <w:noProof/>
                <w:webHidden/>
              </w:rPr>
              <w:fldChar w:fldCharType="separate"/>
            </w:r>
            <w:r>
              <w:rPr>
                <w:noProof/>
                <w:webHidden/>
              </w:rPr>
              <w:t>40</w:t>
            </w:r>
            <w:r>
              <w:rPr>
                <w:noProof/>
                <w:webHidden/>
              </w:rPr>
              <w:fldChar w:fldCharType="end"/>
            </w:r>
          </w:hyperlink>
        </w:p>
        <w:p w14:paraId="62B5E4C2" w14:textId="08332CD5"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797" w:history="1">
            <w:r w:rsidRPr="000E7B21">
              <w:rPr>
                <w:rStyle w:val="Hyperlink"/>
                <w:noProof/>
              </w:rPr>
              <w:t>Release procedure(s)</w:t>
            </w:r>
            <w:r>
              <w:rPr>
                <w:noProof/>
                <w:webHidden/>
              </w:rPr>
              <w:tab/>
            </w:r>
            <w:r>
              <w:rPr>
                <w:noProof/>
                <w:webHidden/>
              </w:rPr>
              <w:fldChar w:fldCharType="begin"/>
            </w:r>
            <w:r>
              <w:rPr>
                <w:noProof/>
                <w:webHidden/>
              </w:rPr>
              <w:instrText xml:space="preserve"> PAGEREF _Toc198723797 \h </w:instrText>
            </w:r>
            <w:r>
              <w:rPr>
                <w:noProof/>
                <w:webHidden/>
              </w:rPr>
            </w:r>
            <w:r>
              <w:rPr>
                <w:noProof/>
                <w:webHidden/>
              </w:rPr>
              <w:fldChar w:fldCharType="separate"/>
            </w:r>
            <w:r>
              <w:rPr>
                <w:noProof/>
                <w:webHidden/>
              </w:rPr>
              <w:t>41</w:t>
            </w:r>
            <w:r>
              <w:rPr>
                <w:noProof/>
                <w:webHidden/>
              </w:rPr>
              <w:fldChar w:fldCharType="end"/>
            </w:r>
          </w:hyperlink>
        </w:p>
        <w:p w14:paraId="7715E016" w14:textId="05B93CD6"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98"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_Toc198723798 \h </w:instrText>
            </w:r>
            <w:r>
              <w:rPr>
                <w:noProof/>
                <w:webHidden/>
              </w:rPr>
            </w:r>
            <w:r>
              <w:rPr>
                <w:noProof/>
                <w:webHidden/>
              </w:rPr>
              <w:fldChar w:fldCharType="separate"/>
            </w:r>
            <w:r>
              <w:rPr>
                <w:noProof/>
                <w:webHidden/>
              </w:rPr>
              <w:t>41</w:t>
            </w:r>
            <w:r>
              <w:rPr>
                <w:noProof/>
                <w:webHidden/>
              </w:rPr>
              <w:fldChar w:fldCharType="end"/>
            </w:r>
          </w:hyperlink>
        </w:p>
        <w:p w14:paraId="1D429545" w14:textId="679F53C9"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799"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_Toc198723799 \h </w:instrText>
            </w:r>
            <w:r>
              <w:rPr>
                <w:noProof/>
                <w:webHidden/>
              </w:rPr>
            </w:r>
            <w:r>
              <w:rPr>
                <w:noProof/>
                <w:webHidden/>
              </w:rPr>
              <w:fldChar w:fldCharType="separate"/>
            </w:r>
            <w:r>
              <w:rPr>
                <w:noProof/>
                <w:webHidden/>
              </w:rPr>
              <w:t>41</w:t>
            </w:r>
            <w:r>
              <w:rPr>
                <w:noProof/>
                <w:webHidden/>
              </w:rPr>
              <w:fldChar w:fldCharType="end"/>
            </w:r>
          </w:hyperlink>
        </w:p>
        <w:p w14:paraId="1E65337D" w14:textId="770F4956"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00"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_Toc198723800 \h </w:instrText>
            </w:r>
            <w:r>
              <w:rPr>
                <w:noProof/>
                <w:webHidden/>
              </w:rPr>
            </w:r>
            <w:r>
              <w:rPr>
                <w:noProof/>
                <w:webHidden/>
              </w:rPr>
              <w:fldChar w:fldCharType="separate"/>
            </w:r>
            <w:r>
              <w:rPr>
                <w:noProof/>
                <w:webHidden/>
              </w:rPr>
              <w:t>42</w:t>
            </w:r>
            <w:r>
              <w:rPr>
                <w:noProof/>
                <w:webHidden/>
              </w:rPr>
              <w:fldChar w:fldCharType="end"/>
            </w:r>
          </w:hyperlink>
        </w:p>
        <w:p w14:paraId="2B74F776" w14:textId="27B182A9"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01" w:history="1">
            <w:r w:rsidRPr="000E7B21">
              <w:rPr>
                <w:rStyle w:val="Hyperlink"/>
                <w:rFonts w:cs="Arial"/>
                <w:noProof/>
              </w:rPr>
              <w:t>Annex 16 requirements</w:t>
            </w:r>
            <w:r>
              <w:rPr>
                <w:noProof/>
                <w:webHidden/>
              </w:rPr>
              <w:tab/>
            </w:r>
            <w:r>
              <w:rPr>
                <w:noProof/>
                <w:webHidden/>
              </w:rPr>
              <w:fldChar w:fldCharType="begin"/>
            </w:r>
            <w:r>
              <w:rPr>
                <w:noProof/>
                <w:webHidden/>
              </w:rPr>
              <w:instrText xml:space="preserve"> PAGEREF _Toc198723801 \h </w:instrText>
            </w:r>
            <w:r>
              <w:rPr>
                <w:noProof/>
                <w:webHidden/>
              </w:rPr>
            </w:r>
            <w:r>
              <w:rPr>
                <w:noProof/>
                <w:webHidden/>
              </w:rPr>
              <w:fldChar w:fldCharType="separate"/>
            </w:r>
            <w:r>
              <w:rPr>
                <w:noProof/>
                <w:webHidden/>
              </w:rPr>
              <w:t>42</w:t>
            </w:r>
            <w:r>
              <w:rPr>
                <w:noProof/>
                <w:webHidden/>
              </w:rPr>
              <w:fldChar w:fldCharType="end"/>
            </w:r>
          </w:hyperlink>
        </w:p>
        <w:p w14:paraId="4146346C" w14:textId="3A174F00"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802" w:history="1">
            <w:r w:rsidRPr="000E7B21">
              <w:rPr>
                <w:rStyle w:val="Hyperlink"/>
                <w:noProof/>
              </w:rPr>
              <w:t>Validation master plan</w:t>
            </w:r>
            <w:r>
              <w:rPr>
                <w:noProof/>
                <w:webHidden/>
              </w:rPr>
              <w:tab/>
            </w:r>
            <w:r>
              <w:rPr>
                <w:noProof/>
                <w:webHidden/>
              </w:rPr>
              <w:fldChar w:fldCharType="begin"/>
            </w:r>
            <w:r>
              <w:rPr>
                <w:noProof/>
                <w:webHidden/>
              </w:rPr>
              <w:instrText xml:space="preserve"> PAGEREF _Toc198723802 \h </w:instrText>
            </w:r>
            <w:r>
              <w:rPr>
                <w:noProof/>
                <w:webHidden/>
              </w:rPr>
            </w:r>
            <w:r>
              <w:rPr>
                <w:noProof/>
                <w:webHidden/>
              </w:rPr>
              <w:fldChar w:fldCharType="separate"/>
            </w:r>
            <w:r>
              <w:rPr>
                <w:noProof/>
                <w:webHidden/>
              </w:rPr>
              <w:t>42</w:t>
            </w:r>
            <w:r>
              <w:rPr>
                <w:noProof/>
                <w:webHidden/>
              </w:rPr>
              <w:fldChar w:fldCharType="end"/>
            </w:r>
          </w:hyperlink>
        </w:p>
        <w:p w14:paraId="3D55E2CF" w14:textId="7CF6FB03"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03"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_Toc198723803 \h </w:instrText>
            </w:r>
            <w:r>
              <w:rPr>
                <w:noProof/>
                <w:webHidden/>
              </w:rPr>
            </w:r>
            <w:r>
              <w:rPr>
                <w:noProof/>
                <w:webHidden/>
              </w:rPr>
              <w:fldChar w:fldCharType="separate"/>
            </w:r>
            <w:r>
              <w:rPr>
                <w:noProof/>
                <w:webHidden/>
              </w:rPr>
              <w:t>42</w:t>
            </w:r>
            <w:r>
              <w:rPr>
                <w:noProof/>
                <w:webHidden/>
              </w:rPr>
              <w:fldChar w:fldCharType="end"/>
            </w:r>
          </w:hyperlink>
        </w:p>
        <w:p w14:paraId="22EAF54B" w14:textId="596BEB2A"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04"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_Toc198723804 \h </w:instrText>
            </w:r>
            <w:r>
              <w:rPr>
                <w:noProof/>
                <w:webHidden/>
              </w:rPr>
            </w:r>
            <w:r>
              <w:rPr>
                <w:noProof/>
                <w:webHidden/>
              </w:rPr>
              <w:fldChar w:fldCharType="separate"/>
            </w:r>
            <w:r>
              <w:rPr>
                <w:noProof/>
                <w:webHidden/>
              </w:rPr>
              <w:t>42</w:t>
            </w:r>
            <w:r>
              <w:rPr>
                <w:noProof/>
                <w:webHidden/>
              </w:rPr>
              <w:fldChar w:fldCharType="end"/>
            </w:r>
          </w:hyperlink>
        </w:p>
        <w:p w14:paraId="2AD10CC6" w14:textId="124591DD"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05"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_Toc198723805 \h </w:instrText>
            </w:r>
            <w:r>
              <w:rPr>
                <w:noProof/>
                <w:webHidden/>
              </w:rPr>
            </w:r>
            <w:r>
              <w:rPr>
                <w:noProof/>
                <w:webHidden/>
              </w:rPr>
              <w:fldChar w:fldCharType="separate"/>
            </w:r>
            <w:r>
              <w:rPr>
                <w:noProof/>
                <w:webHidden/>
              </w:rPr>
              <w:t>42</w:t>
            </w:r>
            <w:r>
              <w:rPr>
                <w:noProof/>
                <w:webHidden/>
              </w:rPr>
              <w:fldChar w:fldCharType="end"/>
            </w:r>
          </w:hyperlink>
        </w:p>
        <w:p w14:paraId="30E3C932" w14:textId="4104CFA6"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806" w:history="1">
            <w:r w:rsidRPr="000E7B21">
              <w:rPr>
                <w:rStyle w:val="Hyperlink"/>
                <w:noProof/>
              </w:rPr>
              <w:t>Latest Product Quality Review</w:t>
            </w:r>
            <w:r>
              <w:rPr>
                <w:noProof/>
                <w:webHidden/>
              </w:rPr>
              <w:tab/>
            </w:r>
            <w:r>
              <w:rPr>
                <w:noProof/>
                <w:webHidden/>
              </w:rPr>
              <w:fldChar w:fldCharType="begin"/>
            </w:r>
            <w:r>
              <w:rPr>
                <w:noProof/>
                <w:webHidden/>
              </w:rPr>
              <w:instrText xml:space="preserve"> PAGEREF _Toc198723806 \h </w:instrText>
            </w:r>
            <w:r>
              <w:rPr>
                <w:noProof/>
                <w:webHidden/>
              </w:rPr>
            </w:r>
            <w:r>
              <w:rPr>
                <w:noProof/>
                <w:webHidden/>
              </w:rPr>
              <w:fldChar w:fldCharType="separate"/>
            </w:r>
            <w:r>
              <w:rPr>
                <w:noProof/>
                <w:webHidden/>
              </w:rPr>
              <w:t>42</w:t>
            </w:r>
            <w:r>
              <w:rPr>
                <w:noProof/>
                <w:webHidden/>
              </w:rPr>
              <w:fldChar w:fldCharType="end"/>
            </w:r>
          </w:hyperlink>
        </w:p>
        <w:p w14:paraId="2DAA3EA9" w14:textId="25999264"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07"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_Toc198723807 \h </w:instrText>
            </w:r>
            <w:r>
              <w:rPr>
                <w:noProof/>
                <w:webHidden/>
              </w:rPr>
            </w:r>
            <w:r>
              <w:rPr>
                <w:noProof/>
                <w:webHidden/>
              </w:rPr>
              <w:fldChar w:fldCharType="separate"/>
            </w:r>
            <w:r>
              <w:rPr>
                <w:noProof/>
                <w:webHidden/>
              </w:rPr>
              <w:t>42</w:t>
            </w:r>
            <w:r>
              <w:rPr>
                <w:noProof/>
                <w:webHidden/>
              </w:rPr>
              <w:fldChar w:fldCharType="end"/>
            </w:r>
          </w:hyperlink>
        </w:p>
        <w:p w14:paraId="77329569" w14:textId="2628E3CD"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08"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_Toc198723808 \h </w:instrText>
            </w:r>
            <w:r>
              <w:rPr>
                <w:noProof/>
                <w:webHidden/>
              </w:rPr>
            </w:r>
            <w:r>
              <w:rPr>
                <w:noProof/>
                <w:webHidden/>
              </w:rPr>
              <w:fldChar w:fldCharType="separate"/>
            </w:r>
            <w:r>
              <w:rPr>
                <w:noProof/>
                <w:webHidden/>
              </w:rPr>
              <w:t>43</w:t>
            </w:r>
            <w:r>
              <w:rPr>
                <w:noProof/>
                <w:webHidden/>
              </w:rPr>
              <w:fldChar w:fldCharType="end"/>
            </w:r>
          </w:hyperlink>
        </w:p>
        <w:p w14:paraId="6A9AC9F0" w14:textId="2FFA4E7E"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09"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_Toc198723809 \h </w:instrText>
            </w:r>
            <w:r>
              <w:rPr>
                <w:noProof/>
                <w:webHidden/>
              </w:rPr>
            </w:r>
            <w:r>
              <w:rPr>
                <w:noProof/>
                <w:webHidden/>
              </w:rPr>
              <w:fldChar w:fldCharType="separate"/>
            </w:r>
            <w:r>
              <w:rPr>
                <w:noProof/>
                <w:webHidden/>
              </w:rPr>
              <w:t>43</w:t>
            </w:r>
            <w:r>
              <w:rPr>
                <w:noProof/>
                <w:webHidden/>
              </w:rPr>
              <w:fldChar w:fldCharType="end"/>
            </w:r>
          </w:hyperlink>
        </w:p>
        <w:p w14:paraId="4F41F280" w14:textId="57F41009"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10" w:history="1">
            <w:r w:rsidRPr="000E7B21">
              <w:rPr>
                <w:rStyle w:val="Hyperlink"/>
                <w:rFonts w:cs="Arial"/>
                <w:noProof/>
              </w:rPr>
              <w:t>Alternative evidence</w:t>
            </w:r>
            <w:r>
              <w:rPr>
                <w:noProof/>
                <w:webHidden/>
              </w:rPr>
              <w:tab/>
            </w:r>
            <w:r>
              <w:rPr>
                <w:noProof/>
                <w:webHidden/>
              </w:rPr>
              <w:fldChar w:fldCharType="begin"/>
            </w:r>
            <w:r>
              <w:rPr>
                <w:noProof/>
                <w:webHidden/>
              </w:rPr>
              <w:instrText xml:space="preserve"> PAGEREF _Toc198723810 \h </w:instrText>
            </w:r>
            <w:r>
              <w:rPr>
                <w:noProof/>
                <w:webHidden/>
              </w:rPr>
            </w:r>
            <w:r>
              <w:rPr>
                <w:noProof/>
                <w:webHidden/>
              </w:rPr>
              <w:fldChar w:fldCharType="separate"/>
            </w:r>
            <w:r>
              <w:rPr>
                <w:noProof/>
                <w:webHidden/>
              </w:rPr>
              <w:t>43</w:t>
            </w:r>
            <w:r>
              <w:rPr>
                <w:noProof/>
                <w:webHidden/>
              </w:rPr>
              <w:fldChar w:fldCharType="end"/>
            </w:r>
          </w:hyperlink>
        </w:p>
        <w:p w14:paraId="3000EB13" w14:textId="12368A5C"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811" w:history="1">
            <w:r w:rsidRPr="000E7B21">
              <w:rPr>
                <w:rStyle w:val="Hyperlink"/>
                <w:noProof/>
              </w:rPr>
              <w:t>List of authorised tests (contract testing laboratories only)</w:t>
            </w:r>
            <w:r>
              <w:rPr>
                <w:noProof/>
                <w:webHidden/>
              </w:rPr>
              <w:tab/>
            </w:r>
            <w:r>
              <w:rPr>
                <w:noProof/>
                <w:webHidden/>
              </w:rPr>
              <w:fldChar w:fldCharType="begin"/>
            </w:r>
            <w:r>
              <w:rPr>
                <w:noProof/>
                <w:webHidden/>
              </w:rPr>
              <w:instrText xml:space="preserve"> PAGEREF _Toc198723811 \h </w:instrText>
            </w:r>
            <w:r>
              <w:rPr>
                <w:noProof/>
                <w:webHidden/>
              </w:rPr>
            </w:r>
            <w:r>
              <w:rPr>
                <w:noProof/>
                <w:webHidden/>
              </w:rPr>
              <w:fldChar w:fldCharType="separate"/>
            </w:r>
            <w:r>
              <w:rPr>
                <w:noProof/>
                <w:webHidden/>
              </w:rPr>
              <w:t>43</w:t>
            </w:r>
            <w:r>
              <w:rPr>
                <w:noProof/>
                <w:webHidden/>
              </w:rPr>
              <w:fldChar w:fldCharType="end"/>
            </w:r>
          </w:hyperlink>
        </w:p>
        <w:p w14:paraId="2E46F1D3" w14:textId="64EB0AD5"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12" w:history="1">
            <w:r w:rsidRPr="000E7B21">
              <w:rPr>
                <w:rStyle w:val="Hyperlink"/>
                <w:rFonts w:cs="Arial"/>
                <w:noProof/>
              </w:rPr>
              <w:t>Why we require it</w:t>
            </w:r>
            <w:r>
              <w:rPr>
                <w:noProof/>
                <w:webHidden/>
              </w:rPr>
              <w:tab/>
            </w:r>
            <w:r>
              <w:rPr>
                <w:noProof/>
                <w:webHidden/>
              </w:rPr>
              <w:fldChar w:fldCharType="begin"/>
            </w:r>
            <w:r>
              <w:rPr>
                <w:noProof/>
                <w:webHidden/>
              </w:rPr>
              <w:instrText xml:space="preserve"> PAGEREF _Toc198723812 \h </w:instrText>
            </w:r>
            <w:r>
              <w:rPr>
                <w:noProof/>
                <w:webHidden/>
              </w:rPr>
            </w:r>
            <w:r>
              <w:rPr>
                <w:noProof/>
                <w:webHidden/>
              </w:rPr>
              <w:fldChar w:fldCharType="separate"/>
            </w:r>
            <w:r>
              <w:rPr>
                <w:noProof/>
                <w:webHidden/>
              </w:rPr>
              <w:t>43</w:t>
            </w:r>
            <w:r>
              <w:rPr>
                <w:noProof/>
                <w:webHidden/>
              </w:rPr>
              <w:fldChar w:fldCharType="end"/>
            </w:r>
          </w:hyperlink>
        </w:p>
        <w:p w14:paraId="72B7EEC9" w14:textId="45F83DB0"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13"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_Toc198723813 \h </w:instrText>
            </w:r>
            <w:r>
              <w:rPr>
                <w:noProof/>
                <w:webHidden/>
              </w:rPr>
            </w:r>
            <w:r>
              <w:rPr>
                <w:noProof/>
                <w:webHidden/>
              </w:rPr>
              <w:fldChar w:fldCharType="separate"/>
            </w:r>
            <w:r>
              <w:rPr>
                <w:noProof/>
                <w:webHidden/>
              </w:rPr>
              <w:t>43</w:t>
            </w:r>
            <w:r>
              <w:rPr>
                <w:noProof/>
                <w:webHidden/>
              </w:rPr>
              <w:fldChar w:fldCharType="end"/>
            </w:r>
          </w:hyperlink>
        </w:p>
        <w:p w14:paraId="15508BA2" w14:textId="16524E39"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14"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_Toc198723814 \h </w:instrText>
            </w:r>
            <w:r>
              <w:rPr>
                <w:noProof/>
                <w:webHidden/>
              </w:rPr>
            </w:r>
            <w:r>
              <w:rPr>
                <w:noProof/>
                <w:webHidden/>
              </w:rPr>
              <w:fldChar w:fldCharType="separate"/>
            </w:r>
            <w:r>
              <w:rPr>
                <w:noProof/>
                <w:webHidden/>
              </w:rPr>
              <w:t>43</w:t>
            </w:r>
            <w:r>
              <w:rPr>
                <w:noProof/>
                <w:webHidden/>
              </w:rPr>
              <w:fldChar w:fldCharType="end"/>
            </w:r>
          </w:hyperlink>
        </w:p>
        <w:p w14:paraId="4E098E02" w14:textId="4BDE1C48"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815" w:history="1">
            <w:r w:rsidRPr="000E7B21">
              <w:rPr>
                <w:rStyle w:val="Hyperlink"/>
                <w:noProof/>
              </w:rPr>
              <w:t>API declaration</w:t>
            </w:r>
            <w:r>
              <w:rPr>
                <w:noProof/>
                <w:webHidden/>
              </w:rPr>
              <w:tab/>
            </w:r>
            <w:r>
              <w:rPr>
                <w:noProof/>
                <w:webHidden/>
              </w:rPr>
              <w:fldChar w:fldCharType="begin"/>
            </w:r>
            <w:r>
              <w:rPr>
                <w:noProof/>
                <w:webHidden/>
              </w:rPr>
              <w:instrText xml:space="preserve"> PAGEREF _Toc198723815 \h </w:instrText>
            </w:r>
            <w:r>
              <w:rPr>
                <w:noProof/>
                <w:webHidden/>
              </w:rPr>
            </w:r>
            <w:r>
              <w:rPr>
                <w:noProof/>
                <w:webHidden/>
              </w:rPr>
              <w:fldChar w:fldCharType="separate"/>
            </w:r>
            <w:r>
              <w:rPr>
                <w:noProof/>
                <w:webHidden/>
              </w:rPr>
              <w:t>43</w:t>
            </w:r>
            <w:r>
              <w:rPr>
                <w:noProof/>
                <w:webHidden/>
              </w:rPr>
              <w:fldChar w:fldCharType="end"/>
            </w:r>
          </w:hyperlink>
        </w:p>
        <w:p w14:paraId="5F99B97E" w14:textId="0C6A7AFD"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16" w:history="1">
            <w:r w:rsidRPr="000E7B21">
              <w:rPr>
                <w:rStyle w:val="Hyperlink"/>
                <w:rFonts w:cs="Arial"/>
                <w:noProof/>
              </w:rPr>
              <w:t>When we require it</w:t>
            </w:r>
            <w:r>
              <w:rPr>
                <w:noProof/>
                <w:webHidden/>
              </w:rPr>
              <w:tab/>
            </w:r>
            <w:r>
              <w:rPr>
                <w:noProof/>
                <w:webHidden/>
              </w:rPr>
              <w:fldChar w:fldCharType="begin"/>
            </w:r>
            <w:r>
              <w:rPr>
                <w:noProof/>
                <w:webHidden/>
              </w:rPr>
              <w:instrText xml:space="preserve"> PAGEREF _Toc198723816 \h </w:instrText>
            </w:r>
            <w:r>
              <w:rPr>
                <w:noProof/>
                <w:webHidden/>
              </w:rPr>
            </w:r>
            <w:r>
              <w:rPr>
                <w:noProof/>
                <w:webHidden/>
              </w:rPr>
              <w:fldChar w:fldCharType="separate"/>
            </w:r>
            <w:r>
              <w:rPr>
                <w:noProof/>
                <w:webHidden/>
              </w:rPr>
              <w:t>43</w:t>
            </w:r>
            <w:r>
              <w:rPr>
                <w:noProof/>
                <w:webHidden/>
              </w:rPr>
              <w:fldChar w:fldCharType="end"/>
            </w:r>
          </w:hyperlink>
        </w:p>
        <w:p w14:paraId="276DFDA7" w14:textId="6BF87F02"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17" w:history="1">
            <w:r w:rsidRPr="000E7B21">
              <w:rPr>
                <w:rStyle w:val="Hyperlink"/>
                <w:rFonts w:cs="Arial"/>
                <w:noProof/>
              </w:rPr>
              <w:t>What you should provide</w:t>
            </w:r>
            <w:r>
              <w:rPr>
                <w:noProof/>
                <w:webHidden/>
              </w:rPr>
              <w:tab/>
            </w:r>
            <w:r>
              <w:rPr>
                <w:noProof/>
                <w:webHidden/>
              </w:rPr>
              <w:fldChar w:fldCharType="begin"/>
            </w:r>
            <w:r>
              <w:rPr>
                <w:noProof/>
                <w:webHidden/>
              </w:rPr>
              <w:instrText xml:space="preserve"> PAGEREF _Toc198723817 \h </w:instrText>
            </w:r>
            <w:r>
              <w:rPr>
                <w:noProof/>
                <w:webHidden/>
              </w:rPr>
            </w:r>
            <w:r>
              <w:rPr>
                <w:noProof/>
                <w:webHidden/>
              </w:rPr>
              <w:fldChar w:fldCharType="separate"/>
            </w:r>
            <w:r>
              <w:rPr>
                <w:noProof/>
                <w:webHidden/>
              </w:rPr>
              <w:t>43</w:t>
            </w:r>
            <w:r>
              <w:rPr>
                <w:noProof/>
                <w:webHidden/>
              </w:rPr>
              <w:fldChar w:fldCharType="end"/>
            </w:r>
          </w:hyperlink>
        </w:p>
        <w:p w14:paraId="41A8B234" w14:textId="35D84775" w:rsidR="0079281D" w:rsidRDefault="0079281D">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98723818" w:history="1">
            <w:r w:rsidRPr="000E7B21">
              <w:rPr>
                <w:rStyle w:val="Hyperlink"/>
                <w:rFonts w:cs="Arial"/>
                <w:noProof/>
              </w:rPr>
              <w:t>Take particular care</w:t>
            </w:r>
            <w:r>
              <w:rPr>
                <w:noProof/>
                <w:webHidden/>
              </w:rPr>
              <w:tab/>
            </w:r>
            <w:r>
              <w:rPr>
                <w:noProof/>
                <w:webHidden/>
              </w:rPr>
              <w:fldChar w:fldCharType="begin"/>
            </w:r>
            <w:r>
              <w:rPr>
                <w:noProof/>
                <w:webHidden/>
              </w:rPr>
              <w:instrText xml:space="preserve"> PAGEREF _Toc198723818 \h </w:instrText>
            </w:r>
            <w:r>
              <w:rPr>
                <w:noProof/>
                <w:webHidden/>
              </w:rPr>
            </w:r>
            <w:r>
              <w:rPr>
                <w:noProof/>
                <w:webHidden/>
              </w:rPr>
              <w:fldChar w:fldCharType="separate"/>
            </w:r>
            <w:r>
              <w:rPr>
                <w:noProof/>
                <w:webHidden/>
              </w:rPr>
              <w:t>44</w:t>
            </w:r>
            <w:r>
              <w:rPr>
                <w:noProof/>
                <w:webHidden/>
              </w:rPr>
              <w:fldChar w:fldCharType="end"/>
            </w:r>
          </w:hyperlink>
        </w:p>
        <w:p w14:paraId="7FC95A1D" w14:textId="6DC9C8DF"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819" w:history="1">
            <w:r w:rsidRPr="000E7B21">
              <w:rPr>
                <w:rStyle w:val="Hyperlink"/>
                <w:noProof/>
              </w:rPr>
              <w:t>Other types of evidence</w:t>
            </w:r>
            <w:r>
              <w:rPr>
                <w:noProof/>
                <w:webHidden/>
              </w:rPr>
              <w:tab/>
            </w:r>
            <w:r>
              <w:rPr>
                <w:noProof/>
                <w:webHidden/>
              </w:rPr>
              <w:fldChar w:fldCharType="begin"/>
            </w:r>
            <w:r>
              <w:rPr>
                <w:noProof/>
                <w:webHidden/>
              </w:rPr>
              <w:instrText xml:space="preserve"> PAGEREF _Toc198723819 \h </w:instrText>
            </w:r>
            <w:r>
              <w:rPr>
                <w:noProof/>
                <w:webHidden/>
              </w:rPr>
            </w:r>
            <w:r>
              <w:rPr>
                <w:noProof/>
                <w:webHidden/>
              </w:rPr>
              <w:fldChar w:fldCharType="separate"/>
            </w:r>
            <w:r>
              <w:rPr>
                <w:noProof/>
                <w:webHidden/>
              </w:rPr>
              <w:t>45</w:t>
            </w:r>
            <w:r>
              <w:rPr>
                <w:noProof/>
                <w:webHidden/>
              </w:rPr>
              <w:fldChar w:fldCharType="end"/>
            </w:r>
          </w:hyperlink>
        </w:p>
        <w:p w14:paraId="6A9319F2" w14:textId="11C83258"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820" w:history="1">
            <w:r w:rsidRPr="000E7B21">
              <w:rPr>
                <w:rStyle w:val="Hyperlink"/>
                <w:noProof/>
              </w:rPr>
              <w:t>Letters of access</w:t>
            </w:r>
            <w:r>
              <w:rPr>
                <w:noProof/>
                <w:webHidden/>
              </w:rPr>
              <w:tab/>
            </w:r>
            <w:r>
              <w:rPr>
                <w:noProof/>
                <w:webHidden/>
              </w:rPr>
              <w:fldChar w:fldCharType="begin"/>
            </w:r>
            <w:r>
              <w:rPr>
                <w:noProof/>
                <w:webHidden/>
              </w:rPr>
              <w:instrText xml:space="preserve"> PAGEREF _Toc198723820 \h </w:instrText>
            </w:r>
            <w:r>
              <w:rPr>
                <w:noProof/>
                <w:webHidden/>
              </w:rPr>
            </w:r>
            <w:r>
              <w:rPr>
                <w:noProof/>
                <w:webHidden/>
              </w:rPr>
              <w:fldChar w:fldCharType="separate"/>
            </w:r>
            <w:r>
              <w:rPr>
                <w:noProof/>
                <w:webHidden/>
              </w:rPr>
              <w:t>45</w:t>
            </w:r>
            <w:r>
              <w:rPr>
                <w:noProof/>
                <w:webHidden/>
              </w:rPr>
              <w:fldChar w:fldCharType="end"/>
            </w:r>
          </w:hyperlink>
        </w:p>
        <w:p w14:paraId="28574C3B" w14:textId="66710EA0" w:rsidR="0079281D" w:rsidRDefault="0079281D">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723821" w:history="1">
            <w:r w:rsidRPr="000E7B21">
              <w:rPr>
                <w:rStyle w:val="Hyperlink"/>
                <w:noProof/>
              </w:rPr>
              <w:t>TGA certificates</w:t>
            </w:r>
            <w:r>
              <w:rPr>
                <w:noProof/>
                <w:webHidden/>
              </w:rPr>
              <w:tab/>
            </w:r>
            <w:r>
              <w:rPr>
                <w:noProof/>
                <w:webHidden/>
              </w:rPr>
              <w:fldChar w:fldCharType="begin"/>
            </w:r>
            <w:r>
              <w:rPr>
                <w:noProof/>
                <w:webHidden/>
              </w:rPr>
              <w:instrText xml:space="preserve"> PAGEREF _Toc198723821 \h </w:instrText>
            </w:r>
            <w:r>
              <w:rPr>
                <w:noProof/>
                <w:webHidden/>
              </w:rPr>
            </w:r>
            <w:r>
              <w:rPr>
                <w:noProof/>
                <w:webHidden/>
              </w:rPr>
              <w:fldChar w:fldCharType="separate"/>
            </w:r>
            <w:r>
              <w:rPr>
                <w:noProof/>
                <w:webHidden/>
              </w:rPr>
              <w:t>46</w:t>
            </w:r>
            <w:r>
              <w:rPr>
                <w:noProof/>
                <w:webHidden/>
              </w:rPr>
              <w:fldChar w:fldCharType="end"/>
            </w:r>
          </w:hyperlink>
        </w:p>
        <w:p w14:paraId="600E120A" w14:textId="38143BD1" w:rsidR="0089410A" w:rsidRPr="00B323DA" w:rsidRDefault="0089410A" w:rsidP="0089410A">
          <w:r w:rsidRPr="005841F1">
            <w:fldChar w:fldCharType="end"/>
          </w:r>
        </w:p>
      </w:sdtContent>
    </w:sdt>
    <w:p w14:paraId="103FD7C7" w14:textId="77777777" w:rsidR="0089410A" w:rsidRDefault="0089410A">
      <w:pPr>
        <w:rPr>
          <w:rFonts w:eastAsia="Cambria" w:cs="Times New Roman"/>
          <w:bCs/>
          <w:color w:val="333F4A"/>
          <w:sz w:val="17"/>
        </w:rPr>
      </w:pPr>
      <w:r>
        <w:rPr>
          <w:b/>
          <w:bCs/>
        </w:rPr>
        <w:br w:type="page"/>
      </w:r>
    </w:p>
    <w:p w14:paraId="72BA274D" w14:textId="30C7EB09" w:rsidR="00E83DC4" w:rsidRDefault="00E83DC4" w:rsidP="00961733">
      <w:pPr>
        <w:pStyle w:val="Heading2"/>
      </w:pPr>
      <w:bookmarkStart w:id="2" w:name="_Toc198723707"/>
      <w:bookmarkStart w:id="3" w:name="_Toc11250851"/>
      <w:bookmarkStart w:id="4" w:name="_Toc147929187"/>
      <w:bookmarkStart w:id="5" w:name="_Hlk145428999"/>
      <w:r>
        <w:lastRenderedPageBreak/>
        <w:t>Purpose of this document</w:t>
      </w:r>
      <w:bookmarkEnd w:id="2"/>
    </w:p>
    <w:p w14:paraId="4CCE154A" w14:textId="7C32BFD4" w:rsidR="00E83DC4" w:rsidRDefault="00E83DC4" w:rsidP="00E83DC4">
      <w:r>
        <w:t xml:space="preserve">This </w:t>
      </w:r>
      <w:r w:rsidR="00C968DD">
        <w:t>information</w:t>
      </w:r>
      <w:r>
        <w:t xml:space="preserve"> is for </w:t>
      </w:r>
      <w:r w:rsidR="00165CB8">
        <w:t xml:space="preserve">Australian sponsors seeking to obtain a GMP Clearance to support medicinal product listing and registration activities. </w:t>
      </w:r>
    </w:p>
    <w:p w14:paraId="0F36B5D8" w14:textId="52BBC536" w:rsidR="00E83DC4" w:rsidRPr="00E83DC4" w:rsidRDefault="00E83DC4" w:rsidP="000B2AB6">
      <w:r>
        <w:t xml:space="preserve">It outlines </w:t>
      </w:r>
      <w:r w:rsidR="00165CB8">
        <w:t xml:space="preserve">the processes and documentation requirements relating to GMP Clearance. </w:t>
      </w:r>
    </w:p>
    <w:p w14:paraId="2B0E2EAB" w14:textId="568CCDA5" w:rsidR="00961733" w:rsidRPr="00961733" w:rsidRDefault="00B323DA" w:rsidP="00961733">
      <w:pPr>
        <w:pStyle w:val="Heading2"/>
      </w:pPr>
      <w:bookmarkStart w:id="6" w:name="_Toc198723708"/>
      <w:r>
        <w:t>GMP Clearance</w:t>
      </w:r>
      <w:r w:rsidR="00961733" w:rsidRPr="00961733">
        <w:t xml:space="preserve"> basics</w:t>
      </w:r>
      <w:bookmarkEnd w:id="3"/>
      <w:bookmarkEnd w:id="4"/>
      <w:bookmarkEnd w:id="6"/>
    </w:p>
    <w:p w14:paraId="5A210E64" w14:textId="7DABAF76" w:rsidR="00961733" w:rsidRPr="0033307F" w:rsidRDefault="00961733" w:rsidP="00961733">
      <w:pPr>
        <w:pStyle w:val="Heading3"/>
      </w:pPr>
      <w:bookmarkStart w:id="7" w:name="_Toc11250852"/>
      <w:bookmarkStart w:id="8" w:name="_Toc147929188"/>
      <w:bookmarkStart w:id="9" w:name="_Toc198723709"/>
      <w:bookmarkEnd w:id="5"/>
      <w:r w:rsidRPr="0033307F">
        <w:t xml:space="preserve">What </w:t>
      </w:r>
      <w:r w:rsidR="00B323DA">
        <w:t>GMP Clearance</w:t>
      </w:r>
      <w:r w:rsidRPr="0033307F">
        <w:t xml:space="preserve"> is</w:t>
      </w:r>
      <w:bookmarkEnd w:id="7"/>
      <w:bookmarkEnd w:id="8"/>
      <w:bookmarkEnd w:id="9"/>
    </w:p>
    <w:p w14:paraId="4131FBFA" w14:textId="7FFAC09C" w:rsidR="00961733" w:rsidRDefault="00B323DA" w:rsidP="00961733">
      <w:r>
        <w:t>GMP Clearance</w:t>
      </w:r>
      <w:r w:rsidR="00961733">
        <w:t xml:space="preserve"> is a non-statutory mechanism used to verify that overseas manufacturing sites comply with the principles of GMP for the products being supplied to Australia. It was introduced </w:t>
      </w:r>
      <w:proofErr w:type="gramStart"/>
      <w:r w:rsidR="00961733">
        <w:t>as a way to</w:t>
      </w:r>
      <w:proofErr w:type="gramEnd"/>
      <w:r w:rsidR="00961733">
        <w:t xml:space="preserve"> reduce the regulatory burden on industry while maintaining assurance that the manufacturing and quality control procedures are acceptable.</w:t>
      </w:r>
    </w:p>
    <w:p w14:paraId="359C8402" w14:textId="704C7C48" w:rsidR="00961733" w:rsidRDefault="00961733" w:rsidP="00961733">
      <w:r>
        <w:t xml:space="preserve">The TGA may issue </w:t>
      </w:r>
      <w:r w:rsidR="00B323DA">
        <w:t>GMP Clearance</w:t>
      </w:r>
      <w:r>
        <w:t xml:space="preserve"> to sponsors of a medicine or API that is manufactured overseas</w:t>
      </w:r>
      <w:r w:rsidR="00165CB8">
        <w:t xml:space="preserve">. Where there is </w:t>
      </w:r>
      <w:r>
        <w:t>acceptable evidence</w:t>
      </w:r>
      <w:r w:rsidR="00165CB8">
        <w:t xml:space="preserve"> submitted the Australian sponsor that </w:t>
      </w:r>
      <w:r>
        <w:t xml:space="preserve"> demonstrat</w:t>
      </w:r>
      <w:r w:rsidR="00165CB8">
        <w:t xml:space="preserve">es </w:t>
      </w:r>
      <w:r>
        <w:t xml:space="preserve">the overseas manufacturer complies with the principles of GMP (the </w:t>
      </w:r>
      <w:hyperlink r:id="rId9" w:history="1">
        <w:r w:rsidRPr="009F013C">
          <w:rPr>
            <w:rStyle w:val="Hyperlink"/>
          </w:rPr>
          <w:t>manufacturing principles</w:t>
        </w:r>
      </w:hyperlink>
      <w:r>
        <w:t xml:space="preserve"> or equivalent standards).</w:t>
      </w:r>
    </w:p>
    <w:p w14:paraId="50810091" w14:textId="12ED17F2" w:rsidR="00961733" w:rsidRPr="0033307F" w:rsidRDefault="00961733" w:rsidP="00961733">
      <w:pPr>
        <w:pStyle w:val="Heading3"/>
      </w:pPr>
      <w:bookmarkStart w:id="10" w:name="_Toc11250853"/>
      <w:bookmarkStart w:id="11" w:name="_Toc147929189"/>
      <w:bookmarkStart w:id="12" w:name="_Toc198723710"/>
      <w:r w:rsidRPr="0033307F">
        <w:t xml:space="preserve">Why </w:t>
      </w:r>
      <w:r w:rsidR="00B323DA">
        <w:t>GMP Clearance</w:t>
      </w:r>
      <w:r w:rsidRPr="0033307F">
        <w:t xml:space="preserve"> is required</w:t>
      </w:r>
      <w:bookmarkEnd w:id="10"/>
      <w:bookmarkEnd w:id="11"/>
      <w:bookmarkEnd w:id="12"/>
    </w:p>
    <w:p w14:paraId="7FFF8B38" w14:textId="72D10FDF" w:rsidR="00961733" w:rsidRDefault="00961733" w:rsidP="00961733">
      <w:r>
        <w:t xml:space="preserve">Sponsors are required to obtain </w:t>
      </w:r>
      <w:r w:rsidR="00B323DA">
        <w:t>GMP Clearance</w:t>
      </w:r>
      <w:r>
        <w:t xml:space="preserve"> for overseas manufacturers of their registered or listed products to satisfy sections 25(1)(g), 26(1)(g), 26A(3) and 26(AB)(4) of the </w:t>
      </w:r>
      <w:hyperlink r:id="rId10">
        <w:r w:rsidRPr="5AB8732C">
          <w:rPr>
            <w:rStyle w:val="Hyperlink"/>
            <w:i/>
            <w:iCs/>
          </w:rPr>
          <w:t>Therapeutic Goods Act 1989</w:t>
        </w:r>
      </w:hyperlink>
      <w:r w:rsidR="000B7E35">
        <w:rPr>
          <w:rStyle w:val="Hyperlink"/>
          <w:i/>
          <w:iCs/>
        </w:rPr>
        <w:t xml:space="preserve"> </w:t>
      </w:r>
      <w:r w:rsidR="000B7E35">
        <w:rPr>
          <w:rStyle w:val="Hyperlink"/>
        </w:rPr>
        <w:t>(the Act)</w:t>
      </w:r>
      <w:r>
        <w:t xml:space="preserve">. This </w:t>
      </w:r>
      <w:r w:rsidR="00C4516E">
        <w:t xml:space="preserve">supports </w:t>
      </w:r>
      <w:r>
        <w:t>the main objective of the Act, which is to ensure the safety, quality, efficacy and timely supply of therapeutic goods for Australian consumers.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34DAD" w:rsidRPr="00215D48" w14:paraId="21D898DE" w14:textId="77777777" w:rsidTr="00AD2EC6">
        <w:tc>
          <w:tcPr>
            <w:tcW w:w="1276" w:type="dxa"/>
            <w:vAlign w:val="center"/>
          </w:tcPr>
          <w:p w14:paraId="0A98CADE" w14:textId="72D10FDF" w:rsidR="00534DAD" w:rsidRPr="00215D48" w:rsidRDefault="00534DAD" w:rsidP="00AD2EC6">
            <w:r w:rsidRPr="00215D48">
              <w:rPr>
                <w:noProof/>
                <w:lang w:eastAsia="en-AU"/>
              </w:rPr>
              <w:drawing>
                <wp:inline distT="0" distB="0" distL="0" distR="0" wp14:anchorId="0D6D5418" wp14:editId="363FCF39">
                  <wp:extent cx="487681" cy="487681"/>
                  <wp:effectExtent l="19050" t="0" r="7619" b="0"/>
                  <wp:docPr id="1987786614" name="Picture 198778661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2AB5495" w14:textId="698DB7A5" w:rsidR="00534DAD" w:rsidRPr="00215D48" w:rsidRDefault="00534DAD" w:rsidP="00AD2EC6">
            <w:r>
              <w:t xml:space="preserve">GMP Clearance is not required for </w:t>
            </w:r>
            <w:hyperlink r:id="rId12" w:history="1">
              <w:r w:rsidRPr="005B71D8">
                <w:rPr>
                  <w:rStyle w:val="Hyperlink"/>
                </w:rPr>
                <w:t>medical devices</w:t>
              </w:r>
            </w:hyperlink>
            <w:r>
              <w:t xml:space="preserve">.  </w:t>
            </w:r>
          </w:p>
        </w:tc>
      </w:tr>
    </w:tbl>
    <w:p w14:paraId="098CEDAA" w14:textId="37AB0E12" w:rsidR="00961733" w:rsidRPr="0033307F" w:rsidRDefault="00961733" w:rsidP="00961733">
      <w:pPr>
        <w:pStyle w:val="Heading3"/>
      </w:pPr>
      <w:bookmarkStart w:id="13" w:name="_What_manufacturing_steps"/>
      <w:bookmarkStart w:id="14" w:name="_Toc147929190"/>
      <w:bookmarkStart w:id="15" w:name="_Toc198723711"/>
      <w:bookmarkEnd w:id="13"/>
      <w:r w:rsidRPr="0033307F">
        <w:t xml:space="preserve">What manufacturing steps require </w:t>
      </w:r>
      <w:r w:rsidR="00B323DA">
        <w:t>GMP Clearance</w:t>
      </w:r>
      <w:bookmarkEnd w:id="14"/>
      <w:bookmarkEnd w:id="15"/>
    </w:p>
    <w:p w14:paraId="7E865238" w14:textId="032AEE67" w:rsidR="00961733" w:rsidRDefault="00961733" w:rsidP="00961733">
      <w:r>
        <w:t xml:space="preserve">All steps of manufacture are required to be </w:t>
      </w:r>
      <w:r w:rsidRPr="1B0DE25A">
        <w:rPr>
          <w:b/>
          <w:bCs/>
        </w:rPr>
        <w:t>GMP compliant</w:t>
      </w:r>
      <w:r>
        <w:t xml:space="preserve"> unless they are exempt. However, </w:t>
      </w:r>
      <w:r w:rsidR="00B323DA">
        <w:rPr>
          <w:i/>
          <w:iCs/>
        </w:rPr>
        <w:t>GMP Clearance</w:t>
      </w:r>
      <w:r>
        <w:t xml:space="preserve"> is not necessarily required unless the product is to be registered or listed </w:t>
      </w:r>
      <w:r w:rsidR="00963C8B">
        <w:t xml:space="preserve">on the </w:t>
      </w:r>
      <w:hyperlink r:id="rId13" w:history="1">
        <w:r w:rsidR="00963C8B">
          <w:t>Australian Register of Therapeutic Goods (ARTG)</w:t>
        </w:r>
      </w:hyperlink>
      <w:r w:rsidR="00963C8B">
        <w:t xml:space="preserve"> </w:t>
      </w:r>
      <w:r w:rsidRPr="1B0DE25A">
        <w:rPr>
          <w:b/>
          <w:bCs/>
        </w:rPr>
        <w:t>and</w:t>
      </w:r>
      <w:r>
        <w:t xml:space="preserve"> the manufacturing step </w:t>
      </w:r>
      <w:r w:rsidR="00963C8B">
        <w:t xml:space="preserve">must be </w:t>
      </w:r>
      <w:r>
        <w:t xml:space="preserve">recorded </w:t>
      </w:r>
      <w:r w:rsidR="00963C8B">
        <w:t>in the product’s ARTG entry</w:t>
      </w:r>
      <w:r>
        <w:t>.</w:t>
      </w:r>
    </w:p>
    <w:p w14:paraId="020D28C8" w14:textId="77777777" w:rsidR="00961733" w:rsidRDefault="00961733" w:rsidP="00961733">
      <w:r>
        <w:t>Guidance is available regarding the different types of medicines and their requirements including:</w:t>
      </w:r>
    </w:p>
    <w:p w14:paraId="4DE22CA3" w14:textId="77777777" w:rsidR="00961733" w:rsidRPr="00A8425F" w:rsidRDefault="00961733" w:rsidP="00961733">
      <w:pPr>
        <w:pStyle w:val="ListBullet"/>
        <w:numPr>
          <w:ilvl w:val="0"/>
          <w:numId w:val="2"/>
        </w:numPr>
        <w:rPr>
          <w:rStyle w:val="Hyperlink"/>
        </w:rPr>
      </w:pPr>
      <w:hyperlink r:id="rId14" w:history="1">
        <w:r w:rsidRPr="00A8425F">
          <w:rPr>
            <w:rStyle w:val="Hyperlink"/>
          </w:rPr>
          <w:t>Australian Regulatory Guidelines for Prescription Medicines (ARGPM)</w:t>
        </w:r>
      </w:hyperlink>
    </w:p>
    <w:p w14:paraId="78D75AF5" w14:textId="77777777" w:rsidR="00961733" w:rsidRDefault="00961733" w:rsidP="00961733">
      <w:pPr>
        <w:pStyle w:val="ListBullet2"/>
        <w:numPr>
          <w:ilvl w:val="1"/>
          <w:numId w:val="2"/>
        </w:numPr>
      </w:pPr>
      <w:r w:rsidRPr="00D60E97">
        <w:rPr>
          <w:color w:val="auto"/>
        </w:rPr>
        <w:t xml:space="preserve">Additional guidance is available on which steps of manufacture require </w:t>
      </w:r>
      <w:hyperlink r:id="rId15" w:history="1">
        <w:r w:rsidRPr="00A8425F">
          <w:rPr>
            <w:rStyle w:val="Hyperlink"/>
          </w:rPr>
          <w:t>evidence of GMP compliance for prescription medicines</w:t>
        </w:r>
      </w:hyperlink>
    </w:p>
    <w:p w14:paraId="78C94F81" w14:textId="77777777" w:rsidR="00961733" w:rsidRPr="0047347F" w:rsidRDefault="00961733" w:rsidP="00961733">
      <w:pPr>
        <w:pStyle w:val="ListBullet"/>
        <w:numPr>
          <w:ilvl w:val="0"/>
          <w:numId w:val="2"/>
        </w:numPr>
        <w:rPr>
          <w:rStyle w:val="Hyperlink"/>
        </w:rPr>
      </w:pPr>
      <w:r>
        <w:fldChar w:fldCharType="begin"/>
      </w:r>
      <w:r>
        <w:instrText xml:space="preserve"> HYPERLINK "https://www.tga.gov.au/resources/resource/guidance/australian-regulatory-guidelines-otc-medicines-argom" </w:instrText>
      </w:r>
      <w:r>
        <w:fldChar w:fldCharType="separate"/>
      </w:r>
      <w:r w:rsidRPr="0047347F">
        <w:rPr>
          <w:rStyle w:val="Hyperlink"/>
        </w:rPr>
        <w:t>Australian Regulatory Guidelines for Over the counter (OTC) Medicines (ARGOM)</w:t>
      </w:r>
    </w:p>
    <w:p w14:paraId="5DFBF448" w14:textId="77777777" w:rsidR="00961733" w:rsidRPr="00D60E97" w:rsidRDefault="00961733" w:rsidP="00961733">
      <w:pPr>
        <w:pStyle w:val="ListBullet"/>
        <w:numPr>
          <w:ilvl w:val="0"/>
          <w:numId w:val="2"/>
        </w:numPr>
        <w:rPr>
          <w:rStyle w:val="Hyperlink"/>
        </w:rPr>
      </w:pPr>
      <w:r>
        <w:fldChar w:fldCharType="end"/>
      </w:r>
      <w:r>
        <w:rPr>
          <w:color w:val="auto"/>
        </w:rPr>
        <w:fldChar w:fldCharType="begin"/>
      </w:r>
      <w:r>
        <w:rPr>
          <w:color w:val="auto"/>
        </w:rPr>
        <w:instrText xml:space="preserve"> HYPERLINK "https://www.tga.gov.au/resources/resource/guidance/australian-regulatory-guidelines-listed-medicines-and-registered-complementary-medicines" </w:instrText>
      </w:r>
      <w:r>
        <w:rPr>
          <w:color w:val="auto"/>
        </w:rPr>
      </w:r>
      <w:r>
        <w:rPr>
          <w:color w:val="auto"/>
        </w:rPr>
        <w:fldChar w:fldCharType="separate"/>
      </w:r>
      <w:r w:rsidRPr="00D60E97">
        <w:rPr>
          <w:rStyle w:val="Hyperlink"/>
        </w:rPr>
        <w:t xml:space="preserve">Australian Regulatory Guidelines for Listed medicines and Registered Complementary Medicines (ARGCM) </w:t>
      </w:r>
    </w:p>
    <w:p w14:paraId="25D76811" w14:textId="77777777" w:rsidR="00961733" w:rsidRDefault="00961733" w:rsidP="00961733">
      <w:pPr>
        <w:pStyle w:val="ListBullet"/>
        <w:numPr>
          <w:ilvl w:val="0"/>
          <w:numId w:val="2"/>
        </w:numPr>
      </w:pPr>
      <w:r>
        <w:rPr>
          <w:color w:val="auto"/>
        </w:rPr>
        <w:fldChar w:fldCharType="end"/>
      </w:r>
      <w:hyperlink r:id="rId16" w:history="1">
        <w:r w:rsidRPr="1B0DE25A">
          <w:rPr>
            <w:rStyle w:val="Hyperlink"/>
          </w:rPr>
          <w:t>TGA Code Tables – Guidance to manufacturing steps and validation</w:t>
        </w:r>
      </w:hyperlink>
    </w:p>
    <w:p w14:paraId="7F4226FD" w14:textId="00F6742D" w:rsidR="00980E0D" w:rsidRDefault="00165CB8" w:rsidP="00961733">
      <w:r>
        <w:lastRenderedPageBreak/>
        <w:t>As an Australian sponsor you must e</w:t>
      </w:r>
      <w:r w:rsidR="00961733">
        <w:t>nsure</w:t>
      </w:r>
      <w:r w:rsidR="00143ADF">
        <w:t>:</w:t>
      </w:r>
    </w:p>
    <w:p w14:paraId="0F21B23A" w14:textId="623496FC" w:rsidR="00980E0D" w:rsidRPr="00143ADF" w:rsidRDefault="00961733" w:rsidP="00143ADF">
      <w:pPr>
        <w:pStyle w:val="ListParagraph"/>
        <w:numPr>
          <w:ilvl w:val="0"/>
          <w:numId w:val="37"/>
        </w:numPr>
        <w:rPr>
          <w:rFonts w:asciiTheme="minorHAnsi" w:hAnsiTheme="minorHAnsi" w:cstheme="minorHAnsi"/>
          <w:sz w:val="20"/>
          <w:szCs w:val="18"/>
        </w:rPr>
      </w:pPr>
      <w:r w:rsidRPr="00143ADF">
        <w:rPr>
          <w:rFonts w:asciiTheme="minorHAnsi" w:hAnsiTheme="minorHAnsi" w:cstheme="minorHAnsi"/>
          <w:sz w:val="20"/>
          <w:szCs w:val="18"/>
        </w:rPr>
        <w:t xml:space="preserve">the manufacturer details, dosage forms and manufacturing steps you select are supported by the evidence to be provided with the application </w:t>
      </w:r>
    </w:p>
    <w:p w14:paraId="53C01BF5" w14:textId="43286D50" w:rsidR="00961733" w:rsidRPr="00143ADF" w:rsidRDefault="00961733" w:rsidP="00143ADF">
      <w:pPr>
        <w:pStyle w:val="ListParagraph"/>
        <w:numPr>
          <w:ilvl w:val="0"/>
          <w:numId w:val="37"/>
        </w:numPr>
        <w:rPr>
          <w:rFonts w:asciiTheme="minorHAnsi" w:hAnsiTheme="minorHAnsi" w:cstheme="minorHAnsi"/>
          <w:sz w:val="20"/>
          <w:szCs w:val="18"/>
        </w:rPr>
      </w:pPr>
      <w:r w:rsidRPr="00143ADF">
        <w:rPr>
          <w:rFonts w:asciiTheme="minorHAnsi" w:hAnsiTheme="minorHAnsi" w:cstheme="minorHAnsi"/>
          <w:sz w:val="20"/>
          <w:szCs w:val="18"/>
        </w:rPr>
        <w:t>align with the details related to the product registration or listing</w:t>
      </w:r>
    </w:p>
    <w:p w14:paraId="0BFD604C" w14:textId="44A990B1" w:rsidR="00961733" w:rsidRDefault="00961733" w:rsidP="00961733">
      <w:r>
        <w:t xml:space="preserve">If you are unsure whether the scope of your </w:t>
      </w:r>
      <w:r w:rsidR="00B323DA">
        <w:t>GMP Clearance</w:t>
      </w:r>
      <w:r>
        <w:t xml:space="preserve"> application aligns with your product submission or whether you require </w:t>
      </w:r>
      <w:r w:rsidR="00B323DA">
        <w:t>GMP Clearance</w:t>
      </w:r>
      <w:r>
        <w:t xml:space="preserve">, </w:t>
      </w:r>
      <w:r w:rsidRPr="00FE5726">
        <w:t xml:space="preserve">please </w:t>
      </w:r>
      <w:hyperlink r:id="rId17">
        <w:r w:rsidRPr="00FE5726">
          <w:rPr>
            <w:rStyle w:val="Hyperlink"/>
          </w:rPr>
          <w:t>contact the relevant product regulatory area</w:t>
        </w:r>
      </w:hyperlink>
      <w:r w:rsidRPr="00D60E97">
        <w:rPr>
          <w:rStyle w:val="Hyperlink"/>
          <w:u w:val="none"/>
        </w:rPr>
        <w:t xml:space="preserve"> </w:t>
      </w:r>
      <w:r w:rsidRPr="00FE5726">
        <w:rPr>
          <w:b/>
          <w:bCs/>
        </w:rPr>
        <w:t xml:space="preserve">prior to </w:t>
      </w:r>
      <w:r w:rsidRPr="00FE5726">
        <w:t xml:space="preserve">submitting the </w:t>
      </w:r>
      <w:r w:rsidR="00B323DA">
        <w:t>GMP Clearance</w:t>
      </w:r>
      <w:r w:rsidRPr="00FE5726">
        <w:t xml:space="preserve"> application.</w:t>
      </w:r>
    </w:p>
    <w:p w14:paraId="1263F25E" w14:textId="77777777" w:rsidR="00961733" w:rsidRDefault="00961733" w:rsidP="00961733"/>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3885E16A" w14:textId="77777777" w:rsidTr="0042350D">
        <w:tc>
          <w:tcPr>
            <w:tcW w:w="1276" w:type="dxa"/>
            <w:vAlign w:val="center"/>
          </w:tcPr>
          <w:p w14:paraId="1F55C0D0" w14:textId="77777777" w:rsidR="00961733" w:rsidRPr="00215D48" w:rsidRDefault="00961733" w:rsidP="0042350D">
            <w:bookmarkStart w:id="16" w:name="_Hlk150354384"/>
            <w:r w:rsidRPr="00215D48">
              <w:rPr>
                <w:noProof/>
                <w:lang w:eastAsia="en-AU"/>
              </w:rPr>
              <w:drawing>
                <wp:inline distT="0" distB="0" distL="0" distR="0" wp14:anchorId="45BDC89E" wp14:editId="1CC63D1A">
                  <wp:extent cx="487681" cy="487681"/>
                  <wp:effectExtent l="19050" t="0" r="7619" b="0"/>
                  <wp:docPr id="6" name="Picture 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7D2BC09" w14:textId="6BE16BFD" w:rsidR="00961733" w:rsidRDefault="00961733" w:rsidP="0042350D">
            <w:r>
              <w:t xml:space="preserve">You </w:t>
            </w:r>
            <w:r w:rsidRPr="5AB8732C">
              <w:rPr>
                <w:b/>
                <w:bCs/>
              </w:rPr>
              <w:t>may not be contacted</w:t>
            </w:r>
            <w:r>
              <w:t xml:space="preserve"> prior to finalising the</w:t>
            </w:r>
            <w:r w:rsidR="00980E0D">
              <w:t xml:space="preserve"> GMP Clearance</w:t>
            </w:r>
            <w:r>
              <w:t xml:space="preserve"> application and </w:t>
            </w:r>
            <w:r w:rsidR="00B323DA">
              <w:t>GMP Clearance</w:t>
            </w:r>
            <w:r>
              <w:t>s will be issued for the scope that is supported by the evidence provided.</w:t>
            </w:r>
          </w:p>
          <w:p w14:paraId="2A848242" w14:textId="460D15CF" w:rsidR="00961733" w:rsidRPr="00215D48" w:rsidRDefault="00961733" w:rsidP="0042350D">
            <w:r>
              <w:t xml:space="preserve">If the selections you made result in validation issues with the regulatory submission system, you may be required to submit </w:t>
            </w:r>
            <w:r w:rsidRPr="00F06E81">
              <w:t xml:space="preserve">a </w:t>
            </w:r>
            <w:hyperlink w:anchor="_Maintaining_your_active_1" w:history="1">
              <w:r w:rsidRPr="00F06E81">
                <w:rPr>
                  <w:rStyle w:val="Hyperlink"/>
                </w:rPr>
                <w:t>variation application</w:t>
              </w:r>
            </w:hyperlink>
            <w:r w:rsidRPr="00F06E81">
              <w:t xml:space="preserve"> </w:t>
            </w:r>
            <w:r>
              <w:t xml:space="preserve">and pay the relevant </w:t>
            </w:r>
            <w:hyperlink w:anchor="_How_much_GMP_2" w:history="1">
              <w:r w:rsidRPr="001924FA">
                <w:rPr>
                  <w:rStyle w:val="Hyperlink"/>
                </w:rPr>
                <w:t>fees</w:t>
              </w:r>
            </w:hyperlink>
            <w:r>
              <w:t>.</w:t>
            </w:r>
          </w:p>
        </w:tc>
      </w:tr>
    </w:tbl>
    <w:p w14:paraId="03256545" w14:textId="77777777" w:rsidR="00961733" w:rsidRPr="00E35186" w:rsidRDefault="00961733" w:rsidP="00961733">
      <w:pPr>
        <w:pStyle w:val="Heading2"/>
      </w:pPr>
      <w:bookmarkStart w:id="17" w:name="_Toc147929191"/>
      <w:bookmarkStart w:id="18" w:name="_Toc198723712"/>
      <w:bookmarkEnd w:id="16"/>
      <w:r w:rsidRPr="00E35186">
        <w:t>Sponsor responsibilities</w:t>
      </w:r>
      <w:bookmarkEnd w:id="17"/>
      <w:bookmarkEnd w:id="18"/>
    </w:p>
    <w:p w14:paraId="4CAABFAA" w14:textId="797176B7" w:rsidR="00961733" w:rsidRDefault="00961733" w:rsidP="00961733">
      <w:pPr>
        <w:keepLines/>
      </w:pPr>
      <w:r>
        <w:t xml:space="preserve">Sponsors of therapeutic goods in Australia play an important </w:t>
      </w:r>
      <w:hyperlink r:id="rId18" w:history="1">
        <w:r w:rsidRPr="00727F77">
          <w:rPr>
            <w:rStyle w:val="Hyperlink"/>
          </w:rPr>
          <w:t>role</w:t>
        </w:r>
      </w:hyperlink>
      <w:r>
        <w:t xml:space="preserve"> in ensuring the safety, quality, efficacy and timely supply of therapeutic goods for Australian consumers. As a sponsor, you have </w:t>
      </w:r>
      <w:hyperlink r:id="rId19" w:history="1">
        <w:r w:rsidRPr="00727F77">
          <w:rPr>
            <w:rStyle w:val="Hyperlink"/>
          </w:rPr>
          <w:t>responsibilities</w:t>
        </w:r>
      </w:hyperlink>
      <w:r>
        <w:t xml:space="preserve"> to maintain </w:t>
      </w:r>
      <w:r w:rsidR="00B323DA">
        <w:t>GMP Clearance</w:t>
      </w:r>
      <w:r w:rsidR="00963C8B">
        <w:t>s</w:t>
      </w:r>
      <w:r>
        <w:t xml:space="preserve"> for all overseas manufacturing sites used in the manufacture of your registered or listed medicine</w:t>
      </w:r>
      <w:r w:rsidR="00963C8B">
        <w:t>,</w:t>
      </w:r>
      <w:r>
        <w:t xml:space="preserve"> at all times.</w:t>
      </w:r>
    </w:p>
    <w:p w14:paraId="4D87AE0F" w14:textId="77777777" w:rsidR="00961733" w:rsidRDefault="00961733" w:rsidP="00961733">
      <w:pPr>
        <w:keepLines/>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4F51D7EE" w14:textId="77777777" w:rsidTr="0042350D">
        <w:tc>
          <w:tcPr>
            <w:tcW w:w="1276" w:type="dxa"/>
            <w:vAlign w:val="center"/>
          </w:tcPr>
          <w:p w14:paraId="692D42FF" w14:textId="77777777" w:rsidR="00961733" w:rsidRPr="00215D48" w:rsidRDefault="00961733" w:rsidP="0042350D">
            <w:r w:rsidRPr="00215D48">
              <w:rPr>
                <w:noProof/>
                <w:lang w:eastAsia="en-AU"/>
              </w:rPr>
              <w:drawing>
                <wp:inline distT="0" distB="0" distL="0" distR="0" wp14:anchorId="7C22D0E7" wp14:editId="5EB5328A">
                  <wp:extent cx="487681" cy="487681"/>
                  <wp:effectExtent l="19050" t="0" r="7619" b="0"/>
                  <wp:docPr id="190941769" name="Picture 190941769"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87030C5" w14:textId="77777777" w:rsidR="00961733" w:rsidRDefault="00961733" w:rsidP="00F13A76">
            <w:r>
              <w:t xml:space="preserve">If you do not meet your responsibilities detailed on the </w:t>
            </w:r>
            <w:hyperlink r:id="rId20" w:history="1">
              <w:r w:rsidRPr="00727F77">
                <w:rPr>
                  <w:rStyle w:val="Hyperlink"/>
                </w:rPr>
                <w:t>sponsor responsibilities</w:t>
              </w:r>
            </w:hyperlink>
            <w:r>
              <w:t xml:space="preserve"> web page:</w:t>
            </w:r>
          </w:p>
          <w:p w14:paraId="530B99E8" w14:textId="70772DFF" w:rsidR="00961733" w:rsidRPr="00D60E97" w:rsidRDefault="00961733" w:rsidP="00F13A76">
            <w:pPr>
              <w:pStyle w:val="ListBullet"/>
              <w:numPr>
                <w:ilvl w:val="0"/>
                <w:numId w:val="2"/>
              </w:numPr>
              <w:spacing w:before="0" w:after="120"/>
              <w:rPr>
                <w:color w:val="auto"/>
              </w:rPr>
            </w:pPr>
            <w:r w:rsidRPr="00D60E97">
              <w:rPr>
                <w:color w:val="auto"/>
              </w:rPr>
              <w:t xml:space="preserve">you may </w:t>
            </w:r>
            <w:hyperlink w:anchor="_Not_issued" w:history="1">
              <w:r w:rsidRPr="00E475DD">
                <w:rPr>
                  <w:rStyle w:val="Hyperlink"/>
                  <w:b/>
                  <w:bCs/>
                </w:rPr>
                <w:t>not be issued</w:t>
              </w:r>
            </w:hyperlink>
            <w:r>
              <w:t xml:space="preserve"> </w:t>
            </w:r>
            <w:r w:rsidRPr="00D60E97">
              <w:rPr>
                <w:color w:val="auto"/>
              </w:rPr>
              <w:t xml:space="preserve">a </w:t>
            </w:r>
            <w:r w:rsidR="00B323DA">
              <w:rPr>
                <w:color w:val="auto"/>
              </w:rPr>
              <w:t>GMP Clearance</w:t>
            </w:r>
          </w:p>
          <w:p w14:paraId="7F1C36CA" w14:textId="77777777" w:rsidR="00961733" w:rsidRPr="00D60E97" w:rsidRDefault="00961733" w:rsidP="00F13A76">
            <w:pPr>
              <w:pStyle w:val="ListBullet"/>
              <w:numPr>
                <w:ilvl w:val="0"/>
                <w:numId w:val="2"/>
              </w:numPr>
              <w:spacing w:before="0" w:after="120"/>
              <w:rPr>
                <w:color w:val="auto"/>
              </w:rPr>
            </w:pPr>
            <w:r w:rsidRPr="00D60E97">
              <w:rPr>
                <w:color w:val="auto"/>
              </w:rPr>
              <w:t xml:space="preserve">you may </w:t>
            </w:r>
            <w:r w:rsidRPr="00D60E97">
              <w:rPr>
                <w:b/>
                <w:bCs/>
                <w:color w:val="auto"/>
              </w:rPr>
              <w:t>forfeit any fees</w:t>
            </w:r>
            <w:r w:rsidRPr="00D60E97">
              <w:rPr>
                <w:color w:val="auto"/>
              </w:rPr>
              <w:t xml:space="preserve"> you have paid</w:t>
            </w:r>
          </w:p>
          <w:p w14:paraId="786ED798" w14:textId="716C35E2" w:rsidR="00961733" w:rsidRPr="00215D48" w:rsidRDefault="00961733" w:rsidP="00F13A76">
            <w:pPr>
              <w:pStyle w:val="ListBullet"/>
              <w:numPr>
                <w:ilvl w:val="0"/>
                <w:numId w:val="2"/>
              </w:numPr>
              <w:spacing w:before="0" w:after="120"/>
            </w:pPr>
            <w:r w:rsidRPr="00D60E97">
              <w:rPr>
                <w:color w:val="auto"/>
              </w:rPr>
              <w:t xml:space="preserve">if you have an active </w:t>
            </w:r>
            <w:r w:rsidR="00B323DA">
              <w:rPr>
                <w:color w:val="auto"/>
              </w:rPr>
              <w:t>GMP Clearance</w:t>
            </w:r>
            <w:r w:rsidRPr="00D60E97">
              <w:rPr>
                <w:color w:val="auto"/>
              </w:rPr>
              <w:t xml:space="preserve">, it may be </w:t>
            </w:r>
            <w:hyperlink w:anchor="_Cancellation,_suspension,_additiona_1" w:history="1">
              <w:r w:rsidRPr="42BFFDF0">
                <w:rPr>
                  <w:rStyle w:val="Hyperlink"/>
                  <w:b/>
                  <w:bCs/>
                </w:rPr>
                <w:t>cancelled</w:t>
              </w:r>
              <w:r>
                <w:rPr>
                  <w:rStyle w:val="Hyperlink"/>
                  <w:b/>
                  <w:bCs/>
                </w:rPr>
                <w:t xml:space="preserve"> or </w:t>
              </w:r>
              <w:r w:rsidRPr="42BFFDF0">
                <w:rPr>
                  <w:rStyle w:val="Hyperlink"/>
                  <w:b/>
                  <w:bCs/>
                </w:rPr>
                <w:t>suspended</w:t>
              </w:r>
            </w:hyperlink>
            <w:r>
              <w:t>.</w:t>
            </w:r>
          </w:p>
        </w:tc>
      </w:tr>
    </w:tbl>
    <w:p w14:paraId="11D5AD17" w14:textId="77777777" w:rsidR="00961733" w:rsidRDefault="00961733" w:rsidP="00961733">
      <w:pPr>
        <w:rPr>
          <w:rFonts w:eastAsia="Times New Roman" w:cs="Times New Roman"/>
          <w:b/>
          <w:bCs/>
          <w:color w:val="001871"/>
          <w:sz w:val="32"/>
          <w:szCs w:val="32"/>
        </w:rPr>
      </w:pPr>
      <w:r>
        <w:br w:type="page"/>
      </w:r>
    </w:p>
    <w:p w14:paraId="4D5E06D9" w14:textId="77777777" w:rsidR="00961733" w:rsidRPr="00E35186" w:rsidRDefault="00961733" w:rsidP="00961733">
      <w:pPr>
        <w:pStyle w:val="Heading3"/>
      </w:pPr>
      <w:bookmarkStart w:id="19" w:name="_Toc147929192"/>
      <w:bookmarkStart w:id="20" w:name="_Toc198723713"/>
      <w:r w:rsidRPr="00E35186">
        <w:lastRenderedPageBreak/>
        <w:t>Understanding your supply chain and establishing agreements</w:t>
      </w:r>
      <w:bookmarkEnd w:id="19"/>
      <w:bookmarkEnd w:id="20"/>
    </w:p>
    <w:p w14:paraId="2B399537" w14:textId="77777777" w:rsidR="00961733" w:rsidRDefault="00961733" w:rsidP="00961733">
      <w:r>
        <w:t>Modern supply chains can be complex with multiple manufacturing sites performing various steps of manufacture of a product. As a sponsor, you need to:</w:t>
      </w:r>
    </w:p>
    <w:p w14:paraId="5B1E2569" w14:textId="77777777" w:rsidR="00961733" w:rsidRPr="00F67A2B" w:rsidRDefault="00961733" w:rsidP="00961733">
      <w:pPr>
        <w:pStyle w:val="ListBullet"/>
        <w:numPr>
          <w:ilvl w:val="0"/>
          <w:numId w:val="2"/>
        </w:numPr>
        <w:rPr>
          <w:rFonts w:eastAsiaTheme="minorHAnsi" w:cstheme="minorBidi"/>
          <w:color w:val="auto"/>
        </w:rPr>
      </w:pPr>
      <w:r w:rsidRPr="00F67A2B">
        <w:rPr>
          <w:rFonts w:eastAsiaTheme="minorHAnsi" w:cstheme="minorBidi"/>
          <w:color w:val="auto"/>
        </w:rPr>
        <w:t>understand the activities of every manufacturer in the supply chain of your product</w:t>
      </w:r>
    </w:p>
    <w:p w14:paraId="2E8E2375" w14:textId="77777777" w:rsidR="00961733" w:rsidRDefault="00961733" w:rsidP="00961733">
      <w:pPr>
        <w:pStyle w:val="ListBullet"/>
        <w:numPr>
          <w:ilvl w:val="0"/>
          <w:numId w:val="2"/>
        </w:numPr>
      </w:pPr>
      <w:r w:rsidRPr="00F67A2B">
        <w:rPr>
          <w:rFonts w:eastAsiaTheme="minorHAnsi" w:cstheme="minorBidi"/>
          <w:color w:val="auto"/>
        </w:rPr>
        <w:t xml:space="preserve">establish and maintain the relevant </w:t>
      </w:r>
      <w:hyperlink w:anchor="_GMP_agreement_or">
        <w:r w:rsidRPr="42BFFDF0">
          <w:rPr>
            <w:rStyle w:val="Hyperlink"/>
          </w:rPr>
          <w:t>GMP, quality or technical agreements</w:t>
        </w:r>
      </w:hyperlink>
      <w:r>
        <w:t xml:space="preserve"> </w:t>
      </w:r>
      <w:r w:rsidRPr="00F67A2B">
        <w:rPr>
          <w:rFonts w:eastAsiaTheme="minorHAnsi" w:cstheme="minorBidi"/>
          <w:color w:val="auto"/>
        </w:rPr>
        <w:t xml:space="preserve">with whom you have a direct </w:t>
      </w:r>
      <w:r w:rsidRPr="006916F9">
        <w:rPr>
          <w:rFonts w:eastAsiaTheme="minorHAnsi" w:cstheme="minorBidi"/>
          <w:color w:val="auto"/>
        </w:rPr>
        <w:t>relationship with,</w:t>
      </w:r>
      <w:r w:rsidRPr="00D60E97">
        <w:rPr>
          <w:color w:val="auto"/>
        </w:rPr>
        <w:t xml:space="preserve"> </w:t>
      </w:r>
      <w:r w:rsidRPr="00D60E97">
        <w:rPr>
          <w:b/>
          <w:bCs/>
          <w:color w:val="auto"/>
        </w:rPr>
        <w:t>including subsidiaries of the same parent company</w:t>
      </w:r>
      <w:r w:rsidRPr="00D60E97">
        <w:rPr>
          <w:color w:val="auto"/>
        </w:rPr>
        <w:t>:</w:t>
      </w:r>
    </w:p>
    <w:p w14:paraId="1DF31214" w14:textId="4CD681CC" w:rsidR="00961733" w:rsidRPr="00F67A2B" w:rsidRDefault="00961733" w:rsidP="00961733">
      <w:pPr>
        <w:pStyle w:val="ListBullet2"/>
        <w:numPr>
          <w:ilvl w:val="1"/>
          <w:numId w:val="2"/>
        </w:numPr>
        <w:spacing w:after="120"/>
        <w:rPr>
          <w:rFonts w:eastAsiaTheme="minorHAnsi" w:cstheme="minorBidi"/>
          <w:color w:val="auto"/>
        </w:rPr>
      </w:pPr>
      <w:r w:rsidRPr="00F67A2B">
        <w:rPr>
          <w:rFonts w:eastAsiaTheme="minorHAnsi" w:cstheme="minorBidi"/>
          <w:color w:val="auto"/>
        </w:rPr>
        <w:t xml:space="preserve">The principles of GMP require you to have a GMP, quality or technical agreement with the primary or </w:t>
      </w:r>
      <w:r w:rsidR="00C4516E">
        <w:rPr>
          <w:rFonts w:eastAsiaTheme="minorHAnsi" w:cstheme="minorBidi"/>
          <w:color w:val="auto"/>
        </w:rPr>
        <w:t>principal</w:t>
      </w:r>
      <w:r w:rsidR="00C4516E" w:rsidRPr="00F67A2B">
        <w:rPr>
          <w:rFonts w:eastAsiaTheme="minorHAnsi" w:cstheme="minorBidi"/>
          <w:color w:val="auto"/>
        </w:rPr>
        <w:t xml:space="preserve"> </w:t>
      </w:r>
      <w:r w:rsidRPr="00F67A2B">
        <w:rPr>
          <w:rFonts w:eastAsiaTheme="minorHAnsi" w:cstheme="minorBidi"/>
          <w:color w:val="auto"/>
        </w:rPr>
        <w:t>manufacturer of the medicine that clearly outlines the roles and responsibilities for each party</w:t>
      </w:r>
    </w:p>
    <w:p w14:paraId="11094330" w14:textId="77777777" w:rsidR="00961733" w:rsidRPr="00F67A2B" w:rsidRDefault="00961733" w:rsidP="00961733">
      <w:pPr>
        <w:pStyle w:val="ListBullet2"/>
        <w:numPr>
          <w:ilvl w:val="1"/>
          <w:numId w:val="2"/>
        </w:numPr>
        <w:spacing w:after="120"/>
        <w:rPr>
          <w:rFonts w:eastAsiaTheme="minorHAnsi" w:cstheme="minorBidi"/>
          <w:color w:val="auto"/>
        </w:rPr>
      </w:pPr>
      <w:r w:rsidRPr="00F67A2B">
        <w:rPr>
          <w:rFonts w:eastAsiaTheme="minorHAnsi" w:cstheme="minorBidi"/>
          <w:color w:val="auto"/>
        </w:rPr>
        <w:t>Where these manufacturers use subcontractors, this should be clearly specified in the agreement (for example, outsourced testing laboratories).</w:t>
      </w:r>
    </w:p>
    <w:p w14:paraId="2B634B93" w14:textId="5CAF61E1" w:rsidR="00961733" w:rsidRDefault="00961733" w:rsidP="00961733">
      <w:r>
        <w:t xml:space="preserve">GMP, quality or technical agreements should be in place between the primary or </w:t>
      </w:r>
      <w:r w:rsidR="00C4516E">
        <w:t xml:space="preserve">principal </w:t>
      </w:r>
      <w:r>
        <w:t xml:space="preserve">manufacturer and their subcontractors. </w:t>
      </w:r>
      <w:r w:rsidR="00C4516E">
        <w:t xml:space="preserve">These </w:t>
      </w:r>
      <w:r>
        <w:t>should be provided as part of your application where appropriate.</w:t>
      </w:r>
    </w:p>
    <w:p w14:paraId="1B5716A7" w14:textId="77777777" w:rsidR="00961733" w:rsidRDefault="00961733" w:rsidP="00961733">
      <w:r>
        <w:t>The diagram below illustrates an example of a typical global supply chain and aims to clarify the GMP, quality or technical agreements that need to be in place for the supply of medicines to Australia.</w:t>
      </w:r>
    </w:p>
    <w:p w14:paraId="770CCCBF" w14:textId="77777777" w:rsidR="00961733" w:rsidRDefault="00961733" w:rsidP="00961733"/>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26C5C3F5" w14:textId="77777777" w:rsidTr="0042350D">
        <w:tc>
          <w:tcPr>
            <w:tcW w:w="1276" w:type="dxa"/>
            <w:vAlign w:val="center"/>
          </w:tcPr>
          <w:p w14:paraId="4117B18D" w14:textId="77777777" w:rsidR="00961733" w:rsidRPr="00215D48" w:rsidRDefault="00961733" w:rsidP="0042350D">
            <w:r w:rsidRPr="00215D48">
              <w:rPr>
                <w:noProof/>
                <w:lang w:eastAsia="en-AU"/>
              </w:rPr>
              <w:drawing>
                <wp:inline distT="0" distB="0" distL="0" distR="0" wp14:anchorId="6860C573" wp14:editId="6383CD81">
                  <wp:extent cx="487681" cy="487681"/>
                  <wp:effectExtent l="19050" t="0" r="7619" b="0"/>
                  <wp:docPr id="190941770" name="Picture 19094177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50332EF" w14:textId="77777777" w:rsidR="00961733" w:rsidRPr="00215D48" w:rsidRDefault="00961733" w:rsidP="0042350D">
            <w:r>
              <w:t xml:space="preserve">This diagram does not cover every scenario and if you have questions in relation to GMP, quality or technical agreements please </w:t>
            </w:r>
            <w:hyperlink r:id="rId21" w:anchor="contacts" w:history="1">
              <w:r w:rsidRPr="00F526B3">
                <w:rPr>
                  <w:rStyle w:val="Hyperlink"/>
                </w:rPr>
                <w:t>contact us</w:t>
              </w:r>
            </w:hyperlink>
            <w:r>
              <w:t xml:space="preserve"> </w:t>
            </w:r>
            <w:r w:rsidRPr="00F526B3">
              <w:rPr>
                <w:b/>
              </w:rPr>
              <w:t>prior</w:t>
            </w:r>
            <w:r>
              <w:t xml:space="preserve"> to proceeding with your application.</w:t>
            </w:r>
          </w:p>
        </w:tc>
      </w:tr>
    </w:tbl>
    <w:p w14:paraId="0BFB4C46" w14:textId="77777777" w:rsidR="00961733" w:rsidRDefault="00961733" w:rsidP="00961733"/>
    <w:p w14:paraId="42A9CABC" w14:textId="487517FD" w:rsidR="00961733" w:rsidRDefault="00961733" w:rsidP="00961733">
      <w:r>
        <w:t xml:space="preserve">The Australian Marketing Authorisation (MA) holder (the sponsor) has a direct relationship with the primary or </w:t>
      </w:r>
      <w:r w:rsidRPr="002B05AD">
        <w:t>princip</w:t>
      </w:r>
      <w:r w:rsidR="00980E0D" w:rsidRPr="002B05AD">
        <w:t>al</w:t>
      </w:r>
      <w:r>
        <w:t xml:space="preserve"> manufacturer of the product. This relationship consists of a two</w:t>
      </w:r>
      <w:r w:rsidR="00C4516E">
        <w:t>-</w:t>
      </w:r>
      <w:r>
        <w:t xml:space="preserve">way communication flow and </w:t>
      </w:r>
      <w:proofErr w:type="gramStart"/>
      <w:r>
        <w:t>signed</w:t>
      </w:r>
      <w:proofErr w:type="gramEnd"/>
      <w:r>
        <w:t xml:space="preserve"> GMP, quality or technical agreement. In addition, the primary manufacturer has a supply chain and contracted manufacturing sites, such as the API supplier, contract testing lab, contract steriliser, contract secondary packager and contract Authorised Person (AP) performing release for supply.</w:t>
      </w:r>
    </w:p>
    <w:p w14:paraId="06D355B5" w14:textId="77777777" w:rsidR="00961733" w:rsidRDefault="00961733" w:rsidP="00961733">
      <w:pPr>
        <w:jc w:val="center"/>
      </w:pPr>
      <w:r>
        <w:rPr>
          <w:noProof/>
          <w:lang w:eastAsia="en-AU"/>
        </w:rPr>
        <w:drawing>
          <wp:inline distT="0" distB="0" distL="0" distR="0" wp14:anchorId="526FA9F3" wp14:editId="20D7B22F">
            <wp:extent cx="4212172" cy="2865717"/>
            <wp:effectExtent l="0" t="0" r="0" b="0"/>
            <wp:docPr id="190941771" name="Picture 190941771" descr="The Australian marketing authorisation holder (the sponsor) has a direct relationship with the primary manufacturer of the product. This relationship consists of a two way communication flow and signed GMP/Quality or technical agreement. In addition, the primary manufacturer has a supply chain and contracted manufacturing sites, including the API supplier, contract testing lab, contract steriliser, contract secondary packager and contract Authorised Person (AP) performing release for supply." title="A typical global supply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2172" cy="2865717"/>
                    </a:xfrm>
                    <a:prstGeom prst="rect">
                      <a:avLst/>
                    </a:prstGeom>
                    <a:noFill/>
                    <a:ln>
                      <a:noFill/>
                    </a:ln>
                  </pic:spPr>
                </pic:pic>
              </a:graphicData>
            </a:graphic>
          </wp:inline>
        </w:drawing>
      </w:r>
    </w:p>
    <w:p w14:paraId="748BB833" w14:textId="6CA55F98" w:rsidR="00961733" w:rsidRPr="00E35186" w:rsidRDefault="00961733" w:rsidP="00961733">
      <w:pPr>
        <w:pStyle w:val="Heading2"/>
      </w:pPr>
      <w:bookmarkStart w:id="21" w:name="_How_GMP_clearance"/>
      <w:bookmarkStart w:id="22" w:name="_Toc147929193"/>
      <w:bookmarkStart w:id="23" w:name="_Toc198723714"/>
      <w:bookmarkEnd w:id="21"/>
      <w:r w:rsidRPr="00E35186">
        <w:lastRenderedPageBreak/>
        <w:t xml:space="preserve">How </w:t>
      </w:r>
      <w:r w:rsidR="00B323DA">
        <w:t>GMP Clearance</w:t>
      </w:r>
      <w:r w:rsidRPr="00E35186">
        <w:t xml:space="preserve"> is obtained</w:t>
      </w:r>
      <w:bookmarkEnd w:id="22"/>
      <w:bookmarkEnd w:id="23"/>
    </w:p>
    <w:p w14:paraId="51A3D616" w14:textId="4F262079" w:rsidR="00980E0D" w:rsidRPr="00143ADF" w:rsidRDefault="00B323DA" w:rsidP="00980E0D">
      <w:pPr>
        <w:pStyle w:val="pf0"/>
        <w:rPr>
          <w:rFonts w:asciiTheme="minorHAnsi" w:hAnsiTheme="minorHAnsi" w:cstheme="minorHAnsi"/>
          <w:sz w:val="20"/>
          <w:szCs w:val="20"/>
        </w:rPr>
      </w:pPr>
      <w:r w:rsidRPr="00143ADF">
        <w:rPr>
          <w:rFonts w:asciiTheme="minorHAnsi" w:hAnsiTheme="minorHAnsi" w:cstheme="minorHAnsi"/>
          <w:sz w:val="20"/>
          <w:szCs w:val="20"/>
        </w:rPr>
        <w:t>GMP Clearance</w:t>
      </w:r>
      <w:r w:rsidR="00961733" w:rsidRPr="00143ADF">
        <w:rPr>
          <w:rFonts w:asciiTheme="minorHAnsi" w:hAnsiTheme="minorHAnsi" w:cstheme="minorHAnsi"/>
          <w:sz w:val="20"/>
          <w:szCs w:val="20"/>
        </w:rPr>
        <w:t xml:space="preserve"> can be obtained </w:t>
      </w:r>
      <w:r w:rsidR="00980E0D" w:rsidRPr="00143ADF">
        <w:rPr>
          <w:rFonts w:asciiTheme="minorHAnsi" w:hAnsiTheme="minorHAnsi" w:cstheme="minorHAnsi"/>
          <w:sz w:val="20"/>
          <w:szCs w:val="20"/>
        </w:rPr>
        <w:t xml:space="preserve">by the Australian Sponsor for the </w:t>
      </w:r>
      <w:r w:rsidR="00961733" w:rsidRPr="00143ADF">
        <w:rPr>
          <w:rFonts w:asciiTheme="minorHAnsi" w:hAnsiTheme="minorHAnsi" w:cstheme="minorHAnsi"/>
          <w:sz w:val="20"/>
          <w:szCs w:val="20"/>
        </w:rPr>
        <w:t>manufacturing site</w:t>
      </w:r>
      <w:r w:rsidR="00980E0D" w:rsidRPr="00143ADF">
        <w:rPr>
          <w:rFonts w:asciiTheme="minorHAnsi" w:hAnsiTheme="minorHAnsi" w:cstheme="minorHAnsi"/>
          <w:sz w:val="20"/>
          <w:szCs w:val="20"/>
        </w:rPr>
        <w:t xml:space="preserve">. </w:t>
      </w:r>
      <w:r w:rsidR="00980E0D" w:rsidRPr="00143ADF">
        <w:rPr>
          <w:rStyle w:val="cf01"/>
          <w:rFonts w:asciiTheme="minorHAnsi" w:hAnsiTheme="minorHAnsi" w:cstheme="minorHAnsi"/>
          <w:sz w:val="20"/>
          <w:szCs w:val="20"/>
        </w:rPr>
        <w:t>You can apply for a GMP Clearance for your manufacturing site using one of three pathways:</w:t>
      </w:r>
    </w:p>
    <w:p w14:paraId="6F2D8A7A" w14:textId="0951995A" w:rsidR="00961733" w:rsidRPr="00143ADF" w:rsidRDefault="00961733" w:rsidP="00961733">
      <w:pPr>
        <w:pStyle w:val="ListBullet"/>
        <w:numPr>
          <w:ilvl w:val="0"/>
          <w:numId w:val="2"/>
        </w:numPr>
        <w:rPr>
          <w:rFonts w:eastAsiaTheme="minorHAnsi" w:cstheme="minorBidi"/>
          <w:color w:val="auto"/>
        </w:rPr>
      </w:pPr>
      <w:r w:rsidRPr="00143ADF">
        <w:rPr>
          <w:color w:val="auto"/>
        </w:rPr>
        <w:t xml:space="preserve">a </w:t>
      </w:r>
      <w:r w:rsidRPr="00143ADF">
        <w:rPr>
          <w:rFonts w:eastAsiaTheme="minorHAnsi" w:cstheme="minorBidi"/>
          <w:color w:val="auto"/>
        </w:rPr>
        <w:t xml:space="preserve">Mutual Recognition Agreement (MRA) desktop </w:t>
      </w:r>
      <w:r w:rsidR="001C199B">
        <w:rPr>
          <w:rFonts w:eastAsiaTheme="minorHAnsi" w:cstheme="minorBidi"/>
          <w:color w:val="auto"/>
        </w:rPr>
        <w:t>evaluation</w:t>
      </w:r>
    </w:p>
    <w:p w14:paraId="4126535F" w14:textId="1A74C792" w:rsidR="00961733" w:rsidRPr="00143ADF" w:rsidRDefault="00961733" w:rsidP="00961733">
      <w:pPr>
        <w:pStyle w:val="ListBullet"/>
        <w:numPr>
          <w:ilvl w:val="0"/>
          <w:numId w:val="2"/>
        </w:numPr>
        <w:rPr>
          <w:rFonts w:eastAsiaTheme="minorHAnsi" w:cstheme="minorBidi"/>
          <w:color w:val="auto"/>
        </w:rPr>
      </w:pPr>
      <w:r w:rsidRPr="00143ADF">
        <w:rPr>
          <w:rFonts w:eastAsiaTheme="minorHAnsi" w:cstheme="minorBidi"/>
          <w:color w:val="auto"/>
        </w:rPr>
        <w:t xml:space="preserve">a Compliance Verification (CV) desktop </w:t>
      </w:r>
      <w:r w:rsidR="001C199B">
        <w:rPr>
          <w:rFonts w:eastAsiaTheme="minorHAnsi" w:cstheme="minorBidi"/>
          <w:color w:val="auto"/>
        </w:rPr>
        <w:t>evaluation</w:t>
      </w:r>
    </w:p>
    <w:p w14:paraId="76593076" w14:textId="77777777" w:rsidR="00961733" w:rsidRPr="00143ADF" w:rsidRDefault="00961733" w:rsidP="00961733">
      <w:pPr>
        <w:pStyle w:val="ListBullet"/>
        <w:numPr>
          <w:ilvl w:val="0"/>
          <w:numId w:val="2"/>
        </w:numPr>
        <w:rPr>
          <w:rFonts w:eastAsiaTheme="minorHAnsi" w:cstheme="minorBidi"/>
          <w:color w:val="auto"/>
        </w:rPr>
      </w:pPr>
      <w:r w:rsidRPr="00143ADF">
        <w:rPr>
          <w:rFonts w:eastAsiaTheme="minorHAnsi" w:cstheme="minorBidi"/>
          <w:color w:val="auto"/>
        </w:rPr>
        <w:t>an inspection by the TGA</w:t>
      </w:r>
    </w:p>
    <w:p w14:paraId="56A50D9C" w14:textId="0D18F685" w:rsidR="00961733" w:rsidRDefault="00C4516E" w:rsidP="00961733">
      <w:pPr>
        <w:pStyle w:val="ListBullet"/>
        <w:numPr>
          <w:ilvl w:val="0"/>
          <w:numId w:val="0"/>
        </w:numPr>
      </w:pPr>
      <w:r>
        <w:rPr>
          <w:rFonts w:eastAsiaTheme="minorEastAsia" w:cstheme="minorBidi"/>
          <w:color w:val="auto"/>
        </w:rPr>
        <w:t>The TGA or the Australian Government has</w:t>
      </w:r>
      <w:r w:rsidR="00961733" w:rsidRPr="2CAF680A">
        <w:rPr>
          <w:rFonts w:eastAsiaTheme="minorEastAsia" w:cstheme="minorBidi"/>
          <w:color w:val="auto"/>
        </w:rPr>
        <w:t xml:space="preserve"> various</w:t>
      </w:r>
      <w:r w:rsidR="00961733">
        <w:t xml:space="preserve"> </w:t>
      </w:r>
      <w:hyperlink r:id="rId23">
        <w:r w:rsidR="00961733" w:rsidRPr="2CAF680A">
          <w:rPr>
            <w:rStyle w:val="Hyperlink"/>
          </w:rPr>
          <w:t>international agreements and arrangements</w:t>
        </w:r>
      </w:hyperlink>
      <w:r w:rsidR="00961733" w:rsidRPr="2CAF680A">
        <w:rPr>
          <w:rFonts w:eastAsiaTheme="minorEastAsia" w:cstheme="minorBidi"/>
          <w:color w:val="auto"/>
        </w:rPr>
        <w:t xml:space="preserve">, some of which allow us to use the evidence from inspections conducted by overseas regulatory authorities as part of the </w:t>
      </w:r>
      <w:r w:rsidR="00B323DA">
        <w:rPr>
          <w:rFonts w:eastAsiaTheme="minorEastAsia" w:cstheme="minorBidi"/>
          <w:color w:val="auto"/>
        </w:rPr>
        <w:t>GMP Clearance</w:t>
      </w:r>
      <w:r w:rsidR="00961733" w:rsidRPr="2CAF680A">
        <w:rPr>
          <w:rFonts w:eastAsiaTheme="minorEastAsia" w:cstheme="minorBidi"/>
          <w:color w:val="auto"/>
        </w:rPr>
        <w:t xml:space="preserve"> desktop </w:t>
      </w:r>
      <w:r w:rsidR="001C199B">
        <w:rPr>
          <w:rFonts w:eastAsiaTheme="minorEastAsia" w:cstheme="minorBidi"/>
          <w:color w:val="auto"/>
        </w:rPr>
        <w:t xml:space="preserve">evaluation </w:t>
      </w:r>
      <w:r w:rsidR="00961733" w:rsidRPr="2CAF680A">
        <w:rPr>
          <w:rFonts w:eastAsiaTheme="minorEastAsia" w:cstheme="minorBidi"/>
          <w:color w:val="auto"/>
        </w:rPr>
        <w:t>process. Please refer to</w:t>
      </w:r>
      <w:r w:rsidR="00961733">
        <w:t xml:space="preserve"> </w:t>
      </w:r>
      <w:hyperlink r:id="rId24">
        <w:r w:rsidR="00961733" w:rsidRPr="2CAF680A">
          <w:rPr>
            <w:rStyle w:val="Hyperlink"/>
            <w:rFonts w:cs="Cambria"/>
          </w:rPr>
          <w:t xml:space="preserve">International agreements and arrangements for </w:t>
        </w:r>
        <w:r w:rsidR="00B323DA">
          <w:rPr>
            <w:rStyle w:val="Hyperlink"/>
            <w:rFonts w:cs="Cambria"/>
          </w:rPr>
          <w:t>GMP Clearance</w:t>
        </w:r>
      </w:hyperlink>
      <w:r w:rsidR="00961733" w:rsidRPr="2CAF680A">
        <w:rPr>
          <w:rFonts w:cs="Cambria"/>
        </w:rPr>
        <w:t xml:space="preserve"> </w:t>
      </w:r>
      <w:r w:rsidR="00961733" w:rsidRPr="2CAF680A">
        <w:rPr>
          <w:rFonts w:eastAsiaTheme="minorEastAsia" w:cstheme="minorBidi"/>
          <w:color w:val="auto"/>
        </w:rPr>
        <w:t xml:space="preserve">for a list of regulatory authorities that we have an agreement with, the scope of those agreements and how they are used for </w:t>
      </w:r>
      <w:r w:rsidR="00B323DA">
        <w:rPr>
          <w:rFonts w:eastAsiaTheme="minorEastAsia" w:cstheme="minorBidi"/>
          <w:color w:val="auto"/>
        </w:rPr>
        <w:t>GMP Clearance</w:t>
      </w:r>
      <w:r w:rsidR="00961733" w:rsidRPr="2CAF680A">
        <w:rPr>
          <w:rFonts w:eastAsiaTheme="minorEastAsia" w:cstheme="minorBidi"/>
          <w:color w:val="auto"/>
        </w:rPr>
        <w:t xml:space="preserve"> applications. </w:t>
      </w:r>
    </w:p>
    <w:p w14:paraId="1508057F" w14:textId="11B614ED" w:rsidR="00961733" w:rsidRDefault="00961733" w:rsidP="00961733">
      <w:r>
        <w:t xml:space="preserve">This </w:t>
      </w:r>
      <w:r w:rsidR="00C968DD">
        <w:t>information</w:t>
      </w:r>
      <w:r>
        <w:t xml:space="preserve"> deals with obtaining </w:t>
      </w:r>
      <w:r w:rsidR="00B323DA">
        <w:t>GMP Clearance</w:t>
      </w:r>
      <w:r>
        <w:t xml:space="preserve"> through the </w:t>
      </w:r>
      <w:r w:rsidRPr="5AB8732C">
        <w:rPr>
          <w:b/>
          <w:bCs/>
        </w:rPr>
        <w:t>MRA</w:t>
      </w:r>
      <w:r>
        <w:t xml:space="preserve"> or </w:t>
      </w:r>
      <w:r w:rsidRPr="5AB8732C">
        <w:rPr>
          <w:b/>
          <w:bCs/>
        </w:rPr>
        <w:t>CV</w:t>
      </w:r>
      <w:r>
        <w:t xml:space="preserve"> desktop </w:t>
      </w:r>
      <w:r w:rsidR="001C199B">
        <w:t xml:space="preserve">evaluation </w:t>
      </w:r>
      <w:r>
        <w:t xml:space="preserve">pathways </w:t>
      </w:r>
      <w:r w:rsidRPr="5AB8732C">
        <w:rPr>
          <w:b/>
          <w:bCs/>
        </w:rPr>
        <w:t>only</w:t>
      </w:r>
      <w:r>
        <w:t xml:space="preserve">. The </w:t>
      </w:r>
      <w:hyperlink r:id="rId25">
        <w:r w:rsidRPr="5AB8732C">
          <w:rPr>
            <w:rStyle w:val="Hyperlink"/>
          </w:rPr>
          <w:t>Australian manufacturing licences and overseas GMP certification guidance</w:t>
        </w:r>
      </w:hyperlink>
      <w:r>
        <w:t xml:space="preserve"> provides more information for those obtaining a </w:t>
      </w:r>
      <w:r w:rsidR="00B323DA">
        <w:t>GMP Clearance</w:t>
      </w:r>
      <w:r>
        <w:t xml:space="preserve"> following a successful TGA inspection. If you need a step-by-step guide of how to submit </w:t>
      </w:r>
      <w:r w:rsidR="00B323DA">
        <w:t>GMP Clearance</w:t>
      </w:r>
      <w:r>
        <w:t xml:space="preserve"> application in TGA Business Services (TBS) portal, please refer to </w:t>
      </w:r>
      <w:hyperlink r:id="rId26" w:history="1">
        <w:r w:rsidR="00B323DA" w:rsidRPr="00143ADF">
          <w:rPr>
            <w:rStyle w:val="Hyperlink"/>
          </w:rPr>
          <w:t>GMP Clearance</w:t>
        </w:r>
        <w:r w:rsidRPr="00143ADF">
          <w:rPr>
            <w:rStyle w:val="Hyperlink"/>
          </w:rPr>
          <w:t>: application and submission user guide</w:t>
        </w:r>
      </w:hyperlink>
      <w:r>
        <w:t xml:space="preserv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661785E5" w14:textId="77777777" w:rsidTr="0042350D">
        <w:tc>
          <w:tcPr>
            <w:tcW w:w="1276" w:type="dxa"/>
            <w:vAlign w:val="center"/>
          </w:tcPr>
          <w:p w14:paraId="6FC79B39" w14:textId="77777777" w:rsidR="00961733" w:rsidRPr="00215D48" w:rsidRDefault="00961733" w:rsidP="0042350D">
            <w:r w:rsidRPr="00215D48">
              <w:rPr>
                <w:noProof/>
                <w:lang w:eastAsia="en-AU"/>
              </w:rPr>
              <w:drawing>
                <wp:inline distT="0" distB="0" distL="0" distR="0" wp14:anchorId="0DDB85ED" wp14:editId="39AD8833">
                  <wp:extent cx="487681" cy="487681"/>
                  <wp:effectExtent l="19050" t="0" r="7619" b="0"/>
                  <wp:docPr id="7" name="Picture 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79ABB7D" w14:textId="79F67C62" w:rsidR="00961733" w:rsidRPr="00215D48" w:rsidRDefault="00961733" w:rsidP="0042350D">
            <w:hyperlink w:anchor="_Letters_of_access_1" w:history="1">
              <w:r w:rsidRPr="00AB1431">
                <w:rPr>
                  <w:rStyle w:val="Hyperlink"/>
                </w:rPr>
                <w:t>Letters of Access (</w:t>
              </w:r>
              <w:proofErr w:type="spellStart"/>
              <w:r w:rsidRPr="00AB1431">
                <w:rPr>
                  <w:rStyle w:val="Hyperlink"/>
                </w:rPr>
                <w:t>LoA</w:t>
              </w:r>
              <w:proofErr w:type="spellEnd"/>
              <w:r w:rsidRPr="00AB1431">
                <w:rPr>
                  <w:rStyle w:val="Hyperlink"/>
                </w:rPr>
                <w:t>)</w:t>
              </w:r>
            </w:hyperlink>
            <w:r>
              <w:t xml:space="preserve"> are </w:t>
            </w:r>
            <w:r w:rsidRPr="0031569D">
              <w:rPr>
                <w:b/>
              </w:rPr>
              <w:t>not a pathway</w:t>
            </w:r>
            <w:r>
              <w:t xml:space="preserve"> to obtain </w:t>
            </w:r>
            <w:r w:rsidR="00B323DA">
              <w:t>GMP Clearance</w:t>
            </w:r>
            <w:r>
              <w:t xml:space="preserve"> but rather a type of evidence that can be provided when using either the MRA or CV pathway.</w:t>
            </w:r>
          </w:p>
        </w:tc>
      </w:tr>
    </w:tbl>
    <w:p w14:paraId="2F789A14" w14:textId="77777777" w:rsidR="00961733" w:rsidRDefault="00961733" w:rsidP="00961733">
      <w:bookmarkStart w:id="24" w:name="_How_much_GMP"/>
      <w:bookmarkEnd w:id="24"/>
    </w:p>
    <w:p w14:paraId="40BBBCB8" w14:textId="0A18E679" w:rsidR="00961733" w:rsidRDefault="00961733" w:rsidP="00961733">
      <w:r>
        <w:t xml:space="preserve">The </w:t>
      </w:r>
      <w:r w:rsidR="00C4516E">
        <w:t xml:space="preserve">location of </w:t>
      </w:r>
      <w:r>
        <w:t xml:space="preserve">your manufacturer and which regulatory authority inspected the site will determine which pathway is appropriate for your </w:t>
      </w:r>
      <w:r w:rsidR="00B323DA">
        <w:t>GMP Clearance</w:t>
      </w:r>
      <w:r w:rsidR="00C4516E">
        <w:t xml:space="preserve"> application</w:t>
      </w:r>
      <w:r>
        <w:t>.</w:t>
      </w:r>
    </w:p>
    <w:p w14:paraId="7D43B54F" w14:textId="77777777" w:rsidR="00961733" w:rsidRPr="00E35186" w:rsidRDefault="00961733" w:rsidP="00961733">
      <w:pPr>
        <w:pStyle w:val="Heading3"/>
      </w:pPr>
      <w:bookmarkStart w:id="25" w:name="_Toc147929194"/>
      <w:bookmarkStart w:id="26" w:name="_Toc198723715"/>
      <w:r w:rsidRPr="00E35186">
        <w:t>Mutual Recognition Agreements (MRA)</w:t>
      </w:r>
      <w:bookmarkEnd w:id="25"/>
      <w:bookmarkEnd w:id="26"/>
    </w:p>
    <w:p w14:paraId="298F8911" w14:textId="784E74D0" w:rsidR="00961733" w:rsidRDefault="00961733" w:rsidP="00961733">
      <w:r>
        <w:t xml:space="preserve">Use the MRA pathway if the manufacturer you are seeking </w:t>
      </w:r>
      <w:r w:rsidR="00B323DA">
        <w:t>GMP Clearance</w:t>
      </w:r>
      <w:r>
        <w:t xml:space="preserve"> for is located </w:t>
      </w:r>
      <w:r w:rsidRPr="00EC78E3">
        <w:rPr>
          <w:b/>
        </w:rPr>
        <w:t>within the borders</w:t>
      </w:r>
      <w:r>
        <w:t xml:space="preserve"> of a </w:t>
      </w:r>
      <w:hyperlink r:id="rId27" w:history="1">
        <w:r w:rsidRPr="00EC78E3">
          <w:rPr>
            <w:rStyle w:val="Hyperlink"/>
          </w:rPr>
          <w:t>MRA country</w:t>
        </w:r>
      </w:hyperlink>
      <w:r>
        <w:t xml:space="preserve"> and has been inspected by that country’s regulatory authority.</w:t>
      </w:r>
    </w:p>
    <w:p w14:paraId="028A2446" w14:textId="77777777" w:rsidR="00961733" w:rsidRDefault="00961733" w:rsidP="00961733">
      <w:pPr>
        <w:pStyle w:val="Heading3"/>
      </w:pPr>
      <w:bookmarkStart w:id="27" w:name="_Toc147929195"/>
      <w:bookmarkStart w:id="28" w:name="_Toc198723716"/>
      <w:r w:rsidRPr="00E35186">
        <w:t>Compliance Verification (CV)</w:t>
      </w:r>
      <w:bookmarkEnd w:id="27"/>
      <w:bookmarkEnd w:id="28"/>
      <w:r>
        <w:tab/>
      </w:r>
    </w:p>
    <w:p w14:paraId="089E55C5" w14:textId="74E44CFD" w:rsidR="00961733" w:rsidRDefault="00961733" w:rsidP="00961733">
      <w:r>
        <w:t xml:space="preserve">Use the CV pathway if the manufacturer you are seeking </w:t>
      </w:r>
      <w:r w:rsidR="00B323DA">
        <w:t>GMP Clearance</w:t>
      </w:r>
      <w:r>
        <w:t xml:space="preserve"> for does not meet the criteria for the MRA pathway </w:t>
      </w:r>
      <w:r w:rsidR="00E83DC4">
        <w:t xml:space="preserve">but </w:t>
      </w:r>
      <w:r>
        <w:t xml:space="preserve">has been inspected by a regulatory authority that has an </w:t>
      </w:r>
      <w:hyperlink r:id="rId28" w:history="1">
        <w:r w:rsidRPr="00E67C5F">
          <w:rPr>
            <w:rStyle w:val="Hyperlink"/>
          </w:rPr>
          <w:t>agreement or arrangement with the TGA</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6CCD2A3F" w14:textId="77777777" w:rsidTr="0042350D">
        <w:tc>
          <w:tcPr>
            <w:tcW w:w="1276" w:type="dxa"/>
            <w:vAlign w:val="center"/>
          </w:tcPr>
          <w:p w14:paraId="3D4D0CDC" w14:textId="77777777" w:rsidR="00961733" w:rsidRPr="00215D48" w:rsidRDefault="00961733" w:rsidP="0042350D">
            <w:r w:rsidRPr="00215D48">
              <w:rPr>
                <w:noProof/>
                <w:lang w:eastAsia="en-AU"/>
              </w:rPr>
              <w:drawing>
                <wp:inline distT="0" distB="0" distL="0" distR="0" wp14:anchorId="514EE1B8" wp14:editId="5A363DD6">
                  <wp:extent cx="487681" cy="487681"/>
                  <wp:effectExtent l="19050" t="0" r="7619" b="0"/>
                  <wp:docPr id="190941766" name="Picture 19094176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FF3176C" w14:textId="756A88CF" w:rsidR="00961733" w:rsidRPr="00567810" w:rsidRDefault="00961733" w:rsidP="0042350D">
            <w:r w:rsidRPr="00567810">
              <w:t xml:space="preserve">In </w:t>
            </w:r>
            <w:r w:rsidR="00E83DC4">
              <w:t>some</w:t>
            </w:r>
            <w:r w:rsidR="00E83DC4" w:rsidRPr="00567810">
              <w:t xml:space="preserve"> </w:t>
            </w:r>
            <w:r w:rsidRPr="00567810">
              <w:t xml:space="preserve">cases, the MRA and CV pathways are </w:t>
            </w:r>
            <w:r w:rsidRPr="00567810">
              <w:rPr>
                <w:b/>
              </w:rPr>
              <w:t>unavailable</w:t>
            </w:r>
            <w:r w:rsidRPr="00567810">
              <w:t xml:space="preserve"> because other countries have different regulatory frameworks and GMP standards. For example:</w:t>
            </w:r>
          </w:p>
          <w:p w14:paraId="3BD66E0A" w14:textId="77777777" w:rsidR="00961733" w:rsidRPr="00143ADF" w:rsidRDefault="00961733" w:rsidP="00961733">
            <w:pPr>
              <w:pStyle w:val="ListBullet"/>
              <w:numPr>
                <w:ilvl w:val="0"/>
                <w:numId w:val="2"/>
              </w:numPr>
              <w:rPr>
                <w:color w:val="auto"/>
              </w:rPr>
            </w:pPr>
            <w:r w:rsidRPr="00D60E97">
              <w:rPr>
                <w:b/>
                <w:bCs/>
                <w:color w:val="auto"/>
              </w:rPr>
              <w:t>biologicals, human blood and blood components and Haematopoietic Progenitor Cells (HPCs)</w:t>
            </w:r>
            <w:r w:rsidRPr="00D60E97">
              <w:rPr>
                <w:color w:val="auto"/>
              </w:rPr>
              <w:t xml:space="preserve"> as Australia has its own </w:t>
            </w:r>
            <w:hyperlink r:id="rId29">
              <w:r w:rsidRPr="42BFFDF0">
                <w:rPr>
                  <w:rStyle w:val="Hyperlink"/>
                </w:rPr>
                <w:t>manufacturing standard</w:t>
              </w:r>
            </w:hyperlink>
            <w:r>
              <w:t xml:space="preserve"> </w:t>
            </w:r>
            <w:r w:rsidRPr="00D60E97">
              <w:rPr>
                <w:color w:val="auto"/>
              </w:rPr>
              <w:t>for these product types. However, where the manufacturing site performs only s</w:t>
            </w:r>
            <w:r w:rsidRPr="00143ADF">
              <w:rPr>
                <w:color w:val="auto"/>
              </w:rPr>
              <w:t>terilisation of these products, the MRA or CV pathways may be used</w:t>
            </w:r>
          </w:p>
          <w:p w14:paraId="2C484D60" w14:textId="4E0806A7" w:rsidR="00961733" w:rsidRPr="00215D48" w:rsidRDefault="00961733" w:rsidP="00961733">
            <w:pPr>
              <w:pStyle w:val="ListBullet"/>
              <w:numPr>
                <w:ilvl w:val="0"/>
                <w:numId w:val="2"/>
              </w:numPr>
            </w:pPr>
            <w:r w:rsidRPr="00143ADF">
              <w:rPr>
                <w:color w:val="auto"/>
              </w:rPr>
              <w:t xml:space="preserve">some </w:t>
            </w:r>
            <w:r w:rsidRPr="00143ADF">
              <w:rPr>
                <w:b/>
                <w:bCs/>
                <w:color w:val="auto"/>
              </w:rPr>
              <w:t>complementary</w:t>
            </w:r>
            <w:r w:rsidRPr="00143ADF">
              <w:rPr>
                <w:color w:val="auto"/>
              </w:rPr>
              <w:t xml:space="preserve"> and </w:t>
            </w:r>
            <w:r w:rsidRPr="00143ADF">
              <w:rPr>
                <w:b/>
                <w:bCs/>
                <w:color w:val="auto"/>
              </w:rPr>
              <w:t>listed medicines</w:t>
            </w:r>
            <w:r w:rsidRPr="00143ADF">
              <w:rPr>
                <w:color w:val="auto"/>
              </w:rPr>
              <w:t xml:space="preserve">, including </w:t>
            </w:r>
            <w:r w:rsidRPr="00143ADF">
              <w:rPr>
                <w:b/>
                <w:bCs/>
                <w:color w:val="auto"/>
              </w:rPr>
              <w:t>sunscreens and dietary supplement</w:t>
            </w:r>
            <w:r w:rsidR="00E83DC4" w:rsidRPr="00143ADF">
              <w:rPr>
                <w:b/>
                <w:bCs/>
                <w:color w:val="auto"/>
              </w:rPr>
              <w:t>s</w:t>
            </w:r>
            <w:r w:rsidRPr="00143ADF">
              <w:rPr>
                <w:color w:val="auto"/>
              </w:rPr>
              <w:t xml:space="preserve">. These </w:t>
            </w:r>
            <w:r w:rsidRPr="00143ADF">
              <w:rPr>
                <w:b/>
                <w:bCs/>
                <w:color w:val="auto"/>
              </w:rPr>
              <w:t>may not be regulated</w:t>
            </w:r>
            <w:r w:rsidRPr="00143ADF">
              <w:rPr>
                <w:color w:val="auto"/>
              </w:rPr>
              <w:t xml:space="preserve"> as medicines in other </w:t>
            </w:r>
            <w:r w:rsidRPr="00143ADF">
              <w:rPr>
                <w:color w:val="auto"/>
              </w:rPr>
              <w:lastRenderedPageBreak/>
              <w:t>countries. The site must be inspected by a recognised regulatory authority for a human medicinal product against equivalent GMP requirements.</w:t>
            </w:r>
          </w:p>
        </w:tc>
      </w:tr>
    </w:tbl>
    <w:p w14:paraId="15DAB2F1" w14:textId="77777777" w:rsidR="00961733" w:rsidRPr="00E35186" w:rsidRDefault="00961733" w:rsidP="00961733">
      <w:pPr>
        <w:pStyle w:val="Heading3"/>
      </w:pPr>
      <w:bookmarkStart w:id="29" w:name="_Toc147929196"/>
      <w:bookmarkStart w:id="30" w:name="_Toc198723717"/>
      <w:r w:rsidRPr="00E35186">
        <w:lastRenderedPageBreak/>
        <w:t>TGA inspection</w:t>
      </w:r>
      <w:bookmarkEnd w:id="29"/>
      <w:bookmarkEnd w:id="30"/>
    </w:p>
    <w:p w14:paraId="020F8B5D" w14:textId="52AB8119" w:rsidR="00961733" w:rsidRDefault="00961733" w:rsidP="00961733">
      <w:pPr>
        <w:keepNext/>
      </w:pPr>
      <w:r>
        <w:t>If the MRA or CV pathways</w:t>
      </w:r>
      <w:r w:rsidR="00F84B31">
        <w:t xml:space="preserve"> aren’t available, for one of the reasons outlined above</w:t>
      </w:r>
      <w:r>
        <w:t>, you</w:t>
      </w:r>
      <w:r w:rsidR="00B72EFA">
        <w:t xml:space="preserve"> can request</w:t>
      </w:r>
      <w:r>
        <w:t xml:space="preserve">  a TGA inspection</w:t>
      </w:r>
      <w:r w:rsidR="00F84B31">
        <w:rPr>
          <w:rStyle w:val="cf01"/>
          <w:rFonts w:asciiTheme="minorHAnsi" w:hAnsiTheme="minorHAnsi" w:cstheme="minorHAnsi"/>
          <w:sz w:val="20"/>
          <w:szCs w:val="20"/>
        </w:rPr>
        <w:t xml:space="preserve"> by</w:t>
      </w:r>
      <w:r w:rsidR="00735EA6" w:rsidRPr="00B26933">
        <w:rPr>
          <w:rStyle w:val="cf01"/>
          <w:rFonts w:asciiTheme="minorHAnsi" w:hAnsiTheme="minorHAnsi" w:cstheme="minorHAnsi"/>
          <w:sz w:val="20"/>
          <w:szCs w:val="20"/>
        </w:rPr>
        <w:t xml:space="preserve"> </w:t>
      </w:r>
      <w:r w:rsidR="00F84B31" w:rsidRPr="00B26933">
        <w:rPr>
          <w:rStyle w:val="cf01"/>
          <w:rFonts w:asciiTheme="minorHAnsi" w:hAnsiTheme="minorHAnsi" w:cstheme="minorHAnsi"/>
          <w:sz w:val="20"/>
          <w:szCs w:val="20"/>
        </w:rPr>
        <w:t>submit</w:t>
      </w:r>
      <w:r w:rsidR="00F84B31">
        <w:rPr>
          <w:rStyle w:val="cf01"/>
          <w:rFonts w:asciiTheme="minorHAnsi" w:hAnsiTheme="minorHAnsi" w:cstheme="minorHAnsi"/>
          <w:sz w:val="20"/>
          <w:szCs w:val="20"/>
        </w:rPr>
        <w:t>ting</w:t>
      </w:r>
      <w:r w:rsidR="00735EA6" w:rsidRPr="00B26933">
        <w:rPr>
          <w:rStyle w:val="cf01"/>
          <w:rFonts w:asciiTheme="minorHAnsi" w:hAnsiTheme="minorHAnsi" w:cstheme="minorHAnsi"/>
          <w:sz w:val="20"/>
          <w:szCs w:val="20"/>
        </w:rPr>
        <w:t xml:space="preserve"> a </w:t>
      </w:r>
      <w:hyperlink r:id="rId30" w:history="1">
        <w:r w:rsidR="00D71522" w:rsidRPr="00B26933">
          <w:rPr>
            <w:rStyle w:val="Hyperlink"/>
            <w:rFonts w:asciiTheme="minorHAnsi" w:hAnsiTheme="minorHAnsi" w:cstheme="minorHAnsi"/>
          </w:rPr>
          <w:t>certification application</w:t>
        </w:r>
      </w:hyperlink>
      <w:r w:rsidR="00D71522" w:rsidRPr="00B26933">
        <w:rPr>
          <w:rStyle w:val="Hyperlink"/>
          <w:rFonts w:asciiTheme="minorHAnsi" w:hAnsiTheme="minorHAnsi" w:cstheme="minorHAnsi"/>
        </w:rPr>
        <w:t xml:space="preserve"> </w:t>
      </w:r>
      <w:r w:rsidR="00735EA6" w:rsidRPr="00B26933">
        <w:rPr>
          <w:rStyle w:val="cf01"/>
          <w:rFonts w:asciiTheme="minorHAnsi" w:hAnsiTheme="minorHAnsi" w:cstheme="minorHAnsi"/>
          <w:sz w:val="20"/>
          <w:szCs w:val="20"/>
        </w:rPr>
        <w:t>via the portal</w:t>
      </w:r>
      <w:r w:rsidR="00D71522">
        <w:rPr>
          <w:rStyle w:val="cf01"/>
        </w:rPr>
        <w:t>.</w:t>
      </w:r>
    </w:p>
    <w:p w14:paraId="29623106" w14:textId="77777777" w:rsidR="00961733" w:rsidRDefault="00961733" w:rsidP="00961733">
      <w:pPr>
        <w:keepNext/>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3835D456" w14:textId="77777777" w:rsidTr="0042350D">
        <w:trPr>
          <w:cantSplit/>
        </w:trPr>
        <w:tc>
          <w:tcPr>
            <w:tcW w:w="1276" w:type="dxa"/>
            <w:vAlign w:val="center"/>
          </w:tcPr>
          <w:p w14:paraId="36FF7C8A" w14:textId="77777777" w:rsidR="00961733" w:rsidRPr="00B2554D" w:rsidRDefault="00961733" w:rsidP="0042350D">
            <w:r w:rsidRPr="00B2554D">
              <w:rPr>
                <w:noProof/>
                <w:lang w:eastAsia="en-AU"/>
              </w:rPr>
              <w:drawing>
                <wp:inline distT="0" distB="0" distL="0" distR="0" wp14:anchorId="6DEF2D74" wp14:editId="0BAFBEDE">
                  <wp:extent cx="487681" cy="487681"/>
                  <wp:effectExtent l="19050" t="0" r="7619" b="0"/>
                  <wp:docPr id="190941767" name="Picture 19094176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46AC32F" w14:textId="114D7BF4" w:rsidR="00980E0D" w:rsidRDefault="00980E0D" w:rsidP="0042350D">
            <w:r>
              <w:t>If inspection dates have been confirmed with the manufacturer and travel arrangements have commenced, y</w:t>
            </w:r>
            <w:r w:rsidR="00961733" w:rsidRPr="00B2554D">
              <w:t xml:space="preserve">ou cannot cancel a TGA inspection by submitting a desktop </w:t>
            </w:r>
            <w:r w:rsidR="001C199B">
              <w:t xml:space="preserve">evaluation </w:t>
            </w:r>
            <w:r w:rsidR="00961733" w:rsidRPr="00B2554D">
              <w:t>via the MRA or CV pathways</w:t>
            </w:r>
            <w:r>
              <w:t>.</w:t>
            </w:r>
          </w:p>
          <w:p w14:paraId="3E416F27" w14:textId="77777777" w:rsidR="00961733" w:rsidRPr="00B2554D" w:rsidRDefault="00961733" w:rsidP="0042350D">
            <w:r w:rsidRPr="00B2554D">
              <w:rPr>
                <w:b/>
              </w:rPr>
              <w:t>Important</w:t>
            </w:r>
            <w:r w:rsidRPr="00B2554D">
              <w:t xml:space="preserve"> - The TGA has the right to inspect an overseas manufacturing site </w:t>
            </w:r>
            <w:r w:rsidRPr="00B2554D">
              <w:rPr>
                <w:b/>
              </w:rPr>
              <w:t>regardless of what other evidence you supply</w:t>
            </w:r>
            <w:r w:rsidRPr="00B2554D">
              <w:t>—for example, we may:</w:t>
            </w:r>
          </w:p>
          <w:p w14:paraId="6F51F486" w14:textId="6498E76D" w:rsidR="00961733" w:rsidRPr="00D60E97" w:rsidRDefault="00961733" w:rsidP="00961733">
            <w:pPr>
              <w:pStyle w:val="ListBullet"/>
              <w:numPr>
                <w:ilvl w:val="0"/>
                <w:numId w:val="2"/>
              </w:numPr>
              <w:rPr>
                <w:color w:val="auto"/>
              </w:rPr>
            </w:pPr>
            <w:r w:rsidRPr="00D60E97">
              <w:rPr>
                <w:color w:val="auto"/>
              </w:rPr>
              <w:t xml:space="preserve">have identified issues during the CV </w:t>
            </w:r>
            <w:r w:rsidR="001C199B">
              <w:rPr>
                <w:color w:val="auto"/>
              </w:rPr>
              <w:t>evaluation</w:t>
            </w:r>
          </w:p>
          <w:p w14:paraId="361EA2DB" w14:textId="77777777" w:rsidR="00961733" w:rsidRPr="00D60E97" w:rsidRDefault="00961733" w:rsidP="00961733">
            <w:pPr>
              <w:pStyle w:val="ListBullet"/>
              <w:numPr>
                <w:ilvl w:val="0"/>
                <w:numId w:val="2"/>
              </w:numPr>
              <w:rPr>
                <w:color w:val="auto"/>
              </w:rPr>
            </w:pPr>
            <w:r w:rsidRPr="00D60E97">
              <w:rPr>
                <w:color w:val="auto"/>
              </w:rPr>
              <w:t>have received other regulatory information or have concerns about the manufacturer’s level of compliance</w:t>
            </w:r>
          </w:p>
          <w:p w14:paraId="505A6DDF" w14:textId="5B8F31AD" w:rsidR="00961733" w:rsidRPr="00D60E97" w:rsidRDefault="003A3CA0" w:rsidP="00961733">
            <w:pPr>
              <w:pStyle w:val="ListBullet"/>
              <w:numPr>
                <w:ilvl w:val="0"/>
                <w:numId w:val="2"/>
              </w:numPr>
              <w:rPr>
                <w:color w:val="auto"/>
              </w:rPr>
            </w:pPr>
            <w:r>
              <w:rPr>
                <w:color w:val="auto"/>
              </w:rPr>
              <w:t>be inspecting an adjacent facility.</w:t>
            </w:r>
          </w:p>
        </w:tc>
      </w:tr>
    </w:tbl>
    <w:p w14:paraId="041FB64C" w14:textId="77777777" w:rsidR="00961733" w:rsidRDefault="00961733" w:rsidP="00961733">
      <w:pPr>
        <w:rPr>
          <w:szCs w:val="22"/>
        </w:rPr>
      </w:pPr>
    </w:p>
    <w:p w14:paraId="4FA126EC" w14:textId="5B45087A" w:rsidR="00961733" w:rsidRDefault="00961733" w:rsidP="00961733">
      <w:r>
        <w:t>Once</w:t>
      </w:r>
      <w:r w:rsidR="00980E0D">
        <w:t xml:space="preserve"> </w:t>
      </w:r>
      <w:r w:rsidR="00EE13CB">
        <w:t>the</w:t>
      </w:r>
      <w:r>
        <w:t xml:space="preserve"> TGA inspection is </w:t>
      </w:r>
      <w:r w:rsidR="00CD452E">
        <w:t>completed</w:t>
      </w:r>
      <w:r w:rsidR="00980E0D">
        <w:t xml:space="preserve"> and a TGA certificate is issued</w:t>
      </w:r>
      <w:r w:rsidR="00CD452E">
        <w:t xml:space="preserve">, the sponsor/s who </w:t>
      </w:r>
      <w:r>
        <w:t xml:space="preserve">contributed to the cost of the inspection will receive a </w:t>
      </w:r>
      <w:r w:rsidR="00B323DA">
        <w:t>GMP Clearance</w:t>
      </w:r>
      <w:r>
        <w:t xml:space="preserve">. </w:t>
      </w:r>
      <w:r w:rsidRPr="00B26933">
        <w:rPr>
          <w:b/>
          <w:bCs/>
        </w:rPr>
        <w:t xml:space="preserve">You do not need to submit a separate </w:t>
      </w:r>
      <w:r w:rsidR="00B323DA">
        <w:rPr>
          <w:b/>
          <w:bCs/>
        </w:rPr>
        <w:t>GMP Clearance</w:t>
      </w:r>
      <w:r w:rsidR="00B72EE7">
        <w:rPr>
          <w:b/>
          <w:bCs/>
        </w:rPr>
        <w:t xml:space="preserve"> </w:t>
      </w:r>
      <w:r w:rsidRPr="00B26933">
        <w:rPr>
          <w:b/>
          <w:bCs/>
        </w:rPr>
        <w:t>application for the site</w:t>
      </w:r>
      <w:r>
        <w:t>. If</w:t>
      </w:r>
      <w:r w:rsidRPr="2CAF680A">
        <w:rPr>
          <w:rFonts w:cs="Cambria"/>
        </w:rPr>
        <w:t xml:space="preserve"> you are waiting for a TGA inspection or reinspection to be conducted or finalised, you should </w:t>
      </w:r>
      <w:r w:rsidRPr="00B26933">
        <w:rPr>
          <w:rFonts w:cs="Cambria"/>
          <w:b/>
          <w:bCs/>
        </w:rPr>
        <w:t xml:space="preserve">submit an extension application prior to the expiry of your </w:t>
      </w:r>
      <w:r w:rsidR="00B323DA">
        <w:rPr>
          <w:rFonts w:cs="Cambria"/>
          <w:b/>
          <w:bCs/>
        </w:rPr>
        <w:t>GMP Clearance</w:t>
      </w:r>
      <w:r w:rsidRPr="00B26933">
        <w:rPr>
          <w:rFonts w:cs="Cambria"/>
          <w:b/>
          <w:bCs/>
        </w:rPr>
        <w:t>.</w:t>
      </w:r>
    </w:p>
    <w:p w14:paraId="4BE6931D" w14:textId="5E7046C7" w:rsidR="000F3727" w:rsidRDefault="00961733" w:rsidP="00961733">
      <w:r>
        <w:t xml:space="preserve">If you were not using the manufacturer at the time the inspection was scheduled, you may still apply for a </w:t>
      </w:r>
      <w:r w:rsidR="00B323DA">
        <w:t>GMP Clearance</w:t>
      </w:r>
      <w:r>
        <w:t xml:space="preserve"> via a desktop process. Please refer to TGA certificates in the </w:t>
      </w:r>
      <w:hyperlink w:anchor="_TGA_certificates">
        <w:r w:rsidRPr="5AB8732C">
          <w:rPr>
            <w:rStyle w:val="Hyperlink"/>
          </w:rPr>
          <w:t>Other types of evidence section</w:t>
        </w:r>
      </w:hyperlink>
      <w:r w:rsidRPr="0095191D">
        <w:rPr>
          <w:rFonts w:cs="Cambria"/>
        </w:rPr>
        <w:t>.</w:t>
      </w:r>
    </w:p>
    <w:p w14:paraId="2F973EB5" w14:textId="2C9554FB" w:rsidR="00961733" w:rsidRDefault="00961733" w:rsidP="00961733">
      <w:r>
        <w:t xml:space="preserve">Where a </w:t>
      </w:r>
      <w:r w:rsidR="00D03165" w:rsidRPr="0018203D">
        <w:t>joint inspection</w:t>
      </w:r>
      <w:r>
        <w:t xml:space="preserve"> has occurred between the TGA and another recognised overseas regulatory authority, the TGA GMP Certificate is the appropriate evidence</w:t>
      </w:r>
      <w:r w:rsidR="00D302A5">
        <w:t xml:space="preserve"> and should be used to support your clearance application.</w:t>
      </w:r>
      <w:r>
        <w:t xml:space="preserve"> GMP Certificates issued by other regulatory authorities for the same inspection are not accepted </w:t>
      </w:r>
      <w:r w:rsidR="00D302A5">
        <w:t>as evidence</w:t>
      </w:r>
      <w:r>
        <w:t>.</w:t>
      </w:r>
    </w:p>
    <w:p w14:paraId="584D7EFE" w14:textId="06D9EAFF" w:rsidR="00961733" w:rsidRDefault="00961733" w:rsidP="00961733">
      <w:pPr>
        <w:rPr>
          <w:rFonts w:eastAsia="Times New Roman" w:cs="Times New Roman"/>
          <w:b/>
          <w:bCs/>
          <w:color w:val="001871"/>
          <w:sz w:val="38"/>
          <w:szCs w:val="38"/>
        </w:rPr>
      </w:pPr>
      <w:bookmarkStart w:id="31" w:name="_How_much_GMP_1"/>
      <w:bookmarkEnd w:id="31"/>
      <w:r>
        <w:br w:type="page"/>
      </w:r>
    </w:p>
    <w:p w14:paraId="300DBCED" w14:textId="64309F4B" w:rsidR="00961733" w:rsidRPr="00E35186" w:rsidRDefault="00D302A5" w:rsidP="00961733">
      <w:pPr>
        <w:pStyle w:val="Heading2"/>
      </w:pPr>
      <w:bookmarkStart w:id="32" w:name="_How_much_GMP_2"/>
      <w:bookmarkStart w:id="33" w:name="_Fees_for_GMP"/>
      <w:bookmarkStart w:id="34" w:name="_Toc198723718"/>
      <w:bookmarkStart w:id="35" w:name="_Toc147929197"/>
      <w:bookmarkEnd w:id="32"/>
      <w:bookmarkEnd w:id="33"/>
      <w:r>
        <w:lastRenderedPageBreak/>
        <w:t>Fees for</w:t>
      </w:r>
      <w:r w:rsidR="00961733" w:rsidRPr="00E35186">
        <w:t xml:space="preserve"> </w:t>
      </w:r>
      <w:r w:rsidR="00B323DA">
        <w:t>GMP Clearance</w:t>
      </w:r>
      <w:r>
        <w:t>s</w:t>
      </w:r>
      <w:bookmarkEnd w:id="34"/>
      <w:r w:rsidR="00961733" w:rsidRPr="00E35186">
        <w:t xml:space="preserve"> </w:t>
      </w:r>
      <w:bookmarkEnd w:id="35"/>
    </w:p>
    <w:p w14:paraId="1A15A418" w14:textId="58F32BBE" w:rsidR="00961733" w:rsidRDefault="00961733" w:rsidP="00961733">
      <w:r>
        <w:t xml:space="preserve">You </w:t>
      </w:r>
      <w:r w:rsidR="00D302A5">
        <w:t>must</w:t>
      </w:r>
      <w:r>
        <w:t xml:space="preserve"> pay the relevant </w:t>
      </w:r>
      <w:hyperlink r:id="rId31" w:history="1">
        <w:r w:rsidR="00B323DA">
          <w:rPr>
            <w:rStyle w:val="Hyperlink"/>
          </w:rPr>
          <w:t>GMP Clearance</w:t>
        </w:r>
        <w:r w:rsidRPr="001545A2">
          <w:rPr>
            <w:rStyle w:val="Hyperlink"/>
          </w:rPr>
          <w:t xml:space="preserve"> fees</w:t>
        </w:r>
      </w:hyperlink>
      <w:r>
        <w:t xml:space="preserve"> </w:t>
      </w:r>
      <w:r w:rsidR="00D302A5">
        <w:t>before</w:t>
      </w:r>
      <w:r>
        <w:t xml:space="preserve"> your application </w:t>
      </w:r>
      <w:r w:rsidR="00D302A5">
        <w:t xml:space="preserve">can be </w:t>
      </w:r>
      <w:r w:rsidR="001C199B">
        <w:t>evaluated</w:t>
      </w:r>
      <w:r>
        <w:t>.</w:t>
      </w:r>
    </w:p>
    <w:p w14:paraId="4B44F7F2" w14:textId="77777777" w:rsidR="00961733" w:rsidRDefault="00961733" w:rsidP="00961733"/>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4E2E257D" w14:textId="77777777" w:rsidTr="0042350D">
        <w:tc>
          <w:tcPr>
            <w:tcW w:w="1276" w:type="dxa"/>
            <w:vAlign w:val="center"/>
          </w:tcPr>
          <w:p w14:paraId="2FE8E6D7" w14:textId="77777777" w:rsidR="00961733" w:rsidRPr="00215D48" w:rsidRDefault="00961733" w:rsidP="0042350D">
            <w:r w:rsidRPr="00215D48">
              <w:rPr>
                <w:noProof/>
                <w:lang w:eastAsia="en-AU"/>
              </w:rPr>
              <w:drawing>
                <wp:inline distT="0" distB="0" distL="0" distR="0" wp14:anchorId="703A0AB6" wp14:editId="7DB9CD91">
                  <wp:extent cx="487681" cy="487681"/>
                  <wp:effectExtent l="19050" t="0" r="7619" b="0"/>
                  <wp:docPr id="5" name="Picture 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4EC9D7A" w14:textId="5978C6C8" w:rsidR="00961733" w:rsidRDefault="00961733" w:rsidP="0042350D">
            <w:r>
              <w:t>Separate applications are required for API and finished products, even if the evidence is applicable to both.</w:t>
            </w:r>
          </w:p>
          <w:p w14:paraId="5461FCDA" w14:textId="046EFE1A" w:rsidR="00961733" w:rsidRPr="00215D48" w:rsidRDefault="00961733" w:rsidP="0042350D">
            <w:r>
              <w:t>Similarly, separate applications are required for each unique site address in the TGA database</w:t>
            </w:r>
            <w:r w:rsidR="00D302A5">
              <w:t>,</w:t>
            </w:r>
            <w:r>
              <w:t xml:space="preserve"> irrespective of whether they are using the same evidence.</w:t>
            </w:r>
          </w:p>
        </w:tc>
      </w:tr>
    </w:tbl>
    <w:p w14:paraId="5B6114A2" w14:textId="77777777" w:rsidR="00961733" w:rsidRDefault="00961733" w:rsidP="00961733"/>
    <w:p w14:paraId="36617E18" w14:textId="74486222" w:rsidR="00961733" w:rsidRDefault="00B323DA" w:rsidP="00961733">
      <w:r>
        <w:t>GMP Clearance</w:t>
      </w:r>
      <w:r w:rsidR="00961733">
        <w:t xml:space="preserve"> </w:t>
      </w:r>
      <w:r w:rsidR="00D302A5">
        <w:t>fees</w:t>
      </w:r>
      <w:r w:rsidR="00BC31EA">
        <w:t xml:space="preserve"> apply to</w:t>
      </w:r>
      <w:r w:rsidR="00961733">
        <w:t>:</w:t>
      </w:r>
    </w:p>
    <w:p w14:paraId="552F2021" w14:textId="17E9A512" w:rsidR="00961733" w:rsidRPr="00D60E97" w:rsidRDefault="00B323DA" w:rsidP="00961733">
      <w:pPr>
        <w:pStyle w:val="ListBullet"/>
        <w:numPr>
          <w:ilvl w:val="0"/>
          <w:numId w:val="2"/>
        </w:numPr>
        <w:rPr>
          <w:color w:val="auto"/>
        </w:rPr>
      </w:pPr>
      <w:r>
        <w:rPr>
          <w:b/>
          <w:color w:val="auto"/>
        </w:rPr>
        <w:t>GMP Clearance</w:t>
      </w:r>
      <w:r w:rsidR="00961733" w:rsidRPr="00D60E97">
        <w:rPr>
          <w:b/>
          <w:color w:val="auto"/>
        </w:rPr>
        <w:t xml:space="preserve"> application </w:t>
      </w:r>
      <w:proofErr w:type="gramStart"/>
      <w:r w:rsidR="00961733" w:rsidRPr="00D60E97">
        <w:rPr>
          <w:b/>
          <w:color w:val="auto"/>
        </w:rPr>
        <w:t>processing</w:t>
      </w:r>
      <w:r w:rsidR="00961733" w:rsidRPr="000B2AB6">
        <w:rPr>
          <w:bCs/>
          <w:color w:val="auto"/>
        </w:rPr>
        <w:t>:</w:t>
      </w:r>
      <w:proofErr w:type="gramEnd"/>
      <w:r w:rsidR="00961733" w:rsidRPr="00D60E97">
        <w:rPr>
          <w:color w:val="auto"/>
        </w:rPr>
        <w:t xml:space="preserve"> applies to all </w:t>
      </w:r>
      <w:r>
        <w:rPr>
          <w:color w:val="auto"/>
        </w:rPr>
        <w:t>GMP Clearance</w:t>
      </w:r>
      <w:r w:rsidR="00961733" w:rsidRPr="00D60E97">
        <w:rPr>
          <w:color w:val="auto"/>
        </w:rPr>
        <w:t xml:space="preserve"> applications except extensions and administrative variations</w:t>
      </w:r>
    </w:p>
    <w:p w14:paraId="0BF081C9" w14:textId="77777777" w:rsidR="00961733" w:rsidRPr="00D60E97" w:rsidRDefault="00961733" w:rsidP="00961733">
      <w:pPr>
        <w:pStyle w:val="ListBullet"/>
        <w:numPr>
          <w:ilvl w:val="0"/>
          <w:numId w:val="2"/>
        </w:numPr>
        <w:rPr>
          <w:color w:val="auto"/>
        </w:rPr>
      </w:pPr>
      <w:r w:rsidRPr="00D60E97">
        <w:rPr>
          <w:b/>
          <w:bCs/>
          <w:color w:val="auto"/>
        </w:rPr>
        <w:t>Obtaining evidence from an overseas regulatory authority</w:t>
      </w:r>
      <w:r w:rsidRPr="00D60E97">
        <w:rPr>
          <w:color w:val="auto"/>
        </w:rPr>
        <w:t xml:space="preserve"> (liaison): applies to all requests to obtain evidence (</w:t>
      </w:r>
      <w:hyperlink w:anchor="_Liaison_1">
        <w:r w:rsidRPr="2CAF680A">
          <w:rPr>
            <w:rStyle w:val="Hyperlink"/>
          </w:rPr>
          <w:t>GMP certificates</w:t>
        </w:r>
      </w:hyperlink>
      <w:r w:rsidRPr="00D60E97">
        <w:rPr>
          <w:color w:val="auto"/>
        </w:rPr>
        <w:t xml:space="preserve">) for MRA applications and all CV applications that use </w:t>
      </w:r>
      <w:hyperlink w:anchor="_Obtain_evidence_for">
        <w:r w:rsidRPr="2CAF680A">
          <w:rPr>
            <w:rStyle w:val="Hyperlink"/>
          </w:rPr>
          <w:t>US Food and Drug Administration (US FDA)</w:t>
        </w:r>
      </w:hyperlink>
      <w:r w:rsidRPr="00D60E97">
        <w:rPr>
          <w:color w:val="auto"/>
        </w:rPr>
        <w:t xml:space="preserve"> or </w:t>
      </w:r>
      <w:hyperlink w:anchor="_Alternative_evidence_(Health">
        <w:r w:rsidRPr="2CAF680A">
          <w:rPr>
            <w:rStyle w:val="Hyperlink"/>
          </w:rPr>
          <w:t>Health Canada</w:t>
        </w:r>
      </w:hyperlink>
      <w:r>
        <w:t xml:space="preserve"> </w:t>
      </w:r>
      <w:r w:rsidRPr="00D60E97">
        <w:rPr>
          <w:color w:val="auto"/>
        </w:rPr>
        <w:t>evidence</w:t>
      </w:r>
    </w:p>
    <w:p w14:paraId="24AFAFCC" w14:textId="570D2FC4" w:rsidR="00961733" w:rsidRPr="00D60E97" w:rsidRDefault="00961733" w:rsidP="00961733">
      <w:pPr>
        <w:pStyle w:val="ListBullet"/>
        <w:numPr>
          <w:ilvl w:val="0"/>
          <w:numId w:val="2"/>
        </w:numPr>
        <w:rPr>
          <w:color w:val="auto"/>
        </w:rPr>
      </w:pPr>
      <w:r w:rsidRPr="00D60E97">
        <w:rPr>
          <w:b/>
          <w:color w:val="auto"/>
        </w:rPr>
        <w:t>Compliance Verification</w:t>
      </w:r>
      <w:r w:rsidRPr="00D60E97">
        <w:rPr>
          <w:color w:val="auto"/>
        </w:rPr>
        <w:t xml:space="preserve"> (in lieu of an overseas GMP inspection): applies to all </w:t>
      </w:r>
      <w:r w:rsidR="00B323DA">
        <w:rPr>
          <w:color w:val="auto"/>
        </w:rPr>
        <w:t>GMP Clearance</w:t>
      </w:r>
      <w:r w:rsidRPr="00D60E97">
        <w:rPr>
          <w:color w:val="auto"/>
        </w:rPr>
        <w:t xml:space="preserve"> applications using the CV pathway unless otherwise stated in the table below</w:t>
      </w:r>
    </w:p>
    <w:p w14:paraId="02F7EC4C" w14:textId="05A12A76" w:rsidR="00961733" w:rsidRPr="00D60E97" w:rsidRDefault="00961733" w:rsidP="00961733">
      <w:pPr>
        <w:pStyle w:val="ListBullet"/>
        <w:numPr>
          <w:ilvl w:val="0"/>
          <w:numId w:val="2"/>
        </w:numPr>
        <w:rPr>
          <w:color w:val="auto"/>
        </w:rPr>
      </w:pPr>
      <w:r w:rsidRPr="00D60E97">
        <w:rPr>
          <w:b/>
          <w:bCs/>
          <w:color w:val="auto"/>
        </w:rPr>
        <w:t xml:space="preserve">Reinstatement of an expired </w:t>
      </w:r>
      <w:r w:rsidR="00B323DA">
        <w:rPr>
          <w:b/>
          <w:bCs/>
          <w:color w:val="auto"/>
        </w:rPr>
        <w:t>GMP Clearance</w:t>
      </w:r>
    </w:p>
    <w:p w14:paraId="7C30C226" w14:textId="77777777" w:rsidR="00961733" w:rsidRDefault="00961733" w:rsidP="00961733">
      <w:pPr>
        <w:rPr>
          <w:rFonts w:eastAsia="Cambria" w:cs="Times New Roman"/>
          <w:b/>
          <w:color w:val="333F48"/>
        </w:rPr>
      </w:pPr>
      <w:r>
        <w:br w:type="page"/>
      </w:r>
    </w:p>
    <w:p w14:paraId="759521E4" w14:textId="6C100652" w:rsidR="00961733" w:rsidRPr="00143ADF" w:rsidRDefault="00961733" w:rsidP="00961733">
      <w:pPr>
        <w:pStyle w:val="Tabletitle"/>
        <w:rPr>
          <w:color w:val="auto"/>
        </w:rPr>
      </w:pPr>
      <w:r w:rsidRPr="00143ADF">
        <w:rPr>
          <w:color w:val="auto"/>
        </w:rPr>
        <w:lastRenderedPageBreak/>
        <w:t xml:space="preserve">Overview of fees for </w:t>
      </w:r>
      <w:r w:rsidR="00B323DA" w:rsidRPr="00143ADF">
        <w:rPr>
          <w:color w:val="auto"/>
        </w:rPr>
        <w:t>GMP Clearance</w:t>
      </w:r>
      <w:r w:rsidRPr="00143ADF">
        <w:rPr>
          <w:color w:val="auto"/>
        </w:rPr>
        <w:t xml:space="preserve"> applications</w:t>
      </w:r>
    </w:p>
    <w:tbl>
      <w:tblPr>
        <w:tblStyle w:val="TableTGAblue"/>
        <w:tblW w:w="9051" w:type="dxa"/>
        <w:tblLook w:val="04A0" w:firstRow="1" w:lastRow="0" w:firstColumn="1" w:lastColumn="0" w:noHBand="0" w:noVBand="1"/>
      </w:tblPr>
      <w:tblGrid>
        <w:gridCol w:w="1823"/>
        <w:gridCol w:w="1840"/>
        <w:gridCol w:w="1798"/>
        <w:gridCol w:w="1789"/>
        <w:gridCol w:w="1801"/>
      </w:tblGrid>
      <w:tr w:rsidR="00961733" w:rsidRPr="00322C33" w14:paraId="0D3A0617" w14:textId="77777777" w:rsidTr="0042350D">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823" w:type="dxa"/>
          </w:tcPr>
          <w:p w14:paraId="754222EF" w14:textId="77777777" w:rsidR="00961733" w:rsidRPr="002F61FA" w:rsidRDefault="00961733" w:rsidP="0042350D">
            <w:pPr>
              <w:rPr>
                <w:rFonts w:asciiTheme="majorHAnsi" w:hAnsiTheme="majorHAnsi" w:cstheme="majorHAnsi"/>
                <w:szCs w:val="22"/>
              </w:rPr>
            </w:pPr>
            <w:r w:rsidRPr="002F61FA">
              <w:rPr>
                <w:rFonts w:asciiTheme="majorHAnsi" w:hAnsiTheme="majorHAnsi" w:cstheme="majorHAnsi"/>
                <w:szCs w:val="22"/>
              </w:rPr>
              <w:t>Application type</w:t>
            </w:r>
          </w:p>
        </w:tc>
        <w:tc>
          <w:tcPr>
            <w:tcW w:w="1840" w:type="dxa"/>
          </w:tcPr>
          <w:p w14:paraId="05431573" w14:textId="77777777" w:rsidR="00961733" w:rsidRPr="002F61FA" w:rsidRDefault="00961733" w:rsidP="0042350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F61FA">
              <w:rPr>
                <w:rFonts w:asciiTheme="majorHAnsi" w:hAnsiTheme="majorHAnsi" w:cstheme="majorHAnsi"/>
                <w:szCs w:val="22"/>
              </w:rPr>
              <w:t>Evidence provided</w:t>
            </w:r>
          </w:p>
        </w:tc>
        <w:tc>
          <w:tcPr>
            <w:tcW w:w="1798" w:type="dxa"/>
          </w:tcPr>
          <w:p w14:paraId="799AA288" w14:textId="77777777" w:rsidR="00961733" w:rsidRPr="002F61FA"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F61FA">
              <w:rPr>
                <w:rFonts w:asciiTheme="majorHAnsi" w:hAnsiTheme="majorHAnsi" w:cstheme="majorHAnsi"/>
                <w:szCs w:val="22"/>
              </w:rPr>
              <w:t>Application Processing fee</w:t>
            </w:r>
          </w:p>
        </w:tc>
        <w:tc>
          <w:tcPr>
            <w:tcW w:w="1789" w:type="dxa"/>
          </w:tcPr>
          <w:p w14:paraId="3C5A3FBB" w14:textId="77777777" w:rsidR="00961733" w:rsidRPr="002F61FA"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F61FA">
              <w:rPr>
                <w:rFonts w:asciiTheme="majorHAnsi" w:hAnsiTheme="majorHAnsi" w:cstheme="majorHAnsi"/>
                <w:szCs w:val="22"/>
              </w:rPr>
              <w:t>Obtaining evidence fee</w:t>
            </w:r>
          </w:p>
        </w:tc>
        <w:tc>
          <w:tcPr>
            <w:tcW w:w="1801" w:type="dxa"/>
          </w:tcPr>
          <w:p w14:paraId="6D4BBA61" w14:textId="77777777" w:rsidR="00961733" w:rsidRPr="002F61FA"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2F61FA">
              <w:rPr>
                <w:rFonts w:asciiTheme="majorHAnsi" w:hAnsiTheme="majorHAnsi" w:cstheme="majorHAnsi"/>
                <w:szCs w:val="22"/>
              </w:rPr>
              <w:t>Compliance verification fee</w:t>
            </w:r>
          </w:p>
        </w:tc>
      </w:tr>
      <w:tr w:rsidR="00961733" w:rsidRPr="00322C33" w14:paraId="05332014"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val="restart"/>
            <w:vAlign w:val="center"/>
          </w:tcPr>
          <w:p w14:paraId="060854BC" w14:textId="77777777" w:rsidR="00961733" w:rsidRPr="002F61FA" w:rsidRDefault="00961733" w:rsidP="0042350D">
            <w:pPr>
              <w:keepNext/>
              <w:rPr>
                <w:rFonts w:asciiTheme="majorHAnsi" w:hAnsiTheme="majorHAnsi" w:cstheme="majorHAnsi"/>
                <w:sz w:val="18"/>
                <w:szCs w:val="18"/>
              </w:rPr>
            </w:pPr>
            <w:r w:rsidRPr="002F61FA">
              <w:rPr>
                <w:rFonts w:asciiTheme="majorHAnsi" w:hAnsiTheme="majorHAnsi" w:cstheme="majorHAnsi"/>
                <w:sz w:val="18"/>
                <w:szCs w:val="18"/>
              </w:rPr>
              <w:t>MRA</w:t>
            </w:r>
          </w:p>
        </w:tc>
        <w:tc>
          <w:tcPr>
            <w:tcW w:w="1840" w:type="dxa"/>
            <w:vAlign w:val="center"/>
          </w:tcPr>
          <w:p w14:paraId="08A76281" w14:textId="77777777" w:rsidR="00961733" w:rsidRPr="002F61FA" w:rsidRDefault="00961733" w:rsidP="0042350D">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F61FA">
              <w:rPr>
                <w:rFonts w:asciiTheme="majorHAnsi" w:hAnsiTheme="majorHAnsi" w:cstheme="majorHAnsi"/>
                <w:sz w:val="18"/>
                <w:szCs w:val="18"/>
              </w:rPr>
              <w:t>MRA documentation</w:t>
            </w:r>
          </w:p>
        </w:tc>
        <w:tc>
          <w:tcPr>
            <w:tcW w:w="1798" w:type="dxa"/>
            <w:vMerge w:val="restart"/>
            <w:vAlign w:val="center"/>
          </w:tcPr>
          <w:p w14:paraId="187A96CE" w14:textId="77777777" w:rsidR="00961733" w:rsidRPr="00322C33" w:rsidRDefault="00961733" w:rsidP="0042350D">
            <w:pPr>
              <w:keepNext/>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5C1031C7" wp14:editId="7452941A">
                  <wp:extent cx="206735" cy="155051"/>
                  <wp:effectExtent l="0" t="0" r="3175" b="0"/>
                  <wp:docPr id="74" name="Picture 74"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Merge w:val="restart"/>
            <w:vAlign w:val="center"/>
          </w:tcPr>
          <w:p w14:paraId="31F80932" w14:textId="77777777" w:rsidR="00961733" w:rsidRPr="00322C33" w:rsidRDefault="00961733" w:rsidP="0042350D">
            <w:pPr>
              <w:keepNext/>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F08B078" wp14:editId="2B66AB5C">
                  <wp:extent cx="238540" cy="202240"/>
                  <wp:effectExtent l="0" t="0" r="9525" b="7620"/>
                  <wp:docPr id="95" name="Picture 95" descr="Where requested by applicant or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801" w:type="dxa"/>
            <w:vMerge w:val="restart"/>
            <w:vAlign w:val="center"/>
          </w:tcPr>
          <w:p w14:paraId="13858B06" w14:textId="77777777" w:rsidR="00961733" w:rsidRPr="00322C33" w:rsidRDefault="00961733" w:rsidP="0042350D">
            <w:pPr>
              <w:keepNext/>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CC8B201" wp14:editId="5A619213">
                  <wp:extent cx="214685" cy="169959"/>
                  <wp:effectExtent l="0" t="0" r="0" b="1905"/>
                  <wp:docPr id="306" name="Picture 306"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r w:rsidR="00961733" w:rsidRPr="00322C33" w14:paraId="686DA9D5"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156249E7" w14:textId="77777777" w:rsidR="00961733" w:rsidRPr="002F61FA" w:rsidRDefault="00961733" w:rsidP="0042350D">
            <w:pPr>
              <w:keepNext/>
              <w:rPr>
                <w:rFonts w:asciiTheme="majorHAnsi" w:hAnsiTheme="majorHAnsi" w:cstheme="majorHAnsi"/>
                <w:sz w:val="18"/>
                <w:szCs w:val="18"/>
              </w:rPr>
            </w:pPr>
          </w:p>
        </w:tc>
        <w:tc>
          <w:tcPr>
            <w:tcW w:w="1840" w:type="dxa"/>
            <w:vAlign w:val="center"/>
          </w:tcPr>
          <w:p w14:paraId="76B9E3F4" w14:textId="77777777" w:rsidR="00961733" w:rsidRPr="002F61FA" w:rsidRDefault="00961733" w:rsidP="0042350D">
            <w:pPr>
              <w:keepN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Evidence</w:t>
            </w:r>
          </w:p>
        </w:tc>
        <w:tc>
          <w:tcPr>
            <w:tcW w:w="1798" w:type="dxa"/>
            <w:vMerge/>
            <w:vAlign w:val="center"/>
          </w:tcPr>
          <w:p w14:paraId="546AFAF4" w14:textId="77777777" w:rsidR="00961733" w:rsidRPr="00322C33" w:rsidRDefault="00961733" w:rsidP="0042350D">
            <w:pPr>
              <w:keepNext/>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89" w:type="dxa"/>
            <w:vMerge/>
            <w:vAlign w:val="center"/>
          </w:tcPr>
          <w:p w14:paraId="272A5176" w14:textId="77777777" w:rsidR="00961733" w:rsidRPr="00322C33" w:rsidRDefault="00961733" w:rsidP="0042350D">
            <w:pPr>
              <w:keepNext/>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01" w:type="dxa"/>
            <w:vMerge/>
            <w:vAlign w:val="center"/>
          </w:tcPr>
          <w:p w14:paraId="1D83E826" w14:textId="77777777" w:rsidR="00961733" w:rsidRPr="00322C33" w:rsidRDefault="00961733" w:rsidP="0042350D">
            <w:pPr>
              <w:keepNext/>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961733" w:rsidRPr="00322C33" w14:paraId="4400ED2C"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52193AC7" w14:textId="77777777" w:rsidR="00961733" w:rsidRPr="002F61FA" w:rsidRDefault="00961733" w:rsidP="0042350D">
            <w:pPr>
              <w:rPr>
                <w:rFonts w:asciiTheme="majorHAnsi" w:hAnsiTheme="majorHAnsi" w:cstheme="majorHAnsi"/>
                <w:sz w:val="18"/>
                <w:szCs w:val="18"/>
              </w:rPr>
            </w:pPr>
          </w:p>
        </w:tc>
        <w:tc>
          <w:tcPr>
            <w:tcW w:w="1840" w:type="dxa"/>
            <w:vAlign w:val="center"/>
          </w:tcPr>
          <w:p w14:paraId="2CF0BB70" w14:textId="77777777" w:rsidR="00961733" w:rsidRPr="002F61FA" w:rsidRDefault="00961733" w:rsidP="0042350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Clearance</w:t>
            </w:r>
          </w:p>
        </w:tc>
        <w:tc>
          <w:tcPr>
            <w:tcW w:w="1798" w:type="dxa"/>
            <w:vMerge/>
            <w:vAlign w:val="center"/>
          </w:tcPr>
          <w:p w14:paraId="2A5374AE" w14:textId="77777777" w:rsidR="00961733" w:rsidRPr="00322C33"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89" w:type="dxa"/>
            <w:vMerge/>
            <w:vAlign w:val="center"/>
          </w:tcPr>
          <w:p w14:paraId="5EB00B81" w14:textId="77777777" w:rsidR="00961733" w:rsidRPr="00322C33"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01" w:type="dxa"/>
            <w:vMerge/>
            <w:vAlign w:val="center"/>
          </w:tcPr>
          <w:p w14:paraId="22B63AF7" w14:textId="77777777" w:rsidR="00961733" w:rsidRPr="00322C33"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049A" w:rsidRPr="00322C33" w14:paraId="021F58C5"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val="restart"/>
            <w:vAlign w:val="center"/>
          </w:tcPr>
          <w:p w14:paraId="729789D9" w14:textId="77777777" w:rsidR="0006049A" w:rsidRPr="002F61FA" w:rsidRDefault="0006049A" w:rsidP="0042350D">
            <w:pPr>
              <w:rPr>
                <w:rFonts w:asciiTheme="majorHAnsi" w:hAnsiTheme="majorHAnsi" w:cstheme="majorHAnsi"/>
                <w:sz w:val="18"/>
                <w:szCs w:val="18"/>
              </w:rPr>
            </w:pPr>
            <w:r w:rsidRPr="002F61FA">
              <w:rPr>
                <w:rFonts w:asciiTheme="majorHAnsi" w:hAnsiTheme="majorHAnsi" w:cstheme="majorHAnsi"/>
                <w:sz w:val="18"/>
                <w:szCs w:val="18"/>
              </w:rPr>
              <w:t>CV Sterile/Non-Sterile API</w:t>
            </w:r>
          </w:p>
        </w:tc>
        <w:tc>
          <w:tcPr>
            <w:tcW w:w="1840" w:type="dxa"/>
            <w:vAlign w:val="center"/>
          </w:tcPr>
          <w:p w14:paraId="3A903402" w14:textId="77777777" w:rsidR="0006049A" w:rsidRPr="002F61FA" w:rsidRDefault="0006049A" w:rsidP="0042350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F61FA">
              <w:rPr>
                <w:rFonts w:asciiTheme="majorHAnsi" w:hAnsiTheme="majorHAnsi" w:cstheme="majorHAnsi"/>
                <w:sz w:val="18"/>
                <w:szCs w:val="18"/>
              </w:rPr>
              <w:t>CV documentation</w:t>
            </w:r>
          </w:p>
        </w:tc>
        <w:tc>
          <w:tcPr>
            <w:tcW w:w="1798" w:type="dxa"/>
            <w:vMerge w:val="restart"/>
            <w:vAlign w:val="center"/>
          </w:tcPr>
          <w:p w14:paraId="4927F30A" w14:textId="77777777" w:rsidR="0006049A" w:rsidRPr="00322C33" w:rsidRDefault="0006049A"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6C2DC834" wp14:editId="336662E9">
                  <wp:extent cx="206735" cy="155051"/>
                  <wp:effectExtent l="0" t="0" r="3175" b="0"/>
                  <wp:docPr id="10" name="Picture 10"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Merge w:val="restart"/>
            <w:vAlign w:val="center"/>
          </w:tcPr>
          <w:p w14:paraId="1CA396F5" w14:textId="77777777" w:rsidR="0006049A" w:rsidRPr="00322C33" w:rsidRDefault="0006049A"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79ED4D66" wp14:editId="1FBF2A35">
                  <wp:extent cx="238540" cy="202240"/>
                  <wp:effectExtent l="0" t="0" r="9525" b="7620"/>
                  <wp:docPr id="20" name="Picture 20" descr="Where requested by applicant or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801" w:type="dxa"/>
            <w:vMerge w:val="restart"/>
            <w:vAlign w:val="center"/>
          </w:tcPr>
          <w:p w14:paraId="4AE3040E" w14:textId="77777777" w:rsidR="0006049A" w:rsidRPr="00322C33" w:rsidRDefault="0006049A"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3C2F951" wp14:editId="69E34588">
                  <wp:extent cx="206735" cy="155051"/>
                  <wp:effectExtent l="0" t="0" r="3175" b="0"/>
                  <wp:docPr id="13" name="Picture 13"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06049A" w:rsidRPr="00322C33" w14:paraId="0D38A999"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079D1C37" w14:textId="77777777" w:rsidR="0006049A" w:rsidRPr="002F61FA" w:rsidRDefault="0006049A" w:rsidP="0042350D">
            <w:pPr>
              <w:rPr>
                <w:rFonts w:asciiTheme="majorHAnsi" w:hAnsiTheme="majorHAnsi" w:cstheme="majorHAnsi"/>
                <w:sz w:val="18"/>
                <w:szCs w:val="18"/>
              </w:rPr>
            </w:pPr>
          </w:p>
        </w:tc>
        <w:tc>
          <w:tcPr>
            <w:tcW w:w="1840" w:type="dxa"/>
            <w:vAlign w:val="center"/>
          </w:tcPr>
          <w:p w14:paraId="315028A0" w14:textId="77777777" w:rsidR="0006049A" w:rsidRPr="002F61FA" w:rsidRDefault="0006049A" w:rsidP="0042350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Evidence</w:t>
            </w:r>
          </w:p>
        </w:tc>
        <w:tc>
          <w:tcPr>
            <w:tcW w:w="1798" w:type="dxa"/>
            <w:vMerge/>
            <w:vAlign w:val="center"/>
          </w:tcPr>
          <w:p w14:paraId="6B3346E6" w14:textId="77777777" w:rsidR="0006049A" w:rsidRPr="00322C33" w:rsidRDefault="0006049A"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89" w:type="dxa"/>
            <w:vMerge/>
            <w:vAlign w:val="center"/>
          </w:tcPr>
          <w:p w14:paraId="2933CCC5" w14:textId="77777777" w:rsidR="0006049A" w:rsidRPr="00322C33" w:rsidRDefault="0006049A"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01" w:type="dxa"/>
            <w:vMerge/>
            <w:vAlign w:val="center"/>
          </w:tcPr>
          <w:p w14:paraId="43437051" w14:textId="77777777" w:rsidR="0006049A" w:rsidRPr="00322C33" w:rsidRDefault="0006049A"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049A" w:rsidRPr="00322C33" w14:paraId="287E6C52"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51CF01B6" w14:textId="77777777" w:rsidR="0006049A" w:rsidRPr="002F61FA" w:rsidRDefault="0006049A" w:rsidP="0042350D">
            <w:pPr>
              <w:rPr>
                <w:rFonts w:asciiTheme="majorHAnsi" w:hAnsiTheme="majorHAnsi" w:cstheme="majorHAnsi"/>
                <w:sz w:val="18"/>
                <w:szCs w:val="18"/>
              </w:rPr>
            </w:pPr>
          </w:p>
        </w:tc>
        <w:tc>
          <w:tcPr>
            <w:tcW w:w="1840" w:type="dxa"/>
            <w:vAlign w:val="center"/>
          </w:tcPr>
          <w:p w14:paraId="0D8186A0" w14:textId="77777777" w:rsidR="0006049A" w:rsidRPr="002F61FA" w:rsidRDefault="0006049A" w:rsidP="0042350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Clearance</w:t>
            </w:r>
          </w:p>
        </w:tc>
        <w:tc>
          <w:tcPr>
            <w:tcW w:w="1798" w:type="dxa"/>
            <w:vAlign w:val="center"/>
          </w:tcPr>
          <w:p w14:paraId="3D1663FE" w14:textId="77777777" w:rsidR="0006049A" w:rsidRPr="00322C33" w:rsidRDefault="0006049A"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EEF5995" wp14:editId="4F4C878A">
                  <wp:extent cx="206735" cy="155051"/>
                  <wp:effectExtent l="0" t="0" r="3175" b="0"/>
                  <wp:docPr id="11" name="Picture 11"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Align w:val="center"/>
          </w:tcPr>
          <w:p w14:paraId="1F06E623" w14:textId="77777777" w:rsidR="0006049A" w:rsidRPr="00322C33" w:rsidRDefault="0006049A"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5F88DE0" wp14:editId="6B67B4EC">
                  <wp:extent cx="214685" cy="169959"/>
                  <wp:effectExtent l="0" t="0" r="0" b="1905"/>
                  <wp:docPr id="25" name="Picture 25"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c>
          <w:tcPr>
            <w:tcW w:w="1801" w:type="dxa"/>
            <w:vAlign w:val="center"/>
          </w:tcPr>
          <w:p w14:paraId="66B77E8A" w14:textId="77777777" w:rsidR="0006049A" w:rsidRPr="00322C33" w:rsidRDefault="0006049A"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494A6D1" wp14:editId="55D054C0">
                  <wp:extent cx="214685" cy="169959"/>
                  <wp:effectExtent l="0" t="0" r="0" b="1905"/>
                  <wp:docPr id="26" name="Picture 26"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r w:rsidR="0006049A" w:rsidRPr="00322C33" w14:paraId="7BE94D54"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101B4DDB" w14:textId="77777777" w:rsidR="0006049A" w:rsidRPr="002F61FA" w:rsidRDefault="0006049A" w:rsidP="0006049A">
            <w:pPr>
              <w:rPr>
                <w:rFonts w:asciiTheme="majorHAnsi" w:hAnsiTheme="majorHAnsi" w:cstheme="majorHAnsi"/>
                <w:sz w:val="18"/>
                <w:szCs w:val="18"/>
              </w:rPr>
            </w:pPr>
          </w:p>
        </w:tc>
        <w:tc>
          <w:tcPr>
            <w:tcW w:w="1840" w:type="dxa"/>
            <w:vAlign w:val="center"/>
          </w:tcPr>
          <w:p w14:paraId="0286798A" w14:textId="287DB365"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Health Canada Exit Notice</w:t>
            </w:r>
            <w:r w:rsidR="00104F02">
              <w:rPr>
                <w:rFonts w:asciiTheme="majorHAnsi" w:hAnsiTheme="majorHAnsi" w:cstheme="majorHAnsi"/>
                <w:sz w:val="18"/>
                <w:szCs w:val="18"/>
              </w:rPr>
              <w:t>*</w:t>
            </w:r>
          </w:p>
        </w:tc>
        <w:tc>
          <w:tcPr>
            <w:tcW w:w="1798" w:type="dxa"/>
            <w:vAlign w:val="center"/>
          </w:tcPr>
          <w:p w14:paraId="7BF14213" w14:textId="034512EF" w:rsidR="0006049A" w:rsidRPr="00353A69" w:rsidRDefault="0006049A" w:rsidP="0006049A">
            <w:pPr>
              <w:jc w:val="center"/>
              <w:cnfStyle w:val="000000000000" w:firstRow="0" w:lastRow="0" w:firstColumn="0" w:lastColumn="0" w:oddVBand="0" w:evenVBand="0" w:oddHBand="0" w:evenHBand="0" w:firstRowFirstColumn="0" w:firstRowLastColumn="0" w:lastRowFirstColumn="0" w:lastRowLastColumn="0"/>
              <w:rPr>
                <w:noProof/>
              </w:rPr>
            </w:pPr>
            <w:r w:rsidRPr="00353A69">
              <w:rPr>
                <w:noProof/>
              </w:rPr>
              <w:drawing>
                <wp:inline distT="0" distB="0" distL="0" distR="0" wp14:anchorId="0BF41D70" wp14:editId="2F1A1786">
                  <wp:extent cx="206735" cy="155051"/>
                  <wp:effectExtent l="0" t="0" r="3175" b="0"/>
                  <wp:docPr id="1695577508" name="Picture 1695577508"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Align w:val="center"/>
          </w:tcPr>
          <w:p w14:paraId="7180D3C7" w14:textId="34C332A4" w:rsidR="0006049A" w:rsidRPr="00353A69" w:rsidRDefault="0006049A" w:rsidP="0006049A">
            <w:pPr>
              <w:jc w:val="center"/>
              <w:cnfStyle w:val="000000000000" w:firstRow="0" w:lastRow="0" w:firstColumn="0" w:lastColumn="0" w:oddVBand="0" w:evenVBand="0" w:oddHBand="0" w:evenHBand="0" w:firstRowFirstColumn="0" w:firstRowLastColumn="0" w:lastRowFirstColumn="0" w:lastRowLastColumn="0"/>
              <w:rPr>
                <w:noProof/>
              </w:rPr>
            </w:pPr>
            <w:r w:rsidRPr="00353A69">
              <w:rPr>
                <w:noProof/>
              </w:rPr>
              <w:drawing>
                <wp:inline distT="0" distB="0" distL="0" distR="0" wp14:anchorId="3F7A7CBE" wp14:editId="59106395">
                  <wp:extent cx="206735" cy="155051"/>
                  <wp:effectExtent l="0" t="0" r="3175" b="0"/>
                  <wp:docPr id="25217963" name="Picture 25217963"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801" w:type="dxa"/>
            <w:vAlign w:val="center"/>
          </w:tcPr>
          <w:p w14:paraId="76497A64" w14:textId="0A0C1386" w:rsidR="0006049A" w:rsidRPr="00353A69" w:rsidRDefault="0006049A" w:rsidP="0006049A">
            <w:pPr>
              <w:jc w:val="center"/>
              <w:cnfStyle w:val="000000000000" w:firstRow="0" w:lastRow="0" w:firstColumn="0" w:lastColumn="0" w:oddVBand="0" w:evenVBand="0" w:oddHBand="0" w:evenHBand="0" w:firstRowFirstColumn="0" w:firstRowLastColumn="0" w:lastRowFirstColumn="0" w:lastRowLastColumn="0"/>
              <w:rPr>
                <w:noProof/>
              </w:rPr>
            </w:pPr>
            <w:r w:rsidRPr="00353A69">
              <w:rPr>
                <w:noProof/>
              </w:rPr>
              <w:drawing>
                <wp:inline distT="0" distB="0" distL="0" distR="0" wp14:anchorId="0C55ACD6" wp14:editId="4DD44736">
                  <wp:extent cx="214685" cy="169959"/>
                  <wp:effectExtent l="0" t="0" r="0" b="1905"/>
                  <wp:docPr id="1872980502" name="Picture 1872980502"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r w:rsidR="0006049A" w:rsidRPr="00322C33" w14:paraId="65B3F41D"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val="restart"/>
            <w:vAlign w:val="center"/>
          </w:tcPr>
          <w:p w14:paraId="150E46C1" w14:textId="77777777" w:rsidR="0006049A" w:rsidRPr="002F61FA" w:rsidRDefault="0006049A" w:rsidP="0006049A">
            <w:pPr>
              <w:rPr>
                <w:rFonts w:asciiTheme="majorHAnsi" w:hAnsiTheme="majorHAnsi" w:cstheme="majorHAnsi"/>
                <w:sz w:val="18"/>
                <w:szCs w:val="18"/>
              </w:rPr>
            </w:pPr>
            <w:r w:rsidRPr="002F61FA">
              <w:rPr>
                <w:rFonts w:asciiTheme="majorHAnsi" w:hAnsiTheme="majorHAnsi" w:cstheme="majorHAnsi"/>
                <w:sz w:val="18"/>
                <w:szCs w:val="18"/>
              </w:rPr>
              <w:t>CV Sterile/Non-Sterile finished product</w:t>
            </w:r>
          </w:p>
        </w:tc>
        <w:tc>
          <w:tcPr>
            <w:tcW w:w="1840" w:type="dxa"/>
            <w:vAlign w:val="center"/>
          </w:tcPr>
          <w:p w14:paraId="5FBD2018" w14:textId="77777777"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F61FA">
              <w:rPr>
                <w:rFonts w:asciiTheme="majorHAnsi" w:hAnsiTheme="majorHAnsi" w:cstheme="majorHAnsi"/>
                <w:sz w:val="18"/>
                <w:szCs w:val="18"/>
              </w:rPr>
              <w:t>CV documentation</w:t>
            </w:r>
          </w:p>
        </w:tc>
        <w:tc>
          <w:tcPr>
            <w:tcW w:w="1798" w:type="dxa"/>
            <w:vMerge w:val="restart"/>
            <w:vAlign w:val="center"/>
          </w:tcPr>
          <w:p w14:paraId="75852B95"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45025C3" wp14:editId="01C585C8">
                  <wp:extent cx="206735" cy="155051"/>
                  <wp:effectExtent l="0" t="0" r="3175" b="0"/>
                  <wp:docPr id="12" name="Picture 12"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Merge w:val="restart"/>
            <w:vAlign w:val="center"/>
          </w:tcPr>
          <w:p w14:paraId="10E5DE6E"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1A9F844" wp14:editId="40A5FB6F">
                  <wp:extent cx="238540" cy="202240"/>
                  <wp:effectExtent l="0" t="0" r="9525" b="7620"/>
                  <wp:docPr id="21" name="Picture 21" descr="Where requested by applicant or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801" w:type="dxa"/>
            <w:vMerge w:val="restart"/>
            <w:vAlign w:val="center"/>
          </w:tcPr>
          <w:p w14:paraId="5D92D9A2"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AAB9AAE" wp14:editId="6459D861">
                  <wp:extent cx="206735" cy="155051"/>
                  <wp:effectExtent l="0" t="0" r="3175" b="0"/>
                  <wp:docPr id="14" name="Picture 14"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06049A" w:rsidRPr="00322C33" w14:paraId="6A4CD307"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43A8FBB0" w14:textId="77777777" w:rsidR="0006049A" w:rsidRPr="002F61FA" w:rsidRDefault="0006049A" w:rsidP="0006049A">
            <w:pPr>
              <w:rPr>
                <w:rFonts w:asciiTheme="majorHAnsi" w:hAnsiTheme="majorHAnsi" w:cstheme="majorHAnsi"/>
                <w:sz w:val="18"/>
                <w:szCs w:val="18"/>
              </w:rPr>
            </w:pPr>
          </w:p>
        </w:tc>
        <w:tc>
          <w:tcPr>
            <w:tcW w:w="1840" w:type="dxa"/>
            <w:vAlign w:val="center"/>
          </w:tcPr>
          <w:p w14:paraId="44CC7225" w14:textId="77777777"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Evidence</w:t>
            </w:r>
          </w:p>
        </w:tc>
        <w:tc>
          <w:tcPr>
            <w:tcW w:w="1798" w:type="dxa"/>
            <w:vMerge/>
            <w:vAlign w:val="center"/>
          </w:tcPr>
          <w:p w14:paraId="7243BBCC"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89" w:type="dxa"/>
            <w:vMerge/>
            <w:vAlign w:val="center"/>
          </w:tcPr>
          <w:p w14:paraId="2B887074"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01" w:type="dxa"/>
            <w:vMerge/>
            <w:vAlign w:val="center"/>
          </w:tcPr>
          <w:p w14:paraId="2C4EE8FC"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049A" w:rsidRPr="00322C33" w14:paraId="4D48F912"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20489853" w14:textId="77777777" w:rsidR="0006049A" w:rsidRPr="002F61FA" w:rsidRDefault="0006049A" w:rsidP="0006049A">
            <w:pPr>
              <w:rPr>
                <w:rFonts w:asciiTheme="majorHAnsi" w:hAnsiTheme="majorHAnsi" w:cstheme="majorHAnsi"/>
                <w:sz w:val="18"/>
                <w:szCs w:val="18"/>
              </w:rPr>
            </w:pPr>
          </w:p>
        </w:tc>
        <w:tc>
          <w:tcPr>
            <w:tcW w:w="1840" w:type="dxa"/>
            <w:vAlign w:val="center"/>
          </w:tcPr>
          <w:p w14:paraId="1C086765" w14:textId="77777777"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Clearance</w:t>
            </w:r>
          </w:p>
        </w:tc>
        <w:tc>
          <w:tcPr>
            <w:tcW w:w="1798" w:type="dxa"/>
            <w:vAlign w:val="center"/>
          </w:tcPr>
          <w:p w14:paraId="09734CDC"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65CEF2E7" wp14:editId="4F4976D0">
                  <wp:extent cx="206735" cy="155051"/>
                  <wp:effectExtent l="0" t="0" r="3175" b="0"/>
                  <wp:docPr id="66" name="Picture 66"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Align w:val="center"/>
          </w:tcPr>
          <w:p w14:paraId="27584C1F"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505FDCCF" wp14:editId="08A6C379">
                  <wp:extent cx="214685" cy="169959"/>
                  <wp:effectExtent l="0" t="0" r="0" b="1905"/>
                  <wp:docPr id="27" name="Picture 27"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c>
          <w:tcPr>
            <w:tcW w:w="1801" w:type="dxa"/>
            <w:vAlign w:val="center"/>
          </w:tcPr>
          <w:p w14:paraId="016CFD95"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0A5BD5F" wp14:editId="715E92C4">
                  <wp:extent cx="206735" cy="155051"/>
                  <wp:effectExtent l="0" t="0" r="3175" b="0"/>
                  <wp:docPr id="67" name="Picture 67"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06049A" w:rsidRPr="00322C33" w14:paraId="4A41004B"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val="restart"/>
            <w:vAlign w:val="center"/>
          </w:tcPr>
          <w:p w14:paraId="03880D5F" w14:textId="77777777" w:rsidR="0006049A" w:rsidRPr="002F61FA" w:rsidRDefault="0006049A" w:rsidP="0006049A">
            <w:pPr>
              <w:rPr>
                <w:rFonts w:asciiTheme="majorHAnsi" w:hAnsiTheme="majorHAnsi" w:cstheme="majorHAnsi"/>
                <w:sz w:val="18"/>
                <w:szCs w:val="18"/>
              </w:rPr>
            </w:pPr>
            <w:r w:rsidRPr="002F61FA">
              <w:rPr>
                <w:rFonts w:asciiTheme="majorHAnsi" w:hAnsiTheme="majorHAnsi" w:cstheme="majorHAnsi"/>
                <w:sz w:val="18"/>
                <w:szCs w:val="18"/>
              </w:rPr>
              <w:t>CV Contract testing laboratory or steriliser</w:t>
            </w:r>
          </w:p>
        </w:tc>
        <w:tc>
          <w:tcPr>
            <w:tcW w:w="1840" w:type="dxa"/>
            <w:vAlign w:val="center"/>
          </w:tcPr>
          <w:p w14:paraId="1575AEAF" w14:textId="77777777"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F61FA">
              <w:rPr>
                <w:rFonts w:asciiTheme="majorHAnsi" w:hAnsiTheme="majorHAnsi" w:cstheme="majorHAnsi"/>
                <w:sz w:val="18"/>
                <w:szCs w:val="18"/>
              </w:rPr>
              <w:t>CV documentation</w:t>
            </w:r>
          </w:p>
        </w:tc>
        <w:tc>
          <w:tcPr>
            <w:tcW w:w="1798" w:type="dxa"/>
            <w:vMerge w:val="restart"/>
            <w:vAlign w:val="center"/>
          </w:tcPr>
          <w:p w14:paraId="5EBB39C0"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54315E51" wp14:editId="04FC2B36">
                  <wp:extent cx="206735" cy="155051"/>
                  <wp:effectExtent l="0" t="0" r="3175" b="0"/>
                  <wp:docPr id="15" name="Picture 15"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Merge w:val="restart"/>
            <w:vAlign w:val="center"/>
          </w:tcPr>
          <w:p w14:paraId="4FA37435"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59126BAA" wp14:editId="32B949AD">
                  <wp:extent cx="238540" cy="202240"/>
                  <wp:effectExtent l="0" t="0" r="9525" b="7620"/>
                  <wp:docPr id="22" name="Picture 22" descr="Where requested by applicant or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801" w:type="dxa"/>
            <w:vMerge w:val="restart"/>
            <w:vAlign w:val="center"/>
          </w:tcPr>
          <w:p w14:paraId="4CADFFF4"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94C416D" wp14:editId="4D76A254">
                  <wp:extent cx="206735" cy="155051"/>
                  <wp:effectExtent l="0" t="0" r="3175" b="0"/>
                  <wp:docPr id="16" name="Picture 16"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06049A" w:rsidRPr="00322C33" w14:paraId="2DC42E13"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3AB5101E" w14:textId="77777777" w:rsidR="0006049A" w:rsidRPr="002F61FA" w:rsidRDefault="0006049A" w:rsidP="0006049A">
            <w:pPr>
              <w:rPr>
                <w:rFonts w:asciiTheme="majorHAnsi" w:hAnsiTheme="majorHAnsi" w:cstheme="majorHAnsi"/>
                <w:sz w:val="18"/>
                <w:szCs w:val="18"/>
              </w:rPr>
            </w:pPr>
          </w:p>
        </w:tc>
        <w:tc>
          <w:tcPr>
            <w:tcW w:w="1840" w:type="dxa"/>
            <w:vAlign w:val="center"/>
          </w:tcPr>
          <w:p w14:paraId="4F3824B1" w14:textId="77777777"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Evidence</w:t>
            </w:r>
          </w:p>
        </w:tc>
        <w:tc>
          <w:tcPr>
            <w:tcW w:w="1798" w:type="dxa"/>
            <w:vMerge/>
            <w:vAlign w:val="center"/>
          </w:tcPr>
          <w:p w14:paraId="37E47351"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89" w:type="dxa"/>
            <w:vMerge/>
            <w:vAlign w:val="center"/>
          </w:tcPr>
          <w:p w14:paraId="5228BC2C"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01" w:type="dxa"/>
            <w:vMerge/>
            <w:vAlign w:val="center"/>
          </w:tcPr>
          <w:p w14:paraId="7FC7C457"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049A" w:rsidRPr="00322C33" w14:paraId="7820E3EE"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5A285B1A" w14:textId="77777777" w:rsidR="0006049A" w:rsidRPr="002F61FA" w:rsidRDefault="0006049A" w:rsidP="0006049A">
            <w:pPr>
              <w:rPr>
                <w:rFonts w:asciiTheme="majorHAnsi" w:hAnsiTheme="majorHAnsi" w:cstheme="majorHAnsi"/>
                <w:sz w:val="18"/>
                <w:szCs w:val="18"/>
              </w:rPr>
            </w:pPr>
          </w:p>
        </w:tc>
        <w:tc>
          <w:tcPr>
            <w:tcW w:w="1840" w:type="dxa"/>
            <w:vAlign w:val="center"/>
          </w:tcPr>
          <w:p w14:paraId="593BEA3B" w14:textId="77777777"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Clearance</w:t>
            </w:r>
          </w:p>
        </w:tc>
        <w:tc>
          <w:tcPr>
            <w:tcW w:w="1798" w:type="dxa"/>
            <w:vAlign w:val="center"/>
          </w:tcPr>
          <w:p w14:paraId="6A95C7F3"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5B3E3F0A" wp14:editId="7E054A41">
                  <wp:extent cx="206735" cy="155051"/>
                  <wp:effectExtent l="0" t="0" r="3175" b="0"/>
                  <wp:docPr id="65" name="Picture 65"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Align w:val="center"/>
          </w:tcPr>
          <w:p w14:paraId="0F24B269"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2BFEA7D6" wp14:editId="637978E8">
                  <wp:extent cx="214685" cy="169959"/>
                  <wp:effectExtent l="0" t="0" r="0" b="1905"/>
                  <wp:docPr id="29" name="Picture 29"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c>
          <w:tcPr>
            <w:tcW w:w="1801" w:type="dxa"/>
            <w:vAlign w:val="center"/>
          </w:tcPr>
          <w:p w14:paraId="0DDD26A9"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6205704" wp14:editId="61B6FC28">
                  <wp:extent cx="206735" cy="155051"/>
                  <wp:effectExtent l="0" t="0" r="3175" b="0"/>
                  <wp:docPr id="68" name="Picture 68"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06049A" w:rsidRPr="00322C33" w14:paraId="1C8F7A28"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5C20F34E" w14:textId="77777777" w:rsidR="0006049A" w:rsidRPr="002F61FA" w:rsidRDefault="0006049A" w:rsidP="0006049A">
            <w:pPr>
              <w:rPr>
                <w:rFonts w:asciiTheme="majorHAnsi" w:hAnsiTheme="majorHAnsi" w:cstheme="majorHAnsi"/>
                <w:sz w:val="18"/>
                <w:szCs w:val="18"/>
              </w:rPr>
            </w:pPr>
          </w:p>
        </w:tc>
        <w:tc>
          <w:tcPr>
            <w:tcW w:w="1840" w:type="dxa"/>
            <w:vAlign w:val="center"/>
          </w:tcPr>
          <w:p w14:paraId="7722EAB9" w14:textId="6CFEE06A"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Health Canada Exit Notice</w:t>
            </w:r>
            <w:r w:rsidR="00104F02">
              <w:rPr>
                <w:rFonts w:asciiTheme="majorHAnsi" w:hAnsiTheme="majorHAnsi" w:cstheme="majorHAnsi"/>
                <w:sz w:val="18"/>
                <w:szCs w:val="18"/>
              </w:rPr>
              <w:t>*</w:t>
            </w:r>
          </w:p>
        </w:tc>
        <w:tc>
          <w:tcPr>
            <w:tcW w:w="1798" w:type="dxa"/>
            <w:vAlign w:val="center"/>
          </w:tcPr>
          <w:p w14:paraId="1193B0EC" w14:textId="4932CCA1" w:rsidR="0006049A" w:rsidRPr="00353A69" w:rsidRDefault="0006049A" w:rsidP="0006049A">
            <w:pPr>
              <w:jc w:val="center"/>
              <w:cnfStyle w:val="000000000000" w:firstRow="0" w:lastRow="0" w:firstColumn="0" w:lastColumn="0" w:oddVBand="0" w:evenVBand="0" w:oddHBand="0" w:evenHBand="0" w:firstRowFirstColumn="0" w:firstRowLastColumn="0" w:lastRowFirstColumn="0" w:lastRowLastColumn="0"/>
              <w:rPr>
                <w:noProof/>
              </w:rPr>
            </w:pPr>
            <w:r w:rsidRPr="00353A69">
              <w:rPr>
                <w:noProof/>
              </w:rPr>
              <w:drawing>
                <wp:inline distT="0" distB="0" distL="0" distR="0" wp14:anchorId="3CE1126E" wp14:editId="218CECEA">
                  <wp:extent cx="206735" cy="155051"/>
                  <wp:effectExtent l="0" t="0" r="3175" b="0"/>
                  <wp:docPr id="920941333" name="Picture 920941333"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Align w:val="center"/>
          </w:tcPr>
          <w:p w14:paraId="69F70EFF" w14:textId="36699683" w:rsidR="0006049A" w:rsidRPr="00353A69" w:rsidRDefault="0006049A" w:rsidP="0006049A">
            <w:pPr>
              <w:jc w:val="center"/>
              <w:cnfStyle w:val="000000000000" w:firstRow="0" w:lastRow="0" w:firstColumn="0" w:lastColumn="0" w:oddVBand="0" w:evenVBand="0" w:oddHBand="0" w:evenHBand="0" w:firstRowFirstColumn="0" w:firstRowLastColumn="0" w:lastRowFirstColumn="0" w:lastRowLastColumn="0"/>
              <w:rPr>
                <w:noProof/>
              </w:rPr>
            </w:pPr>
            <w:r w:rsidRPr="00353A69">
              <w:rPr>
                <w:noProof/>
              </w:rPr>
              <w:drawing>
                <wp:inline distT="0" distB="0" distL="0" distR="0" wp14:anchorId="0BC000B3" wp14:editId="5FE79616">
                  <wp:extent cx="206735" cy="155051"/>
                  <wp:effectExtent l="0" t="0" r="3175" b="0"/>
                  <wp:docPr id="1475531455" name="Picture 1475531455"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801" w:type="dxa"/>
            <w:vAlign w:val="center"/>
          </w:tcPr>
          <w:p w14:paraId="46072E7E" w14:textId="5275B9A2" w:rsidR="0006049A" w:rsidRPr="00353A69" w:rsidRDefault="0006049A" w:rsidP="0006049A">
            <w:pPr>
              <w:jc w:val="center"/>
              <w:cnfStyle w:val="000000000000" w:firstRow="0" w:lastRow="0" w:firstColumn="0" w:lastColumn="0" w:oddVBand="0" w:evenVBand="0" w:oddHBand="0" w:evenHBand="0" w:firstRowFirstColumn="0" w:firstRowLastColumn="0" w:lastRowFirstColumn="0" w:lastRowLastColumn="0"/>
              <w:rPr>
                <w:noProof/>
              </w:rPr>
            </w:pPr>
            <w:r w:rsidRPr="00353A69">
              <w:rPr>
                <w:noProof/>
              </w:rPr>
              <w:drawing>
                <wp:inline distT="0" distB="0" distL="0" distR="0" wp14:anchorId="095F6E6C" wp14:editId="2D1BCE4C">
                  <wp:extent cx="214685" cy="169959"/>
                  <wp:effectExtent l="0" t="0" r="0" b="1905"/>
                  <wp:docPr id="366357873" name="Picture 366357873"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r w:rsidR="0006049A" w:rsidRPr="00322C33" w14:paraId="09C3B871"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val="restart"/>
            <w:vAlign w:val="center"/>
          </w:tcPr>
          <w:p w14:paraId="20D506B1" w14:textId="77777777" w:rsidR="0006049A" w:rsidRPr="002F61FA" w:rsidRDefault="0006049A" w:rsidP="0006049A">
            <w:pPr>
              <w:rPr>
                <w:rFonts w:asciiTheme="majorHAnsi" w:hAnsiTheme="majorHAnsi" w:cstheme="majorHAnsi"/>
                <w:sz w:val="18"/>
                <w:szCs w:val="18"/>
              </w:rPr>
            </w:pPr>
            <w:r w:rsidRPr="002F61FA">
              <w:rPr>
                <w:rFonts w:asciiTheme="majorHAnsi" w:hAnsiTheme="majorHAnsi" w:cstheme="majorHAnsi"/>
                <w:sz w:val="18"/>
                <w:szCs w:val="18"/>
              </w:rPr>
              <w:t>TGA Certificate</w:t>
            </w:r>
          </w:p>
        </w:tc>
        <w:tc>
          <w:tcPr>
            <w:tcW w:w="1840" w:type="dxa"/>
            <w:vAlign w:val="center"/>
          </w:tcPr>
          <w:p w14:paraId="276E7710" w14:textId="77777777"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sidRPr="002F61FA">
              <w:rPr>
                <w:rFonts w:asciiTheme="majorHAnsi" w:hAnsiTheme="majorHAnsi" w:cstheme="majorHAnsi"/>
                <w:sz w:val="18"/>
                <w:szCs w:val="18"/>
              </w:rPr>
              <w:t>TGA Certificate</w:t>
            </w:r>
          </w:p>
        </w:tc>
        <w:tc>
          <w:tcPr>
            <w:tcW w:w="1798" w:type="dxa"/>
            <w:vMerge w:val="restart"/>
            <w:vAlign w:val="center"/>
          </w:tcPr>
          <w:p w14:paraId="53DA7495"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3F48437" wp14:editId="16810B39">
                  <wp:extent cx="206735" cy="155051"/>
                  <wp:effectExtent l="0" t="0" r="3175" b="0"/>
                  <wp:docPr id="17" name="Picture 17"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789" w:type="dxa"/>
            <w:vMerge w:val="restart"/>
            <w:vAlign w:val="center"/>
          </w:tcPr>
          <w:p w14:paraId="7EB754D0"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6F9849FE" wp14:editId="405B8FA2">
                  <wp:extent cx="214685" cy="169959"/>
                  <wp:effectExtent l="0" t="0" r="0" b="1905"/>
                  <wp:docPr id="30" name="Picture 30"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c>
          <w:tcPr>
            <w:tcW w:w="1801" w:type="dxa"/>
            <w:vMerge w:val="restart"/>
            <w:vAlign w:val="center"/>
          </w:tcPr>
          <w:p w14:paraId="5A3DA3DA"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3A20528" wp14:editId="49AC9810">
                  <wp:extent cx="214685" cy="169959"/>
                  <wp:effectExtent l="0" t="0" r="0" b="1905"/>
                  <wp:docPr id="31" name="Picture 31"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r w:rsidR="0006049A" w:rsidRPr="00322C33" w14:paraId="7180ADDC"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34877D26" w14:textId="77777777" w:rsidR="0006049A" w:rsidRPr="002F61FA" w:rsidRDefault="0006049A" w:rsidP="0006049A">
            <w:pPr>
              <w:rPr>
                <w:rFonts w:asciiTheme="majorHAnsi" w:hAnsiTheme="majorHAnsi" w:cstheme="majorHAnsi"/>
                <w:sz w:val="18"/>
                <w:szCs w:val="18"/>
              </w:rPr>
            </w:pPr>
          </w:p>
        </w:tc>
        <w:tc>
          <w:tcPr>
            <w:tcW w:w="1840" w:type="dxa"/>
            <w:vAlign w:val="center"/>
          </w:tcPr>
          <w:p w14:paraId="4CD8FA30" w14:textId="77777777"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Evidence</w:t>
            </w:r>
          </w:p>
        </w:tc>
        <w:tc>
          <w:tcPr>
            <w:tcW w:w="1798" w:type="dxa"/>
            <w:vMerge/>
            <w:vAlign w:val="center"/>
          </w:tcPr>
          <w:p w14:paraId="3B02E60B"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89" w:type="dxa"/>
            <w:vMerge/>
            <w:vAlign w:val="center"/>
          </w:tcPr>
          <w:p w14:paraId="79400F55"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01" w:type="dxa"/>
            <w:vMerge/>
            <w:vAlign w:val="center"/>
          </w:tcPr>
          <w:p w14:paraId="299919D4"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06049A" w:rsidRPr="00322C33" w14:paraId="50A5E51B" w14:textId="77777777" w:rsidTr="0042350D">
        <w:trPr>
          <w:trHeight w:val="567"/>
        </w:trPr>
        <w:tc>
          <w:tcPr>
            <w:cnfStyle w:val="001000000000" w:firstRow="0" w:lastRow="0" w:firstColumn="1" w:lastColumn="0" w:oddVBand="0" w:evenVBand="0" w:oddHBand="0" w:evenHBand="0" w:firstRowFirstColumn="0" w:firstRowLastColumn="0" w:lastRowFirstColumn="0" w:lastRowLastColumn="0"/>
            <w:tcW w:w="1823" w:type="dxa"/>
            <w:vMerge/>
          </w:tcPr>
          <w:p w14:paraId="709AB493" w14:textId="77777777" w:rsidR="0006049A" w:rsidRPr="002F61FA" w:rsidRDefault="0006049A" w:rsidP="0006049A">
            <w:pPr>
              <w:rPr>
                <w:rFonts w:asciiTheme="majorHAnsi" w:hAnsiTheme="majorHAnsi" w:cstheme="majorHAnsi"/>
                <w:sz w:val="18"/>
                <w:szCs w:val="18"/>
              </w:rPr>
            </w:pPr>
          </w:p>
        </w:tc>
        <w:tc>
          <w:tcPr>
            <w:tcW w:w="1840" w:type="dxa"/>
            <w:vAlign w:val="center"/>
          </w:tcPr>
          <w:p w14:paraId="7A0E5BB7" w14:textId="77777777" w:rsidR="0006049A" w:rsidRPr="002F61FA" w:rsidRDefault="0006049A" w:rsidP="0006049A">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proofErr w:type="spellStart"/>
            <w:r w:rsidRPr="002F61FA">
              <w:rPr>
                <w:rFonts w:asciiTheme="majorHAnsi" w:hAnsiTheme="majorHAnsi" w:cstheme="majorHAnsi"/>
                <w:sz w:val="18"/>
                <w:szCs w:val="18"/>
              </w:rPr>
              <w:t>LoA</w:t>
            </w:r>
            <w:proofErr w:type="spellEnd"/>
            <w:r w:rsidRPr="002F61FA">
              <w:rPr>
                <w:rFonts w:asciiTheme="majorHAnsi" w:hAnsiTheme="majorHAnsi" w:cstheme="majorHAnsi"/>
                <w:sz w:val="18"/>
                <w:szCs w:val="18"/>
              </w:rPr>
              <w:t xml:space="preserve"> to Clearance</w:t>
            </w:r>
          </w:p>
        </w:tc>
        <w:tc>
          <w:tcPr>
            <w:tcW w:w="1798" w:type="dxa"/>
            <w:vMerge/>
            <w:vAlign w:val="center"/>
          </w:tcPr>
          <w:p w14:paraId="13E1867A"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789" w:type="dxa"/>
            <w:vMerge/>
            <w:vAlign w:val="center"/>
          </w:tcPr>
          <w:p w14:paraId="4DF0A7B3"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01" w:type="dxa"/>
            <w:vMerge/>
            <w:vAlign w:val="center"/>
          </w:tcPr>
          <w:p w14:paraId="245E4C68" w14:textId="77777777" w:rsidR="0006049A" w:rsidRPr="00322C33" w:rsidRDefault="0006049A" w:rsidP="0006049A">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p w14:paraId="252A4BB5" w14:textId="4F22396A" w:rsidR="00104F02" w:rsidRDefault="00104F02" w:rsidP="0079281D">
      <w:pPr>
        <w:pStyle w:val="FootnoteText"/>
        <w:tabs>
          <w:tab w:val="left" w:pos="1985"/>
          <w:tab w:val="left" w:pos="4395"/>
          <w:tab w:val="left" w:pos="6663"/>
        </w:tabs>
        <w:spacing w:before="120" w:after="120"/>
        <w:ind w:left="7229" w:hanging="7229"/>
        <w:rPr>
          <w:color w:val="auto"/>
          <w:sz w:val="18"/>
          <w:szCs w:val="18"/>
        </w:rPr>
      </w:pPr>
      <w:r>
        <w:rPr>
          <w:color w:val="auto"/>
          <w:sz w:val="18"/>
          <w:szCs w:val="18"/>
        </w:rPr>
        <w:t>*Only applies to certain application scopes.</w:t>
      </w:r>
      <w:r w:rsidR="009F0129">
        <w:rPr>
          <w:color w:val="auto"/>
          <w:sz w:val="18"/>
          <w:szCs w:val="18"/>
        </w:rPr>
        <w:t xml:space="preserve"> See ‘</w:t>
      </w:r>
      <w:hyperlink w:anchor="_Health_Canada_extra-jurisdictional" w:history="1">
        <w:r w:rsidR="009F0129" w:rsidRPr="009F0129">
          <w:rPr>
            <w:rStyle w:val="Hyperlink"/>
            <w:sz w:val="18"/>
            <w:szCs w:val="18"/>
          </w:rPr>
          <w:t>Health Canada extra-jurisdictional inspections</w:t>
        </w:r>
      </w:hyperlink>
      <w:r w:rsidR="009F0129">
        <w:rPr>
          <w:color w:val="auto"/>
          <w:sz w:val="18"/>
          <w:szCs w:val="18"/>
        </w:rPr>
        <w:t>’</w:t>
      </w:r>
    </w:p>
    <w:p w14:paraId="075326E9" w14:textId="12E63920" w:rsidR="00961733" w:rsidRPr="0079281D" w:rsidRDefault="00961733" w:rsidP="00961733">
      <w:pPr>
        <w:pStyle w:val="FootnoteText"/>
        <w:tabs>
          <w:tab w:val="left" w:pos="1985"/>
          <w:tab w:val="left" w:pos="4395"/>
          <w:tab w:val="left" w:pos="6663"/>
        </w:tabs>
        <w:spacing w:before="240" w:after="120"/>
        <w:ind w:left="7230" w:hanging="7230"/>
        <w:rPr>
          <w:b/>
          <w:color w:val="auto"/>
          <w:sz w:val="18"/>
          <w:szCs w:val="18"/>
        </w:rPr>
      </w:pPr>
      <w:r w:rsidRPr="00D60E97">
        <w:rPr>
          <w:noProof/>
          <w:color w:val="auto"/>
          <w:sz w:val="18"/>
          <w:szCs w:val="18"/>
        </w:rPr>
        <w:drawing>
          <wp:inline distT="0" distB="0" distL="0" distR="0" wp14:anchorId="7D52710E" wp14:editId="75628847">
            <wp:extent cx="190500" cy="152400"/>
            <wp:effectExtent l="0" t="0" r="0" b="0"/>
            <wp:docPr id="28" name="Picture 28" descr="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pplicabl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60E97">
        <w:rPr>
          <w:color w:val="auto"/>
          <w:sz w:val="18"/>
          <w:szCs w:val="18"/>
        </w:rPr>
        <w:t xml:space="preserve"> = </w:t>
      </w:r>
      <w:r w:rsidRPr="00D60E97">
        <w:rPr>
          <w:b/>
          <w:color w:val="auto"/>
          <w:sz w:val="18"/>
          <w:szCs w:val="18"/>
        </w:rPr>
        <w:t>Applicable</w:t>
      </w:r>
      <w:r w:rsidRPr="00D60E97">
        <w:rPr>
          <w:b/>
          <w:color w:val="auto"/>
          <w:sz w:val="18"/>
          <w:szCs w:val="18"/>
        </w:rPr>
        <w:tab/>
      </w:r>
      <w:proofErr w:type="spellStart"/>
      <w:r w:rsidRPr="00D60E97">
        <w:rPr>
          <w:b/>
          <w:color w:val="auto"/>
          <w:sz w:val="18"/>
          <w:szCs w:val="18"/>
        </w:rPr>
        <w:t>LoA</w:t>
      </w:r>
      <w:proofErr w:type="spellEnd"/>
      <w:r w:rsidRPr="00D60E97">
        <w:rPr>
          <w:color w:val="auto"/>
          <w:sz w:val="18"/>
          <w:szCs w:val="18"/>
        </w:rPr>
        <w:t xml:space="preserve"> = </w:t>
      </w:r>
      <w:r w:rsidRPr="00D60E97">
        <w:rPr>
          <w:b/>
          <w:color w:val="auto"/>
          <w:sz w:val="18"/>
          <w:szCs w:val="18"/>
        </w:rPr>
        <w:t>letter of access</w:t>
      </w:r>
      <w:r w:rsidRPr="00D60E97">
        <w:rPr>
          <w:b/>
          <w:color w:val="auto"/>
          <w:sz w:val="18"/>
          <w:szCs w:val="18"/>
        </w:rPr>
        <w:tab/>
      </w:r>
      <w:r w:rsidRPr="00D60E97">
        <w:rPr>
          <w:noProof/>
          <w:color w:val="auto"/>
          <w:sz w:val="18"/>
          <w:szCs w:val="18"/>
        </w:rPr>
        <w:drawing>
          <wp:inline distT="0" distB="0" distL="0" distR="0" wp14:anchorId="3E4F63C4" wp14:editId="06B337C3">
            <wp:extent cx="228600" cy="171450"/>
            <wp:effectExtent l="0" t="0" r="0" b="0"/>
            <wp:docPr id="24" name="Picture 24" descr="Not applic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Not applicabl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D60E97">
        <w:rPr>
          <w:color w:val="auto"/>
          <w:sz w:val="18"/>
          <w:szCs w:val="18"/>
        </w:rPr>
        <w:t xml:space="preserve"> = </w:t>
      </w:r>
      <w:r w:rsidRPr="00D60E97">
        <w:rPr>
          <w:b/>
          <w:color w:val="auto"/>
          <w:sz w:val="18"/>
          <w:szCs w:val="18"/>
        </w:rPr>
        <w:t>Not Applicable</w:t>
      </w:r>
      <w:r w:rsidRPr="00D60E97">
        <w:rPr>
          <w:b/>
          <w:color w:val="auto"/>
          <w:sz w:val="18"/>
          <w:szCs w:val="18"/>
        </w:rPr>
        <w:tab/>
      </w:r>
      <w:r w:rsidRPr="00D60E97">
        <w:rPr>
          <w:noProof/>
          <w:color w:val="auto"/>
          <w:sz w:val="18"/>
          <w:szCs w:val="18"/>
        </w:rPr>
        <w:drawing>
          <wp:inline distT="0" distB="0" distL="0" distR="0" wp14:anchorId="246EFA59" wp14:editId="5086FF40">
            <wp:extent cx="238125" cy="190500"/>
            <wp:effectExtent l="0" t="0" r="9525" b="0"/>
            <wp:docPr id="18" name="Picture 18" descr="Where requested by applicant or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ere requested by applicant or requir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r w:rsidRPr="00D60E97">
        <w:rPr>
          <w:color w:val="auto"/>
          <w:sz w:val="18"/>
          <w:szCs w:val="18"/>
        </w:rPr>
        <w:t xml:space="preserve"> = </w:t>
      </w:r>
      <w:proofErr w:type="gramStart"/>
      <w:r w:rsidRPr="00D60E97">
        <w:rPr>
          <w:b/>
          <w:color w:val="auto"/>
          <w:sz w:val="18"/>
          <w:szCs w:val="18"/>
        </w:rPr>
        <w:t>Where</w:t>
      </w:r>
      <w:proofErr w:type="gramEnd"/>
      <w:r w:rsidRPr="00D60E97">
        <w:rPr>
          <w:b/>
          <w:color w:val="auto"/>
          <w:sz w:val="18"/>
          <w:szCs w:val="18"/>
        </w:rPr>
        <w:t xml:space="preserve"> requested by applicant or</w:t>
      </w:r>
      <w:r w:rsidRPr="0079281D">
        <w:rPr>
          <w:b/>
          <w:color w:val="auto"/>
          <w:sz w:val="18"/>
          <w:szCs w:val="18"/>
        </w:rPr>
        <w:t xml:space="preserve"> required</w:t>
      </w:r>
    </w:p>
    <w:p w14:paraId="1C0873EA" w14:textId="77777777" w:rsidR="00961733" w:rsidRDefault="00961733" w:rsidP="00961733">
      <w:r>
        <w:t>The following application types do not incur a fee: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6049A" w14:paraId="2B21A270" w14:textId="77777777" w:rsidTr="001244D9">
        <w:tc>
          <w:tcPr>
            <w:tcW w:w="4508" w:type="dxa"/>
          </w:tcPr>
          <w:p w14:paraId="52201B19" w14:textId="77777777" w:rsidR="0006049A" w:rsidRPr="001244D9" w:rsidRDefault="0006049A" w:rsidP="0079281D">
            <w:pPr>
              <w:pStyle w:val="ListParagraph"/>
              <w:numPr>
                <w:ilvl w:val="0"/>
                <w:numId w:val="40"/>
              </w:numPr>
              <w:spacing w:before="0" w:after="0" w:line="240" w:lineRule="auto"/>
              <w:ind w:left="714" w:hanging="357"/>
              <w:rPr>
                <w:rFonts w:asciiTheme="minorHAnsi" w:hAnsiTheme="minorHAnsi" w:cstheme="minorHAnsi"/>
                <w:sz w:val="20"/>
                <w:szCs w:val="20"/>
                <w:lang w:eastAsia="en-US"/>
              </w:rPr>
            </w:pPr>
            <w:r w:rsidRPr="001244D9">
              <w:rPr>
                <w:rFonts w:asciiTheme="minorHAnsi" w:hAnsiTheme="minorHAnsi" w:cstheme="minorHAnsi"/>
                <w:sz w:val="20"/>
                <w:szCs w:val="20"/>
                <w:lang w:eastAsia="en-US"/>
              </w:rPr>
              <w:t>extensions</w:t>
            </w:r>
          </w:p>
          <w:p w14:paraId="302091F7" w14:textId="0A813A76" w:rsidR="0006049A" w:rsidRPr="0079281D" w:rsidRDefault="0006049A" w:rsidP="0079281D">
            <w:pPr>
              <w:pStyle w:val="ListParagraph"/>
              <w:numPr>
                <w:ilvl w:val="0"/>
                <w:numId w:val="40"/>
              </w:numPr>
              <w:spacing w:before="0" w:after="0" w:line="240" w:lineRule="auto"/>
              <w:ind w:left="714" w:hanging="357"/>
              <w:rPr>
                <w:rFonts w:asciiTheme="minorHAnsi" w:hAnsiTheme="minorHAnsi" w:cstheme="minorHAnsi"/>
                <w:sz w:val="20"/>
                <w:szCs w:val="20"/>
                <w:lang w:eastAsia="en-US"/>
              </w:rPr>
            </w:pPr>
            <w:r w:rsidRPr="001244D9">
              <w:rPr>
                <w:rFonts w:asciiTheme="minorHAnsi" w:hAnsiTheme="minorHAnsi" w:cstheme="minorHAnsi"/>
                <w:sz w:val="20"/>
                <w:szCs w:val="20"/>
                <w:lang w:eastAsia="en-US"/>
              </w:rPr>
              <w:t>administrative changes</w:t>
            </w:r>
          </w:p>
        </w:tc>
        <w:tc>
          <w:tcPr>
            <w:tcW w:w="4508" w:type="dxa"/>
          </w:tcPr>
          <w:p w14:paraId="7B60257B" w14:textId="77777777" w:rsidR="0006049A" w:rsidRDefault="0006049A" w:rsidP="0079281D">
            <w:pPr>
              <w:pStyle w:val="ListParagraph"/>
              <w:numPr>
                <w:ilvl w:val="0"/>
                <w:numId w:val="40"/>
              </w:numPr>
              <w:spacing w:before="0" w:after="0" w:line="240" w:lineRule="auto"/>
              <w:ind w:left="714" w:hanging="357"/>
              <w:rPr>
                <w:rFonts w:asciiTheme="minorHAnsi" w:hAnsiTheme="minorHAnsi" w:cstheme="minorHAnsi"/>
                <w:sz w:val="20"/>
                <w:szCs w:val="20"/>
                <w:lang w:eastAsia="en-US"/>
              </w:rPr>
            </w:pPr>
            <w:r w:rsidRPr="001244D9">
              <w:rPr>
                <w:rFonts w:asciiTheme="minorHAnsi" w:hAnsiTheme="minorHAnsi" w:cstheme="minorHAnsi"/>
                <w:sz w:val="20"/>
                <w:szCs w:val="20"/>
                <w:lang w:eastAsia="en-US"/>
              </w:rPr>
              <w:t>cancellation of the GMP Clearance</w:t>
            </w:r>
          </w:p>
          <w:p w14:paraId="65C3FF2F" w14:textId="5AC5FD61" w:rsidR="0006049A" w:rsidRPr="001244D9" w:rsidRDefault="0006049A" w:rsidP="0079281D">
            <w:pPr>
              <w:pStyle w:val="ListParagraph"/>
              <w:numPr>
                <w:ilvl w:val="0"/>
                <w:numId w:val="40"/>
              </w:numPr>
              <w:spacing w:before="0" w:after="0" w:line="240" w:lineRule="auto"/>
              <w:ind w:left="714" w:hanging="357"/>
              <w:rPr>
                <w:rFonts w:asciiTheme="minorHAnsi" w:eastAsiaTheme="minorHAnsi" w:hAnsiTheme="minorHAnsi" w:cstheme="minorHAnsi"/>
                <w:sz w:val="20"/>
                <w:szCs w:val="20"/>
                <w:lang w:eastAsia="en-US"/>
              </w:rPr>
            </w:pPr>
            <w:r w:rsidRPr="001244D9">
              <w:rPr>
                <w:rFonts w:asciiTheme="minorHAnsi" w:hAnsiTheme="minorHAnsi" w:cstheme="minorHAnsi"/>
                <w:sz w:val="20"/>
                <w:szCs w:val="20"/>
                <w:lang w:eastAsia="en-US"/>
              </w:rPr>
              <w:t>decreases in scope</w:t>
            </w:r>
            <w:r w:rsidRPr="0079281D">
              <w:rPr>
                <w:rFonts w:asciiTheme="minorHAnsi" w:hAnsiTheme="minorHAnsi" w:cstheme="minorHAnsi"/>
              </w:rPr>
              <w:t xml:space="preserve"> </w:t>
            </w:r>
          </w:p>
        </w:tc>
      </w:tr>
    </w:tbl>
    <w:p w14:paraId="462BFFF9" w14:textId="59A2EF62" w:rsidR="00961733" w:rsidRPr="00E35186" w:rsidDel="00F474F9" w:rsidRDefault="00961733" w:rsidP="0079281D">
      <w:pPr>
        <w:pStyle w:val="Heading2"/>
        <w:spacing w:before="0"/>
      </w:pPr>
      <w:bookmarkStart w:id="36" w:name="_How_long_GMP"/>
      <w:bookmarkStart w:id="37" w:name="_Toc11250857"/>
      <w:bookmarkStart w:id="38" w:name="_Toc147929198"/>
      <w:bookmarkStart w:id="39" w:name="_Toc198723719"/>
      <w:bookmarkEnd w:id="36"/>
      <w:r w:rsidRPr="00E35186">
        <w:lastRenderedPageBreak/>
        <w:t xml:space="preserve">How long </w:t>
      </w:r>
      <w:r w:rsidR="00B323DA">
        <w:t>GMP Clearance</w:t>
      </w:r>
      <w:r w:rsidRPr="00E35186">
        <w:t xml:space="preserve"> takes</w:t>
      </w:r>
      <w:bookmarkEnd w:id="37"/>
      <w:bookmarkEnd w:id="38"/>
      <w:bookmarkEnd w:id="39"/>
    </w:p>
    <w:p w14:paraId="2107D757" w14:textId="12E69FB3" w:rsidR="00961733" w:rsidRDefault="00961733" w:rsidP="00961733">
      <w:pPr>
        <w:pStyle w:val="ListBullet"/>
        <w:numPr>
          <w:ilvl w:val="0"/>
          <w:numId w:val="0"/>
        </w:numPr>
        <w:rPr>
          <w:color w:val="auto"/>
        </w:rPr>
      </w:pPr>
      <w:r>
        <w:rPr>
          <w:color w:val="auto"/>
        </w:rPr>
        <w:t xml:space="preserve">Processing times for </w:t>
      </w:r>
      <w:r w:rsidR="00B323DA">
        <w:rPr>
          <w:color w:val="auto"/>
        </w:rPr>
        <w:t>GMP Clearance</w:t>
      </w:r>
      <w:r>
        <w:rPr>
          <w:color w:val="auto"/>
        </w:rPr>
        <w:t xml:space="preserve"> applications can vary due to several factors such as:</w:t>
      </w:r>
    </w:p>
    <w:p w14:paraId="44DCDCF4" w14:textId="77777777" w:rsidR="00961733" w:rsidRPr="00143ADF" w:rsidRDefault="00961733" w:rsidP="00961733">
      <w:pPr>
        <w:pStyle w:val="ListBullet"/>
        <w:numPr>
          <w:ilvl w:val="0"/>
          <w:numId w:val="2"/>
        </w:numPr>
        <w:rPr>
          <w:color w:val="auto"/>
        </w:rPr>
      </w:pPr>
      <w:r w:rsidRPr="00143ADF">
        <w:rPr>
          <w:color w:val="auto"/>
        </w:rPr>
        <w:t xml:space="preserve">number of applications received </w:t>
      </w:r>
    </w:p>
    <w:p w14:paraId="681546E4" w14:textId="34895DA9" w:rsidR="00961733" w:rsidRPr="00143ADF" w:rsidRDefault="007B514D" w:rsidP="00961733">
      <w:pPr>
        <w:pStyle w:val="ListBullet"/>
        <w:numPr>
          <w:ilvl w:val="0"/>
          <w:numId w:val="2"/>
        </w:numPr>
        <w:rPr>
          <w:color w:val="auto"/>
        </w:rPr>
      </w:pPr>
      <w:r w:rsidRPr="00143ADF">
        <w:rPr>
          <w:color w:val="auto"/>
        </w:rPr>
        <w:t xml:space="preserve">the </w:t>
      </w:r>
      <w:r w:rsidR="00961733" w:rsidRPr="00143ADF">
        <w:rPr>
          <w:color w:val="auto"/>
        </w:rPr>
        <w:t>quality of applications including the quality of information provided in the application e-form</w:t>
      </w:r>
    </w:p>
    <w:p w14:paraId="134D9942" w14:textId="2D1FC4C0" w:rsidR="00961733" w:rsidRPr="00143ADF" w:rsidRDefault="007B514D" w:rsidP="00961733">
      <w:pPr>
        <w:pStyle w:val="ListBullet"/>
        <w:numPr>
          <w:ilvl w:val="0"/>
          <w:numId w:val="2"/>
        </w:numPr>
        <w:rPr>
          <w:color w:val="auto"/>
        </w:rPr>
      </w:pPr>
      <w:r w:rsidRPr="00143ADF">
        <w:rPr>
          <w:color w:val="auto"/>
        </w:rPr>
        <w:t>how long it takes</w:t>
      </w:r>
      <w:r w:rsidR="00961733" w:rsidRPr="00143ADF">
        <w:rPr>
          <w:color w:val="auto"/>
        </w:rPr>
        <w:t xml:space="preserve"> your manufacturers</w:t>
      </w:r>
      <w:r w:rsidRPr="00143ADF">
        <w:rPr>
          <w:color w:val="auto"/>
        </w:rPr>
        <w:t xml:space="preserve"> to provide necessary evidence</w:t>
      </w:r>
    </w:p>
    <w:p w14:paraId="22FD3931" w14:textId="7199BD50" w:rsidR="00961733" w:rsidRPr="00143ADF" w:rsidRDefault="00961733" w:rsidP="00961733">
      <w:pPr>
        <w:pStyle w:val="ListBullet"/>
        <w:numPr>
          <w:ilvl w:val="0"/>
          <w:numId w:val="2"/>
        </w:numPr>
        <w:rPr>
          <w:color w:val="auto"/>
        </w:rPr>
      </w:pPr>
      <w:r w:rsidRPr="00143ADF">
        <w:rPr>
          <w:color w:val="auto"/>
        </w:rPr>
        <w:t xml:space="preserve">complexity of </w:t>
      </w:r>
      <w:r w:rsidR="001C199B">
        <w:rPr>
          <w:color w:val="auto"/>
        </w:rPr>
        <w:t>evaluations</w:t>
      </w:r>
      <w:r w:rsidR="001C199B" w:rsidRPr="00143ADF">
        <w:rPr>
          <w:color w:val="auto"/>
        </w:rPr>
        <w:t xml:space="preserve"> </w:t>
      </w:r>
      <w:r w:rsidRPr="00143ADF">
        <w:rPr>
          <w:color w:val="auto"/>
        </w:rPr>
        <w:t>including the extent to which the GMP evidence supports your application</w:t>
      </w:r>
    </w:p>
    <w:p w14:paraId="6787D9D3" w14:textId="77777777" w:rsidR="00961733" w:rsidRPr="00143ADF" w:rsidRDefault="00961733" w:rsidP="00961733">
      <w:pPr>
        <w:pStyle w:val="ListBullet"/>
        <w:numPr>
          <w:ilvl w:val="0"/>
          <w:numId w:val="2"/>
        </w:numPr>
        <w:rPr>
          <w:color w:val="auto"/>
        </w:rPr>
      </w:pPr>
      <w:r w:rsidRPr="00143ADF">
        <w:rPr>
          <w:color w:val="auto"/>
        </w:rPr>
        <w:t xml:space="preserve">quality of your responses to Requests </w:t>
      </w:r>
      <w:proofErr w:type="gramStart"/>
      <w:r w:rsidRPr="00143ADF">
        <w:rPr>
          <w:color w:val="auto"/>
        </w:rPr>
        <w:t>For</w:t>
      </w:r>
      <w:proofErr w:type="gramEnd"/>
      <w:r w:rsidRPr="00143ADF">
        <w:rPr>
          <w:color w:val="auto"/>
        </w:rPr>
        <w:t xml:space="preserve"> Information (RFI) or Proposals to Not-Issue (PNI)</w:t>
      </w:r>
    </w:p>
    <w:p w14:paraId="61BC695D" w14:textId="77777777" w:rsidR="00961733" w:rsidRPr="00143ADF" w:rsidRDefault="00961733" w:rsidP="00961733">
      <w:pPr>
        <w:pStyle w:val="ListBullet"/>
        <w:numPr>
          <w:ilvl w:val="0"/>
          <w:numId w:val="2"/>
        </w:numPr>
        <w:rPr>
          <w:color w:val="auto"/>
        </w:rPr>
      </w:pPr>
      <w:r w:rsidRPr="00143ADF">
        <w:rPr>
          <w:color w:val="auto"/>
        </w:rPr>
        <w:t>prioritisation of applications to address supply, patient access or other national health responses</w:t>
      </w:r>
    </w:p>
    <w:p w14:paraId="1422FC57" w14:textId="77777777" w:rsidR="00961733" w:rsidRDefault="00961733" w:rsidP="00961733">
      <w:pPr>
        <w:pStyle w:val="ListBullet"/>
        <w:numPr>
          <w:ilvl w:val="0"/>
          <w:numId w:val="2"/>
        </w:numPr>
        <w:rPr>
          <w:color w:val="auto"/>
        </w:rPr>
      </w:pPr>
      <w:r w:rsidRPr="00143ADF">
        <w:rPr>
          <w:color w:val="auto"/>
        </w:rPr>
        <w:t xml:space="preserve">availability of trained resources for </w:t>
      </w:r>
      <w:proofErr w:type="gramStart"/>
      <w:r w:rsidRPr="00143ADF">
        <w:rPr>
          <w:color w:val="auto"/>
        </w:rPr>
        <w:t>particular application</w:t>
      </w:r>
      <w:proofErr w:type="gramEnd"/>
      <w:r w:rsidRPr="00143ADF">
        <w:rPr>
          <w:color w:val="auto"/>
        </w:rPr>
        <w:t xml:space="preserve"> types </w:t>
      </w:r>
    </w:p>
    <w:p w14:paraId="5CD60201" w14:textId="6B53220B" w:rsidR="000E7EF5" w:rsidRPr="00143ADF" w:rsidRDefault="000E7EF5" w:rsidP="0079281D">
      <w:r>
        <w:t>Additional time may be taken to process an application where you have asked us to liaise with an overseas regulatory authority to obtain evidence on your behalf or a non-compliance signal has been identified for the site.</w:t>
      </w:r>
      <w:r w:rsidRPr="0079281D">
        <w:t xml:space="preserve"> </w:t>
      </w:r>
    </w:p>
    <w:p w14:paraId="1D374A22" w14:textId="77777777" w:rsidR="00961733" w:rsidRPr="00E35186" w:rsidRDefault="00961733" w:rsidP="00961733">
      <w:pPr>
        <w:pStyle w:val="Heading3"/>
      </w:pPr>
      <w:bookmarkStart w:id="40" w:name="_Toc198723720"/>
      <w:r w:rsidRPr="00E35186">
        <w:t>Current processing times</w:t>
      </w:r>
      <w:bookmarkEnd w:id="40"/>
    </w:p>
    <w:p w14:paraId="00527249" w14:textId="210C8825" w:rsidR="008E300B" w:rsidRDefault="00961733" w:rsidP="00961733">
      <w:r>
        <w:t xml:space="preserve">An indication of current processing times for effective applications (all fees </w:t>
      </w:r>
      <w:proofErr w:type="gramStart"/>
      <w:r>
        <w:t>paid</w:t>
      </w:r>
      <w:proofErr w:type="gramEnd"/>
      <w:r>
        <w:t xml:space="preserve"> and all evidence provided) are published on the TGA website to assist industry in planning their submissions and other regulatory activities.</w:t>
      </w:r>
    </w:p>
    <w:p w14:paraId="0EB639D6" w14:textId="271CB970" w:rsidR="00961733" w:rsidRDefault="00961733" w:rsidP="00961733">
      <w:r>
        <w:t xml:space="preserve">Please refer to the </w:t>
      </w:r>
      <w:hyperlink r:id="rId36" w:history="1">
        <w:r w:rsidR="00B323DA" w:rsidRPr="00143ADF">
          <w:rPr>
            <w:rStyle w:val="Hyperlink"/>
          </w:rPr>
          <w:t>GMP Clearance</w:t>
        </w:r>
        <w:r w:rsidRPr="00143ADF">
          <w:rPr>
            <w:rStyle w:val="Hyperlink"/>
          </w:rPr>
          <w:t xml:space="preserve"> Sponsor Information Dashboard (SID)</w:t>
        </w:r>
      </w:hyperlink>
      <w:r w:rsidR="002A04EE">
        <w:t>.</w:t>
      </w:r>
    </w:p>
    <w:p w14:paraId="7FD573EC" w14:textId="77777777" w:rsidR="00961733" w:rsidRPr="00E35186" w:rsidRDefault="00961733" w:rsidP="00961733">
      <w:pPr>
        <w:pStyle w:val="Heading3"/>
      </w:pPr>
      <w:bookmarkStart w:id="41" w:name="_Toc198723721"/>
      <w:r w:rsidRPr="00E35186">
        <w:t>TGA vs Industry time and stop clocks</w:t>
      </w:r>
      <w:bookmarkEnd w:id="41"/>
    </w:p>
    <w:p w14:paraId="3ACD12E1" w14:textId="77777777" w:rsidR="00961733" w:rsidRDefault="00961733" w:rsidP="00961733">
      <w:r>
        <w:t xml:space="preserve">The number of days shown on the SID is </w:t>
      </w:r>
      <w:r w:rsidRPr="5AB8732C">
        <w:rPr>
          <w:b/>
          <w:bCs/>
        </w:rPr>
        <w:t>TGA</w:t>
      </w:r>
      <w:r>
        <w:t xml:space="preserve"> </w:t>
      </w:r>
      <w:r w:rsidRPr="5AB8732C">
        <w:rPr>
          <w:b/>
          <w:bCs/>
        </w:rPr>
        <w:t>time</w:t>
      </w:r>
      <w:r>
        <w:t xml:space="preserve"> only. TGA time is defined as the number of TGA working days between submission and finalisation of your application; it does not include industry time. Industry time is when a stop clock is applied.</w:t>
      </w:r>
      <w:r w:rsidRPr="00CE08D1">
        <w:t xml:space="preserve"> </w:t>
      </w:r>
    </w:p>
    <w:p w14:paraId="685A1C2D" w14:textId="77777777" w:rsidR="00961733" w:rsidRDefault="00961733" w:rsidP="00961733">
      <w:r>
        <w:t>Stop clocks are used to accurately capture TGA vs Industry time and are applied when:</w:t>
      </w:r>
    </w:p>
    <w:p w14:paraId="63F7CD67" w14:textId="77777777" w:rsidR="00961733" w:rsidRPr="00143ADF" w:rsidRDefault="00961733" w:rsidP="00961733">
      <w:pPr>
        <w:pStyle w:val="ListBullet"/>
        <w:numPr>
          <w:ilvl w:val="0"/>
          <w:numId w:val="2"/>
        </w:numPr>
        <w:rPr>
          <w:color w:val="auto"/>
        </w:rPr>
      </w:pPr>
      <w:r w:rsidRPr="00143ADF">
        <w:rPr>
          <w:color w:val="auto"/>
        </w:rPr>
        <w:t>we are awaiting payment of applicable fees</w:t>
      </w:r>
    </w:p>
    <w:p w14:paraId="348FC734" w14:textId="77777777" w:rsidR="00961733" w:rsidRPr="00143ADF" w:rsidRDefault="00961733" w:rsidP="00961733">
      <w:pPr>
        <w:pStyle w:val="ListBullet"/>
        <w:numPr>
          <w:ilvl w:val="0"/>
          <w:numId w:val="2"/>
        </w:numPr>
        <w:rPr>
          <w:color w:val="auto"/>
        </w:rPr>
      </w:pPr>
      <w:r w:rsidRPr="00143ADF">
        <w:rPr>
          <w:color w:val="auto"/>
        </w:rPr>
        <w:t xml:space="preserve">required evidence has not been provided at the time of application </w:t>
      </w:r>
    </w:p>
    <w:p w14:paraId="0AD9E71E" w14:textId="77777777" w:rsidR="00961733" w:rsidRPr="00143ADF" w:rsidRDefault="00961733" w:rsidP="00961733">
      <w:pPr>
        <w:pStyle w:val="ListBullet"/>
        <w:numPr>
          <w:ilvl w:val="0"/>
          <w:numId w:val="2"/>
        </w:numPr>
        <w:rPr>
          <w:color w:val="auto"/>
        </w:rPr>
      </w:pPr>
      <w:r w:rsidRPr="00143ADF">
        <w:rPr>
          <w:color w:val="auto"/>
        </w:rPr>
        <w:t>we are seeking additional information or documentation to support your application.</w:t>
      </w:r>
    </w:p>
    <w:p w14:paraId="18875F28" w14:textId="77777777" w:rsidR="00C11951" w:rsidRDefault="00C11951">
      <w:pPr>
        <w:rPr>
          <w:rFonts w:eastAsia="Times New Roman" w:cs="Times New Roman"/>
          <w:b/>
          <w:bCs/>
          <w:color w:val="001871"/>
          <w:sz w:val="32"/>
          <w:szCs w:val="32"/>
        </w:rPr>
      </w:pPr>
      <w:bookmarkStart w:id="42" w:name="_Toc11250858"/>
      <w:bookmarkStart w:id="43" w:name="_Toc147929199"/>
      <w:r>
        <w:br w:type="page"/>
      </w:r>
    </w:p>
    <w:p w14:paraId="6484197A" w14:textId="2BB6A291" w:rsidR="00961733" w:rsidRPr="00E35186" w:rsidDel="00F474F9" w:rsidRDefault="00961733" w:rsidP="00961733">
      <w:pPr>
        <w:pStyle w:val="Heading3"/>
      </w:pPr>
      <w:bookmarkStart w:id="44" w:name="_Toc198723722"/>
      <w:r w:rsidRPr="00E35186" w:rsidDel="00F474F9">
        <w:lastRenderedPageBreak/>
        <w:t>Prioritisation requests</w:t>
      </w:r>
      <w:bookmarkEnd w:id="42"/>
      <w:bookmarkEnd w:id="43"/>
      <w:bookmarkEnd w:id="44"/>
    </w:p>
    <w:p w14:paraId="3AD24446" w14:textId="3913DAB9" w:rsidR="00961733" w:rsidRPr="00172801" w:rsidRDefault="00961733" w:rsidP="00961733">
      <w:bookmarkStart w:id="45" w:name="_Toc11250859"/>
      <w:bookmarkStart w:id="46" w:name="_Toc145493869"/>
      <w:r w:rsidRPr="00172801" w:rsidDel="00F474F9">
        <w:t xml:space="preserve">Generally, applications </w:t>
      </w:r>
      <w:r w:rsidRPr="00172801" w:rsidDel="00F474F9">
        <w:rPr>
          <w:b/>
          <w:bCs/>
        </w:rPr>
        <w:t xml:space="preserve">will not </w:t>
      </w:r>
      <w:r w:rsidRPr="00172801" w:rsidDel="00F474F9">
        <w:t xml:space="preserve">be prioritised for </w:t>
      </w:r>
      <w:r w:rsidR="001C199B">
        <w:t xml:space="preserve">evaluation </w:t>
      </w:r>
      <w:r>
        <w:t>as</w:t>
      </w:r>
      <w:r w:rsidRPr="00172801" w:rsidDel="00F474F9">
        <w:t xml:space="preserve"> </w:t>
      </w:r>
      <w:r w:rsidR="001C199B">
        <w:t>s</w:t>
      </w:r>
      <w:r w:rsidRPr="00172801" w:rsidDel="00F474F9">
        <w:t xml:space="preserve">ponsors are expected to plan their regulatory activities </w:t>
      </w:r>
      <w:r>
        <w:t xml:space="preserve">using information published on the SID as well consideration of the factors that influence processing times as noted </w:t>
      </w:r>
      <w:hyperlink w:anchor="_How_long_GMP" w:history="1">
        <w:r w:rsidRPr="0097735C">
          <w:rPr>
            <w:rStyle w:val="Hyperlink"/>
          </w:rPr>
          <w:t>above</w:t>
        </w:r>
      </w:hyperlink>
      <w:r>
        <w:t>.</w:t>
      </w:r>
    </w:p>
    <w:p w14:paraId="2F91FAF0" w14:textId="77777777" w:rsidR="00961733" w:rsidRPr="00172801" w:rsidRDefault="00961733" w:rsidP="00961733">
      <w:r>
        <w:t>P</w:t>
      </w:r>
      <w:r w:rsidRPr="00172801">
        <w:t xml:space="preserve">rioritisation </w:t>
      </w:r>
      <w:r>
        <w:t xml:space="preserve">may still be sought </w:t>
      </w:r>
      <w:r w:rsidRPr="00172801">
        <w:t xml:space="preserve">in some circumstances, for example, where </w:t>
      </w:r>
      <w:r>
        <w:t xml:space="preserve">there is a </w:t>
      </w:r>
      <w:r w:rsidRPr="00172801">
        <w:t xml:space="preserve">potential for a </w:t>
      </w:r>
      <w:hyperlink r:id="rId37" w:history="1">
        <w:r w:rsidRPr="00172801">
          <w:t>Medicine Shortage</w:t>
        </w:r>
      </w:hyperlink>
      <w:r w:rsidRPr="00172801">
        <w:t xml:space="preserve"> to the Australian market</w:t>
      </w:r>
      <w:r>
        <w:t xml:space="preserve"> and you have </w:t>
      </w:r>
      <w:hyperlink r:id="rId38" w:history="1">
        <w:r w:rsidRPr="0097735C">
          <w:rPr>
            <w:rStyle w:val="Hyperlink"/>
          </w:rPr>
          <w:t>reported this to the TGA</w:t>
        </w:r>
      </w:hyperlink>
    </w:p>
    <w:p w14:paraId="0E5483EF" w14:textId="77777777" w:rsidR="00961733" w:rsidRPr="00E35186" w:rsidDel="00F474F9" w:rsidRDefault="00961733" w:rsidP="00961733">
      <w:pPr>
        <w:pStyle w:val="Heading4"/>
        <w:rPr>
          <w:rFonts w:cs="Arial"/>
        </w:rPr>
      </w:pPr>
      <w:bookmarkStart w:id="47" w:name="_Toc147929200"/>
      <w:bookmarkStart w:id="48" w:name="_Toc198723723"/>
      <w:r w:rsidRPr="00E35186" w:rsidDel="00F474F9">
        <w:rPr>
          <w:rFonts w:cs="Arial"/>
        </w:rPr>
        <w:t>What you should provide</w:t>
      </w:r>
      <w:bookmarkEnd w:id="45"/>
      <w:bookmarkEnd w:id="46"/>
      <w:bookmarkEnd w:id="47"/>
      <w:bookmarkEnd w:id="48"/>
    </w:p>
    <w:p w14:paraId="5B562AE2" w14:textId="54EF5309" w:rsidR="00961733" w:rsidRDefault="00961733" w:rsidP="00961733">
      <w:r>
        <w:t xml:space="preserve">If you intend to request that we prioritise your </w:t>
      </w:r>
      <w:r w:rsidR="00B323DA">
        <w:t>GMP Clearance</w:t>
      </w:r>
      <w:r>
        <w:t xml:space="preserve"> application over others, </w:t>
      </w:r>
      <w:bookmarkStart w:id="49" w:name="_Priority_applications"/>
      <w:bookmarkEnd w:id="49"/>
      <w:r w:rsidDel="00F474F9">
        <w:t xml:space="preserve">you </w:t>
      </w:r>
      <w:r w:rsidRPr="0097735C">
        <w:rPr>
          <w:b/>
          <w:bCs/>
        </w:rPr>
        <w:t>must</w:t>
      </w:r>
      <w:r w:rsidDel="00F474F9">
        <w:t xml:space="preserve"> provide the </w:t>
      </w:r>
      <w:r w:rsidRPr="0097735C" w:rsidDel="00F474F9">
        <w:rPr>
          <w:b/>
          <w:bCs/>
        </w:rPr>
        <w:t>appropriate level of detail and justification</w:t>
      </w:r>
      <w:r w:rsidDel="00F474F9">
        <w:t xml:space="preserve"> upfront via a cover letter submitted with the application and/or an email to </w:t>
      </w:r>
      <w:hyperlink r:id="rId39" w:history="1">
        <w:hyperlink r:id="rId40" w:history="1">
          <w:r w:rsidR="00B323DA">
            <w:rPr>
              <w:rStyle w:val="Hyperlink"/>
              <w:rFonts w:cs="Cambria"/>
              <w:szCs w:val="22"/>
            </w:rPr>
            <w:t>GMP Clearance</w:t>
          </w:r>
        </w:hyperlink>
      </w:hyperlink>
      <w:r w:rsidRPr="00441C9C">
        <w:rPr>
          <w:rStyle w:val="Hyperlink"/>
          <w:rFonts w:cs="Cambria"/>
          <w:szCs w:val="22"/>
          <w:u w:val="none"/>
        </w:rPr>
        <w:t>.</w:t>
      </w:r>
    </w:p>
    <w:p w14:paraId="13B80FBF" w14:textId="77777777" w:rsidR="00961733" w:rsidDel="00F474F9" w:rsidRDefault="00961733" w:rsidP="00961733">
      <w:r w:rsidDel="00F474F9">
        <w:t>For example:</w:t>
      </w:r>
    </w:p>
    <w:p w14:paraId="1740DE97" w14:textId="3FF8DD9B" w:rsidR="00961733" w:rsidRPr="00696407" w:rsidDel="00F474F9" w:rsidRDefault="00961733" w:rsidP="00961733">
      <w:pPr>
        <w:pStyle w:val="ListBullet"/>
        <w:numPr>
          <w:ilvl w:val="0"/>
          <w:numId w:val="2"/>
        </w:numPr>
        <w:rPr>
          <w:rFonts w:eastAsiaTheme="minorHAnsi" w:cstheme="minorBidi"/>
          <w:color w:val="auto"/>
        </w:rPr>
      </w:pPr>
      <w:r w:rsidRPr="2CAF680A">
        <w:rPr>
          <w:rFonts w:eastAsiaTheme="minorEastAsia" w:cstheme="minorBidi"/>
          <w:color w:val="auto"/>
        </w:rPr>
        <w:t xml:space="preserve">If your prioritisation request relates to the </w:t>
      </w:r>
      <w:r w:rsidRPr="00E86C03">
        <w:rPr>
          <w:rFonts w:eastAsiaTheme="minorEastAsia" w:cstheme="minorBidi"/>
          <w:i/>
          <w:iCs/>
          <w:color w:val="auto"/>
        </w:rPr>
        <w:t>potential</w:t>
      </w:r>
      <w:r w:rsidRPr="2CAF680A">
        <w:rPr>
          <w:rFonts w:eastAsiaTheme="minorEastAsia" w:cstheme="minorBidi"/>
          <w:color w:val="auto"/>
        </w:rPr>
        <w:t xml:space="preserve"> for a medicine shortage, you </w:t>
      </w:r>
      <w:r>
        <w:rPr>
          <w:rFonts w:eastAsiaTheme="minorEastAsia" w:cstheme="minorBidi"/>
          <w:color w:val="auto"/>
        </w:rPr>
        <w:t>must</w:t>
      </w:r>
      <w:r w:rsidRPr="2CAF680A">
        <w:rPr>
          <w:rFonts w:eastAsiaTheme="minorEastAsia" w:cstheme="minorBidi"/>
          <w:color w:val="auto"/>
        </w:rPr>
        <w:t xml:space="preserve"> provide the details </w:t>
      </w:r>
      <w:r>
        <w:rPr>
          <w:rFonts w:eastAsiaTheme="minorEastAsia" w:cstheme="minorBidi"/>
          <w:color w:val="auto"/>
        </w:rPr>
        <w:t>of the notification (typically an MS number)</w:t>
      </w:r>
      <w:r w:rsidRPr="2CAF680A">
        <w:rPr>
          <w:rFonts w:eastAsiaTheme="minorEastAsia" w:cstheme="minorBidi"/>
          <w:color w:val="auto"/>
        </w:rPr>
        <w:t xml:space="preserve"> to the Medicines Shortages area along with any other relevant information such as timeframes and supply of existing stock on hand.</w:t>
      </w:r>
    </w:p>
    <w:p w14:paraId="2EA81648" w14:textId="77777777" w:rsidR="00961733" w:rsidRDefault="00961733" w:rsidP="00961733">
      <w:pPr>
        <w:pStyle w:val="ListBullet"/>
        <w:numPr>
          <w:ilvl w:val="0"/>
          <w:numId w:val="2"/>
        </w:numPr>
        <w:rPr>
          <w:rFonts w:eastAsiaTheme="minorEastAsia" w:cstheme="minorBidi"/>
          <w:color w:val="auto"/>
        </w:rPr>
      </w:pPr>
      <w:r w:rsidRPr="2CAF680A">
        <w:rPr>
          <w:rFonts w:eastAsiaTheme="minorEastAsia" w:cstheme="minorBidi"/>
          <w:color w:val="auto"/>
        </w:rPr>
        <w:t>If your request relates to an urgent product registration or listing, you should provide the registration or listing details including timeframes and impact.</w:t>
      </w:r>
      <w:r>
        <w:rPr>
          <w:rFonts w:eastAsiaTheme="minorEastAsia" w:cstheme="minorBidi"/>
          <w:color w:val="auto"/>
        </w:rPr>
        <w:t xml:space="preserve"> </w:t>
      </w:r>
    </w:p>
    <w:p w14:paraId="016B9051" w14:textId="49BAC259" w:rsidR="00961733" w:rsidRPr="00696407" w:rsidDel="00F474F9" w:rsidRDefault="00961733" w:rsidP="00961733">
      <w:pPr>
        <w:pStyle w:val="ListBullet"/>
        <w:numPr>
          <w:ilvl w:val="0"/>
          <w:numId w:val="2"/>
        </w:numPr>
        <w:rPr>
          <w:rFonts w:eastAsiaTheme="minorEastAsia" w:cstheme="minorBidi"/>
          <w:color w:val="auto"/>
        </w:rPr>
      </w:pPr>
      <w:r w:rsidRPr="2CAF680A">
        <w:rPr>
          <w:rFonts w:eastAsiaTheme="minorEastAsia" w:cstheme="minorBidi"/>
          <w:color w:val="auto"/>
        </w:rPr>
        <w:t>If your request relates to an urgent variation to an existing product on the ARTG, you should provide details of the proposed change including timeframes and impact.</w:t>
      </w:r>
      <w:r>
        <w:rPr>
          <w:rFonts w:eastAsiaTheme="minorEastAsia" w:cstheme="minorBidi"/>
          <w:color w:val="auto"/>
        </w:rPr>
        <w:t xml:space="preserve"> The proposed change may need to be considered as part of the GMP </w:t>
      </w:r>
      <w:r w:rsidR="001C199B">
        <w:rPr>
          <w:rFonts w:eastAsiaTheme="minorEastAsia" w:cstheme="minorBidi"/>
          <w:color w:val="auto"/>
        </w:rPr>
        <w:t>evaluation</w:t>
      </w:r>
      <w:r>
        <w:rPr>
          <w:rFonts w:eastAsiaTheme="minorEastAsia" w:cstheme="minorBidi"/>
          <w:color w:val="auto"/>
        </w:rP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62A9B93A" w14:textId="77777777" w:rsidTr="0042350D">
        <w:tc>
          <w:tcPr>
            <w:tcW w:w="1276" w:type="dxa"/>
            <w:vAlign w:val="center"/>
          </w:tcPr>
          <w:p w14:paraId="168C23D5" w14:textId="77777777" w:rsidR="00961733" w:rsidRPr="00215D48" w:rsidRDefault="00961733" w:rsidP="0042350D">
            <w:bookmarkStart w:id="50" w:name="_Toc11250863"/>
            <w:r w:rsidRPr="00215D48">
              <w:rPr>
                <w:noProof/>
                <w:lang w:eastAsia="en-AU"/>
              </w:rPr>
              <w:drawing>
                <wp:inline distT="0" distB="0" distL="0" distR="0" wp14:anchorId="65FB08B3" wp14:editId="6A899BAF">
                  <wp:extent cx="487681" cy="487681"/>
                  <wp:effectExtent l="19050" t="0" r="7619" b="0"/>
                  <wp:docPr id="2050" name="Picture 205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94762E5" w14:textId="0804D1E8" w:rsidR="008955C4" w:rsidRPr="008955C4" w:rsidRDefault="00961733" w:rsidP="008955C4">
            <w:pPr>
              <w:pStyle w:val="ListBullet"/>
              <w:numPr>
                <w:ilvl w:val="0"/>
                <w:numId w:val="2"/>
              </w:numPr>
              <w:rPr>
                <w:sz w:val="22"/>
                <w:szCs w:val="22"/>
              </w:rPr>
            </w:pPr>
            <w:r w:rsidRPr="00E62F78">
              <w:rPr>
                <w:color w:val="auto"/>
              </w:rPr>
              <w:t xml:space="preserve">Applications </w:t>
            </w:r>
            <w:r w:rsidRPr="00E62F78">
              <w:rPr>
                <w:b/>
                <w:bCs/>
                <w:color w:val="auto"/>
              </w:rPr>
              <w:t>will not be prioritised</w:t>
            </w:r>
            <w:r w:rsidRPr="00E62F78">
              <w:rPr>
                <w:color w:val="auto"/>
              </w:rPr>
              <w:t xml:space="preserve"> unless sufficient justification with supporting information is provided</w:t>
            </w:r>
          </w:p>
        </w:tc>
      </w:tr>
    </w:tbl>
    <w:p w14:paraId="2433D9F3" w14:textId="77777777" w:rsidR="00961733" w:rsidRDefault="00961733" w:rsidP="00961733">
      <w:pPr>
        <w:pStyle w:val="ListBullet"/>
        <w:numPr>
          <w:ilvl w:val="0"/>
          <w:numId w:val="0"/>
        </w:numPr>
        <w:rPr>
          <w:rFonts w:eastAsia="Times New Roman"/>
          <w:b/>
          <w:bCs/>
          <w:color w:val="001871"/>
          <w:sz w:val="38"/>
          <w:szCs w:val="38"/>
        </w:rPr>
      </w:pPr>
      <w:r>
        <w:br w:type="page"/>
      </w:r>
    </w:p>
    <w:p w14:paraId="743D0269" w14:textId="5AF193B3" w:rsidR="00961733" w:rsidRPr="00E35186" w:rsidRDefault="00961733" w:rsidP="00961733">
      <w:pPr>
        <w:pStyle w:val="Heading2"/>
      </w:pPr>
      <w:bookmarkStart w:id="51" w:name="_Toc147929201"/>
      <w:bookmarkStart w:id="52" w:name="_Toc198723724"/>
      <w:r w:rsidRPr="00E35186">
        <w:lastRenderedPageBreak/>
        <w:t xml:space="preserve">The </w:t>
      </w:r>
      <w:r w:rsidR="00B323DA">
        <w:t>GMP Clearance</w:t>
      </w:r>
      <w:r w:rsidRPr="00E35186">
        <w:t xml:space="preserve"> process</w:t>
      </w:r>
      <w:bookmarkEnd w:id="50"/>
      <w:bookmarkEnd w:id="51"/>
      <w:bookmarkEnd w:id="52"/>
    </w:p>
    <w:p w14:paraId="63926CC1" w14:textId="77777777" w:rsidR="00961733" w:rsidRPr="00E35186" w:rsidRDefault="00961733" w:rsidP="00961733">
      <w:pPr>
        <w:pStyle w:val="Heading3"/>
      </w:pPr>
      <w:bookmarkStart w:id="53" w:name="_Application_receipt"/>
      <w:bookmarkStart w:id="54" w:name="_Toc147929202"/>
      <w:bookmarkStart w:id="55" w:name="_Toc198723725"/>
      <w:bookmarkEnd w:id="53"/>
      <w:r w:rsidRPr="00E35186">
        <w:t>Application receipt</w:t>
      </w:r>
      <w:bookmarkEnd w:id="54"/>
      <w:bookmarkEnd w:id="55"/>
    </w:p>
    <w:p w14:paraId="036316A3" w14:textId="77777777" w:rsidR="00961733" w:rsidRDefault="00961733" w:rsidP="00961733">
      <w:r w:rsidRPr="00FC1B12">
        <w:t xml:space="preserve">Once the application is submitted, it is </w:t>
      </w:r>
      <w:r>
        <w:t>not available for us to access until all fees have been paid. During this time the application status will be displayed as ‘</w:t>
      </w:r>
      <w:r w:rsidRPr="00EF3CF4">
        <w:rPr>
          <w:b/>
        </w:rPr>
        <w:t>submitted</w:t>
      </w:r>
      <w:r>
        <w:t>’. The application processing time has not started at this point until the invoices generated have been paid.</w:t>
      </w:r>
    </w:p>
    <w:p w14:paraId="0B681B9F" w14:textId="77777777" w:rsidR="00961733" w:rsidRDefault="00961733" w:rsidP="00961733">
      <w:r>
        <w:t xml:space="preserve">Only after your payment has been processed will the application become available to be receipted. The application status will change to </w:t>
      </w:r>
      <w:r>
        <w:rPr>
          <w:b/>
          <w:bCs/>
        </w:rPr>
        <w:t>‘</w:t>
      </w:r>
      <w:r w:rsidRPr="00A8425F">
        <w:rPr>
          <w:b/>
          <w:bCs/>
        </w:rPr>
        <w:t>under review’</w:t>
      </w:r>
      <w:r>
        <w:t xml:space="preserve">. </w:t>
      </w:r>
    </w:p>
    <w:p w14:paraId="33F86347" w14:textId="77777777" w:rsidR="00961733" w:rsidRDefault="00961733" w:rsidP="00961733">
      <w:r w:rsidRPr="5AB8732C">
        <w:rPr>
          <w:rFonts w:cs="Cambria"/>
        </w:rPr>
        <w:t xml:space="preserve">If the payment has been made and the status does not change within a week, please provide a copy of the remittance advice to </w:t>
      </w:r>
      <w:hyperlink r:id="rId41">
        <w:r w:rsidRPr="00441C9C">
          <w:rPr>
            <w:rStyle w:val="Hyperlink"/>
            <w:rFonts w:cs="Cambria"/>
          </w:rPr>
          <w:t>GMPclearance@health.gov.au</w:t>
        </w:r>
      </w:hyperlink>
      <w:r w:rsidRPr="5AB8732C">
        <w:rPr>
          <w:rFonts w:cs="Cambria"/>
        </w:rPr>
        <w:t xml:space="preserve"> so we can investigate the payment status.</w:t>
      </w:r>
    </w:p>
    <w:p w14:paraId="5B055D54" w14:textId="77777777" w:rsidR="00961733" w:rsidRDefault="00961733" w:rsidP="00961733">
      <w:r>
        <w:t xml:space="preserve">During the receipting process, your application and supporting documentation is filed in our records management system. We then perform a check and if all applicable fees were not selected during the submission of your application, we will raise an </w:t>
      </w:r>
      <w:proofErr w:type="gramStart"/>
      <w:r>
        <w:t>invoice</w:t>
      </w:r>
      <w:proofErr w:type="gramEnd"/>
      <w:r>
        <w:t xml:space="preserve"> and you will receive notification to pay the relevant fees by the specified due date. A stop clock will be applied to your application and the status on your application will change to ‘</w:t>
      </w:r>
      <w:r w:rsidRPr="5AB8732C">
        <w:rPr>
          <w:b/>
          <w:bCs/>
        </w:rPr>
        <w:t>with manufacturer</w:t>
      </w:r>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737D72DB" w14:textId="77777777" w:rsidTr="0042350D">
        <w:tc>
          <w:tcPr>
            <w:tcW w:w="1276" w:type="dxa"/>
            <w:vAlign w:val="center"/>
          </w:tcPr>
          <w:p w14:paraId="0B8C1614" w14:textId="77777777" w:rsidR="00961733" w:rsidRPr="00215D48" w:rsidRDefault="00961733" w:rsidP="0042350D">
            <w:bookmarkStart w:id="56" w:name="_Hlk148519930"/>
            <w:r w:rsidRPr="00215D48">
              <w:rPr>
                <w:noProof/>
                <w:lang w:eastAsia="en-AU"/>
              </w:rPr>
              <w:drawing>
                <wp:inline distT="0" distB="0" distL="0" distR="0" wp14:anchorId="3C266E8D" wp14:editId="296BF93B">
                  <wp:extent cx="487681" cy="487681"/>
                  <wp:effectExtent l="19050" t="0" r="7619" b="0"/>
                  <wp:docPr id="148" name="Picture 148"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837A3DB" w14:textId="77777777" w:rsidR="00961733" w:rsidRDefault="00961733" w:rsidP="0042350D">
            <w:r>
              <w:t>Where fees have not been paid by the due date provided, your application will be removed from the system and will no longer be visible on your TBS portal.</w:t>
            </w:r>
          </w:p>
          <w:p w14:paraId="2995D0F1" w14:textId="77777777" w:rsidR="00961733" w:rsidRPr="00215D48" w:rsidRDefault="00961733" w:rsidP="0042350D">
            <w:r>
              <w:t xml:space="preserve">Any </w:t>
            </w:r>
            <w:hyperlink w:anchor="_How_much_GMP_2" w:history="1">
              <w:r w:rsidRPr="00F263F9">
                <w:rPr>
                  <w:rStyle w:val="Hyperlink"/>
                </w:rPr>
                <w:t>application processing fees</w:t>
              </w:r>
            </w:hyperlink>
            <w:r>
              <w:t xml:space="preserve"> previously paid will not be refunded.</w:t>
            </w:r>
          </w:p>
        </w:tc>
      </w:tr>
    </w:tbl>
    <w:p w14:paraId="26CCA525" w14:textId="77777777" w:rsidR="000C3F2A" w:rsidRPr="000C3F2A" w:rsidRDefault="000C3F2A" w:rsidP="0079281D">
      <w:pPr>
        <w:pStyle w:val="Heading4"/>
        <w:rPr>
          <w:rFonts w:cs="Arial"/>
        </w:rPr>
      </w:pPr>
      <w:bookmarkStart w:id="57" w:name="_Toc198723726"/>
      <w:bookmarkStart w:id="58" w:name="_Toc147929203"/>
      <w:bookmarkEnd w:id="56"/>
      <w:r w:rsidRPr="000C3F2A">
        <w:rPr>
          <w:rFonts w:cs="Arial"/>
        </w:rPr>
        <w:t>Proactively providing the latest evidence</w:t>
      </w:r>
      <w:bookmarkEnd w:id="57"/>
      <w:r w:rsidRPr="000C3F2A">
        <w:rPr>
          <w:rFonts w:cs="Arial"/>
        </w:rPr>
        <w:t xml:space="preserve"> </w:t>
      </w:r>
    </w:p>
    <w:p w14:paraId="13E84619" w14:textId="77777777" w:rsidR="000C3F2A" w:rsidRDefault="000C3F2A" w:rsidP="000C3F2A">
      <w:r>
        <w:t>Sponsors are expected to proactively provide the latest information when it becomes available.</w:t>
      </w:r>
    </w:p>
    <w:p w14:paraId="50D5F5C3" w14:textId="3F7B00DB" w:rsidR="000C3F2A" w:rsidRDefault="000C3F2A" w:rsidP="000C3F2A">
      <w:r>
        <w:t xml:space="preserve">After </w:t>
      </w:r>
      <w:r w:rsidR="002A3D6E">
        <w:t>receipt</w:t>
      </w:r>
      <w:r>
        <w:t xml:space="preserve">, applications are placed in a queue for evaluation, when new evidence becomes available this should be provided via email or via </w:t>
      </w:r>
      <w:proofErr w:type="spellStart"/>
      <w:r>
        <w:t>Gov</w:t>
      </w:r>
      <w:r w:rsidR="00A74FC8">
        <w:t>T</w:t>
      </w:r>
      <w:r>
        <w:t>eams</w:t>
      </w:r>
      <w:proofErr w:type="spellEnd"/>
      <w:r>
        <w:t xml:space="preserve"> to assist in the efficient evaluation of evidence. </w:t>
      </w:r>
    </w:p>
    <w:p w14:paraId="275754D6" w14:textId="6CDCBA28" w:rsidR="000C3F2A" w:rsidRDefault="000C3F2A" w:rsidP="00397E0B">
      <w:r>
        <w:t>Where updated evidence is identified as being available during evaluation, this will add significant time to the process.</w:t>
      </w:r>
    </w:p>
    <w:p w14:paraId="2097585A" w14:textId="1A1B60A5" w:rsidR="00961733" w:rsidRPr="00E35186" w:rsidRDefault="00961733" w:rsidP="00961733">
      <w:pPr>
        <w:pStyle w:val="Heading3"/>
      </w:pPr>
      <w:bookmarkStart w:id="59" w:name="_Toc198723727"/>
      <w:r w:rsidRPr="00E35186">
        <w:t>How to interpret the status of your application</w:t>
      </w:r>
      <w:bookmarkEnd w:id="58"/>
      <w:bookmarkEnd w:id="59"/>
    </w:p>
    <w:p w14:paraId="692528FE" w14:textId="77777777" w:rsidR="00961733" w:rsidRDefault="00961733" w:rsidP="00961733">
      <w:r>
        <w:t xml:space="preserve">Please login to your TBS portal to view the </w:t>
      </w:r>
      <w:proofErr w:type="gramStart"/>
      <w:r>
        <w:t>current status</w:t>
      </w:r>
      <w:proofErr w:type="gramEnd"/>
      <w:r>
        <w:t xml:space="preserve"> of your application. The status will help you identify the current stage of your application and whether information is required from you:</w:t>
      </w:r>
    </w:p>
    <w:p w14:paraId="51A2903C" w14:textId="77777777" w:rsidR="00961733" w:rsidRPr="00D60E97" w:rsidRDefault="00961733" w:rsidP="00961733">
      <w:pPr>
        <w:pStyle w:val="ListBullet"/>
        <w:numPr>
          <w:ilvl w:val="0"/>
          <w:numId w:val="2"/>
        </w:numPr>
        <w:rPr>
          <w:color w:val="auto"/>
        </w:rPr>
      </w:pPr>
      <w:r w:rsidRPr="00D60E97">
        <w:rPr>
          <w:b/>
          <w:bCs/>
          <w:color w:val="auto"/>
        </w:rPr>
        <w:t>‘Submitted’</w:t>
      </w:r>
      <w:r w:rsidRPr="00D60E97">
        <w:rPr>
          <w:color w:val="auto"/>
        </w:rPr>
        <w:t>:</w:t>
      </w:r>
    </w:p>
    <w:p w14:paraId="64842037" w14:textId="77777777" w:rsidR="00961733" w:rsidRPr="00D60E97" w:rsidRDefault="00961733" w:rsidP="00961733">
      <w:pPr>
        <w:pStyle w:val="ListBullet2"/>
        <w:numPr>
          <w:ilvl w:val="1"/>
          <w:numId w:val="2"/>
        </w:numPr>
        <w:rPr>
          <w:color w:val="auto"/>
        </w:rPr>
      </w:pPr>
      <w:r w:rsidRPr="00D60E97">
        <w:rPr>
          <w:color w:val="auto"/>
        </w:rPr>
        <w:t xml:space="preserve">Application submitted however not all relevant fees have been paid. </w:t>
      </w:r>
      <w:r w:rsidRPr="00D60E97">
        <w:rPr>
          <w:b/>
          <w:bCs/>
          <w:color w:val="auto"/>
        </w:rPr>
        <w:t>‘TGA time’</w:t>
      </w:r>
      <w:r w:rsidRPr="00D60E97">
        <w:rPr>
          <w:color w:val="auto"/>
        </w:rPr>
        <w:t xml:space="preserve"> has not commenced</w:t>
      </w:r>
    </w:p>
    <w:p w14:paraId="3BD4D6B1" w14:textId="77777777" w:rsidR="00961733" w:rsidRPr="00D60E97" w:rsidRDefault="00961733" w:rsidP="00961733">
      <w:pPr>
        <w:pStyle w:val="ListBullet"/>
        <w:numPr>
          <w:ilvl w:val="0"/>
          <w:numId w:val="2"/>
        </w:numPr>
        <w:rPr>
          <w:color w:val="auto"/>
        </w:rPr>
      </w:pPr>
      <w:r w:rsidRPr="00D60E97">
        <w:rPr>
          <w:b/>
          <w:bCs/>
          <w:color w:val="auto"/>
        </w:rPr>
        <w:t>‘Under review’:</w:t>
      </w:r>
      <w:r w:rsidRPr="00D60E97">
        <w:rPr>
          <w:color w:val="auto"/>
        </w:rPr>
        <w:t xml:space="preserve"> This status indicates </w:t>
      </w:r>
      <w:r w:rsidRPr="00D60E97">
        <w:rPr>
          <w:b/>
          <w:bCs/>
          <w:color w:val="auto"/>
        </w:rPr>
        <w:t>‘TGA time’</w:t>
      </w:r>
      <w:r w:rsidRPr="00D60E97">
        <w:rPr>
          <w:color w:val="auto"/>
        </w:rPr>
        <w:t xml:space="preserve"> has commenced</w:t>
      </w:r>
    </w:p>
    <w:p w14:paraId="6F3D0FAD" w14:textId="77777777" w:rsidR="00961733" w:rsidRDefault="00961733" w:rsidP="00961733">
      <w:pPr>
        <w:pStyle w:val="ListBullet2"/>
        <w:numPr>
          <w:ilvl w:val="1"/>
          <w:numId w:val="2"/>
        </w:numPr>
      </w:pPr>
      <w:hyperlink w:anchor="_Application_receipt" w:history="1">
        <w:r w:rsidRPr="004064A0">
          <w:rPr>
            <w:rStyle w:val="Hyperlink"/>
          </w:rPr>
          <w:t>Receipting in progress</w:t>
        </w:r>
      </w:hyperlink>
      <w:r w:rsidRPr="00D60E97">
        <w:rPr>
          <w:color w:val="auto"/>
        </w:rPr>
        <w:t>, or</w:t>
      </w:r>
    </w:p>
    <w:p w14:paraId="148F55B6" w14:textId="6ADE803F" w:rsidR="00961733" w:rsidRPr="00D60E97" w:rsidRDefault="00961733" w:rsidP="00961733">
      <w:pPr>
        <w:pStyle w:val="ListBullet2"/>
        <w:numPr>
          <w:ilvl w:val="1"/>
          <w:numId w:val="2"/>
        </w:numPr>
        <w:rPr>
          <w:color w:val="auto"/>
        </w:rPr>
      </w:pPr>
      <w:r w:rsidRPr="00D60E97">
        <w:rPr>
          <w:color w:val="auto"/>
        </w:rPr>
        <w:t xml:space="preserve">Your application has been placed in the </w:t>
      </w:r>
      <w:r w:rsidR="001C199B">
        <w:rPr>
          <w:color w:val="auto"/>
        </w:rPr>
        <w:t xml:space="preserve">evaluation </w:t>
      </w:r>
      <w:r w:rsidRPr="00D60E97">
        <w:rPr>
          <w:b/>
          <w:color w:val="auto"/>
        </w:rPr>
        <w:t>complete</w:t>
      </w:r>
      <w:r w:rsidRPr="00D60E97">
        <w:rPr>
          <w:color w:val="auto"/>
        </w:rPr>
        <w:t xml:space="preserve"> queue if all relevant evidence has been submitted, or</w:t>
      </w:r>
      <w:r w:rsidRPr="00D60E97">
        <w:rPr>
          <w:color w:val="auto"/>
          <w:highlight w:val="yellow"/>
        </w:rPr>
        <w:t xml:space="preserve"> </w:t>
      </w:r>
    </w:p>
    <w:p w14:paraId="59D7F651" w14:textId="7332DC7B" w:rsidR="00961733" w:rsidRDefault="001C199B" w:rsidP="00961733">
      <w:pPr>
        <w:pStyle w:val="ListBullet2"/>
        <w:numPr>
          <w:ilvl w:val="1"/>
          <w:numId w:val="2"/>
        </w:numPr>
      </w:pPr>
      <w:hyperlink w:anchor="_Application_assessment" w:history="1">
        <w:r>
          <w:rPr>
            <w:rStyle w:val="Hyperlink"/>
          </w:rPr>
          <w:t>Evaluation</w:t>
        </w:r>
      </w:hyperlink>
      <w:r>
        <w:t xml:space="preserve"> </w:t>
      </w:r>
      <w:r w:rsidR="00961733" w:rsidRPr="00D60E97">
        <w:rPr>
          <w:color w:val="auto"/>
        </w:rPr>
        <w:t>is in progress.</w:t>
      </w:r>
    </w:p>
    <w:p w14:paraId="4D115B0A" w14:textId="77777777" w:rsidR="00961733" w:rsidRPr="00D60E97" w:rsidRDefault="00961733" w:rsidP="00961733">
      <w:pPr>
        <w:pStyle w:val="ListBullet"/>
        <w:numPr>
          <w:ilvl w:val="0"/>
          <w:numId w:val="2"/>
        </w:numPr>
        <w:rPr>
          <w:color w:val="auto"/>
        </w:rPr>
      </w:pPr>
      <w:r w:rsidRPr="00D60E97">
        <w:rPr>
          <w:b/>
          <w:bCs/>
          <w:color w:val="auto"/>
        </w:rPr>
        <w:t>‘With Manufacturer’:</w:t>
      </w:r>
      <w:r w:rsidRPr="00D60E97">
        <w:rPr>
          <w:color w:val="auto"/>
        </w:rPr>
        <w:t xml:space="preserve"> This status indicates a stop clock has been applied (</w:t>
      </w:r>
      <w:r w:rsidRPr="00D60E97">
        <w:rPr>
          <w:b/>
          <w:bCs/>
          <w:color w:val="auto"/>
        </w:rPr>
        <w:t xml:space="preserve">‘Industry </w:t>
      </w:r>
      <w:r>
        <w:rPr>
          <w:b/>
          <w:bCs/>
          <w:color w:val="auto"/>
        </w:rPr>
        <w:t>t</w:t>
      </w:r>
      <w:r w:rsidRPr="00D60E97">
        <w:rPr>
          <w:b/>
          <w:bCs/>
          <w:color w:val="auto"/>
        </w:rPr>
        <w:t>ime’</w:t>
      </w:r>
      <w:r w:rsidRPr="00D60E97">
        <w:rPr>
          <w:color w:val="auto"/>
        </w:rPr>
        <w:t>)</w:t>
      </w:r>
    </w:p>
    <w:p w14:paraId="2DDE71C4" w14:textId="77777777" w:rsidR="00961733" w:rsidRDefault="00961733" w:rsidP="00961733">
      <w:pPr>
        <w:pStyle w:val="ListBullet2"/>
        <w:numPr>
          <w:ilvl w:val="1"/>
          <w:numId w:val="2"/>
        </w:numPr>
      </w:pPr>
      <w:r w:rsidRPr="00D60E97">
        <w:rPr>
          <w:color w:val="auto"/>
        </w:rPr>
        <w:lastRenderedPageBreak/>
        <w:t xml:space="preserve">We identified a </w:t>
      </w:r>
      <w:hyperlink w:anchor="_How_much_GMP_2" w:history="1">
        <w:r w:rsidRPr="00445A65">
          <w:rPr>
            <w:rStyle w:val="Hyperlink"/>
          </w:rPr>
          <w:t>fee</w:t>
        </w:r>
      </w:hyperlink>
      <w:r>
        <w:t xml:space="preserve"> </w:t>
      </w:r>
      <w:r w:rsidRPr="00D60E97">
        <w:rPr>
          <w:color w:val="auto"/>
        </w:rPr>
        <w:t xml:space="preserve">is still required during </w:t>
      </w:r>
      <w:hyperlink w:anchor="_Application_receipt" w:history="1">
        <w:r w:rsidRPr="00445A65">
          <w:rPr>
            <w:rStyle w:val="Hyperlink"/>
          </w:rPr>
          <w:t>receipting stage</w:t>
        </w:r>
      </w:hyperlink>
      <w:r w:rsidRPr="00D60E97">
        <w:rPr>
          <w:color w:val="auto"/>
        </w:rPr>
        <w:t>, or</w:t>
      </w:r>
    </w:p>
    <w:p w14:paraId="49BF2B98" w14:textId="01414C81" w:rsidR="00961733" w:rsidRPr="00D60E97" w:rsidRDefault="00961733" w:rsidP="00961733">
      <w:pPr>
        <w:pStyle w:val="ListBullet2"/>
        <w:numPr>
          <w:ilvl w:val="1"/>
          <w:numId w:val="2"/>
        </w:numPr>
        <w:rPr>
          <w:color w:val="auto"/>
        </w:rPr>
      </w:pPr>
      <w:r w:rsidRPr="00D60E97">
        <w:rPr>
          <w:color w:val="auto"/>
        </w:rPr>
        <w:t xml:space="preserve">Your application has been placed in the </w:t>
      </w:r>
      <w:r w:rsidR="001C199B">
        <w:rPr>
          <w:color w:val="auto"/>
        </w:rPr>
        <w:t xml:space="preserve">evaluation </w:t>
      </w:r>
      <w:r w:rsidRPr="00D60E97">
        <w:rPr>
          <w:b/>
          <w:bCs/>
          <w:color w:val="auto"/>
        </w:rPr>
        <w:t>incomplete queue</w:t>
      </w:r>
      <w:r w:rsidRPr="00D60E97">
        <w:rPr>
          <w:color w:val="auto"/>
        </w:rPr>
        <w:t xml:space="preserve"> as documentation has not been provided during the receipting process or documentation does not meet the documentation requirements outlined</w:t>
      </w:r>
      <w:r>
        <w:rPr>
          <w:color w:val="auto"/>
        </w:rPr>
        <w:t xml:space="preserve"> in this </w:t>
      </w:r>
      <w:r w:rsidR="00C968DD">
        <w:rPr>
          <w:color w:val="auto"/>
        </w:rPr>
        <w:t>information</w:t>
      </w:r>
      <w:r w:rsidRPr="00D60E97">
        <w:rPr>
          <w:color w:val="auto"/>
        </w:rPr>
        <w:t>, or</w:t>
      </w:r>
    </w:p>
    <w:p w14:paraId="45F83352" w14:textId="2509C8AF" w:rsidR="00961733" w:rsidRDefault="00961733" w:rsidP="00961733">
      <w:pPr>
        <w:pStyle w:val="ListBullet2"/>
        <w:numPr>
          <w:ilvl w:val="1"/>
          <w:numId w:val="2"/>
        </w:numPr>
      </w:pPr>
      <w:r w:rsidRPr="00D60E97">
        <w:rPr>
          <w:color w:val="auto"/>
        </w:rPr>
        <w:t xml:space="preserve">During </w:t>
      </w:r>
      <w:hyperlink w:anchor="_Application_assessment" w:history="1">
        <w:r w:rsidR="001C199B">
          <w:rPr>
            <w:rStyle w:val="Hyperlink"/>
          </w:rPr>
          <w:t>evaluation</w:t>
        </w:r>
      </w:hyperlink>
      <w:r w:rsidRPr="00D60E97">
        <w:rPr>
          <w:color w:val="auto"/>
        </w:rPr>
        <w:t xml:space="preserve">, deficiencies identified and/or further clarification is required from the applicant, the </w:t>
      </w:r>
      <w:r w:rsidR="001C199B">
        <w:rPr>
          <w:color w:val="auto"/>
        </w:rPr>
        <w:t>GMP evaluator</w:t>
      </w:r>
      <w:r w:rsidR="001C199B" w:rsidRPr="00D60E97">
        <w:rPr>
          <w:color w:val="auto"/>
        </w:rPr>
        <w:t xml:space="preserve"> </w:t>
      </w:r>
      <w:r w:rsidRPr="00D60E97">
        <w:rPr>
          <w:color w:val="auto"/>
        </w:rPr>
        <w:t>will advise by email of any deficiencies</w:t>
      </w:r>
    </w:p>
    <w:p w14:paraId="5DD5A71B" w14:textId="77777777" w:rsidR="00961733" w:rsidRPr="00D60E97" w:rsidRDefault="00961733" w:rsidP="00961733">
      <w:pPr>
        <w:pStyle w:val="ListBullet"/>
        <w:numPr>
          <w:ilvl w:val="0"/>
          <w:numId w:val="2"/>
        </w:numPr>
        <w:rPr>
          <w:color w:val="auto"/>
        </w:rPr>
      </w:pPr>
      <w:r w:rsidRPr="00D60E97">
        <w:rPr>
          <w:b/>
          <w:bCs/>
          <w:color w:val="auto"/>
        </w:rPr>
        <w:t>‘Finalised’</w:t>
      </w:r>
      <w:r w:rsidRPr="00D60E97">
        <w:rPr>
          <w:color w:val="auto"/>
        </w:rPr>
        <w:t>:</w:t>
      </w:r>
    </w:p>
    <w:p w14:paraId="68789A3C" w14:textId="77777777" w:rsidR="00961733" w:rsidRDefault="00961733" w:rsidP="00961733">
      <w:pPr>
        <w:pStyle w:val="ListBullet2"/>
        <w:numPr>
          <w:ilvl w:val="1"/>
          <w:numId w:val="2"/>
        </w:numPr>
      </w:pPr>
      <w:r w:rsidRPr="00D60E97">
        <w:rPr>
          <w:color w:val="auto"/>
        </w:rPr>
        <w:t xml:space="preserve">A </w:t>
      </w:r>
      <w:hyperlink w:anchor="_Making_a_determination" w:history="1">
        <w:r w:rsidRPr="00445A65">
          <w:rPr>
            <w:rStyle w:val="Hyperlink"/>
          </w:rPr>
          <w:t>determination</w:t>
        </w:r>
      </w:hyperlink>
      <w:r>
        <w:t xml:space="preserve"> </w:t>
      </w:r>
      <w:r w:rsidRPr="00D60E97">
        <w:rPr>
          <w:color w:val="auto"/>
        </w:rPr>
        <w:t>has been made on your application</w:t>
      </w:r>
      <w:r>
        <w:rPr>
          <w:color w:val="auto"/>
        </w:rPr>
        <w:t xml:space="preserve"> and it is in the final stages of processing.</w:t>
      </w:r>
      <w:r w:rsidRPr="00D60E97">
        <w:rPr>
          <w:color w:val="auto"/>
        </w:rPr>
        <w:t xml:space="preserve"> </w:t>
      </w:r>
    </w:p>
    <w:p w14:paraId="75C1F16B" w14:textId="77777777" w:rsidR="00961733" w:rsidRPr="00D60E97" w:rsidRDefault="00961733" w:rsidP="00961733">
      <w:pPr>
        <w:pStyle w:val="ListBullet"/>
        <w:numPr>
          <w:ilvl w:val="0"/>
          <w:numId w:val="2"/>
        </w:numPr>
        <w:rPr>
          <w:b/>
          <w:bCs/>
          <w:color w:val="auto"/>
        </w:rPr>
      </w:pPr>
      <w:r w:rsidRPr="00D60E97">
        <w:rPr>
          <w:b/>
          <w:bCs/>
          <w:color w:val="auto"/>
        </w:rPr>
        <w:t>‘Pending withdrawal’:</w:t>
      </w:r>
    </w:p>
    <w:p w14:paraId="2C579F37" w14:textId="77777777" w:rsidR="00961733" w:rsidRPr="00D60E97" w:rsidRDefault="00961733" w:rsidP="00961733">
      <w:pPr>
        <w:pStyle w:val="ListBullet2"/>
        <w:numPr>
          <w:ilvl w:val="1"/>
          <w:numId w:val="2"/>
        </w:numPr>
        <w:rPr>
          <w:color w:val="auto"/>
        </w:rPr>
      </w:pPr>
      <w:r w:rsidRPr="00D60E97">
        <w:rPr>
          <w:color w:val="auto"/>
        </w:rPr>
        <w:t xml:space="preserve">Applications you have identified as no longer </w:t>
      </w:r>
      <w:r>
        <w:rPr>
          <w:color w:val="auto"/>
        </w:rPr>
        <w:t>required and are waiting on removal from the system</w:t>
      </w:r>
      <w:r w:rsidRPr="00D60E97">
        <w:rPr>
          <w:color w:val="auto"/>
        </w:rPr>
        <w:t xml:space="preserve"> </w:t>
      </w:r>
    </w:p>
    <w:tbl>
      <w:tblPr>
        <w:tblpPr w:leftFromText="180" w:rightFromText="180" w:vertAnchor="text" w:horzAnchor="margin" w:tblpY="-38"/>
        <w:tblW w:w="9038" w:type="dxa"/>
        <w:tblLayout w:type="fixed"/>
        <w:tblCellMar>
          <w:left w:w="0" w:type="dxa"/>
          <w:right w:w="0" w:type="dxa"/>
        </w:tblCellMar>
        <w:tblLook w:val="04A0" w:firstRow="1" w:lastRow="0" w:firstColumn="1" w:lastColumn="0" w:noHBand="0" w:noVBand="1"/>
      </w:tblPr>
      <w:tblGrid>
        <w:gridCol w:w="1276"/>
        <w:gridCol w:w="7762"/>
      </w:tblGrid>
      <w:tr w:rsidR="004A64FB" w:rsidRPr="00FC1B12" w14:paraId="3C588B6A" w14:textId="77777777" w:rsidTr="004A64FB">
        <w:tc>
          <w:tcPr>
            <w:tcW w:w="1276" w:type="dxa"/>
            <w:vAlign w:val="center"/>
          </w:tcPr>
          <w:p w14:paraId="2B8553FB" w14:textId="77777777" w:rsidR="004A64FB" w:rsidRPr="00FC1B12" w:rsidRDefault="004A64FB" w:rsidP="004A64FB">
            <w:bookmarkStart w:id="60" w:name="_Toc147929204"/>
            <w:r w:rsidRPr="00FC1B12">
              <w:rPr>
                <w:noProof/>
                <w:lang w:eastAsia="en-AU"/>
              </w:rPr>
              <w:drawing>
                <wp:inline distT="0" distB="0" distL="0" distR="0" wp14:anchorId="2BE93847" wp14:editId="2D20BC4F">
                  <wp:extent cx="487681" cy="487681"/>
                  <wp:effectExtent l="19050" t="0" r="7619" b="0"/>
                  <wp:docPr id="2055" name="Picture 205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4F37E1B" w14:textId="77777777" w:rsidR="004A64FB" w:rsidRPr="00FC1B12" w:rsidRDefault="004A64FB" w:rsidP="004A64FB">
            <w:r w:rsidRPr="00FC1B12">
              <w:t xml:space="preserve">If your application is placed in </w:t>
            </w:r>
            <w:r w:rsidRPr="00FC1B12">
              <w:rPr>
                <w:b/>
                <w:bCs/>
              </w:rPr>
              <w:t>incomplete queue</w:t>
            </w:r>
            <w:r w:rsidRPr="00FC1B12">
              <w:t>, applicants will not be contacted regarding evidence requirements and will experience significant delays.</w:t>
            </w:r>
          </w:p>
          <w:p w14:paraId="7C3994F1" w14:textId="75D0E3E1" w:rsidR="004A64FB" w:rsidRPr="00FC1B12" w:rsidRDefault="004A64FB" w:rsidP="004A64FB">
            <w:r w:rsidRPr="00FC1B12">
              <w:t xml:space="preserve">To avoid a significant increase in enquiries to the </w:t>
            </w:r>
            <w:r w:rsidR="00B323DA">
              <w:t>GMP Clearance</w:t>
            </w:r>
            <w:r w:rsidRPr="00FC1B12">
              <w:t xml:space="preserve"> mailbox, sponsors should check the status of the application around the expected delivery date of evidence and contact their manufacturers in the first instance to ensure the required evidence has been provided.</w:t>
            </w:r>
          </w:p>
          <w:p w14:paraId="4813D829" w14:textId="77777777" w:rsidR="004A64FB" w:rsidRPr="00FC1B12" w:rsidRDefault="004A64FB" w:rsidP="004A64FB">
            <w:r w:rsidRPr="00FC1B12">
              <w:t xml:space="preserve">Once you have contacted your manufacturer, if there are still queries in relation to the stop clock, please </w:t>
            </w:r>
            <w:hyperlink r:id="rId42" w:anchor="contacts">
              <w:r w:rsidRPr="00D60E97">
                <w:rPr>
                  <w:rStyle w:val="Hyperlink"/>
                  <w:rFonts w:eastAsia="Cambria" w:cs="Times New Roman"/>
                </w:rPr>
                <w:t>contact us</w:t>
              </w:r>
            </w:hyperlink>
            <w:r w:rsidRPr="00D60E97">
              <w:rPr>
                <w:rStyle w:val="Hyperlink"/>
                <w:color w:val="auto"/>
                <w:u w:val="none"/>
              </w:rPr>
              <w:t>.</w:t>
            </w:r>
          </w:p>
        </w:tc>
      </w:tr>
    </w:tbl>
    <w:p w14:paraId="597C82BC" w14:textId="00963DBF" w:rsidR="00961733" w:rsidRPr="00E35186" w:rsidRDefault="00961733" w:rsidP="00961733">
      <w:pPr>
        <w:pStyle w:val="Heading3"/>
      </w:pPr>
      <w:bookmarkStart w:id="61" w:name="_Toc198723728"/>
      <w:r w:rsidRPr="00E35186">
        <w:t xml:space="preserve">Variations to in-process </w:t>
      </w:r>
      <w:r w:rsidR="00B323DA">
        <w:t>GMP Clearance</w:t>
      </w:r>
      <w:r w:rsidRPr="00E35186">
        <w:t>s</w:t>
      </w:r>
      <w:bookmarkEnd w:id="60"/>
      <w:bookmarkEnd w:id="61"/>
    </w:p>
    <w:p w14:paraId="18B05EA2" w14:textId="0364A550" w:rsidR="00961733" w:rsidRDefault="00961733" w:rsidP="00961733">
      <w:r>
        <w:t xml:space="preserve">You can request a variation to a </w:t>
      </w:r>
      <w:r w:rsidR="00B323DA">
        <w:t>GMP Clearance</w:t>
      </w:r>
      <w:r>
        <w:t xml:space="preserve"> currently in-process (‘</w:t>
      </w:r>
      <w:r w:rsidRPr="229DEDC6">
        <w:rPr>
          <w:b/>
          <w:bCs/>
        </w:rPr>
        <w:t>under review</w:t>
      </w:r>
      <w:r>
        <w:t xml:space="preserve">’) before the supporting evidence is </w:t>
      </w:r>
      <w:r w:rsidR="001C199B">
        <w:t>evaluated</w:t>
      </w:r>
      <w:r>
        <w:t xml:space="preserve">, by contacting us at </w:t>
      </w:r>
      <w:hyperlink r:id="rId43" w:history="1">
        <w:r>
          <w:rPr>
            <w:rStyle w:val="Hyperlink"/>
          </w:rPr>
          <w:t>GMPclearance@health.gov.au</w:t>
        </w:r>
      </w:hyperlink>
      <w:r>
        <w:t>.</w:t>
      </w:r>
    </w:p>
    <w:p w14:paraId="412B3BC0" w14:textId="77777777" w:rsidR="00961733" w:rsidRDefault="00961733" w:rsidP="00961733">
      <w:r>
        <w:t>You should detail the specific changes required and provide the relevant evidence to support the change.</w:t>
      </w:r>
    </w:p>
    <w:p w14:paraId="32A018DB" w14:textId="313AEF5B" w:rsidR="00961733" w:rsidRDefault="00961733" w:rsidP="00961733">
      <w:r>
        <w:t xml:space="preserve">If the application has already been </w:t>
      </w:r>
      <w:r w:rsidR="001C199B">
        <w:t xml:space="preserve">evaluated </w:t>
      </w:r>
      <w:r>
        <w:t xml:space="preserve">and the change or increase in scope was not captured as part of that </w:t>
      </w:r>
      <w:r w:rsidR="001C199B">
        <w:t>evaluation</w:t>
      </w:r>
      <w:r>
        <w:t>, you will need to create a variation application, provide the required supporting evidence and pay the relevant fees.</w:t>
      </w:r>
    </w:p>
    <w:p w14:paraId="5FBC6C89" w14:textId="77777777" w:rsidR="000C3F2A" w:rsidRDefault="000C3F2A" w:rsidP="00961733"/>
    <w:p w14:paraId="42E656CF" w14:textId="77777777" w:rsidR="00961733" w:rsidRDefault="00961733" w:rsidP="00961733">
      <w:bookmarkStart w:id="62" w:name="_Hlk145430502"/>
      <w:r>
        <w:br w:type="page"/>
      </w:r>
    </w:p>
    <w:p w14:paraId="199D2775" w14:textId="74F6EBCE" w:rsidR="00961733" w:rsidRPr="00143ADF" w:rsidRDefault="00961733" w:rsidP="00F13A76">
      <w:pPr>
        <w:pStyle w:val="Tabletitle"/>
        <w:rPr>
          <w:color w:val="auto"/>
        </w:rPr>
      </w:pPr>
      <w:r w:rsidRPr="00143ADF">
        <w:rPr>
          <w:color w:val="auto"/>
        </w:rPr>
        <w:lastRenderedPageBreak/>
        <w:t xml:space="preserve">Overview of the </w:t>
      </w:r>
      <w:r w:rsidR="00B323DA" w:rsidRPr="00143ADF">
        <w:rPr>
          <w:color w:val="auto"/>
        </w:rPr>
        <w:t>GMP Clearance</w:t>
      </w:r>
      <w:r w:rsidRPr="00143ADF">
        <w:rPr>
          <w:color w:val="auto"/>
        </w:rPr>
        <w:t xml:space="preserve"> application process using the CV pathway.</w:t>
      </w:r>
    </w:p>
    <w:bookmarkEnd w:id="62"/>
    <w:p w14:paraId="3CFF6854" w14:textId="77777777" w:rsidR="00961733" w:rsidRDefault="00961733" w:rsidP="00961733">
      <w:r>
        <w:rPr>
          <w:noProof/>
          <w:lang w:eastAsia="en-AU"/>
        </w:rPr>
        <w:drawing>
          <wp:inline distT="0" distB="0" distL="0" distR="0" wp14:anchorId="514B9703" wp14:editId="5BED3FFB">
            <wp:extent cx="5614412" cy="8312625"/>
            <wp:effectExtent l="19050" t="19050" r="24765" b="12700"/>
            <wp:docPr id="190941763" name="Picture 190941763" descr="1. Application submitted. Proceed to step 2.&#10;2. If awaiting payment, status will be with manufacturer and will be on industry time. Stop clock applied. Proceed to step 3. &#10;3. Receipting in progress, status will be identified as under review and will be on TGA time. Proceed to step 4.&#10;4. Decision point to determine whether all fees and all evidence have been submitted.&#10;4.1. If missing fees, payment is required. Status will be with manufacturer and will be on industry time. Stop clock applied. &#10;4.1.1 If all fees have been paid, proceed to Step 3.&#10;4.1.2 If fees have not been paid, the application will be removed from the system.&#10;4.2. If all fees and evidence have been submitted, applications will be placed in the assessment complete queue. Status will be identified as under review and will be on TGA time. Proceed to step 5.&#10;4.3. If missing evidence, applications will be placed in the assessment incomplete queue. Status will be with manufacturer and will be on industry time. Stop clock applied. Significant delay in assessment will occur before proceeding to step 5.&#10;5. Assessment in progress. Status will be identified as under review and will be on TGA time. Proceed to step 6.&#10;6. Decision point during assessment to determine whether further evidence is required. &#10;6.1. If no further evidence is required, proceed to step 7.&#10;6.2. If further evidence is required, a request for further information will be sent out. Status will be with manufacturer and will be on industry time. Stop clock applied.&#10;6.2.1.  Once response has been addressed, further assessment will take place. Status will be identified as under review and will be on TGA time. Proceed to step 7.&#10;7. Determination and report. Status will be identified as under review and will be on TGA time. Proceed to step 8.&#10;8. Finalisation of the CV application.&#10;" title="Overview of stop clock process for GMP clearance applications using the CV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Leungk\Desktop\GMP Clearance Flowchart Intro- TGA vs Industry Time - RGT edit 180319_KL edit 200319.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615393" cy="8314078"/>
                    </a:xfrm>
                    <a:prstGeom prst="rect">
                      <a:avLst/>
                    </a:prstGeom>
                    <a:noFill/>
                    <a:ln>
                      <a:solidFill>
                        <a:schemeClr val="accent1"/>
                      </a:solidFill>
                    </a:ln>
                  </pic:spPr>
                </pic:pic>
              </a:graphicData>
            </a:graphic>
          </wp:inline>
        </w:drawing>
      </w:r>
    </w:p>
    <w:p w14:paraId="2D523A87" w14:textId="3CFD48DB" w:rsidR="00961733" w:rsidRPr="00E35186" w:rsidRDefault="00961733" w:rsidP="00961733">
      <w:pPr>
        <w:pStyle w:val="Heading3"/>
      </w:pPr>
      <w:bookmarkStart w:id="63" w:name="_Application_assessment"/>
      <w:bookmarkStart w:id="64" w:name="_Toc147929205"/>
      <w:bookmarkStart w:id="65" w:name="_Toc198723729"/>
      <w:bookmarkEnd w:id="63"/>
      <w:r w:rsidRPr="00E35186">
        <w:lastRenderedPageBreak/>
        <w:t xml:space="preserve">Application </w:t>
      </w:r>
      <w:bookmarkEnd w:id="64"/>
      <w:r w:rsidR="001C199B">
        <w:t>evaluation</w:t>
      </w:r>
      <w:bookmarkEnd w:id="65"/>
    </w:p>
    <w:p w14:paraId="469C28FB" w14:textId="795343BA" w:rsidR="00961733" w:rsidRPr="00596C07" w:rsidRDefault="00961733" w:rsidP="00961733">
      <w:r w:rsidRPr="00596C07">
        <w:t xml:space="preserve">Once your application has progressed past the receipt process, it will enter the </w:t>
      </w:r>
      <w:r w:rsidR="001C199B">
        <w:t xml:space="preserve">evaluation </w:t>
      </w:r>
      <w:r w:rsidRPr="00596C07">
        <w:t xml:space="preserve">queue. When your application is selected, the supporting evidence you have provided will be </w:t>
      </w:r>
      <w:r w:rsidR="001C199B">
        <w:t>evaluated</w:t>
      </w:r>
      <w:r w:rsidR="001C199B" w:rsidRPr="00596C07">
        <w:t xml:space="preserve"> </w:t>
      </w:r>
      <w:r w:rsidRPr="00596C07">
        <w:t xml:space="preserve">against your application scope. </w:t>
      </w:r>
    </w:p>
    <w:p w14:paraId="6FDCFA26" w14:textId="77777777" w:rsidR="00961733" w:rsidRPr="00E35186" w:rsidRDefault="00961733" w:rsidP="00961733">
      <w:pPr>
        <w:pStyle w:val="Heading4"/>
        <w:rPr>
          <w:rFonts w:cs="Arial"/>
        </w:rPr>
      </w:pPr>
      <w:bookmarkStart w:id="66" w:name="_Toc147929206"/>
      <w:bookmarkStart w:id="67" w:name="_Toc198723730"/>
      <w:r w:rsidRPr="00E35186">
        <w:rPr>
          <w:rFonts w:cs="Arial"/>
        </w:rPr>
        <w:t>MRA pathway</w:t>
      </w:r>
      <w:bookmarkEnd w:id="66"/>
      <w:bookmarkEnd w:id="67"/>
    </w:p>
    <w:p w14:paraId="0B758343" w14:textId="77777777" w:rsidR="00961733" w:rsidRDefault="00961733" w:rsidP="00961733">
      <w:r>
        <w:t xml:space="preserve">To ensure we maintain consistent processing times and do not disadvantage applicants who provide the correct information, we will </w:t>
      </w:r>
      <w:proofErr w:type="gramStart"/>
      <w:r w:rsidRPr="004730A0">
        <w:t>make a determination</w:t>
      </w:r>
      <w:proofErr w:type="gramEnd"/>
      <w:r>
        <w:t xml:space="preserve"> on the information provided and </w:t>
      </w:r>
      <w:r w:rsidRPr="00F331C3">
        <w:rPr>
          <w:b/>
          <w:bCs/>
        </w:rPr>
        <w:t>will not seek clarification</w:t>
      </w:r>
      <w:r>
        <w:t xml:space="preserve"> from you unless in specific circumstances.</w:t>
      </w:r>
    </w:p>
    <w:p w14:paraId="363953C4" w14:textId="77777777" w:rsidR="00961733" w:rsidRPr="00E35186" w:rsidRDefault="00961733" w:rsidP="00961733">
      <w:pPr>
        <w:pStyle w:val="Heading4"/>
        <w:rPr>
          <w:rFonts w:cs="Arial"/>
        </w:rPr>
      </w:pPr>
      <w:bookmarkStart w:id="68" w:name="_Toc147929207"/>
      <w:bookmarkStart w:id="69" w:name="_Toc198723731"/>
      <w:r w:rsidRPr="00E35186">
        <w:rPr>
          <w:rFonts w:cs="Arial"/>
        </w:rPr>
        <w:t>CV pathway</w:t>
      </w:r>
      <w:bookmarkEnd w:id="68"/>
      <w:bookmarkEnd w:id="69"/>
    </w:p>
    <w:p w14:paraId="504F6968" w14:textId="77777777" w:rsidR="00961733" w:rsidRPr="00804D13" w:rsidRDefault="00961733" w:rsidP="00961733">
      <w:r>
        <w:t xml:space="preserve">To ensure we do not disadvantage applicants who provide all relevant evidence upfront, applications with missing evidence will be placed in the </w:t>
      </w:r>
      <w:r w:rsidRPr="00651A71">
        <w:rPr>
          <w:b/>
          <w:bCs/>
        </w:rPr>
        <w:t>incomplete queue</w:t>
      </w:r>
      <w:r>
        <w:t xml:space="preserve"> and will experience significant delays in processing times and your application will be on Industry Time. A stop clock will be applied to your application and the status on your application will change to ‘</w:t>
      </w:r>
      <w:r w:rsidRPr="00804D13">
        <w:rPr>
          <w:b/>
        </w:rPr>
        <w:t>with manufacturer</w:t>
      </w:r>
      <w:r>
        <w:t>’.</w:t>
      </w:r>
    </w:p>
    <w:p w14:paraId="118BA781" w14:textId="0A5A2731" w:rsidR="00961733" w:rsidRDefault="00961733" w:rsidP="00961733">
      <w:r>
        <w:t xml:space="preserve">If we require further information or clarification during the CV </w:t>
      </w:r>
      <w:r w:rsidR="001C199B">
        <w:t>evaluation</w:t>
      </w:r>
      <w:r>
        <w:t xml:space="preserve">, you will be sent </w:t>
      </w:r>
      <w:r w:rsidRPr="00934A89">
        <w:rPr>
          <w:b/>
        </w:rPr>
        <w:t>one request</w:t>
      </w:r>
      <w:r>
        <w:t xml:space="preserve"> with a specified due date to provide this information. A stop clock will be applied to your application and the application status will change to ‘</w:t>
      </w:r>
      <w:r w:rsidRPr="00934A89">
        <w:rPr>
          <w:b/>
        </w:rPr>
        <w:t>with manufacturer</w:t>
      </w:r>
      <w:r>
        <w:t>’.</w:t>
      </w:r>
    </w:p>
    <w:p w14:paraId="35A5C8D8" w14:textId="3F9E3694" w:rsidR="00961733" w:rsidRDefault="00961733" w:rsidP="00961733">
      <w:r>
        <w:t xml:space="preserve">Where deficiencies have been identified during </w:t>
      </w:r>
      <w:r w:rsidR="001C199B">
        <w:t>evaluation</w:t>
      </w:r>
      <w:r>
        <w:t xml:space="preserve">, these will be included in the Request </w:t>
      </w:r>
      <w:proofErr w:type="gramStart"/>
      <w:r>
        <w:t>For</w:t>
      </w:r>
      <w:proofErr w:type="gramEnd"/>
      <w:r>
        <w:t xml:space="preserve"> Information (RFI)/Proposal to Not-Issue (PNI).</w:t>
      </w:r>
    </w:p>
    <w:p w14:paraId="3416DD29" w14:textId="77777777" w:rsidR="00961733" w:rsidRDefault="00961733" w:rsidP="00961733"/>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5E40C2A4" w14:textId="77777777" w:rsidTr="0042350D">
        <w:tc>
          <w:tcPr>
            <w:tcW w:w="1276" w:type="dxa"/>
            <w:vAlign w:val="center"/>
          </w:tcPr>
          <w:p w14:paraId="6C2F4DCD" w14:textId="77777777" w:rsidR="00961733" w:rsidRPr="00215D48" w:rsidRDefault="00961733" w:rsidP="0042350D">
            <w:r w:rsidRPr="00215D48">
              <w:rPr>
                <w:noProof/>
              </w:rPr>
              <w:drawing>
                <wp:inline distT="0" distB="0" distL="0" distR="0" wp14:anchorId="37BC5D9F" wp14:editId="506063A5">
                  <wp:extent cx="487681" cy="487681"/>
                  <wp:effectExtent l="19050" t="0" r="7619" b="0"/>
                  <wp:docPr id="23" name="Picture 2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DC89E7E" w14:textId="33A092F3" w:rsidR="00961733" w:rsidRDefault="00961733" w:rsidP="0042350D">
            <w:r>
              <w:t xml:space="preserve">Your response should address </w:t>
            </w:r>
            <w:r w:rsidRPr="00BF60FC">
              <w:rPr>
                <w:b/>
              </w:rPr>
              <w:t>each deficiency</w:t>
            </w:r>
            <w:r>
              <w:t xml:space="preserve"> raised from the </w:t>
            </w:r>
            <w:r w:rsidR="001C199B">
              <w:t>evaluation</w:t>
            </w:r>
            <w:r>
              <w:t>.</w:t>
            </w:r>
          </w:p>
          <w:p w14:paraId="44752CB4" w14:textId="77777777" w:rsidR="00961733" w:rsidRPr="00215D48" w:rsidRDefault="00961733" w:rsidP="0042350D">
            <w:r>
              <w:t xml:space="preserve">Where new or updated information is provided as part of your response, you should include specific reference as to </w:t>
            </w:r>
            <w:r w:rsidRPr="00BF60FC">
              <w:rPr>
                <w:b/>
              </w:rPr>
              <w:t>how</w:t>
            </w:r>
            <w:r>
              <w:t xml:space="preserve"> it addresses the deficiency.</w:t>
            </w:r>
          </w:p>
        </w:tc>
      </w:tr>
    </w:tbl>
    <w:p w14:paraId="7577F1D4" w14:textId="77777777" w:rsidR="00961733" w:rsidRDefault="00961733" w:rsidP="00961733"/>
    <w:p w14:paraId="15855392" w14:textId="77777777" w:rsidR="00961733" w:rsidRDefault="00961733" w:rsidP="00961733">
      <w:r>
        <w:t>After the due date has passed, a determination will be made based on the information provided.</w:t>
      </w:r>
    </w:p>
    <w:p w14:paraId="36E3BDC3" w14:textId="77777777" w:rsidR="00961733" w:rsidRPr="00E35186" w:rsidRDefault="00961733" w:rsidP="00961733">
      <w:pPr>
        <w:pStyle w:val="Heading3"/>
      </w:pPr>
      <w:bookmarkStart w:id="70" w:name="_Making_a_determination"/>
      <w:bookmarkStart w:id="71" w:name="_Toc147929208"/>
      <w:bookmarkStart w:id="72" w:name="_Toc198723732"/>
      <w:bookmarkEnd w:id="70"/>
      <w:proofErr w:type="gramStart"/>
      <w:r w:rsidRPr="00E35186">
        <w:t>Making a determination</w:t>
      </w:r>
      <w:proofErr w:type="gramEnd"/>
      <w:r w:rsidRPr="00E35186">
        <w:t xml:space="preserve"> and assigning expiry dates</w:t>
      </w:r>
      <w:bookmarkEnd w:id="71"/>
      <w:bookmarkEnd w:id="72"/>
    </w:p>
    <w:p w14:paraId="59F3C4BE" w14:textId="7F8B645B" w:rsidR="00961733" w:rsidRPr="0028520A" w:rsidRDefault="00961733" w:rsidP="00961733">
      <w:r>
        <w:t xml:space="preserve">Once your application and supporting evidence have been </w:t>
      </w:r>
      <w:r w:rsidR="001C199B">
        <w:t xml:space="preserve">evaluated </w:t>
      </w:r>
      <w:r>
        <w:t xml:space="preserve">and the due dates provided in </w:t>
      </w:r>
      <w:r w:rsidRPr="0028520A">
        <w:t xml:space="preserve">the request for information have passed, we will determine whether a </w:t>
      </w:r>
      <w:r w:rsidR="00B323DA">
        <w:t>GMP Clearance</w:t>
      </w:r>
      <w:r w:rsidRPr="0028520A">
        <w:t xml:space="preserve"> can be:</w:t>
      </w:r>
    </w:p>
    <w:p w14:paraId="77CFA43B" w14:textId="77777777" w:rsidR="00961733" w:rsidRPr="00D60E97" w:rsidRDefault="00961733" w:rsidP="00961733">
      <w:pPr>
        <w:pStyle w:val="ListBullet"/>
        <w:numPr>
          <w:ilvl w:val="0"/>
          <w:numId w:val="2"/>
        </w:numPr>
        <w:rPr>
          <w:color w:val="auto"/>
        </w:rPr>
      </w:pPr>
      <w:r w:rsidRPr="00D60E97">
        <w:rPr>
          <w:color w:val="auto"/>
        </w:rPr>
        <w:t>issued</w:t>
      </w:r>
    </w:p>
    <w:p w14:paraId="73DC6B42" w14:textId="77777777" w:rsidR="00961733" w:rsidRPr="00D60E97" w:rsidRDefault="00961733" w:rsidP="00961733">
      <w:pPr>
        <w:pStyle w:val="ListBullet"/>
        <w:numPr>
          <w:ilvl w:val="0"/>
          <w:numId w:val="2"/>
        </w:numPr>
        <w:rPr>
          <w:color w:val="auto"/>
        </w:rPr>
      </w:pPr>
      <w:r w:rsidRPr="00D60E97">
        <w:rPr>
          <w:color w:val="auto"/>
        </w:rPr>
        <w:t>issued with a condition</w:t>
      </w:r>
    </w:p>
    <w:p w14:paraId="6A0BBEAE" w14:textId="77777777" w:rsidR="00961733" w:rsidRPr="00D60E97" w:rsidRDefault="00961733" w:rsidP="00961733">
      <w:pPr>
        <w:pStyle w:val="ListBullet"/>
        <w:numPr>
          <w:ilvl w:val="0"/>
          <w:numId w:val="2"/>
        </w:numPr>
        <w:rPr>
          <w:color w:val="auto"/>
        </w:rPr>
      </w:pPr>
      <w:r w:rsidRPr="00D60E97">
        <w:rPr>
          <w:color w:val="auto"/>
        </w:rPr>
        <w:t>not issued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48319939" w14:textId="77777777" w:rsidTr="0042350D">
        <w:tc>
          <w:tcPr>
            <w:tcW w:w="1276" w:type="dxa"/>
            <w:vAlign w:val="center"/>
          </w:tcPr>
          <w:p w14:paraId="5F9F1537" w14:textId="77777777" w:rsidR="00961733" w:rsidRPr="00215D48" w:rsidRDefault="00961733" w:rsidP="0042350D">
            <w:bookmarkStart w:id="73" w:name="_Hlk150858954"/>
            <w:r w:rsidRPr="00215D48">
              <w:rPr>
                <w:noProof/>
                <w:lang w:eastAsia="en-AU"/>
              </w:rPr>
              <w:drawing>
                <wp:inline distT="0" distB="0" distL="0" distR="0" wp14:anchorId="1CDB8457" wp14:editId="2C70B774">
                  <wp:extent cx="487681" cy="487681"/>
                  <wp:effectExtent l="19050" t="0" r="7619" b="0"/>
                  <wp:docPr id="190941760" name="Picture 19094176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4FDD06B" w14:textId="219605CD" w:rsidR="00961733" w:rsidRPr="00215D48" w:rsidRDefault="00961733" w:rsidP="0042350D">
            <w:r>
              <w:t xml:space="preserve">We may shorten the expiry date of your </w:t>
            </w:r>
            <w:r w:rsidR="00B323DA">
              <w:t>GMP Clearance</w:t>
            </w:r>
            <w:r>
              <w:t xml:space="preserve"> depending on the level of compliance </w:t>
            </w:r>
            <w:r w:rsidR="001C199B">
              <w:t xml:space="preserve">evaluated </w:t>
            </w:r>
            <w:r>
              <w:t>or due to any restrictions identified in the evidence provided.</w:t>
            </w:r>
          </w:p>
        </w:tc>
      </w:tr>
      <w:bookmarkEnd w:id="73"/>
    </w:tbl>
    <w:p w14:paraId="31CFFF64" w14:textId="77777777" w:rsidR="00961733" w:rsidRDefault="00961733" w:rsidP="00961733"/>
    <w:p w14:paraId="13857772" w14:textId="77777777" w:rsidR="00961733" w:rsidRDefault="00961733" w:rsidP="00961733">
      <w:r>
        <w:t>Once we make the determination on your application, the status will change to ‘</w:t>
      </w:r>
      <w:r w:rsidRPr="229DEDC6">
        <w:rPr>
          <w:b/>
          <w:bCs/>
        </w:rPr>
        <w:t>finalised</w:t>
      </w:r>
      <w:r>
        <w:t xml:space="preserve">’. </w:t>
      </w:r>
    </w:p>
    <w:p w14:paraId="02441B46" w14:textId="77777777" w:rsidR="00961733" w:rsidRPr="00E35186" w:rsidRDefault="00961733" w:rsidP="00961733">
      <w:pPr>
        <w:pStyle w:val="Heading4"/>
        <w:rPr>
          <w:rFonts w:cs="Arial"/>
        </w:rPr>
      </w:pPr>
      <w:bookmarkStart w:id="74" w:name="_Toc147929209"/>
      <w:bookmarkStart w:id="75" w:name="_Toc198723733"/>
      <w:r w:rsidRPr="00E35186">
        <w:rPr>
          <w:rFonts w:cs="Arial"/>
        </w:rPr>
        <w:lastRenderedPageBreak/>
        <w:t>Issued</w:t>
      </w:r>
      <w:bookmarkEnd w:id="74"/>
      <w:bookmarkEnd w:id="75"/>
    </w:p>
    <w:p w14:paraId="09D6EB27" w14:textId="7D24C4DE" w:rsidR="00961733" w:rsidRDefault="00961733" w:rsidP="00961733">
      <w:r>
        <w:t xml:space="preserve">If the evidence you have provided to support your </w:t>
      </w:r>
      <w:r w:rsidR="00B323DA">
        <w:t>GMP Clearance</w:t>
      </w:r>
      <w:r>
        <w:t xml:space="preserve"> application is acceptable, we will issue the </w:t>
      </w:r>
      <w:r w:rsidR="00B323DA">
        <w:t>GMP Clearance</w:t>
      </w:r>
      <w:r>
        <w:t xml:space="preserve"> and update your application status to ‘approved’. You will be able to view this status and your expiry date via your TBS portal.</w:t>
      </w:r>
    </w:p>
    <w:p w14:paraId="1507FCC8" w14:textId="788CB8A2" w:rsidR="00961733" w:rsidRDefault="00961733" w:rsidP="00961733">
      <w:r>
        <w:t xml:space="preserve">We will notify you by email that your </w:t>
      </w:r>
      <w:r w:rsidR="00B323DA">
        <w:t>GMP Clearance</w:t>
      </w:r>
      <w:r>
        <w:t xml:space="preserve"> has been issued.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36CEB24C" w14:textId="77777777" w:rsidTr="0042350D">
        <w:tc>
          <w:tcPr>
            <w:tcW w:w="1276" w:type="dxa"/>
            <w:vAlign w:val="center"/>
          </w:tcPr>
          <w:p w14:paraId="3D64CF4A" w14:textId="77777777" w:rsidR="00961733" w:rsidRPr="00CE0B76" w:rsidRDefault="00961733" w:rsidP="0042350D">
            <w:r w:rsidRPr="00CE0B76">
              <w:rPr>
                <w:noProof/>
                <w:lang w:eastAsia="en-AU"/>
              </w:rPr>
              <w:drawing>
                <wp:inline distT="0" distB="0" distL="0" distR="0" wp14:anchorId="7B3A994E" wp14:editId="12184012">
                  <wp:extent cx="487681" cy="487681"/>
                  <wp:effectExtent l="19050" t="0" r="7619" b="0"/>
                  <wp:docPr id="190941761" name="Picture 19094176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F71152F" w14:textId="3D4EA72F" w:rsidR="00961733" w:rsidRPr="00CE0B76" w:rsidRDefault="00961733" w:rsidP="0042350D">
            <w:r w:rsidRPr="00CE0B76">
              <w:t xml:space="preserve">We may issue your </w:t>
            </w:r>
            <w:r w:rsidR="00B323DA">
              <w:t>GMP Clearance</w:t>
            </w:r>
            <w:r w:rsidRPr="00CE0B76">
              <w:t xml:space="preserve"> with a reduced scope based on the </w:t>
            </w:r>
            <w:r w:rsidR="000C3F2A">
              <w:t>evaluation</w:t>
            </w:r>
            <w:r w:rsidRPr="00CE0B76">
              <w:t xml:space="preserve"> of the supporting evidence you have provided.</w:t>
            </w:r>
          </w:p>
          <w:p w14:paraId="10469AF9" w14:textId="77777777" w:rsidR="00961733" w:rsidRPr="00CE0B76" w:rsidRDefault="00961733" w:rsidP="0042350D">
            <w:r w:rsidRPr="00CE0B76">
              <w:t>For example, where the:</w:t>
            </w:r>
          </w:p>
          <w:p w14:paraId="7FB3EF56" w14:textId="6AF88110" w:rsidR="00961733" w:rsidRPr="00D60E97" w:rsidRDefault="00961733" w:rsidP="00961733">
            <w:pPr>
              <w:pStyle w:val="ListBullet"/>
              <w:numPr>
                <w:ilvl w:val="0"/>
                <w:numId w:val="2"/>
              </w:numPr>
              <w:rPr>
                <w:color w:val="auto"/>
              </w:rPr>
            </w:pPr>
            <w:r w:rsidRPr="00D60E97">
              <w:rPr>
                <w:color w:val="auto"/>
              </w:rPr>
              <w:t>dosage form selected in the application is a group term which contains several other dosage forms that are not supported by the supplied evidence, the scope will be changed to the dosage forms specifically supported by the evidence</w:t>
            </w:r>
            <w:r w:rsidR="00E62F78">
              <w:rPr>
                <w:color w:val="auto"/>
              </w:rPr>
              <w:t>.</w:t>
            </w:r>
          </w:p>
          <w:p w14:paraId="34F1AEE1" w14:textId="77777777" w:rsidR="00961733" w:rsidRPr="00D60E97" w:rsidRDefault="00961733" w:rsidP="00961733">
            <w:pPr>
              <w:pStyle w:val="ListBullet"/>
              <w:numPr>
                <w:ilvl w:val="0"/>
                <w:numId w:val="2"/>
              </w:numPr>
              <w:rPr>
                <w:color w:val="auto"/>
              </w:rPr>
            </w:pPr>
            <w:r w:rsidRPr="00D60E97">
              <w:rPr>
                <w:color w:val="auto"/>
              </w:rPr>
              <w:t>manufacturing step selected in the application is a group term which contains several steps of manufacture that are not supported by the evidence, the scope will be changed to the manufacturing steps that are specifically supported by the evidence.</w:t>
            </w:r>
          </w:p>
        </w:tc>
      </w:tr>
    </w:tbl>
    <w:p w14:paraId="329AEF2B" w14:textId="77777777" w:rsidR="00961733" w:rsidRPr="00E35186" w:rsidRDefault="00961733" w:rsidP="00961733">
      <w:pPr>
        <w:pStyle w:val="Heading4"/>
        <w:rPr>
          <w:rFonts w:cs="Arial"/>
        </w:rPr>
      </w:pPr>
      <w:bookmarkStart w:id="76" w:name="_Toc147929210"/>
      <w:bookmarkStart w:id="77" w:name="_Toc198723734"/>
      <w:r w:rsidRPr="00E35186">
        <w:rPr>
          <w:rFonts w:cs="Arial"/>
        </w:rPr>
        <w:t>Issued with a condition</w:t>
      </w:r>
      <w:bookmarkEnd w:id="76"/>
      <w:bookmarkEnd w:id="77"/>
    </w:p>
    <w:p w14:paraId="7CD60B20" w14:textId="68B277CC" w:rsidR="00961733" w:rsidRDefault="00961733" w:rsidP="00961733">
      <w:pPr>
        <w:keepLines/>
      </w:pPr>
      <w:r>
        <w:t xml:space="preserve">Conditions applied can vary and may relate to the scope or the expiry date of the </w:t>
      </w:r>
      <w:r w:rsidR="00B323DA">
        <w:t>GMP Clearance</w:t>
      </w:r>
      <w:r>
        <w:t>. Existing restrictions or clarifying remarks from the overseas regulatory authority will also be placed on the clearance where applicable.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25E039EC" w14:textId="77777777" w:rsidTr="0042350D">
        <w:tc>
          <w:tcPr>
            <w:tcW w:w="1276" w:type="dxa"/>
            <w:vAlign w:val="center"/>
          </w:tcPr>
          <w:p w14:paraId="5382DDBB" w14:textId="77777777" w:rsidR="00961733" w:rsidRPr="00215D48" w:rsidRDefault="00961733" w:rsidP="0042350D">
            <w:r w:rsidRPr="00215D48">
              <w:rPr>
                <w:noProof/>
                <w:lang w:eastAsia="en-AU"/>
              </w:rPr>
              <w:drawing>
                <wp:inline distT="0" distB="0" distL="0" distR="0" wp14:anchorId="475EBA65" wp14:editId="182195F3">
                  <wp:extent cx="487681" cy="487681"/>
                  <wp:effectExtent l="19050" t="0" r="7619" b="0"/>
                  <wp:docPr id="190941762" name="Picture 19094176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E812F97" w14:textId="2BEA5D68" w:rsidR="00961733" w:rsidRDefault="00961733" w:rsidP="0042350D">
            <w:r>
              <w:t xml:space="preserve">We may apply </w:t>
            </w:r>
            <w:r w:rsidRPr="00AC7220">
              <w:t xml:space="preserve">a </w:t>
            </w:r>
            <w:r>
              <w:t xml:space="preserve">condition which stipulates that the next </w:t>
            </w:r>
            <w:r w:rsidR="00B323DA">
              <w:t>GMP Clearance</w:t>
            </w:r>
            <w:r>
              <w:t xml:space="preserve"> will only be issued following a successful TGA inspection.</w:t>
            </w:r>
          </w:p>
          <w:p w14:paraId="1D0B99D6" w14:textId="75DC51E4" w:rsidR="00961733" w:rsidRDefault="00961733" w:rsidP="0042350D">
            <w:r>
              <w:t xml:space="preserve">If this condition is applied to your </w:t>
            </w:r>
            <w:r w:rsidR="00B323DA">
              <w:t>GMP Clearance</w:t>
            </w:r>
            <w:r>
              <w:t xml:space="preserve">, </w:t>
            </w:r>
            <w:r w:rsidR="00356BF3">
              <w:t xml:space="preserve">it is a sponsor’s responsibility to </w:t>
            </w:r>
            <w:r>
              <w:t xml:space="preserve">submit a </w:t>
            </w:r>
            <w:hyperlink r:id="rId45" w:history="1">
              <w:r w:rsidRPr="005E1BF8">
                <w:rPr>
                  <w:rStyle w:val="Hyperlink"/>
                </w:rPr>
                <w:t>certification application</w:t>
              </w:r>
            </w:hyperlink>
            <w:r>
              <w:t xml:space="preserve"> at least </w:t>
            </w:r>
            <w:r w:rsidRPr="005E1BF8">
              <w:rPr>
                <w:b/>
              </w:rPr>
              <w:t>6 months prior</w:t>
            </w:r>
            <w:r>
              <w:t xml:space="preserve"> to your </w:t>
            </w:r>
            <w:r w:rsidR="00B323DA">
              <w:t>GMP Clearance</w:t>
            </w:r>
            <w:r>
              <w:t xml:space="preserve"> expiry date.</w:t>
            </w:r>
          </w:p>
          <w:p w14:paraId="61196262" w14:textId="1BE56208" w:rsidR="00961733" w:rsidRPr="00215D48" w:rsidRDefault="00961733" w:rsidP="00E62F78">
            <w:pPr>
              <w:pStyle w:val="ListBullet-donotcross"/>
            </w:pPr>
            <w:r w:rsidRPr="00E62F78">
              <w:t xml:space="preserve">We will </w:t>
            </w:r>
            <w:r w:rsidRPr="00E62F78">
              <w:rPr>
                <w:b/>
              </w:rPr>
              <w:t>not</w:t>
            </w:r>
            <w:r w:rsidRPr="00E62F78">
              <w:t xml:space="preserve"> grant an extension to your </w:t>
            </w:r>
            <w:r w:rsidR="00B323DA">
              <w:t>GMP Clearance</w:t>
            </w:r>
            <w:r w:rsidRPr="00E62F78">
              <w:t xml:space="preserve"> where you have failed to submit a certification application in sufficient time.</w:t>
            </w:r>
          </w:p>
        </w:tc>
      </w:tr>
    </w:tbl>
    <w:p w14:paraId="261AD0ED" w14:textId="77777777" w:rsidR="00961733" w:rsidRPr="00E35186" w:rsidRDefault="00961733" w:rsidP="00961733">
      <w:pPr>
        <w:pStyle w:val="Heading4"/>
        <w:rPr>
          <w:rFonts w:cs="Arial"/>
        </w:rPr>
      </w:pPr>
      <w:bookmarkStart w:id="78" w:name="_Not_issued"/>
      <w:bookmarkStart w:id="79" w:name="_Toc147929211"/>
      <w:bookmarkStart w:id="80" w:name="_Toc198723735"/>
      <w:bookmarkEnd w:id="78"/>
      <w:r w:rsidRPr="00E35186">
        <w:rPr>
          <w:rFonts w:cs="Arial"/>
        </w:rPr>
        <w:t>Not issued</w:t>
      </w:r>
      <w:bookmarkEnd w:id="79"/>
      <w:bookmarkEnd w:id="80"/>
    </w:p>
    <w:p w14:paraId="6DCDE4CB" w14:textId="62186F39" w:rsidR="00961733" w:rsidRPr="006D7972" w:rsidRDefault="00961733" w:rsidP="00961733">
      <w:r w:rsidRPr="006D7972">
        <w:t xml:space="preserve">For both the </w:t>
      </w:r>
      <w:r w:rsidRPr="006D7972">
        <w:rPr>
          <w:b/>
        </w:rPr>
        <w:t>MRA</w:t>
      </w:r>
      <w:r w:rsidRPr="006D7972">
        <w:t xml:space="preserve"> and </w:t>
      </w:r>
      <w:r w:rsidRPr="006D7972">
        <w:rPr>
          <w:b/>
        </w:rPr>
        <w:t>CV</w:t>
      </w:r>
      <w:r w:rsidRPr="006D7972">
        <w:t xml:space="preserve"> pathways, the following provides general circumstances in which we are not able to issue you a </w:t>
      </w:r>
      <w:r w:rsidR="00B323DA">
        <w:t>GMP Clearance</w:t>
      </w:r>
      <w:r w:rsidRPr="006D7972">
        <w:t>. Where:</w:t>
      </w:r>
    </w:p>
    <w:p w14:paraId="0ECF31A4" w14:textId="77777777" w:rsidR="00961733" w:rsidRPr="006D7972" w:rsidRDefault="00961733" w:rsidP="00961733">
      <w:pPr>
        <w:pStyle w:val="ListBullet"/>
        <w:numPr>
          <w:ilvl w:val="0"/>
          <w:numId w:val="2"/>
        </w:numPr>
        <w:rPr>
          <w:color w:val="auto"/>
        </w:rPr>
      </w:pPr>
      <w:r w:rsidRPr="3035DD6F">
        <w:rPr>
          <w:color w:val="auto"/>
        </w:rPr>
        <w:t>you have not provided the required supporting evidence for your application type</w:t>
      </w:r>
    </w:p>
    <w:p w14:paraId="3DB017A7" w14:textId="77777777" w:rsidR="00961733" w:rsidRPr="006D7972" w:rsidRDefault="00961733" w:rsidP="00961733">
      <w:pPr>
        <w:pStyle w:val="ListBullet"/>
        <w:numPr>
          <w:ilvl w:val="0"/>
          <w:numId w:val="2"/>
        </w:numPr>
        <w:rPr>
          <w:color w:val="auto"/>
        </w:rPr>
      </w:pPr>
      <w:r w:rsidRPr="3035DD6F">
        <w:rPr>
          <w:color w:val="auto"/>
        </w:rPr>
        <w:t>the evidence provided does not:</w:t>
      </w:r>
    </w:p>
    <w:p w14:paraId="2788288D" w14:textId="77777777" w:rsidR="00961733" w:rsidRPr="006D7972" w:rsidRDefault="00961733" w:rsidP="00961733">
      <w:pPr>
        <w:pStyle w:val="ListBullet2"/>
        <w:numPr>
          <w:ilvl w:val="1"/>
          <w:numId w:val="2"/>
        </w:numPr>
        <w:rPr>
          <w:color w:val="auto"/>
        </w:rPr>
      </w:pPr>
      <w:r w:rsidRPr="006D7972">
        <w:rPr>
          <w:color w:val="auto"/>
        </w:rPr>
        <w:t>adequately demonstrate compliance to the required level or equivalent GMP standard</w:t>
      </w:r>
    </w:p>
    <w:p w14:paraId="2D887C9F" w14:textId="77777777" w:rsidR="00961733" w:rsidRPr="006D7972" w:rsidRDefault="00961733" w:rsidP="00961733">
      <w:pPr>
        <w:pStyle w:val="ListBullet2"/>
        <w:numPr>
          <w:ilvl w:val="1"/>
          <w:numId w:val="2"/>
        </w:numPr>
        <w:rPr>
          <w:color w:val="auto"/>
        </w:rPr>
      </w:pPr>
      <w:r w:rsidRPr="006D7972">
        <w:rPr>
          <w:color w:val="auto"/>
        </w:rPr>
        <w:t>support the scope of the application</w:t>
      </w:r>
    </w:p>
    <w:p w14:paraId="6821999B" w14:textId="0D709D41" w:rsidR="00961733" w:rsidRPr="006D7972" w:rsidRDefault="00961733" w:rsidP="00961733">
      <w:pPr>
        <w:pStyle w:val="ListBullet"/>
        <w:numPr>
          <w:ilvl w:val="0"/>
          <w:numId w:val="2"/>
        </w:numPr>
        <w:rPr>
          <w:color w:val="auto"/>
        </w:rPr>
      </w:pPr>
      <w:r w:rsidRPr="3035DD6F">
        <w:rPr>
          <w:color w:val="auto"/>
        </w:rPr>
        <w:t xml:space="preserve">you have not responded to the request for information/proposal to not issue sent during the </w:t>
      </w:r>
      <w:r w:rsidR="000C3F2A">
        <w:rPr>
          <w:color w:val="auto"/>
        </w:rPr>
        <w:t>evaluation</w:t>
      </w:r>
      <w:r w:rsidRPr="3035DD6F">
        <w:rPr>
          <w:color w:val="auto"/>
        </w:rPr>
        <w:t xml:space="preserve"> by the specified due date</w:t>
      </w:r>
    </w:p>
    <w:p w14:paraId="6C0EB1D6" w14:textId="77777777" w:rsidR="00961733" w:rsidRPr="006D7972" w:rsidRDefault="00961733" w:rsidP="00961733">
      <w:pPr>
        <w:pStyle w:val="ListBullet"/>
        <w:numPr>
          <w:ilvl w:val="0"/>
          <w:numId w:val="2"/>
        </w:numPr>
        <w:rPr>
          <w:color w:val="auto"/>
        </w:rPr>
      </w:pPr>
      <w:r w:rsidRPr="3035DD6F">
        <w:rPr>
          <w:color w:val="auto"/>
        </w:rPr>
        <w:t xml:space="preserve">your response does not specifically detail </w:t>
      </w:r>
      <w:r w:rsidRPr="3035DD6F">
        <w:rPr>
          <w:b/>
          <w:bCs/>
          <w:color w:val="auto"/>
        </w:rPr>
        <w:t>how</w:t>
      </w:r>
      <w:r w:rsidRPr="3035DD6F">
        <w:rPr>
          <w:color w:val="auto"/>
        </w:rPr>
        <w:t xml:space="preserve"> it addresses the deficiencies raised</w:t>
      </w:r>
    </w:p>
    <w:p w14:paraId="0AC9597A" w14:textId="01458BFD" w:rsidR="00961733" w:rsidRPr="006D7972" w:rsidRDefault="00961733" w:rsidP="00961733">
      <w:pPr>
        <w:pStyle w:val="ListBullet"/>
        <w:numPr>
          <w:ilvl w:val="0"/>
          <w:numId w:val="2"/>
        </w:numPr>
        <w:rPr>
          <w:color w:val="auto"/>
        </w:rPr>
      </w:pPr>
      <w:r w:rsidRPr="3035DD6F">
        <w:rPr>
          <w:color w:val="auto"/>
        </w:rPr>
        <w:t xml:space="preserve">your response to the deficiencies raised is insufficient to support issuing a </w:t>
      </w:r>
      <w:r w:rsidR="00B323DA">
        <w:rPr>
          <w:color w:val="auto"/>
        </w:rPr>
        <w:t>GMP Clearance</w:t>
      </w:r>
      <w:r w:rsidRPr="3035DD6F">
        <w:rPr>
          <w:color w:val="auto"/>
        </w:rPr>
        <w:t>.</w:t>
      </w:r>
    </w:p>
    <w:p w14:paraId="697A652D" w14:textId="77777777" w:rsidR="00961733" w:rsidRPr="00E35186" w:rsidRDefault="00961733" w:rsidP="00961733">
      <w:pPr>
        <w:pStyle w:val="Heading4"/>
        <w:rPr>
          <w:rFonts w:cs="Arial"/>
        </w:rPr>
      </w:pPr>
      <w:bookmarkStart w:id="81" w:name="_Toc147929212"/>
      <w:bookmarkStart w:id="82" w:name="_Toc198723736"/>
      <w:r w:rsidRPr="00E35186">
        <w:rPr>
          <w:rFonts w:cs="Arial"/>
        </w:rPr>
        <w:lastRenderedPageBreak/>
        <w:t>MRA pathway only</w:t>
      </w:r>
      <w:bookmarkEnd w:id="81"/>
      <w:bookmarkEnd w:id="82"/>
    </w:p>
    <w:p w14:paraId="1DE966BD" w14:textId="4D6763A7" w:rsidR="00961733" w:rsidRPr="006D7972" w:rsidRDefault="00961733" w:rsidP="00D03165">
      <w:r>
        <w:t xml:space="preserve">For the </w:t>
      </w:r>
      <w:r w:rsidRPr="3035DD6F">
        <w:rPr>
          <w:b/>
          <w:bCs/>
        </w:rPr>
        <w:t>MRA</w:t>
      </w:r>
      <w:r>
        <w:t xml:space="preserve"> pathway, t</w:t>
      </w:r>
      <w:r w:rsidRPr="007A0406">
        <w:t xml:space="preserve">o ensure we maintain consistent processing times and do not disadvantage applicants who provide the correct information, we will </w:t>
      </w:r>
      <w:proofErr w:type="gramStart"/>
      <w:r w:rsidRPr="007A0406">
        <w:t>make a determination</w:t>
      </w:r>
      <w:proofErr w:type="gramEnd"/>
      <w:r w:rsidRPr="007A0406">
        <w:t xml:space="preserve"> on the information provided and </w:t>
      </w:r>
      <w:r w:rsidRPr="007A0406">
        <w:rPr>
          <w:b/>
          <w:bCs/>
        </w:rPr>
        <w:t>will not seek clarification</w:t>
      </w:r>
      <w:r w:rsidRPr="007A0406">
        <w:t xml:space="preserve"> from you</w:t>
      </w:r>
      <w:r w:rsidR="00D03165">
        <w:t xml:space="preserve"> </w:t>
      </w:r>
      <w:r>
        <w:t>where the GMP certificate:</w:t>
      </w:r>
    </w:p>
    <w:p w14:paraId="1E172D9D" w14:textId="77777777" w:rsidR="00961733" w:rsidRPr="006D7972" w:rsidRDefault="00961733" w:rsidP="00961733">
      <w:pPr>
        <w:pStyle w:val="ListBullet"/>
        <w:numPr>
          <w:ilvl w:val="0"/>
          <w:numId w:val="2"/>
        </w:numPr>
        <w:rPr>
          <w:color w:val="auto"/>
        </w:rPr>
      </w:pPr>
      <w:r w:rsidRPr="3035DD6F">
        <w:rPr>
          <w:color w:val="auto"/>
        </w:rPr>
        <w:t>is not provided</w:t>
      </w:r>
    </w:p>
    <w:p w14:paraId="7A3DA86A" w14:textId="77777777" w:rsidR="00961733" w:rsidRPr="006D7972" w:rsidRDefault="00961733" w:rsidP="00961733">
      <w:pPr>
        <w:pStyle w:val="ListBullet"/>
        <w:numPr>
          <w:ilvl w:val="0"/>
          <w:numId w:val="2"/>
        </w:numPr>
        <w:rPr>
          <w:color w:val="auto"/>
        </w:rPr>
      </w:pPr>
      <w:r w:rsidRPr="5AB8732C">
        <w:rPr>
          <w:color w:val="auto"/>
        </w:rPr>
        <w:t>is not complete (e.g. missing pages/information, redacted etc.)</w:t>
      </w:r>
    </w:p>
    <w:p w14:paraId="2A72D62E" w14:textId="77777777" w:rsidR="00961733" w:rsidRPr="006D7972" w:rsidRDefault="00961733" w:rsidP="00961733">
      <w:pPr>
        <w:pStyle w:val="ListBullet"/>
        <w:numPr>
          <w:ilvl w:val="0"/>
          <w:numId w:val="2"/>
        </w:numPr>
        <w:rPr>
          <w:color w:val="auto"/>
        </w:rPr>
      </w:pPr>
      <w:r w:rsidRPr="3035DD6F">
        <w:rPr>
          <w:color w:val="auto"/>
        </w:rPr>
        <w:t>is not a GMP certificate (e.g. Manufacturing license, Manufacturer's Authorisation etc.)</w:t>
      </w:r>
    </w:p>
    <w:p w14:paraId="128F7D4D" w14:textId="77777777" w:rsidR="00961733" w:rsidRPr="006D7972" w:rsidRDefault="00961733" w:rsidP="00961733">
      <w:pPr>
        <w:pStyle w:val="ListBullet"/>
        <w:numPr>
          <w:ilvl w:val="0"/>
          <w:numId w:val="2"/>
        </w:numPr>
        <w:rPr>
          <w:color w:val="auto"/>
        </w:rPr>
      </w:pPr>
      <w:r w:rsidRPr="3035DD6F">
        <w:rPr>
          <w:color w:val="auto"/>
        </w:rPr>
        <w:t xml:space="preserve">is not in English or supplied without a translation certificate </w:t>
      </w:r>
    </w:p>
    <w:p w14:paraId="25C6BD9A" w14:textId="77777777" w:rsidR="00961733" w:rsidRPr="006D7972" w:rsidRDefault="00961733" w:rsidP="00961733">
      <w:pPr>
        <w:pStyle w:val="ListBullet"/>
        <w:numPr>
          <w:ilvl w:val="0"/>
          <w:numId w:val="2"/>
        </w:numPr>
        <w:rPr>
          <w:color w:val="auto"/>
        </w:rPr>
      </w:pPr>
      <w:r w:rsidRPr="3035DD6F">
        <w:rPr>
          <w:color w:val="auto"/>
        </w:rPr>
        <w:t>is for the wrong manufacturing site</w:t>
      </w:r>
    </w:p>
    <w:p w14:paraId="5464937D" w14:textId="77777777" w:rsidR="00961733" w:rsidRPr="006D7972" w:rsidRDefault="00961733" w:rsidP="00961733">
      <w:pPr>
        <w:pStyle w:val="ListBullet"/>
        <w:numPr>
          <w:ilvl w:val="0"/>
          <w:numId w:val="2"/>
        </w:numPr>
        <w:rPr>
          <w:color w:val="auto"/>
        </w:rPr>
      </w:pPr>
      <w:r w:rsidRPr="5AB8732C">
        <w:rPr>
          <w:color w:val="auto"/>
        </w:rPr>
        <w:t>has been issued using an inequivalent GMP standard</w:t>
      </w:r>
    </w:p>
    <w:p w14:paraId="317AF462" w14:textId="77777777" w:rsidR="00961733" w:rsidRDefault="00961733" w:rsidP="00961733">
      <w:pPr>
        <w:pStyle w:val="ListBullet"/>
        <w:numPr>
          <w:ilvl w:val="0"/>
          <w:numId w:val="2"/>
        </w:numPr>
      </w:pPr>
      <w:r w:rsidRPr="5AB8732C">
        <w:rPr>
          <w:color w:val="auto"/>
        </w:rPr>
        <w:t>is not the most recent applicable GMP certificate</w:t>
      </w:r>
    </w:p>
    <w:p w14:paraId="54FE2280" w14:textId="77777777" w:rsidR="00961733" w:rsidRPr="006D7972" w:rsidRDefault="00961733" w:rsidP="00961733">
      <w:pPr>
        <w:pStyle w:val="ListBullet"/>
        <w:numPr>
          <w:ilvl w:val="0"/>
          <w:numId w:val="2"/>
        </w:numPr>
        <w:rPr>
          <w:color w:val="auto"/>
        </w:rPr>
      </w:pPr>
      <w:r w:rsidRPr="2CAF680A">
        <w:rPr>
          <w:color w:val="auto"/>
        </w:rPr>
        <w:t>does not cover the scope of your application and an API declaration has not been provided where required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14E21" w:rsidRPr="00215D48" w14:paraId="1B4A19D0" w14:textId="77777777" w:rsidTr="007A2B20">
        <w:tc>
          <w:tcPr>
            <w:tcW w:w="1276" w:type="dxa"/>
            <w:vAlign w:val="center"/>
          </w:tcPr>
          <w:p w14:paraId="5623E3D4" w14:textId="77777777" w:rsidR="00B14E21" w:rsidRPr="00215D48" w:rsidRDefault="00B14E21" w:rsidP="007A2B20">
            <w:r w:rsidRPr="00215D48">
              <w:rPr>
                <w:noProof/>
                <w:lang w:eastAsia="en-AU"/>
              </w:rPr>
              <w:drawing>
                <wp:inline distT="0" distB="0" distL="0" distR="0" wp14:anchorId="04CD10F7" wp14:editId="4A108362">
                  <wp:extent cx="487681" cy="487681"/>
                  <wp:effectExtent l="19050" t="0" r="7619" b="0"/>
                  <wp:docPr id="2063" name="Picture 206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9E82E6F" w14:textId="2E161FA7" w:rsidR="00B14E21" w:rsidRPr="00215D48" w:rsidRDefault="00B26933" w:rsidP="007A2B20">
            <w:r w:rsidRPr="00E62F78">
              <w:t xml:space="preserve">This is not an exhaustive list. </w:t>
            </w:r>
            <w:r w:rsidR="0077509B" w:rsidRPr="00E62F78">
              <w:t xml:space="preserve">There may be other scenarios where we </w:t>
            </w:r>
            <w:r w:rsidR="0077509B" w:rsidRPr="00E62F78">
              <w:rPr>
                <w:b/>
                <w:bCs/>
              </w:rPr>
              <w:t xml:space="preserve">will not seek clarification </w:t>
            </w:r>
            <w:r w:rsidR="0077509B" w:rsidRPr="00E62F78">
              <w:t xml:space="preserve">and will </w:t>
            </w:r>
            <w:proofErr w:type="gramStart"/>
            <w:r w:rsidR="0077509B" w:rsidRPr="00E62F78">
              <w:t>make a determination</w:t>
            </w:r>
            <w:proofErr w:type="gramEnd"/>
            <w:r w:rsidR="0077509B" w:rsidRPr="00E62F78">
              <w:t xml:space="preserve"> based on the evidence provided</w:t>
            </w:r>
            <w:r w:rsidRPr="00E62F78">
              <w:t>.</w:t>
            </w:r>
          </w:p>
        </w:tc>
      </w:tr>
    </w:tbl>
    <w:p w14:paraId="252B05CD" w14:textId="77777777" w:rsidR="00D03165" w:rsidRDefault="00D03165" w:rsidP="00961733"/>
    <w:p w14:paraId="347E6C9B" w14:textId="0CA3EC87" w:rsidR="00961733" w:rsidRDefault="00961733" w:rsidP="00961733">
      <w:r>
        <w:t xml:space="preserve">Once the determination has been made to not issue the </w:t>
      </w:r>
      <w:r w:rsidR="00B323DA">
        <w:t>GMP Clearance</w:t>
      </w:r>
      <w:r>
        <w:t>, your application will no longer be visible from your TBS portal. You will be notified by email along with the reason for not issuing.</w:t>
      </w:r>
    </w:p>
    <w:p w14:paraId="7119438F" w14:textId="618928E6" w:rsidR="00961733" w:rsidRDefault="00961733" w:rsidP="00961733">
      <w:r>
        <w:t xml:space="preserve">This notification will contain information about the options available to you after your </w:t>
      </w:r>
      <w:r w:rsidR="00B323DA">
        <w:t>GMP Clearance</w:t>
      </w:r>
      <w:r>
        <w:t xml:space="preserve"> is not issued, for example, how to submit a certification application.</w:t>
      </w:r>
    </w:p>
    <w:p w14:paraId="7141A933" w14:textId="77777777" w:rsidR="00961733" w:rsidRPr="00A8425F" w:rsidRDefault="00961733" w:rsidP="00961733">
      <w:pPr>
        <w:pStyle w:val="ListBullet"/>
        <w:numPr>
          <w:ilvl w:val="0"/>
          <w:numId w:val="0"/>
        </w:numPr>
        <w:ind w:left="360" w:hanging="360"/>
        <w:rPr>
          <w:rStyle w:val="Hyperlink"/>
          <w:color w:val="auto"/>
        </w:rPr>
      </w:pPr>
    </w:p>
    <w:p w14:paraId="7F050B3A" w14:textId="77777777" w:rsidR="00961733" w:rsidRDefault="00961733" w:rsidP="00961733"/>
    <w:p w14:paraId="7F8C9A17" w14:textId="77777777" w:rsidR="00961733" w:rsidRPr="00D044CE" w:rsidRDefault="00961733" w:rsidP="00961733"/>
    <w:p w14:paraId="3206B556" w14:textId="77777777" w:rsidR="00E35186" w:rsidRDefault="00E35186">
      <w:pPr>
        <w:rPr>
          <w:rFonts w:eastAsia="Times New Roman" w:cs="Times New Roman"/>
          <w:b/>
          <w:bCs/>
          <w:color w:val="001871"/>
          <w:sz w:val="38"/>
          <w:szCs w:val="38"/>
        </w:rPr>
      </w:pPr>
      <w:bookmarkStart w:id="83" w:name="_Maintaining_your_active"/>
      <w:bookmarkStart w:id="84" w:name="_Toc147929213"/>
      <w:bookmarkEnd w:id="83"/>
      <w:r>
        <w:br w:type="page"/>
      </w:r>
    </w:p>
    <w:p w14:paraId="50006575" w14:textId="31653F89" w:rsidR="00961733" w:rsidRPr="00E35186" w:rsidRDefault="00961733" w:rsidP="00961733">
      <w:pPr>
        <w:pStyle w:val="Heading2"/>
      </w:pPr>
      <w:bookmarkStart w:id="85" w:name="_Maintaining_your_active_1"/>
      <w:bookmarkStart w:id="86" w:name="_Toc198723737"/>
      <w:bookmarkEnd w:id="85"/>
      <w:r w:rsidRPr="00E35186">
        <w:lastRenderedPageBreak/>
        <w:t xml:space="preserve">Maintaining your active </w:t>
      </w:r>
      <w:r w:rsidR="00B323DA">
        <w:t>GMP Clearance</w:t>
      </w:r>
      <w:bookmarkEnd w:id="84"/>
      <w:bookmarkEnd w:id="86"/>
    </w:p>
    <w:p w14:paraId="3A411225" w14:textId="0135FD87" w:rsidR="00961733" w:rsidRDefault="00961733" w:rsidP="00961733">
      <w:r>
        <w:t xml:space="preserve">You are responsible for </w:t>
      </w:r>
      <w:proofErr w:type="gramStart"/>
      <w:r>
        <w:t xml:space="preserve">maintaining the currency and accuracy of your </w:t>
      </w:r>
      <w:r w:rsidR="00B323DA">
        <w:t>GMP Clearance</w:t>
      </w:r>
      <w:r>
        <w:t>(s) at all times</w:t>
      </w:r>
      <w:proofErr w:type="gramEnd"/>
      <w:r>
        <w:t>.</w:t>
      </w:r>
    </w:p>
    <w:p w14:paraId="6D61EAB5" w14:textId="77777777" w:rsidR="00961733" w:rsidRDefault="00961733" w:rsidP="00961733"/>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1D7FD4A7" w14:textId="77777777" w:rsidTr="0042350D">
        <w:tc>
          <w:tcPr>
            <w:tcW w:w="1276" w:type="dxa"/>
            <w:vAlign w:val="center"/>
          </w:tcPr>
          <w:p w14:paraId="607616B7" w14:textId="77777777" w:rsidR="00961733" w:rsidRPr="00215D48" w:rsidRDefault="00961733" w:rsidP="0042350D">
            <w:r w:rsidRPr="00215D48">
              <w:rPr>
                <w:noProof/>
                <w:lang w:eastAsia="en-AU"/>
              </w:rPr>
              <w:drawing>
                <wp:inline distT="0" distB="0" distL="0" distR="0" wp14:anchorId="5B825C46" wp14:editId="331AD0D5">
                  <wp:extent cx="487681" cy="487681"/>
                  <wp:effectExtent l="19050" t="0" r="7619" b="0"/>
                  <wp:docPr id="190941772" name="Picture 19094177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D525927" w14:textId="6ACEA40A" w:rsidR="00961733" w:rsidRDefault="00961733" w:rsidP="0042350D">
            <w:r>
              <w:t xml:space="preserve">Maintaining your existing </w:t>
            </w:r>
            <w:r w:rsidR="00B323DA">
              <w:t>GMP Clearance</w:t>
            </w:r>
            <w:r>
              <w:t>s by submitting variation applications will allow you to:</w:t>
            </w:r>
          </w:p>
          <w:p w14:paraId="4B32EB82" w14:textId="5C82A743" w:rsidR="00961733" w:rsidRPr="00E97766" w:rsidRDefault="00961733" w:rsidP="0042350D">
            <w:pPr>
              <w:pStyle w:val="ListBullet-dotick"/>
              <w:numPr>
                <w:ilvl w:val="0"/>
                <w:numId w:val="5"/>
              </w:numPr>
              <w:rPr>
                <w:color w:val="auto"/>
              </w:rPr>
            </w:pPr>
            <w:r w:rsidRPr="00E97766">
              <w:rPr>
                <w:color w:val="auto"/>
              </w:rPr>
              <w:t xml:space="preserve">keep the original </w:t>
            </w:r>
            <w:r w:rsidR="00B323DA">
              <w:rPr>
                <w:color w:val="auto"/>
              </w:rPr>
              <w:t>GMP Clearance</w:t>
            </w:r>
            <w:r w:rsidRPr="00E97766">
              <w:rPr>
                <w:color w:val="auto"/>
              </w:rPr>
              <w:t xml:space="preserve"> number</w:t>
            </w:r>
          </w:p>
          <w:p w14:paraId="7B81B8DC" w14:textId="77777777" w:rsidR="00961733" w:rsidRPr="00E97766" w:rsidRDefault="00961733" w:rsidP="0042350D">
            <w:pPr>
              <w:pStyle w:val="ListBullet-dotick"/>
              <w:numPr>
                <w:ilvl w:val="0"/>
                <w:numId w:val="5"/>
              </w:numPr>
              <w:rPr>
                <w:color w:val="auto"/>
              </w:rPr>
            </w:pPr>
            <w:r w:rsidRPr="00E97766">
              <w:rPr>
                <w:color w:val="auto"/>
              </w:rPr>
              <w:t>avoid the need to update your ARTG entries.</w:t>
            </w:r>
          </w:p>
          <w:p w14:paraId="3A9DB992" w14:textId="0DF391A6" w:rsidR="00961733" w:rsidRDefault="00961733" w:rsidP="0042350D">
            <w:r>
              <w:t xml:space="preserve">You can only vary an existing </w:t>
            </w:r>
            <w:r w:rsidR="00B323DA">
              <w:t>GMP Clearance</w:t>
            </w:r>
            <w:r>
              <w:t>.</w:t>
            </w:r>
          </w:p>
          <w:p w14:paraId="4FE4F460" w14:textId="0FC8F6FA" w:rsidR="00961733" w:rsidRPr="00A8425F" w:rsidRDefault="00961733" w:rsidP="00E62F78">
            <w:pPr>
              <w:pStyle w:val="ListBullet-donotcross"/>
            </w:pPr>
            <w:r>
              <w:t xml:space="preserve">If your clearance is expired by more than 30 </w:t>
            </w:r>
            <w:proofErr w:type="gramStart"/>
            <w:r>
              <w:t>days</w:t>
            </w:r>
            <w:proofErr w:type="gramEnd"/>
            <w:r>
              <w:t xml:space="preserve"> you will not be able to vary it via the TBS portal and it will require </w:t>
            </w:r>
            <w:hyperlink w:anchor="_Re-instatement_of_expired" w:history="1">
              <w:r w:rsidRPr="00D86A96">
                <w:rPr>
                  <w:rStyle w:val="Hyperlink"/>
                </w:rPr>
                <w:t>reinstatement</w:t>
              </w:r>
            </w:hyperlink>
            <w:r>
              <w:t>.</w:t>
            </w:r>
          </w:p>
        </w:tc>
      </w:tr>
    </w:tbl>
    <w:p w14:paraId="4C0DD2F9" w14:textId="77777777" w:rsidR="00961733" w:rsidRDefault="00961733" w:rsidP="00961733"/>
    <w:p w14:paraId="49637F29" w14:textId="77777777" w:rsidR="00961733" w:rsidRPr="00E97766" w:rsidRDefault="00961733" w:rsidP="00961733">
      <w:r w:rsidRPr="00E97766">
        <w:t>This means you are required to:</w:t>
      </w:r>
    </w:p>
    <w:p w14:paraId="09122688" w14:textId="7F23FEE3" w:rsidR="00961733" w:rsidRPr="00E97766" w:rsidRDefault="00961733" w:rsidP="00961733">
      <w:pPr>
        <w:pStyle w:val="ListBullet"/>
        <w:numPr>
          <w:ilvl w:val="0"/>
          <w:numId w:val="2"/>
        </w:numPr>
        <w:rPr>
          <w:color w:val="auto"/>
        </w:rPr>
      </w:pPr>
      <w:r w:rsidRPr="5AB8732C">
        <w:rPr>
          <w:color w:val="auto"/>
        </w:rPr>
        <w:t xml:space="preserve">submit a new or variation application when there are changes to the manufacturer or manufacturing site which may impact your </w:t>
      </w:r>
      <w:r w:rsidR="00B323DA">
        <w:rPr>
          <w:color w:val="auto"/>
        </w:rPr>
        <w:t>GMP Clearance</w:t>
      </w:r>
    </w:p>
    <w:p w14:paraId="185CF2B2" w14:textId="77777777" w:rsidR="00961733" w:rsidRPr="00E97766" w:rsidRDefault="00961733" w:rsidP="00961733">
      <w:pPr>
        <w:pStyle w:val="ListBullet"/>
        <w:numPr>
          <w:ilvl w:val="0"/>
          <w:numId w:val="2"/>
        </w:numPr>
        <w:rPr>
          <w:color w:val="auto"/>
        </w:rPr>
      </w:pPr>
      <w:r w:rsidRPr="2CAF680A">
        <w:rPr>
          <w:color w:val="auto"/>
        </w:rPr>
        <w:t>notify us of any significant changes to the manufacturing site, Quality Management System (QMS) or Pharmaceutical Quality System (PQS), products or product range and of any regulatory actions resulting from the outcome of recent inspections</w:t>
      </w:r>
    </w:p>
    <w:p w14:paraId="40D74E7C" w14:textId="5DFFEF6A" w:rsidR="00961733" w:rsidRPr="00E97766" w:rsidRDefault="00961733" w:rsidP="00961733">
      <w:pPr>
        <w:pStyle w:val="ListBullet"/>
        <w:numPr>
          <w:ilvl w:val="0"/>
          <w:numId w:val="2"/>
        </w:numPr>
        <w:rPr>
          <w:color w:val="auto"/>
        </w:rPr>
      </w:pPr>
      <w:r w:rsidRPr="2CAF680A">
        <w:rPr>
          <w:color w:val="auto"/>
        </w:rPr>
        <w:t xml:space="preserve">renew your </w:t>
      </w:r>
      <w:r w:rsidR="00B323DA">
        <w:rPr>
          <w:color w:val="auto"/>
        </w:rPr>
        <w:t>GMP Clearance</w:t>
      </w:r>
      <w:r w:rsidRPr="2CAF680A">
        <w:rPr>
          <w:color w:val="auto"/>
        </w:rPr>
        <w:t xml:space="preserve"> application by submitting a variation application in sufficient time</w:t>
      </w:r>
    </w:p>
    <w:p w14:paraId="1EEAD140" w14:textId="77777777" w:rsidR="00961733" w:rsidRPr="00E97766" w:rsidRDefault="00961733" w:rsidP="00961733">
      <w:pPr>
        <w:pStyle w:val="ListBullet"/>
        <w:numPr>
          <w:ilvl w:val="0"/>
          <w:numId w:val="2"/>
        </w:numPr>
        <w:rPr>
          <w:color w:val="auto"/>
        </w:rPr>
      </w:pPr>
      <w:r w:rsidRPr="2CAF680A">
        <w:rPr>
          <w:color w:val="auto"/>
        </w:rPr>
        <w:t>submit an extension application and supply valid reasons and evidence (when requested) in sufficient time.</w:t>
      </w:r>
    </w:p>
    <w:p w14:paraId="316A54CD" w14:textId="77777777" w:rsidR="00961733" w:rsidRPr="00E35186" w:rsidRDefault="00961733" w:rsidP="00961733">
      <w:pPr>
        <w:pStyle w:val="Heading3"/>
      </w:pPr>
      <w:bookmarkStart w:id="87" w:name="_Toc147929214"/>
      <w:bookmarkStart w:id="88" w:name="_Toc198723738"/>
      <w:r w:rsidRPr="00E35186">
        <w:t>Renewals, changes and extensions</w:t>
      </w:r>
      <w:bookmarkEnd w:id="87"/>
      <w:bookmarkEnd w:id="88"/>
    </w:p>
    <w:p w14:paraId="5743FA10" w14:textId="38AB7DC7" w:rsidR="00961733" w:rsidRDefault="00961733" w:rsidP="00961733">
      <w:pPr>
        <w:keepNext/>
      </w:pPr>
      <w:r>
        <w:t xml:space="preserve">You can renew, make a change or request an extension to your existing </w:t>
      </w:r>
      <w:r w:rsidR="00B323DA">
        <w:t>GMP Clearance</w:t>
      </w:r>
      <w:r>
        <w:t xml:space="preserve"> applications by creating a variation application. There are three variation types available on the </w:t>
      </w:r>
      <w:r w:rsidR="00B323DA">
        <w:t>GMP Clearance</w:t>
      </w:r>
      <w:r>
        <w:t xml:space="preserve"> variation application form:</w:t>
      </w:r>
    </w:p>
    <w:p w14:paraId="65DD1D7D" w14:textId="77777777" w:rsidR="00961733" w:rsidRPr="00D60E97" w:rsidRDefault="00961733" w:rsidP="00961733">
      <w:pPr>
        <w:pStyle w:val="ListBullet"/>
        <w:numPr>
          <w:ilvl w:val="0"/>
          <w:numId w:val="2"/>
        </w:numPr>
        <w:rPr>
          <w:color w:val="auto"/>
        </w:rPr>
      </w:pPr>
      <w:r w:rsidRPr="00D60E97">
        <w:rPr>
          <w:color w:val="auto"/>
        </w:rPr>
        <w:t>Change Clearance Details: for changes to scope, applicant, sponsor or manufacturers details</w:t>
      </w:r>
    </w:p>
    <w:p w14:paraId="6EC130E7" w14:textId="77777777" w:rsidR="00961733" w:rsidRPr="00D60E97" w:rsidRDefault="00961733" w:rsidP="00961733">
      <w:pPr>
        <w:pStyle w:val="ListBullet"/>
        <w:numPr>
          <w:ilvl w:val="0"/>
          <w:numId w:val="2"/>
        </w:numPr>
        <w:rPr>
          <w:color w:val="auto"/>
        </w:rPr>
      </w:pPr>
      <w:r w:rsidRPr="00D60E97">
        <w:rPr>
          <w:color w:val="auto"/>
        </w:rPr>
        <w:t>Change Clearance Status: for extension or cancellation requests</w:t>
      </w:r>
    </w:p>
    <w:p w14:paraId="047E0EB9" w14:textId="2AFD370D" w:rsidR="00961733" w:rsidRPr="00D60E97" w:rsidRDefault="00961733" w:rsidP="00961733">
      <w:pPr>
        <w:pStyle w:val="ListBullet"/>
        <w:numPr>
          <w:ilvl w:val="0"/>
          <w:numId w:val="2"/>
        </w:numPr>
        <w:rPr>
          <w:color w:val="auto"/>
        </w:rPr>
      </w:pPr>
      <w:r w:rsidRPr="00D60E97">
        <w:rPr>
          <w:color w:val="auto"/>
        </w:rPr>
        <w:t xml:space="preserve">Renewals: to update existing </w:t>
      </w:r>
      <w:r w:rsidR="00B323DA">
        <w:rPr>
          <w:color w:val="auto"/>
        </w:rPr>
        <w:t>GMP Clearance</w:t>
      </w:r>
      <w:r w:rsidRPr="00D60E97">
        <w:rPr>
          <w:color w:val="auto"/>
        </w:rPr>
        <w:t>s using new GMP evidence</w:t>
      </w:r>
    </w:p>
    <w:tbl>
      <w:tblPr>
        <w:tblpPr w:leftFromText="180" w:rightFromText="180" w:vertAnchor="text" w:horzAnchor="margin" w:tblpY="3"/>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540C98EE" w14:textId="77777777" w:rsidTr="0042350D">
        <w:tc>
          <w:tcPr>
            <w:tcW w:w="1276" w:type="dxa"/>
            <w:vAlign w:val="center"/>
          </w:tcPr>
          <w:p w14:paraId="73078BF9" w14:textId="77777777" w:rsidR="00961733" w:rsidRPr="00215D48" w:rsidRDefault="00961733" w:rsidP="0042350D">
            <w:r w:rsidRPr="00215D48">
              <w:rPr>
                <w:noProof/>
                <w:lang w:eastAsia="en-AU"/>
              </w:rPr>
              <w:drawing>
                <wp:inline distT="0" distB="0" distL="0" distR="0" wp14:anchorId="26CA4855" wp14:editId="3945AD43">
                  <wp:extent cx="487681" cy="487681"/>
                  <wp:effectExtent l="19050" t="0" r="7619" b="0"/>
                  <wp:docPr id="190941773" name="Picture 19094177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391B537" w14:textId="77777777" w:rsidR="00961733" w:rsidRDefault="00961733" w:rsidP="0042350D">
            <w:r>
              <w:t xml:space="preserve">Some variation applications require the same documentary evidence to be submitted and incur the same </w:t>
            </w:r>
            <w:hyperlink w:anchor="_How_much_GMP_2" w:history="1">
              <w:r w:rsidRPr="002D72AA">
                <w:rPr>
                  <w:rStyle w:val="Hyperlink"/>
                </w:rPr>
                <w:t>fees</w:t>
              </w:r>
            </w:hyperlink>
            <w:r>
              <w:t xml:space="preserve"> as submitting a new application. These are:</w:t>
            </w:r>
          </w:p>
          <w:p w14:paraId="07E1A5DF" w14:textId="77777777" w:rsidR="00961733" w:rsidRPr="005501DC" w:rsidRDefault="00961733" w:rsidP="00961733">
            <w:pPr>
              <w:pStyle w:val="ListBullet"/>
              <w:numPr>
                <w:ilvl w:val="0"/>
                <w:numId w:val="2"/>
              </w:numPr>
              <w:rPr>
                <w:color w:val="auto"/>
              </w:rPr>
            </w:pPr>
            <w:r w:rsidRPr="2CAF680A">
              <w:rPr>
                <w:color w:val="auto"/>
              </w:rPr>
              <w:t>Increases/changes in scope</w:t>
            </w:r>
          </w:p>
          <w:p w14:paraId="76A519E6" w14:textId="77777777" w:rsidR="00961733" w:rsidRPr="005501DC" w:rsidRDefault="00961733" w:rsidP="00961733">
            <w:pPr>
              <w:pStyle w:val="ListBullet"/>
              <w:numPr>
                <w:ilvl w:val="0"/>
                <w:numId w:val="2"/>
              </w:numPr>
              <w:rPr>
                <w:color w:val="auto"/>
              </w:rPr>
            </w:pPr>
            <w:r w:rsidRPr="2CAF680A">
              <w:rPr>
                <w:color w:val="auto"/>
              </w:rPr>
              <w:t>Physical changes to the manufacturing site address</w:t>
            </w:r>
          </w:p>
          <w:p w14:paraId="36DF8E1B" w14:textId="77777777" w:rsidR="00961733" w:rsidRPr="005501DC" w:rsidRDefault="00961733" w:rsidP="00961733">
            <w:pPr>
              <w:pStyle w:val="ListBullet"/>
              <w:numPr>
                <w:ilvl w:val="0"/>
                <w:numId w:val="2"/>
              </w:numPr>
              <w:rPr>
                <w:color w:val="auto"/>
              </w:rPr>
            </w:pPr>
            <w:r w:rsidRPr="2CAF680A">
              <w:rPr>
                <w:color w:val="auto"/>
              </w:rPr>
              <w:t>Renewals</w:t>
            </w:r>
          </w:p>
          <w:p w14:paraId="395B7DE5" w14:textId="344D7EA9" w:rsidR="00961733" w:rsidRDefault="00961733" w:rsidP="0042350D">
            <w:r>
              <w:t xml:space="preserve">If the evidence submitted with your original application covers the increase/change in scope, you may provide a cover letter outlining what information we should be obtaining and the original tracking number of the clearance. However, if updated evidence is available, this should be provided for </w:t>
            </w:r>
            <w:r w:rsidR="000C3F2A">
              <w:t>evaluation</w:t>
            </w:r>
            <w:r>
              <w:t>.</w:t>
            </w:r>
          </w:p>
          <w:p w14:paraId="05F99D1A" w14:textId="77777777" w:rsidR="00961733" w:rsidRPr="00215D48" w:rsidRDefault="00961733" w:rsidP="0042350D">
            <w:r>
              <w:lastRenderedPageBreak/>
              <w:t>If the variation application is submitted for increases/changes in scope, ensure the evidence covers the whole scope of the application.</w:t>
            </w:r>
          </w:p>
        </w:tc>
      </w:tr>
    </w:tbl>
    <w:p w14:paraId="0253BBEE" w14:textId="77777777" w:rsidR="00961733" w:rsidRPr="001A0A6D" w:rsidRDefault="00961733" w:rsidP="00961733">
      <w:pPr>
        <w:pStyle w:val="Heading3"/>
        <w:rPr>
          <w:rFonts w:eastAsia="Cambria"/>
          <w:b w:val="0"/>
          <w:bCs w:val="0"/>
          <w:color w:val="auto"/>
          <w:sz w:val="20"/>
          <w:szCs w:val="20"/>
        </w:rPr>
      </w:pPr>
      <w:bookmarkStart w:id="89" w:name="_Change_clearance_details"/>
      <w:bookmarkStart w:id="90" w:name="_Toc147929215"/>
      <w:bookmarkStart w:id="91" w:name="_Toc198723739"/>
      <w:bookmarkEnd w:id="89"/>
      <w:r w:rsidRPr="00E35186">
        <w:lastRenderedPageBreak/>
        <w:t>Change clearance details - Scope, applicant or manufacturer changes</w:t>
      </w:r>
      <w:bookmarkEnd w:id="90"/>
      <w:bookmarkEnd w:id="91"/>
    </w:p>
    <w:p w14:paraId="615D484A" w14:textId="61E4C967" w:rsidR="00961733" w:rsidRPr="00D60E97" w:rsidRDefault="00961733" w:rsidP="00961733">
      <w:pPr>
        <w:pStyle w:val="ListBullet2"/>
        <w:numPr>
          <w:ilvl w:val="1"/>
          <w:numId w:val="0"/>
        </w:numPr>
        <w:rPr>
          <w:color w:val="auto"/>
        </w:rPr>
      </w:pPr>
      <w:r w:rsidRPr="00D60E97">
        <w:rPr>
          <w:color w:val="auto"/>
        </w:rPr>
        <w:t>You can submit variation</w:t>
      </w:r>
      <w:r>
        <w:rPr>
          <w:color w:val="auto"/>
        </w:rPr>
        <w:t>s</w:t>
      </w:r>
      <w:r w:rsidRPr="00D60E97">
        <w:rPr>
          <w:color w:val="auto"/>
        </w:rPr>
        <w:t xml:space="preserve"> to your existing </w:t>
      </w:r>
      <w:r w:rsidR="00B323DA">
        <w:rPr>
          <w:color w:val="auto"/>
        </w:rPr>
        <w:t>GMP Clearance</w:t>
      </w:r>
      <w:r>
        <w:rPr>
          <w:color w:val="auto"/>
        </w:rPr>
        <w:t>s</w:t>
      </w:r>
      <w:r w:rsidRPr="00D60E97">
        <w:rPr>
          <w:color w:val="auto"/>
        </w:rPr>
        <w:t xml:space="preserve"> as below. Please refer to </w:t>
      </w:r>
      <w:hyperlink r:id="rId46" w:history="1">
        <w:r w:rsidR="00B323DA" w:rsidRPr="00143ADF">
          <w:rPr>
            <w:rStyle w:val="Hyperlink"/>
          </w:rPr>
          <w:t>GMP Clearance</w:t>
        </w:r>
        <w:r w:rsidRPr="00143ADF">
          <w:rPr>
            <w:rStyle w:val="Hyperlink"/>
          </w:rPr>
          <w:t>: application and submission user guide</w:t>
        </w:r>
      </w:hyperlink>
      <w:r w:rsidRPr="00D60E97">
        <w:rPr>
          <w:color w:val="auto"/>
        </w:rPr>
        <w:t xml:space="preserve"> for more information on varying your </w:t>
      </w:r>
      <w:r w:rsidR="00B323DA">
        <w:rPr>
          <w:color w:val="auto"/>
        </w:rPr>
        <w:t>GMP Clearance</w:t>
      </w:r>
      <w:r w:rsidRPr="00D60E97">
        <w:rPr>
          <w:color w:val="auto"/>
        </w:rPr>
        <w:t xml:space="preserve"> in </w:t>
      </w:r>
      <w:r>
        <w:rPr>
          <w:color w:val="auto"/>
        </w:rPr>
        <w:t xml:space="preserve">the </w:t>
      </w:r>
      <w:r w:rsidRPr="00D60E97">
        <w:rPr>
          <w:color w:val="auto"/>
        </w:rPr>
        <w:t xml:space="preserve">TBS portal: </w:t>
      </w:r>
    </w:p>
    <w:p w14:paraId="52AB2CE1" w14:textId="0A7B953B" w:rsidR="00961733" w:rsidRPr="00D60E97" w:rsidRDefault="00C21895" w:rsidP="00961733">
      <w:pPr>
        <w:pStyle w:val="ListBullet2"/>
        <w:numPr>
          <w:ilvl w:val="1"/>
          <w:numId w:val="2"/>
        </w:numPr>
        <w:rPr>
          <w:color w:val="auto"/>
        </w:rPr>
      </w:pPr>
      <w:r w:rsidRPr="00143ADF">
        <w:rPr>
          <w:b/>
          <w:bCs/>
          <w:color w:val="auto"/>
        </w:rPr>
        <w:t>Change to Manufacturer details</w:t>
      </w:r>
      <w:r w:rsidRPr="00143ADF">
        <w:rPr>
          <w:color w:val="auto"/>
        </w:rPr>
        <w:t xml:space="preserve"> </w:t>
      </w:r>
      <w:r w:rsidRPr="00143ADF">
        <w:rPr>
          <w:b/>
          <w:bCs/>
          <w:color w:val="auto"/>
        </w:rPr>
        <w:t>– Administrative</w:t>
      </w:r>
      <w:r w:rsidR="00961733" w:rsidRPr="00143ADF">
        <w:rPr>
          <w:color w:val="auto"/>
        </w:rPr>
        <w:t xml:space="preserve">: A </w:t>
      </w:r>
      <w:r w:rsidR="00961733" w:rsidRPr="00D60E97">
        <w:rPr>
          <w:color w:val="auto"/>
        </w:rPr>
        <w:t>change to manufacturer name or a minor change to the manufacturer's address with no physical change to the manufacturing site (rezoning, amending a postcode etc.)</w:t>
      </w:r>
    </w:p>
    <w:p w14:paraId="0BE59719" w14:textId="77777777" w:rsidR="00961733" w:rsidRDefault="00961733" w:rsidP="00961733">
      <w:pPr>
        <w:pStyle w:val="ListBullet2"/>
        <w:numPr>
          <w:ilvl w:val="2"/>
          <w:numId w:val="2"/>
        </w:numPr>
      </w:pPr>
      <w:r w:rsidRPr="00D60E97">
        <w:rPr>
          <w:color w:val="auto"/>
        </w:rPr>
        <w:t xml:space="preserve">If part of the site is being divested, please contact </w:t>
      </w:r>
      <w:hyperlink r:id="rId47" w:history="1">
        <w:r w:rsidRPr="5AB8732C">
          <w:rPr>
            <w:rStyle w:val="Hyperlink"/>
          </w:rPr>
          <w:t>GMPclearance@health.gov.au</w:t>
        </w:r>
      </w:hyperlink>
      <w:r w:rsidRPr="5AB8732C">
        <w:rPr>
          <w:rStyle w:val="Hyperlink"/>
        </w:rPr>
        <w:t xml:space="preserve"> </w:t>
      </w:r>
      <w:r w:rsidRPr="00C21895">
        <w:rPr>
          <w:b/>
          <w:bCs/>
          <w:color w:val="auto"/>
        </w:rPr>
        <w:t>prior to submitting</w:t>
      </w:r>
      <w:r w:rsidRPr="00C21895">
        <w:rPr>
          <w:color w:val="auto"/>
        </w:rPr>
        <w:t xml:space="preserve"> your application.</w:t>
      </w:r>
    </w:p>
    <w:p w14:paraId="01E24804" w14:textId="4218A757" w:rsidR="00961733" w:rsidRPr="00143ADF" w:rsidRDefault="00C21895" w:rsidP="00961733">
      <w:pPr>
        <w:pStyle w:val="ListBullet2"/>
        <w:numPr>
          <w:ilvl w:val="1"/>
          <w:numId w:val="2"/>
        </w:numPr>
        <w:rPr>
          <w:color w:val="auto"/>
        </w:rPr>
      </w:pPr>
      <w:r w:rsidRPr="00143ADF">
        <w:rPr>
          <w:b/>
          <w:bCs/>
          <w:color w:val="auto"/>
        </w:rPr>
        <w:t>Change to Manufacturer details – Physical</w:t>
      </w:r>
      <w:r w:rsidR="00961733" w:rsidRPr="00143ADF">
        <w:rPr>
          <w:b/>
          <w:bCs/>
          <w:color w:val="auto"/>
        </w:rPr>
        <w:t>:</w:t>
      </w:r>
      <w:r w:rsidR="00961733" w:rsidRPr="00143ADF">
        <w:rPr>
          <w:color w:val="auto"/>
        </w:rPr>
        <w:t xml:space="preserve"> A change to the manufacturer’s address (adding a building, plot or unit or the relocation of a site to a different address)</w:t>
      </w:r>
    </w:p>
    <w:p w14:paraId="60F18231" w14:textId="46D88335" w:rsidR="00961733" w:rsidRPr="00143ADF" w:rsidRDefault="00C21895" w:rsidP="00961733">
      <w:pPr>
        <w:pStyle w:val="ListBullet2"/>
        <w:numPr>
          <w:ilvl w:val="1"/>
          <w:numId w:val="2"/>
        </w:numPr>
        <w:rPr>
          <w:color w:val="auto"/>
        </w:rPr>
      </w:pPr>
      <w:r w:rsidRPr="00143ADF">
        <w:rPr>
          <w:b/>
          <w:bCs/>
          <w:color w:val="auto"/>
        </w:rPr>
        <w:t>Change of Sponsor or Applicant details</w:t>
      </w:r>
      <w:r w:rsidR="00961733" w:rsidRPr="00143ADF">
        <w:rPr>
          <w:b/>
          <w:bCs/>
          <w:color w:val="auto"/>
        </w:rPr>
        <w:t>:</w:t>
      </w:r>
      <w:r w:rsidR="00961733" w:rsidRPr="00143ADF">
        <w:rPr>
          <w:color w:val="auto"/>
        </w:rPr>
        <w:t xml:space="preserve"> A change to the applicant or sponsor contact details (e.g. the nominated contact has left the organisation)</w:t>
      </w:r>
    </w:p>
    <w:p w14:paraId="2C1C693F" w14:textId="7B2E507B" w:rsidR="00961733" w:rsidRPr="00143ADF" w:rsidRDefault="00C21895" w:rsidP="00961733">
      <w:pPr>
        <w:pStyle w:val="ListBullet2"/>
        <w:numPr>
          <w:ilvl w:val="1"/>
          <w:numId w:val="2"/>
        </w:numPr>
        <w:rPr>
          <w:color w:val="auto"/>
        </w:rPr>
      </w:pPr>
      <w:r w:rsidRPr="00143ADF">
        <w:rPr>
          <w:b/>
          <w:bCs/>
          <w:color w:val="auto"/>
        </w:rPr>
        <w:t>Change of scope</w:t>
      </w:r>
      <w:r w:rsidR="00961733" w:rsidRPr="00143ADF">
        <w:rPr>
          <w:b/>
          <w:bCs/>
          <w:color w:val="auto"/>
        </w:rPr>
        <w:t>:</w:t>
      </w:r>
      <w:r w:rsidR="00961733" w:rsidRPr="00143ADF">
        <w:rPr>
          <w:color w:val="auto"/>
        </w:rPr>
        <w:t xml:space="preserve"> An increase / change or a reduction to the scope (dosage forms, manufacturing steps, etc.).</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1E4D0299" w14:textId="77777777" w:rsidTr="0042350D">
        <w:tc>
          <w:tcPr>
            <w:tcW w:w="1276" w:type="dxa"/>
            <w:vAlign w:val="center"/>
          </w:tcPr>
          <w:p w14:paraId="58FE5F64" w14:textId="77777777" w:rsidR="00961733" w:rsidRPr="00215D48" w:rsidRDefault="00961733" w:rsidP="0042350D">
            <w:r w:rsidRPr="00215D48">
              <w:rPr>
                <w:noProof/>
                <w:lang w:eastAsia="en-AU"/>
              </w:rPr>
              <w:drawing>
                <wp:inline distT="0" distB="0" distL="0" distR="0" wp14:anchorId="4114A8A6" wp14:editId="5096C2D1">
                  <wp:extent cx="487681" cy="487681"/>
                  <wp:effectExtent l="19050" t="0" r="7619" b="0"/>
                  <wp:docPr id="324" name="Picture 32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19E6070" w14:textId="10428E11" w:rsidR="00961733" w:rsidRDefault="00961733" w:rsidP="0042350D">
            <w:r>
              <w:t xml:space="preserve">When varying your </w:t>
            </w:r>
            <w:r w:rsidR="00B323DA">
              <w:t>GMP Clearance</w:t>
            </w:r>
            <w:r>
              <w:t xml:space="preserve"> you should:</w:t>
            </w:r>
          </w:p>
          <w:p w14:paraId="23E66BC0" w14:textId="77777777" w:rsidR="00961733" w:rsidRDefault="00961733" w:rsidP="00961733">
            <w:pPr>
              <w:pStyle w:val="ListBullet"/>
              <w:numPr>
                <w:ilvl w:val="0"/>
                <w:numId w:val="2"/>
              </w:numPr>
            </w:pPr>
            <w:r w:rsidRPr="00D60E97">
              <w:rPr>
                <w:color w:val="auto"/>
              </w:rPr>
              <w:t xml:space="preserve">consider the impact of the change to your ARTG entries and </w:t>
            </w:r>
            <w:hyperlink r:id="rId48">
              <w:r w:rsidRPr="2CAF680A">
                <w:rPr>
                  <w:rStyle w:val="Hyperlink"/>
                </w:rPr>
                <w:t>contact the relevant product regulatory area</w:t>
              </w:r>
            </w:hyperlink>
            <w:r>
              <w:t xml:space="preserve"> </w:t>
            </w:r>
            <w:r w:rsidRPr="00D60E97">
              <w:rPr>
                <w:color w:val="auto"/>
              </w:rPr>
              <w:t>if required</w:t>
            </w:r>
          </w:p>
          <w:p w14:paraId="59C06E07" w14:textId="77777777" w:rsidR="00961733" w:rsidRPr="00D60E97" w:rsidRDefault="00961733" w:rsidP="00961733">
            <w:pPr>
              <w:pStyle w:val="ListBullet"/>
              <w:numPr>
                <w:ilvl w:val="0"/>
                <w:numId w:val="2"/>
              </w:numPr>
              <w:rPr>
                <w:color w:val="auto"/>
              </w:rPr>
            </w:pPr>
            <w:r w:rsidRPr="00D60E97">
              <w:rPr>
                <w:color w:val="auto"/>
              </w:rPr>
              <w:t>select the applicable variation requests for the changes to be made</w:t>
            </w:r>
          </w:p>
          <w:p w14:paraId="4649F51C" w14:textId="0E9C7CC3" w:rsidR="00961733" w:rsidRPr="00215D48" w:rsidRDefault="00961733" w:rsidP="00961733">
            <w:pPr>
              <w:pStyle w:val="ListBullet"/>
              <w:numPr>
                <w:ilvl w:val="0"/>
                <w:numId w:val="2"/>
              </w:numPr>
            </w:pPr>
            <w:r w:rsidRPr="00D60E97">
              <w:rPr>
                <w:color w:val="auto"/>
              </w:rPr>
              <w:t xml:space="preserve">perform a review of all information that exists in the </w:t>
            </w:r>
            <w:r w:rsidR="00B323DA">
              <w:rPr>
                <w:color w:val="auto"/>
              </w:rPr>
              <w:t>GMP Clearance</w:t>
            </w:r>
            <w:r w:rsidRPr="00D60E97">
              <w:rPr>
                <w:color w:val="auto"/>
              </w:rPr>
              <w:t xml:space="preserve"> form to ensure the information is both accurate and current.</w:t>
            </w:r>
          </w:p>
        </w:tc>
      </w:tr>
    </w:tbl>
    <w:p w14:paraId="0B696FBE" w14:textId="77777777" w:rsidR="00961733" w:rsidRPr="00E35186" w:rsidDel="00F474F9" w:rsidRDefault="00961733" w:rsidP="00E35186">
      <w:pPr>
        <w:pStyle w:val="Heading4"/>
        <w:rPr>
          <w:rFonts w:cs="Arial"/>
        </w:rPr>
      </w:pPr>
      <w:bookmarkStart w:id="92" w:name="_Toc147929216"/>
      <w:bookmarkStart w:id="93" w:name="_Toc198723740"/>
      <w:r w:rsidRPr="00E35186" w:rsidDel="00F474F9">
        <w:rPr>
          <w:rFonts w:cs="Arial"/>
        </w:rPr>
        <w:t>What you should provide</w:t>
      </w:r>
      <w:r w:rsidRPr="00E35186">
        <w:rPr>
          <w:rFonts w:cs="Arial"/>
        </w:rPr>
        <w:t xml:space="preserve"> for </w:t>
      </w:r>
      <w:bookmarkStart w:id="94" w:name="_Toc11250966"/>
      <w:bookmarkStart w:id="95" w:name="_Toc145503219"/>
      <w:r w:rsidRPr="00E35186">
        <w:rPr>
          <w:rFonts w:cs="Arial"/>
        </w:rPr>
        <w:t>administrative</w:t>
      </w:r>
      <w:bookmarkEnd w:id="94"/>
      <w:bookmarkEnd w:id="95"/>
      <w:r w:rsidRPr="00E35186">
        <w:rPr>
          <w:rFonts w:cs="Arial"/>
        </w:rPr>
        <w:t xml:space="preserve"> changes</w:t>
      </w:r>
      <w:bookmarkEnd w:id="92"/>
      <w:bookmarkEnd w:id="93"/>
      <w:r w:rsidRPr="00E35186">
        <w:rPr>
          <w:rFonts w:cs="Arial"/>
        </w:rPr>
        <w:t xml:space="preserve"> </w:t>
      </w:r>
    </w:p>
    <w:p w14:paraId="66F07C6D" w14:textId="77777777" w:rsidR="00961733" w:rsidRPr="00E35186" w:rsidRDefault="00961733" w:rsidP="00961733">
      <w:pPr>
        <w:pStyle w:val="Heading5"/>
      </w:pPr>
      <w:r w:rsidRPr="00E35186">
        <w:t>Manufacturer Name Changes</w:t>
      </w:r>
    </w:p>
    <w:p w14:paraId="32E2487A" w14:textId="77777777" w:rsidR="00961733" w:rsidRPr="00DF3481" w:rsidRDefault="00961733" w:rsidP="00961733">
      <w:pPr>
        <w:pStyle w:val="ListBullet"/>
        <w:numPr>
          <w:ilvl w:val="0"/>
          <w:numId w:val="2"/>
        </w:numPr>
        <w:rPr>
          <w:color w:val="auto"/>
        </w:rPr>
      </w:pPr>
      <w:r w:rsidRPr="00DF3481">
        <w:rPr>
          <w:color w:val="auto"/>
        </w:rPr>
        <w:t xml:space="preserve">a copy of the certificate of registration </w:t>
      </w:r>
      <w:proofErr w:type="gramStart"/>
      <w:r w:rsidRPr="00DF3481">
        <w:rPr>
          <w:color w:val="auto"/>
        </w:rPr>
        <w:t>or;</w:t>
      </w:r>
      <w:proofErr w:type="gramEnd"/>
    </w:p>
    <w:p w14:paraId="2E0332DC" w14:textId="77777777" w:rsidR="00961733" w:rsidRPr="00DF3481" w:rsidRDefault="00961733" w:rsidP="00961733">
      <w:pPr>
        <w:pStyle w:val="ListBullet"/>
        <w:numPr>
          <w:ilvl w:val="0"/>
          <w:numId w:val="2"/>
        </w:numPr>
        <w:rPr>
          <w:color w:val="auto"/>
        </w:rPr>
      </w:pPr>
      <w:r w:rsidRPr="00DF3481">
        <w:rPr>
          <w:color w:val="auto"/>
        </w:rPr>
        <w:t xml:space="preserve">a letter from the registrar in the </w:t>
      </w:r>
      <w:proofErr w:type="gramStart"/>
      <w:r w:rsidRPr="00DF3481">
        <w:rPr>
          <w:color w:val="auto"/>
        </w:rPr>
        <w:t>manufacturers</w:t>
      </w:r>
      <w:proofErr w:type="gramEnd"/>
      <w:r w:rsidRPr="00DF3481">
        <w:rPr>
          <w:color w:val="auto"/>
        </w:rPr>
        <w:t xml:space="preserve"> country confirming the change of name </w:t>
      </w:r>
      <w:proofErr w:type="gramStart"/>
      <w:r w:rsidRPr="00DF3481">
        <w:rPr>
          <w:color w:val="auto"/>
        </w:rPr>
        <w:t>or;</w:t>
      </w:r>
      <w:proofErr w:type="gramEnd"/>
    </w:p>
    <w:p w14:paraId="4BC2E0C9" w14:textId="77777777" w:rsidR="00961733" w:rsidRPr="00DF3481" w:rsidRDefault="00961733" w:rsidP="00961733">
      <w:pPr>
        <w:pStyle w:val="ListBullet"/>
        <w:numPr>
          <w:ilvl w:val="0"/>
          <w:numId w:val="2"/>
        </w:numPr>
        <w:rPr>
          <w:color w:val="auto"/>
        </w:rPr>
      </w:pPr>
      <w:r w:rsidRPr="00DF3481">
        <w:rPr>
          <w:color w:val="auto"/>
        </w:rPr>
        <w:t>a declaration from the manufacturer on its letterhead including the following information:</w:t>
      </w:r>
    </w:p>
    <w:p w14:paraId="0E366813" w14:textId="77777777" w:rsidR="00961733" w:rsidRPr="00DF3481" w:rsidRDefault="00961733" w:rsidP="00961733">
      <w:pPr>
        <w:pStyle w:val="ListBullet2"/>
        <w:numPr>
          <w:ilvl w:val="1"/>
          <w:numId w:val="2"/>
        </w:numPr>
        <w:rPr>
          <w:color w:val="auto"/>
        </w:rPr>
      </w:pPr>
      <w:r w:rsidRPr="00DF3481">
        <w:rPr>
          <w:color w:val="auto"/>
        </w:rPr>
        <w:t>reasons for the name change</w:t>
      </w:r>
    </w:p>
    <w:p w14:paraId="58434757" w14:textId="77777777" w:rsidR="00961733" w:rsidRPr="00DF3481" w:rsidRDefault="00961733" w:rsidP="00961733">
      <w:pPr>
        <w:pStyle w:val="ListBullet2"/>
        <w:numPr>
          <w:ilvl w:val="1"/>
          <w:numId w:val="2"/>
        </w:numPr>
        <w:rPr>
          <w:color w:val="auto"/>
        </w:rPr>
      </w:pPr>
      <w:r w:rsidRPr="00DF3481">
        <w:rPr>
          <w:color w:val="auto"/>
        </w:rPr>
        <w:t>effective date of the name change.</w:t>
      </w:r>
    </w:p>
    <w:p w14:paraId="2814B56A" w14:textId="77777777" w:rsidR="00961733" w:rsidRPr="00E35186" w:rsidRDefault="00961733" w:rsidP="00961733">
      <w:pPr>
        <w:pStyle w:val="Heading5"/>
      </w:pPr>
      <w:r w:rsidRPr="00E35186">
        <w:t>Manufacturer Address changes</w:t>
      </w:r>
    </w:p>
    <w:p w14:paraId="3D80710F" w14:textId="77777777" w:rsidR="00961733" w:rsidRPr="00D60E97" w:rsidRDefault="00961733" w:rsidP="00961733">
      <w:pPr>
        <w:pStyle w:val="ListBullet"/>
        <w:numPr>
          <w:ilvl w:val="0"/>
          <w:numId w:val="2"/>
        </w:numPr>
        <w:rPr>
          <w:color w:val="auto"/>
        </w:rPr>
      </w:pPr>
      <w:r w:rsidRPr="00D60E97">
        <w:rPr>
          <w:color w:val="auto"/>
        </w:rPr>
        <w:t>a declaration from the manufacturer on its letterhead including the following information:</w:t>
      </w:r>
    </w:p>
    <w:p w14:paraId="037E2638" w14:textId="77777777" w:rsidR="00961733" w:rsidRPr="00D60E97" w:rsidRDefault="00961733" w:rsidP="00961733">
      <w:pPr>
        <w:pStyle w:val="ListBullet2"/>
        <w:numPr>
          <w:ilvl w:val="1"/>
          <w:numId w:val="2"/>
        </w:numPr>
        <w:rPr>
          <w:color w:val="auto"/>
        </w:rPr>
      </w:pPr>
      <w:r w:rsidRPr="00D60E97">
        <w:rPr>
          <w:color w:val="auto"/>
        </w:rPr>
        <w:t>reasons for the change in address</w:t>
      </w:r>
    </w:p>
    <w:p w14:paraId="198CD6B0" w14:textId="77777777" w:rsidR="00961733" w:rsidRPr="00D60E97" w:rsidRDefault="00961733" w:rsidP="00961733">
      <w:pPr>
        <w:pStyle w:val="ListBullet2"/>
        <w:numPr>
          <w:ilvl w:val="1"/>
          <w:numId w:val="2"/>
        </w:numPr>
        <w:rPr>
          <w:color w:val="auto"/>
        </w:rPr>
      </w:pPr>
      <w:r w:rsidRPr="00D60E97">
        <w:rPr>
          <w:color w:val="auto"/>
        </w:rPr>
        <w:lastRenderedPageBreak/>
        <w:t>effective date of the change</w:t>
      </w:r>
    </w:p>
    <w:p w14:paraId="4B14D516" w14:textId="77777777" w:rsidR="00961733" w:rsidRDefault="00961733" w:rsidP="00961733">
      <w:pPr>
        <w:pStyle w:val="ListBullet2"/>
        <w:numPr>
          <w:ilvl w:val="1"/>
          <w:numId w:val="2"/>
        </w:numPr>
        <w:rPr>
          <w:color w:val="auto"/>
        </w:rPr>
      </w:pPr>
      <w:r w:rsidRPr="00D60E97">
        <w:rPr>
          <w:color w:val="auto"/>
        </w:rPr>
        <w:t>confirmation that there is no physical change to the location of the site.</w:t>
      </w:r>
    </w:p>
    <w:p w14:paraId="793F7AD7" w14:textId="77777777" w:rsidR="00961733" w:rsidRPr="00D60E97" w:rsidRDefault="00961733" w:rsidP="00961733">
      <w:pPr>
        <w:pStyle w:val="ListBullet2"/>
        <w:numPr>
          <w:ilvl w:val="0"/>
          <w:numId w:val="0"/>
        </w:numPr>
        <w:rPr>
          <w:color w:val="auto"/>
        </w:rPr>
      </w:pPr>
    </w:p>
    <w:tbl>
      <w:tblPr>
        <w:tblW w:w="0" w:type="auto"/>
        <w:tblLook w:val="04A0" w:firstRow="1" w:lastRow="0" w:firstColumn="1" w:lastColumn="0" w:noHBand="0" w:noVBand="1"/>
      </w:tblPr>
      <w:tblGrid>
        <w:gridCol w:w="1276"/>
        <w:gridCol w:w="7750"/>
      </w:tblGrid>
      <w:tr w:rsidR="00961733" w14:paraId="21974E56" w14:textId="77777777" w:rsidTr="0042350D">
        <w:trPr>
          <w:trHeight w:val="300"/>
        </w:trPr>
        <w:tc>
          <w:tcPr>
            <w:tcW w:w="1276" w:type="dxa"/>
            <w:vAlign w:val="center"/>
          </w:tcPr>
          <w:p w14:paraId="13587FBF" w14:textId="77777777" w:rsidR="00961733" w:rsidRDefault="00961733" w:rsidP="0042350D">
            <w:r>
              <w:rPr>
                <w:noProof/>
              </w:rPr>
              <w:drawing>
                <wp:inline distT="0" distB="0" distL="0" distR="0" wp14:anchorId="42BCB5F3" wp14:editId="0188BA5F">
                  <wp:extent cx="487681" cy="487681"/>
                  <wp:effectExtent l="19050" t="0" r="7619" b="0"/>
                  <wp:docPr id="119" name="Picture 119"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5297CC2" w14:textId="77777777" w:rsidR="00961733" w:rsidRDefault="00961733" w:rsidP="00903220">
            <w:pPr>
              <w:rPr>
                <w:rFonts w:cs="Cambria"/>
                <w:szCs w:val="22"/>
              </w:rPr>
            </w:pPr>
            <w:r w:rsidRPr="27FCF3E5">
              <w:rPr>
                <w:rFonts w:cs="Cambria"/>
                <w:szCs w:val="22"/>
              </w:rPr>
              <w:t xml:space="preserve">Where an application for a manufacturer </w:t>
            </w:r>
            <w:hyperlink r:id="rId49" w:history="1">
              <w:r w:rsidRPr="0046509A">
                <w:t>name change is received</w:t>
              </w:r>
            </w:hyperlink>
            <w:r w:rsidRPr="27FCF3E5">
              <w:rPr>
                <w:rFonts w:cs="Cambria"/>
                <w:szCs w:val="22"/>
              </w:rPr>
              <w:t xml:space="preserve">, we are required to contact affected sponsors before we can action the request. We do not have set timeframes for actioning name change applications as it will vary depending on the number of sponsors involved and the number of ARTG entries to be updated. </w:t>
            </w:r>
          </w:p>
          <w:p w14:paraId="63A3E50F" w14:textId="37E226EF" w:rsidR="00961733" w:rsidRDefault="00961733" w:rsidP="00903220">
            <w:pPr>
              <w:rPr>
                <w:rFonts w:cs="Cambria"/>
                <w:szCs w:val="22"/>
              </w:rPr>
            </w:pPr>
            <w:r w:rsidRPr="27FCF3E5">
              <w:rPr>
                <w:rFonts w:cs="Cambria"/>
                <w:szCs w:val="22"/>
              </w:rPr>
              <w:t xml:space="preserve">Please note, we are only able to update ARTG entries with current </w:t>
            </w:r>
            <w:r w:rsidR="00B323DA">
              <w:rPr>
                <w:rFonts w:cs="Cambria"/>
                <w:szCs w:val="22"/>
              </w:rPr>
              <w:t>GMP Clearance</w:t>
            </w:r>
            <w:r w:rsidRPr="27FCF3E5">
              <w:rPr>
                <w:rFonts w:cs="Cambria"/>
                <w:szCs w:val="22"/>
              </w:rPr>
              <w:t xml:space="preserve">s. If your ARTG entry lists an expired </w:t>
            </w:r>
            <w:r w:rsidR="00B323DA">
              <w:rPr>
                <w:rFonts w:cs="Cambria"/>
                <w:szCs w:val="22"/>
              </w:rPr>
              <w:t>GMP Clearance</w:t>
            </w:r>
            <w:r w:rsidRPr="27FCF3E5">
              <w:rPr>
                <w:rFonts w:cs="Cambria"/>
                <w:szCs w:val="22"/>
              </w:rPr>
              <w:t>, you will need to request that this be updated through a product variation application.</w:t>
            </w:r>
          </w:p>
        </w:tc>
      </w:tr>
    </w:tbl>
    <w:p w14:paraId="44A50392" w14:textId="77777777" w:rsidR="00961733" w:rsidRPr="00E35186" w:rsidRDefault="00961733" w:rsidP="00961733">
      <w:pPr>
        <w:pStyle w:val="Heading3"/>
      </w:pPr>
      <w:bookmarkStart w:id="96" w:name="_Toc147929217"/>
      <w:bookmarkStart w:id="97" w:name="_Toc198723741"/>
      <w:r w:rsidRPr="00E35186">
        <w:t>Extension</w:t>
      </w:r>
      <w:bookmarkEnd w:id="96"/>
      <w:bookmarkEnd w:id="97"/>
      <w:r w:rsidRPr="00E35186">
        <w:t xml:space="preserve"> </w:t>
      </w:r>
    </w:p>
    <w:p w14:paraId="19438C42" w14:textId="658B64FB" w:rsidR="005E5321" w:rsidRPr="00D609BB" w:rsidRDefault="00961733" w:rsidP="001A0A6D">
      <w:r>
        <w:t xml:space="preserve">You may request a </w:t>
      </w:r>
      <w:r w:rsidRPr="229DEDC6">
        <w:rPr>
          <w:b/>
          <w:bCs/>
        </w:rPr>
        <w:t>short-term extension</w:t>
      </w:r>
      <w:r>
        <w:t xml:space="preserve"> of your </w:t>
      </w:r>
      <w:r w:rsidR="00B323DA">
        <w:t>GMP Clearance</w:t>
      </w:r>
      <w:r>
        <w:t xml:space="preserve"> if there are valid reasons to extend it. You may be required to provide evidence of the reason so we can process the extension.</w:t>
      </w:r>
    </w:p>
    <w:p w14:paraId="154269FF" w14:textId="77777777" w:rsidR="00961733" w:rsidRDefault="00961733" w:rsidP="00961733">
      <w:r>
        <w:t xml:space="preserve">Usually no more than one extension can be given in addition to the six months already applied to an issued clearance. If you cannot provide updated evidence, you will be required to submit a </w:t>
      </w:r>
      <w:hyperlink r:id="rId50" w:history="1">
        <w:r w:rsidRPr="003A4019">
          <w:rPr>
            <w:rStyle w:val="Hyperlink"/>
          </w:rPr>
          <w:t>GMP certification application for a TGA inspection.</w:t>
        </w:r>
      </w:hyperlink>
      <w:hyperlink r:id="rId51" w:history="1"/>
    </w:p>
    <w:p w14:paraId="2FE9290A" w14:textId="77777777" w:rsidR="00961733" w:rsidRDefault="00961733" w:rsidP="00961733">
      <w:r>
        <w:t xml:space="preserve">Extensions will generally be considered a few weeks prior to the expiry </w:t>
      </w:r>
      <w:proofErr w:type="gramStart"/>
      <w:r>
        <w:t>date,</w:t>
      </w:r>
      <w:proofErr w:type="gramEnd"/>
      <w:r>
        <w:t xml:space="preserve"> however priority will be given to those extension requests which have been submitted more than one month prior to the expiry date. If your extension request is submitted closer to the expiry or after the clearance has already expired, you may experience delays in your application being considered.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5A68152D" w14:textId="77777777" w:rsidTr="0042350D">
        <w:trPr>
          <w:cantSplit/>
        </w:trPr>
        <w:tc>
          <w:tcPr>
            <w:tcW w:w="1276" w:type="dxa"/>
            <w:vAlign w:val="center"/>
          </w:tcPr>
          <w:p w14:paraId="66C7F1D0" w14:textId="77777777" w:rsidR="00961733" w:rsidRPr="00215D48" w:rsidRDefault="00961733" w:rsidP="0042350D">
            <w:r w:rsidRPr="00215D48">
              <w:rPr>
                <w:noProof/>
                <w:lang w:eastAsia="en-AU"/>
              </w:rPr>
              <w:drawing>
                <wp:inline distT="0" distB="0" distL="0" distR="0" wp14:anchorId="0EF9C027" wp14:editId="1E4D443A">
                  <wp:extent cx="487681" cy="487681"/>
                  <wp:effectExtent l="19050" t="0" r="7619" b="0"/>
                  <wp:docPr id="326" name="Picture 32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F949553" w14:textId="77777777" w:rsidR="00961733" w:rsidRPr="00A8425F" w:rsidRDefault="00961733" w:rsidP="00E62F78">
            <w:pPr>
              <w:pStyle w:val="ListBullet-donotcross"/>
              <w:rPr>
                <w:rFonts w:eastAsia="Cambria" w:cs="Cambria"/>
              </w:rPr>
            </w:pPr>
            <w:r>
              <w:t xml:space="preserve">If your clearance is expired by more than </w:t>
            </w:r>
            <w:r w:rsidRPr="5AB8732C">
              <w:rPr>
                <w:b/>
                <w:bCs/>
              </w:rPr>
              <w:t>30 days</w:t>
            </w:r>
            <w:r>
              <w:t>, you will not be able to vary it via the TBS portal.</w:t>
            </w:r>
            <w:r w:rsidRPr="5AB8732C">
              <w:rPr>
                <w:rFonts w:eastAsia="Cambria" w:cs="Cambria"/>
              </w:rPr>
              <w:t xml:space="preserve"> Refer to reinstatement of expired clearances. </w:t>
            </w:r>
          </w:p>
          <w:p w14:paraId="2231660C" w14:textId="77777777" w:rsidR="00961733" w:rsidRDefault="00961733" w:rsidP="00E62F78">
            <w:pPr>
              <w:pStyle w:val="ListBullet-donotcross"/>
            </w:pPr>
            <w:r>
              <w:t>Extensions may not be given where an existing clearance has been given a shortened expiry date or has previously not been issued.</w:t>
            </w:r>
          </w:p>
          <w:p w14:paraId="5C24AC7B" w14:textId="77777777" w:rsidR="00961733" w:rsidRPr="00215D48" w:rsidRDefault="00961733" w:rsidP="00E62F78">
            <w:pPr>
              <w:pStyle w:val="ListBullet-donotcross"/>
            </w:pPr>
            <w:r>
              <w:t xml:space="preserve">We may </w:t>
            </w:r>
            <w:r w:rsidRPr="27FCF3E5">
              <w:rPr>
                <w:b/>
                <w:bCs/>
              </w:rPr>
              <w:t>not</w:t>
            </w:r>
            <w:r>
              <w:t xml:space="preserve"> grant an extension without valid reasons and/or evidence (for example, if you submit late renewal applications).</w:t>
            </w:r>
          </w:p>
          <w:p w14:paraId="05F9C786" w14:textId="040DFFEB" w:rsidR="00961733" w:rsidRPr="00215D48" w:rsidRDefault="00961733" w:rsidP="00E62F78">
            <w:pPr>
              <w:pStyle w:val="ListBullet-donotcross"/>
            </w:pPr>
            <w:r>
              <w:t xml:space="preserve">Where a Letter of Access has been used to support your </w:t>
            </w:r>
            <w:r w:rsidR="00B323DA">
              <w:t>GMP Clearance</w:t>
            </w:r>
            <w:r>
              <w:t xml:space="preserve">, we are unable to extend your </w:t>
            </w:r>
            <w:r w:rsidR="00B323DA">
              <w:t>GMP Clearance</w:t>
            </w:r>
            <w:r>
              <w:t xml:space="preserve"> unless the clearance you have been granted access to has also been extended.  You should ensure that the clearance you have sought access to has been extended prior to submitting your extension request.</w:t>
            </w:r>
          </w:p>
        </w:tc>
      </w:tr>
    </w:tbl>
    <w:p w14:paraId="720F56E2" w14:textId="77777777" w:rsidR="009E5715" w:rsidRDefault="009E5715" w:rsidP="0090279C">
      <w:bookmarkStart w:id="98" w:name="_Toc147929218"/>
    </w:p>
    <w:p w14:paraId="7B03296C" w14:textId="77777777" w:rsidR="009E5715" w:rsidRDefault="009E5715">
      <w:pPr>
        <w:rPr>
          <w:rFonts w:eastAsia="Times New Roman" w:cs="Times New Roman"/>
          <w:b/>
          <w:bCs/>
          <w:color w:val="001871"/>
          <w:sz w:val="38"/>
          <w:szCs w:val="38"/>
        </w:rPr>
      </w:pPr>
      <w:r>
        <w:br w:type="page"/>
      </w:r>
    </w:p>
    <w:p w14:paraId="660153B6" w14:textId="5FF2F416" w:rsidR="00961733" w:rsidRPr="00E35186" w:rsidRDefault="00961733" w:rsidP="00961733">
      <w:pPr>
        <w:pStyle w:val="Heading2"/>
      </w:pPr>
      <w:bookmarkStart w:id="99" w:name="_Toc198723742"/>
      <w:r w:rsidRPr="00E35186">
        <w:lastRenderedPageBreak/>
        <w:t xml:space="preserve">Transferring your </w:t>
      </w:r>
      <w:r w:rsidR="00B323DA">
        <w:t>GMP Clearance</w:t>
      </w:r>
      <w:bookmarkEnd w:id="98"/>
      <w:bookmarkEnd w:id="99"/>
    </w:p>
    <w:p w14:paraId="5BF54A54" w14:textId="0DF15F0A" w:rsidR="00961733" w:rsidRDefault="00961733" w:rsidP="00961733">
      <w:r>
        <w:t xml:space="preserve">If products on the ARTG are transferred between sponsors, the associated existing active </w:t>
      </w:r>
      <w:r w:rsidR="00B323DA">
        <w:t>GMP Clearance</w:t>
      </w:r>
      <w:r>
        <w:t>s may need to be transferred as well.</w:t>
      </w:r>
    </w:p>
    <w:p w14:paraId="6C3150DB" w14:textId="77777777" w:rsidR="00961733" w:rsidRDefault="00961733" w:rsidP="00961733">
      <w:r>
        <w:t xml:space="preserve">The new sponsor must contact </w:t>
      </w:r>
      <w:hyperlink r:id="rId52" w:history="1">
        <w:r>
          <w:rPr>
            <w:rStyle w:val="Hyperlink"/>
          </w:rPr>
          <w:t>GMPclearance@health.gov.au</w:t>
        </w:r>
      </w:hyperlink>
      <w:r>
        <w:t xml:space="preserve"> within three (3) months of the transfer of the product and provide:</w:t>
      </w:r>
    </w:p>
    <w:p w14:paraId="3AF7C151" w14:textId="13972925" w:rsidR="00961733" w:rsidRPr="00D60E97" w:rsidRDefault="00961733" w:rsidP="00961733">
      <w:pPr>
        <w:pStyle w:val="ListBullet"/>
        <w:numPr>
          <w:ilvl w:val="0"/>
          <w:numId w:val="2"/>
        </w:numPr>
        <w:rPr>
          <w:color w:val="auto"/>
        </w:rPr>
      </w:pPr>
      <w:r w:rsidRPr="00D60E97">
        <w:rPr>
          <w:color w:val="auto"/>
        </w:rPr>
        <w:t xml:space="preserve">a cover letter with the details of all affected clearances to be transferred including </w:t>
      </w:r>
      <w:r w:rsidR="00B323DA">
        <w:rPr>
          <w:color w:val="auto"/>
        </w:rPr>
        <w:t>GMP Clearance</w:t>
      </w:r>
      <w:r w:rsidRPr="00D60E97">
        <w:rPr>
          <w:color w:val="auto"/>
        </w:rPr>
        <w:t xml:space="preserve"> tracking numbers</w:t>
      </w:r>
    </w:p>
    <w:p w14:paraId="4DC01FA9" w14:textId="0C6C5843" w:rsidR="00961733" w:rsidRPr="00D60E97" w:rsidRDefault="00961733" w:rsidP="00961733">
      <w:pPr>
        <w:pStyle w:val="ListBullet"/>
        <w:numPr>
          <w:ilvl w:val="0"/>
          <w:numId w:val="2"/>
        </w:numPr>
        <w:rPr>
          <w:color w:val="auto"/>
        </w:rPr>
      </w:pPr>
      <w:r w:rsidRPr="00D60E97">
        <w:rPr>
          <w:color w:val="auto"/>
        </w:rPr>
        <w:t xml:space="preserve">a letter from the transferring sponsor indicating assent to the </w:t>
      </w:r>
      <w:r w:rsidR="00B323DA">
        <w:rPr>
          <w:color w:val="auto"/>
        </w:rPr>
        <w:t>GMP Clearance</w:t>
      </w:r>
      <w:r w:rsidRPr="00D60E97">
        <w:rPr>
          <w:color w:val="auto"/>
        </w:rPr>
        <w:t xml:space="preserve"> transfers; a copy of any sale/transfer agreement may also be acceptable, include confirmation regarding whether the whole or only part of the </w:t>
      </w:r>
      <w:r w:rsidR="00B323DA">
        <w:rPr>
          <w:color w:val="auto"/>
        </w:rPr>
        <w:t>GMP Clearance</w:t>
      </w:r>
      <w:r w:rsidRPr="00D60E97">
        <w:rPr>
          <w:color w:val="auto"/>
        </w:rPr>
        <w:t xml:space="preserve"> is to be transferred.</w:t>
      </w:r>
    </w:p>
    <w:p w14:paraId="5E8B6B10" w14:textId="77777777" w:rsidR="00961733" w:rsidRPr="00D60E97" w:rsidRDefault="00961733" w:rsidP="00961733">
      <w:pPr>
        <w:pStyle w:val="ListBullet"/>
        <w:numPr>
          <w:ilvl w:val="0"/>
          <w:numId w:val="2"/>
        </w:numPr>
        <w:rPr>
          <w:color w:val="auto"/>
        </w:rPr>
      </w:pPr>
      <w:r w:rsidRPr="00D60E97">
        <w:rPr>
          <w:color w:val="auto"/>
        </w:rPr>
        <w:t xml:space="preserve">Provide new sponsor details (Client ID number) and full contact information such </w:t>
      </w:r>
      <w:proofErr w:type="gramStart"/>
      <w:r w:rsidRPr="00D60E97">
        <w:rPr>
          <w:color w:val="auto"/>
        </w:rPr>
        <w:t>as;</w:t>
      </w:r>
      <w:proofErr w:type="gramEnd"/>
      <w:r w:rsidRPr="00D60E97">
        <w:rPr>
          <w:color w:val="auto"/>
        </w:rPr>
        <w:t xml:space="preserve"> full name, contact number and email address for the transferred clearances.</w:t>
      </w:r>
    </w:p>
    <w:p w14:paraId="25972865" w14:textId="77777777" w:rsidR="00961733" w:rsidRDefault="00961733" w:rsidP="00961733">
      <w:r>
        <w:t xml:space="preserve">The new sponsor needs to have a </w:t>
      </w:r>
      <w:hyperlink w:anchor="_GMP_agreement_or" w:history="1">
        <w:r w:rsidRPr="00E133ED">
          <w:rPr>
            <w:rStyle w:val="Hyperlink"/>
          </w:rPr>
          <w:t>GMP, quality or technical agreement</w:t>
        </w:r>
      </w:hyperlink>
      <w:r>
        <w:t xml:space="preserve"> with each manufacturer with whom they have a direct relationship (this may be requested). </w:t>
      </w:r>
    </w:p>
    <w:p w14:paraId="32F56D87" w14:textId="77777777" w:rsidR="00961733" w:rsidRDefault="00961733" w:rsidP="00961733">
      <w:r>
        <w:t xml:space="preserve">There is currently no fee applicable for transfer of clearances between sponsors. </w:t>
      </w:r>
    </w:p>
    <w:p w14:paraId="0C77AEC9" w14:textId="5ED41C13" w:rsidR="00961733" w:rsidRDefault="00961733" w:rsidP="00961733">
      <w:r>
        <w:t xml:space="preserve">Where the original sponsor is required to maintain the </w:t>
      </w:r>
      <w:r w:rsidR="00B323DA">
        <w:t>GMP Clearance</w:t>
      </w:r>
      <w:r>
        <w:t xml:space="preserve"> for other products, we will be unable to transfer the clearance to the new sponsor.  The new sponsor will be required to apply for a ‘new’ </w:t>
      </w:r>
      <w:r w:rsidR="00B323DA">
        <w:t>GMP Clearance</w:t>
      </w:r>
      <w:r>
        <w:t xml:space="preserve"> for all applicable sites and pay the associated fees.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42410A1C" w14:textId="77777777" w:rsidTr="0042350D">
        <w:tc>
          <w:tcPr>
            <w:tcW w:w="1276" w:type="dxa"/>
            <w:vAlign w:val="center"/>
          </w:tcPr>
          <w:p w14:paraId="66790738" w14:textId="77777777" w:rsidR="00961733" w:rsidRPr="00215D48" w:rsidRDefault="00961733" w:rsidP="0042350D">
            <w:r w:rsidRPr="00215D48">
              <w:rPr>
                <w:noProof/>
                <w:lang w:eastAsia="en-AU"/>
              </w:rPr>
              <w:drawing>
                <wp:inline distT="0" distB="0" distL="0" distR="0" wp14:anchorId="153F376B" wp14:editId="353DCF40">
                  <wp:extent cx="487681" cy="487681"/>
                  <wp:effectExtent l="19050" t="0" r="7619" b="0"/>
                  <wp:docPr id="190941765" name="Picture 19094176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C16E402" w14:textId="356DB179" w:rsidR="00961733" w:rsidRDefault="00961733" w:rsidP="00E62F78">
            <w:pPr>
              <w:pStyle w:val="ListBullet-donotcross"/>
            </w:pPr>
            <w:r>
              <w:t xml:space="preserve">Expired </w:t>
            </w:r>
            <w:r w:rsidR="00B323DA">
              <w:t>GMP Clearance</w:t>
            </w:r>
            <w:r>
              <w:t xml:space="preserve">s </w:t>
            </w:r>
            <w:r w:rsidRPr="42BFFDF0">
              <w:rPr>
                <w:b/>
                <w:bCs/>
              </w:rPr>
              <w:t>cannot</w:t>
            </w:r>
            <w:r>
              <w:t xml:space="preserve"> be transferred. A new application needs to be submitted by the new sponsor.</w:t>
            </w:r>
          </w:p>
          <w:p w14:paraId="2535F373" w14:textId="1C00EE24" w:rsidR="00961733" w:rsidRDefault="00961733" w:rsidP="0042350D">
            <w:r>
              <w:t xml:space="preserve">Clearances currently under </w:t>
            </w:r>
            <w:r w:rsidR="000C3F2A">
              <w:t>evaluation</w:t>
            </w:r>
            <w:r>
              <w:t xml:space="preserve"> that have had a transfer of sponsorship processed will not be viewable by the new sponsor until the application has been issued.</w:t>
            </w:r>
          </w:p>
          <w:p w14:paraId="21C94AA3" w14:textId="77777777" w:rsidR="00961733" w:rsidRPr="00215D48" w:rsidRDefault="00961733" w:rsidP="0042350D">
            <w:r w:rsidRPr="3B171390">
              <w:t xml:space="preserve">We will endeavour to consider </w:t>
            </w:r>
            <w:r>
              <w:t>sponsors requested</w:t>
            </w:r>
            <w:r w:rsidRPr="3B171390">
              <w:t xml:space="preserve"> timeframes; however, </w:t>
            </w:r>
            <w:r>
              <w:t>this may not be possible</w:t>
            </w:r>
            <w:r w:rsidRPr="3B171390">
              <w:t xml:space="preserve"> for transfer requests</w:t>
            </w:r>
            <w:r>
              <w:t xml:space="preserve"> consisting of </w:t>
            </w:r>
            <w:proofErr w:type="gramStart"/>
            <w:r>
              <w:t>a number of</w:t>
            </w:r>
            <w:proofErr w:type="gramEnd"/>
            <w:r>
              <w:t xml:space="preserve"> sites</w:t>
            </w:r>
            <w:r w:rsidRPr="3B171390">
              <w:t>. Please be aware it may take several months for the transfers to be completed.</w:t>
            </w:r>
            <w:r>
              <w:t xml:space="preserve"> We encourage sponsors to contact us in advance where </w:t>
            </w:r>
            <w:proofErr w:type="gramStart"/>
            <w:r>
              <w:t>a large number of</w:t>
            </w:r>
            <w:proofErr w:type="gramEnd"/>
            <w:r>
              <w:t xml:space="preserve"> clearances are to be transferred.</w:t>
            </w:r>
          </w:p>
        </w:tc>
      </w:tr>
    </w:tbl>
    <w:p w14:paraId="542DA52B" w14:textId="0A5F2419" w:rsidR="00961733" w:rsidRPr="00E35186" w:rsidRDefault="00961733" w:rsidP="00961733">
      <w:pPr>
        <w:pStyle w:val="Heading2"/>
      </w:pPr>
      <w:bookmarkStart w:id="100" w:name="_Reinstatement_of_expired"/>
      <w:bookmarkStart w:id="101" w:name="_Re-instatement_of_expired"/>
      <w:bookmarkStart w:id="102" w:name="_Toc147929219"/>
      <w:bookmarkStart w:id="103" w:name="_Toc198723743"/>
      <w:bookmarkEnd w:id="100"/>
      <w:bookmarkEnd w:id="101"/>
      <w:r w:rsidRPr="00E35186">
        <w:t xml:space="preserve">Re-instatement of expired </w:t>
      </w:r>
      <w:r w:rsidR="00B323DA">
        <w:t>GMP Clearance</w:t>
      </w:r>
      <w:bookmarkEnd w:id="102"/>
      <w:bookmarkEnd w:id="103"/>
      <w:r w:rsidRPr="00E35186">
        <w:t xml:space="preserve"> </w:t>
      </w:r>
    </w:p>
    <w:p w14:paraId="76264A05" w14:textId="0D55EABC" w:rsidR="00961733" w:rsidRDefault="00961733" w:rsidP="00961733">
      <w:pPr>
        <w:spacing w:before="180"/>
        <w:rPr>
          <w:rFonts w:cs="Cambria"/>
          <w:szCs w:val="22"/>
        </w:rPr>
      </w:pPr>
      <w:r w:rsidRPr="00282114">
        <w:rPr>
          <w:rFonts w:cs="Cambria"/>
          <w:szCs w:val="22"/>
        </w:rPr>
        <w:t xml:space="preserve">Where your </w:t>
      </w:r>
      <w:r w:rsidR="00B323DA">
        <w:rPr>
          <w:rFonts w:cs="Cambria"/>
          <w:szCs w:val="22"/>
        </w:rPr>
        <w:t>GMP Clearance</w:t>
      </w:r>
      <w:r w:rsidRPr="00282114">
        <w:rPr>
          <w:rFonts w:cs="Cambria"/>
          <w:szCs w:val="22"/>
        </w:rPr>
        <w:t xml:space="preserve"> has expired beyond 30 days, you will no longer be able to submit variation applications. </w:t>
      </w:r>
    </w:p>
    <w:p w14:paraId="3618A99F" w14:textId="5B0EE711" w:rsidR="0009192C" w:rsidRDefault="00961733" w:rsidP="00961733">
      <w:pPr>
        <w:spacing w:before="180"/>
        <w:rPr>
          <w:rFonts w:cs="Cambria"/>
          <w:szCs w:val="22"/>
        </w:rPr>
      </w:pPr>
      <w:r>
        <w:rPr>
          <w:rFonts w:cs="Cambria"/>
          <w:szCs w:val="22"/>
        </w:rPr>
        <w:t xml:space="preserve">Sponsors should request their </w:t>
      </w:r>
      <w:r w:rsidR="00B323DA">
        <w:rPr>
          <w:rFonts w:cs="Cambria"/>
          <w:szCs w:val="22"/>
        </w:rPr>
        <w:t>GMP Clearance</w:t>
      </w:r>
      <w:r>
        <w:rPr>
          <w:rFonts w:cs="Cambria"/>
          <w:szCs w:val="22"/>
        </w:rPr>
        <w:t xml:space="preserve"> be re-instated via email to </w:t>
      </w:r>
      <w:hyperlink r:id="rId53" w:history="1">
        <w:r w:rsidRPr="00A80A43">
          <w:rPr>
            <w:rStyle w:val="Hyperlink"/>
            <w:rFonts w:cs="Cambria"/>
            <w:szCs w:val="22"/>
          </w:rPr>
          <w:t>GMPClearance@health.gov.au</w:t>
        </w:r>
      </w:hyperlink>
      <w:r>
        <w:rPr>
          <w:rFonts w:cs="Cambria"/>
          <w:szCs w:val="22"/>
        </w:rPr>
        <w:t xml:space="preserve">. The request should include the reason for allowing your </w:t>
      </w:r>
      <w:r w:rsidR="00B323DA">
        <w:rPr>
          <w:rFonts w:cs="Cambria"/>
          <w:szCs w:val="22"/>
        </w:rPr>
        <w:t>GMP Clearance</w:t>
      </w:r>
      <w:r>
        <w:rPr>
          <w:rFonts w:cs="Cambria"/>
          <w:szCs w:val="22"/>
        </w:rPr>
        <w:t xml:space="preserve"> to lapse beyond the allotted time provided to submit a renewal or variation. Additionally, as there is a separate fee for this process, your request should include acknowledgement and agreement to pay this fee.</w:t>
      </w:r>
      <w:r w:rsidR="0009192C">
        <w:rPr>
          <w:rFonts w:cs="Cambria"/>
          <w:szCs w:val="22"/>
        </w:rPr>
        <w:t xml:space="preserve"> </w:t>
      </w:r>
    </w:p>
    <w:p w14:paraId="365001CF" w14:textId="10B75BC0" w:rsidR="00961733" w:rsidRPr="00282114" w:rsidRDefault="00961733" w:rsidP="00961733">
      <w:pPr>
        <w:spacing w:before="180"/>
        <w:rPr>
          <w:rFonts w:cs="Cambria"/>
        </w:rPr>
      </w:pPr>
      <w:r w:rsidRPr="00282114">
        <w:rPr>
          <w:rFonts w:cs="Cambria"/>
        </w:rPr>
        <w:t xml:space="preserve">Where there is no valid reason stated in the request, we may not consider reinstatement of your expired clearances. </w:t>
      </w:r>
      <w:r>
        <w:rPr>
          <w:rFonts w:cs="Cambria"/>
        </w:rPr>
        <w:t xml:space="preserve">Additionally, </w:t>
      </w:r>
      <w:r w:rsidR="00B323DA">
        <w:rPr>
          <w:rFonts w:cs="Cambria"/>
        </w:rPr>
        <w:t>GMP Clearance</w:t>
      </w:r>
      <w:r w:rsidRPr="00282114">
        <w:rPr>
          <w:rFonts w:cs="Cambria"/>
        </w:rPr>
        <w:t>s which have been expired for more than 12 months will not be reinstated</w:t>
      </w:r>
      <w:r>
        <w:rPr>
          <w:rFonts w:cs="Cambria"/>
        </w:rPr>
        <w:t>.</w:t>
      </w:r>
    </w:p>
    <w:p w14:paraId="7BF2976A" w14:textId="77777777" w:rsidR="004A64FB" w:rsidRDefault="004A64FB">
      <w:pPr>
        <w:rPr>
          <w:rFonts w:eastAsia="Times New Roman" w:cs="Times New Roman"/>
          <w:b/>
          <w:bCs/>
          <w:color w:val="001871"/>
          <w:sz w:val="38"/>
          <w:szCs w:val="38"/>
        </w:rPr>
      </w:pPr>
      <w:bookmarkStart w:id="104" w:name="_Cancellation,_suspension,_additiona"/>
      <w:bookmarkStart w:id="105" w:name="_Toc147929220"/>
      <w:bookmarkEnd w:id="104"/>
      <w:r>
        <w:br w:type="page"/>
      </w:r>
    </w:p>
    <w:p w14:paraId="36622E7A" w14:textId="65189AAC" w:rsidR="00961733" w:rsidRPr="00E35186" w:rsidRDefault="00961733" w:rsidP="00961733">
      <w:pPr>
        <w:pStyle w:val="Heading2"/>
      </w:pPr>
      <w:bookmarkStart w:id="106" w:name="_Cancellation,_suspension,_additiona_1"/>
      <w:bookmarkStart w:id="107" w:name="_Toc198723744"/>
      <w:bookmarkEnd w:id="106"/>
      <w:r w:rsidRPr="00E35186">
        <w:lastRenderedPageBreak/>
        <w:t>Cancellation, suspension, additional conditions or reduction in scope by TGA</w:t>
      </w:r>
      <w:bookmarkEnd w:id="105"/>
      <w:bookmarkEnd w:id="107"/>
    </w:p>
    <w:p w14:paraId="6F9DD4B6" w14:textId="043C2B01" w:rsidR="00961733" w:rsidRPr="00D4112E" w:rsidRDefault="00961733" w:rsidP="00961733">
      <w:r w:rsidRPr="00D4112E">
        <w:t xml:space="preserve">We may cancel, suspend, add conditions to or reduce the scope of your </w:t>
      </w:r>
      <w:r w:rsidR="00B323DA">
        <w:t>GMP Clearance</w:t>
      </w:r>
      <w:r w:rsidRPr="00D4112E">
        <w:t xml:space="preserve"> where:</w:t>
      </w:r>
    </w:p>
    <w:p w14:paraId="14F63485" w14:textId="77777777" w:rsidR="00961733" w:rsidRPr="00D60E97" w:rsidRDefault="00961733" w:rsidP="00961733">
      <w:pPr>
        <w:pStyle w:val="ListBullet"/>
        <w:numPr>
          <w:ilvl w:val="0"/>
          <w:numId w:val="2"/>
        </w:numPr>
        <w:rPr>
          <w:color w:val="auto"/>
        </w:rPr>
      </w:pPr>
      <w:r w:rsidRPr="00D60E97">
        <w:rPr>
          <w:color w:val="auto"/>
        </w:rPr>
        <w:t>you decline to contribute to the cost of a TGA inspection</w:t>
      </w:r>
    </w:p>
    <w:p w14:paraId="44498318" w14:textId="77777777" w:rsidR="00961733" w:rsidRPr="00D60E97" w:rsidRDefault="00961733" w:rsidP="00961733">
      <w:pPr>
        <w:pStyle w:val="ListBullet"/>
        <w:numPr>
          <w:ilvl w:val="0"/>
          <w:numId w:val="2"/>
        </w:numPr>
        <w:rPr>
          <w:color w:val="auto"/>
        </w:rPr>
      </w:pPr>
      <w:r w:rsidRPr="00D60E97">
        <w:rPr>
          <w:color w:val="auto"/>
        </w:rPr>
        <w:t>the manufacturer declines a TGA inspection</w:t>
      </w:r>
    </w:p>
    <w:p w14:paraId="53371313" w14:textId="77777777" w:rsidR="00961733" w:rsidRPr="00D60E97" w:rsidRDefault="00961733" w:rsidP="00961733">
      <w:pPr>
        <w:pStyle w:val="ListBullet"/>
        <w:numPr>
          <w:ilvl w:val="0"/>
          <w:numId w:val="2"/>
        </w:numPr>
        <w:rPr>
          <w:color w:val="auto"/>
        </w:rPr>
      </w:pPr>
      <w:r w:rsidRPr="00D60E97">
        <w:rPr>
          <w:color w:val="auto"/>
        </w:rPr>
        <w:t>the outcome of a TGA inspection is unsatisfactory</w:t>
      </w:r>
    </w:p>
    <w:p w14:paraId="02E39433" w14:textId="77777777" w:rsidR="00961733" w:rsidRPr="00D60E97" w:rsidRDefault="00961733" w:rsidP="00961733">
      <w:pPr>
        <w:pStyle w:val="ListBullet"/>
        <w:numPr>
          <w:ilvl w:val="0"/>
          <w:numId w:val="2"/>
        </w:numPr>
        <w:rPr>
          <w:color w:val="auto"/>
        </w:rPr>
      </w:pPr>
      <w:r w:rsidRPr="00D60E97">
        <w:rPr>
          <w:color w:val="auto"/>
        </w:rPr>
        <w:t>an MRA partner or other regulatory agency withdraws GMP certification, or we receive other compliance signals</w:t>
      </w:r>
    </w:p>
    <w:p w14:paraId="6FB92943" w14:textId="77777777" w:rsidR="00961733" w:rsidRPr="00D60E97" w:rsidRDefault="00961733" w:rsidP="00961733">
      <w:pPr>
        <w:pStyle w:val="ListBullet"/>
        <w:numPr>
          <w:ilvl w:val="0"/>
          <w:numId w:val="2"/>
        </w:numPr>
        <w:rPr>
          <w:color w:val="auto"/>
        </w:rPr>
      </w:pPr>
      <w:r w:rsidRPr="00D60E97">
        <w:rPr>
          <w:color w:val="auto"/>
        </w:rPr>
        <w:t>evidence submitted to us is subsequently found to be incorrect</w:t>
      </w:r>
    </w:p>
    <w:p w14:paraId="2D70ED26" w14:textId="77777777" w:rsidR="00961733" w:rsidRPr="00D4112E" w:rsidRDefault="00961733" w:rsidP="00961733">
      <w:r w:rsidRPr="00D4112E">
        <w:t>You will be notified by email of the intention to cancel, suspend, additional conditions or reduce the scope along with the reasons for it, and you will be provided the opportunity to respond.</w:t>
      </w:r>
    </w:p>
    <w:p w14:paraId="6046944F" w14:textId="77777777" w:rsidR="00961733" w:rsidRPr="00E35186" w:rsidRDefault="00961733" w:rsidP="00961733">
      <w:pPr>
        <w:pStyle w:val="Heading2"/>
      </w:pPr>
      <w:bookmarkStart w:id="108" w:name="_Toc147929221"/>
      <w:bookmarkStart w:id="109" w:name="_Toc198723745"/>
      <w:r w:rsidRPr="00E35186">
        <w:t>GMP Compliance Signal</w:t>
      </w:r>
      <w:bookmarkEnd w:id="108"/>
      <w:r w:rsidRPr="00E35186">
        <w:t>s</w:t>
      </w:r>
      <w:bookmarkEnd w:id="109"/>
    </w:p>
    <w:p w14:paraId="0EB47BCF" w14:textId="2C359454" w:rsidR="00961733" w:rsidRDefault="00961733" w:rsidP="00961733">
      <w:r>
        <w:t xml:space="preserve">When a GMP non-compliance signal is identified for a site, </w:t>
      </w:r>
      <w:r w:rsidR="00B323DA">
        <w:t>GMP Clearance</w:t>
      </w:r>
      <w:r>
        <w:t xml:space="preserve"> applications will be placed on hold pending investigation by the GMP Compliance team who, as part of their investigation, will reach out to Australian Sponsors.</w:t>
      </w:r>
    </w:p>
    <w:p w14:paraId="3CFE7743" w14:textId="77777777" w:rsidR="00961733" w:rsidRDefault="00961733" w:rsidP="00961733">
      <w:r>
        <w:t xml:space="preserve">Enquiries regarding the status of the GMP compliance signal can be sent to directly to </w:t>
      </w:r>
      <w:hyperlink r:id="rId54" w:history="1">
        <w:r w:rsidRPr="00A80A43">
          <w:rPr>
            <w:rStyle w:val="Hyperlink"/>
          </w:rPr>
          <w:t>GMPCompliance@health.gov.au</w:t>
        </w:r>
      </w:hyperlink>
      <w:r>
        <w:t>.  Following investigation of the non-compliance signal, the GMP Compliance team will recommend what actions may need to be taken for the manufacturer. This may include:</w:t>
      </w:r>
    </w:p>
    <w:p w14:paraId="09320EA0" w14:textId="77777777" w:rsidR="00961733" w:rsidRPr="00E62F78" w:rsidRDefault="00961733" w:rsidP="00961733">
      <w:pPr>
        <w:pStyle w:val="ListBullet-dotick"/>
        <w:numPr>
          <w:ilvl w:val="0"/>
          <w:numId w:val="2"/>
        </w:numPr>
        <w:rPr>
          <w:color w:val="auto"/>
        </w:rPr>
      </w:pPr>
      <w:r w:rsidRPr="00E62F78">
        <w:rPr>
          <w:color w:val="auto"/>
        </w:rPr>
        <w:t>requiring a TGA GMP compliance inspection to be performed</w:t>
      </w:r>
    </w:p>
    <w:p w14:paraId="6067B5F6" w14:textId="693F24E3" w:rsidR="00961733" w:rsidRPr="00E62F78" w:rsidRDefault="00961733" w:rsidP="00961733">
      <w:pPr>
        <w:pStyle w:val="ListBullet-dotick"/>
        <w:numPr>
          <w:ilvl w:val="0"/>
          <w:numId w:val="2"/>
        </w:numPr>
        <w:rPr>
          <w:color w:val="auto"/>
        </w:rPr>
      </w:pPr>
      <w:r w:rsidRPr="00E62F78">
        <w:rPr>
          <w:color w:val="auto"/>
        </w:rPr>
        <w:t xml:space="preserve">suspension or cancellation of the existing </w:t>
      </w:r>
      <w:r w:rsidR="00B323DA">
        <w:rPr>
          <w:color w:val="auto"/>
        </w:rPr>
        <w:t>GMP Clearance</w:t>
      </w:r>
      <w:r w:rsidRPr="00E62F78">
        <w:rPr>
          <w:color w:val="auto"/>
        </w:rPr>
        <w:t xml:space="preserve"> (where applicable)</w:t>
      </w:r>
    </w:p>
    <w:p w14:paraId="05BC9429" w14:textId="0CB8E652" w:rsidR="00961733" w:rsidRPr="00E62F78" w:rsidRDefault="00961733" w:rsidP="00961733">
      <w:pPr>
        <w:pStyle w:val="ListBullet-dotick"/>
        <w:numPr>
          <w:ilvl w:val="0"/>
          <w:numId w:val="2"/>
        </w:numPr>
        <w:rPr>
          <w:color w:val="auto"/>
        </w:rPr>
      </w:pPr>
      <w:r w:rsidRPr="00E62F78">
        <w:rPr>
          <w:color w:val="auto"/>
        </w:rPr>
        <w:t xml:space="preserve">rejection of the in-process </w:t>
      </w:r>
      <w:r w:rsidR="00B323DA">
        <w:rPr>
          <w:color w:val="auto"/>
        </w:rPr>
        <w:t>GMP Clearance</w:t>
      </w:r>
      <w:r w:rsidRPr="00E62F78">
        <w:rPr>
          <w:color w:val="auto"/>
        </w:rPr>
        <w:t xml:space="preserve"> </w:t>
      </w:r>
    </w:p>
    <w:p w14:paraId="2E8C8AB0" w14:textId="4334B00C" w:rsidR="00961733" w:rsidRPr="00E62F78" w:rsidRDefault="00961733" w:rsidP="00961733">
      <w:pPr>
        <w:pStyle w:val="ListBullet-dotick"/>
        <w:numPr>
          <w:ilvl w:val="0"/>
          <w:numId w:val="2"/>
        </w:numPr>
        <w:rPr>
          <w:color w:val="auto"/>
        </w:rPr>
      </w:pPr>
      <w:r w:rsidRPr="00E62F78">
        <w:rPr>
          <w:color w:val="auto"/>
        </w:rPr>
        <w:t xml:space="preserve">adding specific conditions to the existing or in/process </w:t>
      </w:r>
      <w:r w:rsidR="00B323DA">
        <w:rPr>
          <w:color w:val="auto"/>
        </w:rPr>
        <w:t>GMP Clearance</w:t>
      </w:r>
      <w:r w:rsidRPr="00E62F78">
        <w:rPr>
          <w:color w:val="auto"/>
        </w:rPr>
        <w:t xml:space="preserve">  </w:t>
      </w:r>
    </w:p>
    <w:p w14:paraId="60B158B4" w14:textId="77777777" w:rsidR="00961733" w:rsidRDefault="00961733" w:rsidP="00961733"/>
    <w:p w14:paraId="0EA4D845" w14:textId="77777777" w:rsidR="00961733" w:rsidRDefault="00961733" w:rsidP="00961733">
      <w:r>
        <w:t xml:space="preserve">Further information can be found in the </w:t>
      </w:r>
      <w:hyperlink r:id="rId55" w:history="1">
        <w:r w:rsidRPr="229DEDC6">
          <w:rPr>
            <w:rStyle w:val="Hyperlink"/>
          </w:rPr>
          <w:t>Guidance on the management of GMP compliance signals</w:t>
        </w:r>
      </w:hyperlink>
      <w:r>
        <w:t>.</w:t>
      </w:r>
    </w:p>
    <w:p w14:paraId="6509919A" w14:textId="77777777" w:rsidR="00961733" w:rsidRDefault="00961733" w:rsidP="00961733">
      <w:bookmarkStart w:id="110" w:name="_Step_2_–"/>
      <w:bookmarkStart w:id="111" w:name="_Compliance_Verification_(CV)"/>
      <w:bookmarkEnd w:id="110"/>
      <w:bookmarkEnd w:id="111"/>
    </w:p>
    <w:p w14:paraId="3B23A62D" w14:textId="77777777" w:rsidR="00961733" w:rsidRDefault="00961733" w:rsidP="00961733">
      <w:pPr>
        <w:rPr>
          <w:rFonts w:eastAsia="Times New Roman" w:cs="Times New Roman"/>
          <w:b/>
          <w:bCs/>
          <w:color w:val="001871"/>
          <w:sz w:val="38"/>
          <w:szCs w:val="38"/>
        </w:rPr>
      </w:pPr>
      <w:bookmarkStart w:id="112" w:name="_Toc11250870"/>
      <w:r>
        <w:br w:type="page"/>
      </w:r>
    </w:p>
    <w:p w14:paraId="61AACF08" w14:textId="77777777" w:rsidR="00961733" w:rsidRPr="00E35186" w:rsidRDefault="00961733" w:rsidP="00961733">
      <w:pPr>
        <w:pStyle w:val="Heading2"/>
      </w:pPr>
      <w:bookmarkStart w:id="113" w:name="_Toc147929222"/>
      <w:bookmarkStart w:id="114" w:name="_Toc198723746"/>
      <w:r w:rsidRPr="00E35186">
        <w:lastRenderedPageBreak/>
        <w:t>Identifying what documentation is required</w:t>
      </w:r>
      <w:bookmarkEnd w:id="112"/>
      <w:bookmarkEnd w:id="113"/>
      <w:bookmarkEnd w:id="114"/>
    </w:p>
    <w:p w14:paraId="70D55912" w14:textId="1229D86D" w:rsidR="00961733" w:rsidRDefault="00961733" w:rsidP="00961733">
      <w:r>
        <w:t xml:space="preserve">The documentation required to support your </w:t>
      </w:r>
      <w:r w:rsidR="00B323DA">
        <w:t>GMP Clearance</w:t>
      </w:r>
      <w:r>
        <w:t xml:space="preserve"> application depends on the </w:t>
      </w:r>
      <w:hyperlink w:anchor="_How_GMP_clearance" w:history="1">
        <w:r w:rsidRPr="0040654D">
          <w:rPr>
            <w:rStyle w:val="Hyperlink"/>
          </w:rPr>
          <w:t>pathway</w:t>
        </w:r>
      </w:hyperlink>
      <w:r>
        <w:t xml:space="preserve"> you have identified and the type of manufacturer you are seeking </w:t>
      </w:r>
      <w:r w:rsidR="00B323DA">
        <w:t>GMP Clearance</w:t>
      </w:r>
      <w:r>
        <w:t xml:space="preserve"> for.</w:t>
      </w:r>
    </w:p>
    <w:p w14:paraId="43C6E859" w14:textId="77777777" w:rsidR="00961733" w:rsidRDefault="00961733" w:rsidP="00961733"/>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576E9348" w14:textId="77777777" w:rsidTr="0042350D">
        <w:tc>
          <w:tcPr>
            <w:tcW w:w="1276" w:type="dxa"/>
            <w:vAlign w:val="center"/>
          </w:tcPr>
          <w:p w14:paraId="40CC6BE2" w14:textId="77777777" w:rsidR="00961733" w:rsidRPr="00215D48" w:rsidRDefault="00961733" w:rsidP="0042350D">
            <w:r w:rsidRPr="00215D48">
              <w:rPr>
                <w:noProof/>
                <w:lang w:eastAsia="en-AU"/>
              </w:rPr>
              <w:drawing>
                <wp:inline distT="0" distB="0" distL="0" distR="0" wp14:anchorId="1F4499C0" wp14:editId="25CB29E0">
                  <wp:extent cx="487681" cy="487681"/>
                  <wp:effectExtent l="19050" t="0" r="7619" b="0"/>
                  <wp:docPr id="80" name="Picture 8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D5396DD" w14:textId="11B219AF" w:rsidR="00961733" w:rsidRDefault="00961733" w:rsidP="0042350D">
            <w:r w:rsidRPr="5AB8732C">
              <w:rPr>
                <w:b/>
                <w:bCs/>
              </w:rPr>
              <w:t>Important</w:t>
            </w:r>
            <w:r>
              <w:t xml:space="preserve"> - If you are unsure what evidence is required, please </w:t>
            </w:r>
            <w:r w:rsidRPr="5AB8732C">
              <w:rPr>
                <w:b/>
                <w:bCs/>
              </w:rPr>
              <w:t>use</w:t>
            </w:r>
            <w:r>
              <w:t xml:space="preserve"> the </w:t>
            </w:r>
            <w:hyperlink r:id="rId56" w:history="1">
              <w:r w:rsidR="00B323DA">
                <w:rPr>
                  <w:rStyle w:val="Hyperlink"/>
                </w:rPr>
                <w:t>GMP Clearance</w:t>
              </w:r>
              <w:r w:rsidRPr="008D2290">
                <w:rPr>
                  <w:rStyle w:val="Hyperlink"/>
                </w:rPr>
                <w:t xml:space="preserve"> Application Assistance Tool (CAAT)</w:t>
              </w:r>
            </w:hyperlink>
            <w:r>
              <w:t xml:space="preserve"> or </w:t>
            </w:r>
            <w:hyperlink r:id="rId57" w:anchor="contacts" w:history="1">
              <w:r w:rsidRPr="004670FC">
                <w:rPr>
                  <w:rStyle w:val="Hyperlink"/>
                </w:rPr>
                <w:t>contact us</w:t>
              </w:r>
            </w:hyperlink>
            <w:r>
              <w:t xml:space="preserve"> </w:t>
            </w:r>
            <w:r w:rsidRPr="5AB8732C">
              <w:rPr>
                <w:b/>
                <w:bCs/>
              </w:rPr>
              <w:t>before</w:t>
            </w:r>
            <w:r>
              <w:t xml:space="preserve"> submitting your application.</w:t>
            </w:r>
          </w:p>
          <w:p w14:paraId="0ACF8D5B" w14:textId="47D3BC95" w:rsidR="00961733" w:rsidRPr="00215D48" w:rsidRDefault="00961733" w:rsidP="0042350D">
            <w:r>
              <w:t xml:space="preserve">If your application scope is incorrect, or you do not submit the required or requested evidence, </w:t>
            </w:r>
            <w:r w:rsidRPr="229DEDC6">
              <w:rPr>
                <w:b/>
                <w:bCs/>
              </w:rPr>
              <w:t>you may not be issued</w:t>
            </w:r>
            <w:r>
              <w:t xml:space="preserve"> a </w:t>
            </w:r>
            <w:r w:rsidR="00B323DA">
              <w:t>GMP Clearance</w:t>
            </w:r>
            <w:r>
              <w:t xml:space="preserve"> and any fees you have paid </w:t>
            </w:r>
            <w:r w:rsidRPr="229DEDC6">
              <w:rPr>
                <w:b/>
                <w:bCs/>
              </w:rPr>
              <w:t>may be forfeited</w:t>
            </w:r>
            <w:r>
              <w:t>.</w:t>
            </w:r>
          </w:p>
        </w:tc>
      </w:tr>
    </w:tbl>
    <w:p w14:paraId="481505FA" w14:textId="77777777" w:rsidR="00961733" w:rsidRDefault="00961733" w:rsidP="00961733"/>
    <w:p w14:paraId="699312F9" w14:textId="2D7AD0B2" w:rsidR="00961733" w:rsidRPr="001505CC" w:rsidRDefault="00B323DA" w:rsidP="00961733">
      <w:r>
        <w:t>GMP Clearance</w:t>
      </w:r>
      <w:r w:rsidR="00961733" w:rsidRPr="001505CC">
        <w:t xml:space="preserve"> is usually issued for manufacturers of:</w:t>
      </w:r>
    </w:p>
    <w:p w14:paraId="4A4BBB6A" w14:textId="77777777" w:rsidR="00961733" w:rsidRPr="00D60E97" w:rsidRDefault="00961733" w:rsidP="00961733">
      <w:pPr>
        <w:pStyle w:val="ListBullet"/>
        <w:numPr>
          <w:ilvl w:val="0"/>
          <w:numId w:val="2"/>
        </w:numPr>
        <w:rPr>
          <w:color w:val="auto"/>
        </w:rPr>
      </w:pPr>
      <w:r w:rsidRPr="00D60E97">
        <w:rPr>
          <w:color w:val="auto"/>
        </w:rPr>
        <w:t>non-sterile APIs, for example:</w:t>
      </w:r>
    </w:p>
    <w:p w14:paraId="5661ACFF" w14:textId="77777777" w:rsidR="00961733" w:rsidRPr="00D60E97" w:rsidRDefault="00961733" w:rsidP="00961733">
      <w:pPr>
        <w:pStyle w:val="ListBullet2"/>
        <w:numPr>
          <w:ilvl w:val="1"/>
          <w:numId w:val="2"/>
        </w:numPr>
        <w:rPr>
          <w:color w:val="auto"/>
        </w:rPr>
      </w:pPr>
      <w:r w:rsidRPr="00D60E97">
        <w:rPr>
          <w:color w:val="auto"/>
        </w:rPr>
        <w:t>non-sterile APIs manufactured by chemical synthesis</w:t>
      </w:r>
    </w:p>
    <w:p w14:paraId="7C368428" w14:textId="77777777" w:rsidR="00961733" w:rsidRPr="00D60E97" w:rsidRDefault="00961733" w:rsidP="00961733">
      <w:pPr>
        <w:pStyle w:val="ListBullet2"/>
        <w:numPr>
          <w:ilvl w:val="1"/>
          <w:numId w:val="2"/>
        </w:numPr>
        <w:rPr>
          <w:color w:val="auto"/>
        </w:rPr>
      </w:pPr>
      <w:r w:rsidRPr="00D60E97">
        <w:rPr>
          <w:color w:val="auto"/>
        </w:rPr>
        <w:t>non-sterile APIs manufactured by ‘classical’ fermentation</w:t>
      </w:r>
    </w:p>
    <w:p w14:paraId="5278E459" w14:textId="77777777" w:rsidR="00961733" w:rsidRPr="00D60E97" w:rsidRDefault="00961733" w:rsidP="00961733">
      <w:pPr>
        <w:pStyle w:val="ListBullet"/>
        <w:numPr>
          <w:ilvl w:val="0"/>
          <w:numId w:val="2"/>
        </w:numPr>
        <w:rPr>
          <w:color w:val="auto"/>
        </w:rPr>
      </w:pPr>
      <w:r w:rsidRPr="00D60E97">
        <w:rPr>
          <w:color w:val="auto"/>
        </w:rPr>
        <w:t>non-sterile finished products, for example:</w:t>
      </w:r>
    </w:p>
    <w:p w14:paraId="02DD00E1" w14:textId="77777777" w:rsidR="00961733" w:rsidRPr="00D60E97" w:rsidRDefault="00961733" w:rsidP="00961733">
      <w:pPr>
        <w:pStyle w:val="ListBullet2"/>
        <w:numPr>
          <w:ilvl w:val="1"/>
          <w:numId w:val="2"/>
        </w:numPr>
        <w:rPr>
          <w:color w:val="auto"/>
        </w:rPr>
      </w:pPr>
      <w:r w:rsidRPr="00D60E97">
        <w:rPr>
          <w:color w:val="auto"/>
        </w:rPr>
        <w:t>tablets or oral liquids</w:t>
      </w:r>
    </w:p>
    <w:p w14:paraId="73776358" w14:textId="77777777" w:rsidR="00961733" w:rsidRPr="00D60E97" w:rsidRDefault="00961733" w:rsidP="00961733">
      <w:pPr>
        <w:pStyle w:val="ListBullet"/>
        <w:numPr>
          <w:ilvl w:val="0"/>
          <w:numId w:val="2"/>
        </w:numPr>
        <w:rPr>
          <w:color w:val="auto"/>
        </w:rPr>
      </w:pPr>
      <w:r w:rsidRPr="00D60E97">
        <w:rPr>
          <w:color w:val="auto"/>
        </w:rPr>
        <w:t>sterile or biotech APIs, for example:</w:t>
      </w:r>
    </w:p>
    <w:p w14:paraId="462B1C3C" w14:textId="77777777" w:rsidR="00961733" w:rsidRPr="00D60E97" w:rsidRDefault="00961733" w:rsidP="00961733">
      <w:pPr>
        <w:pStyle w:val="ListBullet2"/>
        <w:numPr>
          <w:ilvl w:val="1"/>
          <w:numId w:val="2"/>
        </w:numPr>
        <w:rPr>
          <w:color w:val="auto"/>
        </w:rPr>
      </w:pPr>
      <w:r w:rsidRPr="00D60E97">
        <w:rPr>
          <w:color w:val="auto"/>
        </w:rPr>
        <w:t>APIs manufactured by biotechnology fermentation/cell culture/cell banking activities</w:t>
      </w:r>
    </w:p>
    <w:p w14:paraId="7EE6FE8A" w14:textId="77777777" w:rsidR="00961733" w:rsidRPr="00D60E97" w:rsidRDefault="00961733" w:rsidP="00961733">
      <w:pPr>
        <w:pStyle w:val="ListBullet2"/>
        <w:numPr>
          <w:ilvl w:val="1"/>
          <w:numId w:val="2"/>
        </w:numPr>
        <w:rPr>
          <w:color w:val="auto"/>
        </w:rPr>
      </w:pPr>
      <w:r w:rsidRPr="00D60E97">
        <w:rPr>
          <w:color w:val="auto"/>
        </w:rPr>
        <w:t>APIs that are sterilised</w:t>
      </w:r>
    </w:p>
    <w:p w14:paraId="7EBFDEAD" w14:textId="77777777" w:rsidR="00961733" w:rsidRPr="00D60E97" w:rsidRDefault="00961733" w:rsidP="00961733">
      <w:pPr>
        <w:pStyle w:val="ListBullet"/>
        <w:numPr>
          <w:ilvl w:val="0"/>
          <w:numId w:val="2"/>
        </w:numPr>
        <w:rPr>
          <w:color w:val="auto"/>
        </w:rPr>
      </w:pPr>
      <w:r w:rsidRPr="00D60E97">
        <w:rPr>
          <w:color w:val="auto"/>
        </w:rPr>
        <w:t>sterile or biotech finished products, for example:</w:t>
      </w:r>
    </w:p>
    <w:p w14:paraId="21CE9E71" w14:textId="77777777" w:rsidR="00961733" w:rsidRPr="00D60E97" w:rsidRDefault="00961733" w:rsidP="00961733">
      <w:pPr>
        <w:pStyle w:val="ListBullet2"/>
        <w:numPr>
          <w:ilvl w:val="1"/>
          <w:numId w:val="2"/>
        </w:numPr>
        <w:rPr>
          <w:color w:val="auto"/>
        </w:rPr>
      </w:pPr>
      <w:r w:rsidRPr="00D60E97">
        <w:rPr>
          <w:color w:val="auto"/>
        </w:rPr>
        <w:t xml:space="preserve">injections or </w:t>
      </w:r>
      <w:proofErr w:type="spellStart"/>
      <w:r w:rsidRPr="00D60E97">
        <w:rPr>
          <w:color w:val="auto"/>
        </w:rPr>
        <w:t>lyophilisates</w:t>
      </w:r>
      <w:proofErr w:type="spellEnd"/>
    </w:p>
    <w:p w14:paraId="0EA117D1" w14:textId="77777777" w:rsidR="00961733" w:rsidRPr="00D60E97" w:rsidRDefault="00961733" w:rsidP="00961733">
      <w:pPr>
        <w:pStyle w:val="ListBullet2"/>
        <w:numPr>
          <w:ilvl w:val="1"/>
          <w:numId w:val="2"/>
        </w:numPr>
        <w:rPr>
          <w:color w:val="auto"/>
        </w:rPr>
      </w:pPr>
      <w:r w:rsidRPr="00D60E97">
        <w:rPr>
          <w:color w:val="auto"/>
        </w:rPr>
        <w:t>recombinant products</w:t>
      </w:r>
    </w:p>
    <w:p w14:paraId="551B5A55" w14:textId="77777777" w:rsidR="00961733" w:rsidRDefault="00961733" w:rsidP="00961733">
      <w:pPr>
        <w:pStyle w:val="ListBullet"/>
        <w:numPr>
          <w:ilvl w:val="0"/>
          <w:numId w:val="2"/>
        </w:numPr>
      </w:pPr>
      <w:r w:rsidRPr="00D60E97">
        <w:rPr>
          <w:color w:val="auto"/>
        </w:rPr>
        <w:t>contract testing laboratories or contract sterilisers</w:t>
      </w:r>
      <w:r>
        <w:t>.</w:t>
      </w:r>
    </w:p>
    <w:p w14:paraId="15654B91" w14:textId="77777777" w:rsidR="00961733" w:rsidRDefault="00961733" w:rsidP="00961733">
      <w:pPr>
        <w:pStyle w:val="ListBullet"/>
        <w:numPr>
          <w:ilvl w:val="0"/>
          <w:numId w:val="0"/>
        </w:numPr>
        <w:ind w:left="360"/>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3A7C07F4" w14:textId="77777777" w:rsidTr="0042350D">
        <w:tc>
          <w:tcPr>
            <w:tcW w:w="1276" w:type="dxa"/>
            <w:vAlign w:val="center"/>
          </w:tcPr>
          <w:p w14:paraId="6A10C799" w14:textId="77777777" w:rsidR="00961733" w:rsidRPr="00215D48" w:rsidRDefault="00961733" w:rsidP="0042350D">
            <w:r w:rsidRPr="00215D48">
              <w:rPr>
                <w:noProof/>
                <w:lang w:eastAsia="en-AU"/>
              </w:rPr>
              <w:drawing>
                <wp:inline distT="0" distB="0" distL="0" distR="0" wp14:anchorId="7E124904" wp14:editId="1E882C12">
                  <wp:extent cx="487681" cy="487681"/>
                  <wp:effectExtent l="19050" t="0" r="7619" b="0"/>
                  <wp:docPr id="81" name="Picture 8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0C63531" w14:textId="77777777" w:rsidR="00961733" w:rsidRDefault="00961733" w:rsidP="0042350D">
            <w:r>
              <w:t>Consider whether:</w:t>
            </w:r>
          </w:p>
          <w:p w14:paraId="6EF34EE5" w14:textId="639D0FBA" w:rsidR="00961733" w:rsidRPr="00D60E97" w:rsidRDefault="00961733" w:rsidP="00961733">
            <w:pPr>
              <w:pStyle w:val="ListBullet"/>
              <w:numPr>
                <w:ilvl w:val="0"/>
                <w:numId w:val="2"/>
              </w:numPr>
              <w:rPr>
                <w:color w:val="auto"/>
              </w:rPr>
            </w:pPr>
            <w:r w:rsidRPr="00D60E97">
              <w:rPr>
                <w:color w:val="auto"/>
              </w:rPr>
              <w:t xml:space="preserve">the substance or product in your </w:t>
            </w:r>
            <w:r w:rsidR="00B323DA">
              <w:rPr>
                <w:color w:val="auto"/>
              </w:rPr>
              <w:t>GMP Clearance</w:t>
            </w:r>
            <w:r w:rsidRPr="00D60E97">
              <w:rPr>
                <w:color w:val="auto"/>
              </w:rPr>
              <w:t xml:space="preserve"> application is for the purpose of registering a biological medicine</w:t>
            </w:r>
          </w:p>
          <w:p w14:paraId="0726ACF1" w14:textId="77777777" w:rsidR="00961733" w:rsidRPr="00D60E97" w:rsidRDefault="00961733" w:rsidP="00961733">
            <w:pPr>
              <w:pStyle w:val="ListBullet"/>
              <w:numPr>
                <w:ilvl w:val="0"/>
                <w:numId w:val="2"/>
              </w:numPr>
              <w:rPr>
                <w:color w:val="auto"/>
              </w:rPr>
            </w:pPr>
            <w:r w:rsidRPr="00D60E97">
              <w:rPr>
                <w:color w:val="auto"/>
              </w:rPr>
              <w:t xml:space="preserve">the processes used to manufacture your product </w:t>
            </w:r>
            <w:proofErr w:type="gramStart"/>
            <w:r w:rsidRPr="00D60E97">
              <w:rPr>
                <w:color w:val="auto"/>
              </w:rPr>
              <w:t>are considered to be</w:t>
            </w:r>
            <w:proofErr w:type="gramEnd"/>
            <w:r w:rsidRPr="00D60E97">
              <w:rPr>
                <w:color w:val="auto"/>
              </w:rPr>
              <w:t xml:space="preserve"> biotechnology processes</w:t>
            </w:r>
          </w:p>
          <w:p w14:paraId="71C555DE" w14:textId="64BDD065" w:rsidR="00961733" w:rsidRPr="00215D48" w:rsidRDefault="00961733" w:rsidP="0042350D">
            <w:r>
              <w:t xml:space="preserve">This could impact your </w:t>
            </w:r>
            <w:r w:rsidR="00B323DA">
              <w:t>GMP Clearance</w:t>
            </w:r>
            <w:r>
              <w:t xml:space="preserve"> processing </w:t>
            </w:r>
            <w:proofErr w:type="gramStart"/>
            <w:r>
              <w:t>times</w:t>
            </w:r>
            <w:proofErr w:type="gramEnd"/>
            <w:r>
              <w:t xml:space="preserve"> and the documentation required to be submitted.</w:t>
            </w:r>
          </w:p>
        </w:tc>
      </w:tr>
    </w:tbl>
    <w:p w14:paraId="434A0178" w14:textId="77777777" w:rsidR="00961733" w:rsidRDefault="00961733" w:rsidP="00961733">
      <w:pPr>
        <w:rPr>
          <w:rFonts w:eastAsia="Times New Roman" w:cs="Times New Roman"/>
          <w:b/>
          <w:bCs/>
          <w:color w:val="001871"/>
          <w:sz w:val="32"/>
          <w:szCs w:val="32"/>
        </w:rPr>
      </w:pPr>
      <w:r>
        <w:br w:type="page"/>
      </w:r>
    </w:p>
    <w:p w14:paraId="09272CAB" w14:textId="77777777" w:rsidR="00961733" w:rsidRPr="00E35186" w:rsidRDefault="00961733" w:rsidP="00961733">
      <w:pPr>
        <w:pStyle w:val="Heading3"/>
      </w:pPr>
      <w:bookmarkStart w:id="115" w:name="_Toc147929223"/>
      <w:bookmarkStart w:id="116" w:name="_Toc198723747"/>
      <w:r w:rsidRPr="00E35186">
        <w:lastRenderedPageBreak/>
        <w:t>General documentary requirements</w:t>
      </w:r>
      <w:bookmarkEnd w:id="115"/>
      <w:bookmarkEnd w:id="116"/>
    </w:p>
    <w:p w14:paraId="3EE947F4" w14:textId="08FB3BAF" w:rsidR="00961733" w:rsidRDefault="00961733" w:rsidP="00961733">
      <w:r w:rsidRPr="002379A6">
        <w:rPr>
          <w:b/>
        </w:rPr>
        <w:t>Any</w:t>
      </w:r>
      <w:r>
        <w:t xml:space="preserve"> document you provide as evidence in support of a </w:t>
      </w:r>
      <w:r w:rsidR="00B323DA">
        <w:t>GMP Clearance</w:t>
      </w:r>
      <w:r>
        <w:t xml:space="preserve"> application must be:</w:t>
      </w:r>
    </w:p>
    <w:p w14:paraId="167A3F73" w14:textId="77777777" w:rsidR="00961733" w:rsidRPr="00D60E97" w:rsidRDefault="00961733" w:rsidP="00961733">
      <w:pPr>
        <w:pStyle w:val="ListBullet"/>
        <w:numPr>
          <w:ilvl w:val="0"/>
          <w:numId w:val="2"/>
        </w:numPr>
        <w:rPr>
          <w:color w:val="auto"/>
        </w:rPr>
      </w:pPr>
      <w:r w:rsidRPr="00D60E97">
        <w:rPr>
          <w:color w:val="auto"/>
        </w:rPr>
        <w:t>an accurate and complete copy of the original document. As the applicant, you are responsible for the authenticity of documents supplied. Heavily redacted or altered documents will not be accepted</w:t>
      </w:r>
    </w:p>
    <w:p w14:paraId="6AE0D027" w14:textId="77777777" w:rsidR="00961733" w:rsidRPr="00D60E97" w:rsidRDefault="00961733" w:rsidP="00961733">
      <w:pPr>
        <w:pStyle w:val="ListBullet"/>
        <w:numPr>
          <w:ilvl w:val="0"/>
          <w:numId w:val="2"/>
        </w:numPr>
        <w:rPr>
          <w:color w:val="auto"/>
        </w:rPr>
      </w:pPr>
      <w:r w:rsidRPr="00D60E97">
        <w:rPr>
          <w:color w:val="auto"/>
        </w:rPr>
        <w:t xml:space="preserve">in English, or accompanied by an English translation by an </w:t>
      </w:r>
      <w:r w:rsidRPr="00D60E97">
        <w:rPr>
          <w:b/>
          <w:bCs/>
          <w:color w:val="auto"/>
        </w:rPr>
        <w:t>independent certified translator</w:t>
      </w:r>
      <w:r w:rsidRPr="00D60E97">
        <w:rPr>
          <w:color w:val="auto"/>
        </w:rPr>
        <w:t xml:space="preserve"> that states it is a true and accurate translation of the original</w:t>
      </w:r>
    </w:p>
    <w:p w14:paraId="4D9E5CE8" w14:textId="77777777" w:rsidR="00961733" w:rsidRPr="00D60E97" w:rsidRDefault="00961733" w:rsidP="00961733">
      <w:pPr>
        <w:pStyle w:val="ListBullet"/>
        <w:numPr>
          <w:ilvl w:val="0"/>
          <w:numId w:val="2"/>
        </w:numPr>
        <w:rPr>
          <w:color w:val="auto"/>
        </w:rPr>
      </w:pPr>
      <w:r w:rsidRPr="00D60E97">
        <w:rPr>
          <w:color w:val="auto"/>
        </w:rPr>
        <w:t xml:space="preserve">the most recent and effective version of that document. </w:t>
      </w:r>
      <w:proofErr w:type="gramStart"/>
      <w:r w:rsidRPr="00D60E97">
        <w:rPr>
          <w:color w:val="auto"/>
        </w:rPr>
        <w:t>Draft,</w:t>
      </w:r>
      <w:proofErr w:type="gramEnd"/>
      <w:r w:rsidRPr="00D60E97">
        <w:rPr>
          <w:color w:val="auto"/>
        </w:rPr>
        <w:t xml:space="preserve"> expired or superseded documents are not acceptable.</w:t>
      </w:r>
    </w:p>
    <w:p w14:paraId="4F5F0A1F" w14:textId="77777777" w:rsidR="00961733" w:rsidRDefault="00961733" w:rsidP="00961733">
      <w:r>
        <w:t>Additionally, to avoid unnecessary delays, any ambiguity or discrepancies in the documentation provided or any mandatory evidence that is not supplied must be clarified via a cover letter submitted with the application.</w:t>
      </w:r>
    </w:p>
    <w:p w14:paraId="0C1418F0" w14:textId="77777777" w:rsidR="00961733" w:rsidRDefault="00961733" w:rsidP="00961733"/>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63D917C7" w14:textId="77777777" w:rsidTr="0042350D">
        <w:tc>
          <w:tcPr>
            <w:tcW w:w="1276" w:type="dxa"/>
            <w:vAlign w:val="center"/>
          </w:tcPr>
          <w:p w14:paraId="7A0D6236" w14:textId="77777777" w:rsidR="00961733" w:rsidRPr="00215D48" w:rsidRDefault="00961733" w:rsidP="0042350D">
            <w:r w:rsidRPr="00215D48">
              <w:rPr>
                <w:noProof/>
                <w:lang w:eastAsia="en-AU"/>
              </w:rPr>
              <w:drawing>
                <wp:inline distT="0" distB="0" distL="0" distR="0" wp14:anchorId="690F6DB4" wp14:editId="0FF070F4">
                  <wp:extent cx="487681" cy="487681"/>
                  <wp:effectExtent l="19050" t="0" r="7619" b="0"/>
                  <wp:docPr id="64" name="Picture 6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E7DA634" w14:textId="6ABC9F43" w:rsidR="00961733" w:rsidRDefault="00961733" w:rsidP="0042350D">
            <w:r>
              <w:t xml:space="preserve">We may request certified copies of submitted documents </w:t>
            </w:r>
            <w:r w:rsidRPr="007E0A44">
              <w:rPr>
                <w:b/>
              </w:rPr>
              <w:t>at any time</w:t>
            </w:r>
            <w:r>
              <w:t xml:space="preserve"> during the </w:t>
            </w:r>
            <w:r w:rsidR="00B323DA">
              <w:t>GMP Clearance</w:t>
            </w:r>
            <w:r>
              <w:t xml:space="preserve"> </w:t>
            </w:r>
            <w:r w:rsidR="000C3F2A">
              <w:t>evaluation</w:t>
            </w:r>
            <w:r>
              <w:t xml:space="preserve"> process.</w:t>
            </w:r>
          </w:p>
          <w:p w14:paraId="655E0B01" w14:textId="77777777" w:rsidR="00961733" w:rsidRPr="00215D48" w:rsidRDefault="00961733" w:rsidP="0042350D">
            <w:r>
              <w:t xml:space="preserve">If </w:t>
            </w:r>
            <w:r w:rsidRPr="007E0A44">
              <w:rPr>
                <w:b/>
              </w:rPr>
              <w:t>any</w:t>
            </w:r>
            <w:r>
              <w:t xml:space="preserve"> evidence is to be provided directly by the manufacturer, it is the </w:t>
            </w:r>
            <w:hyperlink r:id="rId58" w:history="1">
              <w:r w:rsidRPr="007E0A44">
                <w:rPr>
                  <w:rStyle w:val="Hyperlink"/>
                </w:rPr>
                <w:t>Australian sponsor’s responsibility</w:t>
              </w:r>
            </w:hyperlink>
            <w:r>
              <w:t xml:space="preserve"> to ensure that they meet the requirements of that evidence as detailed below.</w:t>
            </w:r>
          </w:p>
        </w:tc>
      </w:tr>
    </w:tbl>
    <w:p w14:paraId="2EA999D3" w14:textId="77777777" w:rsidR="00E42F7A" w:rsidRDefault="00E42F7A" w:rsidP="0090279C">
      <w:bookmarkStart w:id="117" w:name="_Toc147929224"/>
    </w:p>
    <w:p w14:paraId="1360B605" w14:textId="4FF8B836" w:rsidR="00E42F7A" w:rsidRDefault="00E42F7A" w:rsidP="00B54193">
      <w:r>
        <w:br w:type="page"/>
      </w:r>
    </w:p>
    <w:p w14:paraId="1A721525" w14:textId="3B7F07F3" w:rsidR="00961733" w:rsidRPr="00E35186" w:rsidRDefault="00961733" w:rsidP="00961733">
      <w:pPr>
        <w:pStyle w:val="Heading3"/>
      </w:pPr>
      <w:bookmarkStart w:id="118" w:name="_Toc198723748"/>
      <w:r w:rsidRPr="00E35186">
        <w:lastRenderedPageBreak/>
        <w:t>MRA pathway documentation</w:t>
      </w:r>
      <w:bookmarkEnd w:id="117"/>
      <w:bookmarkEnd w:id="118"/>
    </w:p>
    <w:tbl>
      <w:tblPr>
        <w:tblStyle w:val="TableTGAblue"/>
        <w:tblpPr w:leftFromText="180" w:rightFromText="180" w:vertAnchor="text" w:horzAnchor="margin" w:tblpY="765"/>
        <w:tblW w:w="9324" w:type="dxa"/>
        <w:tblLook w:val="04A0" w:firstRow="1" w:lastRow="0" w:firstColumn="1" w:lastColumn="0" w:noHBand="0" w:noVBand="1"/>
      </w:tblPr>
      <w:tblGrid>
        <w:gridCol w:w="1833"/>
        <w:gridCol w:w="1490"/>
        <w:gridCol w:w="1501"/>
        <w:gridCol w:w="1495"/>
        <w:gridCol w:w="1501"/>
        <w:gridCol w:w="1504"/>
      </w:tblGrid>
      <w:tr w:rsidR="00961733" w:rsidRPr="00431048" w14:paraId="0CF191D2" w14:textId="77777777" w:rsidTr="00423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vAlign w:val="center"/>
          </w:tcPr>
          <w:p w14:paraId="25A1FCD7" w14:textId="77777777" w:rsidR="00961733" w:rsidRPr="006A01A6" w:rsidRDefault="00961733" w:rsidP="0042350D">
            <w:pPr>
              <w:rPr>
                <w:rFonts w:asciiTheme="majorHAnsi" w:hAnsiTheme="majorHAnsi" w:cstheme="majorHAnsi"/>
                <w:szCs w:val="22"/>
              </w:rPr>
            </w:pPr>
            <w:r w:rsidRPr="006A01A6">
              <w:rPr>
                <w:rFonts w:asciiTheme="majorHAnsi" w:hAnsiTheme="majorHAnsi" w:cstheme="majorHAnsi"/>
                <w:szCs w:val="22"/>
              </w:rPr>
              <w:t>MRA pathway</w:t>
            </w:r>
          </w:p>
        </w:tc>
        <w:tc>
          <w:tcPr>
            <w:tcW w:w="1490" w:type="dxa"/>
            <w:vAlign w:val="center"/>
          </w:tcPr>
          <w:p w14:paraId="526D9A1F" w14:textId="77777777" w:rsidR="00961733" w:rsidRPr="006A01A6"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6A01A6">
              <w:rPr>
                <w:rFonts w:asciiTheme="majorHAnsi" w:hAnsiTheme="majorHAnsi" w:cstheme="majorHAnsi"/>
                <w:szCs w:val="22"/>
              </w:rPr>
              <w:t>Non-Sterile API</w:t>
            </w:r>
          </w:p>
        </w:tc>
        <w:tc>
          <w:tcPr>
            <w:tcW w:w="1501" w:type="dxa"/>
            <w:vAlign w:val="center"/>
          </w:tcPr>
          <w:p w14:paraId="51BE852E" w14:textId="77777777" w:rsidR="00961733" w:rsidRPr="006A01A6"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6A01A6">
              <w:rPr>
                <w:rFonts w:asciiTheme="majorHAnsi" w:hAnsiTheme="majorHAnsi" w:cstheme="majorHAnsi"/>
                <w:szCs w:val="22"/>
              </w:rPr>
              <w:t>Non-Sterile Finished Product</w:t>
            </w:r>
          </w:p>
        </w:tc>
        <w:tc>
          <w:tcPr>
            <w:tcW w:w="1495" w:type="dxa"/>
            <w:vAlign w:val="center"/>
          </w:tcPr>
          <w:p w14:paraId="15082176" w14:textId="77777777" w:rsidR="00961733" w:rsidRPr="006A01A6"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6A01A6">
              <w:rPr>
                <w:rFonts w:asciiTheme="majorHAnsi" w:hAnsiTheme="majorHAnsi" w:cstheme="majorHAnsi"/>
                <w:szCs w:val="22"/>
              </w:rPr>
              <w:t>Sterile or Biotech API</w:t>
            </w:r>
          </w:p>
        </w:tc>
        <w:tc>
          <w:tcPr>
            <w:tcW w:w="1501" w:type="dxa"/>
            <w:vAlign w:val="center"/>
          </w:tcPr>
          <w:p w14:paraId="73F866FC" w14:textId="77777777" w:rsidR="00961733" w:rsidRPr="006A01A6"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6A01A6">
              <w:rPr>
                <w:rFonts w:asciiTheme="majorHAnsi" w:hAnsiTheme="majorHAnsi" w:cstheme="majorHAnsi"/>
                <w:szCs w:val="22"/>
              </w:rPr>
              <w:t>Sterile or Biotech Finished Product</w:t>
            </w:r>
          </w:p>
        </w:tc>
        <w:tc>
          <w:tcPr>
            <w:tcW w:w="1504" w:type="dxa"/>
            <w:vAlign w:val="center"/>
          </w:tcPr>
          <w:p w14:paraId="1B93B774" w14:textId="77777777" w:rsidR="00961733" w:rsidRPr="006A01A6"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6A01A6">
              <w:rPr>
                <w:rFonts w:asciiTheme="majorHAnsi" w:hAnsiTheme="majorHAnsi" w:cstheme="majorHAnsi"/>
                <w:szCs w:val="22"/>
              </w:rPr>
              <w:t>Contract Testing Lab or Steriliser</w:t>
            </w:r>
          </w:p>
        </w:tc>
      </w:tr>
      <w:tr w:rsidR="00961733" w:rsidRPr="00BC6EAF" w14:paraId="43625AE1"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1833" w:type="dxa"/>
            <w:vAlign w:val="center"/>
          </w:tcPr>
          <w:p w14:paraId="2A73CD01" w14:textId="18B1675A" w:rsidR="00961733" w:rsidRPr="006A01A6" w:rsidRDefault="00456410" w:rsidP="0042350D">
            <w:pPr>
              <w:rPr>
                <w:rFonts w:asciiTheme="majorHAnsi" w:hAnsiTheme="majorHAnsi" w:cstheme="majorHAnsi"/>
                <w:sz w:val="18"/>
                <w:szCs w:val="18"/>
              </w:rPr>
            </w:pPr>
            <w:r w:rsidRPr="0077509B">
              <w:rPr>
                <w:rStyle w:val="Hyperlink"/>
                <w:rFonts w:asciiTheme="majorHAnsi" w:hAnsiTheme="majorHAnsi" w:cstheme="majorHAnsi"/>
                <w:sz w:val="18"/>
                <w:szCs w:val="18"/>
              </w:rPr>
              <w:t xml:space="preserve">MRA </w:t>
            </w:r>
            <w:hyperlink w:anchor="_GMP_certificates_1" w:history="1">
              <w:r w:rsidR="00961733" w:rsidRPr="006A01A6">
                <w:rPr>
                  <w:rStyle w:val="Hyperlink"/>
                  <w:rFonts w:asciiTheme="majorHAnsi" w:hAnsiTheme="majorHAnsi" w:cstheme="majorHAnsi"/>
                  <w:sz w:val="18"/>
                  <w:szCs w:val="18"/>
                </w:rPr>
                <w:t>GMP Certificate</w:t>
              </w:r>
            </w:hyperlink>
          </w:p>
        </w:tc>
        <w:tc>
          <w:tcPr>
            <w:tcW w:w="1490" w:type="dxa"/>
            <w:vAlign w:val="center"/>
          </w:tcPr>
          <w:p w14:paraId="378C5D2E" w14:textId="77777777" w:rsidR="00961733" w:rsidRPr="00431048"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629FCF6" wp14:editId="63DA254F">
                  <wp:extent cx="206735" cy="155051"/>
                  <wp:effectExtent l="0" t="0" r="3175" b="0"/>
                  <wp:docPr id="131" name="Picture 13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01" w:type="dxa"/>
            <w:vAlign w:val="center"/>
          </w:tcPr>
          <w:p w14:paraId="1EDF81EF" w14:textId="77777777" w:rsidR="00961733" w:rsidRPr="00431048"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2D62D87" wp14:editId="2D9D681D">
                  <wp:extent cx="206735" cy="155051"/>
                  <wp:effectExtent l="0" t="0" r="3175" b="0"/>
                  <wp:docPr id="82" name="Picture 82"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495" w:type="dxa"/>
            <w:vAlign w:val="center"/>
          </w:tcPr>
          <w:p w14:paraId="7F886797" w14:textId="77777777" w:rsidR="00961733" w:rsidRPr="00431048"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AAFF2BC" wp14:editId="1AFFD3BE">
                  <wp:extent cx="206735" cy="155051"/>
                  <wp:effectExtent l="0" t="0" r="3175" b="0"/>
                  <wp:docPr id="83" name="Picture 8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01" w:type="dxa"/>
            <w:vAlign w:val="center"/>
          </w:tcPr>
          <w:p w14:paraId="2EFB0DC8" w14:textId="77777777" w:rsidR="00961733" w:rsidRPr="00431048"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636AD166" wp14:editId="13F02ACC">
                  <wp:extent cx="206735" cy="155051"/>
                  <wp:effectExtent l="0" t="0" r="3175" b="0"/>
                  <wp:docPr id="84" name="Picture 84"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04" w:type="dxa"/>
            <w:vAlign w:val="center"/>
          </w:tcPr>
          <w:p w14:paraId="704C8A4B" w14:textId="77777777" w:rsidR="00961733" w:rsidRPr="00431048"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7FA6876F" wp14:editId="32A6976C">
                  <wp:extent cx="206735" cy="155051"/>
                  <wp:effectExtent l="0" t="0" r="3175" b="0"/>
                  <wp:docPr id="85" name="Picture 85"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bl>
    <w:p w14:paraId="2F45387D" w14:textId="77777777" w:rsidR="00961733" w:rsidRDefault="00961733" w:rsidP="00961733">
      <w:r>
        <w:t>If you are using the MRA pathway, the following documentation needs to be provided as evidence for each manufacturer type. Select the evidence in the table to see further information on the requirements.</w:t>
      </w:r>
    </w:p>
    <w:p w14:paraId="0D94E995" w14:textId="77777777" w:rsidR="00961733" w:rsidRPr="00B568C3" w:rsidRDefault="00961733" w:rsidP="00961733">
      <w:pPr>
        <w:tabs>
          <w:tab w:val="left" w:pos="2127"/>
          <w:tab w:val="left" w:pos="4253"/>
        </w:tabs>
      </w:pPr>
      <w:r w:rsidRPr="00B568C3">
        <w:rPr>
          <w:noProof/>
        </w:rPr>
        <w:drawing>
          <wp:inline distT="0" distB="0" distL="0" distR="0" wp14:anchorId="3C0BEBDE" wp14:editId="23A8105E">
            <wp:extent cx="190500" cy="152400"/>
            <wp:effectExtent l="0" t="0" r="0" b="0"/>
            <wp:docPr id="69" name="Picture 69"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Requi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B568C3">
        <w:t xml:space="preserve"> = Required</w:t>
      </w:r>
      <w:r w:rsidRPr="00B568C3">
        <w:tab/>
      </w:r>
      <w:r w:rsidRPr="00B568C3">
        <w:rPr>
          <w:noProof/>
          <w:lang w:eastAsia="en-AU"/>
        </w:rPr>
        <w:drawing>
          <wp:inline distT="0" distB="0" distL="0" distR="0" wp14:anchorId="1854AB6C" wp14:editId="03411D10">
            <wp:extent cx="214685" cy="169959"/>
            <wp:effectExtent l="0" t="0" r="0" b="1905"/>
            <wp:docPr id="71" name="Picture 71"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r w:rsidRPr="00B568C3">
        <w:t xml:space="preserve"> = Not Required</w:t>
      </w:r>
      <w:r w:rsidRPr="00B568C3">
        <w:tab/>
      </w:r>
      <w:r w:rsidRPr="00B568C3">
        <w:rPr>
          <w:noProof/>
          <w:lang w:eastAsia="en-AU"/>
        </w:rPr>
        <w:drawing>
          <wp:inline distT="0" distB="0" distL="0" distR="0" wp14:anchorId="7404A595" wp14:editId="71513CDD">
            <wp:extent cx="238540" cy="202240"/>
            <wp:effectExtent l="0" t="0" r="9525" b="7620"/>
            <wp:docPr id="72" name="Picture 72"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r w:rsidRPr="00B568C3">
        <w:t xml:space="preserve"> = Not required unless requested</w:t>
      </w:r>
    </w:p>
    <w:p w14:paraId="356CA5B6" w14:textId="77777777" w:rsidR="00EC43AA" w:rsidRPr="00B77504" w:rsidRDefault="00EC43AA" w:rsidP="00961733">
      <w:pPr>
        <w:tabs>
          <w:tab w:val="left" w:pos="2127"/>
          <w:tab w:val="left" w:pos="4253"/>
        </w:tabs>
        <w:rPr>
          <w:sz w:val="18"/>
          <w:szCs w:val="18"/>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7463CAD6" w14:textId="77777777" w:rsidTr="0042350D">
        <w:tc>
          <w:tcPr>
            <w:tcW w:w="1276" w:type="dxa"/>
            <w:vAlign w:val="center"/>
          </w:tcPr>
          <w:p w14:paraId="24D1A843" w14:textId="77777777" w:rsidR="00961733" w:rsidRPr="00215D48" w:rsidRDefault="00961733" w:rsidP="0042350D">
            <w:r w:rsidRPr="00215D48">
              <w:rPr>
                <w:noProof/>
                <w:lang w:eastAsia="en-AU"/>
              </w:rPr>
              <w:drawing>
                <wp:inline distT="0" distB="0" distL="0" distR="0" wp14:anchorId="5498E53E" wp14:editId="089F5837">
                  <wp:extent cx="487681" cy="487681"/>
                  <wp:effectExtent l="19050" t="0" r="7619" b="0"/>
                  <wp:docPr id="122" name="Picture 122"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A30CF7C" w14:textId="08A586C0" w:rsidR="00961733" w:rsidRDefault="005608EC" w:rsidP="0042350D">
            <w:r w:rsidRPr="005608EC">
              <w:t>Other types of evidence</w:t>
            </w:r>
            <w:r w:rsidR="00961733" w:rsidRPr="00AF5FCC">
              <w:t xml:space="preserve"> </w:t>
            </w:r>
            <w:r w:rsidR="00961733">
              <w:t xml:space="preserve">that are not listed in the tables above may be provided as an alternative to, or to supplement the required evidence. For example, a </w:t>
            </w:r>
            <w:hyperlink w:anchor="_Letters_of_access_1" w:history="1">
              <w:r w:rsidR="00961733" w:rsidRPr="00AF5FCC">
                <w:rPr>
                  <w:rStyle w:val="Hyperlink"/>
                </w:rPr>
                <w:t>Letter of Access (</w:t>
              </w:r>
              <w:proofErr w:type="spellStart"/>
              <w:r w:rsidR="00961733" w:rsidRPr="00AF5FCC">
                <w:rPr>
                  <w:rStyle w:val="Hyperlink"/>
                </w:rPr>
                <w:t>LoA</w:t>
              </w:r>
              <w:proofErr w:type="spellEnd"/>
              <w:r w:rsidR="00961733" w:rsidRPr="00AF5FCC">
                <w:rPr>
                  <w:rStyle w:val="Hyperlink"/>
                </w:rPr>
                <w:t>)</w:t>
              </w:r>
            </w:hyperlink>
            <w:r w:rsidR="00961733">
              <w:t xml:space="preserve">, an </w:t>
            </w:r>
            <w:hyperlink w:anchor="_API_declaration" w:history="1">
              <w:r w:rsidR="00961733" w:rsidRPr="003505F3">
                <w:rPr>
                  <w:rStyle w:val="Hyperlink"/>
                </w:rPr>
                <w:t>API declaration</w:t>
              </w:r>
            </w:hyperlink>
            <w:r w:rsidR="00961733" w:rsidRPr="003505F3">
              <w:t xml:space="preserve"> or a </w:t>
            </w:r>
            <w:hyperlink w:anchor="_Complementary_medicine_declaration" w:history="1">
              <w:r>
                <w:rPr>
                  <w:rStyle w:val="Hyperlink"/>
                </w:rPr>
                <w:t>complementary</w:t>
              </w:r>
              <w:r w:rsidRPr="003505F3">
                <w:rPr>
                  <w:rStyle w:val="Hyperlink"/>
                </w:rPr>
                <w:t xml:space="preserve"> medicine declaration</w:t>
              </w:r>
            </w:hyperlink>
            <w:r w:rsidR="00961733">
              <w:t>.</w:t>
            </w:r>
          </w:p>
          <w:p w14:paraId="5D9483EA" w14:textId="77777777" w:rsidR="00961733" w:rsidRDefault="00961733" w:rsidP="0042350D">
            <w:r>
              <w:t xml:space="preserve">To avoid unnecessary delays with your application, these must be provided upfront when lodging an application. </w:t>
            </w:r>
          </w:p>
          <w:p w14:paraId="259586DE" w14:textId="6136B26B" w:rsidR="00961733" w:rsidRPr="00215D48" w:rsidRDefault="00961733" w:rsidP="0042350D">
            <w:r w:rsidRPr="0026029B">
              <w:rPr>
                <w:b/>
              </w:rPr>
              <w:t>Important</w:t>
            </w:r>
            <w:r>
              <w:t xml:space="preserve"> – We may request </w:t>
            </w:r>
            <w:r w:rsidRPr="0026029B">
              <w:rPr>
                <w:b/>
              </w:rPr>
              <w:t>any additional documentation</w:t>
            </w:r>
            <w:r>
              <w:t xml:space="preserve"> or clarification during the </w:t>
            </w:r>
            <w:r w:rsidR="00B323DA">
              <w:t>GMP Clearance</w:t>
            </w:r>
            <w:r>
              <w:t xml:space="preserve"> </w:t>
            </w:r>
            <w:r w:rsidR="000C3F2A">
              <w:t>evaluation</w:t>
            </w:r>
            <w:r>
              <w:t xml:space="preserve"> process.</w:t>
            </w:r>
          </w:p>
        </w:tc>
      </w:tr>
    </w:tbl>
    <w:p w14:paraId="33696BEE" w14:textId="6C75C95B" w:rsidR="00961733" w:rsidRPr="00E35186" w:rsidRDefault="00CC4FFA" w:rsidP="00961733">
      <w:pPr>
        <w:pStyle w:val="Heading3"/>
      </w:pPr>
      <w:bookmarkStart w:id="119" w:name="_GMP_certificates_1"/>
      <w:bookmarkStart w:id="120" w:name="_MRA_GMP_certificates"/>
      <w:bookmarkStart w:id="121" w:name="_Toc147929225"/>
      <w:bookmarkStart w:id="122" w:name="_Toc198723749"/>
      <w:bookmarkEnd w:id="119"/>
      <w:bookmarkEnd w:id="120"/>
      <w:r>
        <w:t xml:space="preserve">MRA </w:t>
      </w:r>
      <w:r w:rsidR="00961733" w:rsidRPr="00E35186">
        <w:t>GMP certificates</w:t>
      </w:r>
      <w:bookmarkEnd w:id="121"/>
      <w:sdt>
        <w:sdtPr>
          <w:id w:val="1490130634"/>
          <w:docPartObj>
            <w:docPartGallery w:val="Watermarks"/>
          </w:docPartObj>
        </w:sdtPr>
        <w:sdtEndPr/>
        <w:sdtContent/>
      </w:sdt>
      <w:bookmarkEnd w:id="122"/>
    </w:p>
    <w:p w14:paraId="6E5E4A6C" w14:textId="77777777" w:rsidR="00961733" w:rsidRPr="00E35186" w:rsidRDefault="00961733" w:rsidP="00961733">
      <w:pPr>
        <w:pStyle w:val="Heading4"/>
        <w:rPr>
          <w:rFonts w:cs="Arial"/>
        </w:rPr>
      </w:pPr>
      <w:bookmarkStart w:id="123" w:name="_Toc147929226"/>
      <w:bookmarkStart w:id="124" w:name="_Toc198723750"/>
      <w:r w:rsidRPr="00E35186">
        <w:rPr>
          <w:rFonts w:cs="Arial"/>
        </w:rPr>
        <w:t>Why we require it</w:t>
      </w:r>
      <w:bookmarkEnd w:id="123"/>
      <w:bookmarkEnd w:id="124"/>
    </w:p>
    <w:p w14:paraId="3259FD95" w14:textId="36C93F0E" w:rsidR="00961733" w:rsidRDefault="00961733" w:rsidP="00961733">
      <w:pPr>
        <w:keepNext/>
      </w:pPr>
      <w:r>
        <w:t xml:space="preserve">A GMP certificate from a </w:t>
      </w:r>
      <w:hyperlink r:id="rId59" w:history="1">
        <w:r w:rsidRPr="00014748">
          <w:rPr>
            <w:rStyle w:val="Hyperlink"/>
          </w:rPr>
          <w:t>recognised regulatory authority</w:t>
        </w:r>
      </w:hyperlink>
      <w:r>
        <w:t>, issued after</w:t>
      </w:r>
      <w:r w:rsidR="002F36F6">
        <w:t xml:space="preserve"> an on</w:t>
      </w:r>
      <w:r w:rsidR="00C010CD">
        <w:t>-</w:t>
      </w:r>
      <w:r w:rsidR="002F36F6">
        <w:t xml:space="preserve">site, hybrid or remote </w:t>
      </w:r>
      <w:r>
        <w:t>inspection was performed, is required because it demonstrates the manufacturer’s compliance with the applicable GMP standard</w:t>
      </w:r>
      <w:r w:rsidR="002F36F6">
        <w:t xml:space="preserve"> in the MRA country</w:t>
      </w:r>
      <w:r>
        <w:t>.</w:t>
      </w:r>
    </w:p>
    <w:p w14:paraId="416209C8" w14:textId="77777777" w:rsidR="00961733" w:rsidRPr="00E35186" w:rsidRDefault="00961733" w:rsidP="00961733">
      <w:pPr>
        <w:pStyle w:val="Heading4"/>
        <w:rPr>
          <w:rFonts w:cs="Arial"/>
        </w:rPr>
      </w:pPr>
      <w:bookmarkStart w:id="125" w:name="_Toc147929227"/>
      <w:bookmarkStart w:id="126" w:name="_Toc198723751"/>
      <w:r w:rsidRPr="00E35186">
        <w:rPr>
          <w:rFonts w:cs="Arial"/>
        </w:rPr>
        <w:t>What you should provide</w:t>
      </w:r>
      <w:bookmarkEnd w:id="125"/>
      <w:bookmarkEnd w:id="126"/>
    </w:p>
    <w:p w14:paraId="691E1086" w14:textId="77777777" w:rsidR="00961733" w:rsidRDefault="00961733" w:rsidP="00961733">
      <w:pPr>
        <w:keepNext/>
      </w:pPr>
      <w:r>
        <w:t xml:space="preserve">Provide a copy of the original GMP certificate, </w:t>
      </w:r>
      <w:hyperlink r:id="rId60" w:history="1">
        <w:proofErr w:type="spellStart"/>
        <w:r w:rsidRPr="1B0DE25A">
          <w:rPr>
            <w:rStyle w:val="Hyperlink"/>
          </w:rPr>
          <w:t>EudraGMDP</w:t>
        </w:r>
        <w:proofErr w:type="spellEnd"/>
      </w:hyperlink>
      <w:r>
        <w:t xml:space="preserve"> certificate </w:t>
      </w:r>
      <w:bookmarkStart w:id="127" w:name="_Hlk145061337"/>
      <w:r>
        <w:t xml:space="preserve">or </w:t>
      </w:r>
      <w:hyperlink r:id="rId61" w:history="1">
        <w:r w:rsidRPr="004A61D9">
          <w:rPr>
            <w:rStyle w:val="Hyperlink"/>
          </w:rPr>
          <w:t>MHRA GMP certificate</w:t>
        </w:r>
      </w:hyperlink>
      <w:bookmarkEnd w:id="127"/>
      <w:r>
        <w:t xml:space="preserve"> if available, with your application. Ensure that the:</w:t>
      </w:r>
    </w:p>
    <w:p w14:paraId="416CE0D6" w14:textId="77777777" w:rsidR="00961733" w:rsidRPr="00D60E97" w:rsidRDefault="00961733" w:rsidP="00961733">
      <w:pPr>
        <w:pStyle w:val="ListBullet"/>
        <w:numPr>
          <w:ilvl w:val="0"/>
          <w:numId w:val="2"/>
        </w:numPr>
        <w:rPr>
          <w:color w:val="auto"/>
        </w:rPr>
      </w:pPr>
      <w:r w:rsidRPr="00D60E97">
        <w:rPr>
          <w:color w:val="auto"/>
        </w:rPr>
        <w:t xml:space="preserve">certificate is complete </w:t>
      </w:r>
    </w:p>
    <w:p w14:paraId="08FA4AC3" w14:textId="7C31BD44" w:rsidR="00961733" w:rsidRPr="00D60E97" w:rsidRDefault="00961733" w:rsidP="00961733">
      <w:pPr>
        <w:pStyle w:val="ListBullet"/>
        <w:numPr>
          <w:ilvl w:val="0"/>
          <w:numId w:val="2"/>
        </w:numPr>
        <w:rPr>
          <w:color w:val="auto"/>
        </w:rPr>
      </w:pPr>
      <w:r w:rsidRPr="00D60E97">
        <w:rPr>
          <w:color w:val="auto"/>
        </w:rPr>
        <w:t>manufacturer’s name and site address are consistent with your application</w:t>
      </w:r>
    </w:p>
    <w:p w14:paraId="0512C63A" w14:textId="3389E7FC" w:rsidR="00961733" w:rsidRPr="00D60E97" w:rsidRDefault="00961733" w:rsidP="00961733">
      <w:pPr>
        <w:pStyle w:val="ListBullet"/>
        <w:numPr>
          <w:ilvl w:val="0"/>
          <w:numId w:val="2"/>
        </w:numPr>
        <w:rPr>
          <w:color w:val="auto"/>
        </w:rPr>
      </w:pPr>
      <w:r w:rsidRPr="00D60E97">
        <w:rPr>
          <w:color w:val="auto"/>
        </w:rPr>
        <w:t xml:space="preserve">certificate is the most recent </w:t>
      </w:r>
    </w:p>
    <w:p w14:paraId="3C4B5911" w14:textId="77777777" w:rsidR="00961733" w:rsidRPr="00D60E97" w:rsidRDefault="00961733" w:rsidP="00961733">
      <w:pPr>
        <w:pStyle w:val="ListBullet"/>
        <w:numPr>
          <w:ilvl w:val="0"/>
          <w:numId w:val="2"/>
        </w:numPr>
        <w:rPr>
          <w:color w:val="auto"/>
        </w:rPr>
      </w:pPr>
      <w:r w:rsidRPr="00D60E97">
        <w:rPr>
          <w:color w:val="auto"/>
        </w:rPr>
        <w:t>scope of the certificate covers the scope of your application—that is, the sterility, dosage form, and steps of manufacture etc.</w:t>
      </w:r>
    </w:p>
    <w:p w14:paraId="31A4AB48" w14:textId="11A58266" w:rsidR="00961733" w:rsidRPr="00D60E97" w:rsidRDefault="00961733" w:rsidP="00961733">
      <w:pPr>
        <w:pStyle w:val="ListBullet"/>
        <w:numPr>
          <w:ilvl w:val="0"/>
          <w:numId w:val="2"/>
        </w:numPr>
        <w:rPr>
          <w:color w:val="auto"/>
        </w:rPr>
      </w:pPr>
      <w:r w:rsidRPr="00D60E97">
        <w:rPr>
          <w:color w:val="auto"/>
        </w:rPr>
        <w:t xml:space="preserve">conditions and/or clarifying remarks on the certificate are understood, </w:t>
      </w:r>
      <w:r>
        <w:rPr>
          <w:color w:val="auto"/>
        </w:rPr>
        <w:t>as</w:t>
      </w:r>
      <w:r w:rsidRPr="00D60E97">
        <w:rPr>
          <w:color w:val="auto"/>
        </w:rPr>
        <w:t xml:space="preserve"> these will be applied to the </w:t>
      </w:r>
      <w:r w:rsidR="00B323DA">
        <w:rPr>
          <w:color w:val="auto"/>
        </w:rPr>
        <w:t>GMP Clearance</w:t>
      </w:r>
      <w:r w:rsidRPr="00D60E97">
        <w:rPr>
          <w:color w:val="auto"/>
        </w:rPr>
        <w:t xml:space="preserve"> where applicable. </w:t>
      </w:r>
    </w:p>
    <w:p w14:paraId="399B0748" w14:textId="77777777" w:rsidR="00E42F7A" w:rsidRDefault="00E42F7A">
      <w:pPr>
        <w:rPr>
          <w:rFonts w:eastAsia="Cambria" w:cs="Arial"/>
          <w:b/>
          <w:bCs/>
          <w:color w:val="001871"/>
          <w:sz w:val="28"/>
          <w:szCs w:val="26"/>
        </w:rPr>
      </w:pPr>
      <w:bookmarkStart w:id="128" w:name="_Toc147929228"/>
      <w:r>
        <w:rPr>
          <w:rFonts w:cs="Arial"/>
        </w:rPr>
        <w:br w:type="page"/>
      </w:r>
    </w:p>
    <w:p w14:paraId="154BB549" w14:textId="1296ADED" w:rsidR="00961733" w:rsidRPr="00E35186" w:rsidRDefault="00961733" w:rsidP="00961733">
      <w:pPr>
        <w:pStyle w:val="Heading4"/>
        <w:rPr>
          <w:rFonts w:cs="Arial"/>
        </w:rPr>
      </w:pPr>
      <w:bookmarkStart w:id="129" w:name="_Toc198723752"/>
      <w:r w:rsidRPr="00E35186">
        <w:rPr>
          <w:rFonts w:cs="Arial"/>
        </w:rPr>
        <w:lastRenderedPageBreak/>
        <w:t>Take particular care</w:t>
      </w:r>
      <w:bookmarkEnd w:id="128"/>
      <w:bookmarkEnd w:id="129"/>
    </w:p>
    <w:p w14:paraId="147679FA" w14:textId="77777777" w:rsidR="00961733" w:rsidRDefault="00961733" w:rsidP="00961733">
      <w:r>
        <w:t>Ensure that the certificate has:</w:t>
      </w:r>
    </w:p>
    <w:p w14:paraId="20323819" w14:textId="77777777" w:rsidR="00961733" w:rsidRPr="00D60E97" w:rsidRDefault="00961733" w:rsidP="00961733">
      <w:pPr>
        <w:pStyle w:val="ListBullet"/>
        <w:numPr>
          <w:ilvl w:val="0"/>
          <w:numId w:val="2"/>
        </w:numPr>
        <w:rPr>
          <w:color w:val="auto"/>
        </w:rPr>
      </w:pPr>
      <w:r w:rsidRPr="00D60E97">
        <w:rPr>
          <w:color w:val="auto"/>
        </w:rPr>
        <w:t>not been redacted in any way. Redacted certificates or missing pages/information of the certificate will not be accepted</w:t>
      </w:r>
    </w:p>
    <w:p w14:paraId="419EED79" w14:textId="77777777" w:rsidR="00961733" w:rsidRDefault="00961733" w:rsidP="00961733">
      <w:pPr>
        <w:pStyle w:val="ListBullet"/>
        <w:numPr>
          <w:ilvl w:val="0"/>
          <w:numId w:val="2"/>
        </w:numPr>
        <w:rPr>
          <w:color w:val="auto"/>
        </w:rPr>
      </w:pPr>
      <w:r w:rsidRPr="00D60E97">
        <w:rPr>
          <w:color w:val="auto"/>
        </w:rPr>
        <w:t>been issued for human medicinal products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43A2299C" w14:textId="77777777" w:rsidTr="0042350D">
        <w:tc>
          <w:tcPr>
            <w:tcW w:w="1276" w:type="dxa"/>
            <w:vAlign w:val="center"/>
          </w:tcPr>
          <w:p w14:paraId="3EEAEB33" w14:textId="77777777" w:rsidR="00961733" w:rsidRPr="00215D48" w:rsidRDefault="00961733" w:rsidP="0042350D">
            <w:r w:rsidRPr="00215D48">
              <w:rPr>
                <w:noProof/>
                <w:lang w:eastAsia="en-AU"/>
              </w:rPr>
              <w:drawing>
                <wp:inline distT="0" distB="0" distL="0" distR="0" wp14:anchorId="6407DD8A" wp14:editId="1CCAF3BE">
                  <wp:extent cx="487681" cy="487681"/>
                  <wp:effectExtent l="19050" t="0" r="7619" b="0"/>
                  <wp:docPr id="70" name="Picture 7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54DE6E2" w14:textId="2447E099" w:rsidR="00961733" w:rsidRDefault="00961733" w:rsidP="00E62F78">
            <w:pPr>
              <w:pStyle w:val="ListBullet-donotcross"/>
            </w:pPr>
            <w:r>
              <w:t xml:space="preserve">Manufacturing and Importation Authorisations (MIA), Good Distribution Practice (GDP), veterinary or investigational medicinal product certificates are </w:t>
            </w:r>
            <w:r w:rsidRPr="1B0DE25A">
              <w:rPr>
                <w:b/>
                <w:bCs/>
              </w:rPr>
              <w:t>not acceptable</w:t>
            </w:r>
            <w:r>
              <w:t xml:space="preserve"> to support a </w:t>
            </w:r>
            <w:r w:rsidR="00B323DA">
              <w:t>GMP Clearance</w:t>
            </w:r>
            <w:r>
              <w:t xml:space="preserve"> to register or list a product on the </w:t>
            </w:r>
            <w:hyperlink r:id="rId62">
              <w:r w:rsidRPr="1B0DE25A">
                <w:rPr>
                  <w:rStyle w:val="Hyperlink"/>
                </w:rPr>
                <w:t>ARTG</w:t>
              </w:r>
            </w:hyperlink>
            <w:r>
              <w:rPr>
                <w:rStyle w:val="Hyperlink"/>
              </w:rPr>
              <w:t xml:space="preserve">. </w:t>
            </w:r>
          </w:p>
          <w:p w14:paraId="289F4066" w14:textId="4CE0AD74" w:rsidR="00961733" w:rsidRDefault="00961733" w:rsidP="00E62F78">
            <w:pPr>
              <w:pStyle w:val="ListBullet-donotcross"/>
            </w:pPr>
            <w:bookmarkStart w:id="130" w:name="_Hlk150352348"/>
            <w:r>
              <w:t xml:space="preserve">We </w:t>
            </w:r>
            <w:r w:rsidRPr="1B0DE25A">
              <w:rPr>
                <w:b/>
                <w:bCs/>
              </w:rPr>
              <w:t>do not</w:t>
            </w:r>
            <w:r>
              <w:t xml:space="preserve"> accept a regulatory authority’s evidence </w:t>
            </w:r>
            <w:proofErr w:type="gramStart"/>
            <w:r>
              <w:t>as a result of</w:t>
            </w:r>
            <w:proofErr w:type="gramEnd"/>
            <w:r>
              <w:t xml:space="preserve"> their own desktop-based assessments or from third party consultants.</w:t>
            </w:r>
          </w:p>
          <w:bookmarkEnd w:id="130"/>
          <w:p w14:paraId="007649CC" w14:textId="77777777" w:rsidR="00961733" w:rsidRDefault="00961733" w:rsidP="0042350D">
            <w:r w:rsidRPr="00641127">
              <w:rPr>
                <w:b/>
              </w:rPr>
              <w:t>Important</w:t>
            </w:r>
            <w:r>
              <w:t xml:space="preserve"> - Not all regulatory authorities routinely issue GMP certificates as part of their regulatory framework. For example:</w:t>
            </w:r>
          </w:p>
          <w:p w14:paraId="0D81B24F" w14:textId="330D52E8" w:rsidR="00961733" w:rsidRPr="00215D48" w:rsidRDefault="00961733" w:rsidP="008E300B">
            <w:pPr>
              <w:pStyle w:val="ListBullet"/>
              <w:numPr>
                <w:ilvl w:val="0"/>
                <w:numId w:val="2"/>
              </w:numPr>
            </w:pPr>
            <w:r w:rsidRPr="00143ADF">
              <w:rPr>
                <w:rFonts w:eastAsiaTheme="minorHAnsi" w:cstheme="minorBidi"/>
                <w:b/>
                <w:bCs/>
                <w:color w:val="auto"/>
                <w:szCs w:val="22"/>
              </w:rPr>
              <w:t>Health Canada</w:t>
            </w:r>
            <w:r w:rsidRPr="00143ADF">
              <w:rPr>
                <w:color w:val="auto"/>
              </w:rPr>
              <w:t xml:space="preserve"> issues </w:t>
            </w:r>
            <w:r w:rsidRPr="00CD57F5">
              <w:rPr>
                <w:color w:val="auto"/>
              </w:rPr>
              <w:t xml:space="preserve">an inspection ‘Exit Notice’, which is acceptable in lieu of a GMP certificate. Health Canada Establishment Licence and GMP certificate for exports </w:t>
            </w:r>
            <w:r w:rsidRPr="00CD57F5">
              <w:rPr>
                <w:b/>
                <w:bCs/>
                <w:color w:val="auto"/>
              </w:rPr>
              <w:t>are not acceptable</w:t>
            </w:r>
            <w:r w:rsidRPr="00CD57F5">
              <w:rPr>
                <w:color w:val="auto"/>
              </w:rPr>
              <w:t xml:space="preserve"> as evidence.</w:t>
            </w:r>
          </w:p>
        </w:tc>
      </w:tr>
    </w:tbl>
    <w:p w14:paraId="3F232641" w14:textId="77777777" w:rsidR="00961733" w:rsidRPr="00E35186" w:rsidRDefault="00961733" w:rsidP="00961733">
      <w:pPr>
        <w:pStyle w:val="Heading4"/>
        <w:rPr>
          <w:rFonts w:cs="Arial"/>
        </w:rPr>
      </w:pPr>
      <w:bookmarkStart w:id="131" w:name="_Toc147929229"/>
      <w:bookmarkStart w:id="132" w:name="_Toc198723753"/>
      <w:r w:rsidRPr="00E35186">
        <w:rPr>
          <w:rFonts w:cs="Arial"/>
        </w:rPr>
        <w:t>Alternative evidence (Contract laboratories and sterilisers)</w:t>
      </w:r>
      <w:bookmarkEnd w:id="131"/>
      <w:bookmarkEnd w:id="132"/>
    </w:p>
    <w:p w14:paraId="427F6A9F" w14:textId="77777777" w:rsidR="00961733" w:rsidRPr="00855B4E" w:rsidRDefault="00961733" w:rsidP="00961733">
      <w:r w:rsidRPr="00855B4E">
        <w:t xml:space="preserve">We </w:t>
      </w:r>
      <w:r w:rsidRPr="00855B4E">
        <w:rPr>
          <w:b/>
          <w:bCs/>
        </w:rPr>
        <w:t>may</w:t>
      </w:r>
      <w:r w:rsidRPr="00855B4E">
        <w:t xml:space="preserve"> accept International Standards Organisation (ISO) certificate</w:t>
      </w:r>
      <w:r>
        <w:t>s</w:t>
      </w:r>
      <w:r w:rsidRPr="00855B4E">
        <w:t xml:space="preserve"> in lieu of a GMP certificate for some contract laboratories or sterilisers for the MRA pathway only. </w:t>
      </w:r>
    </w:p>
    <w:p w14:paraId="2D2A3BE4" w14:textId="77777777" w:rsidR="00961733" w:rsidRPr="00855B4E" w:rsidRDefault="00961733" w:rsidP="00961733">
      <w:r w:rsidRPr="00855B4E">
        <w:t xml:space="preserve">When an ISO certificate is used, the full schedule of accreditation must be provided. The schedule of accreditation provides further information on the testing activities or types of </w:t>
      </w:r>
      <w:proofErr w:type="gramStart"/>
      <w:r w:rsidRPr="00855B4E">
        <w:t>sterilisation</w:t>
      </w:r>
      <w:proofErr w:type="gramEnd"/>
      <w:r w:rsidRPr="00855B4E">
        <w:t xml:space="preserve"> performed at the manufacturing site.</w:t>
      </w:r>
    </w:p>
    <w:p w14:paraId="48486368" w14:textId="25F24AF0" w:rsidR="00961733" w:rsidRPr="00D60E97" w:rsidRDefault="00961733" w:rsidP="00961733">
      <w:pPr>
        <w:pStyle w:val="ListBullet"/>
        <w:numPr>
          <w:ilvl w:val="0"/>
          <w:numId w:val="2"/>
        </w:numPr>
        <w:rPr>
          <w:color w:val="auto"/>
        </w:rPr>
      </w:pPr>
      <w:r>
        <w:rPr>
          <w:color w:val="auto"/>
        </w:rPr>
        <w:t>For laboratories - we</w:t>
      </w:r>
      <w:r w:rsidRPr="00D60E97">
        <w:rPr>
          <w:color w:val="auto"/>
        </w:rPr>
        <w:t xml:space="preserve"> will only accept accredit</w:t>
      </w:r>
      <w:r>
        <w:rPr>
          <w:color w:val="auto"/>
        </w:rPr>
        <w:t>ation</w:t>
      </w:r>
      <w:r w:rsidRPr="00D60E97">
        <w:rPr>
          <w:color w:val="auto"/>
        </w:rPr>
        <w:t xml:space="preserve"> to ISO 17025 (General requirements for the competence of testing and calibration laboratories), relevant to the scope of the application</w:t>
      </w:r>
    </w:p>
    <w:p w14:paraId="1C1A74DC" w14:textId="28FE71B1" w:rsidR="00961733" w:rsidRPr="00D60E97" w:rsidRDefault="00961733" w:rsidP="00961733">
      <w:pPr>
        <w:pStyle w:val="ListBullet"/>
        <w:numPr>
          <w:ilvl w:val="0"/>
          <w:numId w:val="2"/>
        </w:numPr>
        <w:rPr>
          <w:color w:val="auto"/>
        </w:rPr>
      </w:pPr>
      <w:r>
        <w:rPr>
          <w:color w:val="auto"/>
        </w:rPr>
        <w:t>For Sterilisers – we will only accept</w:t>
      </w:r>
      <w:r w:rsidRPr="00D60E97">
        <w:rPr>
          <w:color w:val="auto"/>
        </w:rPr>
        <w:t xml:space="preserve"> if </w:t>
      </w:r>
      <w:r>
        <w:rPr>
          <w:color w:val="auto"/>
        </w:rPr>
        <w:t>the certificate is</w:t>
      </w:r>
      <w:r w:rsidRPr="00D60E97">
        <w:rPr>
          <w:color w:val="auto"/>
        </w:rPr>
        <w:t xml:space="preserve"> issued to the specific site and </w:t>
      </w:r>
      <w:r>
        <w:rPr>
          <w:color w:val="auto"/>
        </w:rPr>
        <w:t>the accreditation is to</w:t>
      </w:r>
      <w:r w:rsidRPr="00D60E97">
        <w:rPr>
          <w:color w:val="auto"/>
        </w:rPr>
        <w:t xml:space="preserve"> the relevant sterilisation</w:t>
      </w:r>
      <w:r>
        <w:rPr>
          <w:color w:val="auto"/>
        </w:rPr>
        <w:t xml:space="preserve"> for the product </w:t>
      </w:r>
      <w:r w:rsidRPr="00D60E97">
        <w:rPr>
          <w:color w:val="auto"/>
        </w:rPr>
        <w:t>—</w:t>
      </w:r>
      <w:r>
        <w:rPr>
          <w:color w:val="auto"/>
        </w:rPr>
        <w:t xml:space="preserve"> </w:t>
      </w:r>
      <w:r w:rsidRPr="00D60E97">
        <w:rPr>
          <w:color w:val="auto"/>
        </w:rPr>
        <w:t>for example, ISO 11137 (Sterilisation of healthcare products – Radiation).</w:t>
      </w:r>
    </w:p>
    <w:p w14:paraId="3E01DADD" w14:textId="4830B93A" w:rsidR="00961733" w:rsidRPr="00E35186" w:rsidRDefault="00961733" w:rsidP="00961733">
      <w:pPr>
        <w:pStyle w:val="Heading4"/>
        <w:rPr>
          <w:rFonts w:cs="Arial"/>
        </w:rPr>
      </w:pPr>
      <w:bookmarkStart w:id="133" w:name="_Liaison_1"/>
      <w:bookmarkStart w:id="134" w:name="_Toc147929230"/>
      <w:bookmarkStart w:id="135" w:name="_Toc198723754"/>
      <w:bookmarkEnd w:id="133"/>
      <w:r w:rsidRPr="00E35186">
        <w:rPr>
          <w:rFonts w:cs="Arial"/>
        </w:rPr>
        <w:t>Liaison</w:t>
      </w:r>
      <w:bookmarkEnd w:id="134"/>
      <w:bookmarkEnd w:id="135"/>
    </w:p>
    <w:p w14:paraId="683619F0" w14:textId="77777777" w:rsidR="00961733" w:rsidRPr="00BD0DDD" w:rsidRDefault="00961733" w:rsidP="00961733">
      <w:r w:rsidRPr="00BD0DDD">
        <w:t>For MRA applications, if you are unable to obtain the GMP certificate issued by a regulatory authority within an MRA country, you may request that we attempt to obtain it on your behalf. Please note:</w:t>
      </w:r>
    </w:p>
    <w:p w14:paraId="7E8DFB3A" w14:textId="213268A6" w:rsidR="00961733" w:rsidRPr="00D60E97" w:rsidRDefault="00961733" w:rsidP="00961733">
      <w:pPr>
        <w:pStyle w:val="ListBullet"/>
        <w:numPr>
          <w:ilvl w:val="0"/>
          <w:numId w:val="2"/>
        </w:numPr>
        <w:rPr>
          <w:color w:val="auto"/>
        </w:rPr>
      </w:pPr>
      <w:r w:rsidRPr="00D60E97">
        <w:rPr>
          <w:color w:val="auto"/>
        </w:rPr>
        <w:t xml:space="preserve">a </w:t>
      </w:r>
      <w:hyperlink w:anchor="_How_much_GMP_2">
        <w:r w:rsidRPr="0098739F">
          <w:rPr>
            <w:rStyle w:val="Hyperlink"/>
          </w:rPr>
          <w:t>fee</w:t>
        </w:r>
      </w:hyperlink>
      <w:r w:rsidRPr="00D60E97">
        <w:rPr>
          <w:color w:val="auto"/>
        </w:rPr>
        <w:t xml:space="preserve"> </w:t>
      </w:r>
      <w:r>
        <w:rPr>
          <w:color w:val="auto"/>
        </w:rPr>
        <w:t xml:space="preserve">is applicable </w:t>
      </w:r>
      <w:r w:rsidRPr="00D60E97">
        <w:rPr>
          <w:color w:val="auto"/>
        </w:rPr>
        <w:t>for this service</w:t>
      </w:r>
    </w:p>
    <w:p w14:paraId="27EBE79E" w14:textId="77777777" w:rsidR="00961733" w:rsidRPr="00D60E97" w:rsidRDefault="00961733" w:rsidP="00961733">
      <w:pPr>
        <w:pStyle w:val="ListBullet"/>
        <w:numPr>
          <w:ilvl w:val="0"/>
          <w:numId w:val="2"/>
        </w:numPr>
        <w:rPr>
          <w:color w:val="auto"/>
        </w:rPr>
      </w:pPr>
      <w:r w:rsidRPr="00D60E97">
        <w:rPr>
          <w:color w:val="auto"/>
        </w:rPr>
        <w:t xml:space="preserve">we can </w:t>
      </w:r>
      <w:r w:rsidRPr="00D60E97">
        <w:rPr>
          <w:b/>
          <w:bCs/>
          <w:color w:val="auto"/>
        </w:rPr>
        <w:t>only</w:t>
      </w:r>
      <w:r w:rsidRPr="00D60E97">
        <w:rPr>
          <w:color w:val="auto"/>
        </w:rPr>
        <w:t xml:space="preserve"> attempt to liaise for GMP certificates. We </w:t>
      </w:r>
      <w:r w:rsidRPr="00D60E97">
        <w:rPr>
          <w:b/>
          <w:bCs/>
          <w:color w:val="auto"/>
        </w:rPr>
        <w:t>do not</w:t>
      </w:r>
      <w:r w:rsidRPr="00D60E97">
        <w:rPr>
          <w:color w:val="auto"/>
        </w:rPr>
        <w:t xml:space="preserve"> liaise for GLP or ISO certificates</w:t>
      </w:r>
    </w:p>
    <w:p w14:paraId="20216281" w14:textId="72C2F3EC" w:rsidR="00961733" w:rsidRDefault="00961733" w:rsidP="00961733">
      <w:pPr>
        <w:pStyle w:val="ListBullet"/>
        <w:numPr>
          <w:ilvl w:val="0"/>
          <w:numId w:val="2"/>
        </w:numPr>
        <w:rPr>
          <w:color w:val="auto"/>
        </w:rPr>
      </w:pPr>
      <w:r w:rsidRPr="00D60E97">
        <w:rPr>
          <w:color w:val="auto"/>
        </w:rPr>
        <w:t xml:space="preserve">the evidence may not be available from the regulatory authority for reasons beyond our control. In such cases you will be notified by email and your </w:t>
      </w:r>
      <w:r w:rsidR="00B323DA">
        <w:rPr>
          <w:color w:val="auto"/>
        </w:rPr>
        <w:t>GMP Clearance</w:t>
      </w:r>
      <w:r w:rsidRPr="00D60E97">
        <w:rPr>
          <w:color w:val="auto"/>
        </w:rPr>
        <w:t xml:space="preserve"> will </w:t>
      </w:r>
      <w:r w:rsidRPr="00D60E97">
        <w:rPr>
          <w:b/>
          <w:bCs/>
          <w:color w:val="auto"/>
        </w:rPr>
        <w:t>not be issued</w:t>
      </w:r>
      <w:r w:rsidRPr="00D60E97">
        <w:rPr>
          <w:color w:val="auto"/>
        </w:rPr>
        <w:t>.</w:t>
      </w:r>
    </w:p>
    <w:p w14:paraId="39108A10" w14:textId="0D1E6D42" w:rsidR="006A3525" w:rsidRPr="00D60E97" w:rsidRDefault="006A3525" w:rsidP="00961733">
      <w:pPr>
        <w:pStyle w:val="ListBullet"/>
        <w:numPr>
          <w:ilvl w:val="0"/>
          <w:numId w:val="2"/>
        </w:numPr>
        <w:rPr>
          <w:color w:val="auto"/>
        </w:rPr>
      </w:pPr>
      <w:r w:rsidRPr="006A3525">
        <w:rPr>
          <w:color w:val="auto"/>
        </w:rPr>
        <w:t>there may be an additional time taken to obtain information from a recognised regulatory authority</w:t>
      </w:r>
    </w:p>
    <w:p w14:paraId="3BCCBAFE" w14:textId="77777777" w:rsidR="00961733" w:rsidRPr="00E35186" w:rsidRDefault="00961733" w:rsidP="00961733">
      <w:pPr>
        <w:pStyle w:val="Heading3"/>
      </w:pPr>
      <w:bookmarkStart w:id="136" w:name="_API_declaration"/>
      <w:bookmarkStart w:id="137" w:name="_Toc147929231"/>
      <w:bookmarkStart w:id="138" w:name="_Toc198723755"/>
      <w:bookmarkEnd w:id="136"/>
      <w:r w:rsidRPr="00E35186">
        <w:lastRenderedPageBreak/>
        <w:t>API declaration</w:t>
      </w:r>
      <w:bookmarkEnd w:id="137"/>
      <w:bookmarkEnd w:id="138"/>
    </w:p>
    <w:p w14:paraId="382E6ABB" w14:textId="77777777" w:rsidR="00961733" w:rsidRPr="00E35186" w:rsidRDefault="00961733" w:rsidP="00E35186">
      <w:pPr>
        <w:pStyle w:val="Heading4"/>
        <w:tabs>
          <w:tab w:val="left" w:pos="1134"/>
        </w:tabs>
        <w:rPr>
          <w:rFonts w:cs="Arial"/>
        </w:rPr>
      </w:pPr>
      <w:bookmarkStart w:id="139" w:name="_Toc147929232"/>
      <w:bookmarkStart w:id="140" w:name="_Toc198723756"/>
      <w:r w:rsidRPr="00E35186">
        <w:rPr>
          <w:rFonts w:cs="Arial"/>
        </w:rPr>
        <w:t>When we require it</w:t>
      </w:r>
      <w:bookmarkEnd w:id="139"/>
      <w:bookmarkEnd w:id="140"/>
    </w:p>
    <w:p w14:paraId="67C15435" w14:textId="77777777" w:rsidR="00961733" w:rsidRPr="00535A53" w:rsidRDefault="00961733" w:rsidP="00961733">
      <w:r w:rsidRPr="00535A53">
        <w:t xml:space="preserve">An API declaration is required when the substances in your application were not specifically covered as part of the most recent inspection provided as evidence. </w:t>
      </w:r>
    </w:p>
    <w:p w14:paraId="7EC87202" w14:textId="77777777" w:rsidR="00961733" w:rsidRPr="00E35186" w:rsidRDefault="00961733" w:rsidP="00961733">
      <w:pPr>
        <w:pStyle w:val="Heading4"/>
        <w:rPr>
          <w:rFonts w:cs="Arial"/>
        </w:rPr>
      </w:pPr>
      <w:bookmarkStart w:id="141" w:name="_Toc147929233"/>
      <w:bookmarkStart w:id="142" w:name="_Toc198723757"/>
      <w:r w:rsidRPr="00E35186">
        <w:rPr>
          <w:rFonts w:cs="Arial"/>
        </w:rPr>
        <w:t>What you should provide</w:t>
      </w:r>
      <w:bookmarkEnd w:id="141"/>
      <w:bookmarkEnd w:id="142"/>
    </w:p>
    <w:p w14:paraId="6ACAA11F" w14:textId="77777777" w:rsidR="00961733" w:rsidRDefault="00961733" w:rsidP="00961733">
      <w:r>
        <w:t>Provide a signed and dated declaration. Ensure that the declaration:</w:t>
      </w:r>
    </w:p>
    <w:p w14:paraId="7A941FC3" w14:textId="77777777" w:rsidR="00961733" w:rsidRPr="00D60E97" w:rsidRDefault="00961733" w:rsidP="00961733">
      <w:pPr>
        <w:pStyle w:val="ListBullet"/>
        <w:numPr>
          <w:ilvl w:val="0"/>
          <w:numId w:val="2"/>
        </w:numPr>
        <w:rPr>
          <w:color w:val="auto"/>
        </w:rPr>
      </w:pPr>
      <w:r w:rsidRPr="00D60E97">
        <w:rPr>
          <w:color w:val="auto"/>
        </w:rPr>
        <w:t>is provided by the manufacturer on a company letterhead</w:t>
      </w:r>
    </w:p>
    <w:p w14:paraId="1F9385A3" w14:textId="659C05F3" w:rsidR="00961733" w:rsidRPr="00D60E97" w:rsidRDefault="00961733" w:rsidP="00961733">
      <w:pPr>
        <w:pStyle w:val="ListBullet"/>
        <w:numPr>
          <w:ilvl w:val="0"/>
          <w:numId w:val="2"/>
        </w:numPr>
        <w:rPr>
          <w:color w:val="auto"/>
        </w:rPr>
      </w:pPr>
      <w:r w:rsidRPr="00D60E97">
        <w:rPr>
          <w:color w:val="auto"/>
        </w:rPr>
        <w:t xml:space="preserve">has been authorised by an </w:t>
      </w:r>
      <w:r w:rsidR="00662389">
        <w:rPr>
          <w:color w:val="auto"/>
        </w:rPr>
        <w:t xml:space="preserve">authorised person/qualified person </w:t>
      </w:r>
      <w:r w:rsidRPr="00D60E97">
        <w:rPr>
          <w:color w:val="auto"/>
        </w:rPr>
        <w:t xml:space="preserve">of that manufacturer </w:t>
      </w:r>
    </w:p>
    <w:p w14:paraId="797A7330" w14:textId="7D02F436" w:rsidR="00961733" w:rsidRPr="00D60E97" w:rsidRDefault="00961733" w:rsidP="00961733">
      <w:pPr>
        <w:pStyle w:val="ListBullet"/>
        <w:keepNext/>
        <w:numPr>
          <w:ilvl w:val="0"/>
          <w:numId w:val="2"/>
        </w:numPr>
        <w:ind w:left="357" w:hanging="357"/>
        <w:rPr>
          <w:color w:val="auto"/>
        </w:rPr>
      </w:pPr>
      <w:r w:rsidRPr="00D60E97">
        <w:rPr>
          <w:color w:val="auto"/>
        </w:rPr>
        <w:t xml:space="preserve">confirms that the API(s) listed in the declaration and corresponding </w:t>
      </w:r>
      <w:r w:rsidR="00B323DA">
        <w:rPr>
          <w:color w:val="auto"/>
        </w:rPr>
        <w:t>GMP Clearance</w:t>
      </w:r>
      <w:r w:rsidRPr="00D60E97">
        <w:rPr>
          <w:color w:val="auto"/>
        </w:rPr>
        <w:t xml:space="preserve"> application are manufactured:</w:t>
      </w:r>
    </w:p>
    <w:p w14:paraId="69A1E262" w14:textId="25E55E08" w:rsidR="00961733" w:rsidRPr="00D60E97" w:rsidRDefault="00961733" w:rsidP="00961733">
      <w:pPr>
        <w:pStyle w:val="ListBullet2"/>
        <w:numPr>
          <w:ilvl w:val="1"/>
          <w:numId w:val="2"/>
        </w:numPr>
        <w:rPr>
          <w:color w:val="auto"/>
        </w:rPr>
      </w:pPr>
      <w:r w:rsidRPr="00D60E97">
        <w:rPr>
          <w:color w:val="auto"/>
        </w:rPr>
        <w:t>in the same facility (</w:t>
      </w:r>
      <w:r>
        <w:rPr>
          <w:color w:val="auto"/>
        </w:rPr>
        <w:t xml:space="preserve">for example, </w:t>
      </w:r>
      <w:r w:rsidRPr="00D60E97">
        <w:rPr>
          <w:color w:val="auto"/>
        </w:rPr>
        <w:t xml:space="preserve">Building ABC / workshop 123 / Clean room XYZ) as those covered by and referenced in the certificate provided as evidence </w:t>
      </w:r>
    </w:p>
    <w:p w14:paraId="0276C3D0" w14:textId="77777777" w:rsidR="00961733" w:rsidRPr="00D60E97" w:rsidRDefault="00961733" w:rsidP="00961733">
      <w:pPr>
        <w:pStyle w:val="ListBullet2"/>
        <w:numPr>
          <w:ilvl w:val="1"/>
          <w:numId w:val="0"/>
        </w:numPr>
        <w:ind w:firstLine="720"/>
        <w:rPr>
          <w:color w:val="auto"/>
        </w:rPr>
      </w:pPr>
      <w:r w:rsidRPr="00D60E97">
        <w:rPr>
          <w:color w:val="auto"/>
        </w:rPr>
        <w:t>AND</w:t>
      </w:r>
    </w:p>
    <w:p w14:paraId="2142BFDB" w14:textId="77777777" w:rsidR="00961733" w:rsidRPr="00655207" w:rsidRDefault="00961733" w:rsidP="00961733">
      <w:pPr>
        <w:pStyle w:val="ListBullet2"/>
        <w:numPr>
          <w:ilvl w:val="1"/>
          <w:numId w:val="2"/>
        </w:numPr>
        <w:rPr>
          <w:color w:val="auto"/>
        </w:rPr>
      </w:pPr>
      <w:r w:rsidRPr="00655207">
        <w:rPr>
          <w:color w:val="auto"/>
        </w:rPr>
        <w:t xml:space="preserve">confirm if the buildings are multiproduct or dedicated and using a similar manufacturing process (for example, chemical synthesis) as those covered by and referenced in the </w:t>
      </w:r>
      <w:r>
        <w:rPr>
          <w:color w:val="auto"/>
        </w:rPr>
        <w:t>certificate</w:t>
      </w:r>
      <w:r w:rsidRPr="00655207">
        <w:rPr>
          <w:color w:val="auto"/>
        </w:rPr>
        <w:t xml:space="preserve"> provided as evidence</w:t>
      </w:r>
    </w:p>
    <w:p w14:paraId="18C6FE5E" w14:textId="77777777" w:rsidR="00961733" w:rsidRPr="00535A53" w:rsidRDefault="00961733" w:rsidP="00961733">
      <w:pPr>
        <w:ind w:firstLine="720"/>
      </w:pPr>
      <w:r w:rsidRPr="00535A53">
        <w:t>AND</w:t>
      </w:r>
    </w:p>
    <w:p w14:paraId="25192368" w14:textId="6B551572" w:rsidR="00961733" w:rsidRPr="00D60E97" w:rsidRDefault="00961733" w:rsidP="00961733">
      <w:pPr>
        <w:pStyle w:val="ListBullet2"/>
        <w:numPr>
          <w:ilvl w:val="1"/>
          <w:numId w:val="2"/>
        </w:numPr>
        <w:rPr>
          <w:color w:val="auto"/>
        </w:rPr>
      </w:pPr>
      <w:r w:rsidRPr="00D60E97">
        <w:rPr>
          <w:color w:val="auto"/>
        </w:rPr>
        <w:t>controlled under the same QMS or PQS as those covered by and referenced in the certificate provided as evidence</w:t>
      </w:r>
    </w:p>
    <w:p w14:paraId="50701CA7" w14:textId="77777777" w:rsidR="00961733" w:rsidRPr="00E35186" w:rsidRDefault="00961733" w:rsidP="00961733">
      <w:pPr>
        <w:pStyle w:val="Heading4"/>
        <w:rPr>
          <w:rFonts w:cs="Arial"/>
        </w:rPr>
      </w:pPr>
      <w:bookmarkStart w:id="143" w:name="_Toc147929234"/>
      <w:bookmarkStart w:id="144" w:name="_Toc198723758"/>
      <w:r w:rsidRPr="00E35186">
        <w:rPr>
          <w:rFonts w:cs="Arial"/>
        </w:rPr>
        <w:t>Take particular care</w:t>
      </w:r>
      <w:bookmarkEnd w:id="143"/>
      <w:bookmarkEnd w:id="144"/>
    </w:p>
    <w:p w14:paraId="780824A1" w14:textId="77777777" w:rsidR="00961733" w:rsidRPr="00B42D09" w:rsidRDefault="00961733" w:rsidP="00961733">
      <w:r w:rsidRPr="00B42D09">
        <w:t>Ensure that the:</w:t>
      </w:r>
    </w:p>
    <w:p w14:paraId="6B723F41" w14:textId="71DDF9D4" w:rsidR="00961733" w:rsidRPr="00D60E97" w:rsidRDefault="00B323DA" w:rsidP="00961733">
      <w:pPr>
        <w:pStyle w:val="ListBullet"/>
        <w:numPr>
          <w:ilvl w:val="0"/>
          <w:numId w:val="2"/>
        </w:numPr>
        <w:rPr>
          <w:color w:val="auto"/>
        </w:rPr>
      </w:pPr>
      <w:r>
        <w:rPr>
          <w:color w:val="auto"/>
        </w:rPr>
        <w:t>GMP Clearance</w:t>
      </w:r>
      <w:r w:rsidR="00961733" w:rsidRPr="00D60E97">
        <w:rPr>
          <w:color w:val="auto"/>
        </w:rPr>
        <w:t xml:space="preserve"> application number is clearly referenced</w:t>
      </w:r>
    </w:p>
    <w:p w14:paraId="18F189BE" w14:textId="77777777" w:rsidR="00961733" w:rsidRDefault="00961733" w:rsidP="00961733">
      <w:pPr>
        <w:pStyle w:val="ListBullet"/>
        <w:numPr>
          <w:ilvl w:val="0"/>
          <w:numId w:val="2"/>
        </w:numPr>
        <w:rPr>
          <w:color w:val="auto"/>
        </w:rPr>
      </w:pPr>
      <w:r w:rsidRPr="00D60E97">
        <w:rPr>
          <w:color w:val="auto"/>
        </w:rPr>
        <w:t>declaration does not contradict other evidence provided with the application.</w:t>
      </w:r>
    </w:p>
    <w:p w14:paraId="053DEB82" w14:textId="77777777" w:rsidR="00961733" w:rsidRPr="00D60E97" w:rsidRDefault="00961733" w:rsidP="00961733">
      <w:pPr>
        <w:pStyle w:val="ListBullet"/>
        <w:numPr>
          <w:ilvl w:val="0"/>
          <w:numId w:val="0"/>
        </w:numPr>
        <w:ind w:left="360"/>
        <w:rPr>
          <w:color w:val="auto"/>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59B5E2E1" w14:textId="77777777" w:rsidTr="0042350D">
        <w:tc>
          <w:tcPr>
            <w:tcW w:w="1276" w:type="dxa"/>
            <w:vAlign w:val="center"/>
          </w:tcPr>
          <w:p w14:paraId="33809785" w14:textId="77777777" w:rsidR="00961733" w:rsidRPr="00215D48" w:rsidRDefault="00961733" w:rsidP="0042350D">
            <w:r w:rsidRPr="00215D48">
              <w:rPr>
                <w:noProof/>
                <w:lang w:eastAsia="en-AU"/>
              </w:rPr>
              <w:drawing>
                <wp:inline distT="0" distB="0" distL="0" distR="0" wp14:anchorId="30F5761F" wp14:editId="53C162A5">
                  <wp:extent cx="487681" cy="487681"/>
                  <wp:effectExtent l="19050" t="0" r="7619" b="0"/>
                  <wp:docPr id="75" name="Picture 7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741931E" w14:textId="77777777" w:rsidR="00961733" w:rsidRPr="00215D48" w:rsidRDefault="00961733" w:rsidP="0042350D">
            <w:r>
              <w:t xml:space="preserve">API declarations may not be used in conjunction with a </w:t>
            </w:r>
            <w:proofErr w:type="spellStart"/>
            <w:r>
              <w:t>LoA</w:t>
            </w:r>
            <w:proofErr w:type="spellEnd"/>
            <w:r>
              <w:t xml:space="preserve"> to clearance as these applications are reliant on the original clearance in all aspects including scope.</w:t>
            </w:r>
          </w:p>
        </w:tc>
      </w:tr>
    </w:tbl>
    <w:p w14:paraId="66329D78" w14:textId="77777777" w:rsidR="00C010CD" w:rsidRDefault="00C010CD" w:rsidP="0090279C">
      <w:bookmarkStart w:id="145" w:name="_Declaration_for_Listed"/>
      <w:bookmarkStart w:id="146" w:name="_Toc147929235"/>
      <w:bookmarkEnd w:id="145"/>
    </w:p>
    <w:p w14:paraId="49780445" w14:textId="77777777" w:rsidR="00C010CD" w:rsidRDefault="00C010CD">
      <w:pPr>
        <w:rPr>
          <w:rFonts w:eastAsia="Times New Roman" w:cs="Times New Roman"/>
          <w:b/>
          <w:bCs/>
          <w:color w:val="001871"/>
          <w:sz w:val="32"/>
          <w:szCs w:val="32"/>
        </w:rPr>
      </w:pPr>
      <w:r>
        <w:br w:type="page"/>
      </w:r>
    </w:p>
    <w:p w14:paraId="31CDAAAE" w14:textId="3ECFEB05" w:rsidR="00961733" w:rsidRPr="00E35186" w:rsidRDefault="002F36F6" w:rsidP="00961733">
      <w:pPr>
        <w:pStyle w:val="Heading3"/>
      </w:pPr>
      <w:bookmarkStart w:id="147" w:name="_Complementary_medicine_declaration"/>
      <w:bookmarkStart w:id="148" w:name="_Toc198723759"/>
      <w:bookmarkEnd w:id="147"/>
      <w:r>
        <w:lastRenderedPageBreak/>
        <w:t xml:space="preserve">Complementary </w:t>
      </w:r>
      <w:r w:rsidR="00961733" w:rsidRPr="00E35186">
        <w:t xml:space="preserve">medicine </w:t>
      </w:r>
      <w:r w:rsidR="009E5715">
        <w:t>d</w:t>
      </w:r>
      <w:r w:rsidR="00961733" w:rsidRPr="00E35186">
        <w:t>eclaration</w:t>
      </w:r>
      <w:bookmarkEnd w:id="146"/>
      <w:bookmarkEnd w:id="148"/>
      <w:r w:rsidR="00961733" w:rsidRPr="00E35186">
        <w:t xml:space="preserve"> </w:t>
      </w:r>
    </w:p>
    <w:p w14:paraId="3A199FFD" w14:textId="384FF955" w:rsidR="00961733" w:rsidRPr="00E35186" w:rsidRDefault="00961733" w:rsidP="00961733">
      <w:pPr>
        <w:pStyle w:val="Heading4"/>
        <w:rPr>
          <w:rFonts w:cs="Arial"/>
        </w:rPr>
      </w:pPr>
      <w:bookmarkStart w:id="149" w:name="_Toc147929236"/>
      <w:bookmarkStart w:id="150" w:name="_Toc198723760"/>
      <w:r w:rsidRPr="00E35186">
        <w:rPr>
          <w:rFonts w:cs="Arial"/>
        </w:rPr>
        <w:t>When we require it</w:t>
      </w:r>
      <w:bookmarkEnd w:id="149"/>
      <w:bookmarkEnd w:id="150"/>
    </w:p>
    <w:p w14:paraId="3055580C" w14:textId="77777777" w:rsidR="00443E3D" w:rsidRDefault="00961733" w:rsidP="00961733">
      <w:r>
        <w:t xml:space="preserve">Sunscreens, dietary supplements and nutritional products are typically not regulated as medicines under equivalent standards as the TGA in MRA countries.  Where these products are manufactured in the same facility under the same standard and controls with other medicinal products, a </w:t>
      </w:r>
      <w:r w:rsidR="002F36F6">
        <w:t>complementary medicine</w:t>
      </w:r>
      <w:r>
        <w:t xml:space="preserve"> declaration may be accepted along with the most recent GMP Certificate issued by their local regulatory authority for medicinal products. </w:t>
      </w:r>
    </w:p>
    <w:p w14:paraId="26773770" w14:textId="77777777" w:rsidR="00443E3D" w:rsidRPr="00E35186" w:rsidRDefault="00443E3D" w:rsidP="00443E3D">
      <w:pPr>
        <w:pStyle w:val="Heading4"/>
        <w:rPr>
          <w:rFonts w:cs="Arial"/>
        </w:rPr>
      </w:pPr>
      <w:bookmarkStart w:id="151" w:name="_Toc198723761"/>
      <w:r w:rsidRPr="00E35186">
        <w:rPr>
          <w:rFonts w:cs="Arial"/>
        </w:rPr>
        <w:t>What you should provide</w:t>
      </w:r>
      <w:bookmarkEnd w:id="151"/>
    </w:p>
    <w:p w14:paraId="46969AD4" w14:textId="77777777" w:rsidR="00443E3D" w:rsidRPr="00E62F78" w:rsidRDefault="00443E3D" w:rsidP="00443E3D">
      <w:r w:rsidRPr="00E62F78">
        <w:t>Provide a signed and dated declaration. Ensure that the declaration:</w:t>
      </w:r>
    </w:p>
    <w:p w14:paraId="406E94F6" w14:textId="77777777" w:rsidR="00443E3D" w:rsidRPr="00E62F78" w:rsidRDefault="00443E3D" w:rsidP="00443E3D">
      <w:pPr>
        <w:pStyle w:val="ListBullet"/>
        <w:numPr>
          <w:ilvl w:val="0"/>
          <w:numId w:val="2"/>
        </w:numPr>
        <w:rPr>
          <w:color w:val="auto"/>
        </w:rPr>
      </w:pPr>
      <w:r w:rsidRPr="00E62F78">
        <w:rPr>
          <w:color w:val="auto"/>
        </w:rPr>
        <w:t>is provided by the manufacturer on a company letterhead</w:t>
      </w:r>
    </w:p>
    <w:p w14:paraId="6D556DF1" w14:textId="7DBF2C2C" w:rsidR="00443E3D" w:rsidRPr="00E62F78" w:rsidRDefault="00443E3D" w:rsidP="00443E3D">
      <w:pPr>
        <w:pStyle w:val="ListBullet"/>
        <w:numPr>
          <w:ilvl w:val="0"/>
          <w:numId w:val="2"/>
        </w:numPr>
        <w:rPr>
          <w:color w:val="auto"/>
        </w:rPr>
      </w:pPr>
      <w:r w:rsidRPr="00E62F78">
        <w:rPr>
          <w:color w:val="auto"/>
        </w:rPr>
        <w:t xml:space="preserve">has been authorised by an authorised person/qualified person of that manufacturer </w:t>
      </w:r>
    </w:p>
    <w:p w14:paraId="3294EF89" w14:textId="2C026721" w:rsidR="00443E3D" w:rsidRPr="00E62F78" w:rsidRDefault="00443E3D" w:rsidP="00443E3D">
      <w:pPr>
        <w:pStyle w:val="ListBullet"/>
        <w:keepNext/>
        <w:numPr>
          <w:ilvl w:val="0"/>
          <w:numId w:val="2"/>
        </w:numPr>
        <w:ind w:left="357" w:hanging="357"/>
        <w:rPr>
          <w:color w:val="auto"/>
        </w:rPr>
      </w:pPr>
      <w:r w:rsidRPr="00E62F78">
        <w:rPr>
          <w:color w:val="auto"/>
        </w:rPr>
        <w:t xml:space="preserve">confirms that the products listed in the declaration and corresponding </w:t>
      </w:r>
      <w:r w:rsidR="00B323DA">
        <w:rPr>
          <w:color w:val="auto"/>
        </w:rPr>
        <w:t>GMP Clearance</w:t>
      </w:r>
      <w:r w:rsidRPr="00E62F78">
        <w:rPr>
          <w:color w:val="auto"/>
        </w:rPr>
        <w:t xml:space="preserve"> application are manufactured:</w:t>
      </w:r>
    </w:p>
    <w:p w14:paraId="30A5730F" w14:textId="6A860C27" w:rsidR="00961733" w:rsidRPr="00E62F78" w:rsidRDefault="00961733" w:rsidP="00443E3D">
      <w:pPr>
        <w:pStyle w:val="ListBullet2"/>
        <w:rPr>
          <w:color w:val="auto"/>
        </w:rPr>
      </w:pPr>
      <w:r w:rsidRPr="00E62F78">
        <w:rPr>
          <w:color w:val="auto"/>
        </w:rPr>
        <w:t xml:space="preserve">in the same facility (for example, Building ABC / workshop 123 / Clean room XYZ) as those covered by and referenced in the certificate provided as evidence </w:t>
      </w:r>
    </w:p>
    <w:p w14:paraId="563BD619" w14:textId="77777777" w:rsidR="00961733" w:rsidRPr="00E62F78" w:rsidRDefault="00961733" w:rsidP="00443E3D">
      <w:pPr>
        <w:ind w:firstLine="360"/>
        <w:rPr>
          <w:rFonts w:eastAsia="Cambria" w:cs="Times New Roman"/>
        </w:rPr>
      </w:pPr>
      <w:r w:rsidRPr="00E62F78">
        <w:rPr>
          <w:rFonts w:eastAsia="Cambria" w:cs="Times New Roman"/>
        </w:rPr>
        <w:t>AND</w:t>
      </w:r>
    </w:p>
    <w:p w14:paraId="50915A24" w14:textId="4F5866F0" w:rsidR="00961733" w:rsidRPr="00E62F78" w:rsidRDefault="00961733" w:rsidP="00443E3D">
      <w:pPr>
        <w:pStyle w:val="ListBullet2"/>
        <w:rPr>
          <w:color w:val="auto"/>
        </w:rPr>
      </w:pPr>
      <w:r w:rsidRPr="00E62F78">
        <w:rPr>
          <w:color w:val="auto"/>
        </w:rPr>
        <w:t>using a similar manufacturing process and equipment as those covered by and referenced in the certificate provided as evidence</w:t>
      </w:r>
    </w:p>
    <w:p w14:paraId="733C07D8" w14:textId="77777777" w:rsidR="00961733" w:rsidRPr="00E62F78" w:rsidRDefault="00961733" w:rsidP="00443E3D">
      <w:pPr>
        <w:ind w:firstLine="360"/>
        <w:rPr>
          <w:rFonts w:eastAsia="Cambria" w:cs="Times New Roman"/>
        </w:rPr>
      </w:pPr>
      <w:r w:rsidRPr="00E62F78">
        <w:rPr>
          <w:rFonts w:eastAsia="Cambria" w:cs="Times New Roman"/>
        </w:rPr>
        <w:t>AND</w:t>
      </w:r>
    </w:p>
    <w:p w14:paraId="6105D178" w14:textId="77777777" w:rsidR="00961733" w:rsidRPr="00E62F78" w:rsidRDefault="00961733" w:rsidP="00443E3D">
      <w:pPr>
        <w:pStyle w:val="ListBullet2"/>
        <w:rPr>
          <w:color w:val="auto"/>
        </w:rPr>
      </w:pPr>
      <w:r w:rsidRPr="00E62F78">
        <w:rPr>
          <w:color w:val="auto"/>
        </w:rPr>
        <w:t>controlled under the same QMS or PQS as those covered by and referenced in the certificate provided as evidence</w:t>
      </w:r>
    </w:p>
    <w:p w14:paraId="3741C6EE" w14:textId="77777777" w:rsidR="00961733" w:rsidRPr="00E62F78" w:rsidRDefault="00961733" w:rsidP="00443E3D">
      <w:pPr>
        <w:pStyle w:val="ListBullet"/>
        <w:numPr>
          <w:ilvl w:val="0"/>
          <w:numId w:val="0"/>
        </w:numPr>
        <w:ind w:firstLine="360"/>
        <w:rPr>
          <w:color w:val="auto"/>
        </w:rPr>
      </w:pPr>
      <w:r w:rsidRPr="00E62F78">
        <w:rPr>
          <w:color w:val="auto"/>
        </w:rPr>
        <w:t>AND</w:t>
      </w:r>
    </w:p>
    <w:p w14:paraId="7179663C" w14:textId="416E37CB" w:rsidR="00961733" w:rsidRPr="00E62F78" w:rsidRDefault="00961733" w:rsidP="00443E3D">
      <w:pPr>
        <w:pStyle w:val="ListBullet2"/>
        <w:rPr>
          <w:color w:val="auto"/>
        </w:rPr>
      </w:pPr>
      <w:r w:rsidRPr="00E62F78">
        <w:rPr>
          <w:color w:val="auto"/>
        </w:rPr>
        <w:t xml:space="preserve">the declaration should include products intended for supply in Australia and </w:t>
      </w:r>
      <w:r w:rsidR="00B323DA">
        <w:rPr>
          <w:color w:val="auto"/>
        </w:rPr>
        <w:t>GMP Clearance</w:t>
      </w:r>
      <w:r w:rsidRPr="00E62F78">
        <w:rPr>
          <w:color w:val="auto"/>
        </w:rPr>
        <w:t xml:space="preserve"> application number </w:t>
      </w:r>
    </w:p>
    <w:p w14:paraId="700BDD87" w14:textId="77777777" w:rsidR="00443E3D" w:rsidRDefault="00443E3D" w:rsidP="00961733"/>
    <w:p w14:paraId="5953FA77" w14:textId="6212386F" w:rsidR="00961733" w:rsidRPr="00E62F78" w:rsidRDefault="00961733" w:rsidP="00961733">
      <w:r w:rsidRPr="00E62F78">
        <w:t xml:space="preserve">A declaration is </w:t>
      </w:r>
      <w:r w:rsidRPr="00E62F78">
        <w:rPr>
          <w:b/>
          <w:bCs/>
        </w:rPr>
        <w:t>not required</w:t>
      </w:r>
      <w:r w:rsidRPr="00E62F78">
        <w:t xml:space="preserve"> where: </w:t>
      </w:r>
    </w:p>
    <w:p w14:paraId="2D540E55" w14:textId="6D71BBE1" w:rsidR="00961733" w:rsidRPr="00443E3D" w:rsidRDefault="00961733" w:rsidP="00443E3D">
      <w:pPr>
        <w:pStyle w:val="ListBullet"/>
        <w:numPr>
          <w:ilvl w:val="0"/>
          <w:numId w:val="35"/>
        </w:numPr>
        <w:rPr>
          <w:rFonts w:eastAsia="Times New Roman"/>
          <w:b/>
          <w:bCs/>
          <w:color w:val="001871"/>
          <w:sz w:val="32"/>
          <w:szCs w:val="32"/>
        </w:rPr>
      </w:pPr>
      <w:r w:rsidRPr="00E62F78">
        <w:rPr>
          <w:color w:val="auto"/>
        </w:rPr>
        <w:t>the application scope covers testing only</w:t>
      </w:r>
      <w:r>
        <w:br w:type="page"/>
      </w:r>
    </w:p>
    <w:p w14:paraId="0CB6920C" w14:textId="77777777" w:rsidR="00961733" w:rsidRPr="00E35186" w:rsidRDefault="00961733" w:rsidP="00961733">
      <w:pPr>
        <w:pStyle w:val="Heading3"/>
      </w:pPr>
      <w:bookmarkStart w:id="152" w:name="_Toc147929237"/>
      <w:bookmarkStart w:id="153" w:name="_Toc198723762"/>
      <w:r w:rsidRPr="00E35186">
        <w:lastRenderedPageBreak/>
        <w:t>CV pathway documentation</w:t>
      </w:r>
      <w:bookmarkEnd w:id="152"/>
      <w:bookmarkEnd w:id="153"/>
    </w:p>
    <w:p w14:paraId="530D8E8E" w14:textId="77777777" w:rsidR="00961733" w:rsidRDefault="00961733" w:rsidP="00961733">
      <w:r>
        <w:t>If you are using the CV pathway, the following documentation needs to be provided for each manufacturer type. Select each piece of evidence in the table to see further information on the requirements.</w:t>
      </w:r>
    </w:p>
    <w:tbl>
      <w:tblPr>
        <w:tblStyle w:val="TableTGAblue"/>
        <w:tblW w:w="9646" w:type="dxa"/>
        <w:tblLook w:val="04A0" w:firstRow="1" w:lastRow="0" w:firstColumn="1" w:lastColumn="0" w:noHBand="0" w:noVBand="1"/>
      </w:tblPr>
      <w:tblGrid>
        <w:gridCol w:w="2258"/>
        <w:gridCol w:w="1337"/>
        <w:gridCol w:w="1525"/>
        <w:gridCol w:w="1446"/>
        <w:gridCol w:w="1525"/>
        <w:gridCol w:w="1555"/>
      </w:tblGrid>
      <w:tr w:rsidR="00961733" w:rsidRPr="00F20A45" w14:paraId="5DFDE7E5" w14:textId="77777777" w:rsidTr="00423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4A22C044" w14:textId="77777777" w:rsidR="00961733" w:rsidRPr="00F20A45" w:rsidRDefault="00961733" w:rsidP="0042350D">
            <w:pPr>
              <w:rPr>
                <w:rFonts w:asciiTheme="majorHAnsi" w:hAnsiTheme="majorHAnsi" w:cstheme="majorHAnsi"/>
                <w:szCs w:val="22"/>
              </w:rPr>
            </w:pPr>
            <w:r w:rsidRPr="00F20A45">
              <w:rPr>
                <w:rFonts w:asciiTheme="majorHAnsi" w:hAnsiTheme="majorHAnsi" w:cstheme="majorHAnsi"/>
                <w:szCs w:val="22"/>
              </w:rPr>
              <w:t>CV pathway</w:t>
            </w:r>
          </w:p>
        </w:tc>
        <w:tc>
          <w:tcPr>
            <w:tcW w:w="1337" w:type="dxa"/>
            <w:vAlign w:val="center"/>
          </w:tcPr>
          <w:p w14:paraId="3236D303" w14:textId="77777777" w:rsidR="00961733" w:rsidRPr="00F20A45"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F20A45">
              <w:rPr>
                <w:rFonts w:asciiTheme="majorHAnsi" w:hAnsiTheme="majorHAnsi" w:cstheme="majorHAnsi"/>
                <w:szCs w:val="22"/>
              </w:rPr>
              <w:t>Non-Sterile API</w:t>
            </w:r>
          </w:p>
        </w:tc>
        <w:tc>
          <w:tcPr>
            <w:tcW w:w="1525" w:type="dxa"/>
            <w:vAlign w:val="center"/>
          </w:tcPr>
          <w:p w14:paraId="7C49D98D" w14:textId="77777777" w:rsidR="00961733" w:rsidRPr="00F20A45"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F20A45">
              <w:rPr>
                <w:rFonts w:asciiTheme="majorHAnsi" w:hAnsiTheme="majorHAnsi" w:cstheme="majorHAnsi"/>
                <w:szCs w:val="22"/>
              </w:rPr>
              <w:t>Non-Sterile Finished Product</w:t>
            </w:r>
          </w:p>
        </w:tc>
        <w:tc>
          <w:tcPr>
            <w:tcW w:w="1446" w:type="dxa"/>
            <w:vAlign w:val="center"/>
          </w:tcPr>
          <w:p w14:paraId="382BF0A8" w14:textId="77777777" w:rsidR="00961733" w:rsidRPr="00F20A45"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F20A45">
              <w:rPr>
                <w:rFonts w:asciiTheme="majorHAnsi" w:hAnsiTheme="majorHAnsi" w:cstheme="majorHAnsi"/>
                <w:szCs w:val="22"/>
              </w:rPr>
              <w:t>Sterile or Biotech API</w:t>
            </w:r>
          </w:p>
        </w:tc>
        <w:tc>
          <w:tcPr>
            <w:tcW w:w="1525" w:type="dxa"/>
            <w:vAlign w:val="center"/>
          </w:tcPr>
          <w:p w14:paraId="08BC2F62" w14:textId="77777777" w:rsidR="00961733" w:rsidRPr="00F20A45"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F20A45">
              <w:rPr>
                <w:rFonts w:asciiTheme="majorHAnsi" w:hAnsiTheme="majorHAnsi" w:cstheme="majorHAnsi"/>
                <w:szCs w:val="22"/>
              </w:rPr>
              <w:t>Sterile or Biotech Finished Product</w:t>
            </w:r>
          </w:p>
        </w:tc>
        <w:tc>
          <w:tcPr>
            <w:tcW w:w="1555" w:type="dxa"/>
            <w:vAlign w:val="center"/>
          </w:tcPr>
          <w:p w14:paraId="3672679E" w14:textId="77777777" w:rsidR="00961733" w:rsidRPr="00F20A45" w:rsidRDefault="00961733" w:rsidP="0042350D">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F20A45">
              <w:rPr>
                <w:rFonts w:asciiTheme="majorHAnsi" w:hAnsiTheme="majorHAnsi" w:cstheme="majorHAnsi"/>
                <w:szCs w:val="22"/>
              </w:rPr>
              <w:t>Contract Testing Lab or Steriliser</w:t>
            </w:r>
          </w:p>
        </w:tc>
      </w:tr>
      <w:tr w:rsidR="00961733" w:rsidRPr="00221EE2" w14:paraId="61337F64"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70B631AD" w14:textId="0A321847" w:rsidR="00961733" w:rsidRPr="00F20A45" w:rsidRDefault="00961733" w:rsidP="0042350D">
            <w:pPr>
              <w:rPr>
                <w:rFonts w:asciiTheme="minorHAnsi" w:hAnsiTheme="minorHAnsi" w:cstheme="minorHAnsi"/>
                <w:color w:val="auto"/>
                <w:sz w:val="18"/>
                <w:szCs w:val="18"/>
              </w:rPr>
            </w:pPr>
            <w:hyperlink w:anchor="_GMP_certificates" w:history="1">
              <w:r w:rsidRPr="00F20A45">
                <w:rPr>
                  <w:rStyle w:val="Hyperlink"/>
                  <w:rFonts w:asciiTheme="minorHAnsi" w:hAnsiTheme="minorHAnsi" w:cstheme="minorHAnsi"/>
                  <w:sz w:val="18"/>
                  <w:szCs w:val="18"/>
                </w:rPr>
                <w:t>GMP Certificate</w:t>
              </w:r>
            </w:hyperlink>
          </w:p>
        </w:tc>
        <w:tc>
          <w:tcPr>
            <w:tcW w:w="1337" w:type="dxa"/>
            <w:vAlign w:val="center"/>
          </w:tcPr>
          <w:p w14:paraId="189CB2DC"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CF2368C" wp14:editId="33237433">
                  <wp:extent cx="206735" cy="155051"/>
                  <wp:effectExtent l="0" t="0" r="3175" b="0"/>
                  <wp:docPr id="137" name="Picture 137"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4E8662E2"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722D8C1C" wp14:editId="5865083B">
                  <wp:extent cx="206735" cy="155051"/>
                  <wp:effectExtent l="0" t="0" r="3175" b="0"/>
                  <wp:docPr id="86" name="Picture 86"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446" w:type="dxa"/>
            <w:vAlign w:val="center"/>
          </w:tcPr>
          <w:p w14:paraId="148C6473"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6F9953A" wp14:editId="1FDEAB16">
                  <wp:extent cx="206735" cy="155051"/>
                  <wp:effectExtent l="0" t="0" r="3175" b="0"/>
                  <wp:docPr id="87" name="Picture 87"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68F65C47"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C563CBD" wp14:editId="5364FF04">
                  <wp:extent cx="206735" cy="155051"/>
                  <wp:effectExtent l="0" t="0" r="3175" b="0"/>
                  <wp:docPr id="88" name="Picture 88"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4E3EFB17"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64982CEB" wp14:editId="3D0025DD">
                  <wp:extent cx="206735" cy="155051"/>
                  <wp:effectExtent l="0" t="0" r="3175" b="0"/>
                  <wp:docPr id="89" name="Picture 89"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961733" w:rsidRPr="00221EE2" w14:paraId="3C9B8A47"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0FAAF799" w14:textId="77777777" w:rsidR="00961733" w:rsidRPr="00F20A45" w:rsidRDefault="00961733" w:rsidP="0042350D">
            <w:pPr>
              <w:rPr>
                <w:rFonts w:asciiTheme="minorHAnsi" w:hAnsiTheme="minorHAnsi" w:cstheme="minorHAnsi"/>
                <w:color w:val="auto"/>
                <w:sz w:val="18"/>
                <w:szCs w:val="18"/>
              </w:rPr>
            </w:pPr>
            <w:hyperlink w:anchor="_Most_recent_inspection">
              <w:r w:rsidRPr="00F20A45">
                <w:rPr>
                  <w:rStyle w:val="Hyperlink"/>
                  <w:rFonts w:asciiTheme="minorHAnsi" w:hAnsiTheme="minorHAnsi" w:cstheme="minorHAnsi"/>
                  <w:sz w:val="18"/>
                  <w:szCs w:val="18"/>
                </w:rPr>
                <w:t>Most recent inspection report</w:t>
              </w:r>
            </w:hyperlink>
          </w:p>
        </w:tc>
        <w:tc>
          <w:tcPr>
            <w:tcW w:w="1337" w:type="dxa"/>
            <w:vAlign w:val="center"/>
          </w:tcPr>
          <w:p w14:paraId="2CE95B03"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9B957BE" wp14:editId="6667E04C">
                  <wp:extent cx="206735" cy="155051"/>
                  <wp:effectExtent l="0" t="0" r="3175" b="0"/>
                  <wp:docPr id="90" name="Picture 90"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0F553EEF"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A14C05E" wp14:editId="49249A2F">
                  <wp:extent cx="206735" cy="155051"/>
                  <wp:effectExtent l="0" t="0" r="3175" b="0"/>
                  <wp:docPr id="91" name="Picture 9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446" w:type="dxa"/>
            <w:vAlign w:val="center"/>
          </w:tcPr>
          <w:p w14:paraId="545C1D2E"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C3BD438" wp14:editId="3E492556">
                  <wp:extent cx="206735" cy="155051"/>
                  <wp:effectExtent l="0" t="0" r="3175" b="0"/>
                  <wp:docPr id="92" name="Picture 92"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6CD85D0D"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72A288A" wp14:editId="4761F6DF">
                  <wp:extent cx="206735" cy="155051"/>
                  <wp:effectExtent l="0" t="0" r="3175" b="0"/>
                  <wp:docPr id="93" name="Picture 9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4376B8C7"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448A075" wp14:editId="41405B01">
                  <wp:extent cx="206735" cy="155051"/>
                  <wp:effectExtent l="0" t="0" r="3175" b="0"/>
                  <wp:docPr id="94" name="Picture 94"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961733" w:rsidRPr="00221EE2" w14:paraId="5E7DE5E3"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614936B" w14:textId="77777777" w:rsidR="00961733" w:rsidRPr="00F20A45" w:rsidRDefault="00961733" w:rsidP="0042350D">
            <w:pPr>
              <w:rPr>
                <w:rFonts w:asciiTheme="minorHAnsi" w:hAnsiTheme="minorHAnsi" w:cstheme="minorHAnsi"/>
                <w:color w:val="auto"/>
                <w:sz w:val="18"/>
                <w:szCs w:val="18"/>
              </w:rPr>
            </w:pPr>
            <w:hyperlink w:anchor="_Regulatory_inspections_list" w:history="1">
              <w:r w:rsidRPr="00F20A45">
                <w:rPr>
                  <w:rStyle w:val="Hyperlink"/>
                  <w:rFonts w:asciiTheme="minorHAnsi" w:hAnsiTheme="minorHAnsi" w:cstheme="minorHAnsi"/>
                  <w:sz w:val="18"/>
                  <w:szCs w:val="18"/>
                </w:rPr>
                <w:t>Regulatory inspections list</w:t>
              </w:r>
            </w:hyperlink>
          </w:p>
        </w:tc>
        <w:tc>
          <w:tcPr>
            <w:tcW w:w="1337" w:type="dxa"/>
            <w:vAlign w:val="center"/>
          </w:tcPr>
          <w:p w14:paraId="4E68509A"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5CF01F89" wp14:editId="02F6B360">
                  <wp:extent cx="206735" cy="155051"/>
                  <wp:effectExtent l="0" t="0" r="3175" b="0"/>
                  <wp:docPr id="32" name="Picture 32"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12E910E5"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D4C0CDE" wp14:editId="799673D1">
                  <wp:extent cx="206735" cy="155051"/>
                  <wp:effectExtent l="0" t="0" r="3175" b="0"/>
                  <wp:docPr id="33" name="Picture 3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446" w:type="dxa"/>
            <w:vAlign w:val="center"/>
          </w:tcPr>
          <w:p w14:paraId="1239D8B7"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BE62199" wp14:editId="66A3AA0B">
                  <wp:extent cx="206735" cy="155051"/>
                  <wp:effectExtent l="0" t="0" r="3175" b="0"/>
                  <wp:docPr id="34" name="Picture 34"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503BAECF"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2FBF626E" wp14:editId="5C2FE828">
                  <wp:extent cx="206735" cy="155051"/>
                  <wp:effectExtent l="0" t="0" r="3175" b="0"/>
                  <wp:docPr id="35" name="Picture 35"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1CAE1C3C"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4EA2A56" wp14:editId="1666FCFC">
                  <wp:extent cx="206735" cy="155051"/>
                  <wp:effectExtent l="0" t="0" r="3175" b="0"/>
                  <wp:docPr id="36" name="Picture 36"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961733" w:rsidRPr="00221EE2" w14:paraId="05E2EC96"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1EE9293B" w14:textId="77777777" w:rsidR="00961733" w:rsidRPr="00F20A45" w:rsidRDefault="00961733" w:rsidP="0042350D">
            <w:pPr>
              <w:rPr>
                <w:rFonts w:asciiTheme="minorHAnsi" w:hAnsiTheme="minorHAnsi" w:cstheme="minorHAnsi"/>
                <w:color w:val="auto"/>
                <w:sz w:val="18"/>
                <w:szCs w:val="18"/>
              </w:rPr>
            </w:pPr>
            <w:hyperlink w:anchor="_Regulatory_action_details" w:history="1">
              <w:r w:rsidRPr="00F20A45">
                <w:rPr>
                  <w:rStyle w:val="Hyperlink"/>
                  <w:rFonts w:asciiTheme="minorHAnsi" w:hAnsiTheme="minorHAnsi" w:cstheme="minorHAnsi"/>
                  <w:sz w:val="18"/>
                  <w:szCs w:val="18"/>
                </w:rPr>
                <w:t>Regulatory action details</w:t>
              </w:r>
            </w:hyperlink>
          </w:p>
        </w:tc>
        <w:tc>
          <w:tcPr>
            <w:tcW w:w="1337" w:type="dxa"/>
            <w:vAlign w:val="center"/>
          </w:tcPr>
          <w:p w14:paraId="71DF8842"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8041DED" wp14:editId="20FCC06D">
                  <wp:extent cx="206735" cy="155051"/>
                  <wp:effectExtent l="0" t="0" r="3175" b="0"/>
                  <wp:docPr id="37" name="Picture 37"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277B454A"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B6ED956" wp14:editId="06947384">
                  <wp:extent cx="206735" cy="155051"/>
                  <wp:effectExtent l="0" t="0" r="3175" b="0"/>
                  <wp:docPr id="38" name="Picture 38"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446" w:type="dxa"/>
            <w:vAlign w:val="center"/>
          </w:tcPr>
          <w:p w14:paraId="3F1DDE5B"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8203612" wp14:editId="56C6FCF8">
                  <wp:extent cx="206735" cy="155051"/>
                  <wp:effectExtent l="0" t="0" r="3175" b="0"/>
                  <wp:docPr id="39" name="Picture 39"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77E824EB"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2AE3AB49" wp14:editId="7B2EC64A">
                  <wp:extent cx="206735" cy="155051"/>
                  <wp:effectExtent l="0" t="0" r="3175" b="0"/>
                  <wp:docPr id="40" name="Picture 40"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1FDD3FBD"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C79FC9E" wp14:editId="7EDD1D6D">
                  <wp:extent cx="206735" cy="155051"/>
                  <wp:effectExtent l="0" t="0" r="3175" b="0"/>
                  <wp:docPr id="41" name="Picture 4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961733" w:rsidRPr="00221EE2" w14:paraId="0EBD5451"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6D9AEF6F" w14:textId="77777777" w:rsidR="00961733" w:rsidRPr="00F20A45" w:rsidRDefault="00961733" w:rsidP="0042350D">
            <w:pPr>
              <w:rPr>
                <w:rFonts w:asciiTheme="minorHAnsi" w:hAnsiTheme="minorHAnsi" w:cstheme="minorHAnsi"/>
                <w:color w:val="auto"/>
                <w:sz w:val="18"/>
                <w:szCs w:val="18"/>
              </w:rPr>
            </w:pPr>
            <w:hyperlink w:anchor="_Site_master_file" w:history="1">
              <w:r w:rsidRPr="00F20A45">
                <w:rPr>
                  <w:rStyle w:val="Hyperlink"/>
                  <w:rFonts w:asciiTheme="minorHAnsi" w:hAnsiTheme="minorHAnsi" w:cstheme="minorHAnsi"/>
                  <w:sz w:val="18"/>
                  <w:szCs w:val="18"/>
                </w:rPr>
                <w:t>Site Master File (SMF) or equivalent</w:t>
              </w:r>
            </w:hyperlink>
          </w:p>
        </w:tc>
        <w:tc>
          <w:tcPr>
            <w:tcW w:w="1337" w:type="dxa"/>
            <w:vAlign w:val="center"/>
          </w:tcPr>
          <w:p w14:paraId="6BE07753"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3BECB3F" wp14:editId="4987F20C">
                  <wp:extent cx="206735" cy="155051"/>
                  <wp:effectExtent l="0" t="0" r="3175" b="0"/>
                  <wp:docPr id="42" name="Picture 42"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1D4E8AB0"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7F5D9F1B" wp14:editId="45ADCC77">
                  <wp:extent cx="206735" cy="155051"/>
                  <wp:effectExtent l="0" t="0" r="3175" b="0"/>
                  <wp:docPr id="43" name="Picture 4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446" w:type="dxa"/>
            <w:vAlign w:val="center"/>
          </w:tcPr>
          <w:p w14:paraId="692B4C30"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789BC3C" wp14:editId="3A071CD1">
                  <wp:extent cx="206735" cy="155051"/>
                  <wp:effectExtent l="0" t="0" r="3175" b="0"/>
                  <wp:docPr id="44" name="Picture 44"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3D16CDDD"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DE961A8" wp14:editId="3D543ACE">
                  <wp:extent cx="206735" cy="155051"/>
                  <wp:effectExtent l="0" t="0" r="3175" b="0"/>
                  <wp:docPr id="45" name="Picture 45"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2EE47DDD"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6360C355" wp14:editId="12326D32">
                  <wp:extent cx="206735" cy="155051"/>
                  <wp:effectExtent l="0" t="0" r="3175" b="0"/>
                  <wp:docPr id="46" name="Picture 46"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961733" w:rsidRPr="00221EE2" w14:paraId="0CF9832F"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1058506A" w14:textId="77777777" w:rsidR="00961733" w:rsidRPr="00F20A45" w:rsidRDefault="00961733" w:rsidP="0042350D">
            <w:pPr>
              <w:rPr>
                <w:rFonts w:asciiTheme="minorHAnsi" w:hAnsiTheme="minorHAnsi" w:cstheme="minorHAnsi"/>
                <w:color w:val="auto"/>
                <w:sz w:val="18"/>
                <w:szCs w:val="18"/>
              </w:rPr>
            </w:pPr>
            <w:hyperlink w:anchor="_List_of_products" w:history="1">
              <w:r w:rsidRPr="00F20A45">
                <w:rPr>
                  <w:rStyle w:val="Hyperlink"/>
                  <w:rFonts w:asciiTheme="minorHAnsi" w:hAnsiTheme="minorHAnsi" w:cstheme="minorHAnsi"/>
                  <w:sz w:val="18"/>
                  <w:szCs w:val="18"/>
                </w:rPr>
                <w:t>List of products intended for supply</w:t>
              </w:r>
            </w:hyperlink>
          </w:p>
        </w:tc>
        <w:tc>
          <w:tcPr>
            <w:tcW w:w="1337" w:type="dxa"/>
            <w:vAlign w:val="center"/>
          </w:tcPr>
          <w:p w14:paraId="2711B3B3"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393DE6C" wp14:editId="4AC8A51C">
                  <wp:extent cx="206735" cy="155051"/>
                  <wp:effectExtent l="0" t="0" r="3175" b="0"/>
                  <wp:docPr id="47" name="Picture 47"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6D278E8D"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E72EEC7" wp14:editId="6A3F0655">
                  <wp:extent cx="206735" cy="155051"/>
                  <wp:effectExtent l="0" t="0" r="3175" b="0"/>
                  <wp:docPr id="48" name="Picture 48"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446" w:type="dxa"/>
            <w:vAlign w:val="center"/>
          </w:tcPr>
          <w:p w14:paraId="21949DBA"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EE2D402" wp14:editId="2EEBFE22">
                  <wp:extent cx="206735" cy="155051"/>
                  <wp:effectExtent l="0" t="0" r="3175" b="0"/>
                  <wp:docPr id="49" name="Picture 49"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5D73AEA0"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2E813B0A" wp14:editId="2EC2BC8F">
                  <wp:extent cx="206735" cy="155051"/>
                  <wp:effectExtent l="0" t="0" r="3175" b="0"/>
                  <wp:docPr id="50" name="Picture 50"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39FF29F6"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7FC89030" wp14:editId="4C508443">
                  <wp:extent cx="214685" cy="169959"/>
                  <wp:effectExtent l="0" t="0" r="0" b="1905"/>
                  <wp:docPr id="298" name="Picture 298"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r w:rsidR="00961733" w:rsidRPr="00221EE2" w14:paraId="4B5347A8"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5B2A5A1F" w14:textId="77777777" w:rsidR="00961733" w:rsidRPr="00F20A45" w:rsidRDefault="00961733" w:rsidP="0042350D">
            <w:pPr>
              <w:rPr>
                <w:rFonts w:asciiTheme="minorHAnsi" w:hAnsiTheme="minorHAnsi" w:cstheme="minorHAnsi"/>
                <w:color w:val="auto"/>
                <w:sz w:val="18"/>
                <w:szCs w:val="18"/>
              </w:rPr>
            </w:pPr>
            <w:hyperlink w:anchor="_GMP_agreement_or" w:history="1">
              <w:r w:rsidRPr="00F20A45">
                <w:rPr>
                  <w:rStyle w:val="Hyperlink"/>
                  <w:rFonts w:asciiTheme="minorHAnsi" w:hAnsiTheme="minorHAnsi" w:cstheme="minorHAnsi"/>
                  <w:sz w:val="18"/>
                  <w:szCs w:val="18"/>
                </w:rPr>
                <w:t>GMP agreement or equivalent</w:t>
              </w:r>
            </w:hyperlink>
          </w:p>
        </w:tc>
        <w:tc>
          <w:tcPr>
            <w:tcW w:w="1337" w:type="dxa"/>
            <w:vAlign w:val="center"/>
          </w:tcPr>
          <w:p w14:paraId="02D02C02"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47EEDDE0" wp14:editId="31C2A48E">
                  <wp:extent cx="238540" cy="202240"/>
                  <wp:effectExtent l="0" t="0" r="9525" b="7620"/>
                  <wp:docPr id="299" name="Picture 299"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525" w:type="dxa"/>
            <w:vAlign w:val="center"/>
          </w:tcPr>
          <w:p w14:paraId="07350CEA"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32FAEAF" wp14:editId="274D33E9">
                  <wp:extent cx="206735" cy="155051"/>
                  <wp:effectExtent l="0" t="0" r="3175" b="0"/>
                  <wp:docPr id="51" name="Picture 5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446" w:type="dxa"/>
            <w:vAlign w:val="center"/>
          </w:tcPr>
          <w:p w14:paraId="193D2BBA"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57CD3E4C" wp14:editId="77DBBC7A">
                  <wp:extent cx="238540" cy="202240"/>
                  <wp:effectExtent l="0" t="0" r="9525" b="7620"/>
                  <wp:docPr id="292" name="Picture 292"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525" w:type="dxa"/>
            <w:vAlign w:val="center"/>
          </w:tcPr>
          <w:p w14:paraId="5AC34A50"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3DA907A" wp14:editId="32E57169">
                  <wp:extent cx="206735" cy="155051"/>
                  <wp:effectExtent l="0" t="0" r="3175" b="0"/>
                  <wp:docPr id="52" name="Picture 52"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1106C229"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273CA1DD" wp14:editId="5C1A5128">
                  <wp:extent cx="206735" cy="155051"/>
                  <wp:effectExtent l="0" t="0" r="3175" b="0"/>
                  <wp:docPr id="53" name="Picture 5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961733" w:rsidRPr="00221EE2" w14:paraId="36EFA859"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54F0CAAD" w14:textId="77777777" w:rsidR="00961733" w:rsidRPr="00F20A45" w:rsidRDefault="00961733" w:rsidP="0042350D">
            <w:pPr>
              <w:rPr>
                <w:rFonts w:asciiTheme="minorHAnsi" w:hAnsiTheme="minorHAnsi" w:cstheme="minorHAnsi"/>
                <w:color w:val="auto"/>
                <w:sz w:val="18"/>
                <w:szCs w:val="18"/>
              </w:rPr>
            </w:pPr>
            <w:hyperlink w:anchor="_Release_procedure(s)_1" w:history="1">
              <w:r w:rsidRPr="00F20A45">
                <w:rPr>
                  <w:rStyle w:val="Hyperlink"/>
                  <w:rFonts w:asciiTheme="minorHAnsi" w:hAnsiTheme="minorHAnsi" w:cstheme="minorHAnsi"/>
                  <w:sz w:val="18"/>
                  <w:szCs w:val="18"/>
                </w:rPr>
                <w:t>Release procedure(s)</w:t>
              </w:r>
            </w:hyperlink>
          </w:p>
        </w:tc>
        <w:tc>
          <w:tcPr>
            <w:tcW w:w="1337" w:type="dxa"/>
            <w:vAlign w:val="center"/>
          </w:tcPr>
          <w:p w14:paraId="349C361A"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78A85C5F" wp14:editId="6DEC977A">
                  <wp:extent cx="238540" cy="202240"/>
                  <wp:effectExtent l="0" t="0" r="9525" b="7620"/>
                  <wp:docPr id="294" name="Picture 294"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525" w:type="dxa"/>
            <w:vAlign w:val="center"/>
          </w:tcPr>
          <w:p w14:paraId="67D44275"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287C23F9" wp14:editId="3D7CDCA7">
                  <wp:extent cx="206735" cy="155051"/>
                  <wp:effectExtent l="0" t="0" r="3175" b="0"/>
                  <wp:docPr id="54" name="Picture 54"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446" w:type="dxa"/>
            <w:vAlign w:val="center"/>
          </w:tcPr>
          <w:p w14:paraId="5506797D"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7A29BA4C" wp14:editId="2DDCE853">
                  <wp:extent cx="238540" cy="202240"/>
                  <wp:effectExtent l="0" t="0" r="9525" b="7620"/>
                  <wp:docPr id="293" name="Picture 293"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525" w:type="dxa"/>
            <w:vAlign w:val="center"/>
          </w:tcPr>
          <w:p w14:paraId="746F9B54"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EC99597" wp14:editId="667C88BC">
                  <wp:extent cx="206735" cy="155051"/>
                  <wp:effectExtent l="0" t="0" r="3175" b="0"/>
                  <wp:docPr id="56" name="Picture 56"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78A6ED6F"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52968E0E" wp14:editId="74D48F4A">
                  <wp:extent cx="214685" cy="169959"/>
                  <wp:effectExtent l="0" t="0" r="0" b="1905"/>
                  <wp:docPr id="62" name="Picture 62"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r w:rsidR="00961733" w:rsidRPr="00221EE2" w14:paraId="24610C52"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231A1CE6" w14:textId="77777777" w:rsidR="00961733" w:rsidRPr="00F20A45" w:rsidRDefault="00961733" w:rsidP="0042350D">
            <w:pPr>
              <w:rPr>
                <w:rFonts w:asciiTheme="minorHAnsi" w:hAnsiTheme="minorHAnsi" w:cstheme="minorHAnsi"/>
                <w:color w:val="auto"/>
                <w:sz w:val="18"/>
                <w:szCs w:val="18"/>
              </w:rPr>
            </w:pPr>
            <w:hyperlink w:anchor="_Validation_master_plan_1" w:history="1">
              <w:r w:rsidRPr="00F20A45">
                <w:rPr>
                  <w:rStyle w:val="Hyperlink"/>
                  <w:rFonts w:asciiTheme="minorHAnsi" w:hAnsiTheme="minorHAnsi" w:cstheme="minorHAnsi"/>
                  <w:sz w:val="18"/>
                  <w:szCs w:val="18"/>
                </w:rPr>
                <w:t>Validation Master Plan (VMP)</w:t>
              </w:r>
            </w:hyperlink>
          </w:p>
        </w:tc>
        <w:tc>
          <w:tcPr>
            <w:tcW w:w="1337" w:type="dxa"/>
            <w:vAlign w:val="center"/>
          </w:tcPr>
          <w:p w14:paraId="3BD370BB"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198A12C8" wp14:editId="60FF30BC">
                  <wp:extent cx="238540" cy="202240"/>
                  <wp:effectExtent l="0" t="0" r="9525" b="7620"/>
                  <wp:docPr id="295" name="Picture 295"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525" w:type="dxa"/>
            <w:vAlign w:val="center"/>
          </w:tcPr>
          <w:p w14:paraId="39989338"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38FD9156" wp14:editId="72BD5F70">
                  <wp:extent cx="238540" cy="202240"/>
                  <wp:effectExtent l="0" t="0" r="9525" b="7620"/>
                  <wp:docPr id="296" name="Picture 296"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446" w:type="dxa"/>
            <w:vAlign w:val="center"/>
          </w:tcPr>
          <w:p w14:paraId="2D54AAA7"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66034BAA" wp14:editId="277A9BE4">
                  <wp:extent cx="206735" cy="155051"/>
                  <wp:effectExtent l="0" t="0" r="3175" b="0"/>
                  <wp:docPr id="57" name="Picture 57"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2423A44F"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25BB3938" wp14:editId="1A8EE673">
                  <wp:extent cx="206735" cy="155051"/>
                  <wp:effectExtent l="0" t="0" r="3175" b="0"/>
                  <wp:docPr id="58" name="Picture 58"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066323CC"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772B79BA" wp14:editId="59E9DE5D">
                  <wp:extent cx="238540" cy="202240"/>
                  <wp:effectExtent l="0" t="0" r="9525" b="7620"/>
                  <wp:docPr id="301" name="Picture 301"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r>
      <w:tr w:rsidR="00961733" w:rsidRPr="00221EE2" w14:paraId="27B309A4"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3A227D02" w14:textId="77777777" w:rsidR="00961733" w:rsidRPr="00F20A45" w:rsidRDefault="00961733" w:rsidP="0042350D">
            <w:pPr>
              <w:rPr>
                <w:rFonts w:asciiTheme="minorHAnsi" w:hAnsiTheme="minorHAnsi" w:cstheme="minorHAnsi"/>
                <w:color w:val="auto"/>
                <w:sz w:val="18"/>
                <w:szCs w:val="18"/>
              </w:rPr>
            </w:pPr>
            <w:hyperlink w:anchor="_Latest_Product_Quality_1" w:history="1">
              <w:r w:rsidRPr="00F20A45">
                <w:rPr>
                  <w:rStyle w:val="Hyperlink"/>
                  <w:rFonts w:asciiTheme="minorHAnsi" w:hAnsiTheme="minorHAnsi" w:cstheme="minorHAnsi"/>
                  <w:sz w:val="18"/>
                  <w:szCs w:val="18"/>
                </w:rPr>
                <w:t>Latest Product Quality Review (PQR)</w:t>
              </w:r>
            </w:hyperlink>
          </w:p>
        </w:tc>
        <w:tc>
          <w:tcPr>
            <w:tcW w:w="1337" w:type="dxa"/>
            <w:vAlign w:val="center"/>
          </w:tcPr>
          <w:p w14:paraId="582279AF"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7C04711F" wp14:editId="51749C36">
                  <wp:extent cx="238540" cy="202240"/>
                  <wp:effectExtent l="0" t="0" r="9525" b="7620"/>
                  <wp:docPr id="297" name="Picture 297"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525" w:type="dxa"/>
            <w:vAlign w:val="center"/>
          </w:tcPr>
          <w:p w14:paraId="3DA3251C"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01999777" wp14:editId="7C546D85">
                  <wp:extent cx="238540" cy="202240"/>
                  <wp:effectExtent l="0" t="0" r="9525" b="7620"/>
                  <wp:docPr id="300" name="Picture 300"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446" w:type="dxa"/>
            <w:vAlign w:val="center"/>
          </w:tcPr>
          <w:p w14:paraId="36D38AA6"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4DFA777C" wp14:editId="1CC6B248">
                  <wp:extent cx="206735" cy="155051"/>
                  <wp:effectExtent l="0" t="0" r="3175" b="0"/>
                  <wp:docPr id="59" name="Picture 59"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25" w:type="dxa"/>
            <w:vAlign w:val="center"/>
          </w:tcPr>
          <w:p w14:paraId="6C7AD639"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0DB22CA8" wp14:editId="0767DADD">
                  <wp:extent cx="206735" cy="155051"/>
                  <wp:effectExtent l="0" t="0" r="3175" b="0"/>
                  <wp:docPr id="60" name="Picture 60"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555" w:type="dxa"/>
            <w:vAlign w:val="center"/>
          </w:tcPr>
          <w:p w14:paraId="3F793355"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3643FBBF" wp14:editId="691D8F59">
                  <wp:extent cx="214685" cy="169959"/>
                  <wp:effectExtent l="0" t="0" r="0" b="1905"/>
                  <wp:docPr id="63" name="Picture 63"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r w:rsidR="00961733" w:rsidRPr="00221EE2" w14:paraId="216A1DDA" w14:textId="77777777" w:rsidTr="0042350D">
        <w:trPr>
          <w:trHeight w:val="624"/>
        </w:trPr>
        <w:tc>
          <w:tcPr>
            <w:cnfStyle w:val="001000000000" w:firstRow="0" w:lastRow="0" w:firstColumn="1" w:lastColumn="0" w:oddVBand="0" w:evenVBand="0" w:oddHBand="0" w:evenHBand="0" w:firstRowFirstColumn="0" w:firstRowLastColumn="0" w:lastRowFirstColumn="0" w:lastRowLastColumn="0"/>
            <w:tcW w:w="2258" w:type="dxa"/>
            <w:vAlign w:val="center"/>
          </w:tcPr>
          <w:p w14:paraId="1A85902D" w14:textId="77777777" w:rsidR="00961733" w:rsidRPr="00F20A45" w:rsidRDefault="00961733" w:rsidP="0042350D">
            <w:pPr>
              <w:rPr>
                <w:rFonts w:asciiTheme="minorHAnsi" w:hAnsiTheme="minorHAnsi" w:cstheme="minorHAnsi"/>
                <w:color w:val="auto"/>
                <w:sz w:val="18"/>
                <w:szCs w:val="18"/>
              </w:rPr>
            </w:pPr>
            <w:hyperlink w:anchor="_List_of_authorised_1" w:history="1">
              <w:r w:rsidRPr="00F20A45">
                <w:rPr>
                  <w:rStyle w:val="Hyperlink"/>
                  <w:rFonts w:asciiTheme="minorHAnsi" w:hAnsiTheme="minorHAnsi" w:cstheme="minorHAnsi"/>
                  <w:sz w:val="18"/>
                  <w:szCs w:val="18"/>
                </w:rPr>
                <w:t>List of authorised tests</w:t>
              </w:r>
            </w:hyperlink>
          </w:p>
        </w:tc>
        <w:tc>
          <w:tcPr>
            <w:tcW w:w="1337" w:type="dxa"/>
            <w:vAlign w:val="center"/>
          </w:tcPr>
          <w:p w14:paraId="10F8DFA6"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2E1135AE" wp14:editId="654520B6">
                  <wp:extent cx="214685" cy="169959"/>
                  <wp:effectExtent l="0" t="0" r="0" b="1905"/>
                  <wp:docPr id="288" name="Picture 288"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c>
          <w:tcPr>
            <w:tcW w:w="1525" w:type="dxa"/>
            <w:vAlign w:val="center"/>
          </w:tcPr>
          <w:p w14:paraId="36A899DA"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2804D16B" wp14:editId="5BE2AD8B">
                  <wp:extent cx="214685" cy="169959"/>
                  <wp:effectExtent l="0" t="0" r="0" b="1905"/>
                  <wp:docPr id="289" name="Picture 289"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c>
          <w:tcPr>
            <w:tcW w:w="1446" w:type="dxa"/>
            <w:vAlign w:val="center"/>
          </w:tcPr>
          <w:p w14:paraId="7D232306"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222885C4" wp14:editId="07A062A2">
                  <wp:extent cx="214685" cy="169959"/>
                  <wp:effectExtent l="0" t="0" r="0" b="1905"/>
                  <wp:docPr id="290" name="Picture 290"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c>
          <w:tcPr>
            <w:tcW w:w="1525" w:type="dxa"/>
            <w:vAlign w:val="center"/>
          </w:tcPr>
          <w:p w14:paraId="48038D6C"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2EF49DB2" wp14:editId="79527C05">
                  <wp:extent cx="214685" cy="169959"/>
                  <wp:effectExtent l="0" t="0" r="0" b="1905"/>
                  <wp:docPr id="291" name="Picture 291"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c>
          <w:tcPr>
            <w:tcW w:w="1555" w:type="dxa"/>
            <w:vAlign w:val="center"/>
          </w:tcPr>
          <w:p w14:paraId="4B5545F8" w14:textId="77777777" w:rsidR="00961733" w:rsidRPr="00221EE2" w:rsidRDefault="00961733" w:rsidP="004235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6C6CBB28" wp14:editId="2254EABD">
                  <wp:extent cx="206735" cy="155051"/>
                  <wp:effectExtent l="0" t="0" r="3175" b="0"/>
                  <wp:docPr id="61" name="Picture 6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bl>
    <w:p w14:paraId="7F07F71A" w14:textId="77777777" w:rsidR="00961733" w:rsidRDefault="00961733" w:rsidP="00961733">
      <w:pPr>
        <w:tabs>
          <w:tab w:val="left" w:pos="2127"/>
          <w:tab w:val="left" w:pos="4253"/>
        </w:tabs>
      </w:pPr>
      <w:r>
        <w:rPr>
          <w:noProof/>
        </w:rPr>
        <w:drawing>
          <wp:inline distT="0" distB="0" distL="0" distR="0" wp14:anchorId="2EBE1C38" wp14:editId="17D6B9F1">
            <wp:extent cx="190500" cy="152400"/>
            <wp:effectExtent l="0" t="0" r="0" b="0"/>
            <wp:docPr id="55" name="Picture 55"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Requi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DE20D6">
        <w:t xml:space="preserve"> = Required</w:t>
      </w:r>
      <w:r w:rsidRPr="00DE20D6">
        <w:tab/>
      </w:r>
      <w:r w:rsidRPr="00DE20D6">
        <w:rPr>
          <w:noProof/>
          <w:lang w:eastAsia="en-AU"/>
        </w:rPr>
        <w:drawing>
          <wp:inline distT="0" distB="0" distL="0" distR="0" wp14:anchorId="07DEA20E" wp14:editId="02FBB2A1">
            <wp:extent cx="214685" cy="169959"/>
            <wp:effectExtent l="0" t="0" r="0" b="1905"/>
            <wp:docPr id="303" name="Picture 303"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r w:rsidRPr="00DE20D6">
        <w:t xml:space="preserve"> = Not Required</w:t>
      </w:r>
      <w:r w:rsidRPr="00DE20D6">
        <w:tab/>
      </w:r>
      <w:r w:rsidRPr="00DE20D6">
        <w:rPr>
          <w:noProof/>
          <w:lang w:eastAsia="en-AU"/>
        </w:rPr>
        <w:drawing>
          <wp:inline distT="0" distB="0" distL="0" distR="0" wp14:anchorId="0D007F2B" wp14:editId="671B3C55">
            <wp:extent cx="238540" cy="202240"/>
            <wp:effectExtent l="0" t="0" r="9525" b="7620"/>
            <wp:docPr id="302" name="Picture 302"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r w:rsidRPr="00DE20D6">
        <w:t xml:space="preserve"> = Not required unless requested</w:t>
      </w:r>
    </w:p>
    <w:p w14:paraId="3B268789" w14:textId="77777777" w:rsidR="00B568C3" w:rsidRPr="00DE20D6" w:rsidRDefault="00B568C3" w:rsidP="00961733">
      <w:pPr>
        <w:tabs>
          <w:tab w:val="left" w:pos="2127"/>
          <w:tab w:val="left" w:pos="4253"/>
        </w:tabs>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1947FFDC" w14:textId="77777777" w:rsidTr="0042350D">
        <w:tc>
          <w:tcPr>
            <w:tcW w:w="1276" w:type="dxa"/>
            <w:vAlign w:val="center"/>
          </w:tcPr>
          <w:p w14:paraId="6F9FA883" w14:textId="77777777" w:rsidR="00961733" w:rsidRPr="00215D48" w:rsidRDefault="00961733" w:rsidP="0042350D">
            <w:r w:rsidRPr="00215D48">
              <w:rPr>
                <w:noProof/>
                <w:lang w:eastAsia="en-AU"/>
              </w:rPr>
              <w:drawing>
                <wp:inline distT="0" distB="0" distL="0" distR="0" wp14:anchorId="1AE6840E" wp14:editId="1864C8F5">
                  <wp:extent cx="487681" cy="487681"/>
                  <wp:effectExtent l="19050" t="0" r="7619" b="0"/>
                  <wp:docPr id="305" name="Picture 30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B10A465" w14:textId="792FE949" w:rsidR="00961733" w:rsidRDefault="0098739F" w:rsidP="0042350D">
            <w:r w:rsidRPr="0098739F">
              <w:t>Other types of evidence</w:t>
            </w:r>
            <w:r w:rsidR="00961733" w:rsidRPr="00AF5FCC">
              <w:t xml:space="preserve"> </w:t>
            </w:r>
            <w:r w:rsidR="00961733">
              <w:t xml:space="preserve">that are not listed in the tables above may be provided as an alternative to, or to supplement the required evidence. For example, a </w:t>
            </w:r>
            <w:hyperlink w:anchor="_Letters_of_access_1" w:history="1">
              <w:r w:rsidR="00961733" w:rsidRPr="00AF5FCC">
                <w:rPr>
                  <w:rStyle w:val="Hyperlink"/>
                </w:rPr>
                <w:t>Letter of Access (</w:t>
              </w:r>
              <w:proofErr w:type="spellStart"/>
              <w:r w:rsidR="00961733" w:rsidRPr="00AF5FCC">
                <w:rPr>
                  <w:rStyle w:val="Hyperlink"/>
                </w:rPr>
                <w:t>LoA</w:t>
              </w:r>
              <w:proofErr w:type="spellEnd"/>
              <w:r w:rsidR="00961733" w:rsidRPr="00AF5FCC">
                <w:rPr>
                  <w:rStyle w:val="Hyperlink"/>
                </w:rPr>
                <w:t>)</w:t>
              </w:r>
            </w:hyperlink>
            <w:r w:rsidR="00961733">
              <w:t xml:space="preserve"> or an </w:t>
            </w:r>
            <w:hyperlink w:anchor="_API_declaration_1" w:history="1">
              <w:r w:rsidR="00961733" w:rsidRPr="00AF5FCC">
                <w:rPr>
                  <w:rStyle w:val="Hyperlink"/>
                </w:rPr>
                <w:t>API declaration</w:t>
              </w:r>
            </w:hyperlink>
            <w:r w:rsidR="00961733">
              <w:t>.</w:t>
            </w:r>
          </w:p>
          <w:p w14:paraId="287FABCE" w14:textId="77777777" w:rsidR="00961733" w:rsidRDefault="00961733" w:rsidP="0042350D">
            <w:r>
              <w:t xml:space="preserve">To avoid unnecessary delays with your application, these should be provided upfront when lodging an application where applicable. </w:t>
            </w:r>
          </w:p>
          <w:p w14:paraId="44EED401" w14:textId="3A24ADA0" w:rsidR="00961733" w:rsidRPr="00215D48" w:rsidRDefault="00961733" w:rsidP="0042350D">
            <w:r w:rsidRPr="0026029B">
              <w:rPr>
                <w:b/>
              </w:rPr>
              <w:t>Important</w:t>
            </w:r>
            <w:r>
              <w:t xml:space="preserve"> – We may request </w:t>
            </w:r>
            <w:r w:rsidRPr="0026029B">
              <w:rPr>
                <w:b/>
              </w:rPr>
              <w:t>any additional documentation</w:t>
            </w:r>
            <w:r>
              <w:t xml:space="preserve"> or clarification during the </w:t>
            </w:r>
            <w:r w:rsidR="00B323DA">
              <w:t>GMP Clearance</w:t>
            </w:r>
            <w:r>
              <w:t xml:space="preserve"> </w:t>
            </w:r>
            <w:r w:rsidR="000C3F2A">
              <w:t>evaluation</w:t>
            </w:r>
            <w:r>
              <w:t xml:space="preserve"> process.</w:t>
            </w:r>
          </w:p>
        </w:tc>
      </w:tr>
    </w:tbl>
    <w:p w14:paraId="720BEF2B" w14:textId="3604A220" w:rsidR="008E300B" w:rsidRDefault="008E300B" w:rsidP="00397E0B">
      <w:pPr>
        <w:pStyle w:val="Heading4"/>
      </w:pPr>
      <w:bookmarkStart w:id="154" w:name="_GMP_certificates"/>
      <w:bookmarkStart w:id="155" w:name="_Health_Canada_extra-jurisdictional"/>
      <w:bookmarkStart w:id="156" w:name="_Toc198723763"/>
      <w:bookmarkEnd w:id="154"/>
      <w:bookmarkEnd w:id="155"/>
      <w:r>
        <w:lastRenderedPageBreak/>
        <w:t xml:space="preserve">Health Canada </w:t>
      </w:r>
      <w:r w:rsidR="00DD503E">
        <w:t>e</w:t>
      </w:r>
      <w:r>
        <w:t>xtra-jurisdictional inspections</w:t>
      </w:r>
      <w:bookmarkEnd w:id="156"/>
    </w:p>
    <w:p w14:paraId="00E53831" w14:textId="4A96D164" w:rsidR="008E300B" w:rsidRPr="00EA6F65" w:rsidRDefault="008E300B" w:rsidP="00DD503E">
      <w:r>
        <w:t xml:space="preserve">Under the </w:t>
      </w:r>
      <w:hyperlink r:id="rId63" w:anchor="memorandums-of-understanding" w:history="1">
        <w:r w:rsidRPr="00104F02">
          <w:rPr>
            <w:rStyle w:val="Hyperlink"/>
          </w:rPr>
          <w:t>Memorandum of Understanding</w:t>
        </w:r>
      </w:hyperlink>
      <w:r>
        <w:t xml:space="preserve"> between Health Canada and the TGA, </w:t>
      </w:r>
      <w:r w:rsidR="00DD503E">
        <w:t xml:space="preserve">both parties agreed to increase collaboration and reliance on each other’s </w:t>
      </w:r>
      <w:r w:rsidR="00AE3E6B">
        <w:t xml:space="preserve">extra-jurisdictional </w:t>
      </w:r>
      <w:r w:rsidR="00DD503E">
        <w:t>GMP inspections.</w:t>
      </w:r>
      <w:r>
        <w:t xml:space="preserve"> </w:t>
      </w:r>
      <w:r w:rsidR="00DD503E">
        <w:t>D</w:t>
      </w:r>
      <w:r w:rsidRPr="00EA6F65">
        <w:t xml:space="preserve">ue to differences between the respective regulatory frameworks, </w:t>
      </w:r>
      <w:r w:rsidR="00DD503E">
        <w:t>further reliance can only be applied to</w:t>
      </w:r>
      <w:r w:rsidRPr="00EA6F65">
        <w:t>:</w:t>
      </w:r>
    </w:p>
    <w:p w14:paraId="74A968E5" w14:textId="77777777" w:rsidR="008E300B" w:rsidRPr="00397E0B" w:rsidRDefault="008E300B" w:rsidP="008E300B">
      <w:pPr>
        <w:pStyle w:val="ListParagraph"/>
        <w:numPr>
          <w:ilvl w:val="0"/>
          <w:numId w:val="38"/>
        </w:numPr>
        <w:rPr>
          <w:rFonts w:asciiTheme="minorHAnsi" w:hAnsiTheme="minorHAnsi" w:cstheme="minorHAnsi"/>
          <w:b/>
          <w:bCs/>
          <w:szCs w:val="18"/>
        </w:rPr>
      </w:pPr>
      <w:r w:rsidRPr="00397E0B">
        <w:rPr>
          <w:rFonts w:asciiTheme="minorHAnsi" w:hAnsiTheme="minorHAnsi" w:cstheme="minorHAnsi"/>
          <w:b/>
          <w:bCs/>
          <w:sz w:val="20"/>
          <w:szCs w:val="18"/>
        </w:rPr>
        <w:t>Active Pharmaceutical Ingredient (API) manufacturers</w:t>
      </w:r>
    </w:p>
    <w:p w14:paraId="222A02C5" w14:textId="77777777" w:rsidR="008E300B" w:rsidRPr="00397E0B" w:rsidRDefault="008E300B" w:rsidP="008E300B">
      <w:pPr>
        <w:pStyle w:val="ListParagraph"/>
        <w:numPr>
          <w:ilvl w:val="0"/>
          <w:numId w:val="38"/>
        </w:numPr>
        <w:rPr>
          <w:rFonts w:asciiTheme="minorHAnsi" w:hAnsiTheme="minorHAnsi" w:cstheme="minorHAnsi"/>
          <w:b/>
          <w:bCs/>
          <w:szCs w:val="18"/>
        </w:rPr>
      </w:pPr>
      <w:r w:rsidRPr="00397E0B">
        <w:rPr>
          <w:rFonts w:asciiTheme="minorHAnsi" w:hAnsiTheme="minorHAnsi" w:cstheme="minorHAnsi"/>
          <w:b/>
          <w:bCs/>
          <w:sz w:val="20"/>
          <w:szCs w:val="18"/>
        </w:rPr>
        <w:t>Contract testing laboratories</w:t>
      </w:r>
    </w:p>
    <w:p w14:paraId="40B8FC09" w14:textId="77777777" w:rsidR="008E300B" w:rsidRPr="00397E0B" w:rsidRDefault="008E300B" w:rsidP="008E300B">
      <w:pPr>
        <w:pStyle w:val="ListParagraph"/>
        <w:numPr>
          <w:ilvl w:val="0"/>
          <w:numId w:val="38"/>
        </w:numPr>
        <w:rPr>
          <w:rFonts w:asciiTheme="minorHAnsi" w:hAnsiTheme="minorHAnsi" w:cstheme="minorHAnsi"/>
          <w:b/>
          <w:bCs/>
          <w:szCs w:val="18"/>
        </w:rPr>
      </w:pPr>
      <w:r w:rsidRPr="00397E0B">
        <w:rPr>
          <w:rFonts w:asciiTheme="minorHAnsi" w:hAnsiTheme="minorHAnsi" w:cstheme="minorHAnsi"/>
          <w:b/>
          <w:bCs/>
          <w:sz w:val="20"/>
          <w:szCs w:val="18"/>
        </w:rPr>
        <w:t>Contract sterilisers</w:t>
      </w:r>
    </w:p>
    <w:p w14:paraId="077A670A" w14:textId="42968130" w:rsidR="008E300B" w:rsidRDefault="00DD503E" w:rsidP="008E300B">
      <w:r>
        <w:t xml:space="preserve">Where relying on a Health Canada inspection for the above, only </w:t>
      </w:r>
      <w:r w:rsidR="008E300B" w:rsidRPr="00C11270">
        <w:t xml:space="preserve">the following documentation </w:t>
      </w:r>
      <w:r w:rsidR="001A123B">
        <w:t>is required</w:t>
      </w:r>
      <w:r w:rsidR="008E300B" w:rsidRPr="00C11270">
        <w:t>. Select each piece of evidence in the table to see further information on the</w:t>
      </w:r>
      <w:r w:rsidR="00104F02">
        <w:t xml:space="preserve"> specific</w:t>
      </w:r>
      <w:r w:rsidR="008E300B" w:rsidRPr="00C11270">
        <w:t xml:space="preserve"> </w:t>
      </w:r>
      <w:r w:rsidR="00104F02">
        <w:t xml:space="preserve">documentary </w:t>
      </w:r>
      <w:r w:rsidR="008E300B" w:rsidRPr="00C11270">
        <w:t>requirements.</w:t>
      </w:r>
    </w:p>
    <w:tbl>
      <w:tblPr>
        <w:tblStyle w:val="TableTGAblue"/>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559"/>
        <w:gridCol w:w="1984"/>
        <w:gridCol w:w="1843"/>
      </w:tblGrid>
      <w:tr w:rsidR="00397E0B" w:rsidRPr="00F20A45" w14:paraId="0E49AE16" w14:textId="77777777" w:rsidTr="00397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vAlign w:val="center"/>
          </w:tcPr>
          <w:p w14:paraId="0D7809A9" w14:textId="77777777" w:rsidR="00696633" w:rsidRPr="00F20A45" w:rsidRDefault="00696633" w:rsidP="001244D9">
            <w:pPr>
              <w:rPr>
                <w:rFonts w:asciiTheme="majorHAnsi" w:hAnsiTheme="majorHAnsi" w:cstheme="majorHAnsi"/>
                <w:szCs w:val="22"/>
              </w:rPr>
            </w:pPr>
            <w:bookmarkStart w:id="157" w:name="_Hlk184130769"/>
            <w:r w:rsidRPr="00F20A45">
              <w:rPr>
                <w:rFonts w:asciiTheme="majorHAnsi" w:hAnsiTheme="majorHAnsi" w:cstheme="majorHAnsi"/>
                <w:szCs w:val="22"/>
              </w:rPr>
              <w:t>CV pathway</w:t>
            </w:r>
          </w:p>
        </w:tc>
        <w:tc>
          <w:tcPr>
            <w:tcW w:w="1559" w:type="dxa"/>
            <w:vAlign w:val="center"/>
          </w:tcPr>
          <w:p w14:paraId="511741C1" w14:textId="77777777" w:rsidR="00696633" w:rsidRPr="00F20A45" w:rsidRDefault="00696633" w:rsidP="001244D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F20A45">
              <w:rPr>
                <w:rFonts w:asciiTheme="majorHAnsi" w:hAnsiTheme="majorHAnsi" w:cstheme="majorHAnsi"/>
                <w:szCs w:val="22"/>
              </w:rPr>
              <w:t>Non-Sterile API</w:t>
            </w:r>
          </w:p>
        </w:tc>
        <w:tc>
          <w:tcPr>
            <w:tcW w:w="1984" w:type="dxa"/>
            <w:vAlign w:val="center"/>
          </w:tcPr>
          <w:p w14:paraId="0361EABA" w14:textId="77777777" w:rsidR="00696633" w:rsidRPr="00F20A45" w:rsidRDefault="00696633" w:rsidP="001244D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F20A45">
              <w:rPr>
                <w:rFonts w:asciiTheme="majorHAnsi" w:hAnsiTheme="majorHAnsi" w:cstheme="majorHAnsi"/>
                <w:szCs w:val="22"/>
              </w:rPr>
              <w:t>Sterile or Biotech API</w:t>
            </w:r>
          </w:p>
        </w:tc>
        <w:tc>
          <w:tcPr>
            <w:tcW w:w="1843" w:type="dxa"/>
            <w:vAlign w:val="center"/>
          </w:tcPr>
          <w:p w14:paraId="086E65F2" w14:textId="77777777" w:rsidR="00696633" w:rsidRPr="00F20A45" w:rsidRDefault="00696633" w:rsidP="001244D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Cs w:val="22"/>
              </w:rPr>
            </w:pPr>
            <w:r w:rsidRPr="00F20A45">
              <w:rPr>
                <w:rFonts w:asciiTheme="majorHAnsi" w:hAnsiTheme="majorHAnsi" w:cstheme="majorHAnsi"/>
                <w:szCs w:val="22"/>
              </w:rPr>
              <w:t>Contract Testing Lab or Steriliser</w:t>
            </w:r>
          </w:p>
        </w:tc>
      </w:tr>
      <w:tr w:rsidR="00696633" w:rsidRPr="00221EE2" w14:paraId="3F992FC4" w14:textId="77777777" w:rsidTr="00397E0B">
        <w:trPr>
          <w:trHeight w:val="624"/>
        </w:trPr>
        <w:tc>
          <w:tcPr>
            <w:cnfStyle w:val="001000000000" w:firstRow="0" w:lastRow="0" w:firstColumn="1" w:lastColumn="0" w:oddVBand="0" w:evenVBand="0" w:oddHBand="0" w:evenHBand="0" w:firstRowFirstColumn="0" w:firstRowLastColumn="0" w:lastRowFirstColumn="0" w:lastRowLastColumn="0"/>
            <w:tcW w:w="3818" w:type="dxa"/>
            <w:vAlign w:val="center"/>
          </w:tcPr>
          <w:p w14:paraId="3BA84C2C" w14:textId="35C3E6E2" w:rsidR="00696633" w:rsidRPr="00F20A45" w:rsidRDefault="00696633" w:rsidP="001244D9">
            <w:pPr>
              <w:rPr>
                <w:rFonts w:asciiTheme="minorHAnsi" w:hAnsiTheme="minorHAnsi" w:cstheme="minorHAnsi"/>
                <w:color w:val="auto"/>
                <w:sz w:val="18"/>
                <w:szCs w:val="18"/>
              </w:rPr>
            </w:pPr>
            <w:hyperlink w:anchor="_GMP_certificates_2" w:history="1">
              <w:r w:rsidR="001A123B">
                <w:rPr>
                  <w:rStyle w:val="Hyperlink"/>
                  <w:rFonts w:asciiTheme="minorHAnsi" w:hAnsiTheme="minorHAnsi" w:cstheme="minorHAnsi"/>
                  <w:sz w:val="18"/>
                  <w:szCs w:val="18"/>
                </w:rPr>
                <w:t>Inspection Exit Notice</w:t>
              </w:r>
            </w:hyperlink>
          </w:p>
        </w:tc>
        <w:tc>
          <w:tcPr>
            <w:tcW w:w="1559" w:type="dxa"/>
            <w:vAlign w:val="center"/>
          </w:tcPr>
          <w:p w14:paraId="427F0714" w14:textId="77777777" w:rsidR="00696633" w:rsidRPr="00221EE2" w:rsidRDefault="00696633" w:rsidP="001244D9">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CB5453A" wp14:editId="712D710C">
                  <wp:extent cx="206735" cy="155051"/>
                  <wp:effectExtent l="0" t="0" r="3175" b="0"/>
                  <wp:docPr id="562967224" name="Picture 562967224"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984" w:type="dxa"/>
            <w:vAlign w:val="center"/>
          </w:tcPr>
          <w:p w14:paraId="0376F463" w14:textId="77777777" w:rsidR="00696633" w:rsidRPr="00221EE2" w:rsidRDefault="00696633" w:rsidP="001244D9">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3C6CDAFC" wp14:editId="3719D382">
                  <wp:extent cx="206735" cy="155051"/>
                  <wp:effectExtent l="0" t="0" r="3175" b="0"/>
                  <wp:docPr id="1778726043" name="Picture 1778726043"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843" w:type="dxa"/>
            <w:vAlign w:val="center"/>
          </w:tcPr>
          <w:p w14:paraId="1FF2C5C1" w14:textId="77777777" w:rsidR="00696633" w:rsidRPr="00221EE2" w:rsidRDefault="00696633" w:rsidP="001244D9">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5BB1DBAF" wp14:editId="5145B8D2">
                  <wp:extent cx="206735" cy="155051"/>
                  <wp:effectExtent l="0" t="0" r="3175" b="0"/>
                  <wp:docPr id="496793750" name="Picture 496793750"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696633" w:rsidRPr="00221EE2" w14:paraId="63BCA1FF" w14:textId="77777777" w:rsidTr="00397E0B">
        <w:trPr>
          <w:trHeight w:val="624"/>
        </w:trPr>
        <w:tc>
          <w:tcPr>
            <w:cnfStyle w:val="001000000000" w:firstRow="0" w:lastRow="0" w:firstColumn="1" w:lastColumn="0" w:oddVBand="0" w:evenVBand="0" w:oddHBand="0" w:evenHBand="0" w:firstRowFirstColumn="0" w:firstRowLastColumn="0" w:lastRowFirstColumn="0" w:lastRowLastColumn="0"/>
            <w:tcW w:w="3818" w:type="dxa"/>
            <w:vAlign w:val="center"/>
          </w:tcPr>
          <w:p w14:paraId="1ED73B5A" w14:textId="77777777" w:rsidR="00696633" w:rsidRPr="00F20A45" w:rsidRDefault="00696633" w:rsidP="001244D9">
            <w:pPr>
              <w:rPr>
                <w:rFonts w:asciiTheme="minorHAnsi" w:hAnsiTheme="minorHAnsi" w:cstheme="minorHAnsi"/>
                <w:color w:val="auto"/>
                <w:sz w:val="18"/>
                <w:szCs w:val="18"/>
              </w:rPr>
            </w:pPr>
            <w:hyperlink w:anchor="_GMP_agreement_or" w:history="1">
              <w:r w:rsidRPr="00F20A45">
                <w:rPr>
                  <w:rStyle w:val="Hyperlink"/>
                  <w:rFonts w:asciiTheme="minorHAnsi" w:hAnsiTheme="minorHAnsi" w:cstheme="minorHAnsi"/>
                  <w:sz w:val="18"/>
                  <w:szCs w:val="18"/>
                </w:rPr>
                <w:t>GMP agreement or equivalent</w:t>
              </w:r>
            </w:hyperlink>
          </w:p>
        </w:tc>
        <w:tc>
          <w:tcPr>
            <w:tcW w:w="1559" w:type="dxa"/>
            <w:vAlign w:val="center"/>
          </w:tcPr>
          <w:p w14:paraId="420C9C79" w14:textId="77777777" w:rsidR="00696633" w:rsidRPr="00221EE2" w:rsidRDefault="00696633" w:rsidP="001244D9">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5FF2EE0F" wp14:editId="05A38CAB">
                  <wp:extent cx="238540" cy="202240"/>
                  <wp:effectExtent l="0" t="0" r="9525" b="7620"/>
                  <wp:docPr id="1481738301" name="Picture 1481738301"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984" w:type="dxa"/>
            <w:vAlign w:val="center"/>
          </w:tcPr>
          <w:p w14:paraId="1F2E1E5C" w14:textId="77777777" w:rsidR="00696633" w:rsidRPr="00221EE2" w:rsidRDefault="00696633" w:rsidP="001244D9">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58DFE119" wp14:editId="1FCB5DF1">
                  <wp:extent cx="238540" cy="202240"/>
                  <wp:effectExtent l="0" t="0" r="9525" b="7620"/>
                  <wp:docPr id="487641081" name="Picture 487641081"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843" w:type="dxa"/>
            <w:vAlign w:val="center"/>
          </w:tcPr>
          <w:p w14:paraId="4D918C35" w14:textId="77777777" w:rsidR="00696633" w:rsidRPr="00221EE2" w:rsidRDefault="00696633" w:rsidP="001244D9">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12AFCEE9" wp14:editId="7DA16CD9">
                  <wp:extent cx="206735" cy="155051"/>
                  <wp:effectExtent l="0" t="0" r="3175" b="0"/>
                  <wp:docPr id="690834581" name="Picture 690834581"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r>
      <w:tr w:rsidR="00696633" w:rsidRPr="00221EE2" w14:paraId="07621F58" w14:textId="77777777" w:rsidTr="00397E0B">
        <w:trPr>
          <w:trHeight w:val="624"/>
        </w:trPr>
        <w:tc>
          <w:tcPr>
            <w:cnfStyle w:val="001000000000" w:firstRow="0" w:lastRow="0" w:firstColumn="1" w:lastColumn="0" w:oddVBand="0" w:evenVBand="0" w:oddHBand="0" w:evenHBand="0" w:firstRowFirstColumn="0" w:firstRowLastColumn="0" w:lastRowFirstColumn="0" w:lastRowLastColumn="0"/>
            <w:tcW w:w="3818" w:type="dxa"/>
            <w:vAlign w:val="center"/>
          </w:tcPr>
          <w:p w14:paraId="018090E8" w14:textId="77777777" w:rsidR="00696633" w:rsidRPr="00F20A45" w:rsidRDefault="00696633" w:rsidP="001244D9">
            <w:pPr>
              <w:rPr>
                <w:rFonts w:asciiTheme="minorHAnsi" w:hAnsiTheme="minorHAnsi" w:cstheme="minorHAnsi"/>
                <w:color w:val="auto"/>
                <w:sz w:val="18"/>
                <w:szCs w:val="18"/>
              </w:rPr>
            </w:pPr>
            <w:hyperlink w:anchor="_Latest_Product_Quality_1" w:history="1">
              <w:r w:rsidRPr="00F20A45">
                <w:rPr>
                  <w:rStyle w:val="Hyperlink"/>
                  <w:rFonts w:asciiTheme="minorHAnsi" w:hAnsiTheme="minorHAnsi" w:cstheme="minorHAnsi"/>
                  <w:sz w:val="18"/>
                  <w:szCs w:val="18"/>
                </w:rPr>
                <w:t>Latest Product Quality Review (PQR)</w:t>
              </w:r>
            </w:hyperlink>
          </w:p>
        </w:tc>
        <w:tc>
          <w:tcPr>
            <w:tcW w:w="1559" w:type="dxa"/>
            <w:vAlign w:val="center"/>
          </w:tcPr>
          <w:p w14:paraId="3C43BA45" w14:textId="77777777" w:rsidR="00696633" w:rsidRPr="00221EE2" w:rsidRDefault="00696633" w:rsidP="001244D9">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578F7FEC" wp14:editId="372B54CE">
                  <wp:extent cx="238540" cy="202240"/>
                  <wp:effectExtent l="0" t="0" r="9525" b="7620"/>
                  <wp:docPr id="653668365" name="Picture 653668365"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p>
        </w:tc>
        <w:tc>
          <w:tcPr>
            <w:tcW w:w="1984" w:type="dxa"/>
            <w:vAlign w:val="center"/>
          </w:tcPr>
          <w:p w14:paraId="7BC23556" w14:textId="77777777" w:rsidR="00696633" w:rsidRPr="00221EE2" w:rsidRDefault="00696633" w:rsidP="001244D9">
            <w:pPr>
              <w:jc w:val="center"/>
              <w:cnfStyle w:val="000000000000" w:firstRow="0" w:lastRow="0" w:firstColumn="0" w:lastColumn="0" w:oddVBand="0" w:evenVBand="0" w:oddHBand="0" w:evenHBand="0" w:firstRowFirstColumn="0" w:firstRowLastColumn="0" w:lastRowFirstColumn="0" w:lastRowLastColumn="0"/>
              <w:rPr>
                <w:sz w:val="20"/>
                <w:szCs w:val="20"/>
              </w:rPr>
            </w:pPr>
            <w:r w:rsidRPr="00353A69">
              <w:rPr>
                <w:noProof/>
              </w:rPr>
              <w:drawing>
                <wp:inline distT="0" distB="0" distL="0" distR="0" wp14:anchorId="55FDB8DB" wp14:editId="01A99E60">
                  <wp:extent cx="206735" cy="155051"/>
                  <wp:effectExtent l="0" t="0" r="3175" b="0"/>
                  <wp:docPr id="1157899439" name="Picture 1157899439"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843" w:type="dxa"/>
            <w:vAlign w:val="center"/>
          </w:tcPr>
          <w:p w14:paraId="61474D02" w14:textId="77777777" w:rsidR="00696633" w:rsidRPr="00221EE2" w:rsidRDefault="00696633" w:rsidP="001244D9">
            <w:pPr>
              <w:jc w:val="center"/>
              <w:cnfStyle w:val="000000000000" w:firstRow="0"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0587510E" wp14:editId="333D4806">
                  <wp:extent cx="214685" cy="169959"/>
                  <wp:effectExtent l="0" t="0" r="0" b="1905"/>
                  <wp:docPr id="270135097" name="Picture 270135097"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r w:rsidR="00104F02" w:rsidRPr="00221EE2" w14:paraId="7DD29870" w14:textId="77777777" w:rsidTr="00696633">
        <w:trPr>
          <w:trHeight w:val="624"/>
        </w:trPr>
        <w:tc>
          <w:tcPr>
            <w:cnfStyle w:val="001000000000" w:firstRow="0" w:lastRow="0" w:firstColumn="1" w:lastColumn="0" w:oddVBand="0" w:evenVBand="0" w:oddHBand="0" w:evenHBand="0" w:firstRowFirstColumn="0" w:firstRowLastColumn="0" w:lastRowFirstColumn="0" w:lastRowLastColumn="0"/>
            <w:tcW w:w="3818" w:type="dxa"/>
            <w:vAlign w:val="center"/>
          </w:tcPr>
          <w:p w14:paraId="756BCFB2" w14:textId="732C963C" w:rsidR="00104F02" w:rsidRPr="00397E0B" w:rsidRDefault="00104F02" w:rsidP="001244D9">
            <w:pPr>
              <w:rPr>
                <w:rFonts w:asciiTheme="minorHAnsi" w:hAnsiTheme="minorHAnsi" w:cstheme="minorHAnsi"/>
                <w:sz w:val="18"/>
                <w:szCs w:val="18"/>
              </w:rPr>
            </w:pPr>
            <w:hyperlink w:anchor="_API_declaration_1" w:history="1">
              <w:r w:rsidRPr="00397E0B">
                <w:rPr>
                  <w:rStyle w:val="Hyperlink"/>
                  <w:rFonts w:asciiTheme="minorHAnsi" w:hAnsiTheme="minorHAnsi" w:cstheme="minorHAnsi"/>
                  <w:sz w:val="18"/>
                  <w:szCs w:val="18"/>
                </w:rPr>
                <w:t>API declaration</w:t>
              </w:r>
            </w:hyperlink>
            <w:r>
              <w:rPr>
                <w:rFonts w:asciiTheme="minorHAnsi" w:hAnsiTheme="minorHAnsi" w:cstheme="minorHAnsi"/>
                <w:sz w:val="18"/>
                <w:szCs w:val="18"/>
              </w:rPr>
              <w:t>*</w:t>
            </w:r>
            <w:r w:rsidRPr="00397E0B">
              <w:rPr>
                <w:rFonts w:asciiTheme="minorHAnsi" w:hAnsiTheme="minorHAnsi" w:cstheme="minorHAnsi"/>
                <w:sz w:val="18"/>
                <w:szCs w:val="18"/>
              </w:rPr>
              <w:t xml:space="preserve"> </w:t>
            </w:r>
          </w:p>
        </w:tc>
        <w:tc>
          <w:tcPr>
            <w:tcW w:w="1559" w:type="dxa"/>
            <w:vAlign w:val="center"/>
          </w:tcPr>
          <w:p w14:paraId="440BD560" w14:textId="1FF7D838" w:rsidR="00104F02" w:rsidRPr="00397E0B" w:rsidRDefault="00104F02" w:rsidP="001244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18"/>
                <w:szCs w:val="18"/>
              </w:rPr>
            </w:pPr>
            <w:r w:rsidRPr="00353A69">
              <w:rPr>
                <w:noProof/>
              </w:rPr>
              <w:drawing>
                <wp:inline distT="0" distB="0" distL="0" distR="0" wp14:anchorId="022EB044" wp14:editId="542CE4F6">
                  <wp:extent cx="206735" cy="155051"/>
                  <wp:effectExtent l="0" t="0" r="3175" b="0"/>
                  <wp:docPr id="392586590" name="Picture 392586590"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984" w:type="dxa"/>
            <w:vAlign w:val="center"/>
          </w:tcPr>
          <w:p w14:paraId="1505AB81" w14:textId="4D71A98D" w:rsidR="00104F02" w:rsidRPr="00397E0B" w:rsidRDefault="00104F02" w:rsidP="001244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18"/>
                <w:szCs w:val="18"/>
              </w:rPr>
            </w:pPr>
            <w:r w:rsidRPr="00353A69">
              <w:rPr>
                <w:noProof/>
              </w:rPr>
              <w:drawing>
                <wp:inline distT="0" distB="0" distL="0" distR="0" wp14:anchorId="1C8258A5" wp14:editId="4F8F8449">
                  <wp:extent cx="206735" cy="155051"/>
                  <wp:effectExtent l="0" t="0" r="3175" b="0"/>
                  <wp:docPr id="653941405" name="Picture 653941405"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th dark green ti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07399" cy="155549"/>
                          </a:xfrm>
                          <a:prstGeom prst="rect">
                            <a:avLst/>
                          </a:prstGeom>
                        </pic:spPr>
                      </pic:pic>
                    </a:graphicData>
                  </a:graphic>
                </wp:inline>
              </w:drawing>
            </w:r>
          </w:p>
        </w:tc>
        <w:tc>
          <w:tcPr>
            <w:tcW w:w="1843" w:type="dxa"/>
            <w:vAlign w:val="center"/>
          </w:tcPr>
          <w:p w14:paraId="15912F5C" w14:textId="36077B63" w:rsidR="00104F02" w:rsidRPr="00397E0B" w:rsidRDefault="00104F02" w:rsidP="001244D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sz w:val="18"/>
                <w:szCs w:val="18"/>
              </w:rPr>
            </w:pPr>
            <w:r>
              <w:rPr>
                <w:noProof/>
              </w:rPr>
              <w:drawing>
                <wp:inline distT="0" distB="0" distL="0" distR="0" wp14:anchorId="58156519" wp14:editId="47D44BA5">
                  <wp:extent cx="214685" cy="169959"/>
                  <wp:effectExtent l="0" t="0" r="0" b="1905"/>
                  <wp:docPr id="1395879553" name="Picture 1395879553"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p>
        </w:tc>
      </w:tr>
    </w:tbl>
    <w:p w14:paraId="107F4F73" w14:textId="18FE28F1" w:rsidR="00104F02" w:rsidRPr="006D2A92" w:rsidRDefault="00104F02" w:rsidP="00397E0B">
      <w:pPr>
        <w:spacing w:before="120"/>
      </w:pPr>
      <w:bookmarkStart w:id="158" w:name="_Hlk184132622"/>
      <w:bookmarkEnd w:id="157"/>
      <w:r>
        <w:t xml:space="preserve">* </w:t>
      </w:r>
      <w:r w:rsidRPr="006D2A92">
        <w:t>An API declaration is required when the substances in your application were not specifically covered as part of the most recent inspection</w:t>
      </w:r>
      <w:r>
        <w:t>.</w:t>
      </w:r>
    </w:p>
    <w:p w14:paraId="2A193160" w14:textId="1D769DAC" w:rsidR="008E300B" w:rsidRPr="00A520DB" w:rsidRDefault="008E300B" w:rsidP="008E300B">
      <w:bookmarkStart w:id="159" w:name="_Hlk184132001"/>
      <w:bookmarkEnd w:id="158"/>
      <w:r w:rsidRPr="00A520DB">
        <w:rPr>
          <w:noProof/>
        </w:rPr>
        <w:drawing>
          <wp:inline distT="0" distB="0" distL="0" distR="0" wp14:anchorId="24167EE2" wp14:editId="32198381">
            <wp:extent cx="190500" cy="152400"/>
            <wp:effectExtent l="0" t="0" r="0" b="0"/>
            <wp:docPr id="280951137" name="Picture 280951137" descr="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Requir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A520DB">
        <w:t xml:space="preserve"> = Required</w:t>
      </w:r>
      <w:r w:rsidR="000E7EF5">
        <w:tab/>
      </w:r>
      <w:r w:rsidR="000E7EF5">
        <w:tab/>
      </w:r>
      <w:r w:rsidRPr="00A520DB">
        <w:rPr>
          <w:noProof/>
        </w:rPr>
        <w:drawing>
          <wp:inline distT="0" distB="0" distL="0" distR="0" wp14:anchorId="5C6FBED1" wp14:editId="45F843AC">
            <wp:extent cx="214685" cy="169959"/>
            <wp:effectExtent l="0" t="0" r="0" b="1905"/>
            <wp:docPr id="615358380" name="Picture 615358380" descr="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k red x.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14685" cy="169959"/>
                    </a:xfrm>
                    <a:prstGeom prst="rect">
                      <a:avLst/>
                    </a:prstGeom>
                  </pic:spPr>
                </pic:pic>
              </a:graphicData>
            </a:graphic>
          </wp:inline>
        </w:drawing>
      </w:r>
      <w:r w:rsidRPr="00A520DB">
        <w:t xml:space="preserve"> = Not Required</w:t>
      </w:r>
      <w:r w:rsidR="000E7EF5">
        <w:t xml:space="preserve"> </w:t>
      </w:r>
      <w:r w:rsidR="000E7EF5">
        <w:tab/>
      </w:r>
      <w:r w:rsidRPr="00A520DB">
        <w:rPr>
          <w:noProof/>
        </w:rPr>
        <w:drawing>
          <wp:inline distT="0" distB="0" distL="0" distR="0" wp14:anchorId="6048FEF7" wp14:editId="6B6A2FA1">
            <wp:extent cx="238540" cy="202240"/>
            <wp:effectExtent l="0" t="0" r="9525" b="7620"/>
            <wp:docPr id="468565987" name="Picture 468565987" descr="Not required unless requ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6950" cy="200892"/>
                    </a:xfrm>
                    <a:prstGeom prst="rect">
                      <a:avLst/>
                    </a:prstGeom>
                  </pic:spPr>
                </pic:pic>
              </a:graphicData>
            </a:graphic>
          </wp:inline>
        </w:drawing>
      </w:r>
      <w:r w:rsidRPr="00A520DB">
        <w:t xml:space="preserve"> = Not required unless requested</w:t>
      </w:r>
    </w:p>
    <w:bookmarkEnd w:id="159"/>
    <w:p w14:paraId="3137CDB4" w14:textId="77777777" w:rsidR="008E300B" w:rsidRDefault="008E300B" w:rsidP="008E300B">
      <w:pPr>
        <w:rPr>
          <w:lang w:val="en"/>
        </w:rPr>
      </w:pPr>
    </w:p>
    <w:tbl>
      <w:tblPr>
        <w:tblW w:w="9072" w:type="dxa"/>
        <w:tblLayout w:type="fixed"/>
        <w:tblCellMar>
          <w:left w:w="0" w:type="dxa"/>
          <w:right w:w="0" w:type="dxa"/>
        </w:tblCellMar>
        <w:tblLook w:val="04A0" w:firstRow="1" w:lastRow="0" w:firstColumn="1" w:lastColumn="0" w:noHBand="0" w:noVBand="1"/>
      </w:tblPr>
      <w:tblGrid>
        <w:gridCol w:w="1288"/>
        <w:gridCol w:w="7784"/>
      </w:tblGrid>
      <w:tr w:rsidR="00741C25" w:rsidRPr="003A0DCA" w14:paraId="5E68B84C" w14:textId="512F13EE" w:rsidTr="00397E0B">
        <w:trPr>
          <w:cantSplit/>
          <w:trHeight w:val="1362"/>
        </w:trPr>
        <w:tc>
          <w:tcPr>
            <w:tcW w:w="1288" w:type="dxa"/>
            <w:vAlign w:val="center"/>
          </w:tcPr>
          <w:p w14:paraId="44DB3287" w14:textId="77777777" w:rsidR="00741C25" w:rsidRPr="003A0DCA" w:rsidRDefault="00741C25" w:rsidP="001244D9">
            <w:r w:rsidRPr="003A0DCA">
              <w:rPr>
                <w:noProof/>
              </w:rPr>
              <w:drawing>
                <wp:inline distT="0" distB="0" distL="0" distR="0" wp14:anchorId="63B234E3" wp14:editId="46A3DCFA">
                  <wp:extent cx="487681" cy="487681"/>
                  <wp:effectExtent l="19050" t="0" r="7619" b="0"/>
                  <wp:docPr id="77352377" name="Picture 7735237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84" w:type="dxa"/>
            <w:shd w:val="clear" w:color="auto" w:fill="EAEAEA"/>
            <w:tcMar>
              <w:top w:w="170" w:type="dxa"/>
              <w:left w:w="170" w:type="dxa"/>
              <w:bottom w:w="170" w:type="dxa"/>
              <w:right w:w="170" w:type="dxa"/>
            </w:tcMar>
            <w:vAlign w:val="center"/>
          </w:tcPr>
          <w:p w14:paraId="282E5177" w14:textId="7AEEC833" w:rsidR="00741C25" w:rsidRDefault="00741C25" w:rsidP="001244D9">
            <w:r>
              <w:t xml:space="preserve">To ensure the correct </w:t>
            </w:r>
            <w:hyperlink w:anchor="_Fees_for_GMP" w:history="1">
              <w:r w:rsidRPr="007759CE">
                <w:rPr>
                  <w:rStyle w:val="Hyperlink"/>
                </w:rPr>
                <w:t>fees</w:t>
              </w:r>
            </w:hyperlink>
            <w:r>
              <w:t xml:space="preserve"> are raised, please ensure the following options are selected during </w:t>
            </w:r>
            <w:hyperlink r:id="rId64" w:history="1">
              <w:r w:rsidRPr="00397E0B">
                <w:rPr>
                  <w:rStyle w:val="Hyperlink"/>
                </w:rPr>
                <w:t>submission of your application</w:t>
              </w:r>
              <w:r w:rsidRPr="000E7EF5">
                <w:rPr>
                  <w:rStyle w:val="Hyperlink"/>
                </w:rPr>
                <w:t>:</w:t>
              </w:r>
            </w:hyperlink>
          </w:p>
          <w:p w14:paraId="13F815B4" w14:textId="77777777" w:rsidR="00741C25" w:rsidRPr="001244D9" w:rsidRDefault="00741C25" w:rsidP="008E300B">
            <w:pPr>
              <w:pStyle w:val="ListParagraph"/>
              <w:numPr>
                <w:ilvl w:val="0"/>
                <w:numId w:val="39"/>
              </w:numPr>
              <w:rPr>
                <w:rFonts w:asciiTheme="majorHAnsi" w:hAnsiTheme="majorHAnsi" w:cstheme="majorHAnsi"/>
                <w:sz w:val="20"/>
              </w:rPr>
            </w:pPr>
            <w:r w:rsidRPr="001244D9">
              <w:rPr>
                <w:rFonts w:asciiTheme="majorHAnsi" w:hAnsiTheme="majorHAnsi" w:cstheme="majorHAnsi"/>
                <w:sz w:val="20"/>
              </w:rPr>
              <w:t>“Is this a Compliance Verification assessment” = No</w:t>
            </w:r>
          </w:p>
          <w:p w14:paraId="2F655B34" w14:textId="77777777" w:rsidR="00741C25" w:rsidRPr="005B246E" w:rsidRDefault="00741C25" w:rsidP="008E300B">
            <w:pPr>
              <w:pStyle w:val="ListParagraph"/>
              <w:numPr>
                <w:ilvl w:val="0"/>
                <w:numId w:val="39"/>
              </w:numPr>
            </w:pPr>
            <w:r w:rsidRPr="001244D9">
              <w:rPr>
                <w:rFonts w:asciiTheme="majorHAnsi" w:hAnsiTheme="majorHAnsi" w:cstheme="majorHAnsi"/>
                <w:sz w:val="20"/>
              </w:rPr>
              <w:t>Mandatory evidence – 1 Current GMP Certificate = TGA to obtain GMP Certificate</w:t>
            </w:r>
          </w:p>
        </w:tc>
      </w:tr>
    </w:tbl>
    <w:p w14:paraId="2AF2F2C6" w14:textId="6C258F84" w:rsidR="008E300B" w:rsidRDefault="008E300B" w:rsidP="008E300B">
      <w:bookmarkStart w:id="160" w:name="_Toc11250874"/>
      <w:bookmarkStart w:id="161" w:name="_Toc147929238"/>
    </w:p>
    <w:p w14:paraId="7A2F580F" w14:textId="42366EE2" w:rsidR="00961733" w:rsidRPr="00E35186" w:rsidRDefault="00961733" w:rsidP="00961733">
      <w:pPr>
        <w:pStyle w:val="Heading3"/>
      </w:pPr>
      <w:bookmarkStart w:id="162" w:name="_GMP_certificates_2"/>
      <w:bookmarkStart w:id="163" w:name="_Toc198723764"/>
      <w:bookmarkEnd w:id="162"/>
      <w:r w:rsidRPr="00E35186">
        <w:lastRenderedPageBreak/>
        <w:t>GMP certificates</w:t>
      </w:r>
      <w:bookmarkEnd w:id="160"/>
      <w:bookmarkEnd w:id="161"/>
      <w:bookmarkEnd w:id="163"/>
    </w:p>
    <w:p w14:paraId="0552400C" w14:textId="17DFE574" w:rsidR="00961733" w:rsidRPr="00F13A76" w:rsidRDefault="00961733" w:rsidP="00961733">
      <w:pPr>
        <w:pStyle w:val="Heading4"/>
        <w:rPr>
          <w:rFonts w:cs="Arial"/>
        </w:rPr>
      </w:pPr>
      <w:bookmarkStart w:id="164" w:name="_Toc11250875"/>
      <w:bookmarkStart w:id="165" w:name="_Toc147929239"/>
      <w:bookmarkStart w:id="166" w:name="_Toc198723765"/>
      <w:r w:rsidRPr="00F13A76">
        <w:rPr>
          <w:rFonts w:cs="Arial"/>
        </w:rPr>
        <w:t>Why we require it</w:t>
      </w:r>
      <w:bookmarkEnd w:id="164"/>
      <w:bookmarkEnd w:id="165"/>
      <w:bookmarkEnd w:id="166"/>
    </w:p>
    <w:p w14:paraId="3F6FC4EE" w14:textId="6EF3EC13" w:rsidR="00961733" w:rsidRDefault="00961733" w:rsidP="00961733">
      <w:pPr>
        <w:keepNext/>
      </w:pPr>
      <w:r>
        <w:t xml:space="preserve">A GMP certificate from an </w:t>
      </w:r>
      <w:hyperlink r:id="rId65" w:history="1">
        <w:r w:rsidRPr="00014748">
          <w:rPr>
            <w:rStyle w:val="Hyperlink"/>
          </w:rPr>
          <w:t>overseas regulatory authority</w:t>
        </w:r>
      </w:hyperlink>
      <w:r>
        <w:t xml:space="preserve">, issued after an </w:t>
      </w:r>
      <w:r w:rsidRPr="0077509B">
        <w:rPr>
          <w:b/>
          <w:bCs/>
        </w:rPr>
        <w:t>on-site</w:t>
      </w:r>
      <w:r>
        <w:t xml:space="preserve"> inspection was performed, is required because it demonstrates the manufacturer’s compliance with the applicable GMP standard.</w:t>
      </w:r>
    </w:p>
    <w:p w14:paraId="3DE2BD9F" w14:textId="07D93553" w:rsidR="00961733" w:rsidRPr="00F13A76" w:rsidRDefault="00961733" w:rsidP="00961733">
      <w:pPr>
        <w:pStyle w:val="Heading4"/>
        <w:rPr>
          <w:rFonts w:cs="Arial"/>
        </w:rPr>
      </w:pPr>
      <w:bookmarkStart w:id="167" w:name="_Toc11250876"/>
      <w:bookmarkStart w:id="168" w:name="_Toc147929240"/>
      <w:bookmarkStart w:id="169" w:name="_Toc198723766"/>
      <w:r w:rsidRPr="00F13A76">
        <w:rPr>
          <w:rFonts w:cs="Arial"/>
        </w:rPr>
        <w:t>What you should provide</w:t>
      </w:r>
      <w:bookmarkEnd w:id="167"/>
      <w:bookmarkEnd w:id="168"/>
      <w:bookmarkEnd w:id="169"/>
    </w:p>
    <w:p w14:paraId="3E914A76" w14:textId="77777777" w:rsidR="00961733" w:rsidRDefault="00961733" w:rsidP="00961733">
      <w:pPr>
        <w:keepNext/>
      </w:pPr>
      <w:r>
        <w:t xml:space="preserve">Provide a copy of the original GMP certificate, </w:t>
      </w:r>
      <w:hyperlink r:id="rId66" w:history="1">
        <w:proofErr w:type="spellStart"/>
        <w:r w:rsidRPr="1B0DE25A">
          <w:rPr>
            <w:rStyle w:val="Hyperlink"/>
          </w:rPr>
          <w:t>EudraGMDP</w:t>
        </w:r>
        <w:proofErr w:type="spellEnd"/>
      </w:hyperlink>
      <w:r>
        <w:t xml:space="preserve"> certificate</w:t>
      </w:r>
      <w:r w:rsidRPr="00DC794C">
        <w:t xml:space="preserve"> </w:t>
      </w:r>
      <w:r>
        <w:t xml:space="preserve">or </w:t>
      </w:r>
      <w:hyperlink r:id="rId67" w:history="1">
        <w:r w:rsidRPr="004A61D9">
          <w:rPr>
            <w:rStyle w:val="Hyperlink"/>
          </w:rPr>
          <w:t>MHRA GMP certificate</w:t>
        </w:r>
      </w:hyperlink>
      <w:r>
        <w:t>, if available, with your application. Ensure that the:</w:t>
      </w:r>
    </w:p>
    <w:p w14:paraId="66E27891" w14:textId="77777777" w:rsidR="00961733" w:rsidRPr="00D60E97" w:rsidRDefault="00961733" w:rsidP="00961733">
      <w:pPr>
        <w:pStyle w:val="ListBullet"/>
        <w:numPr>
          <w:ilvl w:val="0"/>
          <w:numId w:val="2"/>
        </w:numPr>
        <w:rPr>
          <w:color w:val="auto"/>
        </w:rPr>
      </w:pPr>
      <w:r w:rsidRPr="00D60E97">
        <w:rPr>
          <w:color w:val="auto"/>
        </w:rPr>
        <w:t>certificate is complete, is from a recognised regulatory authority and corresponds to the inspection report provided (where applicable)</w:t>
      </w:r>
    </w:p>
    <w:p w14:paraId="19383B81" w14:textId="77777777" w:rsidR="00961733" w:rsidRPr="00D60E97" w:rsidRDefault="00961733" w:rsidP="00961733">
      <w:pPr>
        <w:pStyle w:val="ListBullet"/>
        <w:numPr>
          <w:ilvl w:val="0"/>
          <w:numId w:val="2"/>
        </w:numPr>
        <w:rPr>
          <w:color w:val="auto"/>
        </w:rPr>
      </w:pPr>
      <w:r w:rsidRPr="00D60E97">
        <w:rPr>
          <w:color w:val="auto"/>
        </w:rPr>
        <w:t>manufacturer’s name and site address are correct</w:t>
      </w:r>
    </w:p>
    <w:p w14:paraId="1D4F7BC3" w14:textId="1EB66299" w:rsidR="00961733" w:rsidRPr="00D60E97" w:rsidRDefault="00961733" w:rsidP="00961733">
      <w:pPr>
        <w:pStyle w:val="ListBullet"/>
        <w:numPr>
          <w:ilvl w:val="0"/>
          <w:numId w:val="2"/>
        </w:numPr>
        <w:rPr>
          <w:color w:val="auto"/>
        </w:rPr>
      </w:pPr>
      <w:r w:rsidRPr="00D60E97">
        <w:rPr>
          <w:color w:val="auto"/>
        </w:rPr>
        <w:t xml:space="preserve">certificate is the most recent issued </w:t>
      </w:r>
      <w:r w:rsidR="00662389">
        <w:rPr>
          <w:color w:val="auto"/>
        </w:rPr>
        <w:t>following an</w:t>
      </w:r>
      <w:r w:rsidR="00662389" w:rsidRPr="00D60E97">
        <w:rPr>
          <w:color w:val="auto"/>
        </w:rPr>
        <w:t xml:space="preserve"> </w:t>
      </w:r>
      <w:r w:rsidRPr="0077509B">
        <w:rPr>
          <w:b/>
          <w:bCs/>
          <w:color w:val="auto"/>
        </w:rPr>
        <w:t>on</w:t>
      </w:r>
      <w:r w:rsidR="00662389" w:rsidRPr="0077509B">
        <w:rPr>
          <w:b/>
          <w:bCs/>
          <w:color w:val="auto"/>
        </w:rPr>
        <w:t>-</w:t>
      </w:r>
      <w:r w:rsidRPr="0077509B">
        <w:rPr>
          <w:b/>
          <w:bCs/>
          <w:color w:val="auto"/>
        </w:rPr>
        <w:t>site</w:t>
      </w:r>
      <w:r w:rsidRPr="00D60E97">
        <w:rPr>
          <w:color w:val="auto"/>
        </w:rPr>
        <w:t xml:space="preserve"> inspection </w:t>
      </w:r>
    </w:p>
    <w:p w14:paraId="0D4BAEA7" w14:textId="77777777" w:rsidR="00961733" w:rsidRPr="00D60E97" w:rsidRDefault="00961733" w:rsidP="00961733">
      <w:pPr>
        <w:pStyle w:val="ListBullet"/>
        <w:numPr>
          <w:ilvl w:val="0"/>
          <w:numId w:val="2"/>
        </w:numPr>
        <w:rPr>
          <w:color w:val="auto"/>
        </w:rPr>
      </w:pPr>
      <w:r w:rsidRPr="00D60E97">
        <w:rPr>
          <w:color w:val="auto"/>
        </w:rPr>
        <w:t>scope of the certificate covers the scope of the application—that is, the sterility, dosage form, and steps of manufacture etc.</w:t>
      </w:r>
    </w:p>
    <w:p w14:paraId="2B77E2BC" w14:textId="5C8BC1EB" w:rsidR="00961733" w:rsidRPr="00D60E97" w:rsidRDefault="00961733" w:rsidP="00961733">
      <w:pPr>
        <w:pStyle w:val="ListBullet"/>
        <w:numPr>
          <w:ilvl w:val="0"/>
          <w:numId w:val="2"/>
        </w:numPr>
        <w:rPr>
          <w:color w:val="auto"/>
        </w:rPr>
      </w:pPr>
      <w:r w:rsidRPr="00D60E97">
        <w:rPr>
          <w:color w:val="auto"/>
        </w:rPr>
        <w:t xml:space="preserve">conditions and/or clarifying remarks on the certificate are understood, </w:t>
      </w:r>
      <w:r>
        <w:rPr>
          <w:color w:val="auto"/>
        </w:rPr>
        <w:t>as</w:t>
      </w:r>
      <w:r w:rsidRPr="00D60E97">
        <w:rPr>
          <w:color w:val="auto"/>
        </w:rPr>
        <w:t xml:space="preserve"> these will be applied to the </w:t>
      </w:r>
      <w:r w:rsidR="00B323DA">
        <w:rPr>
          <w:color w:val="auto"/>
        </w:rPr>
        <w:t>GMP Clearance</w:t>
      </w:r>
      <w:r w:rsidRPr="00D60E97">
        <w:rPr>
          <w:color w:val="auto"/>
        </w:rPr>
        <w:t xml:space="preserve"> where applicable. </w:t>
      </w:r>
    </w:p>
    <w:p w14:paraId="31420444" w14:textId="77777777" w:rsidR="00961733" w:rsidRPr="00F13A76" w:rsidRDefault="00961733" w:rsidP="00961733">
      <w:pPr>
        <w:pStyle w:val="Heading4"/>
        <w:rPr>
          <w:rFonts w:cs="Arial"/>
        </w:rPr>
      </w:pPr>
      <w:bookmarkStart w:id="170" w:name="_Toc11250877"/>
      <w:bookmarkStart w:id="171" w:name="_Toc147929241"/>
      <w:bookmarkStart w:id="172" w:name="_Toc198723767"/>
      <w:r w:rsidRPr="00F13A76">
        <w:rPr>
          <w:rFonts w:cs="Arial"/>
        </w:rPr>
        <w:t>Take particular care</w:t>
      </w:r>
      <w:bookmarkEnd w:id="170"/>
      <w:bookmarkEnd w:id="171"/>
      <w:bookmarkEnd w:id="172"/>
    </w:p>
    <w:p w14:paraId="4CAA607F" w14:textId="77777777" w:rsidR="00961733" w:rsidRPr="00B61295" w:rsidRDefault="00961733" w:rsidP="00961733">
      <w:r w:rsidRPr="00B61295">
        <w:t>Ensure that the certificate has:</w:t>
      </w:r>
    </w:p>
    <w:p w14:paraId="3F44C007" w14:textId="77777777" w:rsidR="00961733" w:rsidRPr="00D60E97" w:rsidRDefault="00961733" w:rsidP="00961733">
      <w:pPr>
        <w:pStyle w:val="ListBullet"/>
        <w:numPr>
          <w:ilvl w:val="0"/>
          <w:numId w:val="2"/>
        </w:numPr>
        <w:rPr>
          <w:color w:val="auto"/>
        </w:rPr>
      </w:pPr>
      <w:r w:rsidRPr="00D60E97">
        <w:rPr>
          <w:color w:val="auto"/>
        </w:rPr>
        <w:t xml:space="preserve">not been issued </w:t>
      </w:r>
      <w:proofErr w:type="gramStart"/>
      <w:r w:rsidRPr="00D60E97">
        <w:rPr>
          <w:color w:val="auto"/>
        </w:rPr>
        <w:t>as a result of</w:t>
      </w:r>
      <w:proofErr w:type="gramEnd"/>
      <w:r w:rsidRPr="00D60E97">
        <w:rPr>
          <w:color w:val="auto"/>
        </w:rPr>
        <w:t xml:space="preserve"> a desktop assessment or remote inspection by an overseas regulator</w:t>
      </w:r>
    </w:p>
    <w:p w14:paraId="4B87A8DB" w14:textId="77777777" w:rsidR="00961733" w:rsidRPr="00D60E97" w:rsidRDefault="00961733" w:rsidP="00961733">
      <w:pPr>
        <w:pStyle w:val="ListBullet"/>
        <w:numPr>
          <w:ilvl w:val="0"/>
          <w:numId w:val="2"/>
        </w:numPr>
        <w:rPr>
          <w:color w:val="auto"/>
        </w:rPr>
      </w:pPr>
      <w:r w:rsidRPr="00D60E97">
        <w:rPr>
          <w:color w:val="auto"/>
        </w:rPr>
        <w:t>not been redacted in any way. Redacted certificates will not be accepted</w:t>
      </w:r>
    </w:p>
    <w:p w14:paraId="2E65AB02" w14:textId="77777777" w:rsidR="00961733" w:rsidRDefault="00961733" w:rsidP="00961733">
      <w:pPr>
        <w:pStyle w:val="ListBullet"/>
        <w:numPr>
          <w:ilvl w:val="0"/>
          <w:numId w:val="2"/>
        </w:numPr>
        <w:rPr>
          <w:color w:val="auto"/>
        </w:rPr>
      </w:pPr>
      <w:r w:rsidRPr="00D60E97">
        <w:rPr>
          <w:color w:val="auto"/>
        </w:rPr>
        <w:t>been issued for human medicinal products</w:t>
      </w:r>
    </w:p>
    <w:p w14:paraId="0D5E3037" w14:textId="77777777" w:rsidR="00961733" w:rsidRPr="00D60E97" w:rsidRDefault="00961733" w:rsidP="00961733">
      <w:pPr>
        <w:pStyle w:val="ListBullet"/>
        <w:numPr>
          <w:ilvl w:val="0"/>
          <w:numId w:val="0"/>
        </w:numPr>
        <w:ind w:left="360"/>
        <w:rPr>
          <w:color w:val="auto"/>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35EB95A5" w14:textId="77777777" w:rsidTr="0042350D">
        <w:tc>
          <w:tcPr>
            <w:tcW w:w="1276" w:type="dxa"/>
            <w:vAlign w:val="center"/>
          </w:tcPr>
          <w:p w14:paraId="716C6234" w14:textId="77777777" w:rsidR="00961733" w:rsidRPr="00215D48" w:rsidRDefault="00961733" w:rsidP="0042350D">
            <w:r w:rsidRPr="00215D48">
              <w:rPr>
                <w:noProof/>
                <w:lang w:eastAsia="en-AU"/>
              </w:rPr>
              <w:drawing>
                <wp:inline distT="0" distB="0" distL="0" distR="0" wp14:anchorId="6D7E177F" wp14:editId="195861B1">
                  <wp:extent cx="487681" cy="487681"/>
                  <wp:effectExtent l="19050" t="0" r="7619" b="0"/>
                  <wp:docPr id="308" name="Picture 308"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90C6740" w14:textId="77777777" w:rsidR="00961733" w:rsidRDefault="00961733" w:rsidP="0042350D">
            <w:r>
              <w:t xml:space="preserve">Manufacturing and Importation Authorisations (MIA), Good Distribution Practice (GDP), veterinary or investigational medicinal product certificates are </w:t>
            </w:r>
            <w:r w:rsidRPr="1B0DE25A">
              <w:rPr>
                <w:b/>
                <w:bCs/>
              </w:rPr>
              <w:t>not acceptable</w:t>
            </w:r>
            <w:r>
              <w:t xml:space="preserve"> to support a </w:t>
            </w:r>
            <w:r w:rsidR="00B323DA">
              <w:t>GMP Clearance</w:t>
            </w:r>
            <w:r>
              <w:t xml:space="preserve"> to register or list a product on the </w:t>
            </w:r>
            <w:hyperlink r:id="rId68">
              <w:r w:rsidRPr="1B0DE25A">
                <w:rPr>
                  <w:rStyle w:val="Hyperlink"/>
                </w:rPr>
                <w:t>ARTG</w:t>
              </w:r>
            </w:hyperlink>
            <w:r>
              <w:t>.</w:t>
            </w:r>
          </w:p>
          <w:p w14:paraId="0C8302C9" w14:textId="77777777" w:rsidR="00104F02" w:rsidRPr="00397E0B" w:rsidRDefault="00104F02" w:rsidP="00104F02">
            <w:pPr>
              <w:rPr>
                <w:rFonts w:asciiTheme="minorHAnsi" w:hAnsiTheme="minorHAnsi" w:cstheme="minorHAnsi"/>
              </w:rPr>
            </w:pPr>
            <w:r w:rsidRPr="00641127">
              <w:rPr>
                <w:b/>
              </w:rPr>
              <w:t>Important</w:t>
            </w:r>
            <w:r>
              <w:t xml:space="preserve"> - Not all regulatory authorities routinely issue GMP certificates as part of their </w:t>
            </w:r>
            <w:r w:rsidRPr="00397E0B">
              <w:rPr>
                <w:rFonts w:asciiTheme="minorHAnsi" w:hAnsiTheme="minorHAnsi" w:cstheme="minorHAnsi"/>
              </w:rPr>
              <w:t>regulatory framework. For example:</w:t>
            </w:r>
          </w:p>
          <w:p w14:paraId="660055E1" w14:textId="190E9EDB" w:rsidR="00104F02" w:rsidRPr="00215D48" w:rsidRDefault="00104F02" w:rsidP="00397E0B">
            <w:pPr>
              <w:pStyle w:val="ListParagraph"/>
              <w:numPr>
                <w:ilvl w:val="0"/>
                <w:numId w:val="41"/>
              </w:numPr>
            </w:pPr>
            <w:r w:rsidRPr="00397E0B">
              <w:rPr>
                <w:rFonts w:asciiTheme="minorHAnsi" w:eastAsiaTheme="minorHAnsi" w:hAnsiTheme="minorHAnsi" w:cstheme="minorHAnsi"/>
                <w:b/>
                <w:bCs/>
                <w:sz w:val="20"/>
              </w:rPr>
              <w:t>Health Canada</w:t>
            </w:r>
            <w:r w:rsidRPr="00397E0B">
              <w:rPr>
                <w:rFonts w:asciiTheme="minorHAnsi" w:hAnsiTheme="minorHAnsi" w:cstheme="minorHAnsi"/>
                <w:sz w:val="20"/>
              </w:rPr>
              <w:t xml:space="preserve"> issues an inspection ‘Exit Notice’, which is acceptable in lieu of a GMP certificate. Health Canada Establishment Licence and GMP certificate for exports </w:t>
            </w:r>
            <w:r w:rsidRPr="00397E0B">
              <w:rPr>
                <w:rFonts w:asciiTheme="minorHAnsi" w:hAnsiTheme="minorHAnsi" w:cstheme="minorHAnsi"/>
                <w:b/>
                <w:bCs/>
                <w:sz w:val="20"/>
              </w:rPr>
              <w:t>are not acceptable</w:t>
            </w:r>
            <w:r w:rsidRPr="00397E0B">
              <w:rPr>
                <w:rFonts w:asciiTheme="minorHAnsi" w:hAnsiTheme="minorHAnsi" w:cstheme="minorHAnsi"/>
                <w:sz w:val="20"/>
              </w:rPr>
              <w:t xml:space="preserve"> as evidence.</w:t>
            </w:r>
          </w:p>
        </w:tc>
      </w:tr>
    </w:tbl>
    <w:p w14:paraId="29D8ACEA" w14:textId="3E026622" w:rsidR="00961733" w:rsidRPr="00F13A76" w:rsidRDefault="00961733" w:rsidP="00961733">
      <w:pPr>
        <w:pStyle w:val="Heading4"/>
        <w:rPr>
          <w:rFonts w:cs="Arial"/>
        </w:rPr>
      </w:pPr>
      <w:bookmarkStart w:id="173" w:name="_Liaison"/>
      <w:bookmarkStart w:id="174" w:name="_Obtain_evidence_for"/>
      <w:bookmarkStart w:id="175" w:name="_Toc147929242"/>
      <w:bookmarkStart w:id="176" w:name="_Toc198723768"/>
      <w:bookmarkEnd w:id="173"/>
      <w:bookmarkEnd w:id="174"/>
      <w:r w:rsidRPr="00F13A76">
        <w:rPr>
          <w:rFonts w:cs="Arial"/>
        </w:rPr>
        <w:t>Obtain evidence for US FDA evidence</w:t>
      </w:r>
      <w:bookmarkEnd w:id="175"/>
      <w:bookmarkEnd w:id="176"/>
    </w:p>
    <w:p w14:paraId="786E5BE7" w14:textId="5ADCD506" w:rsidR="00961733" w:rsidRPr="00117B58" w:rsidRDefault="00961733" w:rsidP="00961733">
      <w:r w:rsidRPr="00117B58">
        <w:t xml:space="preserve">Where you have provided US FDA evidence to be </w:t>
      </w:r>
      <w:r w:rsidR="000C3F2A">
        <w:t>evaluated</w:t>
      </w:r>
      <w:r w:rsidRPr="00117B58">
        <w:t>, we are required to perform a check of the site’s compliance status. Please note:</w:t>
      </w:r>
    </w:p>
    <w:p w14:paraId="3CC8B763" w14:textId="462AA33D" w:rsidR="00961733" w:rsidRPr="00D60E97" w:rsidRDefault="00961733" w:rsidP="00961733">
      <w:pPr>
        <w:pStyle w:val="ListBullet"/>
        <w:numPr>
          <w:ilvl w:val="0"/>
          <w:numId w:val="2"/>
        </w:numPr>
        <w:rPr>
          <w:color w:val="auto"/>
        </w:rPr>
      </w:pPr>
      <w:r w:rsidRPr="00D60E97">
        <w:rPr>
          <w:color w:val="auto"/>
        </w:rPr>
        <w:t xml:space="preserve">a </w:t>
      </w:r>
      <w:hyperlink w:anchor="_How_much_GMP_2">
        <w:r w:rsidRPr="0098739F">
          <w:rPr>
            <w:rStyle w:val="Hyperlink"/>
          </w:rPr>
          <w:t>fee</w:t>
        </w:r>
      </w:hyperlink>
      <w:r w:rsidRPr="0098739F">
        <w:rPr>
          <w:rStyle w:val="Hyperlink"/>
        </w:rPr>
        <w:t xml:space="preserve"> </w:t>
      </w:r>
      <w:r>
        <w:rPr>
          <w:color w:val="auto"/>
        </w:rPr>
        <w:t xml:space="preserve">is applicable </w:t>
      </w:r>
      <w:r w:rsidRPr="00D60E97">
        <w:rPr>
          <w:color w:val="auto"/>
        </w:rPr>
        <w:t>for this service</w:t>
      </w:r>
    </w:p>
    <w:p w14:paraId="5670E0FB" w14:textId="6F915064" w:rsidR="008E300B" w:rsidRPr="00D60E97" w:rsidRDefault="00961733" w:rsidP="00DD503E">
      <w:pPr>
        <w:pStyle w:val="ListBullet"/>
        <w:numPr>
          <w:ilvl w:val="0"/>
          <w:numId w:val="2"/>
        </w:numPr>
        <w:rPr>
          <w:color w:val="auto"/>
        </w:rPr>
      </w:pPr>
      <w:r w:rsidRPr="00D60E97">
        <w:rPr>
          <w:color w:val="auto"/>
        </w:rPr>
        <w:lastRenderedPageBreak/>
        <w:t xml:space="preserve">as this is a real-time check of the site’s compliance status, it is required </w:t>
      </w:r>
      <w:r w:rsidRPr="00D60E97">
        <w:rPr>
          <w:b/>
          <w:bCs/>
          <w:color w:val="auto"/>
        </w:rPr>
        <w:t>for every variation or renewal</w:t>
      </w:r>
      <w:r w:rsidRPr="00D60E97">
        <w:rPr>
          <w:color w:val="auto"/>
        </w:rPr>
        <w:t xml:space="preserve"> of your </w:t>
      </w:r>
      <w:r w:rsidR="00B323DA">
        <w:rPr>
          <w:color w:val="auto"/>
        </w:rPr>
        <w:t>GMP Clearance</w:t>
      </w:r>
      <w:r w:rsidRPr="00D60E97">
        <w:rPr>
          <w:color w:val="auto"/>
        </w:rPr>
        <w:t xml:space="preserve"> where US FDA is used, irrespective of the duration between applications.</w:t>
      </w:r>
    </w:p>
    <w:p w14:paraId="0004083D" w14:textId="5AFBFF01" w:rsidR="00961733" w:rsidRPr="00F13A76" w:rsidRDefault="00961733" w:rsidP="00961733">
      <w:pPr>
        <w:pStyle w:val="Heading3"/>
      </w:pPr>
      <w:bookmarkStart w:id="177" w:name="_Most_recent_inspection"/>
      <w:bookmarkStart w:id="178" w:name="_Toc11250880"/>
      <w:bookmarkStart w:id="179" w:name="_Toc147929243"/>
      <w:bookmarkStart w:id="180" w:name="_Toc198723769"/>
      <w:bookmarkEnd w:id="177"/>
      <w:r w:rsidRPr="00F13A76">
        <w:t>Most recent inspection report</w:t>
      </w:r>
      <w:bookmarkEnd w:id="178"/>
      <w:bookmarkEnd w:id="179"/>
      <w:bookmarkEnd w:id="180"/>
    </w:p>
    <w:p w14:paraId="35BCC123" w14:textId="4946C7A0" w:rsidR="00961733" w:rsidRPr="00F13A76" w:rsidRDefault="00961733" w:rsidP="00961733">
      <w:pPr>
        <w:pStyle w:val="Heading4"/>
        <w:rPr>
          <w:rFonts w:cs="Arial"/>
        </w:rPr>
      </w:pPr>
      <w:bookmarkStart w:id="181" w:name="_Toc11250881"/>
      <w:bookmarkStart w:id="182" w:name="_Toc147929244"/>
      <w:bookmarkStart w:id="183" w:name="_Toc198723770"/>
      <w:r w:rsidRPr="00F13A76">
        <w:rPr>
          <w:rFonts w:cs="Arial"/>
        </w:rPr>
        <w:t>Why we require it</w:t>
      </w:r>
      <w:bookmarkEnd w:id="181"/>
      <w:bookmarkEnd w:id="182"/>
      <w:bookmarkEnd w:id="183"/>
    </w:p>
    <w:p w14:paraId="254A1F4E" w14:textId="3D6E73CC" w:rsidR="00961733" w:rsidRPr="00BD466C" w:rsidRDefault="00961733" w:rsidP="00961733">
      <w:pPr>
        <w:keepNext/>
      </w:pPr>
      <w:r w:rsidRPr="00BD466C">
        <w:t xml:space="preserve">The most recent inspection report issued after a successful </w:t>
      </w:r>
      <w:r w:rsidRPr="00BD466C">
        <w:rPr>
          <w:b/>
          <w:bCs/>
        </w:rPr>
        <w:t>on-site inspection</w:t>
      </w:r>
      <w:r w:rsidRPr="00BD466C">
        <w:t xml:space="preserve"> is required because it provides detail about the overseas regulatory authority’s inspection activities including, but not limited to, which buildings, systems, processes and products were covered during the inspection.</w:t>
      </w:r>
    </w:p>
    <w:p w14:paraId="279FAE88" w14:textId="637D6D1C" w:rsidR="00961733" w:rsidRPr="00F13A76" w:rsidRDefault="00961733" w:rsidP="00961733">
      <w:pPr>
        <w:pStyle w:val="Heading4"/>
        <w:rPr>
          <w:rFonts w:cs="Arial"/>
        </w:rPr>
      </w:pPr>
      <w:bookmarkStart w:id="184" w:name="_Toc11250882"/>
      <w:bookmarkStart w:id="185" w:name="_Toc147929245"/>
      <w:bookmarkStart w:id="186" w:name="_Toc198723771"/>
      <w:r w:rsidRPr="00F13A76">
        <w:rPr>
          <w:rFonts w:cs="Arial"/>
        </w:rPr>
        <w:t>What you should provide</w:t>
      </w:r>
      <w:bookmarkEnd w:id="184"/>
      <w:bookmarkEnd w:id="185"/>
      <w:bookmarkEnd w:id="186"/>
    </w:p>
    <w:p w14:paraId="33F75DEA" w14:textId="77777777" w:rsidR="00961733" w:rsidRDefault="00961733" w:rsidP="00961733">
      <w:pPr>
        <w:keepNext/>
      </w:pPr>
      <w:r>
        <w:t>Provide the most recent inspection report. Ensure that the:</w:t>
      </w:r>
    </w:p>
    <w:p w14:paraId="33DAB0ED" w14:textId="77777777" w:rsidR="00961733" w:rsidRDefault="00961733" w:rsidP="00961733">
      <w:pPr>
        <w:pStyle w:val="ListBullet"/>
        <w:numPr>
          <w:ilvl w:val="0"/>
          <w:numId w:val="2"/>
        </w:numPr>
      </w:pPr>
      <w:r w:rsidRPr="00D60E97">
        <w:rPr>
          <w:color w:val="auto"/>
        </w:rPr>
        <w:t xml:space="preserve">report is from an on-site routine GMP inspection performed by a </w:t>
      </w:r>
      <w:hyperlink r:id="rId69">
        <w:r w:rsidRPr="5AB8732C">
          <w:rPr>
            <w:rStyle w:val="Hyperlink"/>
          </w:rPr>
          <w:t>recognised regulatory authority</w:t>
        </w:r>
      </w:hyperlink>
      <w:r>
        <w:t xml:space="preserve"> </w:t>
      </w:r>
      <w:r w:rsidRPr="00D60E97">
        <w:rPr>
          <w:color w:val="auto"/>
        </w:rPr>
        <w:t>and corresponds to the GMP certificate provided (where applicable).</w:t>
      </w:r>
    </w:p>
    <w:p w14:paraId="67C2428C" w14:textId="77777777" w:rsidR="00961733" w:rsidRPr="00D60E97" w:rsidRDefault="00961733" w:rsidP="00961733">
      <w:pPr>
        <w:pStyle w:val="ListBullet"/>
        <w:numPr>
          <w:ilvl w:val="0"/>
          <w:numId w:val="2"/>
        </w:numPr>
        <w:rPr>
          <w:color w:val="auto"/>
        </w:rPr>
      </w:pPr>
      <w:r w:rsidRPr="00D60E97">
        <w:rPr>
          <w:color w:val="auto"/>
        </w:rPr>
        <w:t>manufacturer’s name and site address are correct</w:t>
      </w:r>
    </w:p>
    <w:p w14:paraId="227FD585" w14:textId="77777777" w:rsidR="00961733" w:rsidRPr="00D60E97" w:rsidRDefault="00961733" w:rsidP="00961733">
      <w:pPr>
        <w:pStyle w:val="ListBullet"/>
        <w:numPr>
          <w:ilvl w:val="0"/>
          <w:numId w:val="2"/>
        </w:numPr>
        <w:rPr>
          <w:color w:val="auto"/>
        </w:rPr>
      </w:pPr>
      <w:r w:rsidRPr="00D60E97">
        <w:rPr>
          <w:color w:val="auto"/>
        </w:rPr>
        <w:t>scope of the inspection report covers the scope of your application—that is, the sterility, dosage form, API, steps of manufacture, systems and buildings covered etc.</w:t>
      </w:r>
    </w:p>
    <w:p w14:paraId="1D2F0EEF" w14:textId="77777777" w:rsidR="00961733" w:rsidRPr="00D60E97" w:rsidRDefault="00961733" w:rsidP="00961733">
      <w:pPr>
        <w:pStyle w:val="ListBullet"/>
        <w:numPr>
          <w:ilvl w:val="0"/>
          <w:numId w:val="2"/>
        </w:numPr>
        <w:rPr>
          <w:color w:val="auto"/>
        </w:rPr>
      </w:pPr>
      <w:r w:rsidRPr="00D60E97">
        <w:rPr>
          <w:color w:val="auto"/>
        </w:rPr>
        <w:t>inspection was conducted to the equivalent GMP standard, for example, the relevant US FDA compliance program</w:t>
      </w:r>
    </w:p>
    <w:p w14:paraId="315CA278" w14:textId="77777777" w:rsidR="00961733" w:rsidRDefault="00961733" w:rsidP="00961733">
      <w:pPr>
        <w:pStyle w:val="ListBullet"/>
        <w:numPr>
          <w:ilvl w:val="0"/>
          <w:numId w:val="2"/>
        </w:numPr>
      </w:pPr>
      <w:r w:rsidRPr="00D60E97">
        <w:rPr>
          <w:color w:val="auto"/>
        </w:rPr>
        <w:t xml:space="preserve">inspection report provided, if from a PIC/S participating authority, aligns to the </w:t>
      </w:r>
      <w:hyperlink r:id="rId70">
        <w:r w:rsidRPr="5AB8732C">
          <w:rPr>
            <w:rStyle w:val="Hyperlink"/>
          </w:rPr>
          <w:t>standard operating procedure PIC/S inspection report format</w:t>
        </w:r>
      </w:hyperlink>
      <w:r>
        <w:t>.</w:t>
      </w:r>
    </w:p>
    <w:p w14:paraId="49D19F8C" w14:textId="77777777" w:rsidR="00961733" w:rsidRPr="00F13A76" w:rsidRDefault="00961733" w:rsidP="00961733">
      <w:pPr>
        <w:pStyle w:val="Heading4"/>
        <w:rPr>
          <w:rFonts w:cs="Arial"/>
        </w:rPr>
      </w:pPr>
      <w:bookmarkStart w:id="187" w:name="_Toc11250883"/>
      <w:bookmarkStart w:id="188" w:name="_Toc147929246"/>
      <w:bookmarkStart w:id="189" w:name="_Toc198723772"/>
      <w:r w:rsidRPr="00F13A76">
        <w:rPr>
          <w:rFonts w:cs="Arial"/>
        </w:rPr>
        <w:t>Take particular care</w:t>
      </w:r>
      <w:bookmarkEnd w:id="187"/>
      <w:bookmarkEnd w:id="188"/>
      <w:bookmarkEnd w:id="189"/>
    </w:p>
    <w:p w14:paraId="09E2A26B" w14:textId="77777777" w:rsidR="00961733" w:rsidRDefault="00961733" w:rsidP="00961733">
      <w:r>
        <w:t>Ensure that the:</w:t>
      </w:r>
    </w:p>
    <w:p w14:paraId="567D8D34" w14:textId="77777777" w:rsidR="00961733" w:rsidRPr="00D60E97" w:rsidRDefault="00961733" w:rsidP="00961733">
      <w:pPr>
        <w:pStyle w:val="ListBullet"/>
        <w:numPr>
          <w:ilvl w:val="0"/>
          <w:numId w:val="2"/>
        </w:numPr>
        <w:rPr>
          <w:color w:val="auto"/>
        </w:rPr>
      </w:pPr>
      <w:r w:rsidRPr="00D60E97">
        <w:rPr>
          <w:color w:val="auto"/>
        </w:rPr>
        <w:t>inspection report contains sufficient information and detail regarding the inspection activities performed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6B533957" w14:textId="77777777" w:rsidTr="0042350D">
        <w:tc>
          <w:tcPr>
            <w:tcW w:w="1276" w:type="dxa"/>
            <w:vAlign w:val="center"/>
          </w:tcPr>
          <w:p w14:paraId="299EF5C9" w14:textId="77777777" w:rsidR="00961733" w:rsidRPr="00215D48" w:rsidRDefault="00961733" w:rsidP="0042350D">
            <w:r w:rsidRPr="00215D48">
              <w:rPr>
                <w:noProof/>
                <w:lang w:eastAsia="en-AU"/>
              </w:rPr>
              <w:drawing>
                <wp:inline distT="0" distB="0" distL="0" distR="0" wp14:anchorId="6EA89532" wp14:editId="54708D75">
                  <wp:extent cx="487681" cy="487681"/>
                  <wp:effectExtent l="19050" t="0" r="7619" b="0"/>
                  <wp:docPr id="310" name="Picture 31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5247D717" w14:textId="77E73FA0" w:rsidR="00961733" w:rsidRPr="00215D48" w:rsidRDefault="00961733" w:rsidP="0042350D">
            <w:r>
              <w:t xml:space="preserve">Insufficient information or lack of detail in the report may be insufficient to issue a </w:t>
            </w:r>
            <w:r w:rsidR="00B323DA">
              <w:t>GMP Clearance</w:t>
            </w:r>
            <w:r>
              <w:t>.</w:t>
            </w:r>
          </w:p>
          <w:p w14:paraId="29137A9A" w14:textId="4FC3DEC9" w:rsidR="00961733" w:rsidRPr="00215D48" w:rsidRDefault="00961733" w:rsidP="0042350D">
            <w:r>
              <w:t xml:space="preserve">Inspection reports issued following a veterinary or investigational medicinal product inspection are </w:t>
            </w:r>
            <w:r w:rsidRPr="5AB8732C">
              <w:rPr>
                <w:b/>
                <w:bCs/>
              </w:rPr>
              <w:t>not acceptable</w:t>
            </w:r>
            <w:r>
              <w:t xml:space="preserve"> to support a </w:t>
            </w:r>
            <w:r w:rsidR="00B323DA">
              <w:t>GMP Clearance</w:t>
            </w:r>
            <w:r>
              <w:t xml:space="preserve"> to register or list a product on the </w:t>
            </w:r>
            <w:hyperlink r:id="rId71" w:history="1">
              <w:r>
                <w:t>ARTG</w:t>
              </w:r>
            </w:hyperlink>
            <w:r>
              <w:t>.</w:t>
            </w:r>
          </w:p>
        </w:tc>
      </w:tr>
    </w:tbl>
    <w:p w14:paraId="72CB9ED0" w14:textId="6CC52749" w:rsidR="00961733" w:rsidRPr="00D60E97" w:rsidRDefault="00961733" w:rsidP="00961733">
      <w:pPr>
        <w:pStyle w:val="ListBullet"/>
        <w:numPr>
          <w:ilvl w:val="0"/>
          <w:numId w:val="2"/>
        </w:numPr>
        <w:rPr>
          <w:color w:val="auto"/>
        </w:rPr>
      </w:pPr>
      <w:r w:rsidRPr="00D60E97">
        <w:rPr>
          <w:color w:val="auto"/>
        </w:rPr>
        <w:t xml:space="preserve">inspection report is sufficiently un-redacted so that an </w:t>
      </w:r>
      <w:r w:rsidR="000C3F2A">
        <w:rPr>
          <w:color w:val="auto"/>
        </w:rPr>
        <w:t>evaluation</w:t>
      </w:r>
      <w:r w:rsidRPr="00D60E97">
        <w:rPr>
          <w:color w:val="auto"/>
        </w:rPr>
        <w:t xml:space="preserve"> can be conducted. Excessively redacted inspection reports will not be accepted</w:t>
      </w:r>
    </w:p>
    <w:p w14:paraId="08480511" w14:textId="6CEAF72C" w:rsidR="00877F5C" w:rsidRPr="00D60E97" w:rsidRDefault="00961733" w:rsidP="00961733">
      <w:pPr>
        <w:pStyle w:val="ListBullet"/>
        <w:numPr>
          <w:ilvl w:val="0"/>
          <w:numId w:val="2"/>
        </w:numPr>
        <w:rPr>
          <w:color w:val="auto"/>
        </w:rPr>
      </w:pPr>
      <w:r w:rsidRPr="00D60E97">
        <w:rPr>
          <w:color w:val="auto"/>
        </w:rPr>
        <w:t>full inspection report is provided. Inspection cover letters, Post Inspection Letters (PIL), pre-approval inspection, close out letters, observation or deficiency lists etc. are not acceptable.</w:t>
      </w:r>
      <w:bookmarkStart w:id="190" w:name="_Hlk150259937"/>
    </w:p>
    <w:p w14:paraId="5BAA9129" w14:textId="77777777" w:rsidR="00961733" w:rsidRPr="00F13A76" w:rsidRDefault="00961733" w:rsidP="00961733">
      <w:pPr>
        <w:pStyle w:val="Heading4"/>
        <w:rPr>
          <w:rFonts w:cs="Arial"/>
        </w:rPr>
      </w:pPr>
      <w:bookmarkStart w:id="191" w:name="_Alternative_evidence_(Health"/>
      <w:bookmarkStart w:id="192" w:name="_Toc147929247"/>
      <w:bookmarkStart w:id="193" w:name="_Toc198723773"/>
      <w:bookmarkEnd w:id="190"/>
      <w:bookmarkEnd w:id="191"/>
      <w:r w:rsidRPr="00F13A76">
        <w:rPr>
          <w:rFonts w:cs="Arial"/>
        </w:rPr>
        <w:t>Alternative evidence (Health Canada Exit Notice only)</w:t>
      </w:r>
      <w:bookmarkEnd w:id="192"/>
      <w:bookmarkEnd w:id="193"/>
    </w:p>
    <w:p w14:paraId="398FC6EF" w14:textId="77777777" w:rsidR="00961733" w:rsidRPr="00D60E97" w:rsidRDefault="00961733" w:rsidP="00961733">
      <w:pPr>
        <w:pStyle w:val="ListBullet"/>
        <w:numPr>
          <w:ilvl w:val="0"/>
          <w:numId w:val="0"/>
        </w:numPr>
        <w:rPr>
          <w:color w:val="auto"/>
          <w:lang w:val="en"/>
        </w:rPr>
      </w:pPr>
      <w:r w:rsidRPr="00D60E97">
        <w:rPr>
          <w:color w:val="auto"/>
          <w:lang w:val="en"/>
        </w:rPr>
        <w:t xml:space="preserve">When using an Exit notice issued by Health Canada (HC), we will be required to liaise with them to obtain further evidence related to the inspection activities performed at the manufacturing site as the document does not contain sufficient information about the on-site inspection on its own. </w:t>
      </w:r>
    </w:p>
    <w:p w14:paraId="5BCF8E06" w14:textId="5AE4CF5D" w:rsidR="00961733" w:rsidRDefault="00961733" w:rsidP="00961733">
      <w:pPr>
        <w:pStyle w:val="ListBullet"/>
        <w:numPr>
          <w:ilvl w:val="0"/>
          <w:numId w:val="0"/>
        </w:numPr>
        <w:rPr>
          <w:color w:val="auto"/>
          <w:lang w:val="en"/>
        </w:rPr>
      </w:pPr>
      <w:r w:rsidRPr="00D60E97">
        <w:rPr>
          <w:color w:val="auto"/>
          <w:lang w:val="en"/>
        </w:rPr>
        <w:lastRenderedPageBreak/>
        <w:t xml:space="preserve">Given the additional liaising requirement for the TGA to obtain further evidence from HC, the liaison </w:t>
      </w:r>
      <w:hyperlink w:anchor="_How_much_GMP_2">
        <w:r w:rsidRPr="006E2181">
          <w:rPr>
            <w:rStyle w:val="Hyperlink"/>
          </w:rPr>
          <w:t>fee</w:t>
        </w:r>
      </w:hyperlink>
      <w:r w:rsidRPr="00D60E97">
        <w:rPr>
          <w:rStyle w:val="Hyperlink"/>
          <w:color w:val="auto"/>
          <w:u w:val="none"/>
        </w:rPr>
        <w:t xml:space="preserve"> </w:t>
      </w:r>
      <w:r w:rsidRPr="00D60E97">
        <w:rPr>
          <w:color w:val="auto"/>
          <w:lang w:val="en"/>
        </w:rPr>
        <w:t>will be applicable to all CV clearance applications submitted using HC exit notices.</w:t>
      </w:r>
    </w:p>
    <w:p w14:paraId="41CA9C7C" w14:textId="55E5EAC2" w:rsidR="00DD503E" w:rsidRPr="00EA6F65" w:rsidRDefault="00DD503E" w:rsidP="00DD503E">
      <w:r>
        <w:t xml:space="preserve">The CV fee, however, is </w:t>
      </w:r>
      <w:r w:rsidRPr="00397E0B">
        <w:rPr>
          <w:b/>
          <w:bCs/>
        </w:rPr>
        <w:t>not required</w:t>
      </w:r>
      <w:r>
        <w:t xml:space="preserve"> for the following scopes</w:t>
      </w:r>
      <w:r w:rsidRPr="00EA6F65">
        <w:t>:</w:t>
      </w:r>
    </w:p>
    <w:p w14:paraId="14E20DDA" w14:textId="77777777" w:rsidR="00DD503E" w:rsidRPr="001244D9" w:rsidRDefault="00DD503E" w:rsidP="00DD503E">
      <w:pPr>
        <w:pStyle w:val="ListParagraph"/>
        <w:numPr>
          <w:ilvl w:val="0"/>
          <w:numId w:val="38"/>
        </w:numPr>
        <w:rPr>
          <w:rFonts w:asciiTheme="minorHAnsi" w:hAnsiTheme="minorHAnsi" w:cstheme="minorHAnsi"/>
          <w:szCs w:val="18"/>
        </w:rPr>
      </w:pPr>
      <w:r w:rsidRPr="001244D9">
        <w:rPr>
          <w:rFonts w:asciiTheme="minorHAnsi" w:hAnsiTheme="minorHAnsi" w:cstheme="minorHAnsi"/>
          <w:sz w:val="20"/>
          <w:szCs w:val="18"/>
        </w:rPr>
        <w:t>Active Pharmaceutical Ingredient (API) manufacturers</w:t>
      </w:r>
    </w:p>
    <w:p w14:paraId="3F3A1EA4" w14:textId="77777777" w:rsidR="00DD503E" w:rsidRPr="001244D9" w:rsidRDefault="00DD503E" w:rsidP="00DD503E">
      <w:pPr>
        <w:pStyle w:val="ListParagraph"/>
        <w:numPr>
          <w:ilvl w:val="0"/>
          <w:numId w:val="38"/>
        </w:numPr>
        <w:rPr>
          <w:rFonts w:asciiTheme="minorHAnsi" w:hAnsiTheme="minorHAnsi" w:cstheme="minorHAnsi"/>
          <w:szCs w:val="18"/>
        </w:rPr>
      </w:pPr>
      <w:r w:rsidRPr="001244D9">
        <w:rPr>
          <w:rFonts w:asciiTheme="minorHAnsi" w:hAnsiTheme="minorHAnsi" w:cstheme="minorHAnsi"/>
          <w:sz w:val="20"/>
          <w:szCs w:val="18"/>
        </w:rPr>
        <w:t>Contract testing laboratories</w:t>
      </w:r>
    </w:p>
    <w:p w14:paraId="33B64721" w14:textId="77777777" w:rsidR="00DD503E" w:rsidRPr="001244D9" w:rsidRDefault="00DD503E" w:rsidP="00DD503E">
      <w:pPr>
        <w:pStyle w:val="ListParagraph"/>
        <w:numPr>
          <w:ilvl w:val="0"/>
          <w:numId w:val="38"/>
        </w:numPr>
        <w:rPr>
          <w:rFonts w:asciiTheme="minorHAnsi" w:hAnsiTheme="minorHAnsi" w:cstheme="minorHAnsi"/>
          <w:szCs w:val="18"/>
        </w:rPr>
      </w:pPr>
      <w:r w:rsidRPr="001244D9">
        <w:rPr>
          <w:rFonts w:asciiTheme="minorHAnsi" w:hAnsiTheme="minorHAnsi" w:cstheme="minorHAnsi"/>
          <w:sz w:val="20"/>
          <w:szCs w:val="18"/>
        </w:rPr>
        <w:t>Contract sterilisers</w:t>
      </w:r>
    </w:p>
    <w:p w14:paraId="448855CB" w14:textId="77777777" w:rsidR="00961733" w:rsidRPr="00F13A76" w:rsidRDefault="00961733" w:rsidP="00961733">
      <w:pPr>
        <w:pStyle w:val="Heading3"/>
      </w:pPr>
      <w:bookmarkStart w:id="194" w:name="_Regulatory_inspections_list"/>
      <w:bookmarkStart w:id="195" w:name="_Toc11250884"/>
      <w:bookmarkStart w:id="196" w:name="_Toc147929248"/>
      <w:bookmarkStart w:id="197" w:name="_Toc198723774"/>
      <w:bookmarkEnd w:id="194"/>
      <w:r w:rsidRPr="00F13A76">
        <w:t>Regulatory inspections list</w:t>
      </w:r>
      <w:bookmarkEnd w:id="195"/>
      <w:bookmarkEnd w:id="196"/>
      <w:bookmarkEnd w:id="197"/>
    </w:p>
    <w:p w14:paraId="3D502FE0" w14:textId="77777777" w:rsidR="00961733" w:rsidRPr="00F13A76" w:rsidRDefault="00961733" w:rsidP="00961733">
      <w:pPr>
        <w:pStyle w:val="Heading4"/>
        <w:rPr>
          <w:rFonts w:cs="Arial"/>
        </w:rPr>
      </w:pPr>
      <w:bookmarkStart w:id="198" w:name="_Toc11250885"/>
      <w:bookmarkStart w:id="199" w:name="_Toc147929249"/>
      <w:bookmarkStart w:id="200" w:name="_Toc198723775"/>
      <w:r w:rsidRPr="00F13A76">
        <w:rPr>
          <w:rFonts w:cs="Arial"/>
        </w:rPr>
        <w:t>Why we require it</w:t>
      </w:r>
      <w:bookmarkEnd w:id="198"/>
      <w:bookmarkEnd w:id="199"/>
      <w:bookmarkEnd w:id="200"/>
    </w:p>
    <w:p w14:paraId="48498A21" w14:textId="77777777" w:rsidR="00961733" w:rsidRPr="006E2181" w:rsidRDefault="00961733" w:rsidP="00961733">
      <w:r w:rsidRPr="006E2181">
        <w:t>The regulatory inspections list is required because it provides information on the compliance history of the site including the frequency and outcomes of past inspections performed by local and/or international regulatory authorities.</w:t>
      </w:r>
    </w:p>
    <w:p w14:paraId="4844E117" w14:textId="77777777" w:rsidR="00961733" w:rsidRPr="00773CC5" w:rsidRDefault="00961733" w:rsidP="00773CC5">
      <w:pPr>
        <w:pStyle w:val="Heading4"/>
        <w:rPr>
          <w:rFonts w:cs="Arial"/>
        </w:rPr>
      </w:pPr>
      <w:bookmarkStart w:id="201" w:name="_Toc198723776"/>
      <w:r w:rsidRPr="00773CC5">
        <w:rPr>
          <w:rFonts w:cs="Arial"/>
        </w:rPr>
        <w:t>What you should provide</w:t>
      </w:r>
      <w:bookmarkEnd w:id="201"/>
    </w:p>
    <w:p w14:paraId="157C05AD" w14:textId="77777777" w:rsidR="00961733" w:rsidRPr="006E2181" w:rsidRDefault="00961733" w:rsidP="00961733">
      <w:r w:rsidRPr="006E2181">
        <w:t>Provide a list of inspections performed at the manufacturing site. Ensure you include:</w:t>
      </w:r>
    </w:p>
    <w:p w14:paraId="51F27AEA" w14:textId="77777777" w:rsidR="00961733" w:rsidRPr="00D60E97" w:rsidRDefault="00961733" w:rsidP="00961733">
      <w:pPr>
        <w:pStyle w:val="ListBullet"/>
        <w:numPr>
          <w:ilvl w:val="0"/>
          <w:numId w:val="2"/>
        </w:numPr>
        <w:rPr>
          <w:color w:val="auto"/>
        </w:rPr>
      </w:pPr>
      <w:r w:rsidRPr="00D60E97">
        <w:rPr>
          <w:color w:val="auto"/>
        </w:rPr>
        <w:t>all on-site inspections conducted within the three years prior to the application submission</w:t>
      </w:r>
    </w:p>
    <w:p w14:paraId="5E623E45" w14:textId="77777777" w:rsidR="00961733" w:rsidRPr="00D60E97" w:rsidRDefault="00961733" w:rsidP="00961733">
      <w:pPr>
        <w:pStyle w:val="ListBullet"/>
        <w:numPr>
          <w:ilvl w:val="0"/>
          <w:numId w:val="2"/>
        </w:numPr>
        <w:rPr>
          <w:color w:val="auto"/>
        </w:rPr>
      </w:pPr>
      <w:r w:rsidRPr="00D60E97">
        <w:rPr>
          <w:color w:val="auto"/>
        </w:rPr>
        <w:t>the name of the inspecting authority and the dates, scope and outcomes of the inspections. For example, the observation of critical deficiencies should be specified.</w:t>
      </w:r>
    </w:p>
    <w:p w14:paraId="79FBC00B" w14:textId="77777777" w:rsidR="00961733" w:rsidRPr="00F13A76" w:rsidRDefault="00961733" w:rsidP="00961733">
      <w:pPr>
        <w:pStyle w:val="Heading4"/>
        <w:rPr>
          <w:rFonts w:cs="Arial"/>
        </w:rPr>
      </w:pPr>
      <w:bookmarkStart w:id="202" w:name="_Toc11250886"/>
      <w:bookmarkStart w:id="203" w:name="_Toc147929250"/>
      <w:bookmarkStart w:id="204" w:name="_Toc198723777"/>
      <w:r w:rsidRPr="00F13A76">
        <w:rPr>
          <w:rFonts w:cs="Arial"/>
        </w:rPr>
        <w:t>Take particular care</w:t>
      </w:r>
      <w:bookmarkEnd w:id="202"/>
      <w:bookmarkEnd w:id="203"/>
      <w:bookmarkEnd w:id="204"/>
    </w:p>
    <w:p w14:paraId="4A03642D" w14:textId="77777777" w:rsidR="00961733" w:rsidRPr="00C3013E" w:rsidRDefault="00961733" w:rsidP="00961733">
      <w:r w:rsidRPr="00C3013E">
        <w:t>Ensure that the:</w:t>
      </w:r>
    </w:p>
    <w:p w14:paraId="7F26E7B0" w14:textId="77777777" w:rsidR="00961733" w:rsidRPr="00D60E97" w:rsidRDefault="00961733" w:rsidP="00961733">
      <w:pPr>
        <w:pStyle w:val="ListBullet"/>
        <w:numPr>
          <w:ilvl w:val="0"/>
          <w:numId w:val="2"/>
        </w:numPr>
        <w:rPr>
          <w:color w:val="auto"/>
        </w:rPr>
      </w:pPr>
      <w:r w:rsidRPr="00D60E97">
        <w:rPr>
          <w:color w:val="auto"/>
        </w:rPr>
        <w:t>evidence provided is from the manufacturer</w:t>
      </w:r>
    </w:p>
    <w:p w14:paraId="129346DF" w14:textId="77777777" w:rsidR="00961733" w:rsidRPr="00D60E97" w:rsidRDefault="00961733" w:rsidP="00961733">
      <w:pPr>
        <w:pStyle w:val="ListBullet"/>
        <w:numPr>
          <w:ilvl w:val="0"/>
          <w:numId w:val="2"/>
        </w:numPr>
        <w:rPr>
          <w:color w:val="auto"/>
        </w:rPr>
      </w:pPr>
      <w:r w:rsidRPr="00D60E97">
        <w:rPr>
          <w:color w:val="auto"/>
        </w:rPr>
        <w:t>inspections list does not contradict other evidence provided with the application.</w:t>
      </w:r>
    </w:p>
    <w:p w14:paraId="37129D46" w14:textId="77777777" w:rsidR="00961733" w:rsidRPr="00F13A76" w:rsidRDefault="00961733" w:rsidP="00F13A76">
      <w:pPr>
        <w:pStyle w:val="Heading3"/>
      </w:pPr>
      <w:bookmarkStart w:id="205" w:name="_Regulatory_action_details"/>
      <w:bookmarkStart w:id="206" w:name="_Toc11250887"/>
      <w:bookmarkStart w:id="207" w:name="_Toc147929251"/>
      <w:bookmarkStart w:id="208" w:name="_Toc198723778"/>
      <w:bookmarkEnd w:id="205"/>
      <w:r w:rsidRPr="00F13A76">
        <w:t>Regulatory action details</w:t>
      </w:r>
      <w:bookmarkEnd w:id="206"/>
      <w:bookmarkEnd w:id="207"/>
      <w:bookmarkEnd w:id="208"/>
    </w:p>
    <w:p w14:paraId="60284C1D" w14:textId="77777777" w:rsidR="00961733" w:rsidRPr="00F13A76" w:rsidRDefault="00961733" w:rsidP="00961733">
      <w:pPr>
        <w:pStyle w:val="Heading4"/>
        <w:rPr>
          <w:rFonts w:cs="Arial"/>
        </w:rPr>
      </w:pPr>
      <w:bookmarkStart w:id="209" w:name="_Toc11250888"/>
      <w:bookmarkStart w:id="210" w:name="_Toc147929252"/>
      <w:bookmarkStart w:id="211" w:name="_Toc198723779"/>
      <w:r w:rsidRPr="00F13A76">
        <w:rPr>
          <w:rFonts w:cs="Arial"/>
        </w:rPr>
        <w:t>Why we require it</w:t>
      </w:r>
      <w:bookmarkEnd w:id="209"/>
      <w:bookmarkEnd w:id="210"/>
      <w:bookmarkEnd w:id="211"/>
    </w:p>
    <w:p w14:paraId="04FCCB88" w14:textId="77777777" w:rsidR="00961733" w:rsidRPr="00C3013E" w:rsidRDefault="00961733" w:rsidP="00961733">
      <w:r w:rsidRPr="00C3013E">
        <w:t>The regulatory action details are required because they provide additional information about the manufacturer’s compliance history, particularly in relation to product alerts, warning letters, import alerts or recalls due to defects applicable to the site.</w:t>
      </w:r>
    </w:p>
    <w:p w14:paraId="7118CF75" w14:textId="77777777" w:rsidR="00961733" w:rsidRPr="00F13A76" w:rsidRDefault="00961733" w:rsidP="00961733">
      <w:pPr>
        <w:pStyle w:val="Heading4"/>
        <w:rPr>
          <w:rFonts w:cs="Arial"/>
        </w:rPr>
      </w:pPr>
      <w:bookmarkStart w:id="212" w:name="_Toc11250889"/>
      <w:bookmarkStart w:id="213" w:name="_Toc147929253"/>
      <w:bookmarkStart w:id="214" w:name="_Toc198723780"/>
      <w:r w:rsidRPr="00F13A76">
        <w:rPr>
          <w:rFonts w:cs="Arial"/>
        </w:rPr>
        <w:t>What you should provide</w:t>
      </w:r>
      <w:bookmarkEnd w:id="212"/>
      <w:bookmarkEnd w:id="213"/>
      <w:bookmarkEnd w:id="214"/>
    </w:p>
    <w:p w14:paraId="5FDBBE67" w14:textId="77777777" w:rsidR="00961733" w:rsidRPr="00C3013E" w:rsidRDefault="00961733" w:rsidP="00961733">
      <w:r w:rsidRPr="00C3013E">
        <w:t>Provide details of any regulatory actions taken by or against the manufacturing site. Ensure that:</w:t>
      </w:r>
    </w:p>
    <w:p w14:paraId="0C245BD9" w14:textId="77777777" w:rsidR="00961733" w:rsidRPr="00D60E97" w:rsidRDefault="00961733" w:rsidP="00961733">
      <w:pPr>
        <w:pStyle w:val="ListBullet"/>
        <w:numPr>
          <w:ilvl w:val="0"/>
          <w:numId w:val="2"/>
        </w:numPr>
        <w:rPr>
          <w:color w:val="auto"/>
        </w:rPr>
      </w:pPr>
      <w:r w:rsidRPr="00D60E97">
        <w:rPr>
          <w:color w:val="auto"/>
        </w:rPr>
        <w:t>the details are current and account for three years prior to the date of submission</w:t>
      </w:r>
    </w:p>
    <w:p w14:paraId="69E452EB" w14:textId="77777777" w:rsidR="00961733" w:rsidRPr="00D60E97" w:rsidRDefault="00961733" w:rsidP="00961733">
      <w:pPr>
        <w:pStyle w:val="ListBullet"/>
        <w:numPr>
          <w:ilvl w:val="0"/>
          <w:numId w:val="2"/>
        </w:numPr>
        <w:rPr>
          <w:color w:val="auto"/>
        </w:rPr>
      </w:pPr>
      <w:r w:rsidRPr="00D60E97">
        <w:rPr>
          <w:color w:val="auto"/>
        </w:rPr>
        <w:t>where applicable, provide further details about the action or event that occurred. This should include information about the subsequent investigation and root cause analysis conducted, and any resulting corrective or preventative actions that were implemented.</w:t>
      </w:r>
    </w:p>
    <w:p w14:paraId="774DFF53" w14:textId="77777777" w:rsidR="00961733" w:rsidRPr="00F13A76" w:rsidRDefault="00961733" w:rsidP="00961733">
      <w:pPr>
        <w:pStyle w:val="Heading4"/>
        <w:rPr>
          <w:rFonts w:cs="Arial"/>
        </w:rPr>
      </w:pPr>
      <w:bookmarkStart w:id="215" w:name="_Toc11250890"/>
      <w:bookmarkStart w:id="216" w:name="_Toc147929254"/>
      <w:bookmarkStart w:id="217" w:name="_Toc198723781"/>
      <w:r w:rsidRPr="00F13A76">
        <w:rPr>
          <w:rFonts w:cs="Arial"/>
        </w:rPr>
        <w:t>Take particular care</w:t>
      </w:r>
      <w:bookmarkEnd w:id="215"/>
      <w:bookmarkEnd w:id="216"/>
      <w:bookmarkEnd w:id="217"/>
    </w:p>
    <w:p w14:paraId="0648F9F5" w14:textId="77777777" w:rsidR="00961733" w:rsidRPr="00C3013E" w:rsidRDefault="00961733" w:rsidP="00961733">
      <w:r w:rsidRPr="00C3013E">
        <w:t>Ensure that the:</w:t>
      </w:r>
    </w:p>
    <w:p w14:paraId="38A9E793" w14:textId="77777777" w:rsidR="00961733" w:rsidRPr="00D60E97" w:rsidRDefault="00961733" w:rsidP="00961733">
      <w:pPr>
        <w:pStyle w:val="ListBullet"/>
        <w:numPr>
          <w:ilvl w:val="0"/>
          <w:numId w:val="2"/>
        </w:numPr>
        <w:rPr>
          <w:color w:val="auto"/>
        </w:rPr>
      </w:pPr>
      <w:r w:rsidRPr="00D60E97">
        <w:rPr>
          <w:color w:val="auto"/>
        </w:rPr>
        <w:lastRenderedPageBreak/>
        <w:t>evidence provided is from the manufacturer</w:t>
      </w:r>
    </w:p>
    <w:p w14:paraId="6925B563" w14:textId="77777777" w:rsidR="00961733" w:rsidRPr="00D60E97" w:rsidRDefault="00961733" w:rsidP="00961733">
      <w:pPr>
        <w:pStyle w:val="ListBullet"/>
        <w:numPr>
          <w:ilvl w:val="0"/>
          <w:numId w:val="2"/>
        </w:numPr>
        <w:rPr>
          <w:color w:val="auto"/>
        </w:rPr>
      </w:pPr>
      <w:r w:rsidRPr="00D60E97">
        <w:rPr>
          <w:color w:val="auto"/>
        </w:rPr>
        <w:t xml:space="preserve">regulatory action details include any actions relating to the </w:t>
      </w:r>
      <w:r w:rsidRPr="00D60E97">
        <w:rPr>
          <w:b/>
          <w:bCs/>
          <w:color w:val="auto"/>
        </w:rPr>
        <w:t>entire manufacturing site</w:t>
      </w:r>
      <w:r w:rsidRPr="00D60E97">
        <w:rPr>
          <w:color w:val="auto"/>
        </w:rPr>
        <w:t>, not just specific products or dosage forms included in your application.</w:t>
      </w:r>
    </w:p>
    <w:p w14:paraId="66AC7FA3" w14:textId="77777777" w:rsidR="00961733" w:rsidRPr="00F13A76" w:rsidRDefault="00961733" w:rsidP="00F13A76">
      <w:pPr>
        <w:pStyle w:val="Heading4"/>
        <w:rPr>
          <w:rFonts w:cs="Arial"/>
        </w:rPr>
      </w:pPr>
      <w:bookmarkStart w:id="218" w:name="_Toc11250891"/>
      <w:bookmarkStart w:id="219" w:name="_Toc147929255"/>
      <w:bookmarkStart w:id="220" w:name="_Toc198723782"/>
      <w:r w:rsidRPr="00F13A76">
        <w:rPr>
          <w:rFonts w:cs="Arial"/>
        </w:rPr>
        <w:t>Alternative evidence</w:t>
      </w:r>
      <w:bookmarkEnd w:id="218"/>
      <w:bookmarkEnd w:id="219"/>
      <w:bookmarkEnd w:id="220"/>
    </w:p>
    <w:p w14:paraId="02A986E8" w14:textId="77777777" w:rsidR="00961733" w:rsidRDefault="00961733" w:rsidP="00961733">
      <w:r>
        <w:t>If there have been no product alerts, warning letters, import alerts, or recalls due to defects within the past three years for the manufacturing site, provide a declaration from the manufacturer stating this on their company letter head.</w:t>
      </w:r>
    </w:p>
    <w:p w14:paraId="3CA91AF8" w14:textId="77777777" w:rsidR="00961733" w:rsidRPr="00F13A76" w:rsidRDefault="00961733" w:rsidP="00961733">
      <w:pPr>
        <w:pStyle w:val="Heading3"/>
      </w:pPr>
      <w:bookmarkStart w:id="221" w:name="_Site_master_file,"/>
      <w:bookmarkStart w:id="222" w:name="_Site_master_file"/>
      <w:bookmarkStart w:id="223" w:name="_Toc147929256"/>
      <w:bookmarkStart w:id="224" w:name="_Toc198723783"/>
      <w:bookmarkStart w:id="225" w:name="_Toc11250892"/>
      <w:bookmarkEnd w:id="221"/>
      <w:bookmarkEnd w:id="222"/>
      <w:r w:rsidRPr="00F13A76">
        <w:t>Site master file</w:t>
      </w:r>
      <w:bookmarkEnd w:id="223"/>
      <w:bookmarkEnd w:id="224"/>
      <w:r w:rsidRPr="00F13A76">
        <w:t xml:space="preserve"> </w:t>
      </w:r>
      <w:bookmarkEnd w:id="225"/>
    </w:p>
    <w:p w14:paraId="3E7C67C6" w14:textId="77777777" w:rsidR="00961733" w:rsidRPr="00F13A76" w:rsidRDefault="00961733" w:rsidP="00961733">
      <w:pPr>
        <w:pStyle w:val="Heading4"/>
        <w:rPr>
          <w:rFonts w:cs="Arial"/>
        </w:rPr>
      </w:pPr>
      <w:bookmarkStart w:id="226" w:name="_Toc11250893"/>
      <w:bookmarkStart w:id="227" w:name="_Toc147929257"/>
      <w:bookmarkStart w:id="228" w:name="_Toc198723784"/>
      <w:r w:rsidRPr="00F13A76">
        <w:rPr>
          <w:rFonts w:cs="Arial"/>
        </w:rPr>
        <w:t>Why we require it</w:t>
      </w:r>
      <w:bookmarkEnd w:id="226"/>
      <w:bookmarkEnd w:id="227"/>
      <w:bookmarkEnd w:id="228"/>
    </w:p>
    <w:p w14:paraId="45A5F2F1" w14:textId="77777777" w:rsidR="00961733" w:rsidRPr="0079617A" w:rsidRDefault="00961733" w:rsidP="00961733">
      <w:r w:rsidRPr="0079617A">
        <w:t>The Site Master File (SMF) or equivalent document is required because it provides information about the manufacturer’s operations, facilities and quality management system.</w:t>
      </w:r>
    </w:p>
    <w:p w14:paraId="0A65E37E" w14:textId="77777777" w:rsidR="00961733" w:rsidRPr="00F13A76" w:rsidRDefault="00961733" w:rsidP="00961733">
      <w:pPr>
        <w:pStyle w:val="Heading4"/>
        <w:rPr>
          <w:rFonts w:cs="Arial"/>
        </w:rPr>
      </w:pPr>
      <w:bookmarkStart w:id="229" w:name="_Toc11250894"/>
      <w:bookmarkStart w:id="230" w:name="_Toc147929258"/>
      <w:bookmarkStart w:id="231" w:name="_Toc198723785"/>
      <w:r w:rsidRPr="00F13A76">
        <w:rPr>
          <w:rFonts w:cs="Arial"/>
        </w:rPr>
        <w:t>What you should provide</w:t>
      </w:r>
      <w:bookmarkEnd w:id="229"/>
      <w:bookmarkEnd w:id="230"/>
      <w:bookmarkEnd w:id="231"/>
    </w:p>
    <w:p w14:paraId="01D50762" w14:textId="77777777" w:rsidR="00961733" w:rsidRPr="0079617A" w:rsidRDefault="00961733" w:rsidP="00961733">
      <w:r w:rsidRPr="0079617A">
        <w:t xml:space="preserve">Provide the </w:t>
      </w:r>
      <w:r w:rsidRPr="0079617A">
        <w:rPr>
          <w:b/>
        </w:rPr>
        <w:t>complete</w:t>
      </w:r>
      <w:r w:rsidRPr="0079617A">
        <w:t xml:space="preserve"> SMF or equivalent. Ensure that the:</w:t>
      </w:r>
    </w:p>
    <w:p w14:paraId="6488ED53" w14:textId="77777777" w:rsidR="00961733" w:rsidRPr="00D60E97" w:rsidRDefault="00961733" w:rsidP="00961733">
      <w:pPr>
        <w:pStyle w:val="ListBullet"/>
        <w:numPr>
          <w:ilvl w:val="0"/>
          <w:numId w:val="2"/>
        </w:numPr>
        <w:rPr>
          <w:color w:val="auto"/>
        </w:rPr>
      </w:pPr>
      <w:r w:rsidRPr="00D60E97">
        <w:rPr>
          <w:color w:val="auto"/>
        </w:rPr>
        <w:t>manufacturer’s name and site address are correct</w:t>
      </w:r>
    </w:p>
    <w:p w14:paraId="7405883B" w14:textId="77777777" w:rsidR="00961733" w:rsidRPr="00D60E97" w:rsidRDefault="00961733" w:rsidP="00961733">
      <w:pPr>
        <w:pStyle w:val="ListBullet"/>
        <w:numPr>
          <w:ilvl w:val="0"/>
          <w:numId w:val="2"/>
        </w:numPr>
        <w:rPr>
          <w:color w:val="auto"/>
        </w:rPr>
      </w:pPr>
      <w:r w:rsidRPr="00D60E97">
        <w:rPr>
          <w:color w:val="auto"/>
        </w:rPr>
        <w:t xml:space="preserve">SMF contains the required information as per the </w:t>
      </w:r>
      <w:hyperlink r:id="rId72">
        <w:r w:rsidRPr="5AB8732C">
          <w:rPr>
            <w:rStyle w:val="Hyperlink"/>
          </w:rPr>
          <w:t>PIC/S explanatory notes for pharmaceutical manufacturers</w:t>
        </w:r>
      </w:hyperlink>
      <w:r>
        <w:t xml:space="preserve"> </w:t>
      </w:r>
      <w:r w:rsidRPr="00D60E97">
        <w:rPr>
          <w:color w:val="auto"/>
        </w:rPr>
        <w:t>(if applicable)</w:t>
      </w:r>
    </w:p>
    <w:p w14:paraId="134832AD" w14:textId="41AA2C62" w:rsidR="00961733" w:rsidRPr="00D60E97" w:rsidRDefault="00961733" w:rsidP="00961733">
      <w:pPr>
        <w:pStyle w:val="ListBullet"/>
        <w:numPr>
          <w:ilvl w:val="0"/>
          <w:numId w:val="2"/>
        </w:numPr>
        <w:rPr>
          <w:color w:val="auto"/>
        </w:rPr>
      </w:pPr>
      <w:r w:rsidRPr="00D60E97">
        <w:rPr>
          <w:color w:val="auto"/>
        </w:rPr>
        <w:t xml:space="preserve">complete document </w:t>
      </w:r>
      <w:r w:rsidRPr="00D60E97">
        <w:rPr>
          <w:b/>
          <w:bCs/>
          <w:color w:val="auto"/>
        </w:rPr>
        <w:t>including all appendices</w:t>
      </w:r>
      <w:r w:rsidRPr="00D60E97">
        <w:rPr>
          <w:color w:val="auto"/>
        </w:rPr>
        <w:t xml:space="preserve"> are provided for </w:t>
      </w:r>
      <w:r w:rsidR="000C3F2A">
        <w:rPr>
          <w:color w:val="auto"/>
        </w:rPr>
        <w:t>evaluation</w:t>
      </w:r>
      <w:r w:rsidRPr="00D60E97">
        <w:rPr>
          <w:color w:val="auto"/>
        </w:rPr>
        <w:t>. Appendices (including facility drawings) must be legible.</w:t>
      </w:r>
    </w:p>
    <w:p w14:paraId="53CCD869" w14:textId="77777777" w:rsidR="00961733" w:rsidRPr="00F13A76" w:rsidRDefault="00961733" w:rsidP="00961733">
      <w:pPr>
        <w:pStyle w:val="Heading4"/>
        <w:rPr>
          <w:rFonts w:cs="Arial"/>
        </w:rPr>
      </w:pPr>
      <w:bookmarkStart w:id="232" w:name="_Toc11250895"/>
      <w:bookmarkStart w:id="233" w:name="_Toc147929259"/>
      <w:bookmarkStart w:id="234" w:name="_Toc198723786"/>
      <w:r w:rsidRPr="00F13A76">
        <w:rPr>
          <w:rFonts w:cs="Arial"/>
        </w:rPr>
        <w:t>Take particular care</w:t>
      </w:r>
      <w:bookmarkEnd w:id="232"/>
      <w:bookmarkEnd w:id="233"/>
      <w:bookmarkEnd w:id="234"/>
    </w:p>
    <w:p w14:paraId="74970B82" w14:textId="77777777" w:rsidR="00961733" w:rsidRPr="0079617A" w:rsidRDefault="00961733" w:rsidP="00961733">
      <w:r w:rsidRPr="0079617A">
        <w:t>Ensure the SMF contains information regarding cross contamination controls for high-risk or highly sensitising products (if applicable).</w:t>
      </w:r>
    </w:p>
    <w:p w14:paraId="61A1727C" w14:textId="77777777" w:rsidR="00961733" w:rsidRPr="00F13A76" w:rsidRDefault="00961733" w:rsidP="00961733">
      <w:pPr>
        <w:pStyle w:val="Heading4"/>
        <w:rPr>
          <w:rFonts w:cs="Arial"/>
        </w:rPr>
      </w:pPr>
      <w:bookmarkStart w:id="235" w:name="_Toc11250896"/>
      <w:bookmarkStart w:id="236" w:name="_Toc147929260"/>
      <w:bookmarkStart w:id="237" w:name="_Toc198723787"/>
      <w:r w:rsidRPr="00F13A76">
        <w:rPr>
          <w:rFonts w:cs="Arial"/>
        </w:rPr>
        <w:t>Alternative evidence</w:t>
      </w:r>
      <w:bookmarkEnd w:id="235"/>
      <w:bookmarkEnd w:id="236"/>
      <w:bookmarkEnd w:id="237"/>
    </w:p>
    <w:p w14:paraId="09B1ED6B" w14:textId="77777777" w:rsidR="00961733" w:rsidRPr="0079617A" w:rsidRDefault="00961733" w:rsidP="00961733">
      <w:r w:rsidRPr="0079617A">
        <w:t>Depending on the scope of your application, you may instead provide other documents, such as a plant/equipment file or a quality/laboratory manual, which individually or collectively provide the same details</w:t>
      </w:r>
    </w:p>
    <w:p w14:paraId="09EDEAB4" w14:textId="77777777" w:rsidR="00961733" w:rsidRPr="00F13A76" w:rsidRDefault="00961733" w:rsidP="00F13A76">
      <w:pPr>
        <w:pStyle w:val="Heading3"/>
      </w:pPr>
      <w:bookmarkStart w:id="238" w:name="_List_of_products"/>
      <w:bookmarkStart w:id="239" w:name="_Toc11250897"/>
      <w:bookmarkStart w:id="240" w:name="_Toc147929261"/>
      <w:bookmarkStart w:id="241" w:name="_Toc198723788"/>
      <w:bookmarkEnd w:id="238"/>
      <w:r w:rsidRPr="00F13A76">
        <w:t>List of products intended for supply</w:t>
      </w:r>
      <w:bookmarkEnd w:id="239"/>
      <w:bookmarkEnd w:id="240"/>
      <w:bookmarkEnd w:id="241"/>
    </w:p>
    <w:p w14:paraId="0751C426" w14:textId="77777777" w:rsidR="00961733" w:rsidRPr="00F13A76" w:rsidRDefault="00961733" w:rsidP="00F13A76">
      <w:pPr>
        <w:pStyle w:val="Heading4"/>
        <w:rPr>
          <w:rFonts w:cs="Arial"/>
        </w:rPr>
      </w:pPr>
      <w:bookmarkStart w:id="242" w:name="_Toc11250898"/>
      <w:bookmarkStart w:id="243" w:name="_Toc147929262"/>
      <w:bookmarkStart w:id="244" w:name="_Toc198723789"/>
      <w:r w:rsidRPr="00F13A76">
        <w:rPr>
          <w:rFonts w:cs="Arial"/>
        </w:rPr>
        <w:t>Why we require it</w:t>
      </w:r>
      <w:bookmarkEnd w:id="242"/>
      <w:bookmarkEnd w:id="243"/>
      <w:bookmarkEnd w:id="244"/>
    </w:p>
    <w:p w14:paraId="66DEA797" w14:textId="77777777" w:rsidR="00961733" w:rsidRPr="0079617A" w:rsidRDefault="00961733" w:rsidP="00961733">
      <w:r w:rsidRPr="0079617A">
        <w:t>The list of the sponsor’s products is required because it provides additional information about the substances or products intended for supply in Australia.</w:t>
      </w:r>
    </w:p>
    <w:p w14:paraId="06D03821" w14:textId="77777777" w:rsidR="00961733" w:rsidRPr="00F13A76" w:rsidRDefault="00961733" w:rsidP="00F13A76">
      <w:pPr>
        <w:pStyle w:val="Heading4"/>
        <w:rPr>
          <w:rFonts w:cs="Arial"/>
        </w:rPr>
      </w:pPr>
      <w:bookmarkStart w:id="245" w:name="_Toc11250899"/>
      <w:bookmarkStart w:id="246" w:name="_Toc147929263"/>
      <w:bookmarkStart w:id="247" w:name="_Toc198723790"/>
      <w:r w:rsidRPr="00F13A76">
        <w:rPr>
          <w:rFonts w:cs="Arial"/>
        </w:rPr>
        <w:t>What you should provide</w:t>
      </w:r>
      <w:bookmarkEnd w:id="245"/>
      <w:bookmarkEnd w:id="246"/>
      <w:bookmarkEnd w:id="247"/>
    </w:p>
    <w:p w14:paraId="7D060F85" w14:textId="77777777" w:rsidR="00961733" w:rsidRPr="0079617A" w:rsidRDefault="00961733" w:rsidP="00961733">
      <w:r w:rsidRPr="0079617A">
        <w:t>Provide the product list and ensure that:</w:t>
      </w:r>
    </w:p>
    <w:p w14:paraId="6C8E50BB" w14:textId="77777777" w:rsidR="00961733" w:rsidRPr="00D60E97" w:rsidRDefault="00961733" w:rsidP="00961733">
      <w:pPr>
        <w:pStyle w:val="ListBullet"/>
        <w:numPr>
          <w:ilvl w:val="0"/>
          <w:numId w:val="2"/>
        </w:numPr>
        <w:rPr>
          <w:color w:val="auto"/>
        </w:rPr>
      </w:pPr>
      <w:r w:rsidRPr="00D60E97">
        <w:rPr>
          <w:color w:val="auto"/>
        </w:rPr>
        <w:t>the substances or dosage forms are reflected in the scope of the application</w:t>
      </w:r>
    </w:p>
    <w:p w14:paraId="2ABC1A09" w14:textId="77777777" w:rsidR="00961733" w:rsidRPr="00D60E97" w:rsidRDefault="00961733" w:rsidP="00961733">
      <w:pPr>
        <w:pStyle w:val="ListBullet"/>
        <w:numPr>
          <w:ilvl w:val="0"/>
          <w:numId w:val="2"/>
        </w:numPr>
        <w:rPr>
          <w:color w:val="auto"/>
        </w:rPr>
      </w:pPr>
      <w:r w:rsidRPr="00D60E97">
        <w:rPr>
          <w:color w:val="auto"/>
        </w:rPr>
        <w:lastRenderedPageBreak/>
        <w:t>the AUSTR/AUSTL numbers are provided where relevant.</w:t>
      </w:r>
    </w:p>
    <w:p w14:paraId="0D3F87BD" w14:textId="77777777" w:rsidR="00961733" w:rsidRPr="00F13A76" w:rsidRDefault="00961733" w:rsidP="00F13A76">
      <w:pPr>
        <w:pStyle w:val="Heading4"/>
        <w:rPr>
          <w:rFonts w:cs="Arial"/>
        </w:rPr>
      </w:pPr>
      <w:bookmarkStart w:id="248" w:name="_Toc11250900"/>
      <w:bookmarkStart w:id="249" w:name="_Toc147929264"/>
      <w:bookmarkStart w:id="250" w:name="_Toc198723791"/>
      <w:r w:rsidRPr="00F13A76">
        <w:rPr>
          <w:rFonts w:cs="Arial"/>
        </w:rPr>
        <w:t>Take particular care</w:t>
      </w:r>
      <w:bookmarkEnd w:id="248"/>
      <w:bookmarkEnd w:id="249"/>
      <w:bookmarkEnd w:id="250"/>
    </w:p>
    <w:p w14:paraId="5947278A" w14:textId="77777777" w:rsidR="00961733" w:rsidRDefault="00961733" w:rsidP="00961733">
      <w:r>
        <w:t>Ensure that the list of substances or products does not contradict other evidence provided with the application.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37EE95E9" w14:textId="77777777" w:rsidTr="0042350D">
        <w:tc>
          <w:tcPr>
            <w:tcW w:w="1276" w:type="dxa"/>
            <w:vAlign w:val="center"/>
          </w:tcPr>
          <w:p w14:paraId="19C4B6B9" w14:textId="77777777" w:rsidR="00961733" w:rsidRPr="00215D48" w:rsidRDefault="00961733" w:rsidP="0042350D">
            <w:r w:rsidRPr="00215D48">
              <w:rPr>
                <w:noProof/>
                <w:lang w:eastAsia="en-AU"/>
              </w:rPr>
              <w:drawing>
                <wp:inline distT="0" distB="0" distL="0" distR="0" wp14:anchorId="7CEFA9BA" wp14:editId="114F37D0">
                  <wp:extent cx="487681" cy="487681"/>
                  <wp:effectExtent l="19050" t="0" r="7619" b="0"/>
                  <wp:docPr id="311" name="Picture 31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AA285AA" w14:textId="77777777" w:rsidR="00961733" w:rsidRPr="00215D48" w:rsidRDefault="00961733" w:rsidP="0042350D">
            <w:r>
              <w:t xml:space="preserve">For API applications, a separate product list may not be required if the name of the substance has been entered in the application e-form and corresponds to the Australian Approved Name (AAN) in the </w:t>
            </w:r>
            <w:hyperlink r:id="rId73" w:history="1">
              <w:r w:rsidRPr="005755F0">
                <w:rPr>
                  <w:rStyle w:val="Hyperlink"/>
                </w:rPr>
                <w:t>ingredients database</w:t>
              </w:r>
            </w:hyperlink>
            <w:r>
              <w:t>, where applicable.</w:t>
            </w:r>
          </w:p>
        </w:tc>
      </w:tr>
    </w:tbl>
    <w:p w14:paraId="4CF6AB6F" w14:textId="77777777" w:rsidR="00961733" w:rsidRPr="00F13A76" w:rsidRDefault="00961733" w:rsidP="00961733">
      <w:pPr>
        <w:pStyle w:val="Heading3"/>
      </w:pPr>
      <w:bookmarkStart w:id="251" w:name="_GMP_agreement_or"/>
      <w:bookmarkStart w:id="252" w:name="_Toc147929265"/>
      <w:bookmarkStart w:id="253" w:name="_Toc198723792"/>
      <w:bookmarkStart w:id="254" w:name="_Toc11250901"/>
      <w:bookmarkEnd w:id="251"/>
      <w:r w:rsidRPr="00F13A76">
        <w:t>GMP agreement or equivalent</w:t>
      </w:r>
      <w:bookmarkEnd w:id="252"/>
      <w:bookmarkEnd w:id="253"/>
    </w:p>
    <w:p w14:paraId="2E1B92D9" w14:textId="77777777" w:rsidR="00961733" w:rsidRPr="00F13A76" w:rsidRDefault="00961733" w:rsidP="00961733">
      <w:pPr>
        <w:pStyle w:val="Heading4"/>
        <w:rPr>
          <w:rFonts w:cs="Arial"/>
        </w:rPr>
      </w:pPr>
      <w:bookmarkStart w:id="255" w:name="_Release_procedure(s)"/>
      <w:bookmarkStart w:id="256" w:name="_Toc147929266"/>
      <w:bookmarkStart w:id="257" w:name="_Toc198723793"/>
      <w:bookmarkEnd w:id="254"/>
      <w:bookmarkEnd w:id="255"/>
      <w:r w:rsidRPr="00F13A76">
        <w:rPr>
          <w:rFonts w:cs="Arial"/>
        </w:rPr>
        <w:t>Why we require it</w:t>
      </w:r>
      <w:bookmarkEnd w:id="256"/>
      <w:bookmarkEnd w:id="257"/>
    </w:p>
    <w:p w14:paraId="72DD5A48" w14:textId="77777777" w:rsidR="00961733" w:rsidRPr="007C4AEE" w:rsidRDefault="00961733" w:rsidP="00961733">
      <w:r w:rsidRPr="007C4AEE">
        <w:t xml:space="preserve">GMP, quality or technical agreements are required because they provide information about the roles and responsibilities of each party in relation to the critical aspects of GMP and any specific technical aspects related to the product’s manufacture. It also provides further information as to the roles and responsibilities of the Australian Marketing Authorisation (MA) holder (the sponsor) in relation to the product’s manufacture </w:t>
      </w:r>
      <w:r w:rsidRPr="007C4AEE">
        <w:rPr>
          <w:b/>
        </w:rPr>
        <w:t>and</w:t>
      </w:r>
      <w:r w:rsidRPr="007C4AEE">
        <w:t xml:space="preserve"> the relevant post market surveillance obligations.</w:t>
      </w:r>
    </w:p>
    <w:p w14:paraId="30DD78FD" w14:textId="77777777" w:rsidR="00961733" w:rsidRPr="00D60E97" w:rsidRDefault="00961733" w:rsidP="00F13A76">
      <w:pPr>
        <w:pStyle w:val="Heading4"/>
        <w:rPr>
          <w:color w:val="auto"/>
        </w:rPr>
      </w:pPr>
      <w:bookmarkStart w:id="258" w:name="_Toc147929267"/>
      <w:bookmarkStart w:id="259" w:name="_Toc198723794"/>
      <w:r w:rsidRPr="00F13A76">
        <w:rPr>
          <w:rFonts w:cs="Arial"/>
        </w:rPr>
        <w:t>What you should provide</w:t>
      </w:r>
      <w:bookmarkEnd w:id="258"/>
      <w:bookmarkEnd w:id="259"/>
    </w:p>
    <w:p w14:paraId="3B774D10" w14:textId="77777777" w:rsidR="00961733" w:rsidRPr="007C4AEE" w:rsidRDefault="00961733" w:rsidP="00961733">
      <w:r w:rsidRPr="007C4AEE">
        <w:t xml:space="preserve">Provide the </w:t>
      </w:r>
      <w:r w:rsidRPr="007C4AEE">
        <w:rPr>
          <w:b/>
        </w:rPr>
        <w:t>signed</w:t>
      </w:r>
      <w:r w:rsidRPr="007C4AEE">
        <w:t xml:space="preserve"> GMP, quality or technical agreement relevant for the scope of your application. Ensure that it:</w:t>
      </w:r>
    </w:p>
    <w:p w14:paraId="6AD43FC4" w14:textId="77777777" w:rsidR="00961733" w:rsidRDefault="00961733" w:rsidP="00961733">
      <w:pPr>
        <w:pStyle w:val="ListBullet"/>
        <w:numPr>
          <w:ilvl w:val="0"/>
          <w:numId w:val="2"/>
        </w:numPr>
      </w:pPr>
      <w:r w:rsidRPr="00D60E97">
        <w:rPr>
          <w:color w:val="auto"/>
        </w:rPr>
        <w:t xml:space="preserve">meets the full requirements of chapter 7 of the </w:t>
      </w:r>
      <w:hyperlink r:id="rId74">
        <w:r w:rsidRPr="5AB8732C">
          <w:rPr>
            <w:rStyle w:val="Hyperlink"/>
          </w:rPr>
          <w:t>PIC/S guide to good manufacturing practice for medicinal products – Part I</w:t>
        </w:r>
      </w:hyperlink>
      <w:r>
        <w:t>.</w:t>
      </w:r>
    </w:p>
    <w:p w14:paraId="6B9F440D" w14:textId="77777777" w:rsidR="00961733" w:rsidRPr="00F13A76" w:rsidRDefault="00961733" w:rsidP="00F13A76">
      <w:pPr>
        <w:pStyle w:val="Heading4"/>
        <w:rPr>
          <w:rFonts w:cs="Arial"/>
        </w:rPr>
      </w:pPr>
      <w:bookmarkStart w:id="260" w:name="_Toc147929268"/>
      <w:bookmarkStart w:id="261" w:name="_Toc198723795"/>
      <w:r w:rsidRPr="00F13A76">
        <w:rPr>
          <w:rFonts w:cs="Arial"/>
        </w:rPr>
        <w:t>Take particular care</w:t>
      </w:r>
      <w:bookmarkEnd w:id="260"/>
      <w:bookmarkEnd w:id="261"/>
    </w:p>
    <w:p w14:paraId="58029EAF" w14:textId="77777777" w:rsidR="00961733" w:rsidRPr="00EA4B2A" w:rsidRDefault="00961733" w:rsidP="00961733">
      <w:r w:rsidRPr="00EA4B2A">
        <w:t>Ensure that the GMP, quality or technical agreement:</w:t>
      </w:r>
    </w:p>
    <w:p w14:paraId="778E7211" w14:textId="383230A1" w:rsidR="00961733" w:rsidRPr="00D60E97" w:rsidRDefault="00961733" w:rsidP="00961733">
      <w:pPr>
        <w:pStyle w:val="ListBullet"/>
        <w:numPr>
          <w:ilvl w:val="0"/>
          <w:numId w:val="2"/>
        </w:numPr>
        <w:rPr>
          <w:color w:val="auto"/>
        </w:rPr>
      </w:pPr>
      <w:r w:rsidRPr="00D60E97">
        <w:rPr>
          <w:color w:val="auto"/>
        </w:rPr>
        <w:t xml:space="preserve">clearly identifies the products, steps of manufacture (activities) and manufacturing site (where there are multiple sites contained in the one agreement) relevant to the scope of your </w:t>
      </w:r>
      <w:r w:rsidR="00B323DA">
        <w:rPr>
          <w:color w:val="auto"/>
        </w:rPr>
        <w:t>GMP Clearance</w:t>
      </w:r>
      <w:r w:rsidRPr="00D60E97">
        <w:rPr>
          <w:color w:val="auto"/>
        </w:rPr>
        <w:t xml:space="preserve"> application</w:t>
      </w:r>
    </w:p>
    <w:p w14:paraId="2EBAF5DB" w14:textId="77777777" w:rsidR="00961733" w:rsidRPr="00D60E97" w:rsidRDefault="00961733" w:rsidP="00961733">
      <w:pPr>
        <w:pStyle w:val="ListBullet"/>
        <w:numPr>
          <w:ilvl w:val="0"/>
          <w:numId w:val="2"/>
        </w:numPr>
        <w:rPr>
          <w:color w:val="auto"/>
        </w:rPr>
      </w:pPr>
      <w:r w:rsidRPr="00D60E97">
        <w:rPr>
          <w:color w:val="auto"/>
        </w:rPr>
        <w:t>clearly describes the role of each party subject to the agreement, particularly the communication processes agreed upon</w:t>
      </w:r>
    </w:p>
    <w:p w14:paraId="557699D0" w14:textId="77777777" w:rsidR="00961733" w:rsidRPr="00D60E97" w:rsidRDefault="00961733" w:rsidP="00961733">
      <w:pPr>
        <w:pStyle w:val="ListBullet"/>
        <w:numPr>
          <w:ilvl w:val="0"/>
          <w:numId w:val="2"/>
        </w:numPr>
        <w:rPr>
          <w:color w:val="auto"/>
        </w:rPr>
      </w:pPr>
      <w:r w:rsidRPr="00D60E97">
        <w:rPr>
          <w:color w:val="auto"/>
        </w:rPr>
        <w:t>has been signed by all parties to the agreement.</w:t>
      </w:r>
    </w:p>
    <w:p w14:paraId="7BB8406B" w14:textId="77777777" w:rsidR="004A64FB" w:rsidRDefault="004A64FB">
      <w:pPr>
        <w:rPr>
          <w:rFonts w:eastAsia="Cambria" w:cs="Arial"/>
          <w:b/>
          <w:bCs/>
          <w:color w:val="001871"/>
          <w:sz w:val="28"/>
          <w:szCs w:val="26"/>
        </w:rPr>
      </w:pPr>
      <w:bookmarkStart w:id="262" w:name="_Toc147929269"/>
      <w:r>
        <w:rPr>
          <w:rFonts w:cs="Arial"/>
        </w:rPr>
        <w:br w:type="page"/>
      </w:r>
    </w:p>
    <w:p w14:paraId="41F7B6CD" w14:textId="7346BC71" w:rsidR="00961733" w:rsidRPr="00F13A76" w:rsidRDefault="00961733" w:rsidP="00F13A76">
      <w:pPr>
        <w:pStyle w:val="Heading4"/>
        <w:rPr>
          <w:rFonts w:cs="Arial"/>
        </w:rPr>
      </w:pPr>
      <w:bookmarkStart w:id="263" w:name="_Toc198723796"/>
      <w:r w:rsidRPr="00F13A76">
        <w:rPr>
          <w:rFonts w:cs="Arial"/>
        </w:rPr>
        <w:lastRenderedPageBreak/>
        <w:t>Additional entities and alternative evidence</w:t>
      </w:r>
      <w:bookmarkEnd w:id="262"/>
      <w:bookmarkEnd w:id="263"/>
    </w:p>
    <w:p w14:paraId="572CA213" w14:textId="77777777" w:rsidR="00961733" w:rsidRPr="00EA4B2A" w:rsidRDefault="00961733" w:rsidP="00961733">
      <w:r w:rsidRPr="00EA4B2A">
        <w:t>Recognising there may be multiple entities involved in the pharmaceutical supply chains, and depending on the timing and scope of your application or the relationship you have with each entity, you may provide:</w:t>
      </w:r>
    </w:p>
    <w:p w14:paraId="6652974E" w14:textId="77777777" w:rsidR="00961733" w:rsidRPr="00D60E97" w:rsidRDefault="00961733" w:rsidP="00961733">
      <w:pPr>
        <w:pStyle w:val="ListBullet"/>
        <w:numPr>
          <w:ilvl w:val="0"/>
          <w:numId w:val="2"/>
        </w:numPr>
        <w:rPr>
          <w:color w:val="auto"/>
        </w:rPr>
      </w:pPr>
      <w:r w:rsidRPr="00D60E97">
        <w:rPr>
          <w:color w:val="auto"/>
        </w:rPr>
        <w:t>For new registrations or New Chemical Entity (NCE) submissions, we will accept a draft GMP, quality or technical agreement between the manufacturer and the sponsor that demonstrates the intended roles and responsibilities will be appropriate along with a declaration/statement from the Australian sponsor that the agreement will be signed by all relevant parties prior to commencing commercial supply to Australia.</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0D6097E8" w14:textId="77777777" w:rsidTr="0042350D">
        <w:tc>
          <w:tcPr>
            <w:tcW w:w="1276" w:type="dxa"/>
            <w:vAlign w:val="center"/>
          </w:tcPr>
          <w:p w14:paraId="09837477" w14:textId="77777777" w:rsidR="00961733" w:rsidRPr="00215D48" w:rsidRDefault="00961733" w:rsidP="0042350D">
            <w:r w:rsidRPr="00215D48">
              <w:rPr>
                <w:noProof/>
                <w:lang w:eastAsia="en-AU"/>
              </w:rPr>
              <w:drawing>
                <wp:inline distT="0" distB="0" distL="0" distR="0" wp14:anchorId="271CE820" wp14:editId="1B01EAFE">
                  <wp:extent cx="487681" cy="487681"/>
                  <wp:effectExtent l="19050" t="0" r="7619" b="0"/>
                  <wp:docPr id="2048" name="Picture 2048"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317A6A4" w14:textId="15BC7F81" w:rsidR="00961733" w:rsidRPr="00215D48" w:rsidRDefault="00961733" w:rsidP="0042350D">
            <w:r>
              <w:t xml:space="preserve">A condition will be placed on your </w:t>
            </w:r>
            <w:r w:rsidR="00B323DA">
              <w:t>GMP Clearance</w:t>
            </w:r>
            <w:r>
              <w:t xml:space="preserve"> to reflect </w:t>
            </w:r>
            <w:proofErr w:type="gramStart"/>
            <w:r>
              <w:t>this</w:t>
            </w:r>
            <w:proofErr w:type="gramEnd"/>
            <w:r>
              <w:t xml:space="preserve"> and the expiry date may be reduced. Your </w:t>
            </w:r>
            <w:r w:rsidR="00B323DA">
              <w:t>GMP Clearance</w:t>
            </w:r>
            <w:r>
              <w:t xml:space="preserve"> may be cancelled if it is determined that the condition has not been adhered to.</w:t>
            </w:r>
          </w:p>
        </w:tc>
      </w:tr>
    </w:tbl>
    <w:p w14:paraId="4DB046D8" w14:textId="77777777" w:rsidR="00961733" w:rsidRPr="00D60E97" w:rsidRDefault="00961733" w:rsidP="00961733">
      <w:pPr>
        <w:pStyle w:val="ListBullet"/>
        <w:numPr>
          <w:ilvl w:val="0"/>
          <w:numId w:val="2"/>
        </w:numPr>
        <w:rPr>
          <w:color w:val="auto"/>
        </w:rPr>
      </w:pPr>
      <w:r w:rsidRPr="00D60E97">
        <w:rPr>
          <w:color w:val="auto"/>
        </w:rPr>
        <w:t xml:space="preserve">For contract laboratories, sterilisers, packagers and/or authorised persons performing release for supply, provide the </w:t>
      </w:r>
      <w:r w:rsidRPr="00D60E97">
        <w:rPr>
          <w:b/>
          <w:bCs/>
          <w:color w:val="auto"/>
        </w:rPr>
        <w:t>signed</w:t>
      </w:r>
      <w:r w:rsidRPr="00D60E97">
        <w:rPr>
          <w:color w:val="auto"/>
        </w:rPr>
        <w:t xml:space="preserve"> GMP, quality or technical agreement between the principal manufacturer and the subcontractor or multiple documents that comprise the same.</w:t>
      </w:r>
    </w:p>
    <w:p w14:paraId="7E9AA2B5" w14:textId="77777777" w:rsidR="00961733" w:rsidRPr="00D60E97" w:rsidRDefault="00961733" w:rsidP="00961733">
      <w:pPr>
        <w:pStyle w:val="ListBullet"/>
        <w:numPr>
          <w:ilvl w:val="0"/>
          <w:numId w:val="2"/>
        </w:numPr>
        <w:rPr>
          <w:color w:val="auto"/>
        </w:rPr>
      </w:pPr>
      <w:r w:rsidRPr="00D60E97">
        <w:rPr>
          <w:color w:val="auto"/>
        </w:rPr>
        <w:t xml:space="preserve">For subsidiaries of the same parent company (either the </w:t>
      </w:r>
      <w:proofErr w:type="gramStart"/>
      <w:r w:rsidRPr="00D60E97">
        <w:rPr>
          <w:color w:val="auto"/>
        </w:rPr>
        <w:t>manufacturer’s</w:t>
      </w:r>
      <w:proofErr w:type="gramEnd"/>
      <w:r w:rsidRPr="00D60E97">
        <w:rPr>
          <w:color w:val="auto"/>
        </w:rPr>
        <w:t xml:space="preserve"> or sponsor’s), provide the equivalent </w:t>
      </w:r>
      <w:r w:rsidRPr="00D60E97">
        <w:rPr>
          <w:b/>
          <w:bCs/>
          <w:color w:val="auto"/>
        </w:rPr>
        <w:t>signed</w:t>
      </w:r>
      <w:r w:rsidRPr="00D60E97">
        <w:rPr>
          <w:color w:val="auto"/>
        </w:rPr>
        <w:t xml:space="preserve"> documentation that clearly outlines the roles and responsibilities of the Australian MA holder (Sponsor) and other entities in the supply chain (i.e. Global Head Quarters). Particular attention should be paid to provide the information as required by PIC/S chapter 7.</w:t>
      </w:r>
    </w:p>
    <w:p w14:paraId="0D60FC95" w14:textId="77777777" w:rsidR="00961733" w:rsidRDefault="00961733" w:rsidP="00961733">
      <w:pPr>
        <w:jc w:val="center"/>
      </w:pPr>
      <w:r>
        <w:rPr>
          <w:noProof/>
          <w:lang w:eastAsia="en-AU"/>
        </w:rPr>
        <w:drawing>
          <wp:inline distT="0" distB="0" distL="0" distR="0" wp14:anchorId="33A0E42C" wp14:editId="3E5E33EA">
            <wp:extent cx="5215250" cy="1938900"/>
            <wp:effectExtent l="0" t="0" r="5080" b="4445"/>
            <wp:docPr id="2049" name="Picture 2049" descr="Illustrates the requirements for agreements to be in place with all entities in the supply chain" title="Australian Sponsor - Global HQ - Manufacturer supply chai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Grp="1"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221277" cy="1941141"/>
                    </a:xfrm>
                    <a:prstGeom prst="rect">
                      <a:avLst/>
                    </a:prstGeom>
                    <a:noFill/>
                    <a:ln>
                      <a:noFill/>
                    </a:ln>
                    <a:effectLst/>
                  </pic:spPr>
                </pic:pic>
              </a:graphicData>
            </a:graphic>
          </wp:inline>
        </w:drawing>
      </w:r>
    </w:p>
    <w:p w14:paraId="5CC6994C" w14:textId="38759494" w:rsidR="00961733" w:rsidRPr="00D60E97" w:rsidRDefault="00961733" w:rsidP="00961733">
      <w:pPr>
        <w:pStyle w:val="ListBullet"/>
        <w:numPr>
          <w:ilvl w:val="0"/>
          <w:numId w:val="2"/>
        </w:numPr>
        <w:rPr>
          <w:color w:val="auto"/>
        </w:rPr>
      </w:pPr>
      <w:r w:rsidRPr="00D60E97">
        <w:rPr>
          <w:color w:val="auto"/>
        </w:rPr>
        <w:t xml:space="preserve">When using a distributor or other intermediary, provide the relevant </w:t>
      </w:r>
      <w:r w:rsidRPr="00D60E97">
        <w:rPr>
          <w:b/>
          <w:bCs/>
          <w:color w:val="auto"/>
        </w:rPr>
        <w:t>signed</w:t>
      </w:r>
      <w:r w:rsidRPr="00D60E97">
        <w:rPr>
          <w:color w:val="auto"/>
        </w:rPr>
        <w:t xml:space="preserve"> GMP, quality or technical agreements you have in place with them </w:t>
      </w:r>
      <w:r w:rsidRPr="00D60E97">
        <w:rPr>
          <w:b/>
          <w:bCs/>
          <w:color w:val="auto"/>
        </w:rPr>
        <w:t>in addition</w:t>
      </w:r>
      <w:r w:rsidRPr="00D60E97">
        <w:rPr>
          <w:color w:val="auto"/>
        </w:rPr>
        <w:t xml:space="preserve"> to the signed agreement they have in place with the manufacturer. Both documents, when </w:t>
      </w:r>
      <w:r w:rsidR="000C3F2A">
        <w:rPr>
          <w:color w:val="auto"/>
        </w:rPr>
        <w:t>evaluat</w:t>
      </w:r>
      <w:r w:rsidR="000C3F2A" w:rsidRPr="00D60E97">
        <w:rPr>
          <w:color w:val="auto"/>
        </w:rPr>
        <w:t xml:space="preserve">ed </w:t>
      </w:r>
      <w:r w:rsidRPr="00D60E97">
        <w:rPr>
          <w:color w:val="auto"/>
        </w:rPr>
        <w:t>together, should provide clear roles and responsibilities between all the entities in the supply chain for Australia.</w:t>
      </w:r>
    </w:p>
    <w:p w14:paraId="49F3E927" w14:textId="77777777" w:rsidR="00961733" w:rsidRDefault="00961733" w:rsidP="00961733">
      <w:pPr>
        <w:jc w:val="center"/>
      </w:pPr>
      <w:r>
        <w:rPr>
          <w:noProof/>
          <w:lang w:eastAsia="en-AU"/>
        </w:rPr>
        <w:drawing>
          <wp:inline distT="0" distB="0" distL="0" distR="0" wp14:anchorId="3EFA803C" wp14:editId="2B164AAD">
            <wp:extent cx="4824919" cy="1793786"/>
            <wp:effectExtent l="0" t="0" r="0" b="0"/>
            <wp:docPr id="2051" name="Picture 2051" descr="Illustrates the requirements for agreements to be in place with all entities in the supply chain" title="Australian Sponsor - Distributor or Intermediary - Manufacturer Supply Chai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Grp="1"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26467" cy="1794362"/>
                    </a:xfrm>
                    <a:prstGeom prst="rect">
                      <a:avLst/>
                    </a:prstGeom>
                    <a:noFill/>
                    <a:ln>
                      <a:noFill/>
                    </a:ln>
                    <a:effectLst/>
                  </pic:spPr>
                </pic:pic>
              </a:graphicData>
            </a:graphic>
          </wp:inline>
        </w:drawing>
      </w:r>
    </w:p>
    <w:p w14:paraId="2D445044" w14:textId="11D1B79A" w:rsidR="00961733" w:rsidRPr="00D60E97" w:rsidRDefault="00961733" w:rsidP="00961733">
      <w:pPr>
        <w:pStyle w:val="ListBullet"/>
        <w:numPr>
          <w:ilvl w:val="0"/>
          <w:numId w:val="2"/>
        </w:numPr>
        <w:rPr>
          <w:color w:val="auto"/>
        </w:rPr>
      </w:pPr>
      <w:r w:rsidRPr="00D60E97">
        <w:rPr>
          <w:color w:val="auto"/>
        </w:rPr>
        <w:t xml:space="preserve">For generic medicines, when sourcing product from another Sponsor, provide the </w:t>
      </w:r>
      <w:r w:rsidRPr="00D60E97">
        <w:rPr>
          <w:b/>
          <w:bCs/>
          <w:color w:val="auto"/>
        </w:rPr>
        <w:t>signed</w:t>
      </w:r>
      <w:r w:rsidRPr="00D60E97">
        <w:rPr>
          <w:color w:val="auto"/>
        </w:rPr>
        <w:t xml:space="preserve"> GMP, quality or technical agreement you have in place with them </w:t>
      </w:r>
      <w:r w:rsidRPr="00D60E97">
        <w:rPr>
          <w:b/>
          <w:bCs/>
          <w:color w:val="auto"/>
        </w:rPr>
        <w:t>in addition</w:t>
      </w:r>
      <w:r w:rsidRPr="00D60E97">
        <w:rPr>
          <w:color w:val="auto"/>
        </w:rPr>
        <w:t xml:space="preserve"> to the signed agreement </w:t>
      </w:r>
      <w:r w:rsidRPr="00D60E97">
        <w:rPr>
          <w:color w:val="auto"/>
        </w:rPr>
        <w:lastRenderedPageBreak/>
        <w:t xml:space="preserve">they have in place with the manufacturer. </w:t>
      </w:r>
      <w:proofErr w:type="gramStart"/>
      <w:r w:rsidRPr="00D60E97">
        <w:rPr>
          <w:color w:val="auto"/>
        </w:rPr>
        <w:t>Again</w:t>
      </w:r>
      <w:proofErr w:type="gramEnd"/>
      <w:r w:rsidRPr="00D60E97">
        <w:rPr>
          <w:color w:val="auto"/>
        </w:rPr>
        <w:t xml:space="preserve"> both documents, when </w:t>
      </w:r>
      <w:r w:rsidR="000C3F2A">
        <w:rPr>
          <w:color w:val="auto"/>
        </w:rPr>
        <w:t>evaluat</w:t>
      </w:r>
      <w:r w:rsidR="000C3F2A" w:rsidRPr="00D60E97">
        <w:rPr>
          <w:color w:val="auto"/>
        </w:rPr>
        <w:t xml:space="preserve">ed </w:t>
      </w:r>
      <w:bookmarkStart w:id="264" w:name="_Toc11250906"/>
      <w:r w:rsidRPr="00D60E97">
        <w:rPr>
          <w:color w:val="auto"/>
        </w:rPr>
        <w:t>together, should provide clear roles and responsibilities between all the entities in the supply chain for Australia.</w:t>
      </w:r>
    </w:p>
    <w:p w14:paraId="30C8050A" w14:textId="77777777" w:rsidR="00961733" w:rsidRDefault="00961733" w:rsidP="00961733">
      <w:pPr>
        <w:jc w:val="center"/>
      </w:pPr>
      <w:r>
        <w:rPr>
          <w:noProof/>
          <w:lang w:eastAsia="en-AU"/>
        </w:rPr>
        <w:drawing>
          <wp:inline distT="0" distB="0" distL="0" distR="0" wp14:anchorId="113B9043" wp14:editId="2222F4E4">
            <wp:extent cx="5318616" cy="1977328"/>
            <wp:effectExtent l="0" t="0" r="0" b="4445"/>
            <wp:docPr id="2052" name="Picture 2052" descr="Illustrates the requirements for agreements to be in place with all entities in the supply chain" title="Australian Sponsor - Australian Sponsor - Manufacturer Supply Chain"/>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336542" cy="1983993"/>
                    </a:xfrm>
                    <a:prstGeom prst="rect">
                      <a:avLst/>
                    </a:prstGeom>
                    <a:noFill/>
                    <a:ln>
                      <a:noFill/>
                    </a:ln>
                    <a:effectLst/>
                  </pic:spPr>
                </pic:pic>
              </a:graphicData>
            </a:graphic>
          </wp:inline>
        </w:drawing>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26EE7447" w14:textId="77777777" w:rsidTr="0042350D">
        <w:tc>
          <w:tcPr>
            <w:tcW w:w="1276" w:type="dxa"/>
            <w:vAlign w:val="center"/>
          </w:tcPr>
          <w:p w14:paraId="04761D4A" w14:textId="77777777" w:rsidR="00961733" w:rsidRPr="00215D48" w:rsidRDefault="00961733" w:rsidP="0042350D">
            <w:r w:rsidRPr="00215D48">
              <w:rPr>
                <w:noProof/>
                <w:lang w:eastAsia="en-AU"/>
              </w:rPr>
              <w:drawing>
                <wp:inline distT="0" distB="0" distL="0" distR="0" wp14:anchorId="46DB16B4" wp14:editId="5E02E4EF">
                  <wp:extent cx="487681" cy="487681"/>
                  <wp:effectExtent l="19050" t="0" r="7619" b="0"/>
                  <wp:docPr id="2053" name="Picture 2053"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24E4C64" w14:textId="77777777" w:rsidR="00961733" w:rsidRDefault="00961733" w:rsidP="0042350D">
            <w:r>
              <w:t>To avoid unnecessary delays with your application, all relevant agreements or documentation should be provided upfront when lodging an application.</w:t>
            </w:r>
          </w:p>
          <w:p w14:paraId="50D56E1F" w14:textId="77777777" w:rsidR="00961733" w:rsidRPr="00215D48" w:rsidRDefault="00961733" w:rsidP="0042350D">
            <w:r>
              <w:t>Additionally, any ambiguity in terminology or responsibilities should also be clarified upfront via a cover letter. This should include reference to any commercial considerations that may prevent the provision of the required evidence.</w:t>
            </w:r>
          </w:p>
        </w:tc>
      </w:tr>
    </w:tbl>
    <w:p w14:paraId="24EF998B" w14:textId="111A30BD" w:rsidR="00961733" w:rsidRPr="00F13A76" w:rsidRDefault="00961733" w:rsidP="00961733">
      <w:pPr>
        <w:pStyle w:val="Heading3"/>
      </w:pPr>
      <w:bookmarkStart w:id="265" w:name="_Release_procedure(s)_1"/>
      <w:bookmarkStart w:id="266" w:name="_Toc147929270"/>
      <w:bookmarkStart w:id="267" w:name="_Toc198723797"/>
      <w:bookmarkEnd w:id="265"/>
      <w:r w:rsidRPr="00F13A76">
        <w:t>Release procedure(s)</w:t>
      </w:r>
      <w:bookmarkEnd w:id="266"/>
      <w:bookmarkEnd w:id="267"/>
    </w:p>
    <w:p w14:paraId="16E2237E" w14:textId="77777777" w:rsidR="00961733" w:rsidRPr="00F13A76" w:rsidRDefault="00961733" w:rsidP="00961733">
      <w:pPr>
        <w:pStyle w:val="Heading4"/>
        <w:rPr>
          <w:rFonts w:cs="Arial"/>
        </w:rPr>
      </w:pPr>
      <w:bookmarkStart w:id="268" w:name="_Validation_master_plan"/>
      <w:bookmarkStart w:id="269" w:name="_Toc147929271"/>
      <w:bookmarkStart w:id="270" w:name="_Toc198723798"/>
      <w:bookmarkEnd w:id="264"/>
      <w:bookmarkEnd w:id="268"/>
      <w:r w:rsidRPr="00F13A76">
        <w:rPr>
          <w:rFonts w:cs="Arial"/>
        </w:rPr>
        <w:t>Why we require it</w:t>
      </w:r>
      <w:bookmarkEnd w:id="269"/>
      <w:bookmarkEnd w:id="270"/>
    </w:p>
    <w:p w14:paraId="7C7862E0" w14:textId="4F754825" w:rsidR="00961733" w:rsidRDefault="00961733" w:rsidP="00961733">
      <w:r>
        <w:t xml:space="preserve">The release procedure is required because it provides information about how the authorised person at the site performs the </w:t>
      </w:r>
      <w:hyperlink r:id="rId78">
        <w:r w:rsidRPr="229DEDC6">
          <w:rPr>
            <w:rStyle w:val="Hyperlink"/>
          </w:rPr>
          <w:t>release for supply (RFS)</w:t>
        </w:r>
      </w:hyperlink>
      <w:r w:rsidR="008A7C48">
        <w:rPr>
          <w:rStyle w:val="Hyperlink"/>
        </w:rPr>
        <w:t>.</w:t>
      </w:r>
      <w:r>
        <w:t xml:space="preserve"> </w:t>
      </w:r>
    </w:p>
    <w:p w14:paraId="31761DDE" w14:textId="63CDF645" w:rsidR="00961733" w:rsidRDefault="00961733" w:rsidP="00961733">
      <w:r>
        <w:t xml:space="preserve">We do not routinely require </w:t>
      </w:r>
      <w:r w:rsidR="008A7C48">
        <w:t>Release for further processing (</w:t>
      </w:r>
      <w:r>
        <w:t>RFFP</w:t>
      </w:r>
      <w:r w:rsidR="008A7C48">
        <w:t>)</w:t>
      </w:r>
      <w:r>
        <w:t xml:space="preserve"> procedures to be provided however these may be requested</w:t>
      </w:r>
      <w:r w:rsidR="008A7C48">
        <w:t>.</w:t>
      </w:r>
    </w:p>
    <w:p w14:paraId="1B64961B" w14:textId="77777777" w:rsidR="00961733" w:rsidRDefault="00961733" w:rsidP="00961733">
      <w:r>
        <w:t>Guidance is available regarding release for supply of medicines and for releasing medicines that are manufactured across multiple sites:</w:t>
      </w:r>
    </w:p>
    <w:p w14:paraId="7CDF5615" w14:textId="77777777" w:rsidR="00961733" w:rsidRDefault="00961733" w:rsidP="00961733">
      <w:pPr>
        <w:pStyle w:val="ListBullet"/>
        <w:numPr>
          <w:ilvl w:val="0"/>
          <w:numId w:val="2"/>
        </w:numPr>
      </w:pPr>
      <w:hyperlink r:id="rId79">
        <w:r w:rsidRPr="5AB8732C">
          <w:rPr>
            <w:rStyle w:val="Hyperlink"/>
          </w:rPr>
          <w:t>Release for supply of medicines</w:t>
        </w:r>
      </w:hyperlink>
    </w:p>
    <w:p w14:paraId="1EF66063" w14:textId="77777777" w:rsidR="00961733" w:rsidRDefault="00961733" w:rsidP="00961733">
      <w:pPr>
        <w:pStyle w:val="ListBullet"/>
        <w:numPr>
          <w:ilvl w:val="0"/>
          <w:numId w:val="2"/>
        </w:numPr>
      </w:pPr>
      <w:hyperlink r:id="rId80">
        <w:r w:rsidRPr="5AB8732C">
          <w:rPr>
            <w:rStyle w:val="Hyperlink"/>
          </w:rPr>
          <w:t>Releasing medicines manufactured at multiple sites</w:t>
        </w:r>
      </w:hyperlink>
    </w:p>
    <w:p w14:paraId="6CDC7A12" w14:textId="77777777" w:rsidR="00961733" w:rsidRPr="00F13A76" w:rsidRDefault="00961733" w:rsidP="00961733">
      <w:pPr>
        <w:pStyle w:val="Heading4"/>
        <w:rPr>
          <w:rFonts w:cs="Arial"/>
        </w:rPr>
      </w:pPr>
      <w:bookmarkStart w:id="271" w:name="_Toc147929272"/>
      <w:bookmarkStart w:id="272" w:name="_Toc198723799"/>
      <w:r w:rsidRPr="00F13A76">
        <w:rPr>
          <w:rFonts w:cs="Arial"/>
        </w:rPr>
        <w:t>What you should provide</w:t>
      </w:r>
      <w:bookmarkEnd w:id="271"/>
      <w:bookmarkEnd w:id="272"/>
    </w:p>
    <w:p w14:paraId="61440903" w14:textId="77777777" w:rsidR="00961733" w:rsidRPr="000D54D4" w:rsidRDefault="00961733" w:rsidP="00961733">
      <w:r w:rsidRPr="000D54D4">
        <w:t>Provide the release for supply procedure(s). Ensure that:</w:t>
      </w:r>
    </w:p>
    <w:p w14:paraId="0A1A9754" w14:textId="77777777" w:rsidR="00961733" w:rsidRPr="00D60E97" w:rsidRDefault="00961733" w:rsidP="00961733">
      <w:pPr>
        <w:pStyle w:val="ListBullet"/>
        <w:numPr>
          <w:ilvl w:val="0"/>
          <w:numId w:val="2"/>
        </w:numPr>
        <w:rPr>
          <w:color w:val="auto"/>
        </w:rPr>
      </w:pPr>
      <w:r w:rsidRPr="00D60E97">
        <w:rPr>
          <w:color w:val="auto"/>
        </w:rPr>
        <w:t>the procedure is applicable to the product types and dosage forms in your application</w:t>
      </w:r>
    </w:p>
    <w:p w14:paraId="392C1FD2" w14:textId="77777777" w:rsidR="00961733" w:rsidRPr="00D60E97" w:rsidRDefault="00961733" w:rsidP="00961733">
      <w:pPr>
        <w:pStyle w:val="ListBullet"/>
        <w:numPr>
          <w:ilvl w:val="0"/>
          <w:numId w:val="2"/>
        </w:numPr>
        <w:rPr>
          <w:color w:val="auto"/>
        </w:rPr>
      </w:pPr>
      <w:r w:rsidRPr="00D60E97">
        <w:rPr>
          <w:color w:val="auto"/>
        </w:rPr>
        <w:t xml:space="preserve">sufficient information about </w:t>
      </w:r>
      <w:r w:rsidRPr="00D60E97">
        <w:rPr>
          <w:b/>
          <w:bCs/>
          <w:color w:val="auto"/>
        </w:rPr>
        <w:t>how</w:t>
      </w:r>
      <w:r w:rsidRPr="00D60E97">
        <w:rPr>
          <w:color w:val="auto"/>
        </w:rPr>
        <w:t xml:space="preserve"> the RFS authorised person ensures each batch has been manufactured and checked for compliance with the relevant Australian Marketing Authorisation (MA) is provided</w:t>
      </w:r>
    </w:p>
    <w:p w14:paraId="6CCD9EDE" w14:textId="77777777" w:rsidR="00961733" w:rsidRPr="00D60E97" w:rsidRDefault="00961733" w:rsidP="00961733">
      <w:pPr>
        <w:pStyle w:val="ListBullet"/>
        <w:numPr>
          <w:ilvl w:val="0"/>
          <w:numId w:val="2"/>
        </w:numPr>
        <w:rPr>
          <w:color w:val="auto"/>
        </w:rPr>
      </w:pPr>
      <w:r w:rsidRPr="00D60E97">
        <w:rPr>
          <w:color w:val="auto"/>
        </w:rPr>
        <w:t>all relevant appendices to the procedure are provided—for example, batch release checklists.</w:t>
      </w:r>
    </w:p>
    <w:p w14:paraId="275493D9" w14:textId="77777777" w:rsidR="00961733" w:rsidRPr="00F13A76" w:rsidRDefault="00961733" w:rsidP="00961733">
      <w:pPr>
        <w:pStyle w:val="Heading4"/>
        <w:rPr>
          <w:rFonts w:cs="Arial"/>
        </w:rPr>
      </w:pPr>
      <w:bookmarkStart w:id="273" w:name="_Toc147929273"/>
      <w:bookmarkStart w:id="274" w:name="_Toc198723800"/>
      <w:r w:rsidRPr="00F13A76">
        <w:rPr>
          <w:rFonts w:cs="Arial"/>
        </w:rPr>
        <w:lastRenderedPageBreak/>
        <w:t>Take particular care</w:t>
      </w:r>
      <w:bookmarkEnd w:id="273"/>
      <w:bookmarkEnd w:id="274"/>
    </w:p>
    <w:p w14:paraId="72B8C691" w14:textId="77777777" w:rsidR="00961733" w:rsidRDefault="00961733" w:rsidP="00961733">
      <w:r>
        <w:t>Ensure the procedure describes in detail how the RFS process operates, for example, the process for reviewing critical records and verifying compliance with GMP and the MA.</w:t>
      </w:r>
    </w:p>
    <w:p w14:paraId="0723A753" w14:textId="0DBAAB15" w:rsidR="006523C8" w:rsidRDefault="006523C8" w:rsidP="006523C8">
      <w:pPr>
        <w:pStyle w:val="Heading4"/>
        <w:rPr>
          <w:rFonts w:cs="Arial"/>
        </w:rPr>
      </w:pPr>
      <w:bookmarkStart w:id="275" w:name="_Toc198723801"/>
      <w:r>
        <w:rPr>
          <w:rFonts w:cs="Arial"/>
        </w:rPr>
        <w:t>Annex 16 requirements</w:t>
      </w:r>
      <w:bookmarkEnd w:id="275"/>
    </w:p>
    <w:p w14:paraId="4B9DD834" w14:textId="65243B85" w:rsidR="006523C8" w:rsidRDefault="006523C8" w:rsidP="006523C8">
      <w:r w:rsidRPr="006523C8">
        <w:t>From 3 June 2024 the PIC/S Guide to GMP version 16 applies to the manufacture of medicines, APIs and sunscreens, unless exempt under provisions in the</w:t>
      </w:r>
      <w:r>
        <w:t xml:space="preserve"> </w:t>
      </w:r>
      <w:r w:rsidRPr="006523C8">
        <w:rPr>
          <w:i/>
          <w:iCs/>
        </w:rPr>
        <w:t>Therapeutic Goods Act 1989</w:t>
      </w:r>
      <w:r w:rsidR="000B7E35">
        <w:rPr>
          <w:i/>
          <w:iCs/>
        </w:rPr>
        <w:t xml:space="preserve"> </w:t>
      </w:r>
      <w:r w:rsidRPr="006523C8">
        <w:t>(the Act).</w:t>
      </w:r>
      <w:r>
        <w:t xml:space="preserve">  Additional information may be requested as part of your application </w:t>
      </w:r>
      <w:r w:rsidR="000C3F2A">
        <w:t>evaluation</w:t>
      </w:r>
      <w:r>
        <w:t xml:space="preserve"> such as:</w:t>
      </w:r>
    </w:p>
    <w:p w14:paraId="692CB865" w14:textId="3ADCF0A3" w:rsidR="006523C8" w:rsidRPr="00397E0B" w:rsidRDefault="006523C8" w:rsidP="006523C8">
      <w:pPr>
        <w:pStyle w:val="ListParagraph"/>
        <w:numPr>
          <w:ilvl w:val="0"/>
          <w:numId w:val="42"/>
        </w:numPr>
        <w:rPr>
          <w:rFonts w:asciiTheme="minorHAnsi" w:hAnsiTheme="minorHAnsi" w:cstheme="minorHAnsi"/>
          <w:sz w:val="20"/>
        </w:rPr>
      </w:pPr>
      <w:r w:rsidRPr="00397E0B">
        <w:rPr>
          <w:rFonts w:asciiTheme="minorHAnsi" w:hAnsiTheme="minorHAnsi" w:cstheme="minorHAnsi"/>
          <w:sz w:val="20"/>
        </w:rPr>
        <w:t>supply chain overviews</w:t>
      </w:r>
    </w:p>
    <w:p w14:paraId="198CAF09" w14:textId="40BEDF87" w:rsidR="006523C8" w:rsidRPr="00397E0B" w:rsidRDefault="006523C8" w:rsidP="006523C8">
      <w:pPr>
        <w:pStyle w:val="ListParagraph"/>
        <w:numPr>
          <w:ilvl w:val="0"/>
          <w:numId w:val="42"/>
        </w:numPr>
        <w:rPr>
          <w:rFonts w:asciiTheme="minorHAnsi" w:hAnsiTheme="minorHAnsi" w:cstheme="minorHAnsi"/>
          <w:sz w:val="20"/>
        </w:rPr>
      </w:pPr>
      <w:r w:rsidRPr="00397E0B">
        <w:rPr>
          <w:rFonts w:asciiTheme="minorHAnsi" w:hAnsiTheme="minorHAnsi" w:cstheme="minorHAnsi"/>
          <w:sz w:val="20"/>
        </w:rPr>
        <w:t>Authorised person job descriptions</w:t>
      </w:r>
    </w:p>
    <w:p w14:paraId="3E6FB313" w14:textId="51D8AC36" w:rsidR="006523C8" w:rsidRPr="00397E0B" w:rsidRDefault="006523C8" w:rsidP="006523C8">
      <w:pPr>
        <w:pStyle w:val="ListParagraph"/>
        <w:numPr>
          <w:ilvl w:val="0"/>
          <w:numId w:val="42"/>
        </w:numPr>
        <w:rPr>
          <w:rFonts w:asciiTheme="minorHAnsi" w:hAnsiTheme="minorHAnsi" w:cstheme="minorHAnsi"/>
          <w:sz w:val="20"/>
        </w:rPr>
      </w:pPr>
      <w:r w:rsidRPr="00397E0B">
        <w:rPr>
          <w:rFonts w:asciiTheme="minorHAnsi" w:hAnsiTheme="minorHAnsi" w:cstheme="minorHAnsi"/>
          <w:sz w:val="20"/>
        </w:rPr>
        <w:t>training procedures and records for authorised person</w:t>
      </w:r>
    </w:p>
    <w:p w14:paraId="6E20A52C" w14:textId="004462B7" w:rsidR="006523C8" w:rsidRDefault="006523C8" w:rsidP="006523C8">
      <w:pPr>
        <w:pStyle w:val="ListParagraph"/>
        <w:numPr>
          <w:ilvl w:val="0"/>
          <w:numId w:val="42"/>
        </w:numPr>
        <w:rPr>
          <w:rFonts w:asciiTheme="minorHAnsi" w:hAnsiTheme="minorHAnsi" w:cstheme="minorHAnsi"/>
          <w:sz w:val="20"/>
        </w:rPr>
      </w:pPr>
      <w:r w:rsidRPr="00397E0B">
        <w:rPr>
          <w:rFonts w:asciiTheme="minorHAnsi" w:hAnsiTheme="minorHAnsi" w:cstheme="minorHAnsi"/>
          <w:sz w:val="20"/>
        </w:rPr>
        <w:t>supplier qualification procedures</w:t>
      </w:r>
    </w:p>
    <w:p w14:paraId="693AB898" w14:textId="1BE7AE6A" w:rsidR="006523C8" w:rsidRDefault="006523C8" w:rsidP="006523C8">
      <w:pPr>
        <w:pStyle w:val="ListParagraph"/>
        <w:numPr>
          <w:ilvl w:val="0"/>
          <w:numId w:val="42"/>
        </w:numPr>
        <w:rPr>
          <w:rFonts w:asciiTheme="minorHAnsi" w:hAnsiTheme="minorHAnsi" w:cstheme="minorHAnsi"/>
          <w:sz w:val="20"/>
        </w:rPr>
      </w:pPr>
      <w:r>
        <w:rPr>
          <w:rFonts w:asciiTheme="minorHAnsi" w:hAnsiTheme="minorHAnsi" w:cstheme="minorHAnsi"/>
          <w:sz w:val="20"/>
        </w:rPr>
        <w:t>release for further processing procedures</w:t>
      </w:r>
    </w:p>
    <w:p w14:paraId="642CAC27" w14:textId="2C7E9E95" w:rsidR="006523C8" w:rsidRDefault="006523C8" w:rsidP="00961733">
      <w:r>
        <w:rPr>
          <w:rFonts w:asciiTheme="minorHAnsi" w:hAnsiTheme="minorHAnsi" w:cstheme="minorHAnsi"/>
        </w:rPr>
        <w:t>This documentation is not required at application submission but may be requested where other documentation does not sufficiently cover the annex 16 clauses.</w:t>
      </w:r>
      <w:bookmarkStart w:id="276" w:name="_Toc11250910"/>
    </w:p>
    <w:p w14:paraId="35A6A79B" w14:textId="77777777" w:rsidR="00961733" w:rsidRPr="00F13A76" w:rsidRDefault="00961733" w:rsidP="00961733">
      <w:pPr>
        <w:pStyle w:val="Heading3"/>
      </w:pPr>
      <w:bookmarkStart w:id="277" w:name="_Validation_master_plan_1"/>
      <w:bookmarkStart w:id="278" w:name="_Toc147929274"/>
      <w:bookmarkStart w:id="279" w:name="_Toc198723802"/>
      <w:bookmarkEnd w:id="277"/>
      <w:r w:rsidRPr="00F13A76">
        <w:t>Validation master plan</w:t>
      </w:r>
      <w:bookmarkEnd w:id="278"/>
      <w:bookmarkEnd w:id="279"/>
    </w:p>
    <w:p w14:paraId="5578B3C2" w14:textId="77777777" w:rsidR="00961733" w:rsidRPr="00F13A76" w:rsidRDefault="00961733" w:rsidP="00961733">
      <w:pPr>
        <w:pStyle w:val="Heading4"/>
        <w:rPr>
          <w:rFonts w:cs="Arial"/>
        </w:rPr>
      </w:pPr>
      <w:bookmarkStart w:id="280" w:name="_Latest_Product_Quality"/>
      <w:bookmarkStart w:id="281" w:name="_Toc147929275"/>
      <w:bookmarkStart w:id="282" w:name="_Toc198723803"/>
      <w:bookmarkStart w:id="283" w:name="_Toc11250914"/>
      <w:bookmarkEnd w:id="276"/>
      <w:bookmarkEnd w:id="280"/>
      <w:r w:rsidRPr="00F13A76">
        <w:rPr>
          <w:rFonts w:cs="Arial"/>
        </w:rPr>
        <w:t>Why we require it</w:t>
      </w:r>
      <w:bookmarkEnd w:id="281"/>
      <w:bookmarkEnd w:id="282"/>
    </w:p>
    <w:p w14:paraId="1294FA23" w14:textId="77777777" w:rsidR="00961733" w:rsidRPr="000D54D4" w:rsidRDefault="00961733" w:rsidP="00961733">
      <w:pPr>
        <w:keepNext/>
      </w:pPr>
      <w:r w:rsidRPr="000D54D4">
        <w:t>The Validation Master Plan (VMP) is required as it provides further information about the validation and qualification activities of the manufacturing site and its operations. We need to know that the components and processes used for manufacture of the medicines and APIs are appropriately qualified and validated and have a suitable re-validation schedule.</w:t>
      </w:r>
    </w:p>
    <w:p w14:paraId="784CD053" w14:textId="77777777" w:rsidR="00961733" w:rsidRPr="00F13A76" w:rsidRDefault="00961733" w:rsidP="00961733">
      <w:pPr>
        <w:pStyle w:val="Heading4"/>
        <w:rPr>
          <w:rFonts w:cs="Arial"/>
        </w:rPr>
      </w:pPr>
      <w:bookmarkStart w:id="284" w:name="_Toc147929276"/>
      <w:bookmarkStart w:id="285" w:name="_Toc198723804"/>
      <w:r w:rsidRPr="00F13A76">
        <w:rPr>
          <w:rFonts w:cs="Arial"/>
        </w:rPr>
        <w:t>What you should provide</w:t>
      </w:r>
      <w:bookmarkEnd w:id="284"/>
      <w:bookmarkEnd w:id="285"/>
    </w:p>
    <w:p w14:paraId="35E10886" w14:textId="77777777" w:rsidR="00961733" w:rsidRDefault="00961733" w:rsidP="00961733">
      <w:r>
        <w:t xml:space="preserve">Provide the VMP and ensure that it meets the requirements outlined in </w:t>
      </w:r>
      <w:hyperlink r:id="rId81" w:history="1">
        <w:r w:rsidRPr="00007644">
          <w:rPr>
            <w:rStyle w:val="Hyperlink"/>
          </w:rPr>
          <w:t>Annex 15, of the PIC/S Guide to GMP for Medicinal Products</w:t>
        </w:r>
      </w:hyperlink>
      <w:r>
        <w:t>.</w:t>
      </w:r>
    </w:p>
    <w:p w14:paraId="1510C6A3" w14:textId="77777777" w:rsidR="00961733" w:rsidRPr="00F13A76" w:rsidRDefault="00961733" w:rsidP="00961733">
      <w:pPr>
        <w:pStyle w:val="Heading4"/>
        <w:rPr>
          <w:rFonts w:cs="Arial"/>
        </w:rPr>
      </w:pPr>
      <w:bookmarkStart w:id="286" w:name="_Toc147929277"/>
      <w:bookmarkStart w:id="287" w:name="_Toc198723805"/>
      <w:r w:rsidRPr="00F13A76">
        <w:rPr>
          <w:rFonts w:cs="Arial"/>
        </w:rPr>
        <w:t>Take particular care</w:t>
      </w:r>
      <w:bookmarkEnd w:id="286"/>
      <w:bookmarkEnd w:id="287"/>
    </w:p>
    <w:p w14:paraId="3FA11968" w14:textId="77777777" w:rsidR="00961733" w:rsidRPr="00607185" w:rsidRDefault="00961733" w:rsidP="00961733">
      <w:r w:rsidRPr="00607185">
        <w:t>Ensure the VMP:</w:t>
      </w:r>
    </w:p>
    <w:p w14:paraId="22587B7B" w14:textId="77777777" w:rsidR="00961733" w:rsidRPr="00D60E97" w:rsidRDefault="00961733" w:rsidP="00961733">
      <w:pPr>
        <w:pStyle w:val="ListBullet"/>
        <w:numPr>
          <w:ilvl w:val="0"/>
          <w:numId w:val="2"/>
        </w:numPr>
        <w:rPr>
          <w:color w:val="auto"/>
        </w:rPr>
      </w:pPr>
      <w:r w:rsidRPr="00D60E97">
        <w:rPr>
          <w:color w:val="auto"/>
        </w:rPr>
        <w:t>includes the relevant equipment and processes applicable to the products intended to be supplied to Australia</w:t>
      </w:r>
    </w:p>
    <w:p w14:paraId="3785E936" w14:textId="77777777" w:rsidR="00961733" w:rsidRPr="00D60E97" w:rsidRDefault="00961733" w:rsidP="00961733">
      <w:pPr>
        <w:pStyle w:val="ListBullet"/>
        <w:numPr>
          <w:ilvl w:val="0"/>
          <w:numId w:val="2"/>
        </w:numPr>
        <w:rPr>
          <w:color w:val="auto"/>
        </w:rPr>
      </w:pPr>
      <w:r w:rsidRPr="00D60E97">
        <w:rPr>
          <w:color w:val="auto"/>
        </w:rPr>
        <w:t>provides a reference to the existing specific equipment or process validation documentation and a re-validation schedule. Where the Validation master plan does not contain sufficient information to verify that all critical validation and requalification of the facility, utilities, processes, equipment methods and cleaning etc. are up to date, additional evidence demonstrating this should be provided.</w:t>
      </w:r>
    </w:p>
    <w:p w14:paraId="27509A0E" w14:textId="77777777" w:rsidR="00961733" w:rsidRPr="00F13A76" w:rsidRDefault="00961733" w:rsidP="00961733">
      <w:pPr>
        <w:pStyle w:val="Heading3"/>
      </w:pPr>
      <w:bookmarkStart w:id="288" w:name="_Latest_Product_Quality_1"/>
      <w:bookmarkStart w:id="289" w:name="_Toc147929278"/>
      <w:bookmarkStart w:id="290" w:name="_Toc198723806"/>
      <w:bookmarkEnd w:id="288"/>
      <w:r w:rsidRPr="00F13A76">
        <w:t>Latest Product Quality Review</w:t>
      </w:r>
      <w:bookmarkEnd w:id="289"/>
      <w:bookmarkEnd w:id="290"/>
    </w:p>
    <w:p w14:paraId="5A32D1F8" w14:textId="77777777" w:rsidR="00961733" w:rsidRPr="00F13A76" w:rsidRDefault="00961733" w:rsidP="00961733">
      <w:pPr>
        <w:pStyle w:val="Heading4"/>
        <w:rPr>
          <w:rFonts w:cs="Arial"/>
        </w:rPr>
      </w:pPr>
      <w:bookmarkStart w:id="291" w:name="_List_of_authorised"/>
      <w:bookmarkStart w:id="292" w:name="_Toc147929279"/>
      <w:bookmarkStart w:id="293" w:name="_Toc198723807"/>
      <w:bookmarkStart w:id="294" w:name="_Toc11250919"/>
      <w:bookmarkEnd w:id="283"/>
      <w:bookmarkEnd w:id="291"/>
      <w:r w:rsidRPr="00F13A76">
        <w:rPr>
          <w:rFonts w:cs="Arial"/>
        </w:rPr>
        <w:t>Why we require it</w:t>
      </w:r>
      <w:bookmarkEnd w:id="292"/>
      <w:bookmarkEnd w:id="293"/>
    </w:p>
    <w:p w14:paraId="6AADEA7D" w14:textId="77777777" w:rsidR="00961733" w:rsidRPr="0007310F" w:rsidRDefault="00961733" w:rsidP="00961733">
      <w:r w:rsidRPr="0007310F">
        <w:t>The Product Quality Review (PQR) is required because it provides information on how effective and consistent the existing manufacturing process of a product is. It also provides information on variations to marketing authorisations and market complaints.</w:t>
      </w:r>
    </w:p>
    <w:p w14:paraId="2D099D9F" w14:textId="77777777" w:rsidR="00961733" w:rsidRPr="00F13A76" w:rsidRDefault="00961733" w:rsidP="00961733">
      <w:pPr>
        <w:pStyle w:val="Heading4"/>
        <w:rPr>
          <w:rFonts w:cs="Arial"/>
        </w:rPr>
      </w:pPr>
      <w:bookmarkStart w:id="295" w:name="_Toc147929280"/>
      <w:bookmarkStart w:id="296" w:name="_Toc198723808"/>
      <w:r w:rsidRPr="00F13A76">
        <w:rPr>
          <w:rFonts w:cs="Arial"/>
        </w:rPr>
        <w:lastRenderedPageBreak/>
        <w:t>What you should provide</w:t>
      </w:r>
      <w:bookmarkEnd w:id="295"/>
      <w:bookmarkEnd w:id="296"/>
    </w:p>
    <w:p w14:paraId="64F098ED" w14:textId="77777777" w:rsidR="00961733" w:rsidRPr="00C66060" w:rsidRDefault="00961733" w:rsidP="00961733">
      <w:pPr>
        <w:keepNext/>
        <w:keepLines/>
      </w:pPr>
      <w:r w:rsidRPr="00C66060">
        <w:t>Provide a copy of the most recent PQR of the product you are supplying or intend to supply to Australia. Ensure that:</w:t>
      </w:r>
    </w:p>
    <w:p w14:paraId="7D27B6D4" w14:textId="77777777" w:rsidR="00961733" w:rsidRDefault="00961733" w:rsidP="00961733">
      <w:pPr>
        <w:pStyle w:val="ListBullet"/>
        <w:numPr>
          <w:ilvl w:val="0"/>
          <w:numId w:val="2"/>
        </w:numPr>
      </w:pPr>
      <w:r w:rsidRPr="00D60E97">
        <w:rPr>
          <w:color w:val="auto"/>
        </w:rPr>
        <w:t xml:space="preserve">the contents meet the requirements outlined in </w:t>
      </w:r>
      <w:hyperlink r:id="rId82">
        <w:r w:rsidRPr="5AB8732C">
          <w:rPr>
            <w:rStyle w:val="Hyperlink"/>
          </w:rPr>
          <w:t>Chapter One, of the PIC/S Guide to GMP for Medicinal Products</w:t>
        </w:r>
      </w:hyperlink>
    </w:p>
    <w:p w14:paraId="779DD115" w14:textId="328A1BF6" w:rsidR="00961733" w:rsidRPr="00D60E97" w:rsidRDefault="00961733" w:rsidP="00961733">
      <w:pPr>
        <w:pStyle w:val="ListBullet"/>
        <w:numPr>
          <w:ilvl w:val="0"/>
          <w:numId w:val="2"/>
        </w:numPr>
        <w:rPr>
          <w:color w:val="auto"/>
        </w:rPr>
      </w:pPr>
      <w:r w:rsidRPr="00D60E97">
        <w:rPr>
          <w:color w:val="auto"/>
        </w:rPr>
        <w:t xml:space="preserve">where the </w:t>
      </w:r>
      <w:r w:rsidR="00B323DA">
        <w:rPr>
          <w:color w:val="auto"/>
        </w:rPr>
        <w:t>GMP Clearance</w:t>
      </w:r>
      <w:r w:rsidRPr="00D60E97">
        <w:rPr>
          <w:color w:val="auto"/>
        </w:rPr>
        <w:t xml:space="preserve"> application is for multiple products/dosage forms, provide the most recent PQR available</w:t>
      </w:r>
      <w:r>
        <w:rPr>
          <w:color w:val="auto"/>
        </w:rPr>
        <w:t xml:space="preserve"> for that dosage form</w:t>
      </w:r>
      <w:r w:rsidRPr="00D60E97">
        <w:rPr>
          <w:color w:val="auto"/>
        </w:rPr>
        <w:t>. Please note that additional PQR’s may be requested if required.</w:t>
      </w:r>
    </w:p>
    <w:p w14:paraId="7C6B0C62" w14:textId="77777777" w:rsidR="00961733" w:rsidRPr="00F13A76" w:rsidRDefault="00961733" w:rsidP="00961733">
      <w:pPr>
        <w:pStyle w:val="Heading4"/>
        <w:rPr>
          <w:rFonts w:cs="Arial"/>
        </w:rPr>
      </w:pPr>
      <w:bookmarkStart w:id="297" w:name="_Toc147929281"/>
      <w:bookmarkStart w:id="298" w:name="_Toc198723809"/>
      <w:r w:rsidRPr="00F13A76">
        <w:rPr>
          <w:rFonts w:cs="Arial"/>
        </w:rPr>
        <w:t>Take particular care</w:t>
      </w:r>
      <w:bookmarkEnd w:id="297"/>
      <w:bookmarkEnd w:id="298"/>
    </w:p>
    <w:p w14:paraId="31C71240" w14:textId="77777777" w:rsidR="00961733" w:rsidRPr="00C66060" w:rsidRDefault="00961733" w:rsidP="00961733">
      <w:r w:rsidRPr="00C66060">
        <w:t>Ensure that:</w:t>
      </w:r>
    </w:p>
    <w:p w14:paraId="3D13E476" w14:textId="77777777" w:rsidR="00961733" w:rsidRPr="00D60E97" w:rsidRDefault="00961733" w:rsidP="00961733">
      <w:pPr>
        <w:pStyle w:val="ListBullet"/>
        <w:numPr>
          <w:ilvl w:val="0"/>
          <w:numId w:val="2"/>
        </w:numPr>
        <w:rPr>
          <w:color w:val="auto"/>
        </w:rPr>
      </w:pPr>
      <w:r w:rsidRPr="00D60E97">
        <w:rPr>
          <w:color w:val="auto"/>
        </w:rPr>
        <w:t>the PQR is complete and does not contradict other evidence in the application.</w:t>
      </w:r>
    </w:p>
    <w:p w14:paraId="3F305A16" w14:textId="77777777" w:rsidR="00961733" w:rsidRPr="00F13A76" w:rsidRDefault="00961733" w:rsidP="00961733">
      <w:pPr>
        <w:pStyle w:val="Heading4"/>
        <w:rPr>
          <w:rFonts w:cs="Arial"/>
        </w:rPr>
      </w:pPr>
      <w:bookmarkStart w:id="299" w:name="_Toc147929282"/>
      <w:bookmarkStart w:id="300" w:name="_Toc198723810"/>
      <w:r w:rsidRPr="00F13A76">
        <w:rPr>
          <w:rFonts w:cs="Arial"/>
        </w:rPr>
        <w:t>Alternative evidence</w:t>
      </w:r>
      <w:bookmarkEnd w:id="299"/>
      <w:bookmarkEnd w:id="300"/>
    </w:p>
    <w:p w14:paraId="3CFCC1F4" w14:textId="2325D989" w:rsidR="00961733" w:rsidRDefault="00961733" w:rsidP="00961733">
      <w:r>
        <w:t xml:space="preserve">Where the substance or product has not yet been subject to a product quality review, you should state this fact and provide the PQR procedure. The </w:t>
      </w:r>
      <w:r w:rsidR="00B323DA">
        <w:t>GMP Clearance</w:t>
      </w:r>
      <w:r>
        <w:t xml:space="preserve"> may be conditioned for you to provide the PQR as soon as it becomes available.</w:t>
      </w:r>
    </w:p>
    <w:p w14:paraId="47A97DD0" w14:textId="77777777" w:rsidR="00961733" w:rsidRPr="00F13A76" w:rsidRDefault="00961733" w:rsidP="00961733">
      <w:pPr>
        <w:pStyle w:val="Heading3"/>
      </w:pPr>
      <w:bookmarkStart w:id="301" w:name="_List_of_authorised_1"/>
      <w:bookmarkStart w:id="302" w:name="_Toc147929283"/>
      <w:bookmarkStart w:id="303" w:name="_Toc198723811"/>
      <w:bookmarkEnd w:id="301"/>
      <w:r w:rsidRPr="00F13A76">
        <w:t>List of authorised tests (contract testing laboratories only)</w:t>
      </w:r>
      <w:bookmarkEnd w:id="302"/>
      <w:bookmarkEnd w:id="303"/>
    </w:p>
    <w:p w14:paraId="4C4C7C0A" w14:textId="77777777" w:rsidR="00961733" w:rsidRPr="00F13A76" w:rsidRDefault="00961733" w:rsidP="00961733">
      <w:pPr>
        <w:pStyle w:val="Heading4"/>
        <w:rPr>
          <w:rFonts w:cs="Arial"/>
        </w:rPr>
      </w:pPr>
      <w:bookmarkStart w:id="304" w:name="_Toc147929284"/>
      <w:bookmarkStart w:id="305" w:name="_Toc198723812"/>
      <w:bookmarkEnd w:id="294"/>
      <w:r w:rsidRPr="00F13A76">
        <w:rPr>
          <w:rFonts w:cs="Arial"/>
        </w:rPr>
        <w:t>Why we require it</w:t>
      </w:r>
      <w:bookmarkEnd w:id="304"/>
      <w:bookmarkEnd w:id="305"/>
    </w:p>
    <w:p w14:paraId="2D3F5F8E" w14:textId="77777777" w:rsidR="00961733" w:rsidRPr="00350EEB" w:rsidRDefault="00961733" w:rsidP="00961733">
      <w:r w:rsidRPr="00350EEB">
        <w:t>A list of authorised tests is required because it provides further information on the testing capabilities of a contract testing laboratory applicable to the scope of the application.</w:t>
      </w:r>
    </w:p>
    <w:p w14:paraId="73418ED8" w14:textId="77777777" w:rsidR="00961733" w:rsidRPr="00F13A76" w:rsidRDefault="00961733" w:rsidP="00961733">
      <w:pPr>
        <w:pStyle w:val="Heading4"/>
        <w:rPr>
          <w:rFonts w:cs="Arial"/>
        </w:rPr>
      </w:pPr>
      <w:bookmarkStart w:id="306" w:name="_Toc11250921"/>
      <w:bookmarkStart w:id="307" w:name="_Toc147929285"/>
      <w:bookmarkStart w:id="308" w:name="_Toc198723813"/>
      <w:r w:rsidRPr="00F13A76">
        <w:rPr>
          <w:rFonts w:cs="Arial"/>
        </w:rPr>
        <w:t>What you should provide</w:t>
      </w:r>
      <w:bookmarkEnd w:id="306"/>
      <w:bookmarkEnd w:id="307"/>
      <w:bookmarkEnd w:id="308"/>
    </w:p>
    <w:p w14:paraId="3511E084" w14:textId="77777777" w:rsidR="00961733" w:rsidRPr="00350EEB" w:rsidRDefault="00961733" w:rsidP="00961733">
      <w:r w:rsidRPr="00350EEB">
        <w:t>Provide an accurate list of tests performed by the testing laboratory. Ensure that the information does not contradict any other evidence provided with the application.</w:t>
      </w:r>
    </w:p>
    <w:p w14:paraId="09DEFF19" w14:textId="77777777" w:rsidR="00961733" w:rsidRPr="00F13A76" w:rsidRDefault="00961733" w:rsidP="00961733">
      <w:pPr>
        <w:pStyle w:val="Heading4"/>
        <w:rPr>
          <w:rFonts w:cs="Arial"/>
        </w:rPr>
      </w:pPr>
      <w:bookmarkStart w:id="309" w:name="_Toc11250922"/>
      <w:bookmarkStart w:id="310" w:name="_Toc147929286"/>
      <w:bookmarkStart w:id="311" w:name="_Toc198723814"/>
      <w:r w:rsidRPr="00F13A76">
        <w:rPr>
          <w:rFonts w:cs="Arial"/>
        </w:rPr>
        <w:t>Take particular care</w:t>
      </w:r>
      <w:bookmarkEnd w:id="309"/>
      <w:bookmarkEnd w:id="310"/>
      <w:bookmarkEnd w:id="311"/>
    </w:p>
    <w:p w14:paraId="4AED1F13" w14:textId="4945C4F3" w:rsidR="00961733" w:rsidRDefault="00961733" w:rsidP="00961733">
      <w:r>
        <w:t xml:space="preserve">The list of tests should match your </w:t>
      </w:r>
      <w:proofErr w:type="gramStart"/>
      <w:r>
        <w:t>application</w:t>
      </w:r>
      <w:proofErr w:type="gramEnd"/>
      <w:r>
        <w:t xml:space="preserve"> and the test name </w:t>
      </w:r>
      <w:bookmarkStart w:id="312" w:name="_Toc11250924"/>
      <w:r>
        <w:t>should clearly indicate the nature and type of testing performed.</w:t>
      </w:r>
    </w:p>
    <w:p w14:paraId="05CDF033" w14:textId="77777777" w:rsidR="00961733" w:rsidRPr="00F13A76" w:rsidRDefault="00961733" w:rsidP="00961733">
      <w:pPr>
        <w:pStyle w:val="Heading3"/>
      </w:pPr>
      <w:bookmarkStart w:id="313" w:name="_API_declaration_1"/>
      <w:bookmarkStart w:id="314" w:name="_Toc147929287"/>
      <w:bookmarkStart w:id="315" w:name="_Toc198723815"/>
      <w:bookmarkEnd w:id="313"/>
      <w:r w:rsidRPr="00F13A76">
        <w:t>API declaration</w:t>
      </w:r>
      <w:bookmarkEnd w:id="314"/>
      <w:bookmarkEnd w:id="315"/>
    </w:p>
    <w:p w14:paraId="48849544" w14:textId="77777777" w:rsidR="00961733" w:rsidRPr="00F13A76" w:rsidRDefault="00961733" w:rsidP="00961733">
      <w:pPr>
        <w:pStyle w:val="Heading4"/>
        <w:rPr>
          <w:rFonts w:cs="Arial"/>
        </w:rPr>
      </w:pPr>
      <w:bookmarkStart w:id="316" w:name="_Toc147929288"/>
      <w:bookmarkStart w:id="317" w:name="_Toc198723816"/>
      <w:r w:rsidRPr="00F13A76">
        <w:rPr>
          <w:rFonts w:cs="Arial"/>
        </w:rPr>
        <w:t>When we require it</w:t>
      </w:r>
      <w:bookmarkEnd w:id="316"/>
      <w:bookmarkEnd w:id="317"/>
    </w:p>
    <w:p w14:paraId="215F2926" w14:textId="77777777" w:rsidR="00961733" w:rsidRPr="00095BC3" w:rsidRDefault="00961733" w:rsidP="00961733">
      <w:r w:rsidRPr="00095BC3">
        <w:t xml:space="preserve">An API declaration is required when the substances in your application were not specifically covered as part of the most recent inspection provided as evidence. </w:t>
      </w:r>
    </w:p>
    <w:p w14:paraId="5ABA494E" w14:textId="77777777" w:rsidR="00961733" w:rsidRPr="00F13A76" w:rsidRDefault="00961733" w:rsidP="00961733">
      <w:pPr>
        <w:pStyle w:val="Heading4"/>
        <w:rPr>
          <w:rFonts w:cs="Arial"/>
        </w:rPr>
      </w:pPr>
      <w:bookmarkStart w:id="318" w:name="_Toc147929289"/>
      <w:bookmarkStart w:id="319" w:name="_Toc198723817"/>
      <w:bookmarkStart w:id="320" w:name="_Hlk147906435"/>
      <w:r w:rsidRPr="00F13A76">
        <w:rPr>
          <w:rFonts w:cs="Arial"/>
        </w:rPr>
        <w:t>What you should provide</w:t>
      </w:r>
      <w:bookmarkEnd w:id="318"/>
      <w:bookmarkEnd w:id="319"/>
    </w:p>
    <w:p w14:paraId="379B1F83" w14:textId="77777777" w:rsidR="00961733" w:rsidRPr="00095BC3" w:rsidRDefault="00961733" w:rsidP="00961733">
      <w:r w:rsidRPr="00095BC3">
        <w:t>Provide a signed and dated declaration. Ensure that the declaration:</w:t>
      </w:r>
    </w:p>
    <w:bookmarkEnd w:id="320"/>
    <w:p w14:paraId="5514A6D3" w14:textId="77777777" w:rsidR="00961733" w:rsidRPr="00D60E97" w:rsidRDefault="00961733" w:rsidP="00961733">
      <w:pPr>
        <w:pStyle w:val="ListBullet"/>
        <w:numPr>
          <w:ilvl w:val="0"/>
          <w:numId w:val="2"/>
        </w:numPr>
        <w:rPr>
          <w:color w:val="auto"/>
        </w:rPr>
      </w:pPr>
      <w:r w:rsidRPr="00D60E97">
        <w:rPr>
          <w:color w:val="auto"/>
        </w:rPr>
        <w:t>is provided by the manufacturer on a company letterhead</w:t>
      </w:r>
    </w:p>
    <w:p w14:paraId="1450DC60" w14:textId="3C9DBE33" w:rsidR="00961733" w:rsidRPr="00D60E97" w:rsidRDefault="00961733" w:rsidP="00961733">
      <w:pPr>
        <w:pStyle w:val="ListBullet"/>
        <w:numPr>
          <w:ilvl w:val="0"/>
          <w:numId w:val="2"/>
        </w:numPr>
        <w:rPr>
          <w:color w:val="auto"/>
        </w:rPr>
      </w:pPr>
      <w:r w:rsidRPr="00D60E97">
        <w:rPr>
          <w:color w:val="auto"/>
        </w:rPr>
        <w:lastRenderedPageBreak/>
        <w:t xml:space="preserve">has been authorised by an </w:t>
      </w:r>
      <w:r w:rsidR="00662389">
        <w:rPr>
          <w:color w:val="auto"/>
        </w:rPr>
        <w:t xml:space="preserve">authorised person/qualified person </w:t>
      </w:r>
      <w:r w:rsidRPr="00D60E97">
        <w:rPr>
          <w:color w:val="auto"/>
        </w:rPr>
        <w:t xml:space="preserve">of that manufacturer </w:t>
      </w:r>
    </w:p>
    <w:p w14:paraId="7D22FBAE" w14:textId="59F8E2F7" w:rsidR="00961733" w:rsidRPr="00D60E97" w:rsidRDefault="00961733" w:rsidP="00961733">
      <w:pPr>
        <w:pStyle w:val="ListBullet"/>
        <w:keepNext/>
        <w:numPr>
          <w:ilvl w:val="0"/>
          <w:numId w:val="2"/>
        </w:numPr>
        <w:ind w:left="357" w:hanging="357"/>
        <w:rPr>
          <w:color w:val="auto"/>
        </w:rPr>
      </w:pPr>
      <w:r w:rsidRPr="00D60E97">
        <w:rPr>
          <w:color w:val="auto"/>
        </w:rPr>
        <w:t xml:space="preserve">confirms that the API(s) listed in the declaration and corresponding </w:t>
      </w:r>
      <w:r w:rsidR="00B323DA">
        <w:rPr>
          <w:color w:val="auto"/>
        </w:rPr>
        <w:t>GMP Clearance</w:t>
      </w:r>
      <w:r w:rsidRPr="00D60E97">
        <w:rPr>
          <w:color w:val="auto"/>
        </w:rPr>
        <w:t xml:space="preserve"> application are manufactured:</w:t>
      </w:r>
    </w:p>
    <w:p w14:paraId="421E33E1" w14:textId="77777777" w:rsidR="00961733" w:rsidRPr="00D60E97" w:rsidRDefault="00961733" w:rsidP="00961733">
      <w:pPr>
        <w:pStyle w:val="ListBullet2"/>
        <w:numPr>
          <w:ilvl w:val="1"/>
          <w:numId w:val="2"/>
        </w:numPr>
        <w:rPr>
          <w:color w:val="auto"/>
        </w:rPr>
      </w:pPr>
      <w:r w:rsidRPr="00D60E97">
        <w:rPr>
          <w:color w:val="auto"/>
        </w:rPr>
        <w:t xml:space="preserve">in the same facility (for example, Building ABC/ workshop 123 / Clean room XYZ) as those covered by and referenced in the inspection report provided as evidence </w:t>
      </w:r>
    </w:p>
    <w:p w14:paraId="1BB90759" w14:textId="77777777" w:rsidR="00961733" w:rsidRPr="00D60E97" w:rsidRDefault="00961733" w:rsidP="00961733">
      <w:pPr>
        <w:pStyle w:val="ListBullet2"/>
        <w:numPr>
          <w:ilvl w:val="1"/>
          <w:numId w:val="0"/>
        </w:numPr>
        <w:rPr>
          <w:color w:val="auto"/>
        </w:rPr>
      </w:pPr>
      <w:r w:rsidRPr="00D60E97">
        <w:rPr>
          <w:color w:val="auto"/>
        </w:rPr>
        <w:t xml:space="preserve">AND </w:t>
      </w:r>
    </w:p>
    <w:p w14:paraId="245B952F" w14:textId="77777777" w:rsidR="00961733" w:rsidRPr="00D60E97" w:rsidRDefault="00961733" w:rsidP="00961733">
      <w:pPr>
        <w:pStyle w:val="ListBullet2"/>
        <w:numPr>
          <w:ilvl w:val="1"/>
          <w:numId w:val="2"/>
        </w:numPr>
        <w:rPr>
          <w:color w:val="auto"/>
        </w:rPr>
      </w:pPr>
      <w:r w:rsidRPr="00D60E97">
        <w:rPr>
          <w:color w:val="auto"/>
        </w:rPr>
        <w:t xml:space="preserve">confirm if the buildings are multiproduct or dedicated and using a </w:t>
      </w:r>
      <w:r w:rsidRPr="00D60E97">
        <w:rPr>
          <w:b/>
          <w:bCs/>
          <w:color w:val="auto"/>
        </w:rPr>
        <w:t>similar</w:t>
      </w:r>
      <w:r w:rsidRPr="00D60E97">
        <w:rPr>
          <w:color w:val="auto"/>
        </w:rPr>
        <w:t xml:space="preserve"> manufacturing process (for example, chemical synthesis) as those covered by and referenced in the inspection report provided as evidence</w:t>
      </w:r>
    </w:p>
    <w:p w14:paraId="6876FA39" w14:textId="77777777" w:rsidR="00961733" w:rsidRPr="00095BC3" w:rsidRDefault="00961733" w:rsidP="00961733">
      <w:r w:rsidRPr="00095BC3">
        <w:t>AND</w:t>
      </w:r>
    </w:p>
    <w:p w14:paraId="376A47DB" w14:textId="77777777" w:rsidR="00961733" w:rsidRPr="00D60E97" w:rsidRDefault="00961733" w:rsidP="00961733">
      <w:pPr>
        <w:pStyle w:val="ListBullet2"/>
        <w:numPr>
          <w:ilvl w:val="1"/>
          <w:numId w:val="2"/>
        </w:numPr>
        <w:rPr>
          <w:color w:val="auto"/>
        </w:rPr>
      </w:pPr>
      <w:r w:rsidRPr="00D60E97">
        <w:rPr>
          <w:color w:val="auto"/>
        </w:rPr>
        <w:t xml:space="preserve">controlled under the </w:t>
      </w:r>
      <w:r w:rsidRPr="00D60E97">
        <w:rPr>
          <w:b/>
          <w:bCs/>
          <w:color w:val="auto"/>
        </w:rPr>
        <w:t>same</w:t>
      </w:r>
      <w:r w:rsidRPr="00D60E97">
        <w:rPr>
          <w:color w:val="auto"/>
        </w:rPr>
        <w:t xml:space="preserve"> QMS or PQS as those covered by and referenced in the inspection report provided as evidence</w:t>
      </w:r>
    </w:p>
    <w:p w14:paraId="03536CA9" w14:textId="77777777" w:rsidR="00961733" w:rsidRPr="00F13A76" w:rsidRDefault="00961733" w:rsidP="00961733">
      <w:pPr>
        <w:pStyle w:val="Heading4"/>
        <w:rPr>
          <w:rFonts w:cs="Arial"/>
        </w:rPr>
      </w:pPr>
      <w:bookmarkStart w:id="321" w:name="_Toc147929290"/>
      <w:bookmarkStart w:id="322" w:name="_Toc198723818"/>
      <w:r w:rsidRPr="00F13A76">
        <w:rPr>
          <w:rFonts w:cs="Arial"/>
        </w:rPr>
        <w:t>Take particular care</w:t>
      </w:r>
      <w:bookmarkEnd w:id="321"/>
      <w:bookmarkEnd w:id="322"/>
    </w:p>
    <w:p w14:paraId="327C498A" w14:textId="77777777" w:rsidR="00961733" w:rsidRPr="00095BC3" w:rsidRDefault="00961733" w:rsidP="00961733">
      <w:r w:rsidRPr="00095BC3">
        <w:t>Ensure that the:</w:t>
      </w:r>
    </w:p>
    <w:p w14:paraId="651E0B2D" w14:textId="66F7CF30" w:rsidR="00961733" w:rsidRPr="00D60E97" w:rsidRDefault="00B323DA" w:rsidP="00961733">
      <w:pPr>
        <w:pStyle w:val="ListBullet"/>
        <w:numPr>
          <w:ilvl w:val="0"/>
          <w:numId w:val="2"/>
        </w:numPr>
        <w:rPr>
          <w:color w:val="auto"/>
        </w:rPr>
      </w:pPr>
      <w:r>
        <w:rPr>
          <w:color w:val="auto"/>
        </w:rPr>
        <w:t>GMP Clearance</w:t>
      </w:r>
      <w:r w:rsidR="00961733" w:rsidRPr="00D60E97">
        <w:rPr>
          <w:color w:val="auto"/>
        </w:rPr>
        <w:t xml:space="preserve"> application number is clearly referenced</w:t>
      </w:r>
    </w:p>
    <w:p w14:paraId="4C9F983C" w14:textId="77777777" w:rsidR="00961733" w:rsidRDefault="00961733" w:rsidP="00961733">
      <w:pPr>
        <w:pStyle w:val="ListBullet"/>
        <w:numPr>
          <w:ilvl w:val="0"/>
          <w:numId w:val="2"/>
        </w:numPr>
        <w:rPr>
          <w:color w:val="auto"/>
        </w:rPr>
      </w:pPr>
      <w:r w:rsidRPr="00D60E97">
        <w:rPr>
          <w:color w:val="auto"/>
        </w:rPr>
        <w:t>declaration does not contradict other evidence provided with the application.</w:t>
      </w:r>
    </w:p>
    <w:p w14:paraId="21A01C4D" w14:textId="77777777" w:rsidR="00961733" w:rsidRPr="00D60E97" w:rsidRDefault="00961733" w:rsidP="00961733">
      <w:pPr>
        <w:pStyle w:val="ListBullet"/>
        <w:numPr>
          <w:ilvl w:val="0"/>
          <w:numId w:val="0"/>
        </w:numPr>
        <w:ind w:left="360"/>
        <w:rPr>
          <w:color w:val="auto"/>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3F3ED40D" w14:textId="77777777" w:rsidTr="0042350D">
        <w:tc>
          <w:tcPr>
            <w:tcW w:w="1276" w:type="dxa"/>
            <w:vAlign w:val="center"/>
          </w:tcPr>
          <w:p w14:paraId="166A7C09" w14:textId="77777777" w:rsidR="00961733" w:rsidRPr="00215D48" w:rsidRDefault="00961733" w:rsidP="0042350D">
            <w:r w:rsidRPr="00215D48">
              <w:rPr>
                <w:noProof/>
                <w:lang w:eastAsia="en-AU"/>
              </w:rPr>
              <w:drawing>
                <wp:inline distT="0" distB="0" distL="0" distR="0" wp14:anchorId="30159418" wp14:editId="46DF2C71">
                  <wp:extent cx="487681" cy="487681"/>
                  <wp:effectExtent l="19050" t="0" r="7619" b="0"/>
                  <wp:docPr id="2054" name="Picture 2054"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E251261" w14:textId="77777777" w:rsidR="00961733" w:rsidRPr="00215D48" w:rsidRDefault="00961733" w:rsidP="0042350D">
            <w:r>
              <w:t xml:space="preserve">API declarations may not be used in conjunction with a </w:t>
            </w:r>
            <w:proofErr w:type="spellStart"/>
            <w:r>
              <w:t>LoA</w:t>
            </w:r>
            <w:proofErr w:type="spellEnd"/>
            <w:r>
              <w:t xml:space="preserve"> to clearance as these applications are reliant on the original clearance in all aspects including scope.</w:t>
            </w:r>
          </w:p>
        </w:tc>
      </w:tr>
    </w:tbl>
    <w:p w14:paraId="71A418C1" w14:textId="77777777" w:rsidR="004A64FB" w:rsidRDefault="004A64FB">
      <w:pPr>
        <w:rPr>
          <w:rFonts w:eastAsia="Times New Roman" w:cs="Times New Roman"/>
          <w:b/>
          <w:bCs/>
          <w:color w:val="001871"/>
          <w:sz w:val="32"/>
          <w:szCs w:val="32"/>
        </w:rPr>
      </w:pPr>
      <w:bookmarkStart w:id="323" w:name="_Letters_of_access"/>
      <w:bookmarkStart w:id="324" w:name="_Other_types_of"/>
      <w:bookmarkStart w:id="325" w:name="_Toc147929291"/>
      <w:bookmarkStart w:id="326" w:name="_Toc11250925"/>
      <w:bookmarkEnd w:id="312"/>
      <w:bookmarkEnd w:id="323"/>
      <w:bookmarkEnd w:id="324"/>
      <w:r>
        <w:br w:type="page"/>
      </w:r>
    </w:p>
    <w:p w14:paraId="6859D521" w14:textId="21AC7F80" w:rsidR="00961733" w:rsidRPr="00F13A76" w:rsidRDefault="00961733" w:rsidP="00961733">
      <w:pPr>
        <w:pStyle w:val="Heading3"/>
      </w:pPr>
      <w:bookmarkStart w:id="327" w:name="_Toc198723819"/>
      <w:r w:rsidRPr="00F13A76">
        <w:lastRenderedPageBreak/>
        <w:t>Other types of evidence</w:t>
      </w:r>
      <w:bookmarkEnd w:id="325"/>
      <w:bookmarkEnd w:id="327"/>
    </w:p>
    <w:p w14:paraId="59524E18" w14:textId="77777777" w:rsidR="00961733" w:rsidRPr="00F13A76" w:rsidRDefault="00961733" w:rsidP="00961733">
      <w:pPr>
        <w:pStyle w:val="Heading3"/>
      </w:pPr>
      <w:bookmarkStart w:id="328" w:name="_Letters_of_access_1"/>
      <w:bookmarkStart w:id="329" w:name="_Toc147929292"/>
      <w:bookmarkStart w:id="330" w:name="_Toc198723820"/>
      <w:bookmarkEnd w:id="328"/>
      <w:r w:rsidRPr="00F13A76">
        <w:t>Letters of access</w:t>
      </w:r>
      <w:bookmarkEnd w:id="326"/>
      <w:bookmarkEnd w:id="329"/>
      <w:bookmarkEnd w:id="330"/>
    </w:p>
    <w:p w14:paraId="458AD944" w14:textId="6AA31321" w:rsidR="00961733" w:rsidRDefault="00961733" w:rsidP="00961733">
      <w:r>
        <w:t xml:space="preserve">Each sponsor must obtain their own </w:t>
      </w:r>
      <w:r w:rsidR="00B323DA">
        <w:t>GMP Clearance</w:t>
      </w:r>
      <w:r>
        <w:t xml:space="preserve"> for a particular manufacturing site for their own specific product registration or listing. However, </w:t>
      </w:r>
      <w:proofErr w:type="gramStart"/>
      <w:r>
        <w:t>in an effort to</w:t>
      </w:r>
      <w:proofErr w:type="gramEnd"/>
      <w:r>
        <w:t xml:space="preserve"> reduce the regulatory burden on industry, you may provide us with a Letter of Access (</w:t>
      </w:r>
      <w:proofErr w:type="spellStart"/>
      <w:r>
        <w:t>LoA</w:t>
      </w:r>
      <w:proofErr w:type="spellEnd"/>
      <w:r>
        <w:t>) obtained from another sponsor or manufacturer, which allows us to access information and/or evidence previously submitted.</w:t>
      </w:r>
    </w:p>
    <w:p w14:paraId="7ABDEAC7" w14:textId="77777777" w:rsidR="00961733" w:rsidRDefault="00961733" w:rsidP="00961733">
      <w:r>
        <w:t xml:space="preserve">There are three types of </w:t>
      </w:r>
      <w:proofErr w:type="spellStart"/>
      <w:r>
        <w:t>LoA</w:t>
      </w:r>
      <w:proofErr w:type="spellEnd"/>
      <w:r>
        <w:t xml:space="preserve"> which can be used for both the MRA and CV pathways:</w:t>
      </w:r>
    </w:p>
    <w:p w14:paraId="62E4D5C4" w14:textId="66ACFD70" w:rsidR="00961733" w:rsidRPr="00D60E97" w:rsidRDefault="00961733" w:rsidP="00961733">
      <w:pPr>
        <w:pStyle w:val="ListBullet"/>
        <w:numPr>
          <w:ilvl w:val="0"/>
          <w:numId w:val="2"/>
        </w:numPr>
        <w:rPr>
          <w:color w:val="auto"/>
        </w:rPr>
      </w:pPr>
      <w:r w:rsidRPr="00D60E97">
        <w:rPr>
          <w:b/>
          <w:bCs/>
          <w:color w:val="auto"/>
        </w:rPr>
        <w:t xml:space="preserve">A manufacturer </w:t>
      </w:r>
      <w:proofErr w:type="spellStart"/>
      <w:r w:rsidRPr="00D60E97">
        <w:rPr>
          <w:b/>
          <w:bCs/>
          <w:color w:val="auto"/>
        </w:rPr>
        <w:t>LoA</w:t>
      </w:r>
      <w:proofErr w:type="spellEnd"/>
      <w:r w:rsidRPr="00D60E97">
        <w:rPr>
          <w:b/>
          <w:bCs/>
          <w:color w:val="auto"/>
        </w:rPr>
        <w:t xml:space="preserve"> to evidence</w:t>
      </w:r>
      <w:r w:rsidRPr="00D60E97">
        <w:rPr>
          <w:color w:val="auto"/>
        </w:rPr>
        <w:t xml:space="preserve"> grants a sponsor permission to use evidence that has been previously submitted by the manufacturer for another </w:t>
      </w:r>
      <w:r w:rsidR="00B323DA">
        <w:rPr>
          <w:color w:val="auto"/>
        </w:rPr>
        <w:t>GMP Clearance</w:t>
      </w:r>
      <w:r w:rsidRPr="00D60E97">
        <w:rPr>
          <w:color w:val="auto"/>
        </w:rPr>
        <w:t xml:space="preserve"> application</w:t>
      </w:r>
    </w:p>
    <w:p w14:paraId="7FE9BB9B" w14:textId="734A432D" w:rsidR="00961733" w:rsidRPr="00D60E97" w:rsidRDefault="00961733" w:rsidP="00961733">
      <w:pPr>
        <w:pStyle w:val="ListBullet"/>
        <w:numPr>
          <w:ilvl w:val="0"/>
          <w:numId w:val="2"/>
        </w:numPr>
        <w:rPr>
          <w:color w:val="auto"/>
        </w:rPr>
      </w:pPr>
      <w:r w:rsidRPr="00D60E97">
        <w:rPr>
          <w:b/>
          <w:bCs/>
          <w:color w:val="auto"/>
        </w:rPr>
        <w:t xml:space="preserve">A sponsor </w:t>
      </w:r>
      <w:proofErr w:type="spellStart"/>
      <w:r w:rsidRPr="00D60E97">
        <w:rPr>
          <w:b/>
          <w:bCs/>
          <w:color w:val="auto"/>
        </w:rPr>
        <w:t>LoA</w:t>
      </w:r>
      <w:proofErr w:type="spellEnd"/>
      <w:r w:rsidRPr="00D60E97">
        <w:rPr>
          <w:b/>
          <w:bCs/>
          <w:color w:val="auto"/>
        </w:rPr>
        <w:t xml:space="preserve"> to evidence</w:t>
      </w:r>
      <w:r w:rsidRPr="00D60E97">
        <w:rPr>
          <w:color w:val="auto"/>
        </w:rPr>
        <w:t xml:space="preserve"> grants a sponsor permission to use evidence that has been previously submitted by another sponsor for another </w:t>
      </w:r>
      <w:r w:rsidR="00B323DA">
        <w:rPr>
          <w:color w:val="auto"/>
        </w:rPr>
        <w:t>GMP Clearance</w:t>
      </w:r>
      <w:r w:rsidRPr="00D60E97">
        <w:rPr>
          <w:color w:val="auto"/>
        </w:rPr>
        <w:t xml:space="preserve"> application</w:t>
      </w:r>
    </w:p>
    <w:p w14:paraId="44CF2FBB" w14:textId="34B21AB2" w:rsidR="00961733" w:rsidRPr="00D60E97" w:rsidRDefault="00961733" w:rsidP="00961733">
      <w:pPr>
        <w:pStyle w:val="ListBullet"/>
        <w:numPr>
          <w:ilvl w:val="0"/>
          <w:numId w:val="2"/>
        </w:numPr>
        <w:rPr>
          <w:color w:val="auto"/>
        </w:rPr>
      </w:pPr>
      <w:r w:rsidRPr="00D60E97">
        <w:rPr>
          <w:b/>
          <w:bCs/>
          <w:color w:val="auto"/>
        </w:rPr>
        <w:t xml:space="preserve">A sponsor </w:t>
      </w:r>
      <w:proofErr w:type="spellStart"/>
      <w:r w:rsidRPr="00D60E97">
        <w:rPr>
          <w:b/>
          <w:bCs/>
          <w:color w:val="auto"/>
        </w:rPr>
        <w:t>LoA</w:t>
      </w:r>
      <w:proofErr w:type="spellEnd"/>
      <w:r w:rsidRPr="00D60E97">
        <w:rPr>
          <w:b/>
          <w:bCs/>
          <w:color w:val="auto"/>
        </w:rPr>
        <w:t xml:space="preserve"> to clearance</w:t>
      </w:r>
      <w:r w:rsidRPr="00D60E97">
        <w:rPr>
          <w:color w:val="auto"/>
        </w:rPr>
        <w:t xml:space="preserve"> grants a sponsor permission to use an existing </w:t>
      </w:r>
      <w:r w:rsidR="00B323DA">
        <w:rPr>
          <w:color w:val="auto"/>
        </w:rPr>
        <w:t>GMP Clearance</w:t>
      </w:r>
      <w:r w:rsidRPr="00D60E97">
        <w:rPr>
          <w:color w:val="auto"/>
        </w:rPr>
        <w:t xml:space="preserve"> as the primary evidence to allow an additional clearance to be issued on the condition that the scope of the application is identical or smaller. Applications using a </w:t>
      </w:r>
      <w:proofErr w:type="spellStart"/>
      <w:r w:rsidRPr="00D60E97">
        <w:rPr>
          <w:color w:val="auto"/>
        </w:rPr>
        <w:t>LoA</w:t>
      </w:r>
      <w:proofErr w:type="spellEnd"/>
      <w:r w:rsidRPr="00D60E97">
        <w:rPr>
          <w:color w:val="auto"/>
        </w:rPr>
        <w:t xml:space="preserve"> to clearance are reliant on the original clearance in all aspects including scope, processing times, determinations made and expiry.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472342E0" w14:textId="77777777" w:rsidTr="0042350D">
        <w:trPr>
          <w:cantSplit/>
        </w:trPr>
        <w:tc>
          <w:tcPr>
            <w:tcW w:w="1276" w:type="dxa"/>
            <w:vAlign w:val="center"/>
          </w:tcPr>
          <w:p w14:paraId="5B66EDAD" w14:textId="77777777" w:rsidR="00961733" w:rsidRPr="00215D48" w:rsidRDefault="00961733" w:rsidP="0042350D">
            <w:r w:rsidRPr="00215D48">
              <w:rPr>
                <w:noProof/>
                <w:lang w:eastAsia="en-AU"/>
              </w:rPr>
              <w:drawing>
                <wp:inline distT="0" distB="0" distL="0" distR="0" wp14:anchorId="7AB8CF14" wp14:editId="1EED1EEA">
                  <wp:extent cx="487681" cy="487681"/>
                  <wp:effectExtent l="19050" t="0" r="7619" b="0"/>
                  <wp:docPr id="315" name="Picture 31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6B8F066" w14:textId="77777777" w:rsidR="00961733" w:rsidRDefault="00961733" w:rsidP="0042350D">
            <w:r>
              <w:t xml:space="preserve">While the use of </w:t>
            </w:r>
            <w:proofErr w:type="spellStart"/>
            <w:r>
              <w:t>LoA</w:t>
            </w:r>
            <w:proofErr w:type="spellEnd"/>
            <w:r>
              <w:t xml:space="preserve"> is intended to reduce the regulatory burden on industry, for the CV Pathway, certain sponsor-specific evidence is still required to be provided (where applicable) along with the relevant </w:t>
            </w:r>
            <w:hyperlink w:anchor="_How_much_GMP_2" w:history="1">
              <w:r w:rsidRPr="00B26BE3">
                <w:rPr>
                  <w:rStyle w:val="Hyperlink"/>
                </w:rPr>
                <w:t>fees</w:t>
              </w:r>
            </w:hyperlink>
            <w:r>
              <w:t>. These include:</w:t>
            </w:r>
          </w:p>
          <w:p w14:paraId="4FEB37C5" w14:textId="77777777" w:rsidR="00961733" w:rsidRDefault="00961733" w:rsidP="00961733">
            <w:pPr>
              <w:pStyle w:val="ListBullet"/>
              <w:numPr>
                <w:ilvl w:val="0"/>
                <w:numId w:val="2"/>
              </w:numPr>
            </w:pPr>
            <w:hyperlink w:anchor="_GMP_agreement_or">
              <w:r w:rsidRPr="5AB8732C">
                <w:rPr>
                  <w:rStyle w:val="Hyperlink"/>
                </w:rPr>
                <w:t>GMP, quality or technical agreements</w:t>
              </w:r>
            </w:hyperlink>
            <w:r>
              <w:t xml:space="preserve"> </w:t>
            </w:r>
            <w:r w:rsidRPr="00D60E97">
              <w:rPr>
                <w:color w:val="auto"/>
              </w:rPr>
              <w:t xml:space="preserve">between the </w:t>
            </w:r>
            <w:r w:rsidRPr="00D60E97">
              <w:rPr>
                <w:b/>
                <w:bCs/>
                <w:color w:val="auto"/>
              </w:rPr>
              <w:t>sponsor and manufacturer</w:t>
            </w:r>
          </w:p>
          <w:p w14:paraId="0DC75BAF" w14:textId="77777777" w:rsidR="00961733" w:rsidRDefault="00961733" w:rsidP="00961733">
            <w:pPr>
              <w:pStyle w:val="ListBullet"/>
              <w:numPr>
                <w:ilvl w:val="0"/>
                <w:numId w:val="2"/>
              </w:numPr>
            </w:pPr>
            <w:r w:rsidRPr="00D60E97">
              <w:rPr>
                <w:color w:val="auto"/>
              </w:rPr>
              <w:t xml:space="preserve">a </w:t>
            </w:r>
            <w:hyperlink w:anchor="_List_of_products">
              <w:r w:rsidRPr="5AB8732C">
                <w:rPr>
                  <w:rStyle w:val="Hyperlink"/>
                </w:rPr>
                <w:t>list of products intended for supply</w:t>
              </w:r>
            </w:hyperlink>
            <w:r>
              <w:t xml:space="preserve"> </w:t>
            </w:r>
            <w:r w:rsidRPr="00D60E97">
              <w:rPr>
                <w:color w:val="auto"/>
              </w:rPr>
              <w:t>(specific to the application)</w:t>
            </w:r>
          </w:p>
          <w:p w14:paraId="3414F741" w14:textId="77777777" w:rsidR="00961733" w:rsidRDefault="00961733" w:rsidP="00961733">
            <w:pPr>
              <w:pStyle w:val="ListBullet"/>
              <w:numPr>
                <w:ilvl w:val="0"/>
                <w:numId w:val="2"/>
              </w:numPr>
            </w:pPr>
            <w:r w:rsidRPr="00D60E97">
              <w:rPr>
                <w:color w:val="auto"/>
              </w:rPr>
              <w:t xml:space="preserve">the </w:t>
            </w:r>
            <w:hyperlink w:anchor="_Latest_Product_Quality_1">
              <w:r w:rsidRPr="5AB8732C">
                <w:rPr>
                  <w:rStyle w:val="Hyperlink"/>
                </w:rPr>
                <w:t>latest product quality review</w:t>
              </w:r>
            </w:hyperlink>
            <w:r>
              <w:t xml:space="preserve"> </w:t>
            </w:r>
            <w:r w:rsidRPr="00D60E97">
              <w:rPr>
                <w:color w:val="auto"/>
              </w:rPr>
              <w:t>(specific to the products in the application)</w:t>
            </w:r>
          </w:p>
          <w:p w14:paraId="235E58AC" w14:textId="77777777" w:rsidR="00961733" w:rsidRDefault="00961733" w:rsidP="00961733">
            <w:pPr>
              <w:pStyle w:val="ListBullet"/>
              <w:numPr>
                <w:ilvl w:val="0"/>
                <w:numId w:val="2"/>
              </w:numPr>
            </w:pPr>
            <w:r w:rsidRPr="00D60E97">
              <w:rPr>
                <w:color w:val="auto"/>
              </w:rPr>
              <w:t xml:space="preserve">an </w:t>
            </w:r>
            <w:hyperlink w:anchor="_API_declaration_1">
              <w:r w:rsidRPr="5AB8732C">
                <w:rPr>
                  <w:rStyle w:val="Hyperlink"/>
                </w:rPr>
                <w:t>API declaration</w:t>
              </w:r>
            </w:hyperlink>
            <w:r w:rsidRPr="00D60E97">
              <w:rPr>
                <w:rStyle w:val="Hyperlink"/>
                <w:u w:val="none"/>
              </w:rPr>
              <w:t xml:space="preserve"> </w:t>
            </w:r>
            <w:r w:rsidRPr="00D60E97">
              <w:rPr>
                <w:color w:val="auto"/>
              </w:rPr>
              <w:t xml:space="preserve">(for </w:t>
            </w:r>
            <w:proofErr w:type="spellStart"/>
            <w:r w:rsidRPr="00D60E97">
              <w:rPr>
                <w:color w:val="auto"/>
              </w:rPr>
              <w:t>LoA</w:t>
            </w:r>
            <w:proofErr w:type="spellEnd"/>
            <w:r w:rsidRPr="00D60E97">
              <w:rPr>
                <w:color w:val="auto"/>
              </w:rPr>
              <w:t xml:space="preserve"> to evidence only).</w:t>
            </w:r>
          </w:p>
          <w:p w14:paraId="757C9313" w14:textId="77777777" w:rsidR="00961733" w:rsidRPr="00215D48" w:rsidRDefault="00961733" w:rsidP="0042350D">
            <w:r>
              <w:t>To avoid unnecessary delays with your application, these should be provided upfront when lodging an application.</w:t>
            </w:r>
          </w:p>
        </w:tc>
      </w:tr>
    </w:tbl>
    <w:p w14:paraId="2EC978B2" w14:textId="77777777" w:rsidR="00961733" w:rsidRDefault="00961733" w:rsidP="00961733"/>
    <w:p w14:paraId="02281F08" w14:textId="77777777" w:rsidR="00961733" w:rsidRPr="006F77F4" w:rsidRDefault="00961733" w:rsidP="00961733">
      <w:r w:rsidRPr="006F77F4">
        <w:t>For both the MRA and CV pathways, ensure that:</w:t>
      </w:r>
    </w:p>
    <w:p w14:paraId="583B2BA1" w14:textId="0C0A993D" w:rsidR="00961733" w:rsidRDefault="00961733" w:rsidP="00961733">
      <w:pPr>
        <w:pStyle w:val="ListBullet"/>
        <w:numPr>
          <w:ilvl w:val="0"/>
          <w:numId w:val="2"/>
        </w:numPr>
        <w:rPr>
          <w:color w:val="auto"/>
        </w:rPr>
      </w:pPr>
      <w:r w:rsidRPr="00D60E97">
        <w:rPr>
          <w:color w:val="auto"/>
        </w:rPr>
        <w:t xml:space="preserve">only </w:t>
      </w:r>
      <w:r w:rsidRPr="00D60E97">
        <w:rPr>
          <w:b/>
          <w:bCs/>
          <w:color w:val="auto"/>
        </w:rPr>
        <w:t>one</w:t>
      </w:r>
      <w:r w:rsidRPr="00D60E97">
        <w:rPr>
          <w:color w:val="auto"/>
        </w:rPr>
        <w:t xml:space="preserve"> </w:t>
      </w:r>
      <w:proofErr w:type="spellStart"/>
      <w:r w:rsidRPr="00D60E97">
        <w:rPr>
          <w:color w:val="auto"/>
        </w:rPr>
        <w:t>LoA</w:t>
      </w:r>
      <w:proofErr w:type="spellEnd"/>
      <w:r w:rsidRPr="00D60E97">
        <w:rPr>
          <w:color w:val="auto"/>
        </w:rPr>
        <w:t xml:space="preserve"> is provided per application</w:t>
      </w:r>
      <w:r w:rsidR="00E66C4F">
        <w:rPr>
          <w:color w:val="auto"/>
        </w:rPr>
        <w:t xml:space="preserve">. Do not </w:t>
      </w:r>
      <w:r w:rsidR="00534DAD">
        <w:rPr>
          <w:color w:val="auto"/>
        </w:rPr>
        <w:t xml:space="preserve">provide multiple </w:t>
      </w:r>
      <w:proofErr w:type="spellStart"/>
      <w:r w:rsidR="00E66C4F">
        <w:rPr>
          <w:color w:val="auto"/>
        </w:rPr>
        <w:t>LoA</w:t>
      </w:r>
      <w:r w:rsidR="00534DAD">
        <w:rPr>
          <w:color w:val="auto"/>
        </w:rPr>
        <w:t>s</w:t>
      </w:r>
      <w:proofErr w:type="spellEnd"/>
      <w:r w:rsidR="00E66C4F">
        <w:rPr>
          <w:color w:val="auto"/>
        </w:rPr>
        <w:t>.</w:t>
      </w:r>
      <w:r w:rsidR="003E384A">
        <w:rPr>
          <w:color w:val="auto"/>
        </w:rPr>
        <w:t xml:space="preserve"> </w:t>
      </w:r>
    </w:p>
    <w:p w14:paraId="7E27A71F" w14:textId="44E49C24" w:rsidR="00E66C4F" w:rsidRPr="00D60E97" w:rsidRDefault="00E66C4F" w:rsidP="00961733">
      <w:pPr>
        <w:pStyle w:val="ListBullet"/>
        <w:numPr>
          <w:ilvl w:val="0"/>
          <w:numId w:val="2"/>
        </w:numPr>
        <w:rPr>
          <w:color w:val="auto"/>
        </w:rPr>
      </w:pPr>
      <w:r>
        <w:rPr>
          <w:color w:val="auto"/>
        </w:rPr>
        <w:t xml:space="preserve">the </w:t>
      </w:r>
      <w:proofErr w:type="spellStart"/>
      <w:r>
        <w:rPr>
          <w:color w:val="auto"/>
        </w:rPr>
        <w:t>LoA</w:t>
      </w:r>
      <w:proofErr w:type="spellEnd"/>
      <w:r>
        <w:rPr>
          <w:color w:val="auto"/>
        </w:rPr>
        <w:t xml:space="preserve"> </w:t>
      </w:r>
      <w:r w:rsidRPr="00D60E97">
        <w:rPr>
          <w:color w:val="auto"/>
        </w:rPr>
        <w:t xml:space="preserve">clearly references </w:t>
      </w:r>
      <w:r w:rsidRPr="00397E0B">
        <w:rPr>
          <w:b/>
          <w:bCs/>
          <w:color w:val="auto"/>
        </w:rPr>
        <w:t>one</w:t>
      </w:r>
      <w:r w:rsidRPr="00D60E97">
        <w:rPr>
          <w:color w:val="auto"/>
        </w:rPr>
        <w:t xml:space="preserve"> </w:t>
      </w:r>
      <w:r>
        <w:rPr>
          <w:color w:val="auto"/>
        </w:rPr>
        <w:t>tracking number for either an existing approved GMP Clearance</w:t>
      </w:r>
      <w:r w:rsidRPr="00D60E97">
        <w:rPr>
          <w:color w:val="auto"/>
        </w:rPr>
        <w:t xml:space="preserve"> </w:t>
      </w:r>
      <w:r>
        <w:rPr>
          <w:color w:val="auto"/>
        </w:rPr>
        <w:t>OR a submitted GMP clearance application</w:t>
      </w:r>
      <w:r w:rsidRPr="00D60E97">
        <w:rPr>
          <w:color w:val="auto"/>
        </w:rPr>
        <w:t>.</w:t>
      </w:r>
    </w:p>
    <w:p w14:paraId="7105A265" w14:textId="77777777" w:rsidR="00961733" w:rsidRPr="00D60E97" w:rsidRDefault="00961733" w:rsidP="00961733">
      <w:pPr>
        <w:pStyle w:val="ListBullet"/>
        <w:numPr>
          <w:ilvl w:val="0"/>
          <w:numId w:val="2"/>
        </w:numPr>
        <w:rPr>
          <w:color w:val="auto"/>
        </w:rPr>
      </w:pPr>
      <w:r w:rsidRPr="00D60E97">
        <w:rPr>
          <w:color w:val="auto"/>
        </w:rPr>
        <w:t xml:space="preserve">the application or clearance it allows access to was </w:t>
      </w:r>
      <w:r w:rsidRPr="00D60E97">
        <w:rPr>
          <w:b/>
          <w:bCs/>
          <w:color w:val="auto"/>
        </w:rPr>
        <w:t>not</w:t>
      </w:r>
      <w:r w:rsidRPr="00D60E97">
        <w:rPr>
          <w:color w:val="auto"/>
        </w:rPr>
        <w:t xml:space="preserve"> issued using another </w:t>
      </w:r>
      <w:proofErr w:type="spellStart"/>
      <w:r w:rsidRPr="00D60E97">
        <w:rPr>
          <w:color w:val="auto"/>
        </w:rPr>
        <w:t>LoA</w:t>
      </w:r>
      <w:proofErr w:type="spellEnd"/>
      <w:r>
        <w:rPr>
          <w:color w:val="auto"/>
        </w:rPr>
        <w:t xml:space="preserve"> </w:t>
      </w:r>
    </w:p>
    <w:p w14:paraId="0033E48C" w14:textId="77777777" w:rsidR="00961733" w:rsidRPr="00D60E97" w:rsidRDefault="00961733" w:rsidP="00961733">
      <w:pPr>
        <w:pStyle w:val="ListBullet"/>
        <w:numPr>
          <w:ilvl w:val="0"/>
          <w:numId w:val="2"/>
        </w:numPr>
        <w:rPr>
          <w:color w:val="auto"/>
        </w:rPr>
      </w:pPr>
      <w:r w:rsidRPr="00D60E97">
        <w:rPr>
          <w:color w:val="auto"/>
        </w:rPr>
        <w:t xml:space="preserve">the </w:t>
      </w:r>
      <w:proofErr w:type="spellStart"/>
      <w:r w:rsidRPr="00D60E97">
        <w:rPr>
          <w:color w:val="auto"/>
        </w:rPr>
        <w:t>LoA</w:t>
      </w:r>
      <w:proofErr w:type="spellEnd"/>
      <w:r w:rsidRPr="00D60E97">
        <w:rPr>
          <w:color w:val="auto"/>
        </w:rPr>
        <w:t xml:space="preserve"> is provided on a company letterhead</w:t>
      </w:r>
    </w:p>
    <w:p w14:paraId="61D3790B" w14:textId="77777777" w:rsidR="00961733" w:rsidRPr="00D60E97" w:rsidRDefault="00961733" w:rsidP="00961733">
      <w:pPr>
        <w:pStyle w:val="ListBullet"/>
        <w:numPr>
          <w:ilvl w:val="0"/>
          <w:numId w:val="2"/>
        </w:numPr>
        <w:rPr>
          <w:color w:val="auto"/>
        </w:rPr>
      </w:pPr>
      <w:r w:rsidRPr="00D60E97">
        <w:rPr>
          <w:color w:val="auto"/>
        </w:rPr>
        <w:t xml:space="preserve">the </w:t>
      </w:r>
      <w:proofErr w:type="spellStart"/>
      <w:r w:rsidRPr="00D60E97">
        <w:rPr>
          <w:color w:val="auto"/>
        </w:rPr>
        <w:t>LoA</w:t>
      </w:r>
      <w:proofErr w:type="spellEnd"/>
      <w:r w:rsidRPr="00D60E97">
        <w:rPr>
          <w:color w:val="auto"/>
        </w:rPr>
        <w:t xml:space="preserve"> is signed and dated by the sponsor or manufacturer that is providing it</w:t>
      </w:r>
    </w:p>
    <w:p w14:paraId="4E2E2457" w14:textId="65C62635" w:rsidR="00961733" w:rsidRPr="004268EB" w:rsidRDefault="00961733" w:rsidP="004268EB">
      <w:pPr>
        <w:pStyle w:val="ListBullet"/>
        <w:numPr>
          <w:ilvl w:val="0"/>
          <w:numId w:val="2"/>
        </w:numPr>
        <w:rPr>
          <w:color w:val="auto"/>
        </w:rPr>
      </w:pPr>
      <w:r w:rsidRPr="00D60E97">
        <w:rPr>
          <w:color w:val="auto"/>
        </w:rPr>
        <w:t xml:space="preserve">it clearly states the </w:t>
      </w:r>
      <w:r w:rsidRPr="00D60E97">
        <w:rPr>
          <w:b/>
          <w:bCs/>
          <w:color w:val="auto"/>
        </w:rPr>
        <w:t>type</w:t>
      </w:r>
      <w:r w:rsidRPr="00D60E97">
        <w:rPr>
          <w:color w:val="auto"/>
        </w:rPr>
        <w:t xml:space="preserve"> of </w:t>
      </w:r>
      <w:proofErr w:type="spellStart"/>
      <w:r w:rsidRPr="00D60E97">
        <w:rPr>
          <w:color w:val="auto"/>
        </w:rPr>
        <w:t>LoA</w:t>
      </w:r>
      <w:proofErr w:type="spellEnd"/>
      <w:r w:rsidRPr="00D60E97">
        <w:rPr>
          <w:color w:val="auto"/>
        </w:rPr>
        <w:t xml:space="preserve"> (for example, whether it’s for access to </w:t>
      </w:r>
      <w:r w:rsidRPr="00D60E97">
        <w:rPr>
          <w:b/>
          <w:bCs/>
          <w:color w:val="auto"/>
        </w:rPr>
        <w:t>evidence</w:t>
      </w:r>
      <w:r w:rsidRPr="00D60E97">
        <w:rPr>
          <w:color w:val="auto"/>
        </w:rPr>
        <w:t xml:space="preserve"> or </w:t>
      </w:r>
      <w:r w:rsidRPr="00D60E97">
        <w:rPr>
          <w:b/>
          <w:bCs/>
          <w:color w:val="auto"/>
        </w:rPr>
        <w:t>clearance</w:t>
      </w:r>
      <w:r w:rsidRPr="00D60E97">
        <w:rPr>
          <w:color w:val="auto"/>
        </w:rPr>
        <w:t>) and to whom the access is being provided to</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6AE6A3CA" w14:textId="77777777" w:rsidTr="0042350D">
        <w:trPr>
          <w:cantSplit/>
          <w:trHeight w:val="300"/>
        </w:trPr>
        <w:tc>
          <w:tcPr>
            <w:tcW w:w="1276" w:type="dxa"/>
            <w:vAlign w:val="center"/>
          </w:tcPr>
          <w:p w14:paraId="5B35054E" w14:textId="77777777" w:rsidR="00961733" w:rsidRPr="00587DE0" w:rsidRDefault="00961733" w:rsidP="0042350D">
            <w:r w:rsidRPr="00587DE0">
              <w:rPr>
                <w:noProof/>
                <w:lang w:eastAsia="en-AU"/>
              </w:rPr>
              <w:lastRenderedPageBreak/>
              <w:drawing>
                <wp:inline distT="0" distB="0" distL="0" distR="0" wp14:anchorId="09C7B92C" wp14:editId="4E178F5F">
                  <wp:extent cx="487681" cy="487681"/>
                  <wp:effectExtent l="19050" t="0" r="7619" b="0"/>
                  <wp:docPr id="19" name="Picture 19"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C196A2A" w14:textId="4AC6D37F" w:rsidR="00961733" w:rsidRPr="00587DE0" w:rsidRDefault="00511D42" w:rsidP="0042350D">
            <w:pPr>
              <w:rPr>
                <w:rFonts w:asciiTheme="minorHAnsi" w:hAnsiTheme="minorHAnsi"/>
              </w:rPr>
            </w:pPr>
            <w:r w:rsidRPr="00587DE0">
              <w:rPr>
                <w:rFonts w:asciiTheme="minorHAnsi" w:hAnsiTheme="minorHAnsi"/>
              </w:rPr>
              <w:t xml:space="preserve">Recognising the lifecycle of a GMP Clearance, </w:t>
            </w:r>
            <w:r w:rsidR="004268EB" w:rsidRPr="00587DE0">
              <w:rPr>
                <w:rFonts w:asciiTheme="minorHAnsi" w:hAnsiTheme="minorHAnsi"/>
              </w:rPr>
              <w:t>it</w:t>
            </w:r>
            <w:r w:rsidR="00961733" w:rsidRPr="00587DE0">
              <w:rPr>
                <w:rFonts w:asciiTheme="minorHAnsi" w:hAnsiTheme="minorHAnsi"/>
              </w:rPr>
              <w:t xml:space="preserve"> is crucial </w:t>
            </w:r>
            <w:r w:rsidRPr="00587DE0">
              <w:rPr>
                <w:rFonts w:asciiTheme="minorHAnsi" w:hAnsiTheme="minorHAnsi"/>
              </w:rPr>
              <w:t xml:space="preserve">that </w:t>
            </w:r>
            <w:r w:rsidR="00587DE0" w:rsidRPr="00587DE0">
              <w:rPr>
                <w:rFonts w:asciiTheme="minorHAnsi" w:hAnsiTheme="minorHAnsi"/>
              </w:rPr>
              <w:t>s</w:t>
            </w:r>
            <w:r w:rsidRPr="00587DE0">
              <w:rPr>
                <w:rFonts w:asciiTheme="minorHAnsi" w:hAnsiTheme="minorHAnsi"/>
              </w:rPr>
              <w:t>ponsors</w:t>
            </w:r>
            <w:r w:rsidR="00961733" w:rsidRPr="00587DE0">
              <w:rPr>
                <w:rFonts w:asciiTheme="minorHAnsi" w:hAnsiTheme="minorHAnsi"/>
              </w:rPr>
              <w:t xml:space="preserve"> correctly reference </w:t>
            </w:r>
            <w:r w:rsidR="004268EB" w:rsidRPr="00587DE0">
              <w:rPr>
                <w:rFonts w:asciiTheme="minorHAnsi" w:hAnsiTheme="minorHAnsi"/>
              </w:rPr>
              <w:t>a single</w:t>
            </w:r>
            <w:r w:rsidRPr="00587DE0">
              <w:rPr>
                <w:rFonts w:asciiTheme="minorHAnsi" w:hAnsiTheme="minorHAnsi"/>
              </w:rPr>
              <w:t xml:space="preserve"> </w:t>
            </w:r>
            <w:r w:rsidR="00B323DA" w:rsidRPr="00587DE0">
              <w:rPr>
                <w:rFonts w:asciiTheme="minorHAnsi" w:hAnsiTheme="minorHAnsi"/>
              </w:rPr>
              <w:t>GMP Clearance</w:t>
            </w:r>
            <w:r w:rsidR="00961733" w:rsidRPr="00587DE0">
              <w:rPr>
                <w:rFonts w:asciiTheme="minorHAnsi" w:hAnsiTheme="minorHAnsi"/>
              </w:rPr>
              <w:t xml:space="preserve"> number </w:t>
            </w:r>
            <w:r w:rsidR="004268EB" w:rsidRPr="00587DE0">
              <w:rPr>
                <w:rFonts w:asciiTheme="minorHAnsi" w:hAnsiTheme="minorHAnsi"/>
              </w:rPr>
              <w:t xml:space="preserve">in any </w:t>
            </w:r>
            <w:proofErr w:type="spellStart"/>
            <w:r w:rsidR="004268EB" w:rsidRPr="00587DE0">
              <w:rPr>
                <w:rFonts w:asciiTheme="minorHAnsi" w:hAnsiTheme="minorHAnsi"/>
              </w:rPr>
              <w:t>LoA</w:t>
            </w:r>
            <w:proofErr w:type="spellEnd"/>
            <w:r w:rsidR="004268EB" w:rsidRPr="00587DE0">
              <w:rPr>
                <w:rFonts w:asciiTheme="minorHAnsi" w:hAnsiTheme="minorHAnsi"/>
              </w:rPr>
              <w:t xml:space="preserve"> provided as evidence.</w:t>
            </w:r>
            <w:r w:rsidR="00961733" w:rsidRPr="00587DE0">
              <w:rPr>
                <w:rFonts w:asciiTheme="minorHAnsi" w:hAnsiTheme="minorHAnsi"/>
              </w:rPr>
              <w:t xml:space="preserve"> </w:t>
            </w:r>
          </w:p>
          <w:p w14:paraId="2E839FFA" w14:textId="46F4D9AB" w:rsidR="009841FF" w:rsidRPr="00A74FC8" w:rsidRDefault="009841FF" w:rsidP="00397E0B">
            <w:pPr>
              <w:pStyle w:val="ListBullet"/>
            </w:pPr>
            <w:r w:rsidRPr="00397E0B">
              <w:rPr>
                <w:color w:val="auto"/>
              </w:rPr>
              <w:t xml:space="preserve">If the </w:t>
            </w:r>
            <w:proofErr w:type="spellStart"/>
            <w:r w:rsidRPr="00397E0B">
              <w:rPr>
                <w:color w:val="auto"/>
              </w:rPr>
              <w:t>LoA</w:t>
            </w:r>
            <w:proofErr w:type="spellEnd"/>
            <w:r w:rsidRPr="00397E0B">
              <w:rPr>
                <w:color w:val="auto"/>
              </w:rPr>
              <w:t xml:space="preserve"> refers to </w:t>
            </w:r>
            <w:r w:rsidRPr="00397E0B">
              <w:rPr>
                <w:b/>
                <w:bCs/>
                <w:color w:val="auto"/>
              </w:rPr>
              <w:t>a submitted GMP clearance application</w:t>
            </w:r>
            <w:r w:rsidR="004268EB" w:rsidRPr="00397E0B">
              <w:rPr>
                <w:color w:val="auto"/>
              </w:rPr>
              <w:t xml:space="preserve"> that is in the queue for evaluation,</w:t>
            </w:r>
            <w:r w:rsidRPr="00397E0B">
              <w:rPr>
                <w:color w:val="auto"/>
              </w:rPr>
              <w:t xml:space="preserve"> </w:t>
            </w:r>
            <w:r w:rsidR="004268EB" w:rsidRPr="00397E0B">
              <w:rPr>
                <w:color w:val="auto"/>
              </w:rPr>
              <w:t>your application will be tied to the outcome of that parent GMP Clearance</w:t>
            </w:r>
          </w:p>
          <w:p w14:paraId="7601F65B" w14:textId="7F28A39B" w:rsidR="009841FF" w:rsidRPr="00A74FC8" w:rsidRDefault="009841FF" w:rsidP="00397E0B">
            <w:pPr>
              <w:pStyle w:val="ListBullet-dotick"/>
            </w:pPr>
            <w:r w:rsidRPr="00397E0B">
              <w:rPr>
                <w:color w:val="auto"/>
              </w:rPr>
              <w:t xml:space="preserve">If the </w:t>
            </w:r>
            <w:proofErr w:type="spellStart"/>
            <w:r w:rsidRPr="00397E0B">
              <w:rPr>
                <w:color w:val="auto"/>
              </w:rPr>
              <w:t>LoA</w:t>
            </w:r>
            <w:proofErr w:type="spellEnd"/>
            <w:r w:rsidRPr="00397E0B">
              <w:rPr>
                <w:color w:val="auto"/>
              </w:rPr>
              <w:t xml:space="preserve"> refers to an </w:t>
            </w:r>
            <w:r w:rsidRPr="00397E0B">
              <w:rPr>
                <w:b/>
                <w:bCs/>
                <w:color w:val="auto"/>
              </w:rPr>
              <w:t>existing approved GMP clearance</w:t>
            </w:r>
            <w:r w:rsidRPr="00397E0B">
              <w:rPr>
                <w:color w:val="auto"/>
              </w:rPr>
              <w:t xml:space="preserve">, </w:t>
            </w:r>
            <w:r w:rsidR="004268EB" w:rsidRPr="00397E0B">
              <w:rPr>
                <w:color w:val="auto"/>
              </w:rPr>
              <w:t>your</w:t>
            </w:r>
            <w:r w:rsidRPr="00397E0B">
              <w:rPr>
                <w:color w:val="auto"/>
              </w:rPr>
              <w:t xml:space="preserve"> application will </w:t>
            </w:r>
            <w:r w:rsidR="004268EB" w:rsidRPr="00397E0B">
              <w:rPr>
                <w:color w:val="auto"/>
              </w:rPr>
              <w:t>mirror the</w:t>
            </w:r>
            <w:r w:rsidRPr="00397E0B">
              <w:rPr>
                <w:color w:val="auto"/>
              </w:rPr>
              <w:t xml:space="preserve"> details of </w:t>
            </w:r>
            <w:r w:rsidR="004268EB" w:rsidRPr="00397E0B">
              <w:rPr>
                <w:color w:val="auto"/>
              </w:rPr>
              <w:t>that GMP Clearance only</w:t>
            </w:r>
            <w:r w:rsidRPr="00397E0B">
              <w:rPr>
                <w:color w:val="auto"/>
              </w:rPr>
              <w:t xml:space="preserve">. </w:t>
            </w:r>
            <w:r w:rsidR="004268EB" w:rsidRPr="00397E0B">
              <w:rPr>
                <w:color w:val="auto"/>
              </w:rPr>
              <w:t xml:space="preserve">Sponsors should be aware that this may result in GMP Clearances being approved with short expiry dates and additional applications may be required. </w:t>
            </w:r>
            <w:r w:rsidRPr="00397E0B">
              <w:rPr>
                <w:color w:val="auto"/>
              </w:rPr>
              <w:t xml:space="preserve"> </w:t>
            </w:r>
          </w:p>
          <w:p w14:paraId="160A8528" w14:textId="75CA8F13" w:rsidR="00961733" w:rsidRPr="00587DE0" w:rsidRDefault="004268EB" w:rsidP="0042350D">
            <w:pPr>
              <w:rPr>
                <w:rFonts w:asciiTheme="minorHAnsi" w:hAnsiTheme="minorHAnsi" w:cstheme="minorHAnsi"/>
              </w:rPr>
            </w:pPr>
            <w:r w:rsidRPr="00587DE0">
              <w:t xml:space="preserve">The best use of a </w:t>
            </w:r>
            <w:proofErr w:type="spellStart"/>
            <w:r w:rsidRPr="00587DE0">
              <w:t>LoA</w:t>
            </w:r>
            <w:proofErr w:type="spellEnd"/>
            <w:r w:rsidRPr="00587DE0">
              <w:t xml:space="preserve"> to Clearance is to </w:t>
            </w:r>
            <w:r w:rsidR="00961733" w:rsidRPr="00587DE0">
              <w:t xml:space="preserve">access </w:t>
            </w:r>
            <w:r w:rsidRPr="00587DE0">
              <w:rPr>
                <w:b/>
                <w:bCs/>
              </w:rPr>
              <w:t>existing approved</w:t>
            </w:r>
            <w:r w:rsidR="00961733" w:rsidRPr="00587DE0">
              <w:t xml:space="preserve"> </w:t>
            </w:r>
            <w:r w:rsidR="00B323DA" w:rsidRPr="00587DE0">
              <w:t>GMP Clearance</w:t>
            </w:r>
            <w:r w:rsidR="00961733" w:rsidRPr="00587DE0">
              <w:t>s.</w:t>
            </w:r>
          </w:p>
          <w:p w14:paraId="2CA31657" w14:textId="271A7CB4" w:rsidR="00961733" w:rsidRPr="00587DE0" w:rsidRDefault="00961733" w:rsidP="0042350D">
            <w:pPr>
              <w:rPr>
                <w:rFonts w:asciiTheme="minorHAnsi" w:hAnsiTheme="minorHAnsi" w:cstheme="minorHAnsi"/>
                <w:b/>
                <w:bCs/>
              </w:rPr>
            </w:pPr>
            <w:r w:rsidRPr="00587DE0">
              <w:rPr>
                <w:rFonts w:asciiTheme="minorHAnsi" w:hAnsiTheme="minorHAnsi" w:cstheme="minorHAnsi"/>
                <w:b/>
                <w:bCs/>
              </w:rPr>
              <w:t>Common deficiencies</w:t>
            </w:r>
            <w:r w:rsidR="004268EB" w:rsidRPr="00587DE0">
              <w:rPr>
                <w:rFonts w:asciiTheme="minorHAnsi" w:hAnsiTheme="minorHAnsi" w:cstheme="minorHAnsi"/>
                <w:b/>
                <w:bCs/>
              </w:rPr>
              <w:t xml:space="preserve"> with using </w:t>
            </w:r>
            <w:proofErr w:type="spellStart"/>
            <w:r w:rsidR="004268EB" w:rsidRPr="00587DE0">
              <w:rPr>
                <w:rFonts w:asciiTheme="minorHAnsi" w:hAnsiTheme="minorHAnsi" w:cstheme="minorHAnsi"/>
                <w:b/>
                <w:bCs/>
              </w:rPr>
              <w:t>LoA</w:t>
            </w:r>
            <w:proofErr w:type="spellEnd"/>
            <w:r w:rsidRPr="00587DE0">
              <w:rPr>
                <w:rFonts w:asciiTheme="minorHAnsi" w:hAnsiTheme="minorHAnsi" w:cstheme="minorHAnsi"/>
                <w:b/>
                <w:bCs/>
              </w:rPr>
              <w:t xml:space="preserve">: </w:t>
            </w:r>
          </w:p>
          <w:p w14:paraId="079CD409" w14:textId="77777777" w:rsidR="00961733" w:rsidRPr="00587DE0" w:rsidRDefault="00961733" w:rsidP="00306D5A">
            <w:pPr>
              <w:pStyle w:val="ListBullet"/>
              <w:numPr>
                <w:ilvl w:val="0"/>
                <w:numId w:val="2"/>
              </w:numPr>
              <w:rPr>
                <w:color w:val="auto"/>
              </w:rPr>
            </w:pPr>
            <w:r w:rsidRPr="00587DE0">
              <w:rPr>
                <w:color w:val="auto"/>
              </w:rPr>
              <w:t>The application to which access is granted has expired</w:t>
            </w:r>
          </w:p>
          <w:p w14:paraId="267F1B3D" w14:textId="76DFC3C9" w:rsidR="00961733" w:rsidRPr="00587DE0" w:rsidRDefault="004268EB" w:rsidP="00306D5A">
            <w:pPr>
              <w:pStyle w:val="ListBullet"/>
              <w:numPr>
                <w:ilvl w:val="0"/>
                <w:numId w:val="2"/>
              </w:numPr>
              <w:rPr>
                <w:color w:val="auto"/>
              </w:rPr>
            </w:pPr>
            <w:r w:rsidRPr="00587DE0">
              <w:rPr>
                <w:color w:val="auto"/>
              </w:rPr>
              <w:t xml:space="preserve">The </w:t>
            </w:r>
            <w:proofErr w:type="spellStart"/>
            <w:r w:rsidRPr="00587DE0">
              <w:rPr>
                <w:color w:val="auto"/>
              </w:rPr>
              <w:t>LoA</w:t>
            </w:r>
            <w:proofErr w:type="spellEnd"/>
            <w:r w:rsidRPr="00587DE0">
              <w:rPr>
                <w:color w:val="auto"/>
              </w:rPr>
              <w:t xml:space="preserve"> provided does </w:t>
            </w:r>
            <w:r w:rsidR="00961733" w:rsidRPr="00587DE0">
              <w:rPr>
                <w:color w:val="auto"/>
              </w:rPr>
              <w:t xml:space="preserve">not refer to a valid </w:t>
            </w:r>
            <w:r w:rsidR="00B323DA" w:rsidRPr="00587DE0">
              <w:rPr>
                <w:color w:val="auto"/>
              </w:rPr>
              <w:t>GMP Clearance</w:t>
            </w:r>
            <w:r w:rsidR="00961733" w:rsidRPr="00587DE0">
              <w:rPr>
                <w:color w:val="auto"/>
              </w:rPr>
              <w:t xml:space="preserve"> tracking number</w:t>
            </w:r>
          </w:p>
          <w:p w14:paraId="7544AEF3" w14:textId="63D8D348" w:rsidR="00961733" w:rsidRPr="00587DE0" w:rsidRDefault="004268EB" w:rsidP="00306D5A">
            <w:pPr>
              <w:pStyle w:val="ListBullet"/>
              <w:numPr>
                <w:ilvl w:val="0"/>
                <w:numId w:val="2"/>
              </w:numPr>
              <w:rPr>
                <w:color w:val="auto"/>
              </w:rPr>
            </w:pPr>
            <w:r w:rsidRPr="00587DE0">
              <w:rPr>
                <w:color w:val="auto"/>
              </w:rPr>
              <w:t xml:space="preserve">The </w:t>
            </w:r>
            <w:proofErr w:type="spellStart"/>
            <w:r w:rsidRPr="00587DE0">
              <w:rPr>
                <w:color w:val="auto"/>
              </w:rPr>
              <w:t>LoA</w:t>
            </w:r>
            <w:proofErr w:type="spellEnd"/>
            <w:r w:rsidRPr="00587DE0">
              <w:rPr>
                <w:color w:val="auto"/>
              </w:rPr>
              <w:t xml:space="preserve"> d</w:t>
            </w:r>
            <w:r w:rsidR="00961733" w:rsidRPr="00587DE0">
              <w:rPr>
                <w:color w:val="auto"/>
              </w:rPr>
              <w:t>oes not clearly indicate the type (</w:t>
            </w:r>
            <w:proofErr w:type="spellStart"/>
            <w:r w:rsidRPr="00587DE0">
              <w:rPr>
                <w:color w:val="auto"/>
              </w:rPr>
              <w:t>LoA</w:t>
            </w:r>
            <w:proofErr w:type="spellEnd"/>
            <w:r w:rsidRPr="00587DE0">
              <w:rPr>
                <w:color w:val="auto"/>
              </w:rPr>
              <w:t xml:space="preserve"> to </w:t>
            </w:r>
            <w:r w:rsidR="00961733" w:rsidRPr="00587DE0">
              <w:rPr>
                <w:color w:val="auto"/>
              </w:rPr>
              <w:t>evidence or clearance)</w:t>
            </w:r>
          </w:p>
          <w:p w14:paraId="66F89E88" w14:textId="3C41B661" w:rsidR="00961733" w:rsidRPr="00397E0B" w:rsidRDefault="004268EB" w:rsidP="00306D5A">
            <w:pPr>
              <w:pStyle w:val="ListBullet"/>
              <w:numPr>
                <w:ilvl w:val="0"/>
                <w:numId w:val="2"/>
              </w:numPr>
              <w:rPr>
                <w:rFonts w:cs="Cambria"/>
                <w:color w:val="auto"/>
                <w:szCs w:val="22"/>
              </w:rPr>
            </w:pPr>
            <w:r w:rsidRPr="00587DE0">
              <w:rPr>
                <w:color w:val="auto"/>
              </w:rPr>
              <w:t xml:space="preserve">The </w:t>
            </w:r>
            <w:proofErr w:type="spellStart"/>
            <w:r w:rsidRPr="00587DE0">
              <w:rPr>
                <w:color w:val="auto"/>
              </w:rPr>
              <w:t>LoA</w:t>
            </w:r>
            <w:proofErr w:type="spellEnd"/>
            <w:r w:rsidRPr="00587DE0">
              <w:rPr>
                <w:color w:val="auto"/>
              </w:rPr>
              <w:t xml:space="preserve"> r</w:t>
            </w:r>
            <w:r w:rsidR="00961733" w:rsidRPr="00587DE0">
              <w:rPr>
                <w:color w:val="auto"/>
              </w:rPr>
              <w:t xml:space="preserve">efers to a </w:t>
            </w:r>
            <w:r w:rsidRPr="00587DE0">
              <w:rPr>
                <w:color w:val="auto"/>
              </w:rPr>
              <w:t xml:space="preserve">GMP </w:t>
            </w:r>
            <w:r w:rsidR="00961733" w:rsidRPr="00587DE0">
              <w:rPr>
                <w:color w:val="auto"/>
              </w:rPr>
              <w:t xml:space="preserve">clearance </w:t>
            </w:r>
            <w:r w:rsidRPr="00587DE0">
              <w:rPr>
                <w:color w:val="auto"/>
              </w:rPr>
              <w:t xml:space="preserve">that </w:t>
            </w:r>
            <w:r w:rsidR="00961733" w:rsidRPr="00587DE0">
              <w:rPr>
                <w:color w:val="auto"/>
              </w:rPr>
              <w:t xml:space="preserve">has been issued based on </w:t>
            </w:r>
            <w:r w:rsidRPr="00587DE0">
              <w:rPr>
                <w:color w:val="auto"/>
              </w:rPr>
              <w:t xml:space="preserve">another </w:t>
            </w:r>
            <w:proofErr w:type="spellStart"/>
            <w:r w:rsidRPr="00587DE0">
              <w:rPr>
                <w:color w:val="auto"/>
              </w:rPr>
              <w:t>LoA</w:t>
            </w:r>
            <w:proofErr w:type="spellEnd"/>
            <w:r w:rsidRPr="00587DE0">
              <w:rPr>
                <w:color w:val="auto"/>
              </w:rPr>
              <w:t xml:space="preserve"> (</w:t>
            </w:r>
            <w:r w:rsidR="00587DE0">
              <w:rPr>
                <w:color w:val="auto"/>
              </w:rPr>
              <w:t>‘d</w:t>
            </w:r>
            <w:r w:rsidRPr="00587DE0">
              <w:rPr>
                <w:color w:val="auto"/>
              </w:rPr>
              <w:t>aisy-chaining</w:t>
            </w:r>
            <w:r w:rsidR="00587DE0">
              <w:rPr>
                <w:color w:val="auto"/>
              </w:rPr>
              <w:t>’</w:t>
            </w:r>
            <w:r w:rsidRPr="00587DE0">
              <w:rPr>
                <w:color w:val="auto"/>
              </w:rPr>
              <w:t>)</w:t>
            </w:r>
          </w:p>
        </w:tc>
      </w:tr>
    </w:tbl>
    <w:p w14:paraId="384FBA9F" w14:textId="77777777" w:rsidR="00961733" w:rsidRPr="00F13A76" w:rsidRDefault="00961733" w:rsidP="00961733">
      <w:pPr>
        <w:pStyle w:val="Heading3"/>
      </w:pPr>
      <w:bookmarkStart w:id="331" w:name="_TGA_certificates"/>
      <w:bookmarkStart w:id="332" w:name="_Toc11250926"/>
      <w:bookmarkStart w:id="333" w:name="_Toc147929293"/>
      <w:bookmarkStart w:id="334" w:name="_Toc198723821"/>
      <w:bookmarkEnd w:id="331"/>
      <w:r w:rsidRPr="00F13A76">
        <w:t>TGA certificates</w:t>
      </w:r>
      <w:bookmarkEnd w:id="332"/>
      <w:bookmarkEnd w:id="333"/>
      <w:bookmarkEnd w:id="334"/>
    </w:p>
    <w:p w14:paraId="65B740B9" w14:textId="7A0B6E91" w:rsidR="00961733" w:rsidRPr="00DB087F" w:rsidRDefault="00961733" w:rsidP="00961733">
      <w:r w:rsidRPr="00DB087F">
        <w:t xml:space="preserve">TGA certificates issued </w:t>
      </w:r>
      <w:proofErr w:type="gramStart"/>
      <w:r w:rsidRPr="00DB087F">
        <w:t>as a result of</w:t>
      </w:r>
      <w:proofErr w:type="gramEnd"/>
      <w:r w:rsidRPr="00DB087F">
        <w:t xml:space="preserve"> a successful </w:t>
      </w:r>
      <w:r>
        <w:t>TGA</w:t>
      </w:r>
      <w:r w:rsidRPr="00DB087F">
        <w:t xml:space="preserve"> inspection may be provided as evidence to obtain a </w:t>
      </w:r>
      <w:r w:rsidR="00B323DA">
        <w:t>GMP Clearance</w:t>
      </w:r>
      <w:r w:rsidRPr="00DB087F">
        <w:t xml:space="preserve"> if you were not using this manufacturer at the time the inspection was scheduled.</w:t>
      </w:r>
    </w:p>
    <w:p w14:paraId="423AE6AD" w14:textId="77777777" w:rsidR="00961733" w:rsidRPr="00DB087F" w:rsidRDefault="00961733" w:rsidP="00961733">
      <w:r w:rsidRPr="00DB087F">
        <w:t>If you provide a TGA certificate as evidence, you will still be required to provide the following sponsor specific evidence (where applicable):</w:t>
      </w:r>
    </w:p>
    <w:p w14:paraId="68B06325" w14:textId="77777777" w:rsidR="00961733" w:rsidRPr="00D60E97" w:rsidRDefault="00961733" w:rsidP="00961733">
      <w:pPr>
        <w:pStyle w:val="ListBullet"/>
        <w:numPr>
          <w:ilvl w:val="0"/>
          <w:numId w:val="2"/>
        </w:numPr>
        <w:rPr>
          <w:color w:val="auto"/>
        </w:rPr>
      </w:pPr>
      <w:hyperlink w:anchor="_GMP_agreement_or">
        <w:r w:rsidRPr="5AB8732C">
          <w:rPr>
            <w:rStyle w:val="Hyperlink"/>
          </w:rPr>
          <w:t>GMP, quality or technical agreements</w:t>
        </w:r>
      </w:hyperlink>
      <w:r>
        <w:t xml:space="preserve"> </w:t>
      </w:r>
      <w:r w:rsidRPr="00D60E97">
        <w:rPr>
          <w:color w:val="auto"/>
        </w:rPr>
        <w:t xml:space="preserve">between the </w:t>
      </w:r>
      <w:r w:rsidRPr="00D60E97">
        <w:rPr>
          <w:b/>
          <w:bCs/>
          <w:color w:val="auto"/>
        </w:rPr>
        <w:t>sponsor and manufacturer</w:t>
      </w:r>
    </w:p>
    <w:p w14:paraId="51D87CA6" w14:textId="54EF5CBC" w:rsidR="00961733" w:rsidRDefault="00961733" w:rsidP="00961733">
      <w:pPr>
        <w:pStyle w:val="ListBullet"/>
        <w:numPr>
          <w:ilvl w:val="0"/>
          <w:numId w:val="2"/>
        </w:numPr>
      </w:pPr>
      <w:r w:rsidRPr="00D60E97">
        <w:rPr>
          <w:color w:val="auto"/>
        </w:rPr>
        <w:t>a</w:t>
      </w:r>
      <w:r>
        <w:t xml:space="preserve"> </w:t>
      </w:r>
      <w:hyperlink w:anchor="_List_of_products">
        <w:r w:rsidRPr="5AB8732C">
          <w:rPr>
            <w:rStyle w:val="Hyperlink"/>
          </w:rPr>
          <w:t>list of products intended for supply</w:t>
        </w:r>
      </w:hyperlink>
      <w:r>
        <w:t xml:space="preserve"> </w:t>
      </w:r>
      <w:r w:rsidR="00B54193">
        <w:t xml:space="preserve">and associated ARTG numbers </w:t>
      </w:r>
      <w:r w:rsidRPr="00D60E97">
        <w:rPr>
          <w:color w:val="auto"/>
        </w:rPr>
        <w:t>(specific to the application)</w:t>
      </w:r>
    </w:p>
    <w:p w14:paraId="7932CFF5" w14:textId="77777777" w:rsidR="00961733" w:rsidRPr="00D60E97" w:rsidRDefault="00961733" w:rsidP="00961733">
      <w:pPr>
        <w:pStyle w:val="ListBullet"/>
        <w:numPr>
          <w:ilvl w:val="0"/>
          <w:numId w:val="2"/>
        </w:numPr>
        <w:rPr>
          <w:color w:val="auto"/>
        </w:rPr>
      </w:pPr>
      <w:r w:rsidRPr="00D60E97">
        <w:rPr>
          <w:color w:val="auto"/>
        </w:rPr>
        <w:t>the</w:t>
      </w:r>
      <w:r>
        <w:t xml:space="preserve"> </w:t>
      </w:r>
      <w:hyperlink w:anchor="_Latest_Product_Quality_1">
        <w:r w:rsidRPr="5AB8732C">
          <w:rPr>
            <w:rStyle w:val="Hyperlink"/>
          </w:rPr>
          <w:t>latest product quality review</w:t>
        </w:r>
      </w:hyperlink>
      <w:r>
        <w:t xml:space="preserve"> </w:t>
      </w:r>
      <w:r w:rsidRPr="00D60E97">
        <w:rPr>
          <w:color w:val="auto"/>
        </w:rPr>
        <w:t>(specific to the products in the application)</w:t>
      </w:r>
    </w:p>
    <w:p w14:paraId="4ED19276" w14:textId="32B3C8A9" w:rsidR="008E300B" w:rsidRDefault="00961733" w:rsidP="00397E0B">
      <w:pPr>
        <w:pStyle w:val="ListBullet"/>
        <w:numPr>
          <w:ilvl w:val="0"/>
          <w:numId w:val="2"/>
        </w:numPr>
      </w:pPr>
      <w:r w:rsidRPr="00D60E97">
        <w:rPr>
          <w:color w:val="auto"/>
        </w:rPr>
        <w:t xml:space="preserve">an </w:t>
      </w:r>
      <w:hyperlink w:anchor="_API_declaration_1">
        <w:r w:rsidRPr="5AB8732C">
          <w:rPr>
            <w:rStyle w:val="Hyperlink"/>
          </w:rPr>
          <w:t>API declaration</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61733" w:rsidRPr="00215D48" w14:paraId="4FBBE641" w14:textId="245EB3E6" w:rsidTr="0042350D">
        <w:tc>
          <w:tcPr>
            <w:tcW w:w="1276" w:type="dxa"/>
            <w:vAlign w:val="center"/>
          </w:tcPr>
          <w:p w14:paraId="1B86ECC2" w14:textId="7B4FCDC9" w:rsidR="00961733" w:rsidRPr="00215D48" w:rsidRDefault="00961733" w:rsidP="0042350D">
            <w:r w:rsidRPr="00215D48">
              <w:rPr>
                <w:noProof/>
              </w:rPr>
              <w:drawing>
                <wp:inline distT="0" distB="0" distL="0" distR="0" wp14:anchorId="78E406CD" wp14:editId="5EE5D7C3">
                  <wp:extent cx="487681" cy="487681"/>
                  <wp:effectExtent l="19050" t="0" r="7619" b="0"/>
                  <wp:docPr id="2056" name="Picture 2056"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2359523" w14:textId="754FFC3C" w:rsidR="00961733" w:rsidRDefault="00961733" w:rsidP="00E62F78">
            <w:pPr>
              <w:pStyle w:val="ListBullet-donotcross"/>
            </w:pPr>
            <w:r>
              <w:t xml:space="preserve">We will not accept a TGA issued certificate as evidence for a </w:t>
            </w:r>
            <w:r w:rsidR="00B323DA">
              <w:t>GMP Clearance</w:t>
            </w:r>
            <w:r>
              <w:t xml:space="preserve"> application if you have declined to contribute to the cost of the inspection without justification.</w:t>
            </w:r>
          </w:p>
          <w:p w14:paraId="7CA71E34" w14:textId="602CEF7A" w:rsidR="00961733" w:rsidRPr="00215D48" w:rsidRDefault="00961733" w:rsidP="0042350D">
            <w:r>
              <w:t xml:space="preserve">Additionally, you will be expected to contribute to the cost of the next </w:t>
            </w:r>
            <w:proofErr w:type="gramStart"/>
            <w:r>
              <w:t>TGA  inspection</w:t>
            </w:r>
            <w:proofErr w:type="gramEnd"/>
            <w:r>
              <w:t>.</w:t>
            </w:r>
          </w:p>
          <w:p w14:paraId="323E9D77" w14:textId="6582185D" w:rsidR="00961733" w:rsidRPr="00215D48" w:rsidRDefault="00961733" w:rsidP="0042350D">
            <w:pPr>
              <w:spacing w:before="180"/>
              <w:rPr>
                <w:rFonts w:cs="Cambria"/>
                <w:szCs w:val="22"/>
              </w:rPr>
            </w:pPr>
            <w:r w:rsidRPr="002F4231">
              <w:rPr>
                <w:rFonts w:cs="Cambria"/>
                <w:b/>
                <w:bCs/>
                <w:szCs w:val="22"/>
              </w:rPr>
              <w:t>Common deficiencies</w:t>
            </w:r>
            <w:r w:rsidRPr="42BFFDF0">
              <w:rPr>
                <w:rFonts w:cs="Cambria"/>
                <w:szCs w:val="22"/>
              </w:rPr>
              <w:t>:</w:t>
            </w:r>
          </w:p>
          <w:p w14:paraId="272B995A" w14:textId="153F210A" w:rsidR="00961733" w:rsidRPr="004F1E0B" w:rsidRDefault="00961733" w:rsidP="00397E0B">
            <w:pPr>
              <w:pStyle w:val="ListBullet"/>
              <w:numPr>
                <w:ilvl w:val="0"/>
                <w:numId w:val="2"/>
              </w:numPr>
              <w:ind w:left="357" w:hanging="357"/>
              <w:contextualSpacing/>
              <w:rPr>
                <w:color w:val="auto"/>
              </w:rPr>
            </w:pPr>
            <w:r w:rsidRPr="004F1E0B">
              <w:rPr>
                <w:color w:val="auto"/>
              </w:rPr>
              <w:t>Sponsor has declined to contribute to the TGA inspection</w:t>
            </w:r>
          </w:p>
          <w:p w14:paraId="4EA6D13C" w14:textId="76D88FE3" w:rsidR="00961733" w:rsidRPr="004F1E0B" w:rsidRDefault="00961733" w:rsidP="00397E0B">
            <w:pPr>
              <w:pStyle w:val="ListBullet"/>
              <w:numPr>
                <w:ilvl w:val="0"/>
                <w:numId w:val="2"/>
              </w:numPr>
              <w:ind w:left="357" w:hanging="357"/>
              <w:contextualSpacing/>
              <w:rPr>
                <w:color w:val="auto"/>
              </w:rPr>
            </w:pPr>
            <w:r w:rsidRPr="004F1E0B">
              <w:rPr>
                <w:color w:val="auto"/>
              </w:rPr>
              <w:t>Sponsor specific information is not provided, such as the GMP agreement</w:t>
            </w:r>
          </w:p>
          <w:p w14:paraId="70B5C5D5" w14:textId="27569A16" w:rsidR="00961733" w:rsidRPr="004F1E0B" w:rsidRDefault="00961733" w:rsidP="00397E0B">
            <w:pPr>
              <w:pStyle w:val="ListBullet"/>
              <w:numPr>
                <w:ilvl w:val="0"/>
                <w:numId w:val="2"/>
              </w:numPr>
              <w:ind w:left="357" w:hanging="357"/>
              <w:contextualSpacing/>
              <w:rPr>
                <w:color w:val="auto"/>
              </w:rPr>
            </w:pPr>
            <w:r w:rsidRPr="004F1E0B">
              <w:rPr>
                <w:color w:val="auto"/>
              </w:rPr>
              <w:t>Scope of TGA certificate does not support application</w:t>
            </w:r>
          </w:p>
          <w:p w14:paraId="087370D2" w14:textId="0AC0E004" w:rsidR="00961733" w:rsidRPr="00215D48" w:rsidRDefault="00961733" w:rsidP="00397E0B">
            <w:pPr>
              <w:pStyle w:val="ListBullet"/>
              <w:numPr>
                <w:ilvl w:val="0"/>
                <w:numId w:val="2"/>
              </w:numPr>
              <w:ind w:left="357" w:hanging="357"/>
              <w:contextualSpacing/>
            </w:pPr>
            <w:r w:rsidRPr="004F1E0B">
              <w:rPr>
                <w:color w:val="auto"/>
              </w:rPr>
              <w:t>Most recent TGA GMP certificate was not provided</w:t>
            </w:r>
          </w:p>
        </w:tc>
      </w:tr>
    </w:tbl>
    <w:p w14:paraId="767D2DC4" w14:textId="77777777" w:rsidR="00961733" w:rsidRPr="007B65FF" w:rsidRDefault="00961733" w:rsidP="00961733">
      <w:pPr>
        <w:pStyle w:val="NonTOCheading2"/>
      </w:pPr>
      <w:r w:rsidRPr="007B65FF">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961733" w:rsidRPr="00215D48" w14:paraId="47342436" w14:textId="77777777" w:rsidTr="00423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B51B675" w14:textId="77777777" w:rsidR="00961733" w:rsidRPr="00215D48" w:rsidRDefault="00961733" w:rsidP="0042350D">
            <w:r w:rsidRPr="00215D48">
              <w:t>Version</w:t>
            </w:r>
          </w:p>
        </w:tc>
        <w:tc>
          <w:tcPr>
            <w:tcW w:w="3242" w:type="dxa"/>
          </w:tcPr>
          <w:p w14:paraId="48D182E4" w14:textId="77777777" w:rsidR="00961733" w:rsidRPr="00215D48" w:rsidRDefault="00961733" w:rsidP="0042350D">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28973D3F" w14:textId="77777777" w:rsidR="00961733" w:rsidRPr="00215D48" w:rsidRDefault="00961733" w:rsidP="0042350D">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4D155A40" w14:textId="77777777" w:rsidR="00961733" w:rsidRPr="00215D48" w:rsidRDefault="00961733" w:rsidP="0042350D">
            <w:pPr>
              <w:cnfStyle w:val="100000000000" w:firstRow="1" w:lastRow="0" w:firstColumn="0" w:lastColumn="0" w:oddVBand="0" w:evenVBand="0" w:oddHBand="0" w:evenHBand="0" w:firstRowFirstColumn="0" w:firstRowLastColumn="0" w:lastRowFirstColumn="0" w:lastRowLastColumn="0"/>
            </w:pPr>
            <w:r w:rsidRPr="00215D48">
              <w:t>Effective date</w:t>
            </w:r>
          </w:p>
        </w:tc>
      </w:tr>
      <w:tr w:rsidR="00961733" w:rsidRPr="00215D48" w14:paraId="010540E6" w14:textId="77777777" w:rsidTr="0042350D">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65E1917" w14:textId="77777777" w:rsidR="00961733" w:rsidRPr="00215D48" w:rsidRDefault="00961733" w:rsidP="0042350D">
            <w:r w:rsidRPr="001F30FA">
              <w:rPr>
                <w:sz w:val="20"/>
                <w:szCs w:val="20"/>
              </w:rPr>
              <w:t>17th Edition</w:t>
            </w:r>
          </w:p>
        </w:tc>
        <w:tc>
          <w:tcPr>
            <w:tcW w:w="3242" w:type="dxa"/>
          </w:tcPr>
          <w:p w14:paraId="52F5494B"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Australian Regulatory Guidelines Good Manufacturing Practice (GMP) Clearance for Overseas manufacturers</w:t>
            </w:r>
          </w:p>
        </w:tc>
        <w:tc>
          <w:tcPr>
            <w:tcW w:w="2712" w:type="dxa"/>
          </w:tcPr>
          <w:p w14:paraId="27099618"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Office of Manufacturing Quality</w:t>
            </w:r>
          </w:p>
        </w:tc>
        <w:tc>
          <w:tcPr>
            <w:tcW w:w="1808" w:type="dxa"/>
          </w:tcPr>
          <w:p w14:paraId="35CFD403"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12/05/2011</w:t>
            </w:r>
          </w:p>
        </w:tc>
      </w:tr>
      <w:tr w:rsidR="00961733" w:rsidRPr="00215D48" w14:paraId="5925C7F2" w14:textId="77777777" w:rsidTr="0042350D">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19767CF" w14:textId="77777777" w:rsidR="00961733" w:rsidRPr="00215D48" w:rsidRDefault="00961733" w:rsidP="0042350D">
            <w:r w:rsidRPr="001F30FA">
              <w:rPr>
                <w:sz w:val="20"/>
                <w:szCs w:val="20"/>
              </w:rPr>
              <w:t>V18.0</w:t>
            </w:r>
          </w:p>
        </w:tc>
        <w:tc>
          <w:tcPr>
            <w:tcW w:w="3242" w:type="dxa"/>
          </w:tcPr>
          <w:p w14:paraId="68764923" w14:textId="2DC52291"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 xml:space="preserve">Updated title to </w:t>
            </w:r>
            <w:r w:rsidR="00B323DA">
              <w:rPr>
                <w:sz w:val="20"/>
                <w:szCs w:val="20"/>
              </w:rPr>
              <w:t>GMP Clearance</w:t>
            </w:r>
            <w:r w:rsidRPr="001F30FA">
              <w:rPr>
                <w:sz w:val="20"/>
                <w:szCs w:val="20"/>
              </w:rPr>
              <w:t xml:space="preserve"> guidance</w:t>
            </w:r>
          </w:p>
          <w:p w14:paraId="1CE0C053"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Restructured to be more readable</w:t>
            </w:r>
          </w:p>
          <w:p w14:paraId="753EE63F" w14:textId="6BF26484"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 xml:space="preserve">Added instructions for submitting </w:t>
            </w:r>
            <w:r w:rsidR="00B323DA">
              <w:rPr>
                <w:sz w:val="20"/>
                <w:szCs w:val="20"/>
              </w:rPr>
              <w:t>GMP Clearance</w:t>
            </w:r>
            <w:r w:rsidRPr="001F30FA">
              <w:rPr>
                <w:sz w:val="20"/>
                <w:szCs w:val="20"/>
              </w:rPr>
              <w:t xml:space="preserve"> applications</w:t>
            </w:r>
          </w:p>
        </w:tc>
        <w:tc>
          <w:tcPr>
            <w:tcW w:w="2712" w:type="dxa"/>
          </w:tcPr>
          <w:p w14:paraId="091404A3"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Manufacturing Quality Branch</w:t>
            </w:r>
          </w:p>
          <w:p w14:paraId="60029D88"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Regulatory Guidance Team</w:t>
            </w:r>
          </w:p>
        </w:tc>
        <w:tc>
          <w:tcPr>
            <w:tcW w:w="1808" w:type="dxa"/>
          </w:tcPr>
          <w:p w14:paraId="5F624CB6"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September 2017</w:t>
            </w:r>
          </w:p>
        </w:tc>
      </w:tr>
      <w:tr w:rsidR="00961733" w:rsidRPr="00215D48" w14:paraId="5338CE89" w14:textId="77777777" w:rsidTr="0042350D">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97462FC" w14:textId="77777777" w:rsidR="00961733" w:rsidRPr="00215D48" w:rsidRDefault="00961733" w:rsidP="0042350D">
            <w:r w:rsidRPr="001F30FA">
              <w:rPr>
                <w:sz w:val="20"/>
                <w:szCs w:val="20"/>
              </w:rPr>
              <w:t>V18.1</w:t>
            </w:r>
          </w:p>
        </w:tc>
        <w:tc>
          <w:tcPr>
            <w:tcW w:w="3242" w:type="dxa"/>
          </w:tcPr>
          <w:p w14:paraId="21062FBF" w14:textId="2462C132"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 xml:space="preserve">Added fee table in </w:t>
            </w:r>
            <w:r w:rsidR="00B323DA">
              <w:rPr>
                <w:sz w:val="20"/>
                <w:szCs w:val="20"/>
              </w:rPr>
              <w:t>GMP Clearance</w:t>
            </w:r>
            <w:r w:rsidRPr="001F30FA">
              <w:rPr>
                <w:sz w:val="20"/>
                <w:szCs w:val="20"/>
              </w:rPr>
              <w:t xml:space="preserve"> basics section</w:t>
            </w:r>
          </w:p>
          <w:p w14:paraId="05626FD5"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Clarified that separate applications are required for each unique site address in the TGA database</w:t>
            </w:r>
          </w:p>
          <w:p w14:paraId="2C68EFC2"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Provided additional information regarding alternative or supplementary information to be provided upfront where applicable and the application receipting process</w:t>
            </w:r>
          </w:p>
          <w:p w14:paraId="50C2B3DA" w14:textId="6B3A8A91"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 xml:space="preserve">Clarified when applications would be removed from the system due to non-payment and the criteria for immediate not issue of </w:t>
            </w:r>
            <w:r w:rsidR="00B323DA">
              <w:rPr>
                <w:sz w:val="20"/>
                <w:szCs w:val="20"/>
              </w:rPr>
              <w:t>GMP Clearance</w:t>
            </w:r>
            <w:r w:rsidRPr="001F30FA">
              <w:rPr>
                <w:sz w:val="20"/>
                <w:szCs w:val="20"/>
              </w:rPr>
              <w:t>s for the MRA pathway</w:t>
            </w:r>
          </w:p>
          <w:p w14:paraId="587A8BE2"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Provided additional information and illustrations around GMP agreements</w:t>
            </w:r>
          </w:p>
          <w:p w14:paraId="70554733"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Clarified for cell banking activities, names of specific cell lines are not required to be entered in the application</w:t>
            </w:r>
          </w:p>
          <w:p w14:paraId="12995129"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Provided additional information for extension applications</w:t>
            </w:r>
          </w:p>
          <w:p w14:paraId="1ECB5F73"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Added troubleshooting section</w:t>
            </w:r>
          </w:p>
          <w:p w14:paraId="7B19722D"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Minor editorial changes</w:t>
            </w:r>
          </w:p>
        </w:tc>
        <w:tc>
          <w:tcPr>
            <w:tcW w:w="2712" w:type="dxa"/>
          </w:tcPr>
          <w:p w14:paraId="1A3E196B"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Manufacturing Quality Branch</w:t>
            </w:r>
          </w:p>
        </w:tc>
        <w:tc>
          <w:tcPr>
            <w:tcW w:w="1808" w:type="dxa"/>
          </w:tcPr>
          <w:p w14:paraId="5B61D518"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January 2019</w:t>
            </w:r>
          </w:p>
        </w:tc>
      </w:tr>
      <w:tr w:rsidR="00961733" w:rsidRPr="00215D48" w14:paraId="34AF54E8" w14:textId="77777777" w:rsidTr="0042350D">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5584F49" w14:textId="77777777" w:rsidR="00961733" w:rsidRPr="00215D48" w:rsidRDefault="00961733" w:rsidP="0042350D">
            <w:r w:rsidRPr="001F30FA">
              <w:rPr>
                <w:sz w:val="20"/>
                <w:szCs w:val="20"/>
              </w:rPr>
              <w:t>V18.2</w:t>
            </w:r>
          </w:p>
        </w:tc>
        <w:tc>
          <w:tcPr>
            <w:tcW w:w="3242" w:type="dxa"/>
          </w:tcPr>
          <w:p w14:paraId="67E6847A"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Added information on the stop clock process (TGA vs Industry Time)</w:t>
            </w:r>
          </w:p>
          <w:p w14:paraId="117517D0"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t xml:space="preserve">Added information on application status  </w:t>
            </w:r>
          </w:p>
          <w:p w14:paraId="541F31B8" w14:textId="77777777" w:rsidR="00961733" w:rsidRPr="001F30FA"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szCs w:val="20"/>
              </w:rPr>
            </w:pPr>
            <w:r w:rsidRPr="001F30FA">
              <w:rPr>
                <w:sz w:val="20"/>
                <w:szCs w:val="20"/>
              </w:rPr>
              <w:lastRenderedPageBreak/>
              <w:t xml:space="preserve">Added information on how to withdraw applications </w:t>
            </w:r>
          </w:p>
          <w:p w14:paraId="4BC351A9"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Minor editorial changes</w:t>
            </w:r>
          </w:p>
        </w:tc>
        <w:tc>
          <w:tcPr>
            <w:tcW w:w="2712" w:type="dxa"/>
          </w:tcPr>
          <w:p w14:paraId="1F2096DD"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lastRenderedPageBreak/>
              <w:t>Manufacturing Quality Branch</w:t>
            </w:r>
          </w:p>
        </w:tc>
        <w:tc>
          <w:tcPr>
            <w:tcW w:w="1808" w:type="dxa"/>
          </w:tcPr>
          <w:p w14:paraId="4048674A"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sidRPr="001F30FA">
              <w:rPr>
                <w:sz w:val="20"/>
                <w:szCs w:val="20"/>
              </w:rPr>
              <w:t>March 2019</w:t>
            </w:r>
          </w:p>
        </w:tc>
      </w:tr>
      <w:tr w:rsidR="00961733" w:rsidRPr="00215D48" w14:paraId="21AB576E" w14:textId="77777777" w:rsidTr="0042350D">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55905A6" w14:textId="77777777" w:rsidR="00961733" w:rsidRPr="00215D48" w:rsidRDefault="00961733" w:rsidP="0042350D">
            <w:r>
              <w:rPr>
                <w:sz w:val="20"/>
              </w:rPr>
              <w:t>V18.3</w:t>
            </w:r>
          </w:p>
        </w:tc>
        <w:tc>
          <w:tcPr>
            <w:tcW w:w="3242" w:type="dxa"/>
          </w:tcPr>
          <w:p w14:paraId="033A8215" w14:textId="77777777" w:rsidR="00961733" w:rsidRDefault="00961733" w:rsidP="0042350D">
            <w:pPr>
              <w:spacing w:after="120"/>
              <w:cnfStyle w:val="000000000000" w:firstRow="0" w:lastRow="0" w:firstColumn="0" w:lastColumn="0" w:oddVBand="0" w:evenVBand="0" w:oddHBand="0" w:evenHBand="0" w:firstRowFirstColumn="0" w:firstRowLastColumn="0" w:lastRowFirstColumn="0" w:lastRowLastColumn="0"/>
              <w:rPr>
                <w:sz w:val="20"/>
              </w:rPr>
            </w:pPr>
            <w:r>
              <w:rPr>
                <w:sz w:val="20"/>
              </w:rPr>
              <w:t>Provided information on the processing target timelines for CV applications</w:t>
            </w:r>
          </w:p>
          <w:p w14:paraId="769D0BC2"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Pr>
                <w:sz w:val="20"/>
              </w:rPr>
              <w:t xml:space="preserve">Provided additional information on prioritisation requests </w:t>
            </w:r>
          </w:p>
        </w:tc>
        <w:tc>
          <w:tcPr>
            <w:tcW w:w="2712" w:type="dxa"/>
          </w:tcPr>
          <w:p w14:paraId="01D91129"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Pr>
                <w:sz w:val="20"/>
              </w:rPr>
              <w:t>Manufacturing Quality Branch</w:t>
            </w:r>
          </w:p>
        </w:tc>
        <w:tc>
          <w:tcPr>
            <w:tcW w:w="1808" w:type="dxa"/>
          </w:tcPr>
          <w:p w14:paraId="7F7409DD" w14:textId="77777777" w:rsidR="00961733" w:rsidRPr="00215D48" w:rsidRDefault="00961733" w:rsidP="0042350D">
            <w:pPr>
              <w:cnfStyle w:val="000000000000" w:firstRow="0" w:lastRow="0" w:firstColumn="0" w:lastColumn="0" w:oddVBand="0" w:evenVBand="0" w:oddHBand="0" w:evenHBand="0" w:firstRowFirstColumn="0" w:firstRowLastColumn="0" w:lastRowFirstColumn="0" w:lastRowLastColumn="0"/>
            </w:pPr>
            <w:r>
              <w:rPr>
                <w:sz w:val="20"/>
              </w:rPr>
              <w:t>July 2019</w:t>
            </w:r>
          </w:p>
        </w:tc>
      </w:tr>
      <w:tr w:rsidR="00961733" w:rsidRPr="00215D48" w14:paraId="5D8801E6" w14:textId="77777777" w:rsidTr="0042350D">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545CFFB" w14:textId="4B781C5F" w:rsidR="00961733" w:rsidRPr="00215D48" w:rsidRDefault="00961733" w:rsidP="0042350D">
            <w:r w:rsidRPr="00D60E97">
              <w:rPr>
                <w:sz w:val="20"/>
                <w:szCs w:val="22"/>
              </w:rPr>
              <w:t>V</w:t>
            </w:r>
            <w:r w:rsidR="00662389">
              <w:rPr>
                <w:sz w:val="20"/>
                <w:szCs w:val="22"/>
              </w:rPr>
              <w:t>18.4</w:t>
            </w:r>
          </w:p>
        </w:tc>
        <w:tc>
          <w:tcPr>
            <w:tcW w:w="3242" w:type="dxa"/>
          </w:tcPr>
          <w:p w14:paraId="2248B2CB" w14:textId="77777777" w:rsidR="00961733" w:rsidRDefault="00961733" w:rsidP="0042350D">
            <w:pP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Removal of TBS application submission instructions into a separate guidance document</w:t>
            </w:r>
          </w:p>
          <w:p w14:paraId="59FFCAB8" w14:textId="78442EE7" w:rsidR="00961733" w:rsidRDefault="00961733" w:rsidP="0042350D">
            <w:pP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Removal of target processing timeframes and inclusion of reference to the </w:t>
            </w:r>
            <w:r w:rsidR="00B323DA">
              <w:rPr>
                <w:sz w:val="20"/>
                <w:szCs w:val="22"/>
              </w:rPr>
              <w:t>GMP Clearance</w:t>
            </w:r>
            <w:r>
              <w:rPr>
                <w:sz w:val="20"/>
                <w:szCs w:val="22"/>
              </w:rPr>
              <w:t xml:space="preserve"> Sponsor Information Dashboard (SID)</w:t>
            </w:r>
          </w:p>
          <w:p w14:paraId="4510DECB" w14:textId="77777777" w:rsidR="00961733" w:rsidRDefault="00961733" w:rsidP="0042350D">
            <w:pP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Moving evidence requirements further down the guidance</w:t>
            </w:r>
          </w:p>
          <w:p w14:paraId="333FE571" w14:textId="77777777" w:rsidR="00961733" w:rsidRDefault="00961733" w:rsidP="0042350D">
            <w:pP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Updating hyperlinks following guidance re-structure</w:t>
            </w:r>
          </w:p>
          <w:p w14:paraId="3551F5C5" w14:textId="77777777" w:rsidR="00961733" w:rsidRPr="00D60E97" w:rsidRDefault="00961733" w:rsidP="0042350D">
            <w:pP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 xml:space="preserve">Clarification on processes and information required from Sponsors </w:t>
            </w:r>
          </w:p>
        </w:tc>
        <w:tc>
          <w:tcPr>
            <w:tcW w:w="2712" w:type="dxa"/>
          </w:tcPr>
          <w:p w14:paraId="244E589D" w14:textId="77777777" w:rsidR="00961733" w:rsidRPr="00D60E97" w:rsidRDefault="00961733" w:rsidP="0042350D">
            <w:pP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Manufacturing Quality Branch</w:t>
            </w:r>
            <w:r w:rsidRPr="00D60E97">
              <w:rPr>
                <w:sz w:val="20"/>
                <w:szCs w:val="22"/>
              </w:rPr>
              <w:t xml:space="preserve"> </w:t>
            </w:r>
          </w:p>
        </w:tc>
        <w:tc>
          <w:tcPr>
            <w:tcW w:w="1808" w:type="dxa"/>
          </w:tcPr>
          <w:p w14:paraId="6CAA54E7" w14:textId="2EE0CA6D" w:rsidR="00961733" w:rsidRPr="00215D48" w:rsidRDefault="00CE1145" w:rsidP="0042350D">
            <w:pPr>
              <w:cnfStyle w:val="000000000000" w:firstRow="0" w:lastRow="0" w:firstColumn="0" w:lastColumn="0" w:oddVBand="0" w:evenVBand="0" w:oddHBand="0" w:evenHBand="0" w:firstRowFirstColumn="0" w:firstRowLastColumn="0" w:lastRowFirstColumn="0" w:lastRowLastColumn="0"/>
            </w:pPr>
            <w:r>
              <w:rPr>
                <w:color w:val="auto"/>
                <w:sz w:val="20"/>
                <w:szCs w:val="22"/>
              </w:rPr>
              <w:t>Nov</w:t>
            </w:r>
            <w:r w:rsidR="00961733">
              <w:rPr>
                <w:color w:val="auto"/>
                <w:sz w:val="20"/>
                <w:szCs w:val="22"/>
              </w:rPr>
              <w:t xml:space="preserve"> 2023</w:t>
            </w:r>
          </w:p>
        </w:tc>
      </w:tr>
      <w:tr w:rsidR="00D307E6" w:rsidRPr="00215D48" w14:paraId="7242277D" w14:textId="77777777" w:rsidTr="0042350D">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BF74147" w14:textId="713C12A8" w:rsidR="00D307E6" w:rsidRPr="00D60E97" w:rsidRDefault="00D307E6" w:rsidP="0042350D">
            <w:pPr>
              <w:rPr>
                <w:szCs w:val="22"/>
              </w:rPr>
            </w:pPr>
            <w:r w:rsidRPr="00D60E97">
              <w:rPr>
                <w:sz w:val="20"/>
                <w:szCs w:val="22"/>
              </w:rPr>
              <w:t>V</w:t>
            </w:r>
            <w:r>
              <w:rPr>
                <w:sz w:val="20"/>
                <w:szCs w:val="22"/>
              </w:rPr>
              <w:t>18.5</w:t>
            </w:r>
          </w:p>
        </w:tc>
        <w:tc>
          <w:tcPr>
            <w:tcW w:w="3242" w:type="dxa"/>
          </w:tcPr>
          <w:p w14:paraId="679028F1" w14:textId="71FF94D7" w:rsidR="00D307E6" w:rsidRDefault="00236868" w:rsidP="0042350D">
            <w:pPr>
              <w:cnfStyle w:val="000000000000" w:firstRow="0" w:lastRow="0" w:firstColumn="0" w:lastColumn="0" w:oddVBand="0" w:evenVBand="0" w:oddHBand="0" w:evenHBand="0" w:firstRowFirstColumn="0" w:firstRowLastColumn="0" w:lastRowFirstColumn="0" w:lastRowLastColumn="0"/>
              <w:rPr>
                <w:szCs w:val="22"/>
              </w:rPr>
            </w:pPr>
            <w:r>
              <w:rPr>
                <w:sz w:val="20"/>
                <w:szCs w:val="22"/>
              </w:rPr>
              <w:t>Updated title</w:t>
            </w:r>
            <w:r w:rsidR="00D307E6" w:rsidRPr="00D307E6">
              <w:rPr>
                <w:sz w:val="20"/>
                <w:szCs w:val="22"/>
              </w:rPr>
              <w:t xml:space="preserve"> to</w:t>
            </w:r>
            <w:r>
              <w:rPr>
                <w:sz w:val="20"/>
                <w:szCs w:val="22"/>
              </w:rPr>
              <w:t>:</w:t>
            </w:r>
            <w:r w:rsidR="00D307E6" w:rsidRPr="00D307E6">
              <w:rPr>
                <w:sz w:val="20"/>
                <w:szCs w:val="22"/>
              </w:rPr>
              <w:t xml:space="preserve"> </w:t>
            </w:r>
            <w:r w:rsidR="00D307E6">
              <w:rPr>
                <w:sz w:val="20"/>
                <w:szCs w:val="22"/>
              </w:rPr>
              <w:t>‘</w:t>
            </w:r>
            <w:r w:rsidR="00D307E6" w:rsidRPr="00D307E6">
              <w:rPr>
                <w:sz w:val="20"/>
                <w:szCs w:val="22"/>
              </w:rPr>
              <w:t>How to obtain GMP clearance through inspection reliance</w:t>
            </w:r>
            <w:r w:rsidR="00D307E6">
              <w:rPr>
                <w:sz w:val="20"/>
                <w:szCs w:val="22"/>
              </w:rPr>
              <w:t>’.</w:t>
            </w:r>
          </w:p>
        </w:tc>
        <w:tc>
          <w:tcPr>
            <w:tcW w:w="2712" w:type="dxa"/>
          </w:tcPr>
          <w:p w14:paraId="207F91D3" w14:textId="14F5A283" w:rsidR="00D307E6" w:rsidRDefault="00D307E6" w:rsidP="0042350D">
            <w:pPr>
              <w:cnfStyle w:val="000000000000" w:firstRow="0" w:lastRow="0" w:firstColumn="0" w:lastColumn="0" w:oddVBand="0" w:evenVBand="0" w:oddHBand="0" w:evenHBand="0" w:firstRowFirstColumn="0" w:firstRowLastColumn="0" w:lastRowFirstColumn="0" w:lastRowLastColumn="0"/>
              <w:rPr>
                <w:szCs w:val="22"/>
              </w:rPr>
            </w:pPr>
            <w:r>
              <w:rPr>
                <w:sz w:val="20"/>
                <w:szCs w:val="22"/>
              </w:rPr>
              <w:t>Manufacturing Quality Branch</w:t>
            </w:r>
          </w:p>
        </w:tc>
        <w:tc>
          <w:tcPr>
            <w:tcW w:w="1808" w:type="dxa"/>
          </w:tcPr>
          <w:p w14:paraId="590A112F" w14:textId="32CD10D0" w:rsidR="00D307E6" w:rsidRDefault="00D307E6" w:rsidP="0042350D">
            <w:pPr>
              <w:cnfStyle w:val="000000000000" w:firstRow="0" w:lastRow="0" w:firstColumn="0" w:lastColumn="0" w:oddVBand="0" w:evenVBand="0" w:oddHBand="0" w:evenHBand="0" w:firstRowFirstColumn="0" w:firstRowLastColumn="0" w:lastRowFirstColumn="0" w:lastRowLastColumn="0"/>
              <w:rPr>
                <w:szCs w:val="22"/>
              </w:rPr>
            </w:pPr>
            <w:r>
              <w:rPr>
                <w:color w:val="auto"/>
                <w:sz w:val="20"/>
                <w:szCs w:val="22"/>
              </w:rPr>
              <w:t>Nov 2024</w:t>
            </w:r>
          </w:p>
        </w:tc>
      </w:tr>
      <w:tr w:rsidR="008E300B" w:rsidRPr="00215D48" w14:paraId="08099F97" w14:textId="77777777" w:rsidTr="0042350D">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6A26210" w14:textId="626A15A2" w:rsidR="008E300B" w:rsidRPr="00397E0B" w:rsidRDefault="008E300B" w:rsidP="0042350D">
            <w:pPr>
              <w:rPr>
                <w:sz w:val="20"/>
                <w:szCs w:val="22"/>
              </w:rPr>
            </w:pPr>
            <w:r w:rsidRPr="001E282A">
              <w:rPr>
                <w:szCs w:val="22"/>
              </w:rPr>
              <w:t>V18.6</w:t>
            </w:r>
          </w:p>
        </w:tc>
        <w:tc>
          <w:tcPr>
            <w:tcW w:w="3242" w:type="dxa"/>
          </w:tcPr>
          <w:p w14:paraId="2751CE72" w14:textId="37C8A2C7" w:rsidR="00891D28" w:rsidRPr="00397E0B" w:rsidRDefault="00DD503E" w:rsidP="00397E0B">
            <w:pPr>
              <w:cnfStyle w:val="000000000000" w:firstRow="0" w:lastRow="0" w:firstColumn="0" w:lastColumn="0" w:oddVBand="0" w:evenVBand="0" w:oddHBand="0" w:evenHBand="0" w:firstRowFirstColumn="0" w:firstRowLastColumn="0" w:lastRowFirstColumn="0" w:lastRowLastColumn="0"/>
              <w:rPr>
                <w:sz w:val="20"/>
                <w:szCs w:val="22"/>
              </w:rPr>
            </w:pPr>
            <w:r w:rsidRPr="00397E0B">
              <w:rPr>
                <w:rFonts w:eastAsiaTheme="minorHAnsi" w:cstheme="minorBidi"/>
                <w:sz w:val="20"/>
                <w:szCs w:val="22"/>
              </w:rPr>
              <w:t>Added information on</w:t>
            </w:r>
            <w:r w:rsidR="00891D28" w:rsidRPr="00397E0B">
              <w:rPr>
                <w:rFonts w:eastAsiaTheme="minorHAnsi" w:cstheme="minorBidi"/>
                <w:sz w:val="20"/>
                <w:szCs w:val="22"/>
              </w:rPr>
              <w:t xml:space="preserve"> </w:t>
            </w:r>
            <w:r w:rsidRPr="00397E0B">
              <w:rPr>
                <w:rFonts w:eastAsiaTheme="minorHAnsi" w:cstheme="minorBidi"/>
                <w:sz w:val="20"/>
                <w:szCs w:val="22"/>
              </w:rPr>
              <w:t>CV requirements wh</w:t>
            </w:r>
            <w:r w:rsidR="00D94BF1" w:rsidRPr="00397E0B">
              <w:rPr>
                <w:rFonts w:eastAsiaTheme="minorHAnsi" w:cstheme="minorBidi"/>
                <w:sz w:val="20"/>
                <w:szCs w:val="22"/>
              </w:rPr>
              <w:t>en</w:t>
            </w:r>
            <w:r w:rsidR="006411D1" w:rsidRPr="00397E0B">
              <w:rPr>
                <w:rFonts w:eastAsiaTheme="minorHAnsi" w:cstheme="minorBidi"/>
                <w:sz w:val="20"/>
                <w:szCs w:val="22"/>
              </w:rPr>
              <w:t xml:space="preserve"> </w:t>
            </w:r>
            <w:r w:rsidRPr="00397E0B">
              <w:rPr>
                <w:rFonts w:eastAsiaTheme="minorHAnsi" w:cstheme="minorBidi"/>
                <w:sz w:val="20"/>
                <w:szCs w:val="22"/>
              </w:rPr>
              <w:t>using Health Canada Exit notice for certain application scopes</w:t>
            </w:r>
          </w:p>
          <w:p w14:paraId="45548E8E" w14:textId="3D5F7B7A" w:rsidR="00891D28" w:rsidRPr="00397E0B" w:rsidRDefault="00891D28" w:rsidP="00891D28">
            <w:pPr>
              <w:cnfStyle w:val="000000000000" w:firstRow="0" w:lastRow="0" w:firstColumn="0" w:lastColumn="0" w:oddVBand="0" w:evenVBand="0" w:oddHBand="0" w:evenHBand="0" w:firstRowFirstColumn="0" w:firstRowLastColumn="0" w:lastRowFirstColumn="0" w:lastRowLastColumn="0"/>
              <w:rPr>
                <w:sz w:val="20"/>
                <w:szCs w:val="22"/>
              </w:rPr>
            </w:pPr>
            <w:r w:rsidRPr="00397E0B">
              <w:rPr>
                <w:rFonts w:cstheme="minorBidi"/>
                <w:szCs w:val="22"/>
              </w:rPr>
              <w:t xml:space="preserve">Added information on release for supply in relation to </w:t>
            </w:r>
            <w:r w:rsidRPr="006E5D93">
              <w:rPr>
                <w:szCs w:val="22"/>
              </w:rPr>
              <w:t>Annex 16</w:t>
            </w:r>
          </w:p>
          <w:p w14:paraId="4B43E04A" w14:textId="5DF60DB5" w:rsidR="008E300B" w:rsidRPr="001E282A" w:rsidRDefault="00B95618" w:rsidP="00DD503E">
            <w:pPr>
              <w:cnfStyle w:val="000000000000" w:firstRow="0" w:lastRow="0" w:firstColumn="0" w:lastColumn="0" w:oddVBand="0" w:evenVBand="0" w:oddHBand="0" w:evenHBand="0" w:firstRowFirstColumn="0" w:firstRowLastColumn="0" w:lastRowFirstColumn="0" w:lastRowLastColumn="0"/>
              <w:rPr>
                <w:sz w:val="20"/>
                <w:szCs w:val="22"/>
              </w:rPr>
            </w:pPr>
            <w:r w:rsidRPr="001E282A">
              <w:rPr>
                <w:sz w:val="20"/>
                <w:szCs w:val="22"/>
              </w:rPr>
              <w:t>Clarified</w:t>
            </w:r>
            <w:r w:rsidR="00DD503E" w:rsidRPr="006E5D93">
              <w:rPr>
                <w:szCs w:val="22"/>
              </w:rPr>
              <w:t xml:space="preserve"> </w:t>
            </w:r>
            <w:r w:rsidR="000A1953" w:rsidRPr="006E5D93">
              <w:rPr>
                <w:szCs w:val="22"/>
              </w:rPr>
              <w:t>processing times</w:t>
            </w:r>
            <w:r w:rsidR="00111F7B" w:rsidRPr="001E282A">
              <w:rPr>
                <w:sz w:val="20"/>
                <w:szCs w:val="22"/>
              </w:rPr>
              <w:t xml:space="preserve"> and </w:t>
            </w:r>
            <w:proofErr w:type="spellStart"/>
            <w:r w:rsidR="00111F7B" w:rsidRPr="001E282A">
              <w:rPr>
                <w:sz w:val="20"/>
                <w:szCs w:val="22"/>
              </w:rPr>
              <w:t>LoA</w:t>
            </w:r>
            <w:proofErr w:type="spellEnd"/>
            <w:r w:rsidR="00111F7B" w:rsidRPr="001E282A">
              <w:rPr>
                <w:sz w:val="20"/>
                <w:szCs w:val="22"/>
              </w:rPr>
              <w:t xml:space="preserve"> requirements</w:t>
            </w:r>
          </w:p>
          <w:p w14:paraId="1D648E6D" w14:textId="09DB7966" w:rsidR="00534DAD" w:rsidRPr="00397E0B" w:rsidRDefault="00534DAD" w:rsidP="00DD503E">
            <w:pPr>
              <w:cnfStyle w:val="000000000000" w:firstRow="0" w:lastRow="0" w:firstColumn="0" w:lastColumn="0" w:oddVBand="0" w:evenVBand="0" w:oddHBand="0" w:evenHBand="0" w:firstRowFirstColumn="0" w:firstRowLastColumn="0" w:lastRowFirstColumn="0" w:lastRowLastColumn="0"/>
              <w:rPr>
                <w:sz w:val="20"/>
                <w:szCs w:val="22"/>
              </w:rPr>
            </w:pPr>
            <w:r w:rsidRPr="006E5D93">
              <w:rPr>
                <w:szCs w:val="22"/>
              </w:rPr>
              <w:t>Clarif</w:t>
            </w:r>
            <w:r w:rsidR="00B95618" w:rsidRPr="001E282A">
              <w:rPr>
                <w:sz w:val="20"/>
                <w:szCs w:val="22"/>
              </w:rPr>
              <w:t xml:space="preserve">ied the requirement </w:t>
            </w:r>
            <w:proofErr w:type="gramStart"/>
            <w:r w:rsidR="00B95618" w:rsidRPr="001E282A">
              <w:rPr>
                <w:sz w:val="20"/>
                <w:szCs w:val="22"/>
              </w:rPr>
              <w:t xml:space="preserve">for  </w:t>
            </w:r>
            <w:r w:rsidRPr="006E5D93">
              <w:rPr>
                <w:szCs w:val="22"/>
              </w:rPr>
              <w:t>medical</w:t>
            </w:r>
            <w:proofErr w:type="gramEnd"/>
            <w:r w:rsidRPr="006E5D93">
              <w:rPr>
                <w:szCs w:val="22"/>
              </w:rPr>
              <w:t xml:space="preserve"> devices </w:t>
            </w:r>
            <w:r w:rsidR="00B95618" w:rsidRPr="001E282A">
              <w:rPr>
                <w:sz w:val="20"/>
                <w:szCs w:val="22"/>
              </w:rPr>
              <w:t>under</w:t>
            </w:r>
            <w:r w:rsidRPr="006E5D93">
              <w:rPr>
                <w:szCs w:val="22"/>
              </w:rPr>
              <w:t xml:space="preserve"> </w:t>
            </w:r>
            <w:r w:rsidR="00B95618" w:rsidRPr="001E282A">
              <w:rPr>
                <w:sz w:val="20"/>
                <w:szCs w:val="22"/>
              </w:rPr>
              <w:t>‘</w:t>
            </w:r>
            <w:r w:rsidRPr="006E5D93">
              <w:rPr>
                <w:szCs w:val="22"/>
              </w:rPr>
              <w:t>Why GMP Clearance Is Required</w:t>
            </w:r>
            <w:r w:rsidR="00B95618" w:rsidRPr="001E282A">
              <w:rPr>
                <w:sz w:val="20"/>
                <w:szCs w:val="22"/>
              </w:rPr>
              <w:t>’</w:t>
            </w:r>
            <w:r w:rsidRPr="006E5D93">
              <w:rPr>
                <w:szCs w:val="22"/>
              </w:rPr>
              <w:t xml:space="preserve">. </w:t>
            </w:r>
          </w:p>
          <w:p w14:paraId="232D5DE9" w14:textId="77777777" w:rsidR="00301213" w:rsidRDefault="00301213" w:rsidP="00301213">
            <w:pPr>
              <w:cnfStyle w:val="000000000000" w:firstRow="0" w:lastRow="0" w:firstColumn="0" w:lastColumn="0" w:oddVBand="0" w:evenVBand="0" w:oddHBand="0" w:evenHBand="0" w:firstRowFirstColumn="0" w:firstRowLastColumn="0" w:lastRowFirstColumn="0" w:lastRowLastColumn="0"/>
              <w:rPr>
                <w:sz w:val="20"/>
                <w:szCs w:val="22"/>
              </w:rPr>
            </w:pPr>
            <w:r w:rsidRPr="001E282A">
              <w:rPr>
                <w:sz w:val="20"/>
                <w:szCs w:val="22"/>
              </w:rPr>
              <w:t>Minor editorial changes</w:t>
            </w:r>
          </w:p>
          <w:p w14:paraId="71EF7226" w14:textId="55B383ED" w:rsidR="006E5D93" w:rsidRPr="001E282A" w:rsidRDefault="006E5D93" w:rsidP="00301213">
            <w:pPr>
              <w:cnfStyle w:val="000000000000" w:firstRow="0" w:lastRow="0" w:firstColumn="0" w:lastColumn="0" w:oddVBand="0" w:evenVBand="0" w:oddHBand="0" w:evenHBand="0" w:firstRowFirstColumn="0" w:firstRowLastColumn="0" w:lastRowFirstColumn="0" w:lastRowLastColumn="0"/>
              <w:rPr>
                <w:sz w:val="20"/>
                <w:szCs w:val="22"/>
              </w:rPr>
            </w:pPr>
            <w:r>
              <w:rPr>
                <w:sz w:val="20"/>
                <w:szCs w:val="22"/>
              </w:rPr>
              <w:t>Update to Department name</w:t>
            </w:r>
          </w:p>
          <w:p w14:paraId="5E98D228" w14:textId="53A0EC2B" w:rsidR="00301213" w:rsidRPr="00397E0B" w:rsidRDefault="00301213" w:rsidP="00301213">
            <w:pPr>
              <w:cnfStyle w:val="000000000000" w:firstRow="0" w:lastRow="0" w:firstColumn="0" w:lastColumn="0" w:oddVBand="0" w:evenVBand="0" w:oddHBand="0" w:evenHBand="0" w:firstRowFirstColumn="0" w:firstRowLastColumn="0" w:lastRowFirstColumn="0" w:lastRowLastColumn="0"/>
              <w:rPr>
                <w:sz w:val="20"/>
                <w:szCs w:val="22"/>
              </w:rPr>
            </w:pPr>
          </w:p>
        </w:tc>
        <w:tc>
          <w:tcPr>
            <w:tcW w:w="2712" w:type="dxa"/>
          </w:tcPr>
          <w:p w14:paraId="27C33A46" w14:textId="58E9818C" w:rsidR="008E300B" w:rsidRPr="00397E0B" w:rsidRDefault="008E300B" w:rsidP="0042350D">
            <w:pPr>
              <w:cnfStyle w:val="000000000000" w:firstRow="0" w:lastRow="0" w:firstColumn="0" w:lastColumn="0" w:oddVBand="0" w:evenVBand="0" w:oddHBand="0" w:evenHBand="0" w:firstRowFirstColumn="0" w:firstRowLastColumn="0" w:lastRowFirstColumn="0" w:lastRowLastColumn="0"/>
              <w:rPr>
                <w:sz w:val="20"/>
                <w:szCs w:val="22"/>
              </w:rPr>
            </w:pPr>
            <w:r w:rsidRPr="006E5D93">
              <w:rPr>
                <w:szCs w:val="22"/>
              </w:rPr>
              <w:t>Manufacturing Quality Branch</w:t>
            </w:r>
          </w:p>
        </w:tc>
        <w:tc>
          <w:tcPr>
            <w:tcW w:w="1808" w:type="dxa"/>
          </w:tcPr>
          <w:p w14:paraId="079F5EEF" w14:textId="166780D8" w:rsidR="008E300B" w:rsidRPr="00397E0B" w:rsidRDefault="006E5D93" w:rsidP="0042350D">
            <w:pPr>
              <w:cnfStyle w:val="000000000000" w:firstRow="0" w:lastRow="0" w:firstColumn="0" w:lastColumn="0" w:oddVBand="0" w:evenVBand="0" w:oddHBand="0" w:evenHBand="0" w:firstRowFirstColumn="0" w:firstRowLastColumn="0" w:lastRowFirstColumn="0" w:lastRowLastColumn="0"/>
              <w:rPr>
                <w:sz w:val="20"/>
                <w:szCs w:val="22"/>
              </w:rPr>
            </w:pPr>
            <w:r w:rsidRPr="006E5D93">
              <w:rPr>
                <w:szCs w:val="22"/>
              </w:rPr>
              <w:t>May</w:t>
            </w:r>
            <w:r w:rsidR="00891D28" w:rsidRPr="006E5D93">
              <w:rPr>
                <w:szCs w:val="22"/>
              </w:rPr>
              <w:t xml:space="preserve"> </w:t>
            </w:r>
            <w:r w:rsidR="008E300B" w:rsidRPr="006E5D93">
              <w:rPr>
                <w:szCs w:val="22"/>
              </w:rPr>
              <w:t>202</w:t>
            </w:r>
            <w:r w:rsidR="00891D28" w:rsidRPr="006E5D93">
              <w:rPr>
                <w:szCs w:val="22"/>
              </w:rPr>
              <w:t>5</w:t>
            </w:r>
          </w:p>
        </w:tc>
      </w:tr>
    </w:tbl>
    <w:p w14:paraId="4DFD3A19" w14:textId="77777777" w:rsidR="00B528AB" w:rsidRPr="00DD3815" w:rsidRDefault="00B528AB" w:rsidP="00DE1DA6">
      <w:pPr>
        <w:pStyle w:val="LegalSubheading"/>
        <w:rPr>
          <w:b/>
          <w:bCs/>
        </w:rPr>
      </w:pPr>
    </w:p>
    <w:sectPr w:rsidR="00B528AB" w:rsidRPr="00DD3815" w:rsidSect="00537B47">
      <w:headerReference w:type="default" r:id="rId83"/>
      <w:footerReference w:type="default" r:id="rId84"/>
      <w:footerReference w:type="first" r:id="rId8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2280" w14:textId="77777777" w:rsidR="00F14F74" w:rsidRDefault="00F14F74" w:rsidP="00537B47">
      <w:pPr>
        <w:spacing w:after="0" w:line="240" w:lineRule="auto"/>
      </w:pPr>
      <w:r>
        <w:separator/>
      </w:r>
    </w:p>
  </w:endnote>
  <w:endnote w:type="continuationSeparator" w:id="0">
    <w:p w14:paraId="75C3E943" w14:textId="77777777" w:rsidR="00F14F74" w:rsidRDefault="00F14F74"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5D4A" w14:textId="77777777" w:rsidR="00397E0B" w:rsidRPr="00DD3815" w:rsidRDefault="00397E0B" w:rsidP="00397E0B">
    <w:pPr>
      <w:pStyle w:val="Footer"/>
    </w:pPr>
    <w:r>
      <w:rPr>
        <w:noProof/>
      </w:rPr>
      <mc:AlternateContent>
        <mc:Choice Requires="wps">
          <w:drawing>
            <wp:anchor distT="0" distB="0" distL="114300" distR="114300" simplePos="0" relativeHeight="251659264" behindDoc="0" locked="0" layoutInCell="1" allowOverlap="1" wp14:anchorId="13A383A6" wp14:editId="02FE40F7">
              <wp:simplePos x="0" y="0"/>
              <wp:positionH relativeFrom="column">
                <wp:posOffset>9525</wp:posOffset>
              </wp:positionH>
              <wp:positionV relativeFrom="paragraph">
                <wp:posOffset>-59690</wp:posOffset>
              </wp:positionV>
              <wp:extent cx="579120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4D816B" id="Straight Connector 8"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Pr="00097DF5">
      <w:t>How to obtain GMP clearance through inspection reliance</w:t>
    </w:r>
  </w:p>
  <w:p w14:paraId="7AF49275" w14:textId="77777777" w:rsidR="00397E0B" w:rsidRPr="00DD3815" w:rsidRDefault="00397E0B" w:rsidP="00397E0B">
    <w:pPr>
      <w:pStyle w:val="Footer"/>
    </w:pPr>
    <w:r w:rsidRPr="00B54E3A">
      <w:t>V18.</w:t>
    </w:r>
    <w:r>
      <w:t>6</w:t>
    </w:r>
    <w:r w:rsidRPr="00B54E3A">
      <w:t xml:space="preserve"> </w:t>
    </w:r>
    <w:r>
      <w:t>May 2025</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t>2</w:t>
    </w:r>
    <w:r w:rsidRPr="00DD3815">
      <w:fldChar w:fldCharType="end"/>
    </w:r>
    <w:r w:rsidRPr="00DD3815">
      <w:t xml:space="preserve"> of </w:t>
    </w:r>
    <w:r>
      <w:fldChar w:fldCharType="begin"/>
    </w:r>
    <w:r>
      <w:instrText xml:space="preserve"> NUMPAGES  \* Arabic  \* MERGEFORMAT </w:instrText>
    </w:r>
    <w:r>
      <w:fldChar w:fldCharType="separate"/>
    </w:r>
    <w:r>
      <w:t>49</w:t>
    </w:r>
    <w:r>
      <w:fldChar w:fldCharType="end"/>
    </w:r>
  </w:p>
  <w:p w14:paraId="042EA136" w14:textId="77777777" w:rsidR="00397E0B" w:rsidRDefault="00397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44920391" w14:textId="77777777" w:rsidTr="00574690">
      <w:trPr>
        <w:trHeight w:hRule="exact" w:val="565"/>
        <w:jc w:val="center"/>
      </w:trPr>
      <w:tc>
        <w:tcPr>
          <w:tcW w:w="9145" w:type="dxa"/>
        </w:tcPr>
        <w:p w14:paraId="4654F6EF" w14:textId="77777777" w:rsidR="00B528AB" w:rsidRPr="00215D48" w:rsidRDefault="00B528AB" w:rsidP="00B528AB">
          <w:pPr>
            <w:pStyle w:val="TGASignoff"/>
          </w:pPr>
          <w:r w:rsidRPr="00215D48">
            <w:t>Therapeutic Goods Administration</w:t>
          </w:r>
        </w:p>
      </w:tc>
    </w:tr>
    <w:tr w:rsidR="00B528AB" w:rsidRPr="00215D48" w14:paraId="74909264" w14:textId="77777777" w:rsidTr="00574690">
      <w:trPr>
        <w:trHeight w:val="963"/>
        <w:jc w:val="center"/>
      </w:trPr>
      <w:tc>
        <w:tcPr>
          <w:tcW w:w="9145" w:type="dxa"/>
          <w:tcMar>
            <w:top w:w="28" w:type="dxa"/>
          </w:tcMar>
        </w:tcPr>
        <w:p w14:paraId="309FBC3A" w14:textId="77777777" w:rsidR="00B528AB" w:rsidRPr="00215D48" w:rsidRDefault="00B528AB" w:rsidP="00B528AB">
          <w:pPr>
            <w:pStyle w:val="Address"/>
            <w:jc w:val="center"/>
          </w:pPr>
          <w:r w:rsidRPr="00215D48">
            <w:t>PO Box 100 Woden ACT 2606 Australia</w:t>
          </w:r>
        </w:p>
        <w:p w14:paraId="7B04BBC8"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7FA4E921"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4BF1D64A" w14:textId="77777777" w:rsidTr="00574690">
      <w:trPr>
        <w:trHeight w:val="251"/>
        <w:jc w:val="center"/>
      </w:trPr>
      <w:tc>
        <w:tcPr>
          <w:tcW w:w="9145" w:type="dxa"/>
          <w:tcMar>
            <w:top w:w="28" w:type="dxa"/>
          </w:tcMar>
        </w:tcPr>
        <w:p w14:paraId="694D0CD2" w14:textId="77777777" w:rsidR="00B528AB" w:rsidRPr="00215D48" w:rsidRDefault="00B528AB" w:rsidP="00B528AB">
          <w:pPr>
            <w:pStyle w:val="Address"/>
            <w:jc w:val="center"/>
          </w:pPr>
          <w:r w:rsidRPr="00215D48">
            <w:t>Reference/Publication #</w:t>
          </w:r>
        </w:p>
      </w:tc>
    </w:tr>
  </w:tbl>
  <w:p w14:paraId="17B6B458"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F1DD" w14:textId="77777777" w:rsidR="00F14F74" w:rsidRDefault="00F14F74" w:rsidP="00537B47">
      <w:pPr>
        <w:spacing w:after="0" w:line="240" w:lineRule="auto"/>
      </w:pPr>
      <w:r>
        <w:separator/>
      </w:r>
    </w:p>
  </w:footnote>
  <w:footnote w:type="continuationSeparator" w:id="0">
    <w:p w14:paraId="4001BB8B" w14:textId="77777777" w:rsidR="00F14F74" w:rsidRDefault="00F14F74" w:rsidP="00537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28E4" w14:textId="77777777" w:rsidR="00397E0B" w:rsidRDefault="00397E0B" w:rsidP="00397E0B">
    <w:pPr>
      <w:pStyle w:val="Header"/>
      <w:tabs>
        <w:tab w:val="left" w:pos="8115"/>
      </w:tabs>
    </w:pPr>
    <w:r>
      <w:t>Therapeutic Goods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D348CA"/>
    <w:multiLevelType w:val="hybridMultilevel"/>
    <w:tmpl w:val="6D7815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34D65D16"/>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27757ED5"/>
    <w:multiLevelType w:val="hybridMultilevel"/>
    <w:tmpl w:val="F8544784"/>
    <w:lvl w:ilvl="0" w:tplc="8818612A">
      <w:start w:val="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9C2996"/>
    <w:multiLevelType w:val="hybridMultilevel"/>
    <w:tmpl w:val="58CCE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467A31"/>
    <w:multiLevelType w:val="hybridMultilevel"/>
    <w:tmpl w:val="DD7ED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ED0F2A"/>
    <w:multiLevelType w:val="hybridMultilevel"/>
    <w:tmpl w:val="BF9C6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63C3E1"/>
    <w:multiLevelType w:val="hybridMultilevel"/>
    <w:tmpl w:val="0A5E0E9C"/>
    <w:lvl w:ilvl="0" w:tplc="BC361B98">
      <w:start w:val="1"/>
      <w:numFmt w:val="bullet"/>
      <w:lvlText w:val=""/>
      <w:lvlJc w:val="left"/>
      <w:pPr>
        <w:ind w:left="720" w:hanging="360"/>
      </w:pPr>
      <w:rPr>
        <w:rFonts w:ascii="Symbol" w:hAnsi="Symbol" w:hint="default"/>
      </w:rPr>
    </w:lvl>
    <w:lvl w:ilvl="1" w:tplc="DF740D42">
      <w:start w:val="1"/>
      <w:numFmt w:val="bullet"/>
      <w:lvlText w:val="o"/>
      <w:lvlJc w:val="left"/>
      <w:pPr>
        <w:ind w:left="1440" w:hanging="360"/>
      </w:pPr>
      <w:rPr>
        <w:rFonts w:ascii="Courier New" w:hAnsi="Courier New" w:hint="default"/>
      </w:rPr>
    </w:lvl>
    <w:lvl w:ilvl="2" w:tplc="1CC2B06A">
      <w:start w:val="1"/>
      <w:numFmt w:val="bullet"/>
      <w:lvlText w:val=""/>
      <w:lvlJc w:val="left"/>
      <w:pPr>
        <w:ind w:left="2160" w:hanging="360"/>
      </w:pPr>
      <w:rPr>
        <w:rFonts w:ascii="Wingdings" w:hAnsi="Wingdings" w:hint="default"/>
      </w:rPr>
    </w:lvl>
    <w:lvl w:ilvl="3" w:tplc="4E08FAB0">
      <w:start w:val="1"/>
      <w:numFmt w:val="bullet"/>
      <w:lvlText w:val=""/>
      <w:lvlJc w:val="left"/>
      <w:pPr>
        <w:ind w:left="2880" w:hanging="360"/>
      </w:pPr>
      <w:rPr>
        <w:rFonts w:ascii="Symbol" w:hAnsi="Symbol" w:hint="default"/>
      </w:rPr>
    </w:lvl>
    <w:lvl w:ilvl="4" w:tplc="CDC0DA3A">
      <w:start w:val="1"/>
      <w:numFmt w:val="bullet"/>
      <w:lvlText w:val="o"/>
      <w:lvlJc w:val="left"/>
      <w:pPr>
        <w:ind w:left="3600" w:hanging="360"/>
      </w:pPr>
      <w:rPr>
        <w:rFonts w:ascii="Courier New" w:hAnsi="Courier New" w:hint="default"/>
      </w:rPr>
    </w:lvl>
    <w:lvl w:ilvl="5" w:tplc="93E2BB6C">
      <w:start w:val="1"/>
      <w:numFmt w:val="bullet"/>
      <w:lvlText w:val=""/>
      <w:lvlJc w:val="left"/>
      <w:pPr>
        <w:ind w:left="4320" w:hanging="360"/>
      </w:pPr>
      <w:rPr>
        <w:rFonts w:ascii="Wingdings" w:hAnsi="Wingdings" w:hint="default"/>
      </w:rPr>
    </w:lvl>
    <w:lvl w:ilvl="6" w:tplc="A798F982">
      <w:start w:val="1"/>
      <w:numFmt w:val="bullet"/>
      <w:lvlText w:val=""/>
      <w:lvlJc w:val="left"/>
      <w:pPr>
        <w:ind w:left="5040" w:hanging="360"/>
      </w:pPr>
      <w:rPr>
        <w:rFonts w:ascii="Symbol" w:hAnsi="Symbol" w:hint="default"/>
      </w:rPr>
    </w:lvl>
    <w:lvl w:ilvl="7" w:tplc="97D09DD4">
      <w:start w:val="1"/>
      <w:numFmt w:val="bullet"/>
      <w:lvlText w:val="o"/>
      <w:lvlJc w:val="left"/>
      <w:pPr>
        <w:ind w:left="5760" w:hanging="360"/>
      </w:pPr>
      <w:rPr>
        <w:rFonts w:ascii="Courier New" w:hAnsi="Courier New" w:hint="default"/>
      </w:rPr>
    </w:lvl>
    <w:lvl w:ilvl="8" w:tplc="5060048C">
      <w:start w:val="1"/>
      <w:numFmt w:val="bullet"/>
      <w:lvlText w:val=""/>
      <w:lvlJc w:val="left"/>
      <w:pPr>
        <w:ind w:left="6480" w:hanging="360"/>
      </w:pPr>
      <w:rPr>
        <w:rFonts w:ascii="Wingdings" w:hAnsi="Wingdings" w:hint="default"/>
      </w:rPr>
    </w:lvl>
  </w:abstractNum>
  <w:abstractNum w:abstractNumId="14" w15:restartNumberingAfterBreak="0">
    <w:nsid w:val="46BD8CF6"/>
    <w:multiLevelType w:val="hybridMultilevel"/>
    <w:tmpl w:val="E214B0D6"/>
    <w:lvl w:ilvl="0" w:tplc="9B06AD98">
      <w:start w:val="1"/>
      <w:numFmt w:val="decimal"/>
      <w:lvlText w:val="%1."/>
      <w:lvlJc w:val="left"/>
      <w:pPr>
        <w:ind w:left="720" w:hanging="360"/>
      </w:pPr>
    </w:lvl>
    <w:lvl w:ilvl="1" w:tplc="2B84C904">
      <w:start w:val="1"/>
      <w:numFmt w:val="lowerLetter"/>
      <w:lvlText w:val="%2."/>
      <w:lvlJc w:val="left"/>
      <w:pPr>
        <w:ind w:left="1440" w:hanging="360"/>
      </w:pPr>
    </w:lvl>
    <w:lvl w:ilvl="2" w:tplc="19369D9C">
      <w:start w:val="1"/>
      <w:numFmt w:val="lowerRoman"/>
      <w:lvlText w:val="%3."/>
      <w:lvlJc w:val="right"/>
      <w:pPr>
        <w:ind w:left="2160" w:hanging="180"/>
      </w:pPr>
    </w:lvl>
    <w:lvl w:ilvl="3" w:tplc="FEFCB60A">
      <w:start w:val="1"/>
      <w:numFmt w:val="decimal"/>
      <w:lvlText w:val="%4."/>
      <w:lvlJc w:val="left"/>
      <w:pPr>
        <w:ind w:left="2880" w:hanging="360"/>
      </w:pPr>
    </w:lvl>
    <w:lvl w:ilvl="4" w:tplc="200A7F06">
      <w:start w:val="1"/>
      <w:numFmt w:val="lowerLetter"/>
      <w:lvlText w:val="%5."/>
      <w:lvlJc w:val="left"/>
      <w:pPr>
        <w:ind w:left="3600" w:hanging="360"/>
      </w:pPr>
    </w:lvl>
    <w:lvl w:ilvl="5" w:tplc="A9BC373C">
      <w:start w:val="1"/>
      <w:numFmt w:val="lowerRoman"/>
      <w:lvlText w:val="%6."/>
      <w:lvlJc w:val="right"/>
      <w:pPr>
        <w:ind w:left="4320" w:hanging="180"/>
      </w:pPr>
    </w:lvl>
    <w:lvl w:ilvl="6" w:tplc="769CD4CA">
      <w:start w:val="1"/>
      <w:numFmt w:val="decimal"/>
      <w:lvlText w:val="%7."/>
      <w:lvlJc w:val="left"/>
      <w:pPr>
        <w:ind w:left="5040" w:hanging="360"/>
      </w:pPr>
    </w:lvl>
    <w:lvl w:ilvl="7" w:tplc="F5C4EA44">
      <w:start w:val="1"/>
      <w:numFmt w:val="lowerLetter"/>
      <w:lvlText w:val="%8."/>
      <w:lvlJc w:val="left"/>
      <w:pPr>
        <w:ind w:left="5760" w:hanging="360"/>
      </w:pPr>
    </w:lvl>
    <w:lvl w:ilvl="8" w:tplc="FAF06CE6">
      <w:start w:val="1"/>
      <w:numFmt w:val="lowerRoman"/>
      <w:lvlText w:val="%9."/>
      <w:lvlJc w:val="right"/>
      <w:pPr>
        <w:ind w:left="6480" w:hanging="180"/>
      </w:pPr>
    </w:lvl>
  </w:abstractNum>
  <w:abstractNum w:abstractNumId="15" w15:restartNumberingAfterBreak="0">
    <w:nsid w:val="4DBA143B"/>
    <w:multiLevelType w:val="hybridMultilevel"/>
    <w:tmpl w:val="920EC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7912C9"/>
    <w:multiLevelType w:val="multilevel"/>
    <w:tmpl w:val="BE64A0C0"/>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70D4B22"/>
    <w:multiLevelType w:val="multilevel"/>
    <w:tmpl w:val="2BCED8F4"/>
    <w:lvl w:ilvl="0">
      <w:start w:val="1"/>
      <w:numFmt w:val="bullet"/>
      <w:lvlText w:val=""/>
      <w:lvlJc w:val="left"/>
      <w:pPr>
        <w:ind w:left="360" w:hanging="360"/>
      </w:pPr>
      <w:rPr>
        <w:rFonts w:ascii="Symbol" w:hAnsi="Symbol" w:hint="default"/>
        <w:sz w:val="18"/>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9A4B9D1"/>
    <w:multiLevelType w:val="hybridMultilevel"/>
    <w:tmpl w:val="6952C5FA"/>
    <w:lvl w:ilvl="0" w:tplc="A1E66974">
      <w:start w:val="1"/>
      <w:numFmt w:val="bullet"/>
      <w:lvlText w:val=""/>
      <w:lvlJc w:val="left"/>
      <w:pPr>
        <w:ind w:left="720" w:hanging="360"/>
      </w:pPr>
      <w:rPr>
        <w:rFonts w:ascii="Symbol" w:hAnsi="Symbol" w:hint="default"/>
      </w:rPr>
    </w:lvl>
    <w:lvl w:ilvl="1" w:tplc="E962F982">
      <w:start w:val="1"/>
      <w:numFmt w:val="bullet"/>
      <w:lvlText w:val="o"/>
      <w:lvlJc w:val="left"/>
      <w:pPr>
        <w:ind w:left="1440" w:hanging="360"/>
      </w:pPr>
      <w:rPr>
        <w:rFonts w:ascii="Courier New" w:hAnsi="Courier New" w:hint="default"/>
      </w:rPr>
    </w:lvl>
    <w:lvl w:ilvl="2" w:tplc="AC524370">
      <w:start w:val="1"/>
      <w:numFmt w:val="bullet"/>
      <w:lvlText w:val=""/>
      <w:lvlJc w:val="left"/>
      <w:pPr>
        <w:ind w:left="2160" w:hanging="360"/>
      </w:pPr>
      <w:rPr>
        <w:rFonts w:ascii="Wingdings" w:hAnsi="Wingdings" w:hint="default"/>
      </w:rPr>
    </w:lvl>
    <w:lvl w:ilvl="3" w:tplc="78EC5E44">
      <w:start w:val="1"/>
      <w:numFmt w:val="bullet"/>
      <w:lvlText w:val=""/>
      <w:lvlJc w:val="left"/>
      <w:pPr>
        <w:ind w:left="2880" w:hanging="360"/>
      </w:pPr>
      <w:rPr>
        <w:rFonts w:ascii="Symbol" w:hAnsi="Symbol" w:hint="default"/>
      </w:rPr>
    </w:lvl>
    <w:lvl w:ilvl="4" w:tplc="CA5CBBEA">
      <w:start w:val="1"/>
      <w:numFmt w:val="bullet"/>
      <w:lvlText w:val="o"/>
      <w:lvlJc w:val="left"/>
      <w:pPr>
        <w:ind w:left="3600" w:hanging="360"/>
      </w:pPr>
      <w:rPr>
        <w:rFonts w:ascii="Courier New" w:hAnsi="Courier New" w:hint="default"/>
      </w:rPr>
    </w:lvl>
    <w:lvl w:ilvl="5" w:tplc="9CB204DA">
      <w:start w:val="1"/>
      <w:numFmt w:val="bullet"/>
      <w:lvlText w:val=""/>
      <w:lvlJc w:val="left"/>
      <w:pPr>
        <w:ind w:left="4320" w:hanging="360"/>
      </w:pPr>
      <w:rPr>
        <w:rFonts w:ascii="Wingdings" w:hAnsi="Wingdings" w:hint="default"/>
      </w:rPr>
    </w:lvl>
    <w:lvl w:ilvl="6" w:tplc="7E7CDF2A">
      <w:start w:val="1"/>
      <w:numFmt w:val="bullet"/>
      <w:lvlText w:val=""/>
      <w:lvlJc w:val="left"/>
      <w:pPr>
        <w:ind w:left="5040" w:hanging="360"/>
      </w:pPr>
      <w:rPr>
        <w:rFonts w:ascii="Symbol" w:hAnsi="Symbol" w:hint="default"/>
      </w:rPr>
    </w:lvl>
    <w:lvl w:ilvl="7" w:tplc="0D56EBD0">
      <w:start w:val="1"/>
      <w:numFmt w:val="bullet"/>
      <w:lvlText w:val="o"/>
      <w:lvlJc w:val="left"/>
      <w:pPr>
        <w:ind w:left="5760" w:hanging="360"/>
      </w:pPr>
      <w:rPr>
        <w:rFonts w:ascii="Courier New" w:hAnsi="Courier New" w:hint="default"/>
      </w:rPr>
    </w:lvl>
    <w:lvl w:ilvl="8" w:tplc="5384638C">
      <w:start w:val="1"/>
      <w:numFmt w:val="bullet"/>
      <w:lvlText w:val=""/>
      <w:lvlJc w:val="left"/>
      <w:pPr>
        <w:ind w:left="6480" w:hanging="360"/>
      </w:pPr>
      <w:rPr>
        <w:rFonts w:ascii="Wingdings" w:hAnsi="Wingdings" w:hint="default"/>
      </w:rPr>
    </w:lvl>
  </w:abstractNum>
  <w:abstractNum w:abstractNumId="20" w15:restartNumberingAfterBreak="0">
    <w:nsid w:val="5B7CF781"/>
    <w:multiLevelType w:val="hybridMultilevel"/>
    <w:tmpl w:val="48D6B482"/>
    <w:lvl w:ilvl="0" w:tplc="4BE61BA2">
      <w:start w:val="1"/>
      <w:numFmt w:val="decimal"/>
      <w:lvlText w:val="%1."/>
      <w:lvlJc w:val="left"/>
      <w:pPr>
        <w:ind w:left="720" w:hanging="360"/>
      </w:pPr>
    </w:lvl>
    <w:lvl w:ilvl="1" w:tplc="A0A0A0A4">
      <w:start w:val="1"/>
      <w:numFmt w:val="lowerLetter"/>
      <w:lvlText w:val="%2."/>
      <w:lvlJc w:val="left"/>
      <w:pPr>
        <w:ind w:left="1440" w:hanging="360"/>
      </w:pPr>
    </w:lvl>
    <w:lvl w:ilvl="2" w:tplc="2A3E0EA0">
      <w:start w:val="1"/>
      <w:numFmt w:val="lowerRoman"/>
      <w:lvlText w:val="%3."/>
      <w:lvlJc w:val="right"/>
      <w:pPr>
        <w:ind w:left="2160" w:hanging="180"/>
      </w:pPr>
    </w:lvl>
    <w:lvl w:ilvl="3" w:tplc="65223404">
      <w:start w:val="1"/>
      <w:numFmt w:val="decimal"/>
      <w:lvlText w:val="%4."/>
      <w:lvlJc w:val="left"/>
      <w:pPr>
        <w:ind w:left="2880" w:hanging="360"/>
      </w:pPr>
    </w:lvl>
    <w:lvl w:ilvl="4" w:tplc="C81A4270">
      <w:start w:val="1"/>
      <w:numFmt w:val="lowerLetter"/>
      <w:lvlText w:val="%5."/>
      <w:lvlJc w:val="left"/>
      <w:pPr>
        <w:ind w:left="3600" w:hanging="360"/>
      </w:pPr>
    </w:lvl>
    <w:lvl w:ilvl="5" w:tplc="46B4E9C2">
      <w:start w:val="1"/>
      <w:numFmt w:val="lowerRoman"/>
      <w:lvlText w:val="%6."/>
      <w:lvlJc w:val="right"/>
      <w:pPr>
        <w:ind w:left="4320" w:hanging="180"/>
      </w:pPr>
    </w:lvl>
    <w:lvl w:ilvl="6" w:tplc="343AE694">
      <w:start w:val="1"/>
      <w:numFmt w:val="decimal"/>
      <w:lvlText w:val="%7."/>
      <w:lvlJc w:val="left"/>
      <w:pPr>
        <w:ind w:left="5040" w:hanging="360"/>
      </w:pPr>
    </w:lvl>
    <w:lvl w:ilvl="7" w:tplc="3A740568">
      <w:start w:val="1"/>
      <w:numFmt w:val="lowerLetter"/>
      <w:lvlText w:val="%8."/>
      <w:lvlJc w:val="left"/>
      <w:pPr>
        <w:ind w:left="5760" w:hanging="360"/>
      </w:pPr>
    </w:lvl>
    <w:lvl w:ilvl="8" w:tplc="E6EA5FD0">
      <w:start w:val="1"/>
      <w:numFmt w:val="lowerRoman"/>
      <w:lvlText w:val="%9."/>
      <w:lvlJc w:val="right"/>
      <w:pPr>
        <w:ind w:left="6480" w:hanging="180"/>
      </w:pPr>
    </w:lvl>
  </w:abstractNum>
  <w:abstractNum w:abstractNumId="21" w15:restartNumberingAfterBreak="0">
    <w:nsid w:val="5E466CA7"/>
    <w:multiLevelType w:val="hybridMultilevel"/>
    <w:tmpl w:val="062E69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530B7E"/>
    <w:multiLevelType w:val="hybridMultilevel"/>
    <w:tmpl w:val="1892F8F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3" w15:restartNumberingAfterBreak="0">
    <w:nsid w:val="60D357C8"/>
    <w:multiLevelType w:val="hybridMultilevel"/>
    <w:tmpl w:val="D4E84D98"/>
    <w:lvl w:ilvl="0" w:tplc="16BC718E">
      <w:numFmt w:val="bullet"/>
      <w:lvlText w:val=""/>
      <w:lvlJc w:val="left"/>
      <w:pPr>
        <w:ind w:left="720" w:hanging="360"/>
      </w:pPr>
      <w:rPr>
        <w:rFonts w:ascii="Symbol" w:eastAsia="Cambr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5720DEF"/>
    <w:multiLevelType w:val="hybridMultilevel"/>
    <w:tmpl w:val="5DCE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C228F2"/>
    <w:multiLevelType w:val="hybridMultilevel"/>
    <w:tmpl w:val="0464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E73293"/>
    <w:multiLevelType w:val="hybridMultilevel"/>
    <w:tmpl w:val="E00A6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162207"/>
    <w:multiLevelType w:val="hybridMultilevel"/>
    <w:tmpl w:val="46FEE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8005615">
    <w:abstractNumId w:val="2"/>
  </w:num>
  <w:num w:numId="2" w16cid:durableId="1619722748">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3" w16cid:durableId="775516407">
    <w:abstractNumId w:val="5"/>
  </w:num>
  <w:num w:numId="4" w16cid:durableId="832263938">
    <w:abstractNumId w:val="3"/>
  </w:num>
  <w:num w:numId="5" w16cid:durableId="949240819">
    <w:abstractNumId w:val="8"/>
  </w:num>
  <w:num w:numId="6" w16cid:durableId="1394430385">
    <w:abstractNumId w:val="16"/>
  </w:num>
  <w:num w:numId="7" w16cid:durableId="1987856484">
    <w:abstractNumId w:val="1"/>
  </w:num>
  <w:num w:numId="8" w16cid:durableId="272321225">
    <w:abstractNumId w:val="7"/>
  </w:num>
  <w:num w:numId="9" w16cid:durableId="1312901521">
    <w:abstractNumId w:val="0"/>
  </w:num>
  <w:num w:numId="10" w16cid:durableId="1237134970">
    <w:abstractNumId w:val="6"/>
  </w:num>
  <w:num w:numId="11" w16cid:durableId="1334145500">
    <w:abstractNumId w:val="7"/>
  </w:num>
  <w:num w:numId="12" w16cid:durableId="330333238">
    <w:abstractNumId w:val="5"/>
  </w:num>
  <w:num w:numId="13" w16cid:durableId="692075244">
    <w:abstractNumId w:val="17"/>
  </w:num>
  <w:num w:numId="14" w16cid:durableId="1973898169">
    <w:abstractNumId w:val="5"/>
  </w:num>
  <w:num w:numId="15" w16cid:durableId="871963588">
    <w:abstractNumId w:val="20"/>
  </w:num>
  <w:num w:numId="16" w16cid:durableId="1408453321">
    <w:abstractNumId w:val="14"/>
  </w:num>
  <w:num w:numId="17" w16cid:durableId="1254320081">
    <w:abstractNumId w:val="13"/>
  </w:num>
  <w:num w:numId="18" w16cid:durableId="747259">
    <w:abstractNumId w:val="19"/>
  </w:num>
  <w:num w:numId="19" w16cid:durableId="74787985">
    <w:abstractNumId w:val="21"/>
  </w:num>
  <w:num w:numId="20" w16cid:durableId="946354316">
    <w:abstractNumId w:val="7"/>
  </w:num>
  <w:num w:numId="21" w16cid:durableId="1315529172">
    <w:abstractNumId w:val="7"/>
  </w:num>
  <w:num w:numId="22" w16cid:durableId="1076516438">
    <w:abstractNumId w:val="7"/>
  </w:num>
  <w:num w:numId="23" w16cid:durableId="1853451054">
    <w:abstractNumId w:val="23"/>
  </w:num>
  <w:num w:numId="24" w16cid:durableId="1134634851">
    <w:abstractNumId w:val="7"/>
  </w:num>
  <w:num w:numId="25" w16cid:durableId="1018044984">
    <w:abstractNumId w:val="25"/>
  </w:num>
  <w:num w:numId="26" w16cid:durableId="579297278">
    <w:abstractNumId w:val="7"/>
  </w:num>
  <w:num w:numId="27" w16cid:durableId="1657148426">
    <w:abstractNumId w:val="26"/>
  </w:num>
  <w:num w:numId="28" w16cid:durableId="1089887654">
    <w:abstractNumId w:val="7"/>
  </w:num>
  <w:num w:numId="29" w16cid:durableId="1616474296">
    <w:abstractNumId w:val="7"/>
  </w:num>
  <w:num w:numId="30" w16cid:durableId="434515943">
    <w:abstractNumId w:val="7"/>
  </w:num>
  <w:num w:numId="31" w16cid:durableId="466974242">
    <w:abstractNumId w:val="7"/>
  </w:num>
  <w:num w:numId="32" w16cid:durableId="296498269">
    <w:abstractNumId w:val="7"/>
  </w:num>
  <w:num w:numId="33" w16cid:durableId="1318729911">
    <w:abstractNumId w:val="7"/>
  </w:num>
  <w:num w:numId="34" w16cid:durableId="533537797">
    <w:abstractNumId w:val="7"/>
  </w:num>
  <w:num w:numId="35" w16cid:durableId="384837581">
    <w:abstractNumId w:val="18"/>
  </w:num>
  <w:num w:numId="36" w16cid:durableId="829567158">
    <w:abstractNumId w:val="4"/>
  </w:num>
  <w:num w:numId="37" w16cid:durableId="943731008">
    <w:abstractNumId w:val="10"/>
  </w:num>
  <w:num w:numId="38" w16cid:durableId="1805537561">
    <w:abstractNumId w:val="27"/>
  </w:num>
  <w:num w:numId="39" w16cid:durableId="1020624465">
    <w:abstractNumId w:val="11"/>
  </w:num>
  <w:num w:numId="40" w16cid:durableId="413206393">
    <w:abstractNumId w:val="24"/>
  </w:num>
  <w:num w:numId="41" w16cid:durableId="1474516495">
    <w:abstractNumId w:val="15"/>
  </w:num>
  <w:num w:numId="42" w16cid:durableId="1499274066">
    <w:abstractNumId w:val="9"/>
  </w:num>
  <w:num w:numId="43" w16cid:durableId="1235164290">
    <w:abstractNumId w:val="22"/>
  </w:num>
  <w:num w:numId="44" w16cid:durableId="1072967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234"/>
    <w:rsid w:val="00010304"/>
    <w:rsid w:val="00014382"/>
    <w:rsid w:val="00020FAC"/>
    <w:rsid w:val="00024AC0"/>
    <w:rsid w:val="000351A0"/>
    <w:rsid w:val="00042367"/>
    <w:rsid w:val="00051D9D"/>
    <w:rsid w:val="0006049A"/>
    <w:rsid w:val="00090011"/>
    <w:rsid w:val="0009185E"/>
    <w:rsid w:val="0009192C"/>
    <w:rsid w:val="00097DF5"/>
    <w:rsid w:val="000A1953"/>
    <w:rsid w:val="000A48BD"/>
    <w:rsid w:val="000A621B"/>
    <w:rsid w:val="000B276E"/>
    <w:rsid w:val="000B2AB6"/>
    <w:rsid w:val="000B576F"/>
    <w:rsid w:val="000B7E35"/>
    <w:rsid w:val="000C3F2A"/>
    <w:rsid w:val="000C4CF3"/>
    <w:rsid w:val="000E7EF5"/>
    <w:rsid w:val="000F3727"/>
    <w:rsid w:val="00104F02"/>
    <w:rsid w:val="00111F7B"/>
    <w:rsid w:val="001243E3"/>
    <w:rsid w:val="001252E8"/>
    <w:rsid w:val="00132F60"/>
    <w:rsid w:val="001409B1"/>
    <w:rsid w:val="00143ADF"/>
    <w:rsid w:val="001469CA"/>
    <w:rsid w:val="001642C8"/>
    <w:rsid w:val="00165CB8"/>
    <w:rsid w:val="0018203D"/>
    <w:rsid w:val="00183F69"/>
    <w:rsid w:val="001850D6"/>
    <w:rsid w:val="001A0A6D"/>
    <w:rsid w:val="001A123B"/>
    <w:rsid w:val="001B539E"/>
    <w:rsid w:val="001C199B"/>
    <w:rsid w:val="001C3493"/>
    <w:rsid w:val="001D26FA"/>
    <w:rsid w:val="001E282A"/>
    <w:rsid w:val="001F6178"/>
    <w:rsid w:val="0020324F"/>
    <w:rsid w:val="00225CC4"/>
    <w:rsid w:val="00232ADE"/>
    <w:rsid w:val="00235904"/>
    <w:rsid w:val="00236868"/>
    <w:rsid w:val="00237BDA"/>
    <w:rsid w:val="002458FC"/>
    <w:rsid w:val="00292402"/>
    <w:rsid w:val="002A04EE"/>
    <w:rsid w:val="002A0D54"/>
    <w:rsid w:val="002A3D6E"/>
    <w:rsid w:val="002B05AD"/>
    <w:rsid w:val="002D5C6E"/>
    <w:rsid w:val="002D6750"/>
    <w:rsid w:val="002D6AF7"/>
    <w:rsid w:val="002F36F6"/>
    <w:rsid w:val="00301213"/>
    <w:rsid w:val="00306D5A"/>
    <w:rsid w:val="0033307F"/>
    <w:rsid w:val="0034514D"/>
    <w:rsid w:val="003552A1"/>
    <w:rsid w:val="00356BF3"/>
    <w:rsid w:val="00363421"/>
    <w:rsid w:val="0037659A"/>
    <w:rsid w:val="00377632"/>
    <w:rsid w:val="00390234"/>
    <w:rsid w:val="00395E67"/>
    <w:rsid w:val="00397E0B"/>
    <w:rsid w:val="003A3ABF"/>
    <w:rsid w:val="003A3CA0"/>
    <w:rsid w:val="003B0694"/>
    <w:rsid w:val="003B5B84"/>
    <w:rsid w:val="003B7B19"/>
    <w:rsid w:val="003E384A"/>
    <w:rsid w:val="003F1D36"/>
    <w:rsid w:val="003F2692"/>
    <w:rsid w:val="004268EB"/>
    <w:rsid w:val="00441256"/>
    <w:rsid w:val="00443E3D"/>
    <w:rsid w:val="00444FF3"/>
    <w:rsid w:val="00450C6E"/>
    <w:rsid w:val="00452189"/>
    <w:rsid w:val="004561CE"/>
    <w:rsid w:val="00456410"/>
    <w:rsid w:val="00465914"/>
    <w:rsid w:val="0046747F"/>
    <w:rsid w:val="004730A0"/>
    <w:rsid w:val="00490B41"/>
    <w:rsid w:val="00490E85"/>
    <w:rsid w:val="004A64FB"/>
    <w:rsid w:val="004B07C1"/>
    <w:rsid w:val="004B33AA"/>
    <w:rsid w:val="004E0617"/>
    <w:rsid w:val="004E2F19"/>
    <w:rsid w:val="004E6BDF"/>
    <w:rsid w:val="004F1E0B"/>
    <w:rsid w:val="004F7F0E"/>
    <w:rsid w:val="00510B98"/>
    <w:rsid w:val="00511D42"/>
    <w:rsid w:val="005122FE"/>
    <w:rsid w:val="00515D47"/>
    <w:rsid w:val="0052684F"/>
    <w:rsid w:val="00534DAD"/>
    <w:rsid w:val="005362F5"/>
    <w:rsid w:val="00536E2D"/>
    <w:rsid w:val="00537B47"/>
    <w:rsid w:val="00560145"/>
    <w:rsid w:val="005608EC"/>
    <w:rsid w:val="00574AB1"/>
    <w:rsid w:val="00577B54"/>
    <w:rsid w:val="0058067A"/>
    <w:rsid w:val="0058362B"/>
    <w:rsid w:val="005841F1"/>
    <w:rsid w:val="005846A7"/>
    <w:rsid w:val="0058575E"/>
    <w:rsid w:val="00587DE0"/>
    <w:rsid w:val="0059349E"/>
    <w:rsid w:val="005A4768"/>
    <w:rsid w:val="005A6211"/>
    <w:rsid w:val="005B71D8"/>
    <w:rsid w:val="005C040C"/>
    <w:rsid w:val="005D5800"/>
    <w:rsid w:val="005E5321"/>
    <w:rsid w:val="005F6958"/>
    <w:rsid w:val="00604D08"/>
    <w:rsid w:val="00606DF3"/>
    <w:rsid w:val="00617E67"/>
    <w:rsid w:val="00624AF0"/>
    <w:rsid w:val="00625B98"/>
    <w:rsid w:val="006411D1"/>
    <w:rsid w:val="006523C8"/>
    <w:rsid w:val="00662389"/>
    <w:rsid w:val="00680B64"/>
    <w:rsid w:val="00696633"/>
    <w:rsid w:val="00696DEB"/>
    <w:rsid w:val="006A3525"/>
    <w:rsid w:val="006B19D8"/>
    <w:rsid w:val="006E5D93"/>
    <w:rsid w:val="0071619F"/>
    <w:rsid w:val="00724456"/>
    <w:rsid w:val="00735EA6"/>
    <w:rsid w:val="00741C25"/>
    <w:rsid w:val="0075581D"/>
    <w:rsid w:val="00755994"/>
    <w:rsid w:val="007633FE"/>
    <w:rsid w:val="00773CC5"/>
    <w:rsid w:val="0077509B"/>
    <w:rsid w:val="007759CE"/>
    <w:rsid w:val="00781015"/>
    <w:rsid w:val="0079281D"/>
    <w:rsid w:val="007B514D"/>
    <w:rsid w:val="007B65FF"/>
    <w:rsid w:val="007B715D"/>
    <w:rsid w:val="007C5D36"/>
    <w:rsid w:val="007C66BD"/>
    <w:rsid w:val="007D4767"/>
    <w:rsid w:val="007E414A"/>
    <w:rsid w:val="007F0A77"/>
    <w:rsid w:val="007F0FF9"/>
    <w:rsid w:val="007F1C38"/>
    <w:rsid w:val="007F5F27"/>
    <w:rsid w:val="008074F6"/>
    <w:rsid w:val="008157A6"/>
    <w:rsid w:val="00820CF4"/>
    <w:rsid w:val="00830C91"/>
    <w:rsid w:val="00841273"/>
    <w:rsid w:val="00861E35"/>
    <w:rsid w:val="0086332D"/>
    <w:rsid w:val="00867BDF"/>
    <w:rsid w:val="00877F5C"/>
    <w:rsid w:val="0088040A"/>
    <w:rsid w:val="00883544"/>
    <w:rsid w:val="00890B30"/>
    <w:rsid w:val="00891D28"/>
    <w:rsid w:val="0089410A"/>
    <w:rsid w:val="008955C4"/>
    <w:rsid w:val="00896308"/>
    <w:rsid w:val="008A7C48"/>
    <w:rsid w:val="008B3837"/>
    <w:rsid w:val="008C7764"/>
    <w:rsid w:val="008E23A0"/>
    <w:rsid w:val="008E300B"/>
    <w:rsid w:val="008E6696"/>
    <w:rsid w:val="008E728F"/>
    <w:rsid w:val="008F1D1C"/>
    <w:rsid w:val="00901C87"/>
    <w:rsid w:val="0090279C"/>
    <w:rsid w:val="009027A4"/>
    <w:rsid w:val="00903220"/>
    <w:rsid w:val="00907C5B"/>
    <w:rsid w:val="00910A10"/>
    <w:rsid w:val="00914BCC"/>
    <w:rsid w:val="009242C7"/>
    <w:rsid w:val="00926FC6"/>
    <w:rsid w:val="0095191D"/>
    <w:rsid w:val="00961733"/>
    <w:rsid w:val="00963C8B"/>
    <w:rsid w:val="0096440C"/>
    <w:rsid w:val="00977F26"/>
    <w:rsid w:val="00980E0D"/>
    <w:rsid w:val="00981FD3"/>
    <w:rsid w:val="009841FF"/>
    <w:rsid w:val="0098739F"/>
    <w:rsid w:val="009963E9"/>
    <w:rsid w:val="009A4C15"/>
    <w:rsid w:val="009D3A38"/>
    <w:rsid w:val="009E5715"/>
    <w:rsid w:val="009F0129"/>
    <w:rsid w:val="00A004A3"/>
    <w:rsid w:val="00A0133D"/>
    <w:rsid w:val="00A0468E"/>
    <w:rsid w:val="00A20246"/>
    <w:rsid w:val="00A324E6"/>
    <w:rsid w:val="00A42896"/>
    <w:rsid w:val="00A55555"/>
    <w:rsid w:val="00A6125C"/>
    <w:rsid w:val="00A613AA"/>
    <w:rsid w:val="00A618BE"/>
    <w:rsid w:val="00A74FC8"/>
    <w:rsid w:val="00A82D24"/>
    <w:rsid w:val="00A85A9A"/>
    <w:rsid w:val="00AA3C54"/>
    <w:rsid w:val="00AC2368"/>
    <w:rsid w:val="00AC7654"/>
    <w:rsid w:val="00AD2012"/>
    <w:rsid w:val="00AD7E81"/>
    <w:rsid w:val="00AE378A"/>
    <w:rsid w:val="00AE3E6B"/>
    <w:rsid w:val="00AF15F6"/>
    <w:rsid w:val="00B14E21"/>
    <w:rsid w:val="00B26933"/>
    <w:rsid w:val="00B323DA"/>
    <w:rsid w:val="00B528AB"/>
    <w:rsid w:val="00B54193"/>
    <w:rsid w:val="00B54E3A"/>
    <w:rsid w:val="00B55641"/>
    <w:rsid w:val="00B568C3"/>
    <w:rsid w:val="00B72EE7"/>
    <w:rsid w:val="00B72EFA"/>
    <w:rsid w:val="00B95618"/>
    <w:rsid w:val="00B97DDC"/>
    <w:rsid w:val="00BA2D0A"/>
    <w:rsid w:val="00BA389C"/>
    <w:rsid w:val="00BC31EA"/>
    <w:rsid w:val="00BC4008"/>
    <w:rsid w:val="00BD4E8F"/>
    <w:rsid w:val="00C010CD"/>
    <w:rsid w:val="00C068BF"/>
    <w:rsid w:val="00C11951"/>
    <w:rsid w:val="00C12A2D"/>
    <w:rsid w:val="00C21895"/>
    <w:rsid w:val="00C234CC"/>
    <w:rsid w:val="00C27358"/>
    <w:rsid w:val="00C425EE"/>
    <w:rsid w:val="00C4516E"/>
    <w:rsid w:val="00C45C48"/>
    <w:rsid w:val="00C560AC"/>
    <w:rsid w:val="00C82C12"/>
    <w:rsid w:val="00C82CCE"/>
    <w:rsid w:val="00C952FF"/>
    <w:rsid w:val="00C968DD"/>
    <w:rsid w:val="00CC3276"/>
    <w:rsid w:val="00CC4FFA"/>
    <w:rsid w:val="00CC7255"/>
    <w:rsid w:val="00CD452E"/>
    <w:rsid w:val="00CD57F5"/>
    <w:rsid w:val="00CD7973"/>
    <w:rsid w:val="00CE02C9"/>
    <w:rsid w:val="00CE1145"/>
    <w:rsid w:val="00CE1E1F"/>
    <w:rsid w:val="00CE5485"/>
    <w:rsid w:val="00D01EF9"/>
    <w:rsid w:val="00D02836"/>
    <w:rsid w:val="00D03165"/>
    <w:rsid w:val="00D07199"/>
    <w:rsid w:val="00D13F8A"/>
    <w:rsid w:val="00D302A5"/>
    <w:rsid w:val="00D307E6"/>
    <w:rsid w:val="00D31B41"/>
    <w:rsid w:val="00D34842"/>
    <w:rsid w:val="00D45F73"/>
    <w:rsid w:val="00D56FCD"/>
    <w:rsid w:val="00D609BB"/>
    <w:rsid w:val="00D71522"/>
    <w:rsid w:val="00D723EA"/>
    <w:rsid w:val="00D74536"/>
    <w:rsid w:val="00D82083"/>
    <w:rsid w:val="00D86A96"/>
    <w:rsid w:val="00D918D5"/>
    <w:rsid w:val="00D944D8"/>
    <w:rsid w:val="00D94BF1"/>
    <w:rsid w:val="00DB6594"/>
    <w:rsid w:val="00DC3894"/>
    <w:rsid w:val="00DC4F72"/>
    <w:rsid w:val="00DC7600"/>
    <w:rsid w:val="00DD3815"/>
    <w:rsid w:val="00DD503E"/>
    <w:rsid w:val="00DE1B8C"/>
    <w:rsid w:val="00DE1DA6"/>
    <w:rsid w:val="00DF677D"/>
    <w:rsid w:val="00E11937"/>
    <w:rsid w:val="00E14626"/>
    <w:rsid w:val="00E17F93"/>
    <w:rsid w:val="00E2318E"/>
    <w:rsid w:val="00E24390"/>
    <w:rsid w:val="00E35186"/>
    <w:rsid w:val="00E42F7A"/>
    <w:rsid w:val="00E5162F"/>
    <w:rsid w:val="00E62F78"/>
    <w:rsid w:val="00E6558A"/>
    <w:rsid w:val="00E66C4F"/>
    <w:rsid w:val="00E736D2"/>
    <w:rsid w:val="00E83DC4"/>
    <w:rsid w:val="00E86D9D"/>
    <w:rsid w:val="00E905BC"/>
    <w:rsid w:val="00EA12C2"/>
    <w:rsid w:val="00EA6D9E"/>
    <w:rsid w:val="00EB1567"/>
    <w:rsid w:val="00EB3984"/>
    <w:rsid w:val="00EC43AA"/>
    <w:rsid w:val="00ED010E"/>
    <w:rsid w:val="00ED02E9"/>
    <w:rsid w:val="00EE13CB"/>
    <w:rsid w:val="00F13A76"/>
    <w:rsid w:val="00F14F74"/>
    <w:rsid w:val="00F362EB"/>
    <w:rsid w:val="00F62AA8"/>
    <w:rsid w:val="00F67E03"/>
    <w:rsid w:val="00F80E07"/>
    <w:rsid w:val="00F84B31"/>
    <w:rsid w:val="00F93FD3"/>
    <w:rsid w:val="00FA080F"/>
    <w:rsid w:val="00FA0C29"/>
    <w:rsid w:val="00FA5B0F"/>
    <w:rsid w:val="00FC4DCE"/>
    <w:rsid w:val="00FF7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AEBA"/>
  <w15:chartTrackingRefBased/>
  <w15:docId w15:val="{5F01EF17-EE54-4FEB-BA33-336FA0BC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21B"/>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5F6958"/>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5F6958"/>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5F6958"/>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5F6958"/>
    <w:pPr>
      <w:keepNext/>
      <w:keepLines/>
      <w:spacing w:before="240" w:line="240" w:lineRule="atLeast"/>
      <w:outlineLvl w:val="5"/>
    </w:pPr>
    <w:rPr>
      <w:rFonts w:eastAsia="Times New Roman"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5F6958"/>
    <w:rPr>
      <w:rFonts w:eastAsia="Times New Roman" w:cs="Times New Roman"/>
      <w:b/>
      <w:bCs/>
      <w:color w:val="001871"/>
      <w:sz w:val="32"/>
      <w:szCs w:val="32"/>
    </w:rPr>
  </w:style>
  <w:style w:type="character" w:customStyle="1" w:styleId="Heading4Char">
    <w:name w:val="Heading 4 Char"/>
    <w:basedOn w:val="DefaultParagraphFont"/>
    <w:link w:val="Heading4"/>
    <w:rsid w:val="005F6958"/>
    <w:rPr>
      <w:rFonts w:eastAsia="Cambria" w:cs="Times New Roman"/>
      <w:b/>
      <w:bCs/>
      <w:color w:val="001871"/>
      <w:sz w:val="28"/>
      <w:szCs w:val="26"/>
    </w:rPr>
  </w:style>
  <w:style w:type="character" w:customStyle="1" w:styleId="Heading5Char">
    <w:name w:val="Heading 5 Char"/>
    <w:basedOn w:val="DefaultParagraphFont"/>
    <w:link w:val="Heading5"/>
    <w:uiPriority w:val="9"/>
    <w:rsid w:val="005F6958"/>
    <w:rPr>
      <w:rFonts w:eastAsia="Times New Roman" w:cs="Times New Roman"/>
      <w:b/>
      <w:bCs/>
      <w:i/>
      <w:color w:val="001871"/>
      <w:sz w:val="26"/>
      <w:szCs w:val="26"/>
    </w:rPr>
  </w:style>
  <w:style w:type="character" w:customStyle="1" w:styleId="Heading6Char">
    <w:name w:val="Heading 6 Char"/>
    <w:basedOn w:val="DefaultParagraphFont"/>
    <w:link w:val="Heading6"/>
    <w:uiPriority w:val="9"/>
    <w:rsid w:val="005F6958"/>
    <w:rPr>
      <w:rFonts w:eastAsia="Times New Roman" w:cs="Times New Roman"/>
      <w:b/>
      <w:bCs/>
      <w:i/>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uiPriority w:val="2"/>
    <w:qFormat/>
    <w:rsid w:val="005F6958"/>
    <w:pPr>
      <w:numPr>
        <w:numId w:val="11"/>
      </w:numPr>
      <w:spacing w:before="120" w:after="180" w:line="240" w:lineRule="atLeast"/>
    </w:pPr>
    <w:rPr>
      <w:rFonts w:eastAsia="Cambria" w:cs="Times New Roman"/>
      <w:color w:val="333F48"/>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E62F78"/>
    <w:pPr>
      <w:numPr>
        <w:numId w:val="6"/>
      </w:numPr>
      <w:ind w:left="392"/>
    </w:pPr>
    <w:rPr>
      <w:rFonts w:eastAsiaTheme="minorHAnsi" w:cstheme="minorBidi"/>
      <w:color w:val="auto"/>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8"/>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uiPriority w:val="39"/>
    <w:unhideWhenUsed/>
    <w:rsid w:val="005F6958"/>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5F6958"/>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5F6958"/>
    <w:pPr>
      <w:keepNext/>
      <w:keepLines/>
      <w:tabs>
        <w:tab w:val="right" w:leader="hyphen" w:pos="8505"/>
      </w:tabs>
      <w:spacing w:before="120" w:after="100" w:line="240" w:lineRule="atLeast"/>
      <w:ind w:left="851"/>
    </w:pPr>
    <w:rPr>
      <w:rFonts w:eastAsia="Cambria" w:cs="Times New Roman"/>
      <w:b/>
      <w:color w:val="333F48"/>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Revision">
    <w:name w:val="Revision"/>
    <w:hidden/>
    <w:uiPriority w:val="99"/>
    <w:semiHidden/>
    <w:rsid w:val="00961733"/>
    <w:pPr>
      <w:spacing w:after="0" w:line="240" w:lineRule="auto"/>
    </w:pPr>
  </w:style>
  <w:style w:type="character" w:styleId="CommentReference">
    <w:name w:val="annotation reference"/>
    <w:basedOn w:val="DefaultParagraphFont"/>
    <w:uiPriority w:val="99"/>
    <w:semiHidden/>
    <w:unhideWhenUsed/>
    <w:rsid w:val="00961733"/>
    <w:rPr>
      <w:sz w:val="16"/>
      <w:szCs w:val="16"/>
    </w:rPr>
  </w:style>
  <w:style w:type="paragraph" w:styleId="CommentText">
    <w:name w:val="annotation text"/>
    <w:basedOn w:val="Normal"/>
    <w:link w:val="CommentTextChar"/>
    <w:uiPriority w:val="99"/>
    <w:unhideWhenUsed/>
    <w:rsid w:val="00961733"/>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961733"/>
    <w:rPr>
      <w:rFonts w:ascii="Cambria" w:eastAsia="Cambria" w:hAnsi="Cambria" w:cs="Times New Roman"/>
    </w:rPr>
  </w:style>
  <w:style w:type="table" w:customStyle="1" w:styleId="TableTGAblue">
    <w:name w:val="Table TGA blue"/>
    <w:basedOn w:val="TableNormal"/>
    <w:uiPriority w:val="99"/>
    <w:qFormat/>
    <w:rsid w:val="00961733"/>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Bahnschrift SemiLight Condensed" w:hAnsi="Bahnschrift SemiLight Condensed"/>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Figuretitle">
    <w:name w:val="Figure title"/>
    <w:basedOn w:val="Normal"/>
    <w:next w:val="Normal"/>
    <w:rsid w:val="00961733"/>
    <w:pPr>
      <w:spacing w:before="120" w:after="180" w:line="240" w:lineRule="atLeast"/>
    </w:pPr>
    <w:rPr>
      <w:rFonts w:ascii="Cambria" w:eastAsia="Cambria" w:hAnsi="Cambria" w:cs="Times New Roman"/>
      <w:b/>
      <w:sz w:val="22"/>
    </w:rPr>
  </w:style>
  <w:style w:type="character" w:styleId="FollowedHyperlink">
    <w:name w:val="FollowedHyperlink"/>
    <w:basedOn w:val="DefaultParagraphFont"/>
    <w:uiPriority w:val="99"/>
    <w:semiHidden/>
    <w:unhideWhenUsed/>
    <w:rsid w:val="00961733"/>
    <w:rPr>
      <w:color w:val="6E2B62" w:themeColor="followedHyperlink"/>
      <w:u w:val="single"/>
    </w:rPr>
  </w:style>
  <w:style w:type="paragraph" w:styleId="ListParagraph">
    <w:name w:val="List Paragraph"/>
    <w:basedOn w:val="Normal"/>
    <w:uiPriority w:val="34"/>
    <w:qFormat/>
    <w:rsid w:val="00961733"/>
    <w:pPr>
      <w:spacing w:before="120" w:after="180" w:line="240" w:lineRule="atLeast"/>
      <w:ind w:left="720"/>
      <w:contextualSpacing/>
    </w:pPr>
    <w:rPr>
      <w:rFonts w:ascii="Cambria" w:eastAsia="Cambria" w:hAnsi="Cambria" w:cs="Times New Roman"/>
      <w:sz w:val="22"/>
    </w:rPr>
  </w:style>
  <w:style w:type="paragraph" w:styleId="TOC4">
    <w:name w:val="toc 4"/>
    <w:basedOn w:val="Normal"/>
    <w:next w:val="Normal"/>
    <w:autoRedefine/>
    <w:uiPriority w:val="39"/>
    <w:unhideWhenUsed/>
    <w:rsid w:val="00961733"/>
    <w:pPr>
      <w:spacing w:after="100"/>
      <w:ind w:left="660"/>
    </w:pPr>
    <w:rPr>
      <w:rFonts w:asciiTheme="minorHAnsi" w:eastAsiaTheme="minorEastAsia" w:hAnsiTheme="minorHAnsi"/>
      <w:sz w:val="22"/>
      <w:szCs w:val="22"/>
      <w:lang w:eastAsia="en-AU"/>
    </w:rPr>
  </w:style>
  <w:style w:type="paragraph" w:styleId="TOC5">
    <w:name w:val="toc 5"/>
    <w:basedOn w:val="Normal"/>
    <w:next w:val="Normal"/>
    <w:autoRedefine/>
    <w:uiPriority w:val="39"/>
    <w:unhideWhenUsed/>
    <w:rsid w:val="00961733"/>
    <w:pPr>
      <w:spacing w:after="100"/>
      <w:ind w:left="880"/>
    </w:pPr>
    <w:rPr>
      <w:rFonts w:asciiTheme="minorHAnsi" w:eastAsiaTheme="minorEastAsia" w:hAnsiTheme="minorHAnsi"/>
      <w:sz w:val="22"/>
      <w:szCs w:val="22"/>
      <w:lang w:eastAsia="en-AU"/>
    </w:rPr>
  </w:style>
  <w:style w:type="paragraph" w:styleId="TOC6">
    <w:name w:val="toc 6"/>
    <w:basedOn w:val="Normal"/>
    <w:next w:val="Normal"/>
    <w:autoRedefine/>
    <w:uiPriority w:val="39"/>
    <w:unhideWhenUsed/>
    <w:rsid w:val="00961733"/>
    <w:pPr>
      <w:spacing w:after="100"/>
      <w:ind w:left="1100"/>
    </w:pPr>
    <w:rPr>
      <w:rFonts w:asciiTheme="minorHAnsi" w:eastAsiaTheme="minorEastAsia" w:hAnsiTheme="minorHAnsi"/>
      <w:sz w:val="22"/>
      <w:szCs w:val="22"/>
      <w:lang w:eastAsia="en-AU"/>
    </w:rPr>
  </w:style>
  <w:style w:type="paragraph" w:styleId="TOC7">
    <w:name w:val="toc 7"/>
    <w:basedOn w:val="Normal"/>
    <w:next w:val="Normal"/>
    <w:autoRedefine/>
    <w:uiPriority w:val="39"/>
    <w:unhideWhenUsed/>
    <w:rsid w:val="00961733"/>
    <w:pPr>
      <w:spacing w:after="100"/>
      <w:ind w:left="1320"/>
    </w:pPr>
    <w:rPr>
      <w:rFonts w:asciiTheme="minorHAnsi" w:eastAsiaTheme="minorEastAsia" w:hAnsiTheme="minorHAnsi"/>
      <w:sz w:val="22"/>
      <w:szCs w:val="22"/>
      <w:lang w:eastAsia="en-AU"/>
    </w:rPr>
  </w:style>
  <w:style w:type="paragraph" w:styleId="TOC8">
    <w:name w:val="toc 8"/>
    <w:basedOn w:val="Normal"/>
    <w:next w:val="Normal"/>
    <w:autoRedefine/>
    <w:uiPriority w:val="39"/>
    <w:unhideWhenUsed/>
    <w:rsid w:val="00961733"/>
    <w:pPr>
      <w:spacing w:after="100"/>
      <w:ind w:left="1540"/>
    </w:pPr>
    <w:rPr>
      <w:rFonts w:asciiTheme="minorHAnsi" w:eastAsiaTheme="minorEastAsia" w:hAnsiTheme="minorHAnsi"/>
      <w:sz w:val="22"/>
      <w:szCs w:val="22"/>
      <w:lang w:eastAsia="en-AU"/>
    </w:rPr>
  </w:style>
  <w:style w:type="paragraph" w:styleId="TOC9">
    <w:name w:val="toc 9"/>
    <w:basedOn w:val="Normal"/>
    <w:next w:val="Normal"/>
    <w:autoRedefine/>
    <w:uiPriority w:val="39"/>
    <w:unhideWhenUsed/>
    <w:rsid w:val="00961733"/>
    <w:pPr>
      <w:spacing w:after="100"/>
      <w:ind w:left="1760"/>
    </w:pPr>
    <w:rPr>
      <w:rFonts w:asciiTheme="minorHAnsi" w:eastAsiaTheme="minorEastAsia" w:hAnsiTheme="minorHAnsi"/>
      <w:sz w:val="22"/>
      <w:szCs w:val="22"/>
      <w:lang w:eastAsia="en-AU"/>
    </w:rPr>
  </w:style>
  <w:style w:type="character" w:styleId="UnresolvedMention">
    <w:name w:val="Unresolved Mention"/>
    <w:basedOn w:val="DefaultParagraphFont"/>
    <w:uiPriority w:val="99"/>
    <w:semiHidden/>
    <w:unhideWhenUsed/>
    <w:rsid w:val="0096173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1733"/>
    <w:pPr>
      <w:spacing w:before="0" w:after="12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961733"/>
    <w:rPr>
      <w:rFonts w:ascii="Cambria" w:eastAsia="Cambria" w:hAnsi="Cambria" w:cs="Times New Roman"/>
      <w:b/>
      <w:bCs/>
    </w:rPr>
  </w:style>
  <w:style w:type="character" w:customStyle="1" w:styleId="cf01">
    <w:name w:val="cf01"/>
    <w:basedOn w:val="DefaultParagraphFont"/>
    <w:rsid w:val="00735EA6"/>
    <w:rPr>
      <w:rFonts w:ascii="Segoe UI" w:hAnsi="Segoe UI" w:cs="Segoe UI" w:hint="default"/>
      <w:sz w:val="18"/>
      <w:szCs w:val="18"/>
    </w:rPr>
  </w:style>
  <w:style w:type="paragraph" w:customStyle="1" w:styleId="pf0">
    <w:name w:val="pf0"/>
    <w:basedOn w:val="Normal"/>
    <w:rsid w:val="00980E0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esources/artg" TargetMode="External"/><Relationship Id="rId18" Type="http://schemas.openxmlformats.org/officeDocument/2006/relationships/hyperlink" Target="https://www.tga.gov.au/role-sponsor" TargetMode="External"/><Relationship Id="rId26" Type="http://schemas.openxmlformats.org/officeDocument/2006/relationships/hyperlink" Target="https://www.tga.gov.au/resources/resource/guidance/gmp-clearance-application-and-submission-user-guide" TargetMode="External"/><Relationship Id="rId39" Type="http://schemas.openxmlformats.org/officeDocument/2006/relationships/hyperlink" Target="mailto:gmpclearance@health.gov.au" TargetMode="External"/><Relationship Id="rId21" Type="http://schemas.openxmlformats.org/officeDocument/2006/relationships/hyperlink" Target="https://www.tga.gov.au/manufacturing-therapeutic-goods" TargetMode="External"/><Relationship Id="rId34" Type="http://schemas.openxmlformats.org/officeDocument/2006/relationships/image" Target="media/image5.png"/><Relationship Id="rId42" Type="http://schemas.openxmlformats.org/officeDocument/2006/relationships/hyperlink" Target="https://www.tga.gov.au/manufacturing-therapeutic-goods" TargetMode="External"/><Relationship Id="rId47" Type="http://schemas.openxmlformats.org/officeDocument/2006/relationships/hyperlink" Target="mailto:GMPclearance@health.gov.au" TargetMode="External"/><Relationship Id="rId50" Type="http://schemas.openxmlformats.org/officeDocument/2006/relationships/hyperlink" Target="https://www.tga.gov.au/resources/resource/guidance/australian-manufacturing-licences-and-overseas-gmp-certification" TargetMode="External"/><Relationship Id="rId55" Type="http://schemas.openxmlformats.org/officeDocument/2006/relationships/hyperlink" Target="https://www.tga.gov.au/resources/resource/guidance/guidance-management-gmp-compliance-signals" TargetMode="External"/><Relationship Id="rId63" Type="http://schemas.openxmlformats.org/officeDocument/2006/relationships/hyperlink" Target="https://www.tga.gov.au/how-we-regulate/manufacturing/manufacture-medicine/good-manufacturing-practice-gmp/international-agreements-and-arrangements-gmp-clearance" TargetMode="External"/><Relationship Id="rId68" Type="http://schemas.openxmlformats.org/officeDocument/2006/relationships/hyperlink" Target="https://www.tga.gov.au/products/australian-register-therapeutic-goods-artg" TargetMode="External"/><Relationship Id="rId76" Type="http://schemas.openxmlformats.org/officeDocument/2006/relationships/image" Target="media/image9.png"/><Relationship Id="rId8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tga.gov.au/artg" TargetMode="External"/><Relationship Id="rId2" Type="http://schemas.openxmlformats.org/officeDocument/2006/relationships/numbering" Target="numbering.xml"/><Relationship Id="rId16" Type="http://schemas.openxmlformats.org/officeDocument/2006/relationships/hyperlink" Target="https://www.tga.gov.au/resources/resource/guidance/gmp-clearance-code-tables-guidance" TargetMode="External"/><Relationship Id="rId29" Type="http://schemas.openxmlformats.org/officeDocument/2006/relationships/hyperlink" Target="https://www.tga.gov.au/resources/resource/guidance/australian-code-good-manufacturing-practice-human-blood-and-blood-components-human-tissues-and-human-cellular-therapy-products" TargetMode="External"/><Relationship Id="rId11" Type="http://schemas.openxmlformats.org/officeDocument/2006/relationships/image" Target="media/image1.png"/><Relationship Id="rId24" Type="http://schemas.openxmlformats.org/officeDocument/2006/relationships/hyperlink" Target="https://www.tga.gov.au/how-we-regulate/manufacturing/manufacture-medicine/good-manufacturing-practice-gmp/international-agreements-and-arrangements-gmp-clearance" TargetMode="External"/><Relationship Id="rId32" Type="http://schemas.openxmlformats.org/officeDocument/2006/relationships/image" Target="media/image3.png"/><Relationship Id="rId37" Type="http://schemas.openxmlformats.org/officeDocument/2006/relationships/hyperlink" Target="https://apps.tga.gov.au/prod/MSI/search" TargetMode="External"/><Relationship Id="rId40" Type="http://schemas.openxmlformats.org/officeDocument/2006/relationships/hyperlink" Target="mailto:gmpclearance@health.gov.au" TargetMode="External"/><Relationship Id="rId45" Type="http://schemas.openxmlformats.org/officeDocument/2006/relationships/hyperlink" Target="https://www.tga.gov.au/resources/resource/guidance/australian-manufacturing-licences-and-overseas-gmp-certification" TargetMode="External"/><Relationship Id="rId53" Type="http://schemas.openxmlformats.org/officeDocument/2006/relationships/hyperlink" Target="mailto:GMPClearance@health.gov.au" TargetMode="External"/><Relationship Id="rId58" Type="http://schemas.openxmlformats.org/officeDocument/2006/relationships/hyperlink" Target="https://www.tga.gov.au/resources/resource/guidance/sponsor-responsibilities-related-gmp-clearance-and-certification" TargetMode="External"/><Relationship Id="rId66" Type="http://schemas.openxmlformats.org/officeDocument/2006/relationships/hyperlink" Target="http://eudragmp.ema.europa.eu/" TargetMode="External"/><Relationship Id="rId74" Type="http://schemas.openxmlformats.org/officeDocument/2006/relationships/hyperlink" Target="https://www.tga.gov.au/resources/publication/publications/pics-guide-gmp-manufacturing-principles-medicinal-products" TargetMode="External"/><Relationship Id="rId79" Type="http://schemas.openxmlformats.org/officeDocument/2006/relationships/hyperlink" Target="https://www.tga.gov.au/resources/resource/guidance/release-supply-medicines/authorised-person-responsibilities"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ms.mhra.gov.uk/mhra/gmp" TargetMode="External"/><Relationship Id="rId82" Type="http://schemas.openxmlformats.org/officeDocument/2006/relationships/hyperlink" Target="https://www.tga.gov.au/resources/publication/publications/pics-guide-gmp-manufacturing-principles-medicinal-products" TargetMode="External"/><Relationship Id="rId19" Type="http://schemas.openxmlformats.org/officeDocument/2006/relationships/hyperlink" Target="https://www.tga.gov.au/resources/resource/guidance/sponsor-responsibilities-related-gmp-clearance-and-certification" TargetMode="External"/><Relationship Id="rId4" Type="http://schemas.openxmlformats.org/officeDocument/2006/relationships/settings" Target="settings.xml"/><Relationship Id="rId9" Type="http://schemas.openxmlformats.org/officeDocument/2006/relationships/hyperlink" Target="https://www.tga.gov.au/resources/publication/publications/pics-guide-gmp-manufacturing-principles-medicinal-products" TargetMode="External"/><Relationship Id="rId14" Type="http://schemas.openxmlformats.org/officeDocument/2006/relationships/hyperlink" Target="https://www.tga.gov.au/resources/resource/guidance/guidelines-prescription-medicines" TargetMode="External"/><Relationship Id="rId22" Type="http://schemas.openxmlformats.org/officeDocument/2006/relationships/image" Target="media/image2.png"/><Relationship Id="rId27" Type="http://schemas.openxmlformats.org/officeDocument/2006/relationships/hyperlink" Target="https://www.tga.gov.au/how-we-regulate/manufacturing/manufacture-medicine/good-manufacturing-practice-gmp/international-agreements-and-arrangements-gmp-clearance" TargetMode="External"/><Relationship Id="rId30" Type="http://schemas.openxmlformats.org/officeDocument/2006/relationships/hyperlink" Target="https://www.tga.gov.au/resources/resource/guidance/australian-manufacturing-licences-and-overseas-gmp-certification" TargetMode="External"/><Relationship Id="rId35" Type="http://schemas.openxmlformats.org/officeDocument/2006/relationships/image" Target="media/image6.png"/><Relationship Id="rId43" Type="http://schemas.openxmlformats.org/officeDocument/2006/relationships/hyperlink" Target="mailto:GMPclearance@health.gov.au" TargetMode="External"/><Relationship Id="rId48" Type="http://schemas.openxmlformats.org/officeDocument/2006/relationships/hyperlink" Target="https://www.tga.gov.au/about-tga/contact-us" TargetMode="External"/><Relationship Id="rId56" Type="http://schemas.openxmlformats.org/officeDocument/2006/relationships/hyperlink" Target="https://www.tga.gov.au/clearance-application-assistance-tool" TargetMode="External"/><Relationship Id="rId64" Type="http://schemas.openxmlformats.org/officeDocument/2006/relationships/hyperlink" Target="https://www.tga.gov.au/resources/resource/user-guide/gmp-clearance-application-and-submission-user-guide" TargetMode="External"/><Relationship Id="rId69" Type="http://schemas.openxmlformats.org/officeDocument/2006/relationships/hyperlink" Target="https://www.tga.gov.au/how-we-regulate/manufacturing/manufacture-medicine/good-manufacturing-practice-gmp/international-agreements-and-arrangements-gmp-clearance" TargetMode="External"/><Relationship Id="rId77" Type="http://schemas.openxmlformats.org/officeDocument/2006/relationships/image" Target="media/image10.png"/><Relationship Id="rId8" Type="http://schemas.openxmlformats.org/officeDocument/2006/relationships/hyperlink" Target="mailto:tga.copyright@tga.gov.au" TargetMode="External"/><Relationship Id="rId51" Type="http://schemas.openxmlformats.org/officeDocument/2006/relationships/hyperlink" Target="https://www.tga.gov.au/resources/resource/guidance/australian-manufacturing-licences-and-overseas-gmp-certification" TargetMode="External"/><Relationship Id="rId72" Type="http://schemas.openxmlformats.org/officeDocument/2006/relationships/hyperlink" Target="https://www.tga.gov.au/resources/publication/publications/site-master-file-preparation-pics-explanatory-notes-pharmaceutical-manufacturers" TargetMode="External"/><Relationship Id="rId80" Type="http://schemas.openxmlformats.org/officeDocument/2006/relationships/hyperlink" Target="https://www.tga.gov.au/resources/resource/guidance/releasing-medicines-manufactured-multiple-sites"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tga.gov.au/how-we-regulate/manufacturing/manufacture-medical-device/medicinal-substances-medical-devices" TargetMode="External"/><Relationship Id="rId17" Type="http://schemas.openxmlformats.org/officeDocument/2006/relationships/hyperlink" Target="https://www.tga.gov.au/about-tga/contact-us" TargetMode="External"/><Relationship Id="rId25" Type="http://schemas.openxmlformats.org/officeDocument/2006/relationships/hyperlink" Target="https://www.tga.gov.au/resources/resource/guidance/australian-manufacturing-licences-and-overseas-gmp-certification" TargetMode="External"/><Relationship Id="rId33" Type="http://schemas.openxmlformats.org/officeDocument/2006/relationships/image" Target="media/image4.png"/><Relationship Id="rId38" Type="http://schemas.openxmlformats.org/officeDocument/2006/relationships/hyperlink" Target="https://www.tga.gov.au/how-we-regulate/monitoring-safety-and-shortages/manage-medicine-shortage/how-report-medicine-shortage" TargetMode="External"/><Relationship Id="rId46" Type="http://schemas.openxmlformats.org/officeDocument/2006/relationships/hyperlink" Target="https://www.tga.gov.au/resources/resource/guidance/gmp-clearance-application-and-submission-user-guide" TargetMode="External"/><Relationship Id="rId59" Type="http://schemas.openxmlformats.org/officeDocument/2006/relationships/hyperlink" Target="https://www.tga.gov.au/how-we-regulate/manufacturing/manufacture-medicine/good-manufacturing-practice-gmp/international-agreements-and-arrangements-gmp-clearance" TargetMode="External"/><Relationship Id="rId67" Type="http://schemas.openxmlformats.org/officeDocument/2006/relationships/hyperlink" Target="https://cms.mhra.gov.uk/mhra/gmp" TargetMode="External"/><Relationship Id="rId20" Type="http://schemas.openxmlformats.org/officeDocument/2006/relationships/hyperlink" Target="https://www.tga.gov.au/resources/resource/guidance/sponsor-responsibilities-related-gmp-clearance-and-certification" TargetMode="External"/><Relationship Id="rId41" Type="http://schemas.openxmlformats.org/officeDocument/2006/relationships/hyperlink" Target="mailto:GMPclearance@health.gov.au" TargetMode="External"/><Relationship Id="rId54" Type="http://schemas.openxmlformats.org/officeDocument/2006/relationships/hyperlink" Target="mailto:GMPCompliance@health.gov.au" TargetMode="External"/><Relationship Id="rId62" Type="http://schemas.openxmlformats.org/officeDocument/2006/relationships/hyperlink" Target="https://www.tga.gov.au/products/australian-register-therapeutic-goods-artg" TargetMode="External"/><Relationship Id="rId70" Type="http://schemas.openxmlformats.org/officeDocument/2006/relationships/hyperlink" Target="https://picscheme.org/en/publications?tri=all" TargetMode="External"/><Relationship Id="rId75" Type="http://schemas.openxmlformats.org/officeDocument/2006/relationships/image" Target="media/image8.png"/><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resources/resource/guidance/evidence-gmp-prescription-medicines" TargetMode="External"/><Relationship Id="rId23" Type="http://schemas.openxmlformats.org/officeDocument/2006/relationships/hyperlink" Target="https://www.tga.gov.au/how-we-regulate/manufacturing/manufacture-medicine/good-manufacturing-practice-gmp/international-agreements-and-arrangements-gmp-clearance" TargetMode="External"/><Relationship Id="rId28" Type="http://schemas.openxmlformats.org/officeDocument/2006/relationships/hyperlink" Target="https://www.tga.gov.au/how-we-regulate/manufacturing/manufacture-medicine/good-manufacturing-practice-gmp/international-agreements-and-arrangements-gmp-clearance" TargetMode="External"/><Relationship Id="rId36" Type="http://schemas.openxmlformats.org/officeDocument/2006/relationships/hyperlink" Target="https://www.tga.gov.au/how-we-regulate/manufacturing/gmp-clearance-sponsor-information-dashboard-sid" TargetMode="External"/><Relationship Id="rId49" Type="http://schemas.openxmlformats.org/officeDocument/2006/relationships/hyperlink" Target="https://www.tga.gov.au/news/notices/gmp-clearances-timeframes-transfers-and-name-change-applications" TargetMode="External"/><Relationship Id="rId57" Type="http://schemas.openxmlformats.org/officeDocument/2006/relationships/hyperlink" Target="https://www.tga.gov.au/manufacturing-therapeutic-goods" TargetMode="External"/><Relationship Id="rId10" Type="http://schemas.openxmlformats.org/officeDocument/2006/relationships/hyperlink" Target="https://www.tga.gov.au/about-tga/legislation/legislation-and-legislative-instruments" TargetMode="External"/><Relationship Id="rId31" Type="http://schemas.openxmlformats.org/officeDocument/2006/relationships/hyperlink" Target="https://www.tga.gov.au/how-we-regulate/fees-and-payments/summary-fees-and-charges/summary-fees-and-charges-applications-submitted-tga" TargetMode="External"/><Relationship Id="rId44" Type="http://schemas.openxmlformats.org/officeDocument/2006/relationships/image" Target="media/image7.jpeg"/><Relationship Id="rId52" Type="http://schemas.openxmlformats.org/officeDocument/2006/relationships/hyperlink" Target="mailto:GMPclearance@health.gov.au" TargetMode="External"/><Relationship Id="rId60" Type="http://schemas.openxmlformats.org/officeDocument/2006/relationships/hyperlink" Target="http://eudragmp.ema.europa.eu/" TargetMode="External"/><Relationship Id="rId65" Type="http://schemas.openxmlformats.org/officeDocument/2006/relationships/hyperlink" Target="https://www.tga.gov.au/how-we-regulate/manufacturing/manufacture-medicine/good-manufacturing-practice-gmp/international-agreements-and-arrangements-gmp-clearance" TargetMode="External"/><Relationship Id="rId73" Type="http://schemas.openxmlformats.org/officeDocument/2006/relationships/hyperlink" Target="https://www.ebs.tga.gov.au/ebs/home.nsf/GHPR?OpenAgent&amp;p=SearchIngredient" TargetMode="External"/><Relationship Id="rId78" Type="http://schemas.openxmlformats.org/officeDocument/2006/relationships/hyperlink" Target="https://www.tga.gov.au/resources/resource/guidance/release-supply-medicines/authorised-person-responsibilities" TargetMode="External"/><Relationship Id="rId81" Type="http://schemas.openxmlformats.org/officeDocument/2006/relationships/hyperlink" Target="https://www.tga.gov.au/resources/publication/publications/pics-guide-gmp-manufacturing-principles-medicinal-products" TargetMode="External"/><Relationship Id="rId86"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CCE1-9123-41E4-9CE9-0C718B9D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632</TotalTime>
  <Pages>48</Pages>
  <Words>16831</Words>
  <Characters>78943</Characters>
  <Application>Microsoft Office Word</Application>
  <DocSecurity>0</DocSecurity>
  <Lines>2466</Lines>
  <Paragraphs>1570</Paragraphs>
  <ScaleCrop>false</ScaleCrop>
  <HeadingPairs>
    <vt:vector size="2" baseType="variant">
      <vt:variant>
        <vt:lpstr>Title</vt:lpstr>
      </vt:variant>
      <vt:variant>
        <vt:i4>1</vt:i4>
      </vt:variant>
    </vt:vector>
  </HeadingPairs>
  <TitlesOfParts>
    <vt:vector size="1" baseType="lpstr">
      <vt:lpstr>How to obtain GMP clearance through inspection reliance</vt:lpstr>
    </vt:vector>
  </TitlesOfParts>
  <Company>Therapeutic Goods Administration</Company>
  <LinksUpToDate>false</LinksUpToDate>
  <CharactersWithSpaces>94204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obtain GMP clearance through inspection reliance</dc:title>
  <dc:subject/>
  <dc:creator>Therapeutic Goods Administration</dc:creator>
  <cp:keywords/>
  <dc:description/>
  <cp:lastModifiedBy>LACK, Janet</cp:lastModifiedBy>
  <cp:revision>63</cp:revision>
  <dcterms:created xsi:type="dcterms:W3CDTF">2024-11-17T23:46:00Z</dcterms:created>
  <dcterms:modified xsi:type="dcterms:W3CDTF">2025-05-21T03:27:00Z</dcterms:modified>
</cp:coreProperties>
</file>