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75048" w14:textId="77777777" w:rsidR="00D67706" w:rsidRDefault="00D67706" w:rsidP="00D67706"/>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BE229E" w:rsidRPr="001A3B69" w14:paraId="0FDF7326" w14:textId="77777777" w:rsidTr="00F7414D">
        <w:trPr>
          <w:trHeight w:val="1558"/>
        </w:trPr>
        <w:tc>
          <w:tcPr>
            <w:tcW w:w="8720" w:type="dxa"/>
          </w:tcPr>
          <w:p w14:paraId="5784773E" w14:textId="5053E8FD" w:rsidR="00BE229E" w:rsidRPr="001A3B69" w:rsidRDefault="00BE229E" w:rsidP="00715AAC">
            <w:pPr>
              <w:pStyle w:val="Title"/>
              <w:rPr>
                <w:lang w:eastAsia="en-US"/>
              </w:rPr>
            </w:pPr>
            <w:r w:rsidRPr="001A3B69">
              <w:rPr>
                <w:lang w:eastAsia="en-US"/>
              </w:rPr>
              <w:t>Australian Public Assessment Report for</w:t>
            </w:r>
            <w:r w:rsidR="009F0054" w:rsidRPr="001A3B69">
              <w:rPr>
                <w:lang w:eastAsia="en-US"/>
              </w:rPr>
              <w:t xml:space="preserve"> </w:t>
            </w:r>
            <w:r w:rsidR="00D2553C" w:rsidRPr="001A3B69">
              <w:rPr>
                <w:lang w:eastAsia="en-US"/>
              </w:rPr>
              <w:t>Ebglyss</w:t>
            </w:r>
          </w:p>
        </w:tc>
      </w:tr>
      <w:tr w:rsidR="00BE229E" w:rsidRPr="001A3B69" w14:paraId="659E4907" w14:textId="77777777" w:rsidTr="00F7414D">
        <w:trPr>
          <w:trHeight w:val="995"/>
        </w:trPr>
        <w:tc>
          <w:tcPr>
            <w:tcW w:w="8720" w:type="dxa"/>
          </w:tcPr>
          <w:p w14:paraId="0A512252" w14:textId="1A6D8C3E" w:rsidR="00BE229E" w:rsidRPr="001A3B69" w:rsidRDefault="00BE229E" w:rsidP="00715AAC">
            <w:pPr>
              <w:pStyle w:val="Subtitle"/>
              <w:rPr>
                <w:lang w:eastAsia="en-US"/>
              </w:rPr>
            </w:pPr>
            <w:r w:rsidRPr="001A3B69">
              <w:rPr>
                <w:lang w:eastAsia="en-US"/>
              </w:rPr>
              <w:t>Active ingredient:</w:t>
            </w:r>
            <w:r w:rsidR="00127959" w:rsidRPr="001A3B69">
              <w:rPr>
                <w:lang w:eastAsia="en-US"/>
              </w:rPr>
              <w:t xml:space="preserve"> Lebrikizumab</w:t>
            </w:r>
          </w:p>
        </w:tc>
      </w:tr>
      <w:tr w:rsidR="00BE229E" w:rsidRPr="001A3B69" w14:paraId="1D0DAE0A" w14:textId="77777777" w:rsidTr="00F7414D">
        <w:trPr>
          <w:trHeight w:val="1916"/>
        </w:trPr>
        <w:tc>
          <w:tcPr>
            <w:tcW w:w="8720" w:type="dxa"/>
          </w:tcPr>
          <w:p w14:paraId="046475F3" w14:textId="4E453DE7" w:rsidR="00BE229E" w:rsidRPr="001A3B69" w:rsidRDefault="00BE229E" w:rsidP="00715AAC">
            <w:pPr>
              <w:pStyle w:val="Subtitle"/>
              <w:rPr>
                <w:lang w:eastAsia="en-US"/>
              </w:rPr>
            </w:pPr>
            <w:r w:rsidRPr="001A3B69">
              <w:rPr>
                <w:lang w:eastAsia="en-US"/>
              </w:rPr>
              <w:t xml:space="preserve">Sponsor: </w:t>
            </w:r>
            <w:r w:rsidR="00127959" w:rsidRPr="001A3B69">
              <w:t xml:space="preserve"> </w:t>
            </w:r>
            <w:r w:rsidR="00127959" w:rsidRPr="001A3B69">
              <w:rPr>
                <w:lang w:eastAsia="en-US"/>
              </w:rPr>
              <w:t>Eli Lilly Australia Pty Ltd</w:t>
            </w:r>
          </w:p>
        </w:tc>
      </w:tr>
      <w:tr w:rsidR="00BE229E" w:rsidRPr="001A3B69" w14:paraId="4AD6111B" w14:textId="77777777" w:rsidTr="00F7414D">
        <w:tc>
          <w:tcPr>
            <w:tcW w:w="8720" w:type="dxa"/>
          </w:tcPr>
          <w:p w14:paraId="30DA8967" w14:textId="058FA6AB" w:rsidR="00BE229E" w:rsidRPr="001A3B69" w:rsidRDefault="001A3B69" w:rsidP="00BE229E">
            <w:pPr>
              <w:spacing w:before="120" w:line="240" w:lineRule="atLeast"/>
              <w:rPr>
                <w:rFonts w:ascii="Arial" w:hAnsi="Arial"/>
                <w:color w:val="333F4A"/>
                <w:sz w:val="28"/>
                <w:szCs w:val="20"/>
                <w:lang w:eastAsia="en-US"/>
              </w:rPr>
            </w:pPr>
            <w:r>
              <w:rPr>
                <w:rFonts w:ascii="Arial" w:hAnsi="Arial"/>
                <w:color w:val="333F4A"/>
                <w:sz w:val="28"/>
                <w:szCs w:val="20"/>
                <w:lang w:eastAsia="en-US"/>
              </w:rPr>
              <w:t>October</w:t>
            </w:r>
            <w:r w:rsidR="00BE229E" w:rsidRPr="001A3B69">
              <w:rPr>
                <w:rFonts w:ascii="Arial" w:hAnsi="Arial"/>
                <w:color w:val="333F4A"/>
                <w:sz w:val="28"/>
                <w:szCs w:val="20"/>
                <w:lang w:eastAsia="en-US"/>
              </w:rPr>
              <w:t xml:space="preserve"> 2024</w:t>
            </w:r>
          </w:p>
        </w:tc>
      </w:tr>
    </w:tbl>
    <w:p w14:paraId="73752706" w14:textId="77777777" w:rsidR="00D67706" w:rsidRPr="00D67706" w:rsidRDefault="00D67706" w:rsidP="00D67706">
      <w:pPr>
        <w:sectPr w:rsidR="00D67706" w:rsidRPr="00D67706"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0F28834A" w:rsidR="00346EC2" w:rsidRPr="003C6D1F" w:rsidRDefault="00170ADC" w:rsidP="00346EC2">
      <w:pPr>
        <w:pStyle w:val="ListBullet"/>
      </w:pPr>
      <w:r w:rsidRPr="00170ADC">
        <w:t>The work of the TGA is based on applying scientific and clinical expertise to decision-making, to ensure that the benefits to the Australian public outweigh any risks associated with the use of therapeutic goods</w:t>
      </w:r>
      <w:r w:rsidR="00346EC2" w:rsidRPr="003C6D1F">
        <w:t>.</w:t>
      </w:r>
    </w:p>
    <w:p w14:paraId="70AC2A35" w14:textId="77777777" w:rsidR="00346EC2" w:rsidRPr="003C6D1F" w:rsidRDefault="00346EC2" w:rsidP="00346EC2">
      <w:pPr>
        <w:pStyle w:val="ListBullet"/>
      </w:pPr>
      <w:r w:rsidRPr="003C6D1F">
        <w:t>The TGA relie</w:t>
      </w:r>
      <w:bookmarkStart w:id="0" w:name="OLE_LINK1"/>
      <w:r w:rsidRPr="003C6D1F">
        <w:t xml:space="preserv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w:t>
      </w:r>
      <w:bookmarkEnd w:id="0"/>
      <w:r w:rsidRPr="003C6D1F">
        <w:t>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38766033" w14:textId="0D3AA784" w:rsidR="00D173E4" w:rsidRDefault="00346EC2" w:rsidP="00D173E4">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57511F77" w14:textId="77777777" w:rsidR="00D173E4" w:rsidRDefault="00D173E4" w:rsidP="00D173E4">
      <w:pPr>
        <w:pStyle w:val="ListBullet"/>
        <w:numPr>
          <w:ilvl w:val="0"/>
          <w:numId w:val="0"/>
        </w:numPr>
        <w:ind w:left="360" w:hanging="360"/>
      </w:pPr>
    </w:p>
    <w:p w14:paraId="172249F2" w14:textId="77777777" w:rsidR="00D173E4" w:rsidRDefault="00D173E4" w:rsidP="00D173E4">
      <w:pPr>
        <w:pStyle w:val="ListBullet"/>
        <w:numPr>
          <w:ilvl w:val="0"/>
          <w:numId w:val="0"/>
        </w:numPr>
        <w:ind w:left="360" w:hanging="360"/>
      </w:pPr>
    </w:p>
    <w:p w14:paraId="33EC5CA5" w14:textId="77777777" w:rsidR="00D173E4" w:rsidRDefault="00D173E4" w:rsidP="00D173E4">
      <w:pPr>
        <w:pStyle w:val="ListBullet"/>
        <w:numPr>
          <w:ilvl w:val="0"/>
          <w:numId w:val="0"/>
        </w:numPr>
        <w:ind w:left="360" w:hanging="360"/>
      </w:pPr>
    </w:p>
    <w:p w14:paraId="71DBE794" w14:textId="77777777" w:rsidR="00D173E4" w:rsidRDefault="00D173E4" w:rsidP="00D173E4">
      <w:pPr>
        <w:pStyle w:val="ListBullet"/>
        <w:numPr>
          <w:ilvl w:val="0"/>
          <w:numId w:val="0"/>
        </w:numPr>
        <w:ind w:left="360" w:hanging="360"/>
      </w:pPr>
    </w:p>
    <w:p w14:paraId="46ACE17F" w14:textId="77777777" w:rsidR="00D173E4" w:rsidRDefault="00D173E4" w:rsidP="00D173E4">
      <w:pPr>
        <w:pStyle w:val="ListBullet"/>
        <w:numPr>
          <w:ilvl w:val="0"/>
          <w:numId w:val="0"/>
        </w:numPr>
        <w:ind w:left="360" w:hanging="360"/>
      </w:pPr>
    </w:p>
    <w:p w14:paraId="2DE766F0" w14:textId="77777777" w:rsidR="00D173E4" w:rsidRPr="00E1198B" w:rsidRDefault="00D173E4" w:rsidP="00D173E4">
      <w:pPr>
        <w:pStyle w:val="ListBullet"/>
        <w:numPr>
          <w:ilvl w:val="0"/>
          <w:numId w:val="0"/>
        </w:numPr>
        <w:ind w:left="360" w:hanging="360"/>
      </w:pPr>
    </w:p>
    <w:p w14:paraId="1672CA68" w14:textId="77777777" w:rsidR="00F376D5" w:rsidRDefault="00F376D5" w:rsidP="00346EC2">
      <w:pPr>
        <w:pStyle w:val="LegalCopy"/>
        <w:rPr>
          <w:rFonts w:cs="Arial"/>
          <w:b/>
          <w:bCs/>
        </w:rPr>
      </w:pPr>
    </w:p>
    <w:p w14:paraId="3FB1AF67" w14:textId="77777777" w:rsidR="00F376D5" w:rsidRDefault="00F376D5" w:rsidP="00346EC2">
      <w:pPr>
        <w:pStyle w:val="LegalCopy"/>
        <w:rPr>
          <w:rFonts w:cs="Arial"/>
          <w:b/>
          <w:bCs/>
        </w:rPr>
      </w:pPr>
    </w:p>
    <w:p w14:paraId="69335E49" w14:textId="77777777" w:rsidR="00F376D5" w:rsidRDefault="00F376D5" w:rsidP="00346EC2">
      <w:pPr>
        <w:pStyle w:val="LegalCopy"/>
        <w:rPr>
          <w:rFonts w:cs="Arial"/>
          <w:b/>
          <w:bCs/>
        </w:rPr>
      </w:pPr>
    </w:p>
    <w:p w14:paraId="23953E2A" w14:textId="77777777" w:rsidR="00F376D5" w:rsidRDefault="00F376D5" w:rsidP="00346EC2">
      <w:pPr>
        <w:pStyle w:val="LegalCopy"/>
        <w:rPr>
          <w:rFonts w:cs="Arial"/>
          <w:b/>
          <w:bCs/>
        </w:rPr>
      </w:pPr>
    </w:p>
    <w:p w14:paraId="7874CD39" w14:textId="77777777" w:rsidR="00F376D5" w:rsidRDefault="00F376D5" w:rsidP="00346EC2">
      <w:pPr>
        <w:pStyle w:val="LegalCopy"/>
        <w:rPr>
          <w:rFonts w:cs="Arial"/>
          <w:b/>
          <w:bCs/>
        </w:rPr>
      </w:pPr>
    </w:p>
    <w:p w14:paraId="09AADFE8" w14:textId="77777777" w:rsidR="00715AAC" w:rsidRPr="00715AAC" w:rsidRDefault="00D173E4" w:rsidP="00715AAC">
      <w:pPr>
        <w:pStyle w:val="LegalSubheading"/>
      </w:pPr>
      <w:r w:rsidRPr="00715AAC">
        <w:t>Copyright</w:t>
      </w:r>
    </w:p>
    <w:p w14:paraId="170A8A5D" w14:textId="1B74644E" w:rsidR="00175CD8" w:rsidRPr="00715AAC" w:rsidRDefault="00F02AEC" w:rsidP="00715AAC">
      <w:pPr>
        <w:pStyle w:val="LegalCopy"/>
      </w:pPr>
      <w:r w:rsidRPr="00715AAC">
        <w:t>© Commonwealth of Australia 202</w:t>
      </w:r>
      <w:r w:rsidR="007F1E37" w:rsidRPr="00715AAC">
        <w:t>4</w:t>
      </w:r>
      <w:r w:rsidRPr="00715AAC">
        <w:br/>
        <w:t>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w:t>
      </w:r>
      <w:r w:rsidR="00D173E4" w:rsidRPr="00715AAC">
        <w:t xml:space="preserve"> concerning reproduction and rights are to be sent to the TGA Copyright Officer, Therapeutic Goods Administration, PO Box 100, Woden ACT 2606 or emailed to &lt;</w:t>
      </w:r>
      <w:hyperlink r:id="rId14" w:history="1">
        <w:r w:rsidR="00D173E4" w:rsidRPr="00715AAC">
          <w:rPr>
            <w:rStyle w:val="Hyperlink"/>
          </w:rPr>
          <w:t>tga.copyright@tga.gov.au</w:t>
        </w:r>
      </w:hyperlink>
      <w:r w:rsidR="00D173E4" w:rsidRPr="00715AAC">
        <w:t>&gt;.</w:t>
      </w:r>
      <w:r w:rsidRPr="00715AAC">
        <w:t xml:space="preserve"> </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7E118E92" w14:textId="5B3E9003" w:rsidR="002B0484" w:rsidRDefault="00F02AEC">
          <w:pPr>
            <w:pStyle w:val="TOC2"/>
            <w:rPr>
              <w:rFonts w:asciiTheme="minorHAnsi" w:eastAsiaTheme="minorEastAsia" w:hAnsiTheme="minorHAnsi" w:cstheme="minorBidi"/>
              <w:b w:val="0"/>
              <w:noProof/>
              <w:color w:val="auto"/>
              <w:kern w:val="2"/>
              <w:sz w:val="22"/>
              <w:szCs w:val="22"/>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180416228" w:history="1">
            <w:r w:rsidR="002B0484" w:rsidRPr="001D252F">
              <w:rPr>
                <w:rStyle w:val="Hyperlink"/>
                <w:noProof/>
              </w:rPr>
              <w:t>List of abbreviations</w:t>
            </w:r>
            <w:r w:rsidR="002B0484">
              <w:rPr>
                <w:noProof/>
                <w:webHidden/>
              </w:rPr>
              <w:tab/>
            </w:r>
            <w:r w:rsidR="002B0484">
              <w:rPr>
                <w:noProof/>
                <w:webHidden/>
              </w:rPr>
              <w:fldChar w:fldCharType="begin"/>
            </w:r>
            <w:r w:rsidR="002B0484">
              <w:rPr>
                <w:noProof/>
                <w:webHidden/>
              </w:rPr>
              <w:instrText xml:space="preserve"> PAGEREF _Toc180416228 \h </w:instrText>
            </w:r>
            <w:r w:rsidR="002B0484">
              <w:rPr>
                <w:noProof/>
                <w:webHidden/>
              </w:rPr>
            </w:r>
            <w:r w:rsidR="002B0484">
              <w:rPr>
                <w:noProof/>
                <w:webHidden/>
              </w:rPr>
              <w:fldChar w:fldCharType="separate"/>
            </w:r>
            <w:r w:rsidR="002B0484">
              <w:rPr>
                <w:noProof/>
                <w:webHidden/>
              </w:rPr>
              <w:t>4</w:t>
            </w:r>
            <w:r w:rsidR="002B0484">
              <w:rPr>
                <w:noProof/>
                <w:webHidden/>
              </w:rPr>
              <w:fldChar w:fldCharType="end"/>
            </w:r>
          </w:hyperlink>
        </w:p>
        <w:p w14:paraId="029780B0" w14:textId="507B9591" w:rsidR="002B0484" w:rsidRDefault="000C7ABC">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80416229" w:history="1">
            <w:r w:rsidR="002B0484" w:rsidRPr="001D252F">
              <w:rPr>
                <w:rStyle w:val="Hyperlink"/>
                <w:noProof/>
              </w:rPr>
              <w:t>Ebglyss (lebrikizumab) submission</w:t>
            </w:r>
            <w:r w:rsidR="002B0484">
              <w:rPr>
                <w:noProof/>
                <w:webHidden/>
              </w:rPr>
              <w:tab/>
            </w:r>
            <w:r w:rsidR="002B0484">
              <w:rPr>
                <w:noProof/>
                <w:webHidden/>
              </w:rPr>
              <w:fldChar w:fldCharType="begin"/>
            </w:r>
            <w:r w:rsidR="002B0484">
              <w:rPr>
                <w:noProof/>
                <w:webHidden/>
              </w:rPr>
              <w:instrText xml:space="preserve"> PAGEREF _Toc180416229 \h </w:instrText>
            </w:r>
            <w:r w:rsidR="002B0484">
              <w:rPr>
                <w:noProof/>
                <w:webHidden/>
              </w:rPr>
            </w:r>
            <w:r w:rsidR="002B0484">
              <w:rPr>
                <w:noProof/>
                <w:webHidden/>
              </w:rPr>
              <w:fldChar w:fldCharType="separate"/>
            </w:r>
            <w:r w:rsidR="002B0484">
              <w:rPr>
                <w:noProof/>
                <w:webHidden/>
              </w:rPr>
              <w:t>8</w:t>
            </w:r>
            <w:r w:rsidR="002B0484">
              <w:rPr>
                <w:noProof/>
                <w:webHidden/>
              </w:rPr>
              <w:fldChar w:fldCharType="end"/>
            </w:r>
          </w:hyperlink>
        </w:p>
        <w:p w14:paraId="093086FB" w14:textId="346C9B8B" w:rsidR="002B0484" w:rsidRDefault="000C7AB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80416230" w:history="1">
            <w:r w:rsidR="002B0484" w:rsidRPr="001D252F">
              <w:rPr>
                <w:rStyle w:val="Hyperlink"/>
                <w:noProof/>
              </w:rPr>
              <w:t>Ebglyss (lebrikizumab)</w:t>
            </w:r>
            <w:r w:rsidR="002B0484">
              <w:rPr>
                <w:noProof/>
                <w:webHidden/>
              </w:rPr>
              <w:tab/>
            </w:r>
            <w:r w:rsidR="002B0484">
              <w:rPr>
                <w:noProof/>
                <w:webHidden/>
              </w:rPr>
              <w:fldChar w:fldCharType="begin"/>
            </w:r>
            <w:r w:rsidR="002B0484">
              <w:rPr>
                <w:noProof/>
                <w:webHidden/>
              </w:rPr>
              <w:instrText xml:space="preserve"> PAGEREF _Toc180416230 \h </w:instrText>
            </w:r>
            <w:r w:rsidR="002B0484">
              <w:rPr>
                <w:noProof/>
                <w:webHidden/>
              </w:rPr>
            </w:r>
            <w:r w:rsidR="002B0484">
              <w:rPr>
                <w:noProof/>
                <w:webHidden/>
              </w:rPr>
              <w:fldChar w:fldCharType="separate"/>
            </w:r>
            <w:r w:rsidR="002B0484">
              <w:rPr>
                <w:noProof/>
                <w:webHidden/>
              </w:rPr>
              <w:t>9</w:t>
            </w:r>
            <w:r w:rsidR="002B0484">
              <w:rPr>
                <w:noProof/>
                <w:webHidden/>
              </w:rPr>
              <w:fldChar w:fldCharType="end"/>
            </w:r>
          </w:hyperlink>
        </w:p>
        <w:p w14:paraId="25B6F0A7" w14:textId="10B5EC6E" w:rsidR="002B0484" w:rsidRDefault="000C7AB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80416231" w:history="1">
            <w:r w:rsidR="002B0484" w:rsidRPr="001D252F">
              <w:rPr>
                <w:rStyle w:val="Hyperlink"/>
                <w:noProof/>
              </w:rPr>
              <w:t>Atopic dermatitis</w:t>
            </w:r>
            <w:r w:rsidR="002B0484">
              <w:rPr>
                <w:noProof/>
                <w:webHidden/>
              </w:rPr>
              <w:tab/>
            </w:r>
            <w:r w:rsidR="002B0484">
              <w:rPr>
                <w:noProof/>
                <w:webHidden/>
              </w:rPr>
              <w:fldChar w:fldCharType="begin"/>
            </w:r>
            <w:r w:rsidR="002B0484">
              <w:rPr>
                <w:noProof/>
                <w:webHidden/>
              </w:rPr>
              <w:instrText xml:space="preserve"> PAGEREF _Toc180416231 \h </w:instrText>
            </w:r>
            <w:r w:rsidR="002B0484">
              <w:rPr>
                <w:noProof/>
                <w:webHidden/>
              </w:rPr>
            </w:r>
            <w:r w:rsidR="002B0484">
              <w:rPr>
                <w:noProof/>
                <w:webHidden/>
              </w:rPr>
              <w:fldChar w:fldCharType="separate"/>
            </w:r>
            <w:r w:rsidR="002B0484">
              <w:rPr>
                <w:noProof/>
                <w:webHidden/>
              </w:rPr>
              <w:t>9</w:t>
            </w:r>
            <w:r w:rsidR="002B0484">
              <w:rPr>
                <w:noProof/>
                <w:webHidden/>
              </w:rPr>
              <w:fldChar w:fldCharType="end"/>
            </w:r>
          </w:hyperlink>
        </w:p>
        <w:p w14:paraId="763AFA3E" w14:textId="5B7709D1" w:rsidR="002B0484" w:rsidRDefault="000C7AB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80416232" w:history="1">
            <w:r w:rsidR="002B0484" w:rsidRPr="001D252F">
              <w:rPr>
                <w:rStyle w:val="Hyperlink"/>
                <w:noProof/>
              </w:rPr>
              <w:t>Current treatment options for atopic dermatitis</w:t>
            </w:r>
            <w:r w:rsidR="002B0484">
              <w:rPr>
                <w:noProof/>
                <w:webHidden/>
              </w:rPr>
              <w:tab/>
            </w:r>
            <w:r w:rsidR="002B0484">
              <w:rPr>
                <w:noProof/>
                <w:webHidden/>
              </w:rPr>
              <w:fldChar w:fldCharType="begin"/>
            </w:r>
            <w:r w:rsidR="002B0484">
              <w:rPr>
                <w:noProof/>
                <w:webHidden/>
              </w:rPr>
              <w:instrText xml:space="preserve"> PAGEREF _Toc180416232 \h </w:instrText>
            </w:r>
            <w:r w:rsidR="002B0484">
              <w:rPr>
                <w:noProof/>
                <w:webHidden/>
              </w:rPr>
            </w:r>
            <w:r w:rsidR="002B0484">
              <w:rPr>
                <w:noProof/>
                <w:webHidden/>
              </w:rPr>
              <w:fldChar w:fldCharType="separate"/>
            </w:r>
            <w:r w:rsidR="002B0484">
              <w:rPr>
                <w:noProof/>
                <w:webHidden/>
              </w:rPr>
              <w:t>10</w:t>
            </w:r>
            <w:r w:rsidR="002B0484">
              <w:rPr>
                <w:noProof/>
                <w:webHidden/>
              </w:rPr>
              <w:fldChar w:fldCharType="end"/>
            </w:r>
          </w:hyperlink>
        </w:p>
        <w:p w14:paraId="4F9F0755" w14:textId="54FC9FB7" w:rsidR="002B0484" w:rsidRDefault="000C7AB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80416233" w:history="1">
            <w:r w:rsidR="002B0484" w:rsidRPr="001D252F">
              <w:rPr>
                <w:rStyle w:val="Hyperlink"/>
                <w:noProof/>
              </w:rPr>
              <w:t>Clinical rationale for Ebglyss use in atopic dermatitis</w:t>
            </w:r>
            <w:r w:rsidR="002B0484">
              <w:rPr>
                <w:noProof/>
                <w:webHidden/>
              </w:rPr>
              <w:tab/>
            </w:r>
            <w:r w:rsidR="002B0484">
              <w:rPr>
                <w:noProof/>
                <w:webHidden/>
              </w:rPr>
              <w:fldChar w:fldCharType="begin"/>
            </w:r>
            <w:r w:rsidR="002B0484">
              <w:rPr>
                <w:noProof/>
                <w:webHidden/>
              </w:rPr>
              <w:instrText xml:space="preserve"> PAGEREF _Toc180416233 \h </w:instrText>
            </w:r>
            <w:r w:rsidR="002B0484">
              <w:rPr>
                <w:noProof/>
                <w:webHidden/>
              </w:rPr>
            </w:r>
            <w:r w:rsidR="002B0484">
              <w:rPr>
                <w:noProof/>
                <w:webHidden/>
              </w:rPr>
              <w:fldChar w:fldCharType="separate"/>
            </w:r>
            <w:r w:rsidR="002B0484">
              <w:rPr>
                <w:noProof/>
                <w:webHidden/>
              </w:rPr>
              <w:t>10</w:t>
            </w:r>
            <w:r w:rsidR="002B0484">
              <w:rPr>
                <w:noProof/>
                <w:webHidden/>
              </w:rPr>
              <w:fldChar w:fldCharType="end"/>
            </w:r>
          </w:hyperlink>
        </w:p>
        <w:p w14:paraId="22E93234" w14:textId="7F1EEF4B" w:rsidR="002B0484" w:rsidRDefault="000C7AB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80416234" w:history="1">
            <w:r w:rsidR="002B0484" w:rsidRPr="001D252F">
              <w:rPr>
                <w:rStyle w:val="Hyperlink"/>
                <w:noProof/>
              </w:rPr>
              <w:t>Regulatory status</w:t>
            </w:r>
            <w:r w:rsidR="002B0484">
              <w:rPr>
                <w:noProof/>
                <w:webHidden/>
              </w:rPr>
              <w:tab/>
            </w:r>
            <w:r w:rsidR="002B0484">
              <w:rPr>
                <w:noProof/>
                <w:webHidden/>
              </w:rPr>
              <w:fldChar w:fldCharType="begin"/>
            </w:r>
            <w:r w:rsidR="002B0484">
              <w:rPr>
                <w:noProof/>
                <w:webHidden/>
              </w:rPr>
              <w:instrText xml:space="preserve"> PAGEREF _Toc180416234 \h </w:instrText>
            </w:r>
            <w:r w:rsidR="002B0484">
              <w:rPr>
                <w:noProof/>
                <w:webHidden/>
              </w:rPr>
            </w:r>
            <w:r w:rsidR="002B0484">
              <w:rPr>
                <w:noProof/>
                <w:webHidden/>
              </w:rPr>
              <w:fldChar w:fldCharType="separate"/>
            </w:r>
            <w:r w:rsidR="002B0484">
              <w:rPr>
                <w:noProof/>
                <w:webHidden/>
              </w:rPr>
              <w:t>11</w:t>
            </w:r>
            <w:r w:rsidR="002B0484">
              <w:rPr>
                <w:noProof/>
                <w:webHidden/>
              </w:rPr>
              <w:fldChar w:fldCharType="end"/>
            </w:r>
          </w:hyperlink>
        </w:p>
        <w:p w14:paraId="6737C510" w14:textId="38B172E3" w:rsidR="002B0484" w:rsidRDefault="000C7ABC">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80416235" w:history="1">
            <w:r w:rsidR="002B0484" w:rsidRPr="001D252F">
              <w:rPr>
                <w:rStyle w:val="Hyperlink"/>
                <w:noProof/>
              </w:rPr>
              <w:t>Registration timeline</w:t>
            </w:r>
            <w:r w:rsidR="002B0484">
              <w:rPr>
                <w:noProof/>
                <w:webHidden/>
              </w:rPr>
              <w:tab/>
            </w:r>
            <w:r w:rsidR="002B0484">
              <w:rPr>
                <w:noProof/>
                <w:webHidden/>
              </w:rPr>
              <w:fldChar w:fldCharType="begin"/>
            </w:r>
            <w:r w:rsidR="002B0484">
              <w:rPr>
                <w:noProof/>
                <w:webHidden/>
              </w:rPr>
              <w:instrText xml:space="preserve"> PAGEREF _Toc180416235 \h </w:instrText>
            </w:r>
            <w:r w:rsidR="002B0484">
              <w:rPr>
                <w:noProof/>
                <w:webHidden/>
              </w:rPr>
            </w:r>
            <w:r w:rsidR="002B0484">
              <w:rPr>
                <w:noProof/>
                <w:webHidden/>
              </w:rPr>
              <w:fldChar w:fldCharType="separate"/>
            </w:r>
            <w:r w:rsidR="002B0484">
              <w:rPr>
                <w:noProof/>
                <w:webHidden/>
              </w:rPr>
              <w:t>12</w:t>
            </w:r>
            <w:r w:rsidR="002B0484">
              <w:rPr>
                <w:noProof/>
                <w:webHidden/>
              </w:rPr>
              <w:fldChar w:fldCharType="end"/>
            </w:r>
          </w:hyperlink>
        </w:p>
        <w:p w14:paraId="618FDE49" w14:textId="3E8C503D" w:rsidR="002B0484" w:rsidRDefault="000C7ABC">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80416236" w:history="1">
            <w:r w:rsidR="002B0484" w:rsidRPr="001D252F">
              <w:rPr>
                <w:rStyle w:val="Hyperlink"/>
                <w:noProof/>
              </w:rPr>
              <w:t>Evaluation overview</w:t>
            </w:r>
            <w:r w:rsidR="002B0484">
              <w:rPr>
                <w:noProof/>
                <w:webHidden/>
              </w:rPr>
              <w:tab/>
            </w:r>
            <w:r w:rsidR="002B0484">
              <w:rPr>
                <w:noProof/>
                <w:webHidden/>
              </w:rPr>
              <w:fldChar w:fldCharType="begin"/>
            </w:r>
            <w:r w:rsidR="002B0484">
              <w:rPr>
                <w:noProof/>
                <w:webHidden/>
              </w:rPr>
              <w:instrText xml:space="preserve"> PAGEREF _Toc180416236 \h </w:instrText>
            </w:r>
            <w:r w:rsidR="002B0484">
              <w:rPr>
                <w:noProof/>
                <w:webHidden/>
              </w:rPr>
            </w:r>
            <w:r w:rsidR="002B0484">
              <w:rPr>
                <w:noProof/>
                <w:webHidden/>
              </w:rPr>
              <w:fldChar w:fldCharType="separate"/>
            </w:r>
            <w:r w:rsidR="002B0484">
              <w:rPr>
                <w:noProof/>
                <w:webHidden/>
              </w:rPr>
              <w:t>12</w:t>
            </w:r>
            <w:r w:rsidR="002B0484">
              <w:rPr>
                <w:noProof/>
                <w:webHidden/>
              </w:rPr>
              <w:fldChar w:fldCharType="end"/>
            </w:r>
          </w:hyperlink>
        </w:p>
        <w:p w14:paraId="674F90CD" w14:textId="2DA93BC0" w:rsidR="002B0484" w:rsidRDefault="000C7AB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80416237" w:history="1">
            <w:r w:rsidR="002B0484" w:rsidRPr="001D252F">
              <w:rPr>
                <w:rStyle w:val="Hyperlink"/>
                <w:noProof/>
              </w:rPr>
              <w:t>Quality evaluation summary</w:t>
            </w:r>
            <w:r w:rsidR="002B0484">
              <w:rPr>
                <w:noProof/>
                <w:webHidden/>
              </w:rPr>
              <w:tab/>
            </w:r>
            <w:r w:rsidR="002B0484">
              <w:rPr>
                <w:noProof/>
                <w:webHidden/>
              </w:rPr>
              <w:fldChar w:fldCharType="begin"/>
            </w:r>
            <w:r w:rsidR="002B0484">
              <w:rPr>
                <w:noProof/>
                <w:webHidden/>
              </w:rPr>
              <w:instrText xml:space="preserve"> PAGEREF _Toc180416237 \h </w:instrText>
            </w:r>
            <w:r w:rsidR="002B0484">
              <w:rPr>
                <w:noProof/>
                <w:webHidden/>
              </w:rPr>
            </w:r>
            <w:r w:rsidR="002B0484">
              <w:rPr>
                <w:noProof/>
                <w:webHidden/>
              </w:rPr>
              <w:fldChar w:fldCharType="separate"/>
            </w:r>
            <w:r w:rsidR="002B0484">
              <w:rPr>
                <w:noProof/>
                <w:webHidden/>
              </w:rPr>
              <w:t>12</w:t>
            </w:r>
            <w:r w:rsidR="002B0484">
              <w:rPr>
                <w:noProof/>
                <w:webHidden/>
              </w:rPr>
              <w:fldChar w:fldCharType="end"/>
            </w:r>
          </w:hyperlink>
        </w:p>
        <w:p w14:paraId="7272F318" w14:textId="24C1D3C1" w:rsidR="002B0484" w:rsidRDefault="000C7AB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80416238" w:history="1">
            <w:r w:rsidR="002B0484" w:rsidRPr="001D252F">
              <w:rPr>
                <w:rStyle w:val="Hyperlink"/>
                <w:noProof/>
              </w:rPr>
              <w:t>Nonclinical (toxicology) evaluation summary</w:t>
            </w:r>
            <w:r w:rsidR="002B0484">
              <w:rPr>
                <w:noProof/>
                <w:webHidden/>
              </w:rPr>
              <w:tab/>
            </w:r>
            <w:r w:rsidR="002B0484">
              <w:rPr>
                <w:noProof/>
                <w:webHidden/>
              </w:rPr>
              <w:fldChar w:fldCharType="begin"/>
            </w:r>
            <w:r w:rsidR="002B0484">
              <w:rPr>
                <w:noProof/>
                <w:webHidden/>
              </w:rPr>
              <w:instrText xml:space="preserve"> PAGEREF _Toc180416238 \h </w:instrText>
            </w:r>
            <w:r w:rsidR="002B0484">
              <w:rPr>
                <w:noProof/>
                <w:webHidden/>
              </w:rPr>
            </w:r>
            <w:r w:rsidR="002B0484">
              <w:rPr>
                <w:noProof/>
                <w:webHidden/>
              </w:rPr>
              <w:fldChar w:fldCharType="separate"/>
            </w:r>
            <w:r w:rsidR="002B0484">
              <w:rPr>
                <w:noProof/>
                <w:webHidden/>
              </w:rPr>
              <w:t>13</w:t>
            </w:r>
            <w:r w:rsidR="002B0484">
              <w:rPr>
                <w:noProof/>
                <w:webHidden/>
              </w:rPr>
              <w:fldChar w:fldCharType="end"/>
            </w:r>
          </w:hyperlink>
        </w:p>
        <w:p w14:paraId="3EE4CBC4" w14:textId="36D837D3" w:rsidR="002B0484" w:rsidRDefault="000C7AB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80416239" w:history="1">
            <w:r w:rsidR="002B0484" w:rsidRPr="001D252F">
              <w:rPr>
                <w:rStyle w:val="Hyperlink"/>
                <w:noProof/>
              </w:rPr>
              <w:t>Clinical evaluation summary</w:t>
            </w:r>
            <w:r w:rsidR="002B0484">
              <w:rPr>
                <w:noProof/>
                <w:webHidden/>
              </w:rPr>
              <w:tab/>
            </w:r>
            <w:r w:rsidR="002B0484">
              <w:rPr>
                <w:noProof/>
                <w:webHidden/>
              </w:rPr>
              <w:fldChar w:fldCharType="begin"/>
            </w:r>
            <w:r w:rsidR="002B0484">
              <w:rPr>
                <w:noProof/>
                <w:webHidden/>
              </w:rPr>
              <w:instrText xml:space="preserve"> PAGEREF _Toc180416239 \h </w:instrText>
            </w:r>
            <w:r w:rsidR="002B0484">
              <w:rPr>
                <w:noProof/>
                <w:webHidden/>
              </w:rPr>
            </w:r>
            <w:r w:rsidR="002B0484">
              <w:rPr>
                <w:noProof/>
                <w:webHidden/>
              </w:rPr>
              <w:fldChar w:fldCharType="separate"/>
            </w:r>
            <w:r w:rsidR="002B0484">
              <w:rPr>
                <w:noProof/>
                <w:webHidden/>
              </w:rPr>
              <w:t>14</w:t>
            </w:r>
            <w:r w:rsidR="002B0484">
              <w:rPr>
                <w:noProof/>
                <w:webHidden/>
              </w:rPr>
              <w:fldChar w:fldCharType="end"/>
            </w:r>
          </w:hyperlink>
        </w:p>
        <w:p w14:paraId="6A69F558" w14:textId="7811D49F" w:rsidR="002B0484" w:rsidRDefault="000C7ABC">
          <w:pPr>
            <w:pStyle w:val="TOC3"/>
            <w:rPr>
              <w:rFonts w:asciiTheme="minorHAnsi" w:eastAsiaTheme="minorEastAsia" w:hAnsiTheme="minorHAnsi" w:cstheme="minorBidi"/>
              <w:b w:val="0"/>
              <w:noProof/>
              <w:color w:val="auto"/>
              <w:kern w:val="2"/>
              <w:szCs w:val="22"/>
              <w:lang w:eastAsia="en-AU"/>
              <w14:ligatures w14:val="standardContextual"/>
            </w:rPr>
          </w:pPr>
          <w:hyperlink w:anchor="_Toc180416240" w:history="1">
            <w:r w:rsidR="002B0484" w:rsidRPr="001D252F">
              <w:rPr>
                <w:rStyle w:val="Hyperlink"/>
                <w:noProof/>
              </w:rPr>
              <w:t>Pharmacology</w:t>
            </w:r>
            <w:r w:rsidR="002B0484">
              <w:rPr>
                <w:noProof/>
                <w:webHidden/>
              </w:rPr>
              <w:tab/>
            </w:r>
            <w:r w:rsidR="002B0484">
              <w:rPr>
                <w:noProof/>
                <w:webHidden/>
              </w:rPr>
              <w:fldChar w:fldCharType="begin"/>
            </w:r>
            <w:r w:rsidR="002B0484">
              <w:rPr>
                <w:noProof/>
                <w:webHidden/>
              </w:rPr>
              <w:instrText xml:space="preserve"> PAGEREF _Toc180416240 \h </w:instrText>
            </w:r>
            <w:r w:rsidR="002B0484">
              <w:rPr>
                <w:noProof/>
                <w:webHidden/>
              </w:rPr>
            </w:r>
            <w:r w:rsidR="002B0484">
              <w:rPr>
                <w:noProof/>
                <w:webHidden/>
              </w:rPr>
              <w:fldChar w:fldCharType="separate"/>
            </w:r>
            <w:r w:rsidR="002B0484">
              <w:rPr>
                <w:noProof/>
                <w:webHidden/>
              </w:rPr>
              <w:t>16</w:t>
            </w:r>
            <w:r w:rsidR="002B0484">
              <w:rPr>
                <w:noProof/>
                <w:webHidden/>
              </w:rPr>
              <w:fldChar w:fldCharType="end"/>
            </w:r>
          </w:hyperlink>
        </w:p>
        <w:p w14:paraId="7DF61452" w14:textId="135BAEC7" w:rsidR="002B0484" w:rsidRDefault="000C7ABC">
          <w:pPr>
            <w:pStyle w:val="TOC3"/>
            <w:rPr>
              <w:rFonts w:asciiTheme="minorHAnsi" w:eastAsiaTheme="minorEastAsia" w:hAnsiTheme="minorHAnsi" w:cstheme="minorBidi"/>
              <w:b w:val="0"/>
              <w:noProof/>
              <w:color w:val="auto"/>
              <w:kern w:val="2"/>
              <w:szCs w:val="22"/>
              <w:lang w:eastAsia="en-AU"/>
              <w14:ligatures w14:val="standardContextual"/>
            </w:rPr>
          </w:pPr>
          <w:hyperlink w:anchor="_Toc180416241" w:history="1">
            <w:r w:rsidR="002B0484" w:rsidRPr="001D252F">
              <w:rPr>
                <w:rStyle w:val="Hyperlink"/>
                <w:noProof/>
              </w:rPr>
              <w:t>Efficacy</w:t>
            </w:r>
            <w:r w:rsidR="002B0484">
              <w:rPr>
                <w:noProof/>
                <w:webHidden/>
              </w:rPr>
              <w:tab/>
            </w:r>
            <w:r w:rsidR="002B0484">
              <w:rPr>
                <w:noProof/>
                <w:webHidden/>
              </w:rPr>
              <w:fldChar w:fldCharType="begin"/>
            </w:r>
            <w:r w:rsidR="002B0484">
              <w:rPr>
                <w:noProof/>
                <w:webHidden/>
              </w:rPr>
              <w:instrText xml:space="preserve"> PAGEREF _Toc180416241 \h </w:instrText>
            </w:r>
            <w:r w:rsidR="002B0484">
              <w:rPr>
                <w:noProof/>
                <w:webHidden/>
              </w:rPr>
            </w:r>
            <w:r w:rsidR="002B0484">
              <w:rPr>
                <w:noProof/>
                <w:webHidden/>
              </w:rPr>
              <w:fldChar w:fldCharType="separate"/>
            </w:r>
            <w:r w:rsidR="002B0484">
              <w:rPr>
                <w:noProof/>
                <w:webHidden/>
              </w:rPr>
              <w:t>26</w:t>
            </w:r>
            <w:r w:rsidR="002B0484">
              <w:rPr>
                <w:noProof/>
                <w:webHidden/>
              </w:rPr>
              <w:fldChar w:fldCharType="end"/>
            </w:r>
          </w:hyperlink>
        </w:p>
        <w:p w14:paraId="64768872" w14:textId="79303CFC" w:rsidR="002B0484" w:rsidRDefault="000C7ABC">
          <w:pPr>
            <w:pStyle w:val="TOC3"/>
            <w:rPr>
              <w:rFonts w:asciiTheme="minorHAnsi" w:eastAsiaTheme="minorEastAsia" w:hAnsiTheme="minorHAnsi" w:cstheme="minorBidi"/>
              <w:b w:val="0"/>
              <w:noProof/>
              <w:color w:val="auto"/>
              <w:kern w:val="2"/>
              <w:szCs w:val="22"/>
              <w:lang w:eastAsia="en-AU"/>
              <w14:ligatures w14:val="standardContextual"/>
            </w:rPr>
          </w:pPr>
          <w:hyperlink w:anchor="_Toc180416242" w:history="1">
            <w:r w:rsidR="002B0484" w:rsidRPr="001D252F">
              <w:rPr>
                <w:rStyle w:val="Hyperlink"/>
                <w:noProof/>
              </w:rPr>
              <w:t>Safety</w:t>
            </w:r>
            <w:r w:rsidR="002B0484">
              <w:rPr>
                <w:noProof/>
                <w:webHidden/>
              </w:rPr>
              <w:tab/>
            </w:r>
            <w:r w:rsidR="002B0484">
              <w:rPr>
                <w:noProof/>
                <w:webHidden/>
              </w:rPr>
              <w:fldChar w:fldCharType="begin"/>
            </w:r>
            <w:r w:rsidR="002B0484">
              <w:rPr>
                <w:noProof/>
                <w:webHidden/>
              </w:rPr>
              <w:instrText xml:space="preserve"> PAGEREF _Toc180416242 \h </w:instrText>
            </w:r>
            <w:r w:rsidR="002B0484">
              <w:rPr>
                <w:noProof/>
                <w:webHidden/>
              </w:rPr>
            </w:r>
            <w:r w:rsidR="002B0484">
              <w:rPr>
                <w:noProof/>
                <w:webHidden/>
              </w:rPr>
              <w:fldChar w:fldCharType="separate"/>
            </w:r>
            <w:r w:rsidR="002B0484">
              <w:rPr>
                <w:noProof/>
                <w:webHidden/>
              </w:rPr>
              <w:t>50</w:t>
            </w:r>
            <w:r w:rsidR="002B0484">
              <w:rPr>
                <w:noProof/>
                <w:webHidden/>
              </w:rPr>
              <w:fldChar w:fldCharType="end"/>
            </w:r>
          </w:hyperlink>
        </w:p>
        <w:p w14:paraId="325D6497" w14:textId="5C716E88" w:rsidR="002B0484" w:rsidRDefault="000C7AB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80416243" w:history="1">
            <w:r w:rsidR="002B0484" w:rsidRPr="001D252F">
              <w:rPr>
                <w:rStyle w:val="Hyperlink"/>
                <w:noProof/>
              </w:rPr>
              <w:t>Risk management plan evaluation summary</w:t>
            </w:r>
            <w:r w:rsidR="002B0484">
              <w:rPr>
                <w:noProof/>
                <w:webHidden/>
              </w:rPr>
              <w:tab/>
            </w:r>
            <w:r w:rsidR="002B0484">
              <w:rPr>
                <w:noProof/>
                <w:webHidden/>
              </w:rPr>
              <w:fldChar w:fldCharType="begin"/>
            </w:r>
            <w:r w:rsidR="002B0484">
              <w:rPr>
                <w:noProof/>
                <w:webHidden/>
              </w:rPr>
              <w:instrText xml:space="preserve"> PAGEREF _Toc180416243 \h </w:instrText>
            </w:r>
            <w:r w:rsidR="002B0484">
              <w:rPr>
                <w:noProof/>
                <w:webHidden/>
              </w:rPr>
            </w:r>
            <w:r w:rsidR="002B0484">
              <w:rPr>
                <w:noProof/>
                <w:webHidden/>
              </w:rPr>
              <w:fldChar w:fldCharType="separate"/>
            </w:r>
            <w:r w:rsidR="002B0484">
              <w:rPr>
                <w:noProof/>
                <w:webHidden/>
              </w:rPr>
              <w:t>62</w:t>
            </w:r>
            <w:r w:rsidR="002B0484">
              <w:rPr>
                <w:noProof/>
                <w:webHidden/>
              </w:rPr>
              <w:fldChar w:fldCharType="end"/>
            </w:r>
          </w:hyperlink>
        </w:p>
        <w:p w14:paraId="43E8D344" w14:textId="23050977" w:rsidR="002B0484" w:rsidRDefault="000C7ABC">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80416244" w:history="1">
            <w:r w:rsidR="002B0484" w:rsidRPr="001D252F">
              <w:rPr>
                <w:rStyle w:val="Hyperlink"/>
                <w:noProof/>
              </w:rPr>
              <w:t>Risk-benefit analysis</w:t>
            </w:r>
            <w:r w:rsidR="002B0484">
              <w:rPr>
                <w:noProof/>
                <w:webHidden/>
              </w:rPr>
              <w:tab/>
            </w:r>
            <w:r w:rsidR="002B0484">
              <w:rPr>
                <w:noProof/>
                <w:webHidden/>
              </w:rPr>
              <w:fldChar w:fldCharType="begin"/>
            </w:r>
            <w:r w:rsidR="002B0484">
              <w:rPr>
                <w:noProof/>
                <w:webHidden/>
              </w:rPr>
              <w:instrText xml:space="preserve"> PAGEREF _Toc180416244 \h </w:instrText>
            </w:r>
            <w:r w:rsidR="002B0484">
              <w:rPr>
                <w:noProof/>
                <w:webHidden/>
              </w:rPr>
            </w:r>
            <w:r w:rsidR="002B0484">
              <w:rPr>
                <w:noProof/>
                <w:webHidden/>
              </w:rPr>
              <w:fldChar w:fldCharType="separate"/>
            </w:r>
            <w:r w:rsidR="002B0484">
              <w:rPr>
                <w:noProof/>
                <w:webHidden/>
              </w:rPr>
              <w:t>63</w:t>
            </w:r>
            <w:r w:rsidR="002B0484">
              <w:rPr>
                <w:noProof/>
                <w:webHidden/>
              </w:rPr>
              <w:fldChar w:fldCharType="end"/>
            </w:r>
          </w:hyperlink>
        </w:p>
        <w:p w14:paraId="55FDAC72" w14:textId="4019E795" w:rsidR="002B0484" w:rsidRDefault="000C7AB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80416245" w:history="1">
            <w:r w:rsidR="002B0484" w:rsidRPr="001D252F">
              <w:rPr>
                <w:rStyle w:val="Hyperlink"/>
                <w:noProof/>
              </w:rPr>
              <w:t>Conclusions</w:t>
            </w:r>
            <w:r w:rsidR="002B0484">
              <w:rPr>
                <w:noProof/>
                <w:webHidden/>
              </w:rPr>
              <w:tab/>
            </w:r>
            <w:r w:rsidR="002B0484">
              <w:rPr>
                <w:noProof/>
                <w:webHidden/>
              </w:rPr>
              <w:fldChar w:fldCharType="begin"/>
            </w:r>
            <w:r w:rsidR="002B0484">
              <w:rPr>
                <w:noProof/>
                <w:webHidden/>
              </w:rPr>
              <w:instrText xml:space="preserve"> PAGEREF _Toc180416245 \h </w:instrText>
            </w:r>
            <w:r w:rsidR="002B0484">
              <w:rPr>
                <w:noProof/>
                <w:webHidden/>
              </w:rPr>
            </w:r>
            <w:r w:rsidR="002B0484">
              <w:rPr>
                <w:noProof/>
                <w:webHidden/>
              </w:rPr>
              <w:fldChar w:fldCharType="separate"/>
            </w:r>
            <w:r w:rsidR="002B0484">
              <w:rPr>
                <w:noProof/>
                <w:webHidden/>
              </w:rPr>
              <w:t>66</w:t>
            </w:r>
            <w:r w:rsidR="002B0484">
              <w:rPr>
                <w:noProof/>
                <w:webHidden/>
              </w:rPr>
              <w:fldChar w:fldCharType="end"/>
            </w:r>
          </w:hyperlink>
        </w:p>
        <w:p w14:paraId="7FCD7BF5" w14:textId="17FBE736" w:rsidR="002B0484" w:rsidRDefault="000C7ABC">
          <w:pPr>
            <w:pStyle w:val="TOC3"/>
            <w:rPr>
              <w:rFonts w:asciiTheme="minorHAnsi" w:eastAsiaTheme="minorEastAsia" w:hAnsiTheme="minorHAnsi" w:cstheme="minorBidi"/>
              <w:b w:val="0"/>
              <w:noProof/>
              <w:color w:val="auto"/>
              <w:kern w:val="2"/>
              <w:szCs w:val="22"/>
              <w:lang w:eastAsia="en-AU"/>
              <w14:ligatures w14:val="standardContextual"/>
            </w:rPr>
          </w:pPr>
          <w:hyperlink w:anchor="_Toc180416246" w:history="1">
            <w:r w:rsidR="002B0484" w:rsidRPr="001D252F">
              <w:rPr>
                <w:rStyle w:val="Hyperlink"/>
                <w:noProof/>
              </w:rPr>
              <w:t>Advisory Committee considerations</w:t>
            </w:r>
            <w:r w:rsidR="002B0484">
              <w:rPr>
                <w:noProof/>
                <w:webHidden/>
              </w:rPr>
              <w:tab/>
            </w:r>
            <w:r w:rsidR="002B0484">
              <w:rPr>
                <w:noProof/>
                <w:webHidden/>
              </w:rPr>
              <w:fldChar w:fldCharType="begin"/>
            </w:r>
            <w:r w:rsidR="002B0484">
              <w:rPr>
                <w:noProof/>
                <w:webHidden/>
              </w:rPr>
              <w:instrText xml:space="preserve"> PAGEREF _Toc180416246 \h </w:instrText>
            </w:r>
            <w:r w:rsidR="002B0484">
              <w:rPr>
                <w:noProof/>
                <w:webHidden/>
              </w:rPr>
            </w:r>
            <w:r w:rsidR="002B0484">
              <w:rPr>
                <w:noProof/>
                <w:webHidden/>
              </w:rPr>
              <w:fldChar w:fldCharType="separate"/>
            </w:r>
            <w:r w:rsidR="002B0484">
              <w:rPr>
                <w:noProof/>
                <w:webHidden/>
              </w:rPr>
              <w:t>66</w:t>
            </w:r>
            <w:r w:rsidR="002B0484">
              <w:rPr>
                <w:noProof/>
                <w:webHidden/>
              </w:rPr>
              <w:fldChar w:fldCharType="end"/>
            </w:r>
          </w:hyperlink>
        </w:p>
        <w:p w14:paraId="09197173" w14:textId="327528B3" w:rsidR="002B0484" w:rsidRDefault="000C7ABC">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80416247" w:history="1">
            <w:r w:rsidR="002B0484" w:rsidRPr="001D252F">
              <w:rPr>
                <w:rStyle w:val="Hyperlink"/>
                <w:noProof/>
              </w:rPr>
              <w:t>Outcome</w:t>
            </w:r>
            <w:r w:rsidR="002B0484">
              <w:rPr>
                <w:noProof/>
                <w:webHidden/>
              </w:rPr>
              <w:tab/>
            </w:r>
            <w:r w:rsidR="002B0484">
              <w:rPr>
                <w:noProof/>
                <w:webHidden/>
              </w:rPr>
              <w:fldChar w:fldCharType="begin"/>
            </w:r>
            <w:r w:rsidR="002B0484">
              <w:rPr>
                <w:noProof/>
                <w:webHidden/>
              </w:rPr>
              <w:instrText xml:space="preserve"> PAGEREF _Toc180416247 \h </w:instrText>
            </w:r>
            <w:r w:rsidR="002B0484">
              <w:rPr>
                <w:noProof/>
                <w:webHidden/>
              </w:rPr>
            </w:r>
            <w:r w:rsidR="002B0484">
              <w:rPr>
                <w:noProof/>
                <w:webHidden/>
              </w:rPr>
              <w:fldChar w:fldCharType="separate"/>
            </w:r>
            <w:r w:rsidR="002B0484">
              <w:rPr>
                <w:noProof/>
                <w:webHidden/>
              </w:rPr>
              <w:t>67</w:t>
            </w:r>
            <w:r w:rsidR="002B0484">
              <w:rPr>
                <w:noProof/>
                <w:webHidden/>
              </w:rPr>
              <w:fldChar w:fldCharType="end"/>
            </w:r>
          </w:hyperlink>
        </w:p>
        <w:p w14:paraId="3021FD9A" w14:textId="45FE16F8" w:rsidR="002B0484" w:rsidRDefault="000C7ABC">
          <w:pPr>
            <w:pStyle w:val="TOC3"/>
            <w:rPr>
              <w:rFonts w:asciiTheme="minorHAnsi" w:eastAsiaTheme="minorEastAsia" w:hAnsiTheme="minorHAnsi" w:cstheme="minorBidi"/>
              <w:b w:val="0"/>
              <w:noProof/>
              <w:color w:val="auto"/>
              <w:kern w:val="2"/>
              <w:szCs w:val="22"/>
              <w:lang w:eastAsia="en-AU"/>
              <w14:ligatures w14:val="standardContextual"/>
            </w:rPr>
          </w:pPr>
          <w:hyperlink w:anchor="_Toc180416248" w:history="1">
            <w:r w:rsidR="002B0484" w:rsidRPr="001D252F">
              <w:rPr>
                <w:rStyle w:val="Hyperlink"/>
                <w:noProof/>
              </w:rPr>
              <w:t>Specific conditions of registration applying to these goods</w:t>
            </w:r>
            <w:r w:rsidR="002B0484">
              <w:rPr>
                <w:noProof/>
                <w:webHidden/>
              </w:rPr>
              <w:tab/>
            </w:r>
            <w:r w:rsidR="002B0484">
              <w:rPr>
                <w:noProof/>
                <w:webHidden/>
              </w:rPr>
              <w:fldChar w:fldCharType="begin"/>
            </w:r>
            <w:r w:rsidR="002B0484">
              <w:rPr>
                <w:noProof/>
                <w:webHidden/>
              </w:rPr>
              <w:instrText xml:space="preserve"> PAGEREF _Toc180416248 \h </w:instrText>
            </w:r>
            <w:r w:rsidR="002B0484">
              <w:rPr>
                <w:noProof/>
                <w:webHidden/>
              </w:rPr>
            </w:r>
            <w:r w:rsidR="002B0484">
              <w:rPr>
                <w:noProof/>
                <w:webHidden/>
              </w:rPr>
              <w:fldChar w:fldCharType="separate"/>
            </w:r>
            <w:r w:rsidR="002B0484">
              <w:rPr>
                <w:noProof/>
                <w:webHidden/>
              </w:rPr>
              <w:t>67</w:t>
            </w:r>
            <w:r w:rsidR="002B0484">
              <w:rPr>
                <w:noProof/>
                <w:webHidden/>
              </w:rPr>
              <w:fldChar w:fldCharType="end"/>
            </w:r>
          </w:hyperlink>
        </w:p>
        <w:p w14:paraId="230AD8F6" w14:textId="3691A077" w:rsidR="002B0484" w:rsidRDefault="000C7ABC">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80416249" w:history="1">
            <w:r w:rsidR="002B0484" w:rsidRPr="001D252F">
              <w:rPr>
                <w:rStyle w:val="Hyperlink"/>
                <w:noProof/>
              </w:rPr>
              <w:t>Attachment 1. Product Information</w:t>
            </w:r>
            <w:r w:rsidR="002B0484">
              <w:rPr>
                <w:noProof/>
                <w:webHidden/>
              </w:rPr>
              <w:tab/>
            </w:r>
            <w:r w:rsidR="002B0484">
              <w:rPr>
                <w:noProof/>
                <w:webHidden/>
              </w:rPr>
              <w:fldChar w:fldCharType="begin"/>
            </w:r>
            <w:r w:rsidR="002B0484">
              <w:rPr>
                <w:noProof/>
                <w:webHidden/>
              </w:rPr>
              <w:instrText xml:space="preserve"> PAGEREF _Toc180416249 \h </w:instrText>
            </w:r>
            <w:r w:rsidR="002B0484">
              <w:rPr>
                <w:noProof/>
                <w:webHidden/>
              </w:rPr>
            </w:r>
            <w:r w:rsidR="002B0484">
              <w:rPr>
                <w:noProof/>
                <w:webHidden/>
              </w:rPr>
              <w:fldChar w:fldCharType="separate"/>
            </w:r>
            <w:r w:rsidR="002B0484">
              <w:rPr>
                <w:noProof/>
                <w:webHidden/>
              </w:rPr>
              <w:t>68</w:t>
            </w:r>
            <w:r w:rsidR="002B0484">
              <w:rPr>
                <w:noProof/>
                <w:webHidden/>
              </w:rPr>
              <w:fldChar w:fldCharType="end"/>
            </w:r>
          </w:hyperlink>
        </w:p>
        <w:p w14:paraId="77659F2D" w14:textId="72320AF0"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A202DD">
      <w:pPr>
        <w:pStyle w:val="Heading3"/>
      </w:pPr>
      <w:bookmarkStart w:id="1" w:name="_Toc98931917"/>
      <w:bookmarkStart w:id="2" w:name="_Toc103679287"/>
      <w:bookmarkStart w:id="3" w:name="_Toc180416228"/>
      <w:bookmarkStart w:id="4" w:name="_Toc323739589"/>
      <w:bookmarkStart w:id="5" w:name="_Toc356305216"/>
      <w:r>
        <w:t>List of abbreviations</w:t>
      </w:r>
      <w:bookmarkEnd w:id="1"/>
      <w:bookmarkEnd w:id="2"/>
      <w:bookmarkEnd w:id="3"/>
    </w:p>
    <w:tbl>
      <w:tblPr>
        <w:tblStyle w:val="TableTGAblue2023"/>
        <w:tblW w:w="5000" w:type="pct"/>
        <w:tblLook w:val="04A0" w:firstRow="1" w:lastRow="0" w:firstColumn="1" w:lastColumn="0" w:noHBand="0" w:noVBand="1"/>
      </w:tblPr>
      <w:tblGrid>
        <w:gridCol w:w="2174"/>
        <w:gridCol w:w="6886"/>
      </w:tblGrid>
      <w:tr w:rsidR="00324B33" w:rsidRPr="003479A4"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6B10FA" w:rsidRDefault="00324B33" w:rsidP="00324B33">
            <w:pPr>
              <w:rPr>
                <w:szCs w:val="22"/>
              </w:rPr>
            </w:pPr>
            <w:r w:rsidRPr="006B10FA">
              <w:rPr>
                <w:szCs w:val="22"/>
              </w:rPr>
              <w:t>Abbreviation</w:t>
            </w:r>
          </w:p>
        </w:tc>
        <w:tc>
          <w:tcPr>
            <w:tcW w:w="3800" w:type="pct"/>
          </w:tcPr>
          <w:p w14:paraId="4CF6D0CD" w14:textId="2974FA0B" w:rsidR="00324B33" w:rsidRPr="006B10FA"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6B10FA">
              <w:rPr>
                <w:szCs w:val="22"/>
              </w:rPr>
              <w:t>Meaning</w:t>
            </w:r>
          </w:p>
        </w:tc>
      </w:tr>
      <w:tr w:rsidR="003479A4" w:rsidRPr="003479A4"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3FA616DC" w:rsidR="003479A4" w:rsidRPr="006B10FA" w:rsidRDefault="003479A4" w:rsidP="003479A4">
            <w:pPr>
              <w:rPr>
                <w:szCs w:val="22"/>
              </w:rPr>
            </w:pPr>
            <w:r w:rsidRPr="006B10FA">
              <w:rPr>
                <w:szCs w:val="22"/>
              </w:rPr>
              <w:t>ACM</w:t>
            </w:r>
          </w:p>
        </w:tc>
        <w:tc>
          <w:tcPr>
            <w:tcW w:w="3800" w:type="pct"/>
          </w:tcPr>
          <w:p w14:paraId="4458E485" w14:textId="463B82E3"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szCs w:val="22"/>
              </w:rPr>
            </w:pPr>
            <w:r w:rsidRPr="006B10FA">
              <w:rPr>
                <w:szCs w:val="22"/>
              </w:rPr>
              <w:t>Advisory Committee on Medicines</w:t>
            </w:r>
          </w:p>
        </w:tc>
      </w:tr>
      <w:tr w:rsidR="00127959" w:rsidRPr="003479A4" w14:paraId="2C8657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CFA8D" w14:textId="7A4666E2" w:rsidR="00127959" w:rsidRPr="006B10FA" w:rsidRDefault="00127959" w:rsidP="00127959">
            <w:pPr>
              <w:rPr>
                <w:szCs w:val="22"/>
              </w:rPr>
            </w:pPr>
            <w:r w:rsidRPr="006B10FA">
              <w:rPr>
                <w:rFonts w:eastAsiaTheme="minorHAnsi" w:cs="Calibri"/>
                <w:szCs w:val="22"/>
              </w:rPr>
              <w:t>AD</w:t>
            </w:r>
          </w:p>
        </w:tc>
        <w:tc>
          <w:tcPr>
            <w:tcW w:w="3800" w:type="pct"/>
          </w:tcPr>
          <w:p w14:paraId="53D4D108" w14:textId="04DDDBB4"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szCs w:val="22"/>
              </w:rPr>
            </w:pPr>
            <w:r w:rsidRPr="006B10FA">
              <w:rPr>
                <w:rFonts w:eastAsiaTheme="minorHAnsi" w:cs="Calibri"/>
                <w:szCs w:val="22"/>
              </w:rPr>
              <w:t>atopic dermatitis</w:t>
            </w:r>
          </w:p>
        </w:tc>
      </w:tr>
      <w:tr w:rsidR="00127959" w:rsidRPr="003479A4" w14:paraId="09C41BF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ACA2B0" w14:textId="43723AA2" w:rsidR="00127959" w:rsidRPr="006B10FA" w:rsidRDefault="00127959" w:rsidP="00127959">
            <w:pPr>
              <w:rPr>
                <w:rFonts w:cs="Calibri"/>
                <w:szCs w:val="22"/>
              </w:rPr>
            </w:pPr>
            <w:r w:rsidRPr="006B10FA">
              <w:rPr>
                <w:rFonts w:eastAsiaTheme="minorHAnsi" w:cs="Calibri"/>
                <w:szCs w:val="22"/>
              </w:rPr>
              <w:t xml:space="preserve">ADA </w:t>
            </w:r>
          </w:p>
        </w:tc>
        <w:tc>
          <w:tcPr>
            <w:tcW w:w="3800" w:type="pct"/>
          </w:tcPr>
          <w:p w14:paraId="6BE9F760" w14:textId="10403983"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anti-drug antibody</w:t>
            </w:r>
          </w:p>
        </w:tc>
      </w:tr>
      <w:tr w:rsidR="00127959" w:rsidRPr="003479A4" w14:paraId="2FAF873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0C0383" w14:textId="7BE38379" w:rsidR="00127959" w:rsidRPr="006B10FA" w:rsidRDefault="00127959" w:rsidP="00127959">
            <w:pPr>
              <w:rPr>
                <w:rFonts w:cs="Calibri"/>
                <w:szCs w:val="22"/>
              </w:rPr>
            </w:pPr>
            <w:r w:rsidRPr="006B10FA">
              <w:rPr>
                <w:rFonts w:eastAsiaTheme="minorHAnsi" w:cs="Calibri"/>
                <w:szCs w:val="22"/>
              </w:rPr>
              <w:t xml:space="preserve">ADhere </w:t>
            </w:r>
          </w:p>
        </w:tc>
        <w:tc>
          <w:tcPr>
            <w:tcW w:w="3800" w:type="pct"/>
          </w:tcPr>
          <w:p w14:paraId="5AEF76DB" w14:textId="6237BD21"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Study KGAD - Study J2T-DM-KGAD (KGAD/AD06), DRM06-AD06</w:t>
            </w:r>
          </w:p>
        </w:tc>
      </w:tr>
      <w:tr w:rsidR="00127959" w:rsidRPr="003479A4" w14:paraId="76F6560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837C27" w14:textId="634E40EF" w:rsidR="00127959" w:rsidRPr="006B10FA" w:rsidRDefault="00127959" w:rsidP="00127959">
            <w:pPr>
              <w:rPr>
                <w:rFonts w:cs="Calibri"/>
                <w:szCs w:val="22"/>
              </w:rPr>
            </w:pPr>
            <w:r w:rsidRPr="006B10FA">
              <w:rPr>
                <w:rFonts w:eastAsiaTheme="minorHAnsi" w:cs="Calibri"/>
                <w:szCs w:val="22"/>
              </w:rPr>
              <w:t xml:space="preserve">ADhere-J </w:t>
            </w:r>
          </w:p>
        </w:tc>
        <w:tc>
          <w:tcPr>
            <w:tcW w:w="3800" w:type="pct"/>
          </w:tcPr>
          <w:p w14:paraId="2C3E8EBB" w14:textId="4C1E0DE1"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Study KGAL - Study J2T-JE-KGAL</w:t>
            </w:r>
          </w:p>
        </w:tc>
      </w:tr>
      <w:tr w:rsidR="00127959" w:rsidRPr="003479A4" w14:paraId="62ADE26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50E039" w14:textId="43D3DB71" w:rsidR="00127959" w:rsidRPr="006B10FA" w:rsidRDefault="00127959" w:rsidP="00127959">
            <w:pPr>
              <w:rPr>
                <w:rFonts w:cs="Calibri"/>
                <w:szCs w:val="22"/>
              </w:rPr>
            </w:pPr>
            <w:r w:rsidRPr="006B10FA">
              <w:rPr>
                <w:rFonts w:eastAsiaTheme="minorHAnsi" w:cs="Calibri"/>
                <w:szCs w:val="22"/>
              </w:rPr>
              <w:t xml:space="preserve">ADjoin </w:t>
            </w:r>
          </w:p>
        </w:tc>
        <w:tc>
          <w:tcPr>
            <w:tcW w:w="3800" w:type="pct"/>
          </w:tcPr>
          <w:p w14:paraId="13B6B0EB" w14:textId="31965D36"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Study KGAA - Study J2T-DM-KGAA (KGAA/AD07), DRM06/AD07</w:t>
            </w:r>
          </w:p>
        </w:tc>
      </w:tr>
      <w:tr w:rsidR="00127959" w:rsidRPr="003479A4" w14:paraId="636B517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DD5173" w14:textId="2720287B" w:rsidR="00127959" w:rsidRPr="006B10FA" w:rsidRDefault="00127959" w:rsidP="00127959">
            <w:pPr>
              <w:rPr>
                <w:rFonts w:cs="Calibri"/>
                <w:szCs w:val="22"/>
              </w:rPr>
            </w:pPr>
            <w:r w:rsidRPr="006B10FA">
              <w:rPr>
                <w:rFonts w:eastAsiaTheme="minorHAnsi" w:cs="Calibri"/>
                <w:szCs w:val="22"/>
              </w:rPr>
              <w:t xml:space="preserve">ADopt-VA </w:t>
            </w:r>
          </w:p>
        </w:tc>
        <w:tc>
          <w:tcPr>
            <w:tcW w:w="3800" w:type="pct"/>
          </w:tcPr>
          <w:p w14:paraId="3E8A870A" w14:textId="17BDB4A7"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Study KGAK - Study J2T-DM-KGAK</w:t>
            </w:r>
          </w:p>
        </w:tc>
      </w:tr>
      <w:tr w:rsidR="00127959" w:rsidRPr="003479A4" w14:paraId="49B32FF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5872C9" w14:textId="7A42EBBE" w:rsidR="00127959" w:rsidRPr="006B10FA" w:rsidRDefault="00127959" w:rsidP="00127959">
            <w:pPr>
              <w:rPr>
                <w:rFonts w:cs="Calibri"/>
                <w:szCs w:val="22"/>
              </w:rPr>
            </w:pPr>
            <w:r w:rsidRPr="006B10FA">
              <w:rPr>
                <w:rFonts w:eastAsiaTheme="minorHAnsi" w:cs="Calibri"/>
                <w:szCs w:val="22"/>
              </w:rPr>
              <w:t xml:space="preserve">ADore </w:t>
            </w:r>
          </w:p>
        </w:tc>
        <w:tc>
          <w:tcPr>
            <w:tcW w:w="3800" w:type="pct"/>
          </w:tcPr>
          <w:p w14:paraId="233880D5" w14:textId="745AC4E4"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Study KGAE - Study J2T-DM-KGAE (KGAE/AD17), DRM06-AD17</w:t>
            </w:r>
          </w:p>
        </w:tc>
      </w:tr>
      <w:tr w:rsidR="00127959" w:rsidRPr="003479A4" w14:paraId="108A746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0F3A2F" w14:textId="2AA0B857" w:rsidR="00127959" w:rsidRPr="006B10FA" w:rsidRDefault="00127959" w:rsidP="00127959">
            <w:pPr>
              <w:rPr>
                <w:rFonts w:cs="Calibri"/>
                <w:szCs w:val="22"/>
              </w:rPr>
            </w:pPr>
            <w:r w:rsidRPr="006B10FA">
              <w:rPr>
                <w:rFonts w:eastAsiaTheme="minorHAnsi" w:cs="Calibri"/>
                <w:szCs w:val="22"/>
              </w:rPr>
              <w:t xml:space="preserve">ADvantage </w:t>
            </w:r>
          </w:p>
        </w:tc>
        <w:tc>
          <w:tcPr>
            <w:tcW w:w="3800" w:type="pct"/>
          </w:tcPr>
          <w:p w14:paraId="0337D8F2" w14:textId="72CCA410"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Study M-17923-30</w:t>
            </w:r>
          </w:p>
        </w:tc>
      </w:tr>
      <w:tr w:rsidR="00127959" w:rsidRPr="003479A4" w14:paraId="22004B2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97F54E" w14:textId="004F74EE" w:rsidR="00127959" w:rsidRPr="006B10FA" w:rsidRDefault="00127959" w:rsidP="00127959">
            <w:pPr>
              <w:rPr>
                <w:rFonts w:cs="Calibri"/>
                <w:szCs w:val="22"/>
              </w:rPr>
            </w:pPr>
            <w:r w:rsidRPr="006B10FA">
              <w:rPr>
                <w:rFonts w:eastAsiaTheme="minorHAnsi" w:cs="Calibri"/>
                <w:szCs w:val="22"/>
              </w:rPr>
              <w:t>ADvocate 1</w:t>
            </w:r>
          </w:p>
        </w:tc>
        <w:tc>
          <w:tcPr>
            <w:tcW w:w="3800" w:type="pct"/>
          </w:tcPr>
          <w:p w14:paraId="58AA8D6C" w14:textId="03458191"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cs="Calibri"/>
                <w:szCs w:val="22"/>
              </w:rPr>
              <w:t xml:space="preserve">Study KGAB - </w:t>
            </w:r>
            <w:r w:rsidRPr="006B10FA">
              <w:rPr>
                <w:rFonts w:eastAsiaTheme="minorHAnsi" w:cs="Calibri"/>
                <w:szCs w:val="22"/>
              </w:rPr>
              <w:t>Study J2T-DM-KGAB (KGAB/AD04), DRM06-AD04</w:t>
            </w:r>
          </w:p>
        </w:tc>
      </w:tr>
      <w:tr w:rsidR="00127959" w:rsidRPr="003479A4" w14:paraId="3F6C9F6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862876" w14:textId="452C2FA0" w:rsidR="00127959" w:rsidRPr="006B10FA" w:rsidRDefault="00127959" w:rsidP="00127959">
            <w:pPr>
              <w:rPr>
                <w:rFonts w:cs="Calibri"/>
                <w:szCs w:val="22"/>
              </w:rPr>
            </w:pPr>
            <w:r w:rsidRPr="006B10FA">
              <w:rPr>
                <w:rFonts w:eastAsiaTheme="minorHAnsi" w:cs="Calibri"/>
                <w:szCs w:val="22"/>
              </w:rPr>
              <w:t xml:space="preserve">ADvocate 2 </w:t>
            </w:r>
          </w:p>
        </w:tc>
        <w:tc>
          <w:tcPr>
            <w:tcW w:w="3800" w:type="pct"/>
          </w:tcPr>
          <w:p w14:paraId="7BCB403F" w14:textId="4B2BD49B"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 xml:space="preserve">Study KGAC - Study J2T-DM-KGAC (KGAC/AD05), DRM06/AD05 </w:t>
            </w:r>
          </w:p>
        </w:tc>
      </w:tr>
      <w:tr w:rsidR="00127959" w:rsidRPr="003479A4" w14:paraId="1BA2239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05F4BF" w14:textId="363C6087" w:rsidR="00127959" w:rsidRPr="006B10FA" w:rsidRDefault="00127959" w:rsidP="00127959">
            <w:pPr>
              <w:rPr>
                <w:rFonts w:cs="Calibri"/>
                <w:szCs w:val="22"/>
              </w:rPr>
            </w:pPr>
            <w:r w:rsidRPr="006B10FA">
              <w:rPr>
                <w:rFonts w:cs="Calibri"/>
                <w:szCs w:val="22"/>
              </w:rPr>
              <w:t>ADR</w:t>
            </w:r>
          </w:p>
        </w:tc>
        <w:tc>
          <w:tcPr>
            <w:tcW w:w="3800" w:type="pct"/>
          </w:tcPr>
          <w:p w14:paraId="538B21F2" w14:textId="454FDA82"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adverse drug reaction</w:t>
            </w:r>
          </w:p>
        </w:tc>
      </w:tr>
      <w:tr w:rsidR="00127959" w:rsidRPr="003479A4" w14:paraId="0737A32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654CA5" w14:textId="7C7B5BF2" w:rsidR="00127959" w:rsidRPr="006B10FA" w:rsidRDefault="00127959" w:rsidP="00127959">
            <w:pPr>
              <w:rPr>
                <w:rFonts w:cs="Calibri"/>
                <w:szCs w:val="22"/>
              </w:rPr>
            </w:pPr>
            <w:r w:rsidRPr="006B10FA">
              <w:rPr>
                <w:rFonts w:eastAsiaTheme="minorHAnsi" w:cs="Calibri"/>
                <w:szCs w:val="22"/>
              </w:rPr>
              <w:t xml:space="preserve">AE </w:t>
            </w:r>
          </w:p>
        </w:tc>
        <w:tc>
          <w:tcPr>
            <w:tcW w:w="3800" w:type="pct"/>
          </w:tcPr>
          <w:p w14:paraId="023A0753" w14:textId="23835402"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adverse event</w:t>
            </w:r>
          </w:p>
        </w:tc>
      </w:tr>
      <w:tr w:rsidR="00127959" w:rsidRPr="003479A4" w14:paraId="6D68B81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7D85C7" w14:textId="656A44D5" w:rsidR="00127959" w:rsidRPr="006B10FA" w:rsidRDefault="00127959" w:rsidP="00127959">
            <w:pPr>
              <w:rPr>
                <w:rFonts w:cs="Calibri"/>
                <w:szCs w:val="22"/>
              </w:rPr>
            </w:pPr>
            <w:r w:rsidRPr="006B10FA">
              <w:rPr>
                <w:rFonts w:eastAsiaTheme="minorHAnsi" w:cs="Calibri"/>
                <w:szCs w:val="22"/>
              </w:rPr>
              <w:t>AESI</w:t>
            </w:r>
          </w:p>
        </w:tc>
        <w:tc>
          <w:tcPr>
            <w:tcW w:w="3800" w:type="pct"/>
          </w:tcPr>
          <w:p w14:paraId="3881FA36" w14:textId="38DF8582"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adverse event of special interest</w:t>
            </w:r>
          </w:p>
        </w:tc>
      </w:tr>
      <w:tr w:rsidR="00127959" w:rsidRPr="003479A4" w14:paraId="0D1D946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49BB06" w14:textId="42D2C840" w:rsidR="00127959" w:rsidRPr="006B10FA" w:rsidRDefault="00127959" w:rsidP="00127959">
            <w:pPr>
              <w:rPr>
                <w:rFonts w:cs="Calibri"/>
                <w:szCs w:val="22"/>
              </w:rPr>
            </w:pPr>
            <w:r w:rsidRPr="006B10FA">
              <w:rPr>
                <w:rFonts w:eastAsiaTheme="minorHAnsi" w:cs="Calibri"/>
                <w:szCs w:val="22"/>
              </w:rPr>
              <w:t>AI</w:t>
            </w:r>
          </w:p>
        </w:tc>
        <w:tc>
          <w:tcPr>
            <w:tcW w:w="3800" w:type="pct"/>
          </w:tcPr>
          <w:p w14:paraId="3A98A5CE" w14:textId="2B5905C2"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autioinjector</w:t>
            </w:r>
          </w:p>
        </w:tc>
      </w:tr>
      <w:tr w:rsidR="00127959" w:rsidRPr="003479A4" w14:paraId="5AD7A56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90DCBD" w14:textId="1DF283A5" w:rsidR="00127959" w:rsidRPr="006B10FA" w:rsidRDefault="00127959" w:rsidP="00127959">
            <w:pPr>
              <w:rPr>
                <w:rFonts w:cs="Calibri"/>
                <w:szCs w:val="22"/>
              </w:rPr>
            </w:pPr>
            <w:r w:rsidRPr="006B10FA">
              <w:rPr>
                <w:rFonts w:eastAsiaTheme="minorHAnsi" w:cs="Calibri"/>
                <w:szCs w:val="22"/>
              </w:rPr>
              <w:t xml:space="preserve">ARBAN </w:t>
            </w:r>
          </w:p>
        </w:tc>
        <w:tc>
          <w:tcPr>
            <w:tcW w:w="3800" w:type="pct"/>
          </w:tcPr>
          <w:p w14:paraId="0570FE47" w14:textId="7BB10F21"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KGAH - Study J2T-DM-KGAH (KGAH/ARBAN)</w:t>
            </w:r>
          </w:p>
        </w:tc>
      </w:tr>
      <w:tr w:rsidR="00127959" w:rsidRPr="003479A4" w14:paraId="7FA14FE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EA968F" w14:textId="6A829426" w:rsidR="00127959" w:rsidRPr="006B10FA" w:rsidRDefault="00127959" w:rsidP="00127959">
            <w:pPr>
              <w:rPr>
                <w:rFonts w:cs="Calibri"/>
                <w:szCs w:val="22"/>
              </w:rPr>
            </w:pPr>
            <w:r w:rsidRPr="006B10FA">
              <w:rPr>
                <w:rFonts w:eastAsiaTheme="minorHAnsi" w:cs="Calibri"/>
                <w:szCs w:val="22"/>
              </w:rPr>
              <w:t xml:space="preserve">ALT </w:t>
            </w:r>
          </w:p>
        </w:tc>
        <w:tc>
          <w:tcPr>
            <w:tcW w:w="3800" w:type="pct"/>
          </w:tcPr>
          <w:p w14:paraId="419EAEB6" w14:textId="2E7A6A2B"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alanine aminotransferase</w:t>
            </w:r>
          </w:p>
        </w:tc>
      </w:tr>
      <w:tr w:rsidR="00127959" w:rsidRPr="003479A4" w14:paraId="5BA361A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4F999A" w14:textId="25E5960A" w:rsidR="00127959" w:rsidRPr="006B10FA" w:rsidRDefault="00127959" w:rsidP="00127959">
            <w:pPr>
              <w:rPr>
                <w:rFonts w:cs="Calibri"/>
                <w:szCs w:val="22"/>
              </w:rPr>
            </w:pPr>
            <w:r w:rsidRPr="006B10FA">
              <w:rPr>
                <w:rFonts w:eastAsiaTheme="minorHAnsi" w:cs="Calibri"/>
                <w:szCs w:val="22"/>
              </w:rPr>
              <w:t>ALP</w:t>
            </w:r>
          </w:p>
        </w:tc>
        <w:tc>
          <w:tcPr>
            <w:tcW w:w="3800" w:type="pct"/>
          </w:tcPr>
          <w:p w14:paraId="31C48808" w14:textId="73B9BFB7"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alkaline phosphatase</w:t>
            </w:r>
          </w:p>
        </w:tc>
      </w:tr>
      <w:tr w:rsidR="00127959" w:rsidRPr="003479A4" w14:paraId="048EC2F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63888E" w14:textId="73DA2956" w:rsidR="00127959" w:rsidRPr="006B10FA" w:rsidRDefault="00127959" w:rsidP="00127959">
            <w:pPr>
              <w:rPr>
                <w:rFonts w:cs="Calibri"/>
                <w:szCs w:val="22"/>
              </w:rPr>
            </w:pPr>
            <w:r w:rsidRPr="006B10FA">
              <w:rPr>
                <w:rFonts w:eastAsiaTheme="minorHAnsi" w:cs="Calibri"/>
                <w:szCs w:val="22"/>
              </w:rPr>
              <w:t xml:space="preserve">ANCOVA </w:t>
            </w:r>
          </w:p>
        </w:tc>
        <w:tc>
          <w:tcPr>
            <w:tcW w:w="3800" w:type="pct"/>
          </w:tcPr>
          <w:p w14:paraId="1D7AA168" w14:textId="1370BD82"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analysis of covariance</w:t>
            </w:r>
          </w:p>
        </w:tc>
      </w:tr>
      <w:tr w:rsidR="003479A4" w:rsidRPr="003479A4" w14:paraId="05ED034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33F7F" w14:textId="15398420" w:rsidR="003479A4" w:rsidRPr="006B10FA" w:rsidRDefault="003479A4" w:rsidP="003479A4">
            <w:pPr>
              <w:rPr>
                <w:rFonts w:cs="Calibri"/>
                <w:szCs w:val="22"/>
              </w:rPr>
            </w:pPr>
            <w:r w:rsidRPr="006B10FA">
              <w:rPr>
                <w:szCs w:val="22"/>
              </w:rPr>
              <w:t>ARTG</w:t>
            </w:r>
          </w:p>
        </w:tc>
        <w:tc>
          <w:tcPr>
            <w:tcW w:w="3800" w:type="pct"/>
          </w:tcPr>
          <w:p w14:paraId="0F27D397" w14:textId="5A8E7798"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szCs w:val="22"/>
              </w:rPr>
              <w:t>Australian Register of Therapeutic Goods</w:t>
            </w:r>
          </w:p>
        </w:tc>
      </w:tr>
      <w:tr w:rsidR="00127959" w:rsidRPr="003479A4" w14:paraId="1BC3EDB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B0E21C" w14:textId="4683A77A" w:rsidR="00127959" w:rsidRPr="006B10FA" w:rsidRDefault="00127959" w:rsidP="00127959">
            <w:pPr>
              <w:rPr>
                <w:rFonts w:cs="Calibri"/>
                <w:szCs w:val="22"/>
              </w:rPr>
            </w:pPr>
            <w:r w:rsidRPr="006B10FA">
              <w:rPr>
                <w:rFonts w:eastAsiaTheme="minorHAnsi" w:cs="Calibri"/>
                <w:szCs w:val="22"/>
              </w:rPr>
              <w:t xml:space="preserve">AST </w:t>
            </w:r>
          </w:p>
        </w:tc>
        <w:tc>
          <w:tcPr>
            <w:tcW w:w="3800" w:type="pct"/>
          </w:tcPr>
          <w:p w14:paraId="12DF4E1A" w14:textId="43BCC1EC"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aspartate aminotransferase</w:t>
            </w:r>
          </w:p>
        </w:tc>
      </w:tr>
      <w:tr w:rsidR="00127959" w:rsidRPr="003479A4" w14:paraId="28C2CBF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3946FD" w14:textId="5418CA14" w:rsidR="00127959" w:rsidRPr="006B10FA" w:rsidRDefault="00127959" w:rsidP="00127959">
            <w:pPr>
              <w:rPr>
                <w:rFonts w:cs="Calibri"/>
                <w:szCs w:val="22"/>
              </w:rPr>
            </w:pPr>
            <w:r w:rsidRPr="006B10FA">
              <w:rPr>
                <w:rFonts w:eastAsiaTheme="minorHAnsi" w:cs="Calibri"/>
                <w:szCs w:val="22"/>
              </w:rPr>
              <w:t xml:space="preserve">BMI </w:t>
            </w:r>
          </w:p>
        </w:tc>
        <w:tc>
          <w:tcPr>
            <w:tcW w:w="3800" w:type="pct"/>
          </w:tcPr>
          <w:p w14:paraId="13651AD3" w14:textId="560D564D"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body mass index</w:t>
            </w:r>
          </w:p>
        </w:tc>
      </w:tr>
      <w:tr w:rsidR="00127959" w:rsidRPr="003479A4" w14:paraId="6F5E600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1334BC" w14:textId="12974CF5" w:rsidR="00127959" w:rsidRPr="006B10FA" w:rsidRDefault="00127959" w:rsidP="00127959">
            <w:pPr>
              <w:rPr>
                <w:rFonts w:cs="Calibri"/>
                <w:szCs w:val="22"/>
              </w:rPr>
            </w:pPr>
            <w:r w:rsidRPr="006B10FA">
              <w:rPr>
                <w:rFonts w:eastAsiaTheme="minorHAnsi" w:cs="Calibri"/>
                <w:szCs w:val="22"/>
              </w:rPr>
              <w:t xml:space="preserve">BP </w:t>
            </w:r>
          </w:p>
        </w:tc>
        <w:tc>
          <w:tcPr>
            <w:tcW w:w="3800" w:type="pct"/>
          </w:tcPr>
          <w:p w14:paraId="12DACFB0" w14:textId="51700714"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blood pressure</w:t>
            </w:r>
          </w:p>
        </w:tc>
      </w:tr>
      <w:tr w:rsidR="00127959" w:rsidRPr="003479A4" w14:paraId="6CA0602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30F5A0" w14:textId="5F949BA4" w:rsidR="00127959" w:rsidRPr="006B10FA" w:rsidRDefault="00127959" w:rsidP="00127959">
            <w:pPr>
              <w:rPr>
                <w:rFonts w:cs="Calibri"/>
                <w:szCs w:val="22"/>
              </w:rPr>
            </w:pPr>
            <w:r w:rsidRPr="006B10FA">
              <w:rPr>
                <w:rFonts w:eastAsiaTheme="minorHAnsi" w:cs="Calibri"/>
                <w:szCs w:val="22"/>
              </w:rPr>
              <w:t xml:space="preserve">bpm </w:t>
            </w:r>
          </w:p>
        </w:tc>
        <w:tc>
          <w:tcPr>
            <w:tcW w:w="3800" w:type="pct"/>
          </w:tcPr>
          <w:p w14:paraId="794BD111" w14:textId="6323D1B2"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beats per minute</w:t>
            </w:r>
          </w:p>
        </w:tc>
      </w:tr>
      <w:tr w:rsidR="00127959" w:rsidRPr="003479A4" w14:paraId="5F429B6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ED7B5A" w14:textId="194FDAC4" w:rsidR="00127959" w:rsidRPr="006B10FA" w:rsidRDefault="00127959" w:rsidP="00127959">
            <w:pPr>
              <w:rPr>
                <w:rFonts w:cs="Calibri"/>
                <w:szCs w:val="22"/>
              </w:rPr>
            </w:pPr>
            <w:r w:rsidRPr="006B10FA">
              <w:rPr>
                <w:rFonts w:eastAsiaTheme="minorHAnsi" w:cs="Calibri"/>
                <w:szCs w:val="22"/>
              </w:rPr>
              <w:t xml:space="preserve">BSA </w:t>
            </w:r>
          </w:p>
        </w:tc>
        <w:tc>
          <w:tcPr>
            <w:tcW w:w="3800" w:type="pct"/>
          </w:tcPr>
          <w:p w14:paraId="16A1FBB9" w14:textId="278854B7"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body surface area</w:t>
            </w:r>
          </w:p>
        </w:tc>
      </w:tr>
      <w:tr w:rsidR="00127959" w:rsidRPr="003479A4" w14:paraId="6AB3401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B38E65" w14:textId="79ADBE4A" w:rsidR="00127959" w:rsidRPr="006B10FA" w:rsidRDefault="00127959" w:rsidP="00127959">
            <w:pPr>
              <w:rPr>
                <w:rFonts w:cs="Calibri"/>
                <w:szCs w:val="22"/>
              </w:rPr>
            </w:pPr>
            <w:r w:rsidRPr="006B10FA">
              <w:rPr>
                <w:rFonts w:eastAsiaTheme="minorHAnsi" w:cs="Calibri"/>
                <w:szCs w:val="22"/>
              </w:rPr>
              <w:t xml:space="preserve">BUN </w:t>
            </w:r>
          </w:p>
        </w:tc>
        <w:tc>
          <w:tcPr>
            <w:tcW w:w="3800" w:type="pct"/>
          </w:tcPr>
          <w:p w14:paraId="016A6BB9" w14:textId="196A1AB1"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blood urea nitrogen</w:t>
            </w:r>
          </w:p>
        </w:tc>
      </w:tr>
      <w:tr w:rsidR="00127959" w:rsidRPr="003479A4" w14:paraId="26C4649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D7606F" w14:textId="5754673F" w:rsidR="00127959" w:rsidRPr="006B10FA" w:rsidRDefault="00127959" w:rsidP="00127959">
            <w:pPr>
              <w:rPr>
                <w:rFonts w:cs="Calibri"/>
                <w:szCs w:val="22"/>
              </w:rPr>
            </w:pPr>
            <w:r w:rsidRPr="006B10FA">
              <w:rPr>
                <w:rFonts w:eastAsiaTheme="minorHAnsi" w:cs="Calibri"/>
                <w:szCs w:val="22"/>
              </w:rPr>
              <w:t xml:space="preserve">Cavg,ss </w:t>
            </w:r>
          </w:p>
        </w:tc>
        <w:tc>
          <w:tcPr>
            <w:tcW w:w="3800" w:type="pct"/>
          </w:tcPr>
          <w:p w14:paraId="7E9B4C20" w14:textId="5C09CD07"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average concentration at steady state</w:t>
            </w:r>
          </w:p>
        </w:tc>
      </w:tr>
      <w:tr w:rsidR="00127959" w:rsidRPr="003479A4" w14:paraId="6677F1F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5A874B" w14:textId="228AC157" w:rsidR="00127959" w:rsidRPr="006B10FA" w:rsidRDefault="00127959" w:rsidP="00127959">
            <w:pPr>
              <w:rPr>
                <w:rFonts w:cs="Calibri"/>
                <w:szCs w:val="22"/>
              </w:rPr>
            </w:pPr>
            <w:r w:rsidRPr="006B10FA">
              <w:rPr>
                <w:rFonts w:eastAsiaTheme="minorHAnsi" w:cs="Calibri"/>
                <w:szCs w:val="22"/>
              </w:rPr>
              <w:t xml:space="preserve">CHMP </w:t>
            </w:r>
          </w:p>
        </w:tc>
        <w:tc>
          <w:tcPr>
            <w:tcW w:w="3800" w:type="pct"/>
          </w:tcPr>
          <w:p w14:paraId="3E052562" w14:textId="4027DEF4"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Committee for Medicinal Products for Human Use</w:t>
            </w:r>
          </w:p>
        </w:tc>
      </w:tr>
      <w:tr w:rsidR="00127959" w:rsidRPr="003479A4" w14:paraId="77A5435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044331" w14:textId="1A162E6A" w:rsidR="00127959" w:rsidRPr="006B10FA" w:rsidRDefault="00127959" w:rsidP="00127959">
            <w:pPr>
              <w:rPr>
                <w:rFonts w:cs="Calibri"/>
                <w:szCs w:val="22"/>
              </w:rPr>
            </w:pPr>
            <w:r w:rsidRPr="006B10FA">
              <w:rPr>
                <w:rFonts w:eastAsiaTheme="minorHAnsi" w:cs="Calibri"/>
                <w:szCs w:val="22"/>
              </w:rPr>
              <w:t xml:space="preserve">CI </w:t>
            </w:r>
          </w:p>
        </w:tc>
        <w:tc>
          <w:tcPr>
            <w:tcW w:w="3800" w:type="pct"/>
          </w:tcPr>
          <w:p w14:paraId="7D927BD3" w14:textId="5FFF5413"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confidence interval</w:t>
            </w:r>
          </w:p>
        </w:tc>
      </w:tr>
      <w:tr w:rsidR="00127959" w:rsidRPr="003479A4" w14:paraId="64EE974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6C6D6B" w14:textId="302E2469" w:rsidR="00127959" w:rsidRPr="006B10FA" w:rsidRDefault="00127959" w:rsidP="00127959">
            <w:pPr>
              <w:rPr>
                <w:rFonts w:cs="Calibri"/>
                <w:szCs w:val="22"/>
              </w:rPr>
            </w:pPr>
            <w:r w:rsidRPr="006B10FA">
              <w:rPr>
                <w:rFonts w:eastAsiaTheme="minorHAnsi" w:cs="Calibri"/>
                <w:szCs w:val="22"/>
              </w:rPr>
              <w:t xml:space="preserve">Cmax,ss </w:t>
            </w:r>
          </w:p>
        </w:tc>
        <w:tc>
          <w:tcPr>
            <w:tcW w:w="3800" w:type="pct"/>
          </w:tcPr>
          <w:p w14:paraId="20AE9749" w14:textId="75378AA9"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maximum concentration at steady state</w:t>
            </w:r>
          </w:p>
        </w:tc>
      </w:tr>
      <w:tr w:rsidR="00127959" w:rsidRPr="003479A4" w14:paraId="7F4E8E4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2978D8" w14:textId="03B5F180" w:rsidR="00127959" w:rsidRPr="006B10FA" w:rsidRDefault="00127959" w:rsidP="00127959">
            <w:pPr>
              <w:rPr>
                <w:rFonts w:cs="Calibri"/>
                <w:szCs w:val="22"/>
              </w:rPr>
            </w:pPr>
            <w:r w:rsidRPr="006B10FA">
              <w:rPr>
                <w:rFonts w:eastAsiaTheme="minorHAnsi" w:cs="Calibri"/>
                <w:szCs w:val="22"/>
              </w:rPr>
              <w:t>CER</w:t>
            </w:r>
          </w:p>
        </w:tc>
        <w:tc>
          <w:tcPr>
            <w:tcW w:w="3800" w:type="pct"/>
          </w:tcPr>
          <w:p w14:paraId="430DB110" w14:textId="75FE6096"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clinical evaluation report</w:t>
            </w:r>
          </w:p>
        </w:tc>
      </w:tr>
      <w:tr w:rsidR="00127959" w:rsidRPr="003479A4" w14:paraId="153ABC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B04F4C" w14:textId="096A8FBF" w:rsidR="00127959" w:rsidRPr="006B10FA" w:rsidRDefault="00127959" w:rsidP="00127959">
            <w:pPr>
              <w:rPr>
                <w:rFonts w:cs="Calibri"/>
                <w:szCs w:val="22"/>
              </w:rPr>
            </w:pPr>
            <w:r w:rsidRPr="006B10FA">
              <w:rPr>
                <w:rFonts w:eastAsiaTheme="minorHAnsi" w:cs="Calibri"/>
                <w:szCs w:val="22"/>
              </w:rPr>
              <w:t xml:space="preserve">COPD </w:t>
            </w:r>
          </w:p>
        </w:tc>
        <w:tc>
          <w:tcPr>
            <w:tcW w:w="3800" w:type="pct"/>
          </w:tcPr>
          <w:p w14:paraId="03DECBBD" w14:textId="5819427D"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chronic obstructive pulmonary disease</w:t>
            </w:r>
          </w:p>
        </w:tc>
      </w:tr>
      <w:tr w:rsidR="00127959" w:rsidRPr="003479A4" w14:paraId="5B4C2BD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FD27CB" w14:textId="1439A3F4" w:rsidR="00127959" w:rsidRPr="006B10FA" w:rsidRDefault="00127959" w:rsidP="00127959">
            <w:pPr>
              <w:rPr>
                <w:rFonts w:cs="Calibri"/>
                <w:szCs w:val="22"/>
              </w:rPr>
            </w:pPr>
            <w:r w:rsidRPr="006B10FA">
              <w:rPr>
                <w:rFonts w:eastAsiaTheme="minorHAnsi" w:cs="Calibri"/>
                <w:szCs w:val="22"/>
              </w:rPr>
              <w:t xml:space="preserve">COVID-19 </w:t>
            </w:r>
          </w:p>
        </w:tc>
        <w:tc>
          <w:tcPr>
            <w:tcW w:w="3800" w:type="pct"/>
          </w:tcPr>
          <w:p w14:paraId="6FEC6784" w14:textId="025395DF"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coronavirus disease 2019</w:t>
            </w:r>
          </w:p>
        </w:tc>
      </w:tr>
      <w:tr w:rsidR="00127959" w:rsidRPr="003479A4" w14:paraId="547F41C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240294" w14:textId="310C9391" w:rsidR="00127959" w:rsidRPr="006B10FA" w:rsidRDefault="00127959" w:rsidP="00127959">
            <w:pPr>
              <w:rPr>
                <w:rFonts w:cs="Calibri"/>
                <w:szCs w:val="22"/>
              </w:rPr>
            </w:pPr>
            <w:r w:rsidRPr="006B10FA">
              <w:rPr>
                <w:rFonts w:eastAsiaTheme="minorHAnsi" w:cs="Calibri"/>
                <w:szCs w:val="22"/>
              </w:rPr>
              <w:t xml:space="preserve">CRF </w:t>
            </w:r>
          </w:p>
        </w:tc>
        <w:tc>
          <w:tcPr>
            <w:tcW w:w="3800" w:type="pct"/>
          </w:tcPr>
          <w:p w14:paraId="2183B338" w14:textId="4A85F4B2"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case report form</w:t>
            </w:r>
          </w:p>
        </w:tc>
      </w:tr>
      <w:tr w:rsidR="00127959" w:rsidRPr="003479A4" w14:paraId="7B78F5B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F5C2BA" w14:textId="6A778A14" w:rsidR="00127959" w:rsidRPr="006B10FA" w:rsidRDefault="00127959" w:rsidP="00127959">
            <w:pPr>
              <w:rPr>
                <w:rFonts w:cs="Calibri"/>
                <w:szCs w:val="22"/>
              </w:rPr>
            </w:pPr>
            <w:r w:rsidRPr="006B10FA">
              <w:rPr>
                <w:rFonts w:eastAsiaTheme="minorHAnsi" w:cs="Calibri"/>
                <w:szCs w:val="22"/>
              </w:rPr>
              <w:t xml:space="preserve">CSR </w:t>
            </w:r>
          </w:p>
        </w:tc>
        <w:tc>
          <w:tcPr>
            <w:tcW w:w="3800" w:type="pct"/>
          </w:tcPr>
          <w:p w14:paraId="173C32E3" w14:textId="06F91363"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clinical study report</w:t>
            </w:r>
          </w:p>
        </w:tc>
      </w:tr>
      <w:tr w:rsidR="00127959" w:rsidRPr="003479A4" w14:paraId="530AEEB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0DBCD2" w14:textId="6573AFED" w:rsidR="00127959" w:rsidRPr="006B10FA" w:rsidRDefault="00127959" w:rsidP="00127959">
            <w:pPr>
              <w:rPr>
                <w:rFonts w:cs="Calibri"/>
                <w:szCs w:val="22"/>
              </w:rPr>
            </w:pPr>
            <w:r w:rsidRPr="006B10FA">
              <w:rPr>
                <w:rFonts w:eastAsiaTheme="minorHAnsi" w:cs="Calibri"/>
                <w:szCs w:val="22"/>
              </w:rPr>
              <w:t xml:space="preserve">CTCAE </w:t>
            </w:r>
          </w:p>
        </w:tc>
        <w:tc>
          <w:tcPr>
            <w:tcW w:w="3800" w:type="pct"/>
          </w:tcPr>
          <w:p w14:paraId="5B11C04B" w14:textId="2230F6B5"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Common Terminology Criteria for Adverse Events</w:t>
            </w:r>
          </w:p>
        </w:tc>
      </w:tr>
      <w:tr w:rsidR="00127959" w:rsidRPr="003479A4" w14:paraId="6F8042D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218FE7" w14:textId="2691C578" w:rsidR="00127959" w:rsidRPr="006B10FA" w:rsidRDefault="00127959" w:rsidP="00127959">
            <w:pPr>
              <w:rPr>
                <w:rFonts w:cs="Calibri"/>
                <w:szCs w:val="22"/>
              </w:rPr>
            </w:pPr>
            <w:r w:rsidRPr="006B10FA">
              <w:rPr>
                <w:rFonts w:eastAsiaTheme="minorHAnsi" w:cs="Calibri"/>
                <w:szCs w:val="22"/>
              </w:rPr>
              <w:t xml:space="preserve">Ctrough,ss </w:t>
            </w:r>
          </w:p>
        </w:tc>
        <w:tc>
          <w:tcPr>
            <w:tcW w:w="3800" w:type="pct"/>
          </w:tcPr>
          <w:p w14:paraId="4F9A5A1F" w14:textId="41515473"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concentration before the next dose at steady state</w:t>
            </w:r>
          </w:p>
        </w:tc>
      </w:tr>
      <w:tr w:rsidR="00127959" w:rsidRPr="003479A4" w14:paraId="0B84943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BCC31B" w14:textId="78371403" w:rsidR="00127959" w:rsidRPr="006B10FA" w:rsidRDefault="00127959" w:rsidP="00127959">
            <w:pPr>
              <w:rPr>
                <w:rFonts w:cs="Calibri"/>
                <w:szCs w:val="22"/>
              </w:rPr>
            </w:pPr>
            <w:r w:rsidRPr="006B10FA">
              <w:rPr>
                <w:rFonts w:eastAsiaTheme="minorHAnsi" w:cs="Calibri"/>
                <w:szCs w:val="22"/>
              </w:rPr>
              <w:t xml:space="preserve">CYP </w:t>
            </w:r>
          </w:p>
        </w:tc>
        <w:tc>
          <w:tcPr>
            <w:tcW w:w="3800" w:type="pct"/>
          </w:tcPr>
          <w:p w14:paraId="6A95AFC2" w14:textId="7407B7F7"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cytochrome</w:t>
            </w:r>
          </w:p>
        </w:tc>
      </w:tr>
      <w:tr w:rsidR="00127959" w:rsidRPr="003479A4" w14:paraId="21FA63C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0919C2" w14:textId="1DD37755" w:rsidR="00127959" w:rsidRPr="006B10FA" w:rsidRDefault="00127959" w:rsidP="00127959">
            <w:pPr>
              <w:rPr>
                <w:rFonts w:cs="Calibri"/>
                <w:szCs w:val="22"/>
              </w:rPr>
            </w:pPr>
            <w:r w:rsidRPr="006B10FA">
              <w:rPr>
                <w:rFonts w:eastAsiaTheme="minorHAnsi" w:cs="Calibri"/>
                <w:szCs w:val="22"/>
              </w:rPr>
              <w:t xml:space="preserve">DBP </w:t>
            </w:r>
          </w:p>
        </w:tc>
        <w:tc>
          <w:tcPr>
            <w:tcW w:w="3800" w:type="pct"/>
          </w:tcPr>
          <w:p w14:paraId="362E1C24" w14:textId="5495B2C6"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diastolic blood pressure</w:t>
            </w:r>
          </w:p>
        </w:tc>
      </w:tr>
      <w:tr w:rsidR="00127959" w:rsidRPr="003479A4" w14:paraId="28284BF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7CB074" w14:textId="2CF8036D" w:rsidR="00127959" w:rsidRPr="006B10FA" w:rsidRDefault="00127959" w:rsidP="00127959">
            <w:pPr>
              <w:rPr>
                <w:rFonts w:cs="Calibri"/>
                <w:szCs w:val="22"/>
              </w:rPr>
            </w:pPr>
            <w:r w:rsidRPr="006B10FA">
              <w:rPr>
                <w:rFonts w:eastAsiaTheme="minorHAnsi" w:cs="Calibri"/>
                <w:szCs w:val="22"/>
              </w:rPr>
              <w:t xml:space="preserve">DILI </w:t>
            </w:r>
          </w:p>
        </w:tc>
        <w:tc>
          <w:tcPr>
            <w:tcW w:w="3800" w:type="pct"/>
          </w:tcPr>
          <w:p w14:paraId="178A1A86" w14:textId="41A83042"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drug-induced liver injury</w:t>
            </w:r>
          </w:p>
        </w:tc>
      </w:tr>
      <w:tr w:rsidR="00127959" w:rsidRPr="003479A4" w14:paraId="4208784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915FD9" w14:textId="59FB0BAA" w:rsidR="00127959" w:rsidRPr="006B10FA" w:rsidRDefault="00127959" w:rsidP="00127959">
            <w:pPr>
              <w:rPr>
                <w:rFonts w:cs="Calibri"/>
                <w:szCs w:val="22"/>
              </w:rPr>
            </w:pPr>
            <w:r w:rsidRPr="006B10FA">
              <w:rPr>
                <w:rFonts w:eastAsiaTheme="minorHAnsi" w:cs="Calibri"/>
                <w:szCs w:val="22"/>
              </w:rPr>
              <w:t xml:space="preserve">DLQI </w:t>
            </w:r>
          </w:p>
        </w:tc>
        <w:tc>
          <w:tcPr>
            <w:tcW w:w="3800" w:type="pct"/>
          </w:tcPr>
          <w:p w14:paraId="4B16BAC8" w14:textId="0EFB6ABA"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dermatology life quality index</w:t>
            </w:r>
          </w:p>
        </w:tc>
      </w:tr>
      <w:tr w:rsidR="00127959" w:rsidRPr="003479A4" w14:paraId="5A53B04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B541E1" w14:textId="579DEEB4" w:rsidR="00127959" w:rsidRPr="006B10FA" w:rsidRDefault="00127959" w:rsidP="00127959">
            <w:pPr>
              <w:rPr>
                <w:rFonts w:cs="Calibri"/>
                <w:szCs w:val="22"/>
              </w:rPr>
            </w:pPr>
            <w:r w:rsidRPr="006B10FA">
              <w:rPr>
                <w:rFonts w:eastAsiaTheme="minorHAnsi" w:cs="Calibri"/>
                <w:szCs w:val="22"/>
              </w:rPr>
              <w:t xml:space="preserve">DRM06-AD01 </w:t>
            </w:r>
          </w:p>
        </w:tc>
        <w:tc>
          <w:tcPr>
            <w:tcW w:w="3800" w:type="pct"/>
          </w:tcPr>
          <w:p w14:paraId="47AD3193" w14:textId="60DB4C9A"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KGAF - Study J2T-DM-KGAF</w:t>
            </w:r>
          </w:p>
        </w:tc>
      </w:tr>
      <w:tr w:rsidR="00127959" w:rsidRPr="003479A4" w14:paraId="0D3CB74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B6DAE1" w14:textId="6D504FD9" w:rsidR="00127959" w:rsidRPr="006B10FA" w:rsidRDefault="00127959" w:rsidP="00127959">
            <w:pPr>
              <w:rPr>
                <w:rFonts w:cs="Calibri"/>
                <w:szCs w:val="22"/>
              </w:rPr>
            </w:pPr>
            <w:r w:rsidRPr="006B10FA">
              <w:rPr>
                <w:rFonts w:eastAsiaTheme="minorHAnsi" w:cs="Calibri"/>
                <w:szCs w:val="22"/>
              </w:rPr>
              <w:t xml:space="preserve">EAIR </w:t>
            </w:r>
          </w:p>
        </w:tc>
        <w:tc>
          <w:tcPr>
            <w:tcW w:w="3800" w:type="pct"/>
          </w:tcPr>
          <w:p w14:paraId="64F7B08B" w14:textId="3D1419FD"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exposure-adjusted incidence rate</w:t>
            </w:r>
          </w:p>
        </w:tc>
      </w:tr>
      <w:tr w:rsidR="00127959" w:rsidRPr="003479A4" w14:paraId="466E327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C78E40" w14:textId="0C92C2E5" w:rsidR="00127959" w:rsidRPr="006B10FA" w:rsidRDefault="00127959" w:rsidP="00127959">
            <w:pPr>
              <w:rPr>
                <w:rFonts w:cs="Calibri"/>
                <w:szCs w:val="22"/>
              </w:rPr>
            </w:pPr>
            <w:r w:rsidRPr="006B10FA">
              <w:rPr>
                <w:rFonts w:eastAsiaTheme="minorHAnsi" w:cs="Calibri"/>
                <w:szCs w:val="22"/>
              </w:rPr>
              <w:t xml:space="preserve">EASI 50, 75, 90 </w:t>
            </w:r>
          </w:p>
        </w:tc>
        <w:tc>
          <w:tcPr>
            <w:tcW w:w="3800" w:type="pct"/>
          </w:tcPr>
          <w:p w14:paraId="22A8F290" w14:textId="754B7F7D"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eczema area and severity index: 50%, 75%, or 90% improvement from baseline</w:t>
            </w:r>
          </w:p>
        </w:tc>
      </w:tr>
      <w:tr w:rsidR="00127959" w:rsidRPr="003479A4" w14:paraId="7677676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D79F1E" w14:textId="5DC5C037" w:rsidR="00127959" w:rsidRPr="006B10FA" w:rsidRDefault="00127959" w:rsidP="00127959">
            <w:pPr>
              <w:rPr>
                <w:rFonts w:cs="Calibri"/>
                <w:szCs w:val="22"/>
              </w:rPr>
            </w:pPr>
            <w:r w:rsidRPr="006B10FA">
              <w:rPr>
                <w:rFonts w:eastAsiaTheme="minorHAnsi" w:cs="Calibri"/>
                <w:szCs w:val="22"/>
              </w:rPr>
              <w:t xml:space="preserve">EC50 </w:t>
            </w:r>
          </w:p>
        </w:tc>
        <w:tc>
          <w:tcPr>
            <w:tcW w:w="3800" w:type="pct"/>
          </w:tcPr>
          <w:p w14:paraId="2D001020" w14:textId="066BDF04"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drug concentration that produces 50% of maximum effect (Emax)</w:t>
            </w:r>
          </w:p>
        </w:tc>
      </w:tr>
      <w:tr w:rsidR="00127959" w:rsidRPr="003479A4" w14:paraId="190F5B3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98963E" w14:textId="7D2A84AC" w:rsidR="00127959" w:rsidRPr="006B10FA" w:rsidRDefault="00127959" w:rsidP="00127959">
            <w:pPr>
              <w:rPr>
                <w:rFonts w:cs="Calibri"/>
                <w:szCs w:val="22"/>
              </w:rPr>
            </w:pPr>
            <w:r w:rsidRPr="006B10FA">
              <w:rPr>
                <w:rFonts w:eastAsiaTheme="minorHAnsi" w:cs="Calibri"/>
                <w:szCs w:val="22"/>
              </w:rPr>
              <w:t xml:space="preserve">ECG </w:t>
            </w:r>
          </w:p>
        </w:tc>
        <w:tc>
          <w:tcPr>
            <w:tcW w:w="3800" w:type="pct"/>
          </w:tcPr>
          <w:p w14:paraId="51C8A283" w14:textId="6330AFD2"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electrocardiogram</w:t>
            </w:r>
          </w:p>
        </w:tc>
      </w:tr>
      <w:tr w:rsidR="00127959" w:rsidRPr="003479A4" w14:paraId="198AB33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5DC76A" w14:textId="79093C9C" w:rsidR="00127959" w:rsidRPr="006B10FA" w:rsidRDefault="00127959" w:rsidP="00127959">
            <w:pPr>
              <w:rPr>
                <w:rFonts w:cs="Calibri"/>
                <w:szCs w:val="22"/>
              </w:rPr>
            </w:pPr>
            <w:r w:rsidRPr="006B10FA">
              <w:rPr>
                <w:rFonts w:eastAsiaTheme="minorHAnsi" w:cs="Calibri"/>
                <w:szCs w:val="22"/>
              </w:rPr>
              <w:t xml:space="preserve">EMA </w:t>
            </w:r>
          </w:p>
        </w:tc>
        <w:tc>
          <w:tcPr>
            <w:tcW w:w="3800" w:type="pct"/>
          </w:tcPr>
          <w:p w14:paraId="29B82C5D" w14:textId="72671665"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European Medicines Agency</w:t>
            </w:r>
          </w:p>
        </w:tc>
      </w:tr>
      <w:tr w:rsidR="00127959" w:rsidRPr="003479A4" w14:paraId="0C7509C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BB68FB" w14:textId="01051028" w:rsidR="00127959" w:rsidRPr="006B10FA" w:rsidRDefault="00127959" w:rsidP="00127959">
            <w:pPr>
              <w:rPr>
                <w:rFonts w:cs="Calibri"/>
                <w:szCs w:val="22"/>
              </w:rPr>
            </w:pPr>
            <w:r w:rsidRPr="006B10FA">
              <w:rPr>
                <w:rFonts w:eastAsiaTheme="minorHAnsi" w:cs="Calibri"/>
                <w:szCs w:val="22"/>
              </w:rPr>
              <w:t xml:space="preserve">Emax </w:t>
            </w:r>
          </w:p>
        </w:tc>
        <w:tc>
          <w:tcPr>
            <w:tcW w:w="3800" w:type="pct"/>
          </w:tcPr>
          <w:p w14:paraId="42B748EA" w14:textId="3A49817C"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maximum effect</w:t>
            </w:r>
          </w:p>
        </w:tc>
      </w:tr>
      <w:tr w:rsidR="00127959" w:rsidRPr="003479A4" w14:paraId="2C0EE38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75F070" w14:textId="523BD0D1" w:rsidR="00127959" w:rsidRPr="006B10FA" w:rsidRDefault="00127959" w:rsidP="00127959">
            <w:pPr>
              <w:rPr>
                <w:rFonts w:cs="Calibri"/>
                <w:szCs w:val="22"/>
              </w:rPr>
            </w:pPr>
            <w:r w:rsidRPr="006B10FA">
              <w:rPr>
                <w:rFonts w:eastAsiaTheme="minorHAnsi" w:cs="Calibri"/>
                <w:szCs w:val="22"/>
              </w:rPr>
              <w:t>E-R; ER</w:t>
            </w:r>
          </w:p>
        </w:tc>
        <w:tc>
          <w:tcPr>
            <w:tcW w:w="3800" w:type="pct"/>
          </w:tcPr>
          <w:p w14:paraId="7495A604" w14:textId="5BC6B7CB"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exposure–response</w:t>
            </w:r>
          </w:p>
        </w:tc>
      </w:tr>
      <w:tr w:rsidR="00127959" w:rsidRPr="003479A4" w14:paraId="2C47DF6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7F6BAF" w14:textId="5C52D633" w:rsidR="00127959" w:rsidRPr="006B10FA" w:rsidRDefault="00127959" w:rsidP="00127959">
            <w:pPr>
              <w:rPr>
                <w:rFonts w:cs="Calibri"/>
                <w:szCs w:val="22"/>
              </w:rPr>
            </w:pPr>
            <w:r w:rsidRPr="006B10FA">
              <w:rPr>
                <w:rFonts w:eastAsiaTheme="minorHAnsi" w:cs="Calibri"/>
                <w:szCs w:val="22"/>
              </w:rPr>
              <w:t>FDA</w:t>
            </w:r>
          </w:p>
        </w:tc>
        <w:tc>
          <w:tcPr>
            <w:tcW w:w="3800" w:type="pct"/>
          </w:tcPr>
          <w:p w14:paraId="5E52DF28" w14:textId="70F0438F"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 xml:space="preserve">Food and Drug Administration </w:t>
            </w:r>
          </w:p>
        </w:tc>
      </w:tr>
      <w:tr w:rsidR="00127959" w:rsidRPr="003479A4" w14:paraId="6AEE9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25ACA5" w14:textId="5E350AFD" w:rsidR="00127959" w:rsidRPr="006B10FA" w:rsidRDefault="00127959" w:rsidP="00127959">
            <w:pPr>
              <w:rPr>
                <w:rFonts w:cs="Calibri"/>
                <w:szCs w:val="22"/>
              </w:rPr>
            </w:pPr>
            <w:r w:rsidRPr="006B10FA">
              <w:rPr>
                <w:rFonts w:eastAsiaTheme="minorHAnsi" w:cs="Calibri"/>
                <w:szCs w:val="22"/>
              </w:rPr>
              <w:t xml:space="preserve">GCP </w:t>
            </w:r>
          </w:p>
        </w:tc>
        <w:tc>
          <w:tcPr>
            <w:tcW w:w="3800" w:type="pct"/>
          </w:tcPr>
          <w:p w14:paraId="605D00A5" w14:textId="33F381A0"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good clinical practice</w:t>
            </w:r>
          </w:p>
        </w:tc>
      </w:tr>
      <w:tr w:rsidR="00127959" w:rsidRPr="003479A4" w14:paraId="518360F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90C3C8" w14:textId="382B3174" w:rsidR="00127959" w:rsidRPr="006B10FA" w:rsidRDefault="00127959" w:rsidP="00127959">
            <w:pPr>
              <w:rPr>
                <w:rFonts w:cs="Calibri"/>
                <w:szCs w:val="22"/>
              </w:rPr>
            </w:pPr>
            <w:r w:rsidRPr="006B10FA">
              <w:rPr>
                <w:rFonts w:eastAsiaTheme="minorHAnsi" w:cs="Calibri"/>
                <w:szCs w:val="22"/>
              </w:rPr>
              <w:t xml:space="preserve">GGT </w:t>
            </w:r>
          </w:p>
        </w:tc>
        <w:tc>
          <w:tcPr>
            <w:tcW w:w="3800" w:type="pct"/>
          </w:tcPr>
          <w:p w14:paraId="31B395B7" w14:textId="6C150D8C"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gamma-glutamyl transferase</w:t>
            </w:r>
          </w:p>
        </w:tc>
      </w:tr>
      <w:tr w:rsidR="00127959" w:rsidRPr="003479A4" w14:paraId="66F844C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AD7CD1" w14:textId="5D72C9D3" w:rsidR="00127959" w:rsidRPr="006B10FA" w:rsidRDefault="00127959" w:rsidP="00127959">
            <w:pPr>
              <w:rPr>
                <w:rFonts w:cs="Calibri"/>
                <w:szCs w:val="22"/>
              </w:rPr>
            </w:pPr>
            <w:r w:rsidRPr="006B10FA">
              <w:rPr>
                <w:rFonts w:eastAsiaTheme="minorHAnsi" w:cs="Calibri"/>
                <w:szCs w:val="22"/>
              </w:rPr>
              <w:t xml:space="preserve">HLT </w:t>
            </w:r>
          </w:p>
        </w:tc>
        <w:tc>
          <w:tcPr>
            <w:tcW w:w="3800" w:type="pct"/>
          </w:tcPr>
          <w:p w14:paraId="7B9A3BE2" w14:textId="17B58D74"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high level term</w:t>
            </w:r>
          </w:p>
        </w:tc>
      </w:tr>
      <w:tr w:rsidR="00127959" w:rsidRPr="003479A4" w14:paraId="1F4355B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1BDA40" w14:textId="753C8A72" w:rsidR="00127959" w:rsidRPr="006B10FA" w:rsidRDefault="00127959" w:rsidP="00127959">
            <w:pPr>
              <w:rPr>
                <w:rFonts w:cs="Calibri"/>
                <w:szCs w:val="22"/>
              </w:rPr>
            </w:pPr>
            <w:r w:rsidRPr="006B10FA">
              <w:rPr>
                <w:rFonts w:eastAsiaTheme="minorHAnsi" w:cs="Calibri"/>
                <w:szCs w:val="22"/>
              </w:rPr>
              <w:t xml:space="preserve">HR </w:t>
            </w:r>
          </w:p>
        </w:tc>
        <w:tc>
          <w:tcPr>
            <w:tcW w:w="3800" w:type="pct"/>
          </w:tcPr>
          <w:p w14:paraId="4390A629" w14:textId="2E983B5D"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hazard ratio</w:t>
            </w:r>
          </w:p>
        </w:tc>
      </w:tr>
      <w:tr w:rsidR="00127959" w:rsidRPr="003479A4" w14:paraId="5F2042E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01D5B6" w14:textId="73B3EB10" w:rsidR="00127959" w:rsidRPr="006B10FA" w:rsidRDefault="00127959" w:rsidP="00127959">
            <w:pPr>
              <w:rPr>
                <w:rFonts w:cs="Calibri"/>
                <w:szCs w:val="22"/>
              </w:rPr>
            </w:pPr>
            <w:r w:rsidRPr="006B10FA">
              <w:rPr>
                <w:rFonts w:eastAsiaTheme="minorHAnsi" w:cs="Calibri"/>
                <w:szCs w:val="22"/>
              </w:rPr>
              <w:t xml:space="preserve">ICE </w:t>
            </w:r>
          </w:p>
        </w:tc>
        <w:tc>
          <w:tcPr>
            <w:tcW w:w="3800" w:type="pct"/>
          </w:tcPr>
          <w:p w14:paraId="4A70A96B" w14:textId="584DBFC5"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intercurrent events</w:t>
            </w:r>
          </w:p>
        </w:tc>
      </w:tr>
      <w:tr w:rsidR="00127959" w:rsidRPr="003479A4" w14:paraId="616CE3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51B05F" w14:textId="295D25F0" w:rsidR="00127959" w:rsidRPr="006B10FA" w:rsidRDefault="00127959" w:rsidP="00127959">
            <w:pPr>
              <w:rPr>
                <w:rFonts w:cs="Calibri"/>
                <w:szCs w:val="22"/>
              </w:rPr>
            </w:pPr>
            <w:r w:rsidRPr="006B10FA">
              <w:rPr>
                <w:rFonts w:eastAsiaTheme="minorHAnsi" w:cs="Calibri"/>
                <w:szCs w:val="22"/>
              </w:rPr>
              <w:t xml:space="preserve">Ig </w:t>
            </w:r>
          </w:p>
        </w:tc>
        <w:tc>
          <w:tcPr>
            <w:tcW w:w="3800" w:type="pct"/>
          </w:tcPr>
          <w:p w14:paraId="37E82F57" w14:textId="75852626"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immunoglobulin</w:t>
            </w:r>
          </w:p>
        </w:tc>
      </w:tr>
      <w:tr w:rsidR="00127959" w:rsidRPr="003479A4" w14:paraId="7FF8A0B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43320D" w14:textId="0039A037" w:rsidR="00127959" w:rsidRPr="006B10FA" w:rsidRDefault="00127959" w:rsidP="00127959">
            <w:pPr>
              <w:rPr>
                <w:rFonts w:cs="Calibri"/>
                <w:szCs w:val="22"/>
              </w:rPr>
            </w:pPr>
            <w:r w:rsidRPr="006B10FA">
              <w:rPr>
                <w:rFonts w:eastAsiaTheme="minorHAnsi" w:cs="Calibri"/>
                <w:szCs w:val="22"/>
              </w:rPr>
              <w:t xml:space="preserve">IGA </w:t>
            </w:r>
          </w:p>
        </w:tc>
        <w:tc>
          <w:tcPr>
            <w:tcW w:w="3800" w:type="pct"/>
          </w:tcPr>
          <w:p w14:paraId="56E3E5ED" w14:textId="3DC3FF79"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Investigator’s Global Assessment</w:t>
            </w:r>
          </w:p>
        </w:tc>
      </w:tr>
      <w:tr w:rsidR="00127959" w:rsidRPr="003479A4" w14:paraId="34958EB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B0B165" w14:textId="689078BD" w:rsidR="00127959" w:rsidRPr="006B10FA" w:rsidRDefault="00127959" w:rsidP="00127959">
            <w:pPr>
              <w:rPr>
                <w:rFonts w:cs="Calibri"/>
                <w:szCs w:val="22"/>
              </w:rPr>
            </w:pPr>
            <w:r w:rsidRPr="006B10FA">
              <w:rPr>
                <w:rFonts w:eastAsiaTheme="minorHAnsi" w:cs="Calibri"/>
                <w:szCs w:val="22"/>
              </w:rPr>
              <w:t xml:space="preserve">IgG4 </w:t>
            </w:r>
          </w:p>
        </w:tc>
        <w:tc>
          <w:tcPr>
            <w:tcW w:w="3800" w:type="pct"/>
          </w:tcPr>
          <w:p w14:paraId="4F9224AB" w14:textId="0974D357"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immunoglobulin G subclass 4</w:t>
            </w:r>
          </w:p>
        </w:tc>
      </w:tr>
      <w:tr w:rsidR="00127959" w:rsidRPr="003479A4" w14:paraId="6CDB9EF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7F1A40" w14:textId="406ED754" w:rsidR="00127959" w:rsidRPr="006B10FA" w:rsidRDefault="00127959" w:rsidP="00127959">
            <w:pPr>
              <w:rPr>
                <w:rFonts w:cs="Calibri"/>
                <w:szCs w:val="22"/>
              </w:rPr>
            </w:pPr>
            <w:r w:rsidRPr="006B10FA">
              <w:rPr>
                <w:rFonts w:eastAsiaTheme="minorHAnsi" w:cs="Calibri"/>
                <w:szCs w:val="22"/>
              </w:rPr>
              <w:t xml:space="preserve">IL </w:t>
            </w:r>
          </w:p>
        </w:tc>
        <w:tc>
          <w:tcPr>
            <w:tcW w:w="3800" w:type="pct"/>
          </w:tcPr>
          <w:p w14:paraId="441ECE42" w14:textId="77478AC1"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interleukin</w:t>
            </w:r>
          </w:p>
        </w:tc>
      </w:tr>
      <w:tr w:rsidR="00127959" w:rsidRPr="003479A4" w14:paraId="6B2F556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164A80" w14:textId="11EC41A3" w:rsidR="00127959" w:rsidRPr="006B10FA" w:rsidRDefault="00127959" w:rsidP="00127959">
            <w:pPr>
              <w:rPr>
                <w:rFonts w:cs="Calibri"/>
                <w:szCs w:val="22"/>
              </w:rPr>
            </w:pPr>
            <w:r w:rsidRPr="006B10FA">
              <w:rPr>
                <w:rFonts w:eastAsiaTheme="minorHAnsi" w:cs="Calibri"/>
                <w:szCs w:val="22"/>
              </w:rPr>
              <w:t xml:space="preserve">IR </w:t>
            </w:r>
          </w:p>
        </w:tc>
        <w:tc>
          <w:tcPr>
            <w:tcW w:w="3800" w:type="pct"/>
          </w:tcPr>
          <w:p w14:paraId="1334C9D3" w14:textId="2F9ECF60"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incidence rate</w:t>
            </w:r>
          </w:p>
        </w:tc>
      </w:tr>
      <w:tr w:rsidR="00127959" w:rsidRPr="003479A4" w14:paraId="1279A5A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B627FB" w14:textId="5FD5D32F" w:rsidR="00127959" w:rsidRPr="006B10FA" w:rsidRDefault="00127959" w:rsidP="00127959">
            <w:pPr>
              <w:rPr>
                <w:rFonts w:cs="Calibri"/>
                <w:szCs w:val="22"/>
              </w:rPr>
            </w:pPr>
            <w:r w:rsidRPr="006B10FA">
              <w:rPr>
                <w:rFonts w:eastAsiaTheme="minorHAnsi" w:cs="Calibri"/>
                <w:szCs w:val="22"/>
              </w:rPr>
              <w:t xml:space="preserve">IRR </w:t>
            </w:r>
          </w:p>
        </w:tc>
        <w:tc>
          <w:tcPr>
            <w:tcW w:w="3800" w:type="pct"/>
          </w:tcPr>
          <w:p w14:paraId="2228CE28" w14:textId="29139D26"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incidence rate ratio</w:t>
            </w:r>
          </w:p>
        </w:tc>
      </w:tr>
      <w:tr w:rsidR="00127959" w:rsidRPr="003479A4" w14:paraId="3C66DB0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4BD5E2" w14:textId="50ECC5D3" w:rsidR="00127959" w:rsidRPr="006B10FA" w:rsidRDefault="00127959" w:rsidP="00127959">
            <w:pPr>
              <w:rPr>
                <w:rFonts w:cs="Calibri"/>
                <w:szCs w:val="22"/>
              </w:rPr>
            </w:pPr>
            <w:r w:rsidRPr="006B10FA">
              <w:rPr>
                <w:rFonts w:eastAsiaTheme="minorHAnsi" w:cs="Calibri"/>
                <w:szCs w:val="22"/>
              </w:rPr>
              <w:t xml:space="preserve">ISR </w:t>
            </w:r>
          </w:p>
        </w:tc>
        <w:tc>
          <w:tcPr>
            <w:tcW w:w="3800" w:type="pct"/>
          </w:tcPr>
          <w:p w14:paraId="5D590D7A" w14:textId="266E1149"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injection site reaction</w:t>
            </w:r>
          </w:p>
        </w:tc>
      </w:tr>
      <w:tr w:rsidR="00127959" w:rsidRPr="003479A4" w14:paraId="1B6274E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987027" w14:textId="2B2C659E" w:rsidR="00127959" w:rsidRPr="006B10FA" w:rsidRDefault="00127959" w:rsidP="00127959">
            <w:pPr>
              <w:rPr>
                <w:rFonts w:cs="Calibri"/>
                <w:szCs w:val="22"/>
              </w:rPr>
            </w:pPr>
            <w:r w:rsidRPr="006B10FA">
              <w:rPr>
                <w:rFonts w:eastAsiaTheme="minorHAnsi" w:cs="Calibri"/>
                <w:szCs w:val="22"/>
              </w:rPr>
              <w:t xml:space="preserve">IV </w:t>
            </w:r>
          </w:p>
        </w:tc>
        <w:tc>
          <w:tcPr>
            <w:tcW w:w="3800" w:type="pct"/>
          </w:tcPr>
          <w:p w14:paraId="36133EF1" w14:textId="614316BE"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intravenous</w:t>
            </w:r>
          </w:p>
        </w:tc>
      </w:tr>
      <w:tr w:rsidR="00127959" w:rsidRPr="003479A4" w14:paraId="11CDDE2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73F228" w14:textId="21D0FB0E" w:rsidR="00127959" w:rsidRPr="006B10FA" w:rsidRDefault="00127959" w:rsidP="00127959">
            <w:pPr>
              <w:rPr>
                <w:rFonts w:cs="Calibri"/>
                <w:szCs w:val="22"/>
              </w:rPr>
            </w:pPr>
            <w:r w:rsidRPr="006B10FA">
              <w:rPr>
                <w:rFonts w:eastAsiaTheme="minorHAnsi" w:cs="Calibri"/>
                <w:szCs w:val="22"/>
              </w:rPr>
              <w:t xml:space="preserve">JAK </w:t>
            </w:r>
          </w:p>
        </w:tc>
        <w:tc>
          <w:tcPr>
            <w:tcW w:w="3800" w:type="pct"/>
          </w:tcPr>
          <w:p w14:paraId="5F1DB5A2" w14:textId="693BFCFC"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Janus kinase</w:t>
            </w:r>
          </w:p>
        </w:tc>
      </w:tr>
      <w:tr w:rsidR="00127959" w:rsidRPr="003479A4" w14:paraId="421B70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3B9945" w14:textId="31B44622" w:rsidR="00127959" w:rsidRPr="006B10FA" w:rsidRDefault="00127959" w:rsidP="00127959">
            <w:pPr>
              <w:rPr>
                <w:rFonts w:cs="Calibri"/>
                <w:szCs w:val="22"/>
              </w:rPr>
            </w:pPr>
            <w:r w:rsidRPr="006B10FA">
              <w:rPr>
                <w:rFonts w:eastAsiaTheme="minorHAnsi" w:cs="Calibri"/>
                <w:szCs w:val="22"/>
              </w:rPr>
              <w:t xml:space="preserve">LEB </w:t>
            </w:r>
          </w:p>
        </w:tc>
        <w:tc>
          <w:tcPr>
            <w:tcW w:w="3800" w:type="pct"/>
          </w:tcPr>
          <w:p w14:paraId="64739B58" w14:textId="6BF365F5"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lebrikizumab</w:t>
            </w:r>
          </w:p>
        </w:tc>
      </w:tr>
      <w:tr w:rsidR="00127959" w:rsidRPr="003479A4" w14:paraId="12F2D84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6E641E" w14:textId="095F3080" w:rsidR="00127959" w:rsidRPr="006B10FA" w:rsidRDefault="00127959" w:rsidP="00127959">
            <w:pPr>
              <w:rPr>
                <w:rFonts w:cs="Calibri"/>
                <w:szCs w:val="22"/>
              </w:rPr>
            </w:pPr>
            <w:r w:rsidRPr="006B10FA">
              <w:rPr>
                <w:rFonts w:eastAsiaTheme="minorHAnsi" w:cs="Calibri"/>
                <w:szCs w:val="22"/>
              </w:rPr>
              <w:t xml:space="preserve">Lilly </w:t>
            </w:r>
          </w:p>
        </w:tc>
        <w:tc>
          <w:tcPr>
            <w:tcW w:w="3800" w:type="pct"/>
          </w:tcPr>
          <w:p w14:paraId="51039EE0" w14:textId="23D44DC8"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Eli Lilly and Company</w:t>
            </w:r>
          </w:p>
        </w:tc>
      </w:tr>
      <w:tr w:rsidR="00127959" w:rsidRPr="003479A4" w14:paraId="50ACCEC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9BA9A20" w14:textId="108500E2" w:rsidR="00127959" w:rsidRPr="006B10FA" w:rsidRDefault="00127959" w:rsidP="00127959">
            <w:pPr>
              <w:rPr>
                <w:rFonts w:cs="Calibri"/>
                <w:szCs w:val="22"/>
              </w:rPr>
            </w:pPr>
            <w:r w:rsidRPr="006B10FA">
              <w:rPr>
                <w:rFonts w:eastAsiaTheme="minorHAnsi" w:cs="Calibri"/>
                <w:szCs w:val="22"/>
              </w:rPr>
              <w:t xml:space="preserve">MAA </w:t>
            </w:r>
          </w:p>
        </w:tc>
        <w:tc>
          <w:tcPr>
            <w:tcW w:w="3800" w:type="pct"/>
          </w:tcPr>
          <w:p w14:paraId="06B7B524" w14:textId="597FA31C"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Marketing Authorisation Applicant</w:t>
            </w:r>
          </w:p>
        </w:tc>
      </w:tr>
      <w:tr w:rsidR="00127959" w:rsidRPr="003479A4" w14:paraId="1B6F932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2402F0" w14:textId="226C23D8" w:rsidR="00127959" w:rsidRPr="006B10FA" w:rsidRDefault="00127959" w:rsidP="00127959">
            <w:pPr>
              <w:rPr>
                <w:rFonts w:cs="Calibri"/>
                <w:szCs w:val="22"/>
              </w:rPr>
            </w:pPr>
            <w:r w:rsidRPr="006B10FA">
              <w:rPr>
                <w:rFonts w:eastAsiaTheme="minorHAnsi" w:cs="Calibri"/>
                <w:szCs w:val="22"/>
              </w:rPr>
              <w:t xml:space="preserve">mAb </w:t>
            </w:r>
          </w:p>
        </w:tc>
        <w:tc>
          <w:tcPr>
            <w:tcW w:w="3800" w:type="pct"/>
          </w:tcPr>
          <w:p w14:paraId="709190DE" w14:textId="29A7DA8E"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monoclonal antibody</w:t>
            </w:r>
          </w:p>
        </w:tc>
      </w:tr>
      <w:tr w:rsidR="00127959" w:rsidRPr="003479A4" w14:paraId="219E200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F4D7FA" w14:textId="4A40AC2D" w:rsidR="00127959" w:rsidRPr="006B10FA" w:rsidRDefault="00127959" w:rsidP="00127959">
            <w:pPr>
              <w:rPr>
                <w:rFonts w:cs="Calibri"/>
                <w:szCs w:val="22"/>
              </w:rPr>
            </w:pPr>
            <w:r w:rsidRPr="006B10FA">
              <w:rPr>
                <w:rFonts w:eastAsiaTheme="minorHAnsi" w:cs="Calibri"/>
                <w:szCs w:val="22"/>
              </w:rPr>
              <w:t xml:space="preserve">MCMC-MI </w:t>
            </w:r>
          </w:p>
        </w:tc>
        <w:tc>
          <w:tcPr>
            <w:tcW w:w="3800" w:type="pct"/>
          </w:tcPr>
          <w:p w14:paraId="010E6DFC" w14:textId="2E1A1FB1"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Markov chain Monte Carlo multiple imputation</w:t>
            </w:r>
          </w:p>
        </w:tc>
      </w:tr>
      <w:tr w:rsidR="00127959" w:rsidRPr="003479A4" w14:paraId="07956F5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6A6C9B" w14:textId="0ADD39F8" w:rsidR="00127959" w:rsidRPr="006B10FA" w:rsidRDefault="00127959" w:rsidP="00127959">
            <w:pPr>
              <w:rPr>
                <w:rFonts w:cs="Calibri"/>
                <w:szCs w:val="22"/>
              </w:rPr>
            </w:pPr>
            <w:r w:rsidRPr="006B10FA">
              <w:rPr>
                <w:rFonts w:eastAsiaTheme="minorHAnsi" w:cs="Calibri"/>
                <w:szCs w:val="22"/>
              </w:rPr>
              <w:t xml:space="preserve">MedDRA </w:t>
            </w:r>
          </w:p>
        </w:tc>
        <w:tc>
          <w:tcPr>
            <w:tcW w:w="3800" w:type="pct"/>
          </w:tcPr>
          <w:p w14:paraId="1AD56521" w14:textId="64059F01"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Medical Dictionary for Regulatory Activities</w:t>
            </w:r>
          </w:p>
        </w:tc>
      </w:tr>
      <w:tr w:rsidR="00127959" w:rsidRPr="003479A4" w14:paraId="31B340B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9D2A1C" w14:textId="44C67204" w:rsidR="00127959" w:rsidRPr="006B10FA" w:rsidRDefault="00127959" w:rsidP="00127959">
            <w:pPr>
              <w:rPr>
                <w:rFonts w:cs="Calibri"/>
                <w:szCs w:val="22"/>
              </w:rPr>
            </w:pPr>
            <w:r w:rsidRPr="006B10FA">
              <w:rPr>
                <w:rFonts w:eastAsiaTheme="minorHAnsi" w:cs="Calibri"/>
                <w:szCs w:val="22"/>
              </w:rPr>
              <w:t xml:space="preserve">Mono </w:t>
            </w:r>
          </w:p>
        </w:tc>
        <w:tc>
          <w:tcPr>
            <w:tcW w:w="3800" w:type="pct"/>
          </w:tcPr>
          <w:p w14:paraId="1E655D26" w14:textId="0C10CC83"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monotherapy</w:t>
            </w:r>
          </w:p>
        </w:tc>
      </w:tr>
      <w:tr w:rsidR="00127959" w:rsidRPr="003479A4" w14:paraId="7441C64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6EF8B8" w14:textId="1A60C22D" w:rsidR="00127959" w:rsidRPr="006B10FA" w:rsidRDefault="00127959" w:rsidP="00127959">
            <w:pPr>
              <w:rPr>
                <w:rFonts w:cs="Calibri"/>
                <w:szCs w:val="22"/>
              </w:rPr>
            </w:pPr>
            <w:r w:rsidRPr="006B10FA">
              <w:rPr>
                <w:rFonts w:eastAsiaTheme="minorHAnsi" w:cs="Calibri"/>
                <w:szCs w:val="22"/>
              </w:rPr>
              <w:t xml:space="preserve">MSAP </w:t>
            </w:r>
          </w:p>
        </w:tc>
        <w:tc>
          <w:tcPr>
            <w:tcW w:w="3800" w:type="pct"/>
          </w:tcPr>
          <w:p w14:paraId="4D489325" w14:textId="0D06024E"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modified safety analysis population</w:t>
            </w:r>
          </w:p>
        </w:tc>
      </w:tr>
      <w:tr w:rsidR="00127959" w:rsidRPr="003479A4" w14:paraId="7946A34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DEAB8D" w14:textId="25F2AE31" w:rsidR="00127959" w:rsidRPr="006B10FA" w:rsidRDefault="00127959" w:rsidP="00127959">
            <w:pPr>
              <w:rPr>
                <w:rFonts w:cs="Calibri"/>
                <w:szCs w:val="22"/>
              </w:rPr>
            </w:pPr>
            <w:r w:rsidRPr="006B10FA">
              <w:rPr>
                <w:rFonts w:eastAsiaTheme="minorHAnsi" w:cs="Calibri"/>
                <w:szCs w:val="22"/>
              </w:rPr>
              <w:t xml:space="preserve">NMSC </w:t>
            </w:r>
          </w:p>
        </w:tc>
        <w:tc>
          <w:tcPr>
            <w:tcW w:w="3800" w:type="pct"/>
          </w:tcPr>
          <w:p w14:paraId="14681DA9" w14:textId="6A1147B8"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non-melanoma skin cancer</w:t>
            </w:r>
          </w:p>
        </w:tc>
      </w:tr>
      <w:tr w:rsidR="00127959" w:rsidRPr="003479A4" w14:paraId="72E7C16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AAEB6D" w14:textId="3FF4793E" w:rsidR="00127959" w:rsidRPr="006B10FA" w:rsidRDefault="00127959" w:rsidP="00127959">
            <w:pPr>
              <w:rPr>
                <w:rFonts w:cs="Calibri"/>
                <w:szCs w:val="22"/>
              </w:rPr>
            </w:pPr>
            <w:r w:rsidRPr="006B10FA">
              <w:rPr>
                <w:rFonts w:eastAsiaTheme="minorHAnsi" w:cs="Calibri"/>
                <w:szCs w:val="22"/>
              </w:rPr>
              <w:t xml:space="preserve">NRS </w:t>
            </w:r>
          </w:p>
        </w:tc>
        <w:tc>
          <w:tcPr>
            <w:tcW w:w="3800" w:type="pct"/>
          </w:tcPr>
          <w:p w14:paraId="5816848C" w14:textId="20DC291A"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numeric rating scale</w:t>
            </w:r>
          </w:p>
        </w:tc>
      </w:tr>
      <w:tr w:rsidR="00127959" w:rsidRPr="003479A4" w14:paraId="29D89E7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8B2CFF" w14:textId="7643B2C3" w:rsidR="00127959" w:rsidRPr="006B10FA" w:rsidRDefault="00127959" w:rsidP="00127959">
            <w:pPr>
              <w:rPr>
                <w:rFonts w:cs="Calibri"/>
                <w:szCs w:val="22"/>
              </w:rPr>
            </w:pPr>
            <w:r w:rsidRPr="006B10FA">
              <w:rPr>
                <w:rFonts w:eastAsiaTheme="minorHAnsi" w:cs="Calibri"/>
                <w:szCs w:val="22"/>
              </w:rPr>
              <w:t xml:space="preserve">OI </w:t>
            </w:r>
          </w:p>
        </w:tc>
        <w:tc>
          <w:tcPr>
            <w:tcW w:w="3800" w:type="pct"/>
          </w:tcPr>
          <w:p w14:paraId="044A1A1E" w14:textId="1E2DCEE4"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opportunistic infection</w:t>
            </w:r>
          </w:p>
        </w:tc>
      </w:tr>
      <w:tr w:rsidR="00127959" w:rsidRPr="003479A4" w14:paraId="16DA9B1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E0D00D" w14:textId="5B7CC095" w:rsidR="00127959" w:rsidRPr="006B10FA" w:rsidRDefault="00127959" w:rsidP="00127959">
            <w:pPr>
              <w:rPr>
                <w:rFonts w:cs="Calibri"/>
                <w:szCs w:val="22"/>
              </w:rPr>
            </w:pPr>
            <w:r w:rsidRPr="006B10FA">
              <w:rPr>
                <w:rFonts w:eastAsiaTheme="minorHAnsi" w:cs="Calibri"/>
                <w:szCs w:val="22"/>
              </w:rPr>
              <w:t xml:space="preserve">PBO </w:t>
            </w:r>
          </w:p>
        </w:tc>
        <w:tc>
          <w:tcPr>
            <w:tcW w:w="3800" w:type="pct"/>
          </w:tcPr>
          <w:p w14:paraId="389A69D3" w14:textId="5BF4FE4D"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placebo</w:t>
            </w:r>
          </w:p>
        </w:tc>
      </w:tr>
      <w:tr w:rsidR="00127959" w:rsidRPr="003479A4" w14:paraId="3B835D3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43EDA6" w14:textId="399B6723" w:rsidR="00127959" w:rsidRPr="006B10FA" w:rsidRDefault="00127959" w:rsidP="00127959">
            <w:pPr>
              <w:rPr>
                <w:rFonts w:cs="Calibri"/>
                <w:szCs w:val="22"/>
              </w:rPr>
            </w:pPr>
            <w:r w:rsidRPr="006B10FA">
              <w:rPr>
                <w:rFonts w:eastAsiaTheme="minorHAnsi" w:cs="Calibri"/>
                <w:szCs w:val="22"/>
              </w:rPr>
              <w:t xml:space="preserve">PFS-NSD </w:t>
            </w:r>
          </w:p>
        </w:tc>
        <w:tc>
          <w:tcPr>
            <w:tcW w:w="3800" w:type="pct"/>
          </w:tcPr>
          <w:p w14:paraId="5F00C49B" w14:textId="19D07BFD"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pre-filled syringe with needle safety device</w:t>
            </w:r>
          </w:p>
        </w:tc>
      </w:tr>
      <w:tr w:rsidR="003479A4" w:rsidRPr="003479A4" w14:paraId="7129BCD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B24D30" w14:textId="6C1BF522" w:rsidR="003479A4" w:rsidRPr="006B10FA" w:rsidRDefault="003479A4" w:rsidP="003479A4">
            <w:pPr>
              <w:rPr>
                <w:rFonts w:cs="Calibri"/>
                <w:szCs w:val="22"/>
              </w:rPr>
            </w:pPr>
            <w:r w:rsidRPr="006B10FA">
              <w:rPr>
                <w:szCs w:val="22"/>
              </w:rPr>
              <w:t>PI</w:t>
            </w:r>
          </w:p>
        </w:tc>
        <w:tc>
          <w:tcPr>
            <w:tcW w:w="3800" w:type="pct"/>
          </w:tcPr>
          <w:p w14:paraId="7147F909" w14:textId="0797FA63"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szCs w:val="22"/>
              </w:rPr>
              <w:t>Product Information</w:t>
            </w:r>
          </w:p>
        </w:tc>
      </w:tr>
      <w:tr w:rsidR="00127959" w:rsidRPr="003479A4" w14:paraId="4C3081C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F518E6" w14:textId="7BEFDB66" w:rsidR="00127959" w:rsidRPr="006B10FA" w:rsidRDefault="00127959" w:rsidP="00127959">
            <w:pPr>
              <w:rPr>
                <w:rFonts w:cs="Calibri"/>
                <w:szCs w:val="22"/>
              </w:rPr>
            </w:pPr>
            <w:r w:rsidRPr="006B10FA">
              <w:rPr>
                <w:rFonts w:eastAsiaTheme="minorHAnsi" w:cs="Calibri"/>
                <w:szCs w:val="22"/>
              </w:rPr>
              <w:t xml:space="preserve">PK </w:t>
            </w:r>
          </w:p>
        </w:tc>
        <w:tc>
          <w:tcPr>
            <w:tcW w:w="3800" w:type="pct"/>
          </w:tcPr>
          <w:p w14:paraId="03C8DF70" w14:textId="3BC0E106"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pharmacokinetic</w:t>
            </w:r>
          </w:p>
        </w:tc>
      </w:tr>
      <w:tr w:rsidR="00127959" w:rsidRPr="003479A4" w14:paraId="7FDA09F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2BACC4" w14:textId="6ABC502B" w:rsidR="00127959" w:rsidRPr="006B10FA" w:rsidRDefault="00127959" w:rsidP="00127959">
            <w:pPr>
              <w:rPr>
                <w:rFonts w:cs="Calibri"/>
                <w:szCs w:val="22"/>
              </w:rPr>
            </w:pPr>
            <w:r w:rsidRPr="006B10FA">
              <w:rPr>
                <w:rFonts w:eastAsiaTheme="minorHAnsi" w:cs="Calibri"/>
                <w:szCs w:val="22"/>
              </w:rPr>
              <w:t xml:space="preserve">POEM </w:t>
            </w:r>
          </w:p>
        </w:tc>
        <w:tc>
          <w:tcPr>
            <w:tcW w:w="3800" w:type="pct"/>
          </w:tcPr>
          <w:p w14:paraId="608F987E" w14:textId="555C77EF"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patient-oriented eczema measure</w:t>
            </w:r>
          </w:p>
        </w:tc>
      </w:tr>
      <w:tr w:rsidR="00127959" w:rsidRPr="003479A4" w14:paraId="4F0699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F841F4" w14:textId="4B45F155" w:rsidR="00127959" w:rsidRPr="006B10FA" w:rsidRDefault="00127959" w:rsidP="00127959">
            <w:pPr>
              <w:rPr>
                <w:rFonts w:cs="Calibri"/>
                <w:szCs w:val="22"/>
              </w:rPr>
            </w:pPr>
            <w:r w:rsidRPr="006B10FA">
              <w:rPr>
                <w:rFonts w:eastAsiaTheme="minorHAnsi" w:cs="Calibri"/>
                <w:szCs w:val="22"/>
              </w:rPr>
              <w:t xml:space="preserve">POI </w:t>
            </w:r>
          </w:p>
        </w:tc>
        <w:tc>
          <w:tcPr>
            <w:tcW w:w="3800" w:type="pct"/>
          </w:tcPr>
          <w:p w14:paraId="0A072441" w14:textId="554830C1"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potential opportunistic infection</w:t>
            </w:r>
          </w:p>
        </w:tc>
      </w:tr>
      <w:tr w:rsidR="00127959" w:rsidRPr="003479A4" w14:paraId="7FF1A01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04317A" w14:textId="7396A016" w:rsidR="00127959" w:rsidRPr="006B10FA" w:rsidRDefault="00127959" w:rsidP="00127959">
            <w:pPr>
              <w:rPr>
                <w:rFonts w:cs="Calibri"/>
                <w:szCs w:val="22"/>
              </w:rPr>
            </w:pPr>
            <w:r w:rsidRPr="006B10FA">
              <w:rPr>
                <w:rFonts w:eastAsiaTheme="minorHAnsi" w:cs="Calibri"/>
                <w:szCs w:val="22"/>
              </w:rPr>
              <w:t xml:space="preserve">PROMIS </w:t>
            </w:r>
          </w:p>
        </w:tc>
        <w:tc>
          <w:tcPr>
            <w:tcW w:w="3800" w:type="pct"/>
          </w:tcPr>
          <w:p w14:paraId="5AEAE21F" w14:textId="74886C31"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patient-reported outcomes information system</w:t>
            </w:r>
          </w:p>
        </w:tc>
      </w:tr>
      <w:tr w:rsidR="00127959" w:rsidRPr="003479A4" w14:paraId="3505FED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DDB257" w14:textId="420F5367" w:rsidR="00127959" w:rsidRPr="006B10FA" w:rsidRDefault="00127959" w:rsidP="00127959">
            <w:pPr>
              <w:rPr>
                <w:rFonts w:cs="Calibri"/>
                <w:szCs w:val="22"/>
              </w:rPr>
            </w:pPr>
            <w:r w:rsidRPr="006B10FA">
              <w:rPr>
                <w:rFonts w:eastAsiaTheme="minorHAnsi" w:cs="Calibri"/>
                <w:szCs w:val="22"/>
              </w:rPr>
              <w:t xml:space="preserve">PROs </w:t>
            </w:r>
          </w:p>
        </w:tc>
        <w:tc>
          <w:tcPr>
            <w:tcW w:w="3800" w:type="pct"/>
          </w:tcPr>
          <w:p w14:paraId="680F7B9C" w14:textId="60FF7E91"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patient-reported outcomes</w:t>
            </w:r>
          </w:p>
        </w:tc>
      </w:tr>
      <w:tr w:rsidR="00127959" w:rsidRPr="003479A4" w14:paraId="536F453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33D39E" w14:textId="6EBFFC31" w:rsidR="00127959" w:rsidRPr="006B10FA" w:rsidRDefault="00127959" w:rsidP="00127959">
            <w:pPr>
              <w:rPr>
                <w:rFonts w:cs="Calibri"/>
                <w:szCs w:val="22"/>
              </w:rPr>
            </w:pPr>
            <w:r w:rsidRPr="006B10FA">
              <w:rPr>
                <w:rFonts w:eastAsiaTheme="minorHAnsi" w:cs="Calibri"/>
                <w:szCs w:val="22"/>
              </w:rPr>
              <w:t xml:space="preserve">PSAP </w:t>
            </w:r>
          </w:p>
        </w:tc>
        <w:tc>
          <w:tcPr>
            <w:tcW w:w="3800" w:type="pct"/>
          </w:tcPr>
          <w:p w14:paraId="624A320F" w14:textId="563AC522"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program statistical analysis plan</w:t>
            </w:r>
          </w:p>
        </w:tc>
      </w:tr>
      <w:tr w:rsidR="00127959" w:rsidRPr="003479A4" w14:paraId="2D0CEFD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BCCDF9" w14:textId="645A1F9D" w:rsidR="00127959" w:rsidRPr="006B10FA" w:rsidRDefault="00127959" w:rsidP="00127959">
            <w:pPr>
              <w:rPr>
                <w:rFonts w:cs="Calibri"/>
                <w:szCs w:val="22"/>
              </w:rPr>
            </w:pPr>
            <w:r w:rsidRPr="006B10FA">
              <w:rPr>
                <w:rFonts w:eastAsiaTheme="minorHAnsi" w:cs="Calibri"/>
                <w:szCs w:val="22"/>
              </w:rPr>
              <w:t xml:space="preserve">PT </w:t>
            </w:r>
          </w:p>
        </w:tc>
        <w:tc>
          <w:tcPr>
            <w:tcW w:w="3800" w:type="pct"/>
          </w:tcPr>
          <w:p w14:paraId="29368EB1" w14:textId="707BA452"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preferred term</w:t>
            </w:r>
          </w:p>
        </w:tc>
      </w:tr>
      <w:tr w:rsidR="00127959" w:rsidRPr="003479A4" w14:paraId="40D0BC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085031" w14:textId="22E88A0D" w:rsidR="00127959" w:rsidRPr="006B10FA" w:rsidRDefault="00127959" w:rsidP="00127959">
            <w:pPr>
              <w:rPr>
                <w:rFonts w:cs="Calibri"/>
                <w:szCs w:val="22"/>
              </w:rPr>
            </w:pPr>
            <w:r w:rsidRPr="006B10FA">
              <w:rPr>
                <w:rFonts w:eastAsiaTheme="minorHAnsi" w:cs="Calibri"/>
                <w:szCs w:val="22"/>
              </w:rPr>
              <w:t xml:space="preserve">PY </w:t>
            </w:r>
          </w:p>
        </w:tc>
        <w:tc>
          <w:tcPr>
            <w:tcW w:w="3800" w:type="pct"/>
          </w:tcPr>
          <w:p w14:paraId="47F944C9" w14:textId="4E04CC52"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patient-years</w:t>
            </w:r>
          </w:p>
        </w:tc>
      </w:tr>
      <w:tr w:rsidR="00127959" w:rsidRPr="003479A4" w14:paraId="2E71201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1B37C0" w14:textId="44E84DB9" w:rsidR="00127959" w:rsidRPr="006B10FA" w:rsidRDefault="00127959" w:rsidP="00127959">
            <w:pPr>
              <w:rPr>
                <w:rFonts w:cs="Calibri"/>
                <w:szCs w:val="22"/>
              </w:rPr>
            </w:pPr>
            <w:r w:rsidRPr="006B10FA">
              <w:rPr>
                <w:rFonts w:eastAsiaTheme="minorHAnsi" w:cs="Calibri"/>
                <w:szCs w:val="22"/>
              </w:rPr>
              <w:t>PYE</w:t>
            </w:r>
          </w:p>
        </w:tc>
        <w:tc>
          <w:tcPr>
            <w:tcW w:w="3800" w:type="pct"/>
          </w:tcPr>
          <w:p w14:paraId="13368AA2" w14:textId="1EFA7D5D"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patient-years of exposure</w:t>
            </w:r>
          </w:p>
        </w:tc>
      </w:tr>
      <w:tr w:rsidR="00127959" w:rsidRPr="003479A4" w14:paraId="580532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F1F018" w14:textId="5A6D5724" w:rsidR="00127959" w:rsidRPr="006B10FA" w:rsidRDefault="00127959" w:rsidP="00127959">
            <w:pPr>
              <w:rPr>
                <w:rFonts w:cs="Calibri"/>
                <w:szCs w:val="22"/>
              </w:rPr>
            </w:pPr>
            <w:r w:rsidRPr="006B10FA">
              <w:rPr>
                <w:rFonts w:eastAsiaTheme="minorHAnsi" w:cs="Calibri"/>
                <w:szCs w:val="22"/>
              </w:rPr>
              <w:t xml:space="preserve">Q2W </w:t>
            </w:r>
          </w:p>
        </w:tc>
        <w:tc>
          <w:tcPr>
            <w:tcW w:w="3800" w:type="pct"/>
          </w:tcPr>
          <w:p w14:paraId="4D94942C" w14:textId="2FB4F977"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every 2 weeks</w:t>
            </w:r>
          </w:p>
        </w:tc>
      </w:tr>
      <w:tr w:rsidR="00127959" w:rsidRPr="003479A4" w14:paraId="30B84F2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25FA8F" w14:textId="29C2414C" w:rsidR="00127959" w:rsidRPr="006B10FA" w:rsidRDefault="00127959" w:rsidP="00127959">
            <w:pPr>
              <w:rPr>
                <w:rFonts w:cs="Calibri"/>
                <w:szCs w:val="22"/>
              </w:rPr>
            </w:pPr>
            <w:r w:rsidRPr="006B10FA">
              <w:rPr>
                <w:rFonts w:eastAsiaTheme="minorHAnsi" w:cs="Calibri"/>
                <w:szCs w:val="22"/>
              </w:rPr>
              <w:t xml:space="preserve">Q4W </w:t>
            </w:r>
          </w:p>
        </w:tc>
        <w:tc>
          <w:tcPr>
            <w:tcW w:w="3800" w:type="pct"/>
          </w:tcPr>
          <w:p w14:paraId="7809F2E6" w14:textId="1C4FD32F"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every 4 weeks</w:t>
            </w:r>
          </w:p>
        </w:tc>
      </w:tr>
      <w:tr w:rsidR="00127959" w:rsidRPr="003479A4" w14:paraId="76232B7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44F42D" w14:textId="3E484841" w:rsidR="00127959" w:rsidRPr="006B10FA" w:rsidRDefault="00127959" w:rsidP="00127959">
            <w:pPr>
              <w:rPr>
                <w:rFonts w:cs="Calibri"/>
                <w:szCs w:val="22"/>
              </w:rPr>
            </w:pPr>
            <w:r w:rsidRPr="006B10FA">
              <w:rPr>
                <w:rFonts w:eastAsiaTheme="minorHAnsi" w:cs="Calibri"/>
                <w:szCs w:val="22"/>
              </w:rPr>
              <w:t xml:space="preserve">QTcF </w:t>
            </w:r>
          </w:p>
        </w:tc>
        <w:tc>
          <w:tcPr>
            <w:tcW w:w="3800" w:type="pct"/>
          </w:tcPr>
          <w:p w14:paraId="2B5850DE" w14:textId="7608CA8A" w:rsidR="00127959" w:rsidRPr="006B10FA" w:rsidRDefault="00127959" w:rsidP="00127959">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corrected time from the start of the Q wave to the end of the T wave interval - Fridericia formula</w:t>
            </w:r>
          </w:p>
        </w:tc>
      </w:tr>
      <w:tr w:rsidR="003479A4" w:rsidRPr="003479A4" w14:paraId="485F5B3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38DDB9" w14:textId="32717A6C" w:rsidR="003479A4" w:rsidRPr="006B10FA" w:rsidRDefault="003479A4" w:rsidP="003479A4">
            <w:pPr>
              <w:rPr>
                <w:rFonts w:cs="Calibri"/>
                <w:szCs w:val="22"/>
              </w:rPr>
            </w:pPr>
            <w:r w:rsidRPr="006B10FA">
              <w:rPr>
                <w:szCs w:val="22"/>
              </w:rPr>
              <w:t>RMP</w:t>
            </w:r>
          </w:p>
        </w:tc>
        <w:tc>
          <w:tcPr>
            <w:tcW w:w="3800" w:type="pct"/>
          </w:tcPr>
          <w:p w14:paraId="1E9EACFE" w14:textId="467262B7"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szCs w:val="22"/>
              </w:rPr>
              <w:t>Risk management plan</w:t>
            </w:r>
          </w:p>
        </w:tc>
      </w:tr>
      <w:tr w:rsidR="003479A4" w:rsidRPr="003479A4" w14:paraId="069DB1F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ABB69E" w14:textId="6AC0C02B" w:rsidR="003479A4" w:rsidRPr="006B10FA" w:rsidRDefault="003479A4" w:rsidP="003479A4">
            <w:pPr>
              <w:rPr>
                <w:rFonts w:cs="Calibri"/>
                <w:szCs w:val="22"/>
              </w:rPr>
            </w:pPr>
            <w:r w:rsidRPr="006B10FA">
              <w:rPr>
                <w:rFonts w:eastAsiaTheme="minorHAnsi" w:cs="Calibri"/>
                <w:szCs w:val="22"/>
              </w:rPr>
              <w:t xml:space="preserve">SAE </w:t>
            </w:r>
          </w:p>
        </w:tc>
        <w:tc>
          <w:tcPr>
            <w:tcW w:w="3800" w:type="pct"/>
          </w:tcPr>
          <w:p w14:paraId="3C899ECB" w14:textId="7F992C5A"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serious adverse event</w:t>
            </w:r>
          </w:p>
        </w:tc>
      </w:tr>
      <w:tr w:rsidR="003479A4" w:rsidRPr="003479A4" w14:paraId="4D53456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410DCB" w14:textId="0E9961F3" w:rsidR="003479A4" w:rsidRPr="006B10FA" w:rsidRDefault="003479A4" w:rsidP="003479A4">
            <w:pPr>
              <w:rPr>
                <w:rFonts w:cs="Calibri"/>
                <w:szCs w:val="22"/>
              </w:rPr>
            </w:pPr>
            <w:r w:rsidRPr="006B10FA">
              <w:rPr>
                <w:rFonts w:eastAsiaTheme="minorHAnsi" w:cs="Calibri"/>
                <w:szCs w:val="22"/>
              </w:rPr>
              <w:t xml:space="preserve">SAP </w:t>
            </w:r>
          </w:p>
        </w:tc>
        <w:tc>
          <w:tcPr>
            <w:tcW w:w="3800" w:type="pct"/>
          </w:tcPr>
          <w:p w14:paraId="65BAE0E9" w14:textId="2D4F543C"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statistical analysis plan</w:t>
            </w:r>
          </w:p>
        </w:tc>
      </w:tr>
      <w:tr w:rsidR="003479A4" w:rsidRPr="003479A4" w14:paraId="2BE6073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C487BA" w14:textId="32AF4ED3" w:rsidR="003479A4" w:rsidRPr="006B10FA" w:rsidRDefault="003479A4" w:rsidP="003479A4">
            <w:pPr>
              <w:rPr>
                <w:rFonts w:cs="Calibri"/>
                <w:szCs w:val="22"/>
              </w:rPr>
            </w:pPr>
            <w:r w:rsidRPr="006B10FA">
              <w:rPr>
                <w:rFonts w:eastAsiaTheme="minorHAnsi" w:cs="Calibri"/>
                <w:szCs w:val="22"/>
              </w:rPr>
              <w:t xml:space="preserve">SBP </w:t>
            </w:r>
          </w:p>
        </w:tc>
        <w:tc>
          <w:tcPr>
            <w:tcW w:w="3800" w:type="pct"/>
          </w:tcPr>
          <w:p w14:paraId="1B97DC2A" w14:textId="0A6FD4F0"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systolic blood pressure</w:t>
            </w:r>
          </w:p>
        </w:tc>
      </w:tr>
      <w:tr w:rsidR="003479A4" w:rsidRPr="003479A4" w14:paraId="3AC78B8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2BA594" w14:textId="143F700A" w:rsidR="003479A4" w:rsidRPr="006B10FA" w:rsidRDefault="003479A4" w:rsidP="003479A4">
            <w:pPr>
              <w:rPr>
                <w:rFonts w:cs="Calibri"/>
                <w:szCs w:val="22"/>
              </w:rPr>
            </w:pPr>
            <w:r w:rsidRPr="006B10FA">
              <w:rPr>
                <w:rFonts w:eastAsiaTheme="minorHAnsi" w:cs="Calibri"/>
                <w:szCs w:val="22"/>
              </w:rPr>
              <w:t>SC</w:t>
            </w:r>
          </w:p>
        </w:tc>
        <w:tc>
          <w:tcPr>
            <w:tcW w:w="3800" w:type="pct"/>
          </w:tcPr>
          <w:p w14:paraId="3A7BCF2C" w14:textId="60B9EE7F"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 xml:space="preserve">subcutaneous </w:t>
            </w:r>
          </w:p>
        </w:tc>
      </w:tr>
      <w:tr w:rsidR="003479A4" w:rsidRPr="003479A4" w14:paraId="61FB7FB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A029F7" w14:textId="085F0D76" w:rsidR="003479A4" w:rsidRPr="006B10FA" w:rsidRDefault="003479A4" w:rsidP="003479A4">
            <w:pPr>
              <w:rPr>
                <w:rFonts w:cs="Calibri"/>
                <w:szCs w:val="22"/>
              </w:rPr>
            </w:pPr>
            <w:r w:rsidRPr="006B10FA">
              <w:rPr>
                <w:rFonts w:eastAsiaTheme="minorHAnsi" w:cs="Calibri"/>
                <w:szCs w:val="22"/>
              </w:rPr>
              <w:t xml:space="preserve">SCC </w:t>
            </w:r>
          </w:p>
        </w:tc>
        <w:tc>
          <w:tcPr>
            <w:tcW w:w="3800" w:type="pct"/>
          </w:tcPr>
          <w:p w14:paraId="6376DCA5" w14:textId="41941F04"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squamous cell carcinoma</w:t>
            </w:r>
          </w:p>
        </w:tc>
      </w:tr>
      <w:tr w:rsidR="003479A4" w:rsidRPr="003479A4" w14:paraId="20F0B3E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91DE42" w14:textId="4D31FB68" w:rsidR="003479A4" w:rsidRPr="006B10FA" w:rsidRDefault="003479A4" w:rsidP="003479A4">
            <w:pPr>
              <w:rPr>
                <w:rFonts w:cs="Calibri"/>
                <w:szCs w:val="22"/>
              </w:rPr>
            </w:pPr>
            <w:r w:rsidRPr="006B10FA">
              <w:rPr>
                <w:rFonts w:eastAsiaTheme="minorHAnsi" w:cs="Calibri"/>
                <w:szCs w:val="22"/>
              </w:rPr>
              <w:t>SCE</w:t>
            </w:r>
          </w:p>
        </w:tc>
        <w:tc>
          <w:tcPr>
            <w:tcW w:w="3800" w:type="pct"/>
          </w:tcPr>
          <w:p w14:paraId="5D08429F" w14:textId="1186ACDC"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summary of clinical efficacy</w:t>
            </w:r>
          </w:p>
        </w:tc>
      </w:tr>
      <w:tr w:rsidR="003479A4" w:rsidRPr="003479A4" w14:paraId="4CB7A47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6B134D" w14:textId="3C2D6310" w:rsidR="003479A4" w:rsidRPr="006B10FA" w:rsidRDefault="003479A4" w:rsidP="003479A4">
            <w:pPr>
              <w:rPr>
                <w:rFonts w:cs="Calibri"/>
                <w:szCs w:val="22"/>
              </w:rPr>
            </w:pPr>
            <w:r w:rsidRPr="006B10FA">
              <w:rPr>
                <w:rFonts w:eastAsiaTheme="minorHAnsi" w:cs="Calibri"/>
                <w:szCs w:val="22"/>
              </w:rPr>
              <w:t>SCP</w:t>
            </w:r>
          </w:p>
        </w:tc>
        <w:tc>
          <w:tcPr>
            <w:tcW w:w="3800" w:type="pct"/>
          </w:tcPr>
          <w:p w14:paraId="0FD07F7D" w14:textId="343E43FD"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summary of clinical pharmacology</w:t>
            </w:r>
          </w:p>
        </w:tc>
      </w:tr>
      <w:tr w:rsidR="003479A4" w:rsidRPr="003479A4" w14:paraId="4EB976B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CB88F5" w14:textId="3C0B7DD4" w:rsidR="003479A4" w:rsidRPr="006B10FA" w:rsidRDefault="003479A4" w:rsidP="003479A4">
            <w:pPr>
              <w:rPr>
                <w:rFonts w:cs="Calibri"/>
                <w:szCs w:val="22"/>
              </w:rPr>
            </w:pPr>
            <w:r w:rsidRPr="006B10FA">
              <w:rPr>
                <w:rFonts w:eastAsiaTheme="minorHAnsi" w:cs="Calibri"/>
                <w:szCs w:val="22"/>
              </w:rPr>
              <w:t xml:space="preserve">SCS </w:t>
            </w:r>
          </w:p>
        </w:tc>
        <w:tc>
          <w:tcPr>
            <w:tcW w:w="3800" w:type="pct"/>
          </w:tcPr>
          <w:p w14:paraId="3B51DDDF" w14:textId="1FE70ED3"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summary of clinical safety</w:t>
            </w:r>
          </w:p>
        </w:tc>
      </w:tr>
      <w:tr w:rsidR="003479A4" w:rsidRPr="003479A4" w14:paraId="2B9030D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0D9DE2" w14:textId="55AE2B7A" w:rsidR="003479A4" w:rsidRPr="006B10FA" w:rsidRDefault="003479A4" w:rsidP="003479A4">
            <w:pPr>
              <w:rPr>
                <w:rFonts w:cs="Calibri"/>
                <w:szCs w:val="22"/>
              </w:rPr>
            </w:pPr>
            <w:r w:rsidRPr="006B10FA">
              <w:rPr>
                <w:rFonts w:eastAsiaTheme="minorHAnsi" w:cs="Calibri"/>
                <w:szCs w:val="22"/>
              </w:rPr>
              <w:t xml:space="preserve">SD </w:t>
            </w:r>
          </w:p>
        </w:tc>
        <w:tc>
          <w:tcPr>
            <w:tcW w:w="3800" w:type="pct"/>
          </w:tcPr>
          <w:p w14:paraId="796ED28C" w14:textId="15C6C7D5"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standard deviation</w:t>
            </w:r>
          </w:p>
        </w:tc>
      </w:tr>
      <w:tr w:rsidR="003479A4" w:rsidRPr="003479A4" w14:paraId="5AA5068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49EB72" w14:textId="07F76CE4" w:rsidR="003479A4" w:rsidRPr="006B10FA" w:rsidRDefault="003479A4" w:rsidP="003479A4">
            <w:pPr>
              <w:rPr>
                <w:rFonts w:cs="Calibri"/>
                <w:szCs w:val="22"/>
              </w:rPr>
            </w:pPr>
            <w:r w:rsidRPr="006B10FA">
              <w:rPr>
                <w:rFonts w:eastAsiaTheme="minorHAnsi" w:cs="Calibri"/>
                <w:szCs w:val="22"/>
              </w:rPr>
              <w:t xml:space="preserve">SJS </w:t>
            </w:r>
          </w:p>
        </w:tc>
        <w:tc>
          <w:tcPr>
            <w:tcW w:w="3800" w:type="pct"/>
          </w:tcPr>
          <w:p w14:paraId="3EDA6016" w14:textId="3A191B21"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Stevens Johnson Syndrome</w:t>
            </w:r>
          </w:p>
        </w:tc>
      </w:tr>
      <w:tr w:rsidR="003479A4" w:rsidRPr="003479A4" w14:paraId="6153772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C9215B" w14:textId="5A103B8F" w:rsidR="003479A4" w:rsidRPr="006B10FA" w:rsidRDefault="003479A4" w:rsidP="003479A4">
            <w:pPr>
              <w:rPr>
                <w:rFonts w:cs="Calibri"/>
                <w:szCs w:val="22"/>
              </w:rPr>
            </w:pPr>
            <w:r w:rsidRPr="006B10FA">
              <w:rPr>
                <w:rFonts w:eastAsiaTheme="minorHAnsi" w:cs="Calibri"/>
                <w:szCs w:val="22"/>
              </w:rPr>
              <w:t xml:space="preserve">SMQ </w:t>
            </w:r>
          </w:p>
        </w:tc>
        <w:tc>
          <w:tcPr>
            <w:tcW w:w="3800" w:type="pct"/>
          </w:tcPr>
          <w:p w14:paraId="32116B70" w14:textId="3BC9D5F6"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standardised MedDRA query</w:t>
            </w:r>
          </w:p>
        </w:tc>
      </w:tr>
      <w:tr w:rsidR="003479A4" w:rsidRPr="003479A4" w14:paraId="06CF3F1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6BF1E6" w14:textId="57B4423A" w:rsidR="003479A4" w:rsidRPr="006B10FA" w:rsidRDefault="003479A4" w:rsidP="003479A4">
            <w:pPr>
              <w:rPr>
                <w:rFonts w:cs="Calibri"/>
                <w:szCs w:val="22"/>
              </w:rPr>
            </w:pPr>
            <w:r w:rsidRPr="006B10FA">
              <w:rPr>
                <w:rFonts w:eastAsiaTheme="minorHAnsi" w:cs="Calibri"/>
                <w:szCs w:val="22"/>
              </w:rPr>
              <w:t xml:space="preserve">SOC </w:t>
            </w:r>
          </w:p>
        </w:tc>
        <w:tc>
          <w:tcPr>
            <w:tcW w:w="3800" w:type="pct"/>
          </w:tcPr>
          <w:p w14:paraId="0C2BC91E" w14:textId="395D81FD"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system organ class</w:t>
            </w:r>
          </w:p>
        </w:tc>
      </w:tr>
      <w:tr w:rsidR="003479A4" w:rsidRPr="003479A4" w14:paraId="1E54EB5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41A43D" w14:textId="3AD60D0D" w:rsidR="003479A4" w:rsidRPr="006B10FA" w:rsidRDefault="003479A4" w:rsidP="003479A4">
            <w:pPr>
              <w:rPr>
                <w:rFonts w:cs="Calibri"/>
                <w:szCs w:val="22"/>
              </w:rPr>
            </w:pPr>
            <w:r w:rsidRPr="006B10FA">
              <w:rPr>
                <w:rFonts w:eastAsiaTheme="minorHAnsi" w:cs="Calibri"/>
                <w:szCs w:val="22"/>
              </w:rPr>
              <w:t xml:space="preserve">TBL </w:t>
            </w:r>
          </w:p>
        </w:tc>
        <w:tc>
          <w:tcPr>
            <w:tcW w:w="3800" w:type="pct"/>
          </w:tcPr>
          <w:p w14:paraId="7D46C087" w14:textId="40BF8364"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total bilirubin</w:t>
            </w:r>
          </w:p>
        </w:tc>
      </w:tr>
      <w:tr w:rsidR="003479A4" w:rsidRPr="003479A4" w14:paraId="190AC70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4E4189" w14:textId="4D824ED4" w:rsidR="003479A4" w:rsidRPr="006B10FA" w:rsidRDefault="003479A4" w:rsidP="003479A4">
            <w:pPr>
              <w:rPr>
                <w:rFonts w:cs="Calibri"/>
                <w:szCs w:val="22"/>
              </w:rPr>
            </w:pPr>
            <w:r w:rsidRPr="006B10FA">
              <w:rPr>
                <w:rFonts w:eastAsiaTheme="minorHAnsi" w:cs="Calibri"/>
                <w:szCs w:val="22"/>
              </w:rPr>
              <w:t>TCI</w:t>
            </w:r>
          </w:p>
        </w:tc>
        <w:tc>
          <w:tcPr>
            <w:tcW w:w="3800" w:type="pct"/>
          </w:tcPr>
          <w:p w14:paraId="4534E38F" w14:textId="1B16FB73"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topical calcineurin inhibitors</w:t>
            </w:r>
          </w:p>
        </w:tc>
      </w:tr>
      <w:tr w:rsidR="003479A4" w:rsidRPr="003479A4" w14:paraId="386E778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A7ADBA" w14:textId="00EBEF3B" w:rsidR="003479A4" w:rsidRPr="006B10FA" w:rsidRDefault="003479A4" w:rsidP="003479A4">
            <w:pPr>
              <w:rPr>
                <w:rFonts w:cs="Calibri"/>
                <w:szCs w:val="22"/>
              </w:rPr>
            </w:pPr>
            <w:r w:rsidRPr="006B10FA">
              <w:rPr>
                <w:rFonts w:eastAsiaTheme="minorHAnsi" w:cs="Calibri"/>
                <w:szCs w:val="22"/>
              </w:rPr>
              <w:t xml:space="preserve">TCS </w:t>
            </w:r>
          </w:p>
        </w:tc>
        <w:tc>
          <w:tcPr>
            <w:tcW w:w="3800" w:type="pct"/>
          </w:tcPr>
          <w:p w14:paraId="52C05AF6" w14:textId="7645499A"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topical corticosteroid</w:t>
            </w:r>
          </w:p>
        </w:tc>
      </w:tr>
      <w:tr w:rsidR="003479A4" w:rsidRPr="003479A4" w14:paraId="24DCBD7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E5BE28" w14:textId="435E8056" w:rsidR="003479A4" w:rsidRPr="006B10FA" w:rsidRDefault="003479A4" w:rsidP="003479A4">
            <w:pPr>
              <w:rPr>
                <w:rFonts w:cs="Calibri"/>
                <w:szCs w:val="22"/>
              </w:rPr>
            </w:pPr>
            <w:r w:rsidRPr="006B10FA">
              <w:rPr>
                <w:rFonts w:eastAsiaTheme="minorHAnsi" w:cs="Calibri"/>
                <w:szCs w:val="22"/>
              </w:rPr>
              <w:t xml:space="preserve">TE </w:t>
            </w:r>
          </w:p>
        </w:tc>
        <w:tc>
          <w:tcPr>
            <w:tcW w:w="3800" w:type="pct"/>
          </w:tcPr>
          <w:p w14:paraId="61BCD8F9" w14:textId="1B6E3CDC"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treatment-emergent</w:t>
            </w:r>
          </w:p>
        </w:tc>
      </w:tr>
      <w:tr w:rsidR="003479A4" w:rsidRPr="003479A4" w14:paraId="13E8D86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76E48D" w14:textId="66C1D947" w:rsidR="003479A4" w:rsidRPr="006B10FA" w:rsidRDefault="003479A4" w:rsidP="003479A4">
            <w:pPr>
              <w:rPr>
                <w:rFonts w:cs="Calibri"/>
                <w:szCs w:val="22"/>
              </w:rPr>
            </w:pPr>
            <w:r w:rsidRPr="006B10FA">
              <w:rPr>
                <w:rFonts w:eastAsiaTheme="minorHAnsi" w:cs="Calibri"/>
                <w:szCs w:val="22"/>
              </w:rPr>
              <w:t xml:space="preserve">TEAE </w:t>
            </w:r>
          </w:p>
        </w:tc>
        <w:tc>
          <w:tcPr>
            <w:tcW w:w="3800" w:type="pct"/>
          </w:tcPr>
          <w:p w14:paraId="712AD98D" w14:textId="35B9630B"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treatment-emergent adverse event</w:t>
            </w:r>
          </w:p>
        </w:tc>
      </w:tr>
      <w:tr w:rsidR="003479A4" w:rsidRPr="003479A4" w14:paraId="6E36895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29052C" w14:textId="3D4085C8" w:rsidR="003479A4" w:rsidRPr="006B10FA" w:rsidRDefault="003479A4" w:rsidP="003479A4">
            <w:pPr>
              <w:rPr>
                <w:rFonts w:cs="Calibri"/>
                <w:szCs w:val="22"/>
              </w:rPr>
            </w:pPr>
            <w:r w:rsidRPr="006B10FA">
              <w:rPr>
                <w:rFonts w:eastAsiaTheme="minorHAnsi" w:cs="Calibri"/>
                <w:szCs w:val="22"/>
              </w:rPr>
              <w:t>TGA</w:t>
            </w:r>
          </w:p>
        </w:tc>
        <w:tc>
          <w:tcPr>
            <w:tcW w:w="3800" w:type="pct"/>
          </w:tcPr>
          <w:p w14:paraId="0DB830D8" w14:textId="6F593121"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Therapeutic Goods Administration</w:t>
            </w:r>
          </w:p>
        </w:tc>
      </w:tr>
      <w:tr w:rsidR="003479A4" w:rsidRPr="003479A4" w14:paraId="40FE664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9429FC" w14:textId="7AA71F8A" w:rsidR="003479A4" w:rsidRPr="006B10FA" w:rsidRDefault="003479A4" w:rsidP="003479A4">
            <w:pPr>
              <w:rPr>
                <w:rFonts w:cs="Calibri"/>
                <w:szCs w:val="22"/>
              </w:rPr>
            </w:pPr>
            <w:r w:rsidRPr="006B10FA">
              <w:rPr>
                <w:rFonts w:eastAsiaTheme="minorHAnsi" w:cs="Calibri"/>
                <w:szCs w:val="22"/>
              </w:rPr>
              <w:t xml:space="preserve">TREBLE </w:t>
            </w:r>
          </w:p>
        </w:tc>
        <w:tc>
          <w:tcPr>
            <w:tcW w:w="3800" w:type="pct"/>
          </w:tcPr>
          <w:p w14:paraId="331B7FB1" w14:textId="7871D83B"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 xml:space="preserve">Study KGAG - Study J2T-DM-KGAG (KGAG/TREBLE) </w:t>
            </w:r>
          </w:p>
        </w:tc>
      </w:tr>
      <w:tr w:rsidR="003479A4" w:rsidRPr="003479A4" w14:paraId="30080BE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FA0E39" w14:textId="3FBDB134" w:rsidR="003479A4" w:rsidRPr="006B10FA" w:rsidRDefault="003479A4" w:rsidP="003479A4">
            <w:pPr>
              <w:rPr>
                <w:rFonts w:cs="Calibri"/>
                <w:szCs w:val="22"/>
              </w:rPr>
            </w:pPr>
            <w:r w:rsidRPr="006B10FA">
              <w:rPr>
                <w:rFonts w:eastAsiaTheme="minorHAnsi" w:cs="Calibri"/>
                <w:szCs w:val="22"/>
              </w:rPr>
              <w:t xml:space="preserve">ULN </w:t>
            </w:r>
          </w:p>
        </w:tc>
        <w:tc>
          <w:tcPr>
            <w:tcW w:w="3800" w:type="pct"/>
          </w:tcPr>
          <w:p w14:paraId="75008555" w14:textId="6B43DD46"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upper limit of normal</w:t>
            </w:r>
          </w:p>
        </w:tc>
      </w:tr>
      <w:tr w:rsidR="003479A4" w:rsidRPr="003479A4" w14:paraId="272109E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1D64C6" w14:textId="39848F16" w:rsidR="003479A4" w:rsidRPr="006B10FA" w:rsidRDefault="003479A4" w:rsidP="003479A4">
            <w:pPr>
              <w:rPr>
                <w:rFonts w:cs="Calibri"/>
                <w:szCs w:val="22"/>
              </w:rPr>
            </w:pPr>
            <w:r w:rsidRPr="006B10FA">
              <w:rPr>
                <w:rFonts w:eastAsiaTheme="minorHAnsi" w:cs="Calibri"/>
                <w:szCs w:val="22"/>
              </w:rPr>
              <w:t xml:space="preserve">URTI </w:t>
            </w:r>
          </w:p>
        </w:tc>
        <w:tc>
          <w:tcPr>
            <w:tcW w:w="3800" w:type="pct"/>
          </w:tcPr>
          <w:p w14:paraId="02AFA386" w14:textId="2D7205D7" w:rsidR="003479A4" w:rsidRPr="006B10FA" w:rsidRDefault="003479A4" w:rsidP="003479A4">
            <w:pPr>
              <w:cnfStyle w:val="000000000000" w:firstRow="0" w:lastRow="0" w:firstColumn="0" w:lastColumn="0" w:oddVBand="0" w:evenVBand="0" w:oddHBand="0" w:evenHBand="0" w:firstRowFirstColumn="0" w:firstRowLastColumn="0" w:lastRowFirstColumn="0" w:lastRowLastColumn="0"/>
              <w:rPr>
                <w:rFonts w:cs="Calibri"/>
                <w:szCs w:val="22"/>
              </w:rPr>
            </w:pPr>
            <w:r w:rsidRPr="006B10FA">
              <w:rPr>
                <w:rFonts w:eastAsiaTheme="minorHAnsi" w:cs="Calibri"/>
                <w:szCs w:val="22"/>
              </w:rPr>
              <w:t>upper respiratory tract infection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3D536B78" w:rsidR="00324B33" w:rsidRDefault="001A3B69" w:rsidP="00324B33">
      <w:pPr>
        <w:pStyle w:val="Heading2"/>
      </w:pPr>
      <w:bookmarkStart w:id="6" w:name="_Toc103679288"/>
      <w:bookmarkStart w:id="7" w:name="_Toc180416229"/>
      <w:r w:rsidRPr="001A3B69">
        <w:t xml:space="preserve">Ebglyss </w:t>
      </w:r>
      <w:r>
        <w:t>(</w:t>
      </w:r>
      <w:r w:rsidRPr="001A3B69">
        <w:t>lebrikizumab</w:t>
      </w:r>
      <w:r>
        <w:t>)</w:t>
      </w:r>
      <w:r w:rsidRPr="001A3B69">
        <w:t xml:space="preserve"> </w:t>
      </w:r>
      <w:r w:rsidR="00324B33">
        <w:t>submission</w:t>
      </w:r>
      <w:bookmarkEnd w:id="6"/>
      <w:bookmarkEnd w:id="7"/>
    </w:p>
    <w:tbl>
      <w:tblPr>
        <w:tblW w:w="5000" w:type="pct"/>
        <w:tblLook w:val="01E0" w:firstRow="1" w:lastRow="1" w:firstColumn="1" w:lastColumn="1" w:noHBand="0" w:noVBand="0"/>
      </w:tblPr>
      <w:tblGrid>
        <w:gridCol w:w="3969"/>
        <w:gridCol w:w="5101"/>
      </w:tblGrid>
      <w:tr w:rsidR="00324B33" w:rsidRPr="00BD5DBD" w14:paraId="77D11C95" w14:textId="77777777" w:rsidTr="00715AAC">
        <w:tc>
          <w:tcPr>
            <w:tcW w:w="2188" w:type="pct"/>
          </w:tcPr>
          <w:p w14:paraId="10E57D62" w14:textId="662AD614" w:rsidR="00324B33" w:rsidRPr="001A3B69" w:rsidRDefault="00324B33" w:rsidP="00715AAC">
            <w:pPr>
              <w:rPr>
                <w:b/>
                <w:bCs/>
                <w:i/>
                <w:szCs w:val="22"/>
              </w:rPr>
            </w:pPr>
            <w:r w:rsidRPr="001A3B69">
              <w:rPr>
                <w:b/>
                <w:bCs/>
                <w:i/>
                <w:szCs w:val="22"/>
              </w:rPr>
              <w:t>Type of submission:</w:t>
            </w:r>
          </w:p>
        </w:tc>
        <w:tc>
          <w:tcPr>
            <w:tcW w:w="2812" w:type="pct"/>
          </w:tcPr>
          <w:p w14:paraId="4F07C303" w14:textId="4D3E063F" w:rsidR="00324B33" w:rsidRPr="00BD5DBD" w:rsidRDefault="00127959" w:rsidP="007452E8">
            <w:pPr>
              <w:rPr>
                <w:szCs w:val="22"/>
              </w:rPr>
            </w:pPr>
            <w:bookmarkStart w:id="8" w:name="_Hlk180412175"/>
            <w:r w:rsidRPr="00127959">
              <w:rPr>
                <w:szCs w:val="22"/>
              </w:rPr>
              <w:t>New Biological Entity</w:t>
            </w:r>
            <w:bookmarkEnd w:id="8"/>
          </w:p>
        </w:tc>
      </w:tr>
      <w:tr w:rsidR="00324B33" w:rsidRPr="00BD5DBD" w14:paraId="13482B61" w14:textId="77777777" w:rsidTr="00715AAC">
        <w:tc>
          <w:tcPr>
            <w:tcW w:w="2188" w:type="pct"/>
          </w:tcPr>
          <w:p w14:paraId="2C427FCF" w14:textId="01211908" w:rsidR="00324B33" w:rsidRPr="001A3B69" w:rsidRDefault="00324B33" w:rsidP="00715AAC">
            <w:pPr>
              <w:rPr>
                <w:b/>
                <w:bCs/>
                <w:i/>
                <w:szCs w:val="22"/>
              </w:rPr>
            </w:pPr>
            <w:r w:rsidRPr="001A3B69">
              <w:rPr>
                <w:b/>
                <w:bCs/>
                <w:i/>
                <w:szCs w:val="22"/>
              </w:rPr>
              <w:t>Product name:</w:t>
            </w:r>
          </w:p>
        </w:tc>
        <w:tc>
          <w:tcPr>
            <w:tcW w:w="2812" w:type="pct"/>
          </w:tcPr>
          <w:p w14:paraId="0E2DEF76" w14:textId="0C91B593" w:rsidR="00324B33" w:rsidRPr="00BD5DBD" w:rsidRDefault="00D2553C" w:rsidP="007452E8">
            <w:pPr>
              <w:rPr>
                <w:szCs w:val="22"/>
              </w:rPr>
            </w:pPr>
            <w:r>
              <w:rPr>
                <w:szCs w:val="22"/>
              </w:rPr>
              <w:t>Ebglyss</w:t>
            </w:r>
          </w:p>
        </w:tc>
      </w:tr>
      <w:tr w:rsidR="00324B33" w:rsidRPr="00BD5DBD" w14:paraId="01255B5B" w14:textId="77777777" w:rsidTr="00715AAC">
        <w:tc>
          <w:tcPr>
            <w:tcW w:w="2188" w:type="pct"/>
          </w:tcPr>
          <w:p w14:paraId="52B4F3D7" w14:textId="2024E8F9" w:rsidR="00324B33" w:rsidRPr="001A3B69" w:rsidRDefault="00324B33" w:rsidP="00715AAC">
            <w:pPr>
              <w:rPr>
                <w:b/>
                <w:bCs/>
                <w:i/>
                <w:szCs w:val="22"/>
              </w:rPr>
            </w:pPr>
            <w:r w:rsidRPr="001A3B69">
              <w:rPr>
                <w:b/>
                <w:bCs/>
                <w:i/>
                <w:szCs w:val="22"/>
              </w:rPr>
              <w:t>Active ingredient:</w:t>
            </w:r>
          </w:p>
        </w:tc>
        <w:tc>
          <w:tcPr>
            <w:tcW w:w="2812" w:type="pct"/>
          </w:tcPr>
          <w:p w14:paraId="02FB6383" w14:textId="0D9F2AE7" w:rsidR="00324B33" w:rsidRPr="00BD5DBD" w:rsidRDefault="00127959" w:rsidP="007452E8">
            <w:pPr>
              <w:rPr>
                <w:szCs w:val="22"/>
              </w:rPr>
            </w:pPr>
            <w:r w:rsidRPr="00127959">
              <w:rPr>
                <w:szCs w:val="22"/>
              </w:rPr>
              <w:t>lebrikizumab</w:t>
            </w:r>
          </w:p>
        </w:tc>
      </w:tr>
      <w:tr w:rsidR="00324B33" w:rsidRPr="00BD5DBD" w14:paraId="219A281B" w14:textId="77777777" w:rsidTr="00715AAC">
        <w:tc>
          <w:tcPr>
            <w:tcW w:w="2188" w:type="pct"/>
          </w:tcPr>
          <w:p w14:paraId="112E5F78" w14:textId="77777777" w:rsidR="00324B33" w:rsidRPr="001A3B69" w:rsidRDefault="00324B33" w:rsidP="00715AAC">
            <w:pPr>
              <w:rPr>
                <w:b/>
                <w:bCs/>
                <w:i/>
                <w:szCs w:val="22"/>
              </w:rPr>
            </w:pPr>
            <w:r w:rsidRPr="001A3B69">
              <w:rPr>
                <w:b/>
                <w:bCs/>
                <w:i/>
                <w:szCs w:val="22"/>
              </w:rPr>
              <w:t>Decision:</w:t>
            </w:r>
          </w:p>
        </w:tc>
        <w:tc>
          <w:tcPr>
            <w:tcW w:w="2812" w:type="pct"/>
          </w:tcPr>
          <w:p w14:paraId="3B114BEA" w14:textId="14DC4C7F" w:rsidR="00324B33" w:rsidRPr="00BD5DBD" w:rsidRDefault="00324B33" w:rsidP="007452E8">
            <w:pPr>
              <w:rPr>
                <w:szCs w:val="22"/>
              </w:rPr>
            </w:pPr>
            <w:r w:rsidRPr="00BD5DBD">
              <w:rPr>
                <w:szCs w:val="22"/>
              </w:rPr>
              <w:t>Approved</w:t>
            </w:r>
          </w:p>
        </w:tc>
      </w:tr>
      <w:tr w:rsidR="00AE1947" w:rsidRPr="00BD5DBD" w14:paraId="32B72632" w14:textId="77777777" w:rsidTr="00715AAC">
        <w:tc>
          <w:tcPr>
            <w:tcW w:w="2188" w:type="pct"/>
          </w:tcPr>
          <w:p w14:paraId="332A5CD5" w14:textId="65682B5F" w:rsidR="00AE1947" w:rsidRPr="001A3B69" w:rsidRDefault="00AE1947" w:rsidP="00715AAC">
            <w:pPr>
              <w:rPr>
                <w:b/>
                <w:bCs/>
              </w:rPr>
            </w:pPr>
            <w:r w:rsidRPr="001A3B69">
              <w:rPr>
                <w:b/>
                <w:bCs/>
                <w:i/>
                <w:szCs w:val="22"/>
              </w:rPr>
              <w:t>Date of decision:</w:t>
            </w:r>
          </w:p>
        </w:tc>
        <w:tc>
          <w:tcPr>
            <w:tcW w:w="2812" w:type="pct"/>
          </w:tcPr>
          <w:p w14:paraId="7B381CD6" w14:textId="4CAC35E4" w:rsidR="00AE1947" w:rsidRPr="00BD5DBD" w:rsidRDefault="00127959" w:rsidP="00602658">
            <w:pPr>
              <w:rPr>
                <w:szCs w:val="22"/>
              </w:rPr>
            </w:pPr>
            <w:r w:rsidRPr="00127959">
              <w:rPr>
                <w:szCs w:val="22"/>
              </w:rPr>
              <w:t>16 May 2024</w:t>
            </w:r>
          </w:p>
        </w:tc>
      </w:tr>
      <w:tr w:rsidR="00324B33" w:rsidRPr="00BD5DBD" w14:paraId="60A25F5A" w14:textId="77777777" w:rsidTr="00715AAC">
        <w:trPr>
          <w:trHeight w:val="70"/>
        </w:trPr>
        <w:tc>
          <w:tcPr>
            <w:tcW w:w="2188" w:type="pct"/>
          </w:tcPr>
          <w:p w14:paraId="5C5E4CBA" w14:textId="77777777" w:rsidR="00324B33" w:rsidRPr="001A3B69" w:rsidRDefault="00324B33" w:rsidP="00715AAC">
            <w:pPr>
              <w:rPr>
                <w:b/>
                <w:bCs/>
                <w:i/>
                <w:szCs w:val="22"/>
              </w:rPr>
            </w:pPr>
            <w:r w:rsidRPr="001A3B69">
              <w:rPr>
                <w:b/>
                <w:bCs/>
                <w:i/>
                <w:szCs w:val="22"/>
              </w:rPr>
              <w:t>Date of entry onto ARTG:</w:t>
            </w:r>
          </w:p>
        </w:tc>
        <w:tc>
          <w:tcPr>
            <w:tcW w:w="2812" w:type="pct"/>
          </w:tcPr>
          <w:p w14:paraId="28B270E9" w14:textId="6C73D23A" w:rsidR="00324B33" w:rsidRPr="00BD5DBD" w:rsidRDefault="006A33B1" w:rsidP="007452E8">
            <w:pPr>
              <w:rPr>
                <w:szCs w:val="22"/>
              </w:rPr>
            </w:pPr>
            <w:r w:rsidRPr="006A33B1">
              <w:rPr>
                <w:szCs w:val="22"/>
              </w:rPr>
              <w:t>29 May 2024</w:t>
            </w:r>
          </w:p>
        </w:tc>
      </w:tr>
      <w:tr w:rsidR="00324B33" w:rsidRPr="00BD5DBD" w14:paraId="547E08D7" w14:textId="77777777" w:rsidTr="00715AAC">
        <w:tc>
          <w:tcPr>
            <w:tcW w:w="2188" w:type="pct"/>
          </w:tcPr>
          <w:p w14:paraId="5030EF30" w14:textId="4A5BBBA2" w:rsidR="00324B33" w:rsidRPr="001A3B69" w:rsidRDefault="00324B33" w:rsidP="00715AAC">
            <w:pPr>
              <w:rPr>
                <w:b/>
                <w:bCs/>
                <w:i/>
                <w:szCs w:val="22"/>
              </w:rPr>
            </w:pPr>
            <w:r w:rsidRPr="001A3B69">
              <w:rPr>
                <w:b/>
                <w:bCs/>
                <w:i/>
                <w:szCs w:val="22"/>
              </w:rPr>
              <w:t>ARTG numbe</w:t>
            </w:r>
            <w:r w:rsidR="007076FA" w:rsidRPr="001A3B69">
              <w:rPr>
                <w:b/>
                <w:bCs/>
                <w:i/>
                <w:szCs w:val="22"/>
              </w:rPr>
              <w:t>r</w:t>
            </w:r>
            <w:r w:rsidRPr="001A3B69">
              <w:rPr>
                <w:b/>
                <w:bCs/>
                <w:i/>
                <w:szCs w:val="22"/>
              </w:rPr>
              <w:t>:</w:t>
            </w:r>
          </w:p>
        </w:tc>
        <w:tc>
          <w:tcPr>
            <w:tcW w:w="2812" w:type="pct"/>
          </w:tcPr>
          <w:p w14:paraId="0054E912" w14:textId="5F832F84" w:rsidR="00324B33" w:rsidRPr="00BD5DBD" w:rsidRDefault="00127959" w:rsidP="007452E8">
            <w:pPr>
              <w:rPr>
                <w:szCs w:val="22"/>
              </w:rPr>
            </w:pPr>
            <w:r w:rsidRPr="00127959">
              <w:rPr>
                <w:szCs w:val="22"/>
              </w:rPr>
              <w:t>406290</w:t>
            </w:r>
          </w:p>
        </w:tc>
      </w:tr>
      <w:tr w:rsidR="00324B33" w:rsidRPr="00BD5DBD" w14:paraId="7618393F" w14:textId="77777777" w:rsidTr="00715AAC">
        <w:tc>
          <w:tcPr>
            <w:tcW w:w="2188" w:type="pct"/>
          </w:tcPr>
          <w:p w14:paraId="02260DE2" w14:textId="4F90C87F" w:rsidR="00324B33" w:rsidRPr="001A3B69" w:rsidRDefault="000C7ABC" w:rsidP="00715AAC">
            <w:pPr>
              <w:rPr>
                <w:b/>
                <w:bCs/>
                <w:i/>
                <w:color w:val="0000FF"/>
                <w:szCs w:val="22"/>
                <w:u w:val="single"/>
              </w:rPr>
            </w:pPr>
            <w:hyperlink r:id="rId15" w:history="1">
              <w:r w:rsidR="00324B33" w:rsidRPr="001A3B69">
                <w:rPr>
                  <w:rStyle w:val="Hyperlink"/>
                  <w:b/>
                  <w:bCs/>
                  <w:i/>
                  <w:szCs w:val="22"/>
                </w:rPr>
                <w:t>Black Triangle Scheme</w:t>
              </w:r>
            </w:hyperlink>
          </w:p>
        </w:tc>
        <w:tc>
          <w:tcPr>
            <w:tcW w:w="2812" w:type="pct"/>
          </w:tcPr>
          <w:p w14:paraId="6FF3C6A2" w14:textId="6C4D5F00" w:rsidR="00324B33" w:rsidRPr="00BD5DBD" w:rsidRDefault="00324B33" w:rsidP="007452E8">
            <w:pPr>
              <w:rPr>
                <w:szCs w:val="22"/>
              </w:rPr>
            </w:pPr>
            <w:r w:rsidRPr="00BD5DBD">
              <w:rPr>
                <w:szCs w:val="22"/>
              </w:rPr>
              <w:t>Yes</w:t>
            </w:r>
          </w:p>
        </w:tc>
      </w:tr>
      <w:tr w:rsidR="00324B33" w:rsidRPr="00BD5DBD" w14:paraId="179E09FE" w14:textId="77777777" w:rsidTr="00715AAC">
        <w:tc>
          <w:tcPr>
            <w:tcW w:w="2188" w:type="pct"/>
          </w:tcPr>
          <w:p w14:paraId="1A592498" w14:textId="77777777" w:rsidR="00324B33" w:rsidRPr="001A3B69" w:rsidRDefault="00324B33" w:rsidP="00715AAC">
            <w:pPr>
              <w:rPr>
                <w:b/>
                <w:bCs/>
                <w:i/>
                <w:szCs w:val="22"/>
              </w:rPr>
            </w:pPr>
            <w:r w:rsidRPr="001A3B69">
              <w:rPr>
                <w:b/>
                <w:bCs/>
                <w:i/>
                <w:szCs w:val="22"/>
              </w:rPr>
              <w:t>Sponsor’s name and address:</w:t>
            </w:r>
          </w:p>
        </w:tc>
        <w:tc>
          <w:tcPr>
            <w:tcW w:w="2812" w:type="pct"/>
          </w:tcPr>
          <w:p w14:paraId="68DD94B0" w14:textId="40AE0C97" w:rsidR="00324B33" w:rsidRPr="00BD5DBD" w:rsidRDefault="00127959" w:rsidP="007452E8">
            <w:pPr>
              <w:rPr>
                <w:szCs w:val="22"/>
              </w:rPr>
            </w:pPr>
            <w:r w:rsidRPr="00127959">
              <w:rPr>
                <w:szCs w:val="22"/>
              </w:rPr>
              <w:t>Eli Lilly Australia Pty Ltd</w:t>
            </w:r>
            <w:r w:rsidR="006A33B1">
              <w:rPr>
                <w:szCs w:val="22"/>
              </w:rPr>
              <w:t xml:space="preserve">, </w:t>
            </w:r>
            <w:r w:rsidR="006A33B1" w:rsidRPr="006A33B1">
              <w:rPr>
                <w:szCs w:val="22"/>
              </w:rPr>
              <w:t>Level 9, 60 Margaret Street, Sydney, NSW 2000 AUSTRALIA</w:t>
            </w:r>
          </w:p>
        </w:tc>
      </w:tr>
      <w:tr w:rsidR="00324B33" w:rsidRPr="00BD5DBD" w14:paraId="5322B989" w14:textId="77777777" w:rsidTr="00715AAC">
        <w:tc>
          <w:tcPr>
            <w:tcW w:w="2188" w:type="pct"/>
          </w:tcPr>
          <w:p w14:paraId="24F217E3" w14:textId="04ECD8A9" w:rsidR="00324B33" w:rsidRPr="001A3B69" w:rsidRDefault="00324B33" w:rsidP="00715AAC">
            <w:pPr>
              <w:rPr>
                <w:b/>
                <w:bCs/>
                <w:i/>
                <w:szCs w:val="22"/>
              </w:rPr>
            </w:pPr>
            <w:r w:rsidRPr="001A3B69">
              <w:rPr>
                <w:b/>
                <w:bCs/>
                <w:i/>
                <w:szCs w:val="22"/>
              </w:rPr>
              <w:t>Dose form:</w:t>
            </w:r>
          </w:p>
        </w:tc>
        <w:tc>
          <w:tcPr>
            <w:tcW w:w="2812" w:type="pct"/>
          </w:tcPr>
          <w:p w14:paraId="768B254C" w14:textId="6A150757" w:rsidR="00324B33" w:rsidRPr="00BD5DBD" w:rsidRDefault="006A33B1" w:rsidP="007452E8">
            <w:pPr>
              <w:rPr>
                <w:szCs w:val="22"/>
              </w:rPr>
            </w:pPr>
            <w:r w:rsidRPr="006A33B1">
              <w:rPr>
                <w:szCs w:val="22"/>
              </w:rPr>
              <w:t>Solution for subcutaneous injection.</w:t>
            </w:r>
          </w:p>
        </w:tc>
      </w:tr>
      <w:tr w:rsidR="00324B33" w:rsidRPr="00BD5DBD" w14:paraId="115243E6" w14:textId="77777777" w:rsidTr="00715AAC">
        <w:tc>
          <w:tcPr>
            <w:tcW w:w="2188" w:type="pct"/>
          </w:tcPr>
          <w:p w14:paraId="7634B062" w14:textId="19270146" w:rsidR="00324B33" w:rsidRPr="001A3B69" w:rsidRDefault="00324B33" w:rsidP="00715AAC">
            <w:pPr>
              <w:rPr>
                <w:b/>
                <w:bCs/>
                <w:i/>
                <w:szCs w:val="22"/>
              </w:rPr>
            </w:pPr>
            <w:r w:rsidRPr="001A3B69">
              <w:rPr>
                <w:b/>
                <w:bCs/>
                <w:i/>
                <w:szCs w:val="22"/>
              </w:rPr>
              <w:t>Strength:</w:t>
            </w:r>
          </w:p>
        </w:tc>
        <w:tc>
          <w:tcPr>
            <w:tcW w:w="2812" w:type="pct"/>
          </w:tcPr>
          <w:p w14:paraId="5E5F83DB" w14:textId="05263A69" w:rsidR="00324B33" w:rsidRPr="00BD5DBD" w:rsidRDefault="006A33B1" w:rsidP="007452E8">
            <w:pPr>
              <w:rPr>
                <w:szCs w:val="22"/>
              </w:rPr>
            </w:pPr>
            <w:r w:rsidRPr="006A33B1">
              <w:rPr>
                <w:szCs w:val="22"/>
              </w:rPr>
              <w:t xml:space="preserve">Each </w:t>
            </w:r>
            <w:r w:rsidR="00D2553C">
              <w:rPr>
                <w:szCs w:val="22"/>
              </w:rPr>
              <w:t>Ebglyss</w:t>
            </w:r>
            <w:r w:rsidRPr="006A33B1">
              <w:rPr>
                <w:szCs w:val="22"/>
              </w:rPr>
              <w:t xml:space="preserve"> autoinjector (pre-filled pen) contains 250 mg/</w:t>
            </w:r>
            <w:r>
              <w:rPr>
                <w:szCs w:val="22"/>
              </w:rPr>
              <w:t xml:space="preserve"> </w:t>
            </w:r>
            <w:r w:rsidRPr="006A33B1">
              <w:rPr>
                <w:szCs w:val="22"/>
              </w:rPr>
              <w:t>2 mL of lebrikizumab.</w:t>
            </w:r>
          </w:p>
        </w:tc>
      </w:tr>
      <w:tr w:rsidR="00324B33" w:rsidRPr="00BD5DBD" w14:paraId="34B07BA6" w14:textId="77777777" w:rsidTr="00715AAC">
        <w:tc>
          <w:tcPr>
            <w:tcW w:w="2188" w:type="pct"/>
          </w:tcPr>
          <w:p w14:paraId="1C039224" w14:textId="5167D49D" w:rsidR="00324B33" w:rsidRPr="001A3B69" w:rsidRDefault="00324B33" w:rsidP="00715AAC">
            <w:pPr>
              <w:rPr>
                <w:b/>
                <w:bCs/>
                <w:i/>
                <w:szCs w:val="22"/>
              </w:rPr>
            </w:pPr>
            <w:r w:rsidRPr="001A3B69">
              <w:rPr>
                <w:b/>
                <w:bCs/>
                <w:i/>
                <w:szCs w:val="22"/>
              </w:rPr>
              <w:t>Container:</w:t>
            </w:r>
          </w:p>
        </w:tc>
        <w:tc>
          <w:tcPr>
            <w:tcW w:w="2812" w:type="pct"/>
          </w:tcPr>
          <w:p w14:paraId="500A42C6" w14:textId="55587017" w:rsidR="00324B33" w:rsidRPr="00BD5DBD" w:rsidRDefault="00D2553C" w:rsidP="006A33B1">
            <w:pPr>
              <w:rPr>
                <w:szCs w:val="22"/>
              </w:rPr>
            </w:pPr>
            <w:r>
              <w:rPr>
                <w:szCs w:val="22"/>
              </w:rPr>
              <w:t>Ebglyss</w:t>
            </w:r>
            <w:r w:rsidR="006A33B1" w:rsidRPr="006A33B1">
              <w:rPr>
                <w:szCs w:val="22"/>
              </w:rPr>
              <w:t xml:space="preserve"> is supplied in a 2 mL autoinjector (pre-filled pen) that delivers 250 mg/2 mL of</w:t>
            </w:r>
            <w:r w:rsidR="006A33B1">
              <w:rPr>
                <w:szCs w:val="22"/>
              </w:rPr>
              <w:t xml:space="preserve"> </w:t>
            </w:r>
            <w:r w:rsidR="006A33B1" w:rsidRPr="006A33B1">
              <w:rPr>
                <w:szCs w:val="22"/>
              </w:rPr>
              <w:t>lebrikizumab. The solution is</w:t>
            </w:r>
            <w:r w:rsidR="006A33B1">
              <w:rPr>
                <w:szCs w:val="22"/>
              </w:rPr>
              <w:t xml:space="preserve"> </w:t>
            </w:r>
            <w:r w:rsidR="006A33B1" w:rsidRPr="006A33B1">
              <w:rPr>
                <w:szCs w:val="22"/>
              </w:rPr>
              <w:t>contained in a clear glass syringe barrel with plunger. The plunger</w:t>
            </w:r>
            <w:r w:rsidR="006A33B1">
              <w:rPr>
                <w:szCs w:val="22"/>
              </w:rPr>
              <w:t xml:space="preserve"> </w:t>
            </w:r>
            <w:r w:rsidR="006A33B1" w:rsidRPr="006A33B1">
              <w:rPr>
                <w:szCs w:val="22"/>
              </w:rPr>
              <w:t>is not made with natural rubber latex.</w:t>
            </w:r>
          </w:p>
        </w:tc>
      </w:tr>
      <w:tr w:rsidR="00324B33" w:rsidRPr="00BD5DBD" w14:paraId="176B6773" w14:textId="77777777" w:rsidTr="00715AAC">
        <w:tc>
          <w:tcPr>
            <w:tcW w:w="2188" w:type="pct"/>
          </w:tcPr>
          <w:p w14:paraId="71846159" w14:textId="21E45C5E" w:rsidR="00324B33" w:rsidRPr="001A3B69" w:rsidRDefault="00324B33" w:rsidP="00715AAC">
            <w:pPr>
              <w:rPr>
                <w:b/>
                <w:bCs/>
                <w:i/>
                <w:szCs w:val="22"/>
              </w:rPr>
            </w:pPr>
            <w:r w:rsidRPr="001A3B69">
              <w:rPr>
                <w:b/>
                <w:bCs/>
                <w:i/>
                <w:szCs w:val="22"/>
              </w:rPr>
              <w:t>Pack size:</w:t>
            </w:r>
          </w:p>
        </w:tc>
        <w:tc>
          <w:tcPr>
            <w:tcW w:w="2812" w:type="pct"/>
          </w:tcPr>
          <w:p w14:paraId="7E978F8F" w14:textId="3EE75600" w:rsidR="00324B33" w:rsidRPr="00BD5DBD" w:rsidRDefault="006A33B1" w:rsidP="007452E8">
            <w:pPr>
              <w:rPr>
                <w:szCs w:val="22"/>
              </w:rPr>
            </w:pPr>
            <w:r>
              <w:rPr>
                <w:szCs w:val="22"/>
              </w:rPr>
              <w:t>1 autoinjector</w:t>
            </w:r>
          </w:p>
        </w:tc>
      </w:tr>
      <w:tr w:rsidR="00324B33" w:rsidRPr="00BD5DBD" w14:paraId="19A2544A" w14:textId="77777777" w:rsidTr="00715AAC">
        <w:tc>
          <w:tcPr>
            <w:tcW w:w="2188" w:type="pct"/>
          </w:tcPr>
          <w:p w14:paraId="0E6C5C0E" w14:textId="7DB3FC66" w:rsidR="00324B33" w:rsidRPr="001A3B69" w:rsidRDefault="00324B33" w:rsidP="00715AAC">
            <w:pPr>
              <w:rPr>
                <w:b/>
                <w:bCs/>
                <w:i/>
                <w:szCs w:val="22"/>
              </w:rPr>
            </w:pPr>
            <w:r w:rsidRPr="001A3B69">
              <w:rPr>
                <w:b/>
                <w:bCs/>
                <w:i/>
                <w:szCs w:val="22"/>
              </w:rPr>
              <w:t>Approved therapeutic use</w:t>
            </w:r>
            <w:r w:rsidR="00E47E0C" w:rsidRPr="001A3B69">
              <w:rPr>
                <w:b/>
                <w:bCs/>
                <w:i/>
                <w:szCs w:val="22"/>
              </w:rPr>
              <w:t xml:space="preserve"> </w:t>
            </w:r>
            <w:r w:rsidR="007B04DE" w:rsidRPr="001A3B69">
              <w:rPr>
                <w:b/>
                <w:bCs/>
                <w:i/>
                <w:szCs w:val="22"/>
              </w:rPr>
              <w:t>for the current</w:t>
            </w:r>
            <w:r w:rsidR="00E47E0C" w:rsidRPr="001A3B69">
              <w:rPr>
                <w:b/>
                <w:bCs/>
                <w:i/>
                <w:szCs w:val="22"/>
              </w:rPr>
              <w:t xml:space="preserve"> submission</w:t>
            </w:r>
            <w:r w:rsidRPr="001A3B69">
              <w:rPr>
                <w:b/>
                <w:bCs/>
                <w:i/>
                <w:szCs w:val="22"/>
              </w:rPr>
              <w:t>:</w:t>
            </w:r>
          </w:p>
        </w:tc>
        <w:tc>
          <w:tcPr>
            <w:tcW w:w="2812" w:type="pct"/>
          </w:tcPr>
          <w:p w14:paraId="6E143E2E" w14:textId="3A9E225C" w:rsidR="00324B33" w:rsidRPr="00BD5DBD" w:rsidRDefault="00D2553C" w:rsidP="006A33B1">
            <w:pPr>
              <w:rPr>
                <w:szCs w:val="22"/>
              </w:rPr>
            </w:pPr>
            <w:r>
              <w:rPr>
                <w:szCs w:val="22"/>
              </w:rPr>
              <w:t>Ebglyss</w:t>
            </w:r>
            <w:r w:rsidR="006A33B1" w:rsidRPr="006A33B1">
              <w:rPr>
                <w:szCs w:val="22"/>
              </w:rPr>
              <w:t xml:space="preserve"> is indicated for the treatment of adult and adolescent patients (12 years of</w:t>
            </w:r>
            <w:r w:rsidR="006A33B1">
              <w:rPr>
                <w:szCs w:val="22"/>
              </w:rPr>
              <w:t xml:space="preserve"> </w:t>
            </w:r>
            <w:r w:rsidR="006A33B1" w:rsidRPr="006A33B1">
              <w:rPr>
                <w:szCs w:val="22"/>
              </w:rPr>
              <w:t>age and older) with moderate to severe atopic dermatitis (AD) who are candidates for</w:t>
            </w:r>
            <w:r w:rsidR="006A33B1">
              <w:rPr>
                <w:szCs w:val="22"/>
              </w:rPr>
              <w:t xml:space="preserve"> </w:t>
            </w:r>
            <w:r w:rsidR="006A33B1" w:rsidRPr="006A33B1">
              <w:rPr>
                <w:szCs w:val="22"/>
              </w:rPr>
              <w:t xml:space="preserve">systemic </w:t>
            </w:r>
            <w:r w:rsidR="006A33B1">
              <w:rPr>
                <w:szCs w:val="22"/>
              </w:rPr>
              <w:t>t</w:t>
            </w:r>
            <w:r w:rsidR="006A33B1" w:rsidRPr="006A33B1">
              <w:rPr>
                <w:szCs w:val="22"/>
              </w:rPr>
              <w:t>herapy.</w:t>
            </w:r>
          </w:p>
        </w:tc>
      </w:tr>
      <w:tr w:rsidR="00324B33" w:rsidRPr="00BD5DBD" w14:paraId="5AFDEED3" w14:textId="77777777" w:rsidTr="00715AAC">
        <w:tc>
          <w:tcPr>
            <w:tcW w:w="2188" w:type="pct"/>
          </w:tcPr>
          <w:p w14:paraId="03884BD1" w14:textId="3A51F027" w:rsidR="00324B33" w:rsidRPr="001A3B69" w:rsidRDefault="00324B33" w:rsidP="00715AAC">
            <w:pPr>
              <w:rPr>
                <w:b/>
                <w:bCs/>
                <w:i/>
                <w:szCs w:val="22"/>
              </w:rPr>
            </w:pPr>
            <w:r w:rsidRPr="001A3B69">
              <w:rPr>
                <w:b/>
                <w:bCs/>
                <w:i/>
                <w:szCs w:val="22"/>
              </w:rPr>
              <w:t>Route of administration:</w:t>
            </w:r>
          </w:p>
        </w:tc>
        <w:tc>
          <w:tcPr>
            <w:tcW w:w="2812" w:type="pct"/>
          </w:tcPr>
          <w:p w14:paraId="1ED1357E" w14:textId="136E075F" w:rsidR="00324B33" w:rsidRPr="00BD5DBD" w:rsidRDefault="000243DD" w:rsidP="007452E8">
            <w:pPr>
              <w:rPr>
                <w:szCs w:val="22"/>
              </w:rPr>
            </w:pPr>
            <w:r>
              <w:rPr>
                <w:szCs w:val="22"/>
              </w:rPr>
              <w:t>S</w:t>
            </w:r>
            <w:r w:rsidR="006A33B1" w:rsidRPr="006A33B1">
              <w:rPr>
                <w:szCs w:val="22"/>
              </w:rPr>
              <w:t>ubcutaneous injection</w:t>
            </w:r>
          </w:p>
        </w:tc>
      </w:tr>
      <w:tr w:rsidR="00324B33" w:rsidRPr="00BD5DBD" w14:paraId="70D7E9FA" w14:textId="77777777" w:rsidTr="00715AAC">
        <w:tc>
          <w:tcPr>
            <w:tcW w:w="2188" w:type="pct"/>
          </w:tcPr>
          <w:p w14:paraId="5ABFFC80" w14:textId="77777777" w:rsidR="00324B33" w:rsidRPr="001A3B69" w:rsidRDefault="00324B33" w:rsidP="00715AAC">
            <w:pPr>
              <w:rPr>
                <w:b/>
                <w:bCs/>
                <w:i/>
                <w:szCs w:val="22"/>
              </w:rPr>
            </w:pPr>
            <w:r w:rsidRPr="001A3B69">
              <w:rPr>
                <w:b/>
                <w:bCs/>
                <w:i/>
                <w:szCs w:val="22"/>
              </w:rPr>
              <w:t>Dosage:</w:t>
            </w:r>
          </w:p>
        </w:tc>
        <w:tc>
          <w:tcPr>
            <w:tcW w:w="2812" w:type="pct"/>
          </w:tcPr>
          <w:p w14:paraId="3D0B2D5C" w14:textId="4E7F9F2B" w:rsidR="00324B33" w:rsidRPr="00BD5DBD" w:rsidRDefault="00324B33" w:rsidP="007452E8">
            <w:pPr>
              <w:rPr>
                <w:szCs w:val="22"/>
              </w:rPr>
            </w:pPr>
            <w:r w:rsidRPr="00BD5DBD">
              <w:rPr>
                <w:szCs w:val="22"/>
              </w:rPr>
              <w:t xml:space="preserve">For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715AAC">
        <w:tc>
          <w:tcPr>
            <w:tcW w:w="2188" w:type="pct"/>
          </w:tcPr>
          <w:p w14:paraId="3A76AFF7" w14:textId="7C436DD9" w:rsidR="0017005C" w:rsidRPr="001A3B69" w:rsidRDefault="0070330F" w:rsidP="00715AAC">
            <w:pPr>
              <w:rPr>
                <w:b/>
                <w:bCs/>
              </w:rPr>
            </w:pPr>
            <w:r w:rsidRPr="001A3B69">
              <w:rPr>
                <w:b/>
                <w:bCs/>
                <w:i/>
                <w:szCs w:val="22"/>
              </w:rPr>
              <w:t>Pregnancy category:</w:t>
            </w:r>
          </w:p>
        </w:tc>
        <w:tc>
          <w:tcPr>
            <w:tcW w:w="2812" w:type="pct"/>
          </w:tcPr>
          <w:p w14:paraId="4A0C375B" w14:textId="77777777" w:rsidR="006A33B1" w:rsidRDefault="006A33B1" w:rsidP="00306E72">
            <w:r>
              <w:t xml:space="preserve">B1. </w:t>
            </w:r>
          </w:p>
          <w:p w14:paraId="1337548E" w14:textId="5BB8B4E5" w:rsidR="006A33B1" w:rsidRDefault="006A33B1" w:rsidP="006A33B1">
            <w:r>
              <w:t>Drugs which have been taken by only a limited number of pregnant women and women of childbearing age, without an increase in the frequency of malformation or other direct or indirect harmful effects on the human fetus having been observed.</w:t>
            </w:r>
          </w:p>
          <w:p w14:paraId="51134437" w14:textId="4CB389DA" w:rsidR="006A33B1" w:rsidRDefault="006A33B1" w:rsidP="006A33B1">
            <w:r>
              <w:t>Studies in animals have not shown evidence of an increased occurrence of fetal damage.</w:t>
            </w:r>
          </w:p>
          <w:p w14:paraId="04648A1E" w14:textId="70F04677" w:rsidR="006A33B1" w:rsidRDefault="006A33B1" w:rsidP="006A33B1">
            <w:r>
              <w:t>There are limited data on lebrikizumab use in pregnant women. Human IgG is known to cross the placental barrier, therefore, lebrikizumab may be transmitted from the mother to the developing fetus. The background risk of major birth defects and miscarriage for the indicated population is unknown.</w:t>
            </w:r>
          </w:p>
          <w:p w14:paraId="76497789" w14:textId="468727B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6"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7"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57C696A3" w:rsidR="00324B33" w:rsidRDefault="0016439C" w:rsidP="00324B33">
      <w:pPr>
        <w:pStyle w:val="Heading3"/>
      </w:pPr>
      <w:bookmarkStart w:id="9" w:name="_Toc247691503"/>
      <w:bookmarkStart w:id="10" w:name="_Toc314842484"/>
      <w:bookmarkStart w:id="11" w:name="_Toc103679290"/>
      <w:bookmarkStart w:id="12" w:name="_Toc180416230"/>
      <w:r w:rsidRPr="0016439C">
        <w:t xml:space="preserve">Ebglyss </w:t>
      </w:r>
      <w:bookmarkEnd w:id="9"/>
      <w:bookmarkEnd w:id="10"/>
      <w:bookmarkEnd w:id="11"/>
      <w:r w:rsidR="005B535E">
        <w:t>(</w:t>
      </w:r>
      <w:r w:rsidRPr="0016439C">
        <w:t>lebrikizumab</w:t>
      </w:r>
      <w:r w:rsidR="005B535E">
        <w:t>)</w:t>
      </w:r>
      <w:bookmarkEnd w:id="12"/>
    </w:p>
    <w:p w14:paraId="5225572E" w14:textId="3D45F0E8" w:rsidR="005B535E" w:rsidRPr="005B535E" w:rsidRDefault="005B535E" w:rsidP="00286237">
      <w:r w:rsidRPr="005B535E">
        <w:t>Ebglyss (lebrikizumab)</w:t>
      </w:r>
      <w:r>
        <w:t xml:space="preserve"> is a</w:t>
      </w:r>
      <w:r w:rsidR="00DF68FE">
        <w:t xml:space="preserve"> humanised</w:t>
      </w:r>
      <w:r>
        <w:t xml:space="preserve"> anti-</w:t>
      </w:r>
      <w:r w:rsidR="00166F04">
        <w:t>interleukin (</w:t>
      </w:r>
      <w:r>
        <w:t>IL</w:t>
      </w:r>
      <w:r w:rsidR="00166F04">
        <w:t>)</w:t>
      </w:r>
      <w:r>
        <w:t>-13 antibod</w:t>
      </w:r>
      <w:r w:rsidR="00286237">
        <w:t>y that inhibits</w:t>
      </w:r>
      <w:r w:rsidR="00286237" w:rsidRPr="00286237">
        <w:rPr>
          <w:rFonts w:ascii="TimesNewRomanPSMT" w:hAnsi="TimesNewRomanPSMT" w:cs="TimesNewRomanPSMT"/>
          <w:sz w:val="24"/>
          <w:szCs w:val="24"/>
        </w:rPr>
        <w:t xml:space="preserve"> </w:t>
      </w:r>
      <w:r w:rsidR="00286237" w:rsidRPr="00286237">
        <w:t>IL-13 signaling through</w:t>
      </w:r>
      <w:r w:rsidR="00286237">
        <w:t xml:space="preserve"> </w:t>
      </w:r>
      <w:r w:rsidR="00286237" w:rsidRPr="00286237">
        <w:t>the IL-4R</w:t>
      </w:r>
      <w:r w:rsidR="00286237">
        <w:t>α</w:t>
      </w:r>
      <w:r w:rsidR="00286237" w:rsidRPr="00286237">
        <w:t>/IL-13Rα1 pathwa</w:t>
      </w:r>
      <w:r w:rsidR="00286237">
        <w:t>y.</w:t>
      </w:r>
      <w:r w:rsidR="00166F04">
        <w:t xml:space="preserve"> IL-13 plays a </w:t>
      </w:r>
      <w:r w:rsidR="00DF68FE">
        <w:t>central</w:t>
      </w:r>
      <w:r w:rsidR="00166F04">
        <w:t xml:space="preserve"> role in the pathogenesis of AD.</w:t>
      </w:r>
    </w:p>
    <w:p w14:paraId="59BF31D1" w14:textId="1C538A33" w:rsidR="001500A8" w:rsidRDefault="00324B33" w:rsidP="00065839">
      <w:r w:rsidRPr="00065839">
        <w:t xml:space="preserve">This AusPAR describes the submission by </w:t>
      </w:r>
      <w:r w:rsidR="006A33B1" w:rsidRPr="006A33B1">
        <w:t>Eli Lilly Australia Pty Ltd</w:t>
      </w:r>
      <w:r w:rsidRPr="00065839">
        <w:t xml:space="preserve"> (the sponsor) to register </w:t>
      </w:r>
      <w:r w:rsidR="00D2553C">
        <w:t>Ebglyss</w:t>
      </w:r>
      <w:r w:rsidRPr="00065839">
        <w:t xml:space="preserve"> </w:t>
      </w:r>
      <w:r w:rsidR="000243DD">
        <w:t xml:space="preserve">(lebrikizumab) </w:t>
      </w:r>
      <w:r w:rsidRPr="00065839">
        <w:t>for the following proposed indication:</w:t>
      </w:r>
    </w:p>
    <w:p w14:paraId="7B0BC824" w14:textId="77777777" w:rsidR="00EA1E8C" w:rsidRPr="005B7DB8" w:rsidRDefault="00EA1E8C" w:rsidP="005B7DB8">
      <w:pPr>
        <w:ind w:left="720"/>
        <w:rPr>
          <w:b/>
          <w:bCs/>
          <w:i/>
          <w:iCs/>
        </w:rPr>
      </w:pPr>
      <w:bookmarkStart w:id="13" w:name="_Toc314842485"/>
      <w:bookmarkStart w:id="14" w:name="_Toc247691504"/>
      <w:r w:rsidRPr="005B7DB8">
        <w:rPr>
          <w:i/>
          <w:iCs/>
        </w:rPr>
        <w:t xml:space="preserve">For the treatment of adult and adolescent patients (12 years of age and older) with moderate-to-severe atopic dermatitis (AD). </w:t>
      </w:r>
    </w:p>
    <w:p w14:paraId="1E63A2AE" w14:textId="0B962E52" w:rsidR="00CB6813" w:rsidRDefault="00EA1E8C" w:rsidP="005B7DB8">
      <w:pPr>
        <w:pStyle w:val="Heading3"/>
      </w:pPr>
      <w:bookmarkStart w:id="15" w:name="_Toc180416231"/>
      <w:r>
        <w:t>Atopic dermatitis</w:t>
      </w:r>
      <w:bookmarkEnd w:id="15"/>
    </w:p>
    <w:p w14:paraId="59DD99B2" w14:textId="1BD25120" w:rsidR="00EA1E8C" w:rsidRPr="00EA1E8C" w:rsidRDefault="00EA1E8C" w:rsidP="00EA1E8C">
      <w:pPr>
        <w:autoSpaceDE w:val="0"/>
        <w:autoSpaceDN w:val="0"/>
        <w:adjustRightInd w:val="0"/>
        <w:rPr>
          <w:rFonts w:cs="TeXGyrePagella-Regular"/>
        </w:rPr>
      </w:pPr>
      <w:r w:rsidRPr="00EA1E8C">
        <w:rPr>
          <w:rFonts w:cs="TimesNewRomanPSMT"/>
        </w:rPr>
        <w:t>Atopic dermatitis (AD) is the most prevalent chronic inflammatory skin disease</w:t>
      </w:r>
      <w:r w:rsidR="00F516F7">
        <w:t xml:space="preserve">. </w:t>
      </w:r>
      <w:r w:rsidRPr="00EA1E8C">
        <w:rPr>
          <w:rFonts w:cs="TimesNewRomanPSMT"/>
        </w:rPr>
        <w:t xml:space="preserve">A recent narrative review of the management of AD by Australian clinicians reports that  the condition </w:t>
      </w:r>
      <w:r w:rsidRPr="00EA1E8C">
        <w:rPr>
          <w:rFonts w:cs="TeXGyrePagella-Regular"/>
        </w:rPr>
        <w:t>affects 20–30%</w:t>
      </w:r>
      <w:r w:rsidRPr="00EA1E8C">
        <w:rPr>
          <w:rFonts w:cs="TimesNewRomanPSMT"/>
        </w:rPr>
        <w:t xml:space="preserve"> </w:t>
      </w:r>
      <w:r w:rsidRPr="00EA1E8C">
        <w:rPr>
          <w:rFonts w:cs="TeXGyrePagella-Regular"/>
        </w:rPr>
        <w:t>of infants, 15–25%</w:t>
      </w:r>
      <w:r w:rsidRPr="00EA1E8C">
        <w:rPr>
          <w:rFonts w:cs="TimesNewRomanPSMT"/>
        </w:rPr>
        <w:t xml:space="preserve"> </w:t>
      </w:r>
      <w:r w:rsidRPr="00EA1E8C">
        <w:rPr>
          <w:rFonts w:cs="TeXGyrePagella-Regular"/>
        </w:rPr>
        <w:t>of children and 5–10% of adults.</w:t>
      </w:r>
      <w:r w:rsidRPr="00EA1E8C">
        <w:rPr>
          <w:rStyle w:val="FootnoteReference"/>
        </w:rPr>
        <w:t xml:space="preserve"> </w:t>
      </w:r>
      <w:r w:rsidRPr="00EA1E8C">
        <w:rPr>
          <w:rStyle w:val="FootnoteReference"/>
        </w:rPr>
        <w:footnoteReference w:id="1"/>
      </w:r>
      <w:r w:rsidRPr="00EA1E8C">
        <w:t xml:space="preserve">  </w:t>
      </w:r>
      <w:r w:rsidRPr="00EA1E8C">
        <w:rPr>
          <w:rFonts w:cs="TeXGyrePagella-Regular"/>
        </w:rPr>
        <w:t>The onset of AD is usually in early childhood (in</w:t>
      </w:r>
      <w:r w:rsidRPr="00EA1E8C">
        <w:rPr>
          <w:rFonts w:cs="TimesNewRomanPSMT"/>
        </w:rPr>
        <w:t xml:space="preserve"> </w:t>
      </w:r>
      <w:r w:rsidRPr="00EA1E8C">
        <w:rPr>
          <w:rFonts w:cs="TeXGyrePagella-Regular"/>
        </w:rPr>
        <w:t>the first year of life in 60% of patients, and by 5 years of age in 85% of patients),</w:t>
      </w:r>
      <w:r w:rsidRPr="00EA1E8C">
        <w:rPr>
          <w:rFonts w:cs="TimesNewRomanPSMT"/>
        </w:rPr>
        <w:t xml:space="preserve"> </w:t>
      </w:r>
      <w:r w:rsidRPr="00EA1E8C">
        <w:rPr>
          <w:rFonts w:cs="TeXGyrePagella-Regular"/>
        </w:rPr>
        <w:t>and in 40–70% it resolves by adolescence</w:t>
      </w:r>
      <w:r w:rsidR="00F516F7">
        <w:rPr>
          <w:rFonts w:cs="TeXGyrePagella-Regular"/>
        </w:rPr>
        <w:t xml:space="preserve">. </w:t>
      </w:r>
      <w:r w:rsidRPr="00EA1E8C">
        <w:rPr>
          <w:rFonts w:cs="TeXGyrePagella-Regular"/>
        </w:rPr>
        <w:t>AD persists into adulthood in about 25% of patients. Approximately 25% of affected adults have disease</w:t>
      </w:r>
      <w:r w:rsidRPr="00EA1E8C">
        <w:rPr>
          <w:rFonts w:cs="TimesNewRomanPSMT"/>
        </w:rPr>
        <w:t xml:space="preserve"> </w:t>
      </w:r>
      <w:r w:rsidRPr="00EA1E8C">
        <w:rPr>
          <w:rFonts w:cs="TeXGyrePagella-Regular"/>
        </w:rPr>
        <w:t>onset in adulthood</w:t>
      </w:r>
      <w:r w:rsidR="00F516F7">
        <w:rPr>
          <w:rFonts w:cs="TeXGyrePagella-Regular"/>
        </w:rPr>
        <w:t xml:space="preserve">. </w:t>
      </w:r>
    </w:p>
    <w:p w14:paraId="255E2120" w14:textId="18BCB970" w:rsidR="00EA1E8C" w:rsidRPr="00EA1E8C" w:rsidRDefault="00EA1E8C" w:rsidP="00EA1E8C">
      <w:pPr>
        <w:autoSpaceDE w:val="0"/>
        <w:autoSpaceDN w:val="0"/>
        <w:adjustRightInd w:val="0"/>
        <w:rPr>
          <w:rFonts w:cs="TimesNewRomanPSMT"/>
        </w:rPr>
      </w:pPr>
      <w:r w:rsidRPr="00EA1E8C">
        <w:rPr>
          <w:rFonts w:cs="TimesNewRomanPSMT"/>
          <w:color w:val="000000"/>
        </w:rPr>
        <w:t xml:space="preserve">Clinically, AD is characterised by xerosis (dry skin), pruritus (itch), erythematous crusted eruption (dermatosis), and lichenification (thickening). </w:t>
      </w:r>
      <w:r w:rsidRPr="00EA1E8C">
        <w:t>Infants typically start with scalp, cheek and extensor limb involvement, before developing childhood flexural limb involvement. Adult-onset atopic dermatitis tends to be localised to flexures, eyelids, face, neck and/or hands</w:t>
      </w:r>
      <w:r w:rsidR="00F516F7">
        <w:t xml:space="preserve">. </w:t>
      </w:r>
      <w:r w:rsidRPr="00EA1E8C">
        <w:rPr>
          <w:rFonts w:cs="TeXGyrePagella-Regular"/>
        </w:rPr>
        <w:t>In addition to disfigurement, itch, skin pain and recurrent infections, a number of co-morbid conditions have been reported, including respiratory, food and gut allergy, obesity, growth and developmental impairment, chronic sleep deprivation, mental health and behavioural problems, and complications of social withdrawal</w:t>
      </w:r>
      <w:r w:rsidR="00F516F7">
        <w:rPr>
          <w:rFonts w:cs="TeXGyrePagella-Regular"/>
        </w:rPr>
        <w:t xml:space="preserve">. </w:t>
      </w:r>
      <w:r w:rsidRPr="00EA1E8C">
        <w:rPr>
          <w:rFonts w:cs="TeXGyrePagella-Regular"/>
        </w:rPr>
        <w:t>Moderate to severe AD is associated with substantial psychosocial, personal, and financial burdens.</w:t>
      </w:r>
    </w:p>
    <w:p w14:paraId="27298BD6" w14:textId="679F00B1" w:rsidR="00EA1E8C" w:rsidRPr="00EA1E8C" w:rsidRDefault="00EA1E8C" w:rsidP="00F516F7">
      <w:pPr>
        <w:widowControl w:val="0"/>
      </w:pPr>
      <w:r w:rsidRPr="00EA1E8C">
        <w:t>The multifactorial pathogenesis of atopic dermatitis comprises impaired epidermal barrier function and immune dysregulation predominantly involving Th2 cytokine inflammatory pathway</w:t>
      </w:r>
      <w:r w:rsidR="00F516F7">
        <w:t xml:space="preserve">. </w:t>
      </w:r>
      <w:r w:rsidRPr="00EA1E8C">
        <w:t xml:space="preserve">A skew towards the Th2 pathway is consistently seen in atopic dermatitis especially in its acute phase (mediated by IL-4, IL-5, IL-13 and IL-31 cytokines), together with Th22 </w:t>
      </w:r>
      <w:r w:rsidRPr="00F516F7">
        <w:t>upregulation (IL-22)</w:t>
      </w:r>
      <w:r w:rsidR="00F516F7">
        <w:t xml:space="preserve">. </w:t>
      </w:r>
      <w:r w:rsidRPr="00F516F7">
        <w:t>Additionally, Th1 (IL-12, IFN-γ) and Th17 (IL-17) activation are variably observed. IL-31 and substance P (neurokinin NK-1 receptor) are key itch neuromodulators</w:t>
      </w:r>
      <w:r w:rsidR="00F516F7">
        <w:t xml:space="preserve">.       The </w:t>
      </w:r>
      <w:r w:rsidRPr="00EA1E8C">
        <w:t>Janus kinase–signal transducer and activator of transcription (JAK–STAT) pathway is implicated in atopic dermatitis, mediating the production of pro-inflammatory cytokines along the Th2, Th1 and Th17 pathways</w:t>
      </w:r>
      <w:r w:rsidR="00F516F7">
        <w:t xml:space="preserve">. </w:t>
      </w:r>
      <w:r w:rsidRPr="00EA1E8C">
        <w:t>Phosphodiesterase type 4 (PDE4) activity is elevated in atopic dermatitis, which increases pro-inflammatory cytokines through degradation of cyclic adenosine monophosphate.</w:t>
      </w:r>
    </w:p>
    <w:p w14:paraId="255E083A" w14:textId="6B29EE8A" w:rsidR="00CB6813" w:rsidRDefault="00CB6813" w:rsidP="005B7DB8">
      <w:pPr>
        <w:pStyle w:val="Heading3"/>
      </w:pPr>
      <w:bookmarkStart w:id="16" w:name="_Toc180416232"/>
      <w:r>
        <w:t>Current treatment options</w:t>
      </w:r>
      <w:r w:rsidR="000B1BC5">
        <w:t xml:space="preserve"> for a</w:t>
      </w:r>
      <w:r w:rsidR="000B1BC5" w:rsidRPr="000B1BC5">
        <w:t>topic dermatitis</w:t>
      </w:r>
      <w:bookmarkEnd w:id="16"/>
    </w:p>
    <w:p w14:paraId="2A96EF96" w14:textId="257E8839" w:rsidR="00EA1E8C" w:rsidRPr="00EA1E8C" w:rsidRDefault="000B1BC5" w:rsidP="00EA1E8C">
      <w:r w:rsidRPr="000B1BC5">
        <w:t>Regular use of emollient moisturisers is a key part of the management of AD</w:t>
      </w:r>
      <w:r w:rsidR="00F516F7">
        <w:t xml:space="preserve">. </w:t>
      </w:r>
      <w:r w:rsidR="00AD4CB7" w:rsidRPr="00AD4CB7">
        <w:t xml:space="preserve">Topical corticosteroids </w:t>
      </w:r>
      <w:r w:rsidRPr="000B1BC5">
        <w:t>(TCS) are typically the first-line pharmacological therapy for moderate to severe AD and are effective as a short-term treatment or intermittent long-term treatment</w:t>
      </w:r>
      <w:r w:rsidR="00F516F7">
        <w:t xml:space="preserve">. </w:t>
      </w:r>
      <w:r w:rsidRPr="000B1BC5">
        <w:t>However, continuous long-term use of TCS may be associated with risks of local and systemic side effects</w:t>
      </w:r>
      <w:r w:rsidR="00F516F7">
        <w:t xml:space="preserve">. </w:t>
      </w:r>
      <w:r w:rsidRPr="000B1BC5">
        <w:t>Topical calcineurin inhibitors (TCIs) such as pimecrolimus and tacrolimus, are non-steroidal anti-inflammatory drugs used in particular for flexures and the face, especially on and around the eyelids, to avoid skin atrophy and other facial complications of potent TCSs. Pimecrolimus 1% cream is registered in Australia for patients 3 months of age and older with AD</w:t>
      </w:r>
      <w:r w:rsidR="00F516F7">
        <w:t xml:space="preserve">. </w:t>
      </w:r>
      <w:r w:rsidRPr="000B1BC5">
        <w:t xml:space="preserve">Tacrolimus 0.03–0.1% ointment is not registered in </w:t>
      </w:r>
      <w:r w:rsidR="00820A97" w:rsidRPr="000B1BC5">
        <w:t>Australia but</w:t>
      </w:r>
      <w:r w:rsidRPr="000B1BC5">
        <w:t xml:space="preserve"> can be sourced at compounding pharmacies</w:t>
      </w:r>
      <w:r w:rsidR="00F516F7">
        <w:t xml:space="preserve">. </w:t>
      </w:r>
      <w:r w:rsidRPr="000B1BC5">
        <w:t>Crisaborole 2% ointment, a topical PDE4 inhibitor, was registered in 2019 for mild to moderate AD in patients 2 years of age and older.</w:t>
      </w:r>
    </w:p>
    <w:p w14:paraId="37C47E09" w14:textId="64D2BD1C" w:rsidR="00CB6813" w:rsidRDefault="00CB6813" w:rsidP="005B7DB8">
      <w:pPr>
        <w:pStyle w:val="Heading3"/>
      </w:pPr>
      <w:bookmarkStart w:id="17" w:name="_Toc180416233"/>
      <w:r>
        <w:t>C</w:t>
      </w:r>
      <w:r w:rsidRPr="00DE1344">
        <w:t>linical rational</w:t>
      </w:r>
      <w:r w:rsidR="0025785B">
        <w:t>e</w:t>
      </w:r>
      <w:r w:rsidR="000B1BC5">
        <w:t xml:space="preserve"> for </w:t>
      </w:r>
      <w:r w:rsidR="00D2553C">
        <w:t>Ebglyss</w:t>
      </w:r>
      <w:r w:rsidR="000B1BC5">
        <w:t xml:space="preserve"> use in a</w:t>
      </w:r>
      <w:r w:rsidR="000B1BC5" w:rsidRPr="000B1BC5">
        <w:t>topic dermatitis</w:t>
      </w:r>
      <w:bookmarkEnd w:id="17"/>
    </w:p>
    <w:p w14:paraId="5369827B" w14:textId="6FA2BDFF" w:rsidR="00EA1E8C" w:rsidRPr="00EA1E8C" w:rsidRDefault="00EA1E8C" w:rsidP="00EA1E8C">
      <w:r w:rsidRPr="00EA1E8C">
        <w:t>Lebrikizumab is a new biological entity proposed for the treatment of adult and adolescent patients (12 years of age and older) with moderate-to-severe atopic dermatitis (AD)</w:t>
      </w:r>
      <w:r w:rsidR="00F516F7">
        <w:t xml:space="preserve">. </w:t>
      </w:r>
      <w:r w:rsidRPr="00EA1E8C">
        <w:t>Lebrikizumab is an immunoglobulin G4 (IgG4) monoclonal antibody that binds with high affinity to interleukin (IL)-13 and inhibits IL-13 signalling through the IL-4 receptor alpha (IL-4Rα)/IL-13 receptor alpha 1 (IL-13Rα1) pathway, thereby blocking the downstream effects of IL-13 with high selectivity.</w:t>
      </w:r>
      <w:r w:rsidR="005B535E">
        <w:t xml:space="preserve"> Studies have shown that Il-13 plays a central role in AD pathogenesis including skin changes and inflammation typical of AD. IL-13 skin expression is correlated with AD severity, eosinophil levels and serum IgE</w:t>
      </w:r>
      <w:r w:rsidR="005B535E">
        <w:rPr>
          <w:rStyle w:val="FootnoteReference"/>
        </w:rPr>
        <w:footnoteReference w:id="2"/>
      </w:r>
      <w:r w:rsidR="005B535E">
        <w:t xml:space="preserve">. </w:t>
      </w:r>
    </w:p>
    <w:p w14:paraId="6D0E5896" w14:textId="6512AFAD" w:rsidR="000B1BC5" w:rsidRPr="000B1BC5" w:rsidRDefault="000B1BC5" w:rsidP="000B1BC5">
      <w:r w:rsidRPr="000B1BC5">
        <w:rPr>
          <w:rFonts w:cs="TeXGyrePagella-Regular"/>
          <w:color w:val="000000"/>
        </w:rPr>
        <w:t>Systemic therapies may be required for patients with moderate to severe AD which is not adequately controlled by topical therapies</w:t>
      </w:r>
      <w:r w:rsidR="00F516F7">
        <w:rPr>
          <w:rFonts w:cs="TeXGyrePagella-Regular"/>
          <w:color w:val="000000"/>
        </w:rPr>
        <w:t xml:space="preserve">. </w:t>
      </w:r>
      <w:r w:rsidRPr="000B1BC5">
        <w:t>Systemic therapies registered in Australia for the treatment of moderate to severe atopic dermatitis include:</w:t>
      </w:r>
    </w:p>
    <w:p w14:paraId="5A695F70" w14:textId="7525BC93" w:rsidR="000B1BC5" w:rsidRDefault="003479A4" w:rsidP="00715AAC">
      <w:pPr>
        <w:pStyle w:val="ListBullet"/>
      </w:pPr>
      <w:r w:rsidRPr="00A5451A">
        <w:t>D</w:t>
      </w:r>
      <w:r w:rsidR="000B1BC5" w:rsidRPr="00A5451A">
        <w:t>upilumab (D</w:t>
      </w:r>
      <w:r w:rsidRPr="00A5451A">
        <w:t>upixent</w:t>
      </w:r>
      <w:r w:rsidR="000B1BC5" w:rsidRPr="00A5451A">
        <w:t>), an IgG4 monoclonal antibody that inhibits IL-4 and IL-13 signalling by specifically binding to the IL-4Rα subunit shared by the IL-4 and IL-13 receptor complexes. Dupixent inhibits IL-4 signalling via the Type I receptor (IL-4Rα/γc), and both IL-4 and IL-13 signalling through the Type II receptor (IL-4Rα/IL-13Rα)</w:t>
      </w:r>
      <w:r w:rsidR="00F516F7">
        <w:t xml:space="preserve">. </w:t>
      </w:r>
      <w:r w:rsidR="000B1BC5" w:rsidRPr="00A5451A">
        <w:t>The approved AD indications are</w:t>
      </w:r>
      <w:r w:rsidR="000B1BC5" w:rsidRPr="000B1BC5">
        <w:t>:</w:t>
      </w:r>
    </w:p>
    <w:p w14:paraId="16EC5868" w14:textId="77777777" w:rsidR="00715AAC" w:rsidRPr="00715AAC" w:rsidRDefault="000B1BC5" w:rsidP="00715AAC">
      <w:pPr>
        <w:ind w:left="720"/>
        <w:rPr>
          <w:b/>
          <w:bCs/>
        </w:rPr>
      </w:pPr>
      <w:r w:rsidRPr="00715AAC">
        <w:rPr>
          <w:b/>
          <w:bCs/>
        </w:rPr>
        <w:t xml:space="preserve">Adults and adolescents </w:t>
      </w:r>
    </w:p>
    <w:p w14:paraId="0F199570" w14:textId="23628DF3" w:rsidR="003479A4" w:rsidRDefault="000B1BC5" w:rsidP="00715AAC">
      <w:pPr>
        <w:ind w:left="720"/>
      </w:pPr>
      <w:r w:rsidRPr="000B1BC5">
        <w:t xml:space="preserve">Dupixent is indicated for the treatment of moderate to severe atopic dermatitis in patients aged 12 years and older who are candidates for chronic systemic therapy. Dupixent is not intended for episodic use. </w:t>
      </w:r>
    </w:p>
    <w:p w14:paraId="0ED3B54F" w14:textId="77777777" w:rsidR="00715AAC" w:rsidRDefault="000B1BC5" w:rsidP="00715AAC">
      <w:pPr>
        <w:ind w:left="720"/>
        <w:rPr>
          <w:b/>
          <w:bCs/>
        </w:rPr>
      </w:pPr>
      <w:r w:rsidRPr="00715AAC">
        <w:rPr>
          <w:b/>
          <w:bCs/>
        </w:rPr>
        <w:t>Children 6 to 11 years of age</w:t>
      </w:r>
    </w:p>
    <w:p w14:paraId="177F29BA" w14:textId="1F8D67CC" w:rsidR="000B1BC5" w:rsidRDefault="000B1BC5" w:rsidP="00715AAC">
      <w:pPr>
        <w:ind w:left="720"/>
      </w:pPr>
      <w:r w:rsidRPr="000B1BC5">
        <w:t>Dupixent is indicated for the treatment of severe atopic dermatitis in patients aged 6 to 11 years old who are candidates for chronic systemic therapy. Dupixent is not intended for episodic use.</w:t>
      </w:r>
    </w:p>
    <w:p w14:paraId="6B8B861E" w14:textId="0C527A73" w:rsidR="000B1BC5" w:rsidRPr="000B1BC5" w:rsidRDefault="000B1BC5" w:rsidP="00715AAC">
      <w:pPr>
        <w:ind w:left="720"/>
      </w:pPr>
      <w:r w:rsidRPr="000B1BC5">
        <w:t>Dosing guidance for paediatric and adolescent patients 6 to 17 years of age with AD is shown in Table 1:</w:t>
      </w:r>
    </w:p>
    <w:p w14:paraId="78290C4A" w14:textId="3F304A46" w:rsidR="00B061C4" w:rsidRDefault="000B1BC5" w:rsidP="00F516F7">
      <w:pPr>
        <w:pStyle w:val="TableTitle"/>
      </w:pPr>
      <w:r>
        <w:t xml:space="preserve">Table 1: </w:t>
      </w:r>
      <w:r w:rsidR="00D2553C">
        <w:t>Ebglyss</w:t>
      </w:r>
      <w:r>
        <w:t xml:space="preserve"> dosing in adolescent patients. </w:t>
      </w:r>
    </w:p>
    <w:p w14:paraId="0470767A" w14:textId="31B71264" w:rsidR="000B1BC5" w:rsidRPr="00813579" w:rsidRDefault="000B1BC5" w:rsidP="00F516F7">
      <w:r>
        <w:rPr>
          <w:noProof/>
        </w:rPr>
        <w:drawing>
          <wp:inline distT="0" distB="0" distL="0" distR="0" wp14:anchorId="51E0BE2C" wp14:editId="78D586FB">
            <wp:extent cx="5833958" cy="1127234"/>
            <wp:effectExtent l="0" t="0" r="0" b="0"/>
            <wp:docPr id="30" name="Picture 30" descr="A list of medicatio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list of medication with black text&#10;&#10;Description automatically generated"/>
                    <pic:cNvPicPr/>
                  </pic:nvPicPr>
                  <pic:blipFill>
                    <a:blip r:embed="rId18"/>
                    <a:stretch>
                      <a:fillRect/>
                    </a:stretch>
                  </pic:blipFill>
                  <pic:spPr>
                    <a:xfrm>
                      <a:off x="0" y="0"/>
                      <a:ext cx="5944993" cy="1148688"/>
                    </a:xfrm>
                    <a:prstGeom prst="rect">
                      <a:avLst/>
                    </a:prstGeom>
                  </pic:spPr>
                </pic:pic>
              </a:graphicData>
            </a:graphic>
          </wp:inline>
        </w:drawing>
      </w:r>
    </w:p>
    <w:p w14:paraId="697DD8BF" w14:textId="44C44E16" w:rsidR="000B1BC5" w:rsidRPr="00524143" w:rsidRDefault="003479A4" w:rsidP="00F516F7">
      <w:pPr>
        <w:pStyle w:val="ListBullet"/>
        <w:rPr>
          <w:i/>
          <w:iCs/>
        </w:rPr>
      </w:pPr>
      <w:r w:rsidRPr="00524143">
        <w:t>B</w:t>
      </w:r>
      <w:r w:rsidR="000B1BC5" w:rsidRPr="00524143">
        <w:t>aricitinib (O</w:t>
      </w:r>
      <w:r w:rsidRPr="00524143">
        <w:t>lumiant</w:t>
      </w:r>
      <w:r w:rsidR="000B1BC5" w:rsidRPr="00524143">
        <w:t>), a selective and reversible inhibitor of JAK1 and JAK2</w:t>
      </w:r>
      <w:r w:rsidR="00F516F7">
        <w:t xml:space="preserve">. </w:t>
      </w:r>
      <w:r w:rsidR="000B1BC5" w:rsidRPr="00524143">
        <w:t>The approved AD indication is:</w:t>
      </w:r>
    </w:p>
    <w:p w14:paraId="1BF0FA98" w14:textId="44586B50" w:rsidR="000B1BC5" w:rsidRPr="00F516F7" w:rsidRDefault="000243DD" w:rsidP="00F516F7">
      <w:pPr>
        <w:ind w:left="720"/>
        <w:rPr>
          <w:i/>
          <w:iCs/>
        </w:rPr>
      </w:pPr>
      <w:r w:rsidRPr="00F516F7">
        <w:rPr>
          <w:i/>
          <w:iCs/>
        </w:rPr>
        <w:t xml:space="preserve">Olumiant </w:t>
      </w:r>
      <w:r w:rsidR="000B1BC5" w:rsidRPr="00F516F7">
        <w:rPr>
          <w:i/>
          <w:iCs/>
        </w:rPr>
        <w:t>is indicated for the treatment of moderate to severe atopic dermatitis (AD) in adult patients who are candidates for systemic therapy.</w:t>
      </w:r>
    </w:p>
    <w:p w14:paraId="06CA5F95" w14:textId="742E0150" w:rsidR="000B1BC5" w:rsidRDefault="003479A4" w:rsidP="00F516F7">
      <w:pPr>
        <w:pStyle w:val="ListBullet"/>
      </w:pPr>
      <w:r w:rsidRPr="00524143">
        <w:t>U</w:t>
      </w:r>
      <w:r w:rsidR="000B1BC5" w:rsidRPr="00524143">
        <w:t>padacitinib (R</w:t>
      </w:r>
      <w:r w:rsidRPr="00524143">
        <w:t>invoq</w:t>
      </w:r>
      <w:r w:rsidR="000B1BC5" w:rsidRPr="00524143">
        <w:t>), a selective and reversible inhibitor of JAK1</w:t>
      </w:r>
      <w:r w:rsidR="00F516F7">
        <w:t xml:space="preserve">. </w:t>
      </w:r>
      <w:r w:rsidR="000B1BC5" w:rsidRPr="00524143">
        <w:t>The approved AD indication is</w:t>
      </w:r>
      <w:r w:rsidR="000B1BC5">
        <w:t>:</w:t>
      </w:r>
    </w:p>
    <w:p w14:paraId="1CC179C0" w14:textId="21BFC86B" w:rsidR="000B1BC5" w:rsidRPr="00F516F7" w:rsidRDefault="000243DD" w:rsidP="00F516F7">
      <w:pPr>
        <w:ind w:left="720"/>
        <w:rPr>
          <w:i/>
          <w:iCs/>
        </w:rPr>
      </w:pPr>
      <w:r w:rsidRPr="00F516F7">
        <w:rPr>
          <w:i/>
          <w:iCs/>
        </w:rPr>
        <w:t xml:space="preserve">Rinvoq </w:t>
      </w:r>
      <w:r w:rsidR="000B1BC5" w:rsidRPr="00F516F7">
        <w:rPr>
          <w:i/>
          <w:iCs/>
        </w:rPr>
        <w:t>is indicated for use in adults and adolescents aged 12 years and above who weigh at least 40 kg, for the treatment of moderate to severe atopic dermatitis which is inadequately controlled with active topical pharmacotherapies and for whom systemic therapy is indicated.</w:t>
      </w:r>
    </w:p>
    <w:p w14:paraId="45686B14" w14:textId="77777777" w:rsidR="000B1BC5" w:rsidRPr="00103998" w:rsidRDefault="000B1BC5" w:rsidP="000B1BC5">
      <w:r>
        <w:t>Other systemic therapies approved internationally for the treatment of moderate to severe atopic dermatitis include tralokinumab and abrocitinib.</w:t>
      </w:r>
    </w:p>
    <w:p w14:paraId="0D615854" w14:textId="77777777" w:rsidR="00324B33" w:rsidRPr="003F31A2" w:rsidRDefault="00324B33" w:rsidP="00324B33">
      <w:pPr>
        <w:pStyle w:val="Heading3"/>
      </w:pPr>
      <w:bookmarkStart w:id="18" w:name="_Toc103679291"/>
      <w:bookmarkStart w:id="19" w:name="_Toc180416234"/>
      <w:r>
        <w:t>Regulatory status</w:t>
      </w:r>
      <w:bookmarkEnd w:id="13"/>
      <w:bookmarkEnd w:id="14"/>
      <w:bookmarkEnd w:id="18"/>
      <w:bookmarkEnd w:id="19"/>
    </w:p>
    <w:p w14:paraId="72C889D6" w14:textId="7E200950" w:rsidR="0017005C" w:rsidRPr="00BD5DBD" w:rsidRDefault="0017005C" w:rsidP="00E4590E">
      <w:pPr>
        <w:pStyle w:val="Heading5"/>
      </w:pPr>
      <w:r w:rsidRPr="00BD5DBD">
        <w:t>Australian regulatory</w:t>
      </w:r>
      <w:r>
        <w:t xml:space="preserve"> sta</w:t>
      </w:r>
      <w:r w:rsidR="0025785B">
        <w:t>t</w:t>
      </w:r>
      <w:r>
        <w:t>us</w:t>
      </w:r>
    </w:p>
    <w:p w14:paraId="6A8633FA" w14:textId="7228B602" w:rsidR="00324B33" w:rsidRDefault="00324B33" w:rsidP="00324B33">
      <w:pPr>
        <w:rPr>
          <w:szCs w:val="22"/>
        </w:rPr>
      </w:pPr>
      <w:r w:rsidRPr="00BD5DBD">
        <w:rPr>
          <w:szCs w:val="22"/>
        </w:rPr>
        <w:t xml:space="preserve">This product is considered a </w:t>
      </w:r>
      <w:r w:rsidR="008C754C" w:rsidRPr="00BD5DBD">
        <w:rPr>
          <w:szCs w:val="22"/>
        </w:rPr>
        <w:t xml:space="preserve">new </w:t>
      </w:r>
      <w:r w:rsidRPr="00BD5DBD">
        <w:rPr>
          <w:szCs w:val="22"/>
        </w:rPr>
        <w:t>biological entity for Australian regulatory purposes.</w:t>
      </w:r>
    </w:p>
    <w:p w14:paraId="546C1031" w14:textId="13AEC93A" w:rsidR="0017005C" w:rsidRDefault="0009070F" w:rsidP="00E4590E">
      <w:pPr>
        <w:pStyle w:val="Heading5"/>
      </w:pPr>
      <w:r>
        <w:t>International</w:t>
      </w:r>
      <w:r w:rsidR="0017005C" w:rsidRPr="00BD5DBD">
        <w:t xml:space="preserve"> regulatory</w:t>
      </w:r>
      <w:r w:rsidR="0017005C">
        <w:t xml:space="preserve"> status</w:t>
      </w:r>
    </w:p>
    <w:p w14:paraId="4B098837" w14:textId="4890B66E" w:rsidR="000B1BC5" w:rsidRDefault="000B1BC5" w:rsidP="000B1BC5">
      <w:pPr>
        <w:rPr>
          <w:lang w:val="en-US"/>
        </w:rPr>
      </w:pPr>
      <w:r w:rsidRPr="00820A97">
        <w:rPr>
          <w:b/>
          <w:bCs/>
          <w:lang w:val="en-US"/>
        </w:rPr>
        <w:t>USA</w:t>
      </w:r>
      <w:r>
        <w:rPr>
          <w:lang w:val="en-US"/>
        </w:rPr>
        <w:t>: A Biologics License Application (BLA) was submitted on 28 September 2022</w:t>
      </w:r>
      <w:r w:rsidR="00F516F7">
        <w:rPr>
          <w:lang w:val="en-US"/>
        </w:rPr>
        <w:t xml:space="preserve">. </w:t>
      </w:r>
      <w:r w:rsidRPr="00B4578A">
        <w:rPr>
          <w:lang w:val="en-US"/>
        </w:rPr>
        <w:t>A Complete Response Letter was issued by the FDA</w:t>
      </w:r>
      <w:r>
        <w:rPr>
          <w:lang w:val="en-US"/>
        </w:rPr>
        <w:t xml:space="preserve"> on 28 September 2023</w:t>
      </w:r>
      <w:r w:rsidRPr="00B4578A">
        <w:rPr>
          <w:lang w:val="en-US"/>
        </w:rPr>
        <w:t xml:space="preserve"> in response to deficiencies relating to drug substance and drug product manufacturing identified in a pre-license and surveillance inspection of a third-party supplier, Samsung Biologics Co. Ltd</w:t>
      </w:r>
      <w:r w:rsidR="00F516F7">
        <w:rPr>
          <w:lang w:val="en-US"/>
        </w:rPr>
        <w:t xml:space="preserve">. </w:t>
      </w:r>
    </w:p>
    <w:p w14:paraId="47BB91F4" w14:textId="77777777" w:rsidR="000B1BC5" w:rsidRDefault="000B1BC5" w:rsidP="000B1BC5">
      <w:pPr>
        <w:rPr>
          <w:lang w:val="en-US"/>
        </w:rPr>
      </w:pPr>
      <w:r w:rsidRPr="00820A97">
        <w:rPr>
          <w:b/>
          <w:bCs/>
          <w:lang w:val="en-US"/>
        </w:rPr>
        <w:t>EU</w:t>
      </w:r>
      <w:r>
        <w:rPr>
          <w:lang w:val="en-US"/>
        </w:rPr>
        <w:t>: Marketing authorisation was approved on 17 November 2023:</w:t>
      </w:r>
    </w:p>
    <w:p w14:paraId="01DB0DAB" w14:textId="609539EE" w:rsidR="000B1BC5" w:rsidRDefault="00D2553C" w:rsidP="000B1BC5">
      <w:pPr>
        <w:ind w:left="567"/>
        <w:rPr>
          <w:lang w:val="en-US"/>
        </w:rPr>
      </w:pPr>
      <w:r>
        <w:t>Ebglyss</w:t>
      </w:r>
      <w:r w:rsidR="000B1BC5">
        <w:t xml:space="preserve"> is indicated for the treatment of moderate-to-severe atopic dermatitis in adults and adolescents 12 years and older with a body weight of at least 40 kg who are candidates for systemic therapy.</w:t>
      </w:r>
    </w:p>
    <w:p w14:paraId="4BA80C4C" w14:textId="77777777" w:rsidR="000B1BC5" w:rsidRDefault="000B1BC5" w:rsidP="000B1BC5">
      <w:pPr>
        <w:rPr>
          <w:lang w:val="en-US"/>
        </w:rPr>
      </w:pPr>
      <w:r w:rsidRPr="00820A97">
        <w:rPr>
          <w:b/>
          <w:bCs/>
          <w:lang w:val="en-US"/>
        </w:rPr>
        <w:t>Japan</w:t>
      </w:r>
      <w:r>
        <w:rPr>
          <w:lang w:val="en-US"/>
        </w:rPr>
        <w:t>: Marketing authorisation was approved on 18 January 2024:</w:t>
      </w:r>
    </w:p>
    <w:p w14:paraId="08EC9BC7" w14:textId="77777777" w:rsidR="000B1BC5" w:rsidRDefault="000B1BC5" w:rsidP="000B1BC5">
      <w:pPr>
        <w:ind w:left="567"/>
        <w:rPr>
          <w:b/>
          <w:bCs/>
          <w:u w:val="single"/>
          <w:lang w:val="en-US"/>
        </w:rPr>
      </w:pPr>
      <w:r>
        <w:rPr>
          <w:lang w:val="en-US"/>
        </w:rPr>
        <w:t>Atopic dermatitis patients who have inadequate response to conventional therapies.</w:t>
      </w:r>
      <w:r w:rsidRPr="00BA4A39">
        <w:rPr>
          <w:b/>
          <w:bCs/>
          <w:u w:val="single"/>
          <w:lang w:val="en-US"/>
        </w:rPr>
        <w:t xml:space="preserve"> </w:t>
      </w:r>
    </w:p>
    <w:p w14:paraId="7820D571" w14:textId="59096CAB" w:rsidR="000B1BC5" w:rsidRDefault="000B1BC5" w:rsidP="000B1BC5">
      <w:pPr>
        <w:rPr>
          <w:lang w:val="en-US"/>
        </w:rPr>
      </w:pPr>
      <w:r w:rsidRPr="00820A97">
        <w:rPr>
          <w:b/>
          <w:bCs/>
          <w:lang w:val="en-US"/>
        </w:rPr>
        <w:t>Canada</w:t>
      </w:r>
      <w:r>
        <w:rPr>
          <w:lang w:val="en-US"/>
        </w:rPr>
        <w:t xml:space="preserve">: Submitted 22 February 2023, </w:t>
      </w:r>
      <w:r w:rsidR="001A3B69">
        <w:rPr>
          <w:lang w:val="en-US"/>
        </w:rPr>
        <w:t>approved 24 June 2024</w:t>
      </w:r>
      <w:r>
        <w:rPr>
          <w:lang w:val="en-US"/>
        </w:rPr>
        <w:t>.</w:t>
      </w:r>
    </w:p>
    <w:p w14:paraId="1EA93A14" w14:textId="77777777" w:rsidR="000B1BC5" w:rsidRDefault="000B1BC5" w:rsidP="005B7DB8">
      <w:pPr>
        <w:pStyle w:val="Heading5"/>
        <w:rPr>
          <w:lang w:val="en-US"/>
        </w:rPr>
      </w:pPr>
      <w:r w:rsidRPr="00E31FED">
        <w:rPr>
          <w:lang w:val="en-US"/>
        </w:rPr>
        <w:t>Regulatory guidance</w:t>
      </w:r>
    </w:p>
    <w:p w14:paraId="5D25C5A4" w14:textId="6ACA217E" w:rsidR="000B1BC5" w:rsidRPr="00E31FED" w:rsidRDefault="000B1BC5" w:rsidP="000B1BC5">
      <w:pPr>
        <w:rPr>
          <w:b/>
          <w:bCs/>
          <w:lang w:val="en-US"/>
        </w:rPr>
      </w:pPr>
      <w:r>
        <w:t>Regulatory interactions with the FDA and EMA occurred throughout the development of lebrikizumab for AD and feedback from regulators was incorporated into the development program</w:t>
      </w:r>
      <w:r w:rsidR="00F516F7">
        <w:t xml:space="preserve">. </w:t>
      </w:r>
      <w:r>
        <w:t>Scientific advice was obtained from the FDA and the EMA following completion of the Phase 2 program, which was incorporated into the Phase 3 clinical development program.</w:t>
      </w:r>
    </w:p>
    <w:p w14:paraId="6D92589C" w14:textId="09786CEF" w:rsidR="00324B33" w:rsidRDefault="00324B33" w:rsidP="00324B33">
      <w:pPr>
        <w:pStyle w:val="Heading2"/>
      </w:pPr>
      <w:bookmarkStart w:id="20" w:name="_Toc504480011"/>
      <w:bookmarkStart w:id="21" w:name="_Toc103679293"/>
      <w:bookmarkStart w:id="22" w:name="_Toc180416235"/>
      <w:r>
        <w:t>Registration timeline</w:t>
      </w:r>
      <w:bookmarkEnd w:id="20"/>
      <w:bookmarkEnd w:id="21"/>
      <w:bookmarkEnd w:id="22"/>
    </w:p>
    <w:p w14:paraId="225E3D87" w14:textId="3F5D8863" w:rsidR="00324B33" w:rsidRPr="00BD5DBD" w:rsidRDefault="003479A4" w:rsidP="00324B33">
      <w:pPr>
        <w:rPr>
          <w:szCs w:val="22"/>
        </w:rPr>
      </w:pPr>
      <w:r>
        <w:rPr>
          <w:szCs w:val="22"/>
        </w:rPr>
        <w:t>T</w:t>
      </w:r>
      <w:r w:rsidR="00324B33" w:rsidRPr="00BD5DBD">
        <w:rPr>
          <w:szCs w:val="22"/>
        </w:rPr>
        <w:t>able</w:t>
      </w:r>
      <w:r>
        <w:rPr>
          <w:szCs w:val="22"/>
        </w:rPr>
        <w:t xml:space="preserve"> 2</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19" w:history="1">
        <w:r w:rsidRPr="00BD5DBD">
          <w:rPr>
            <w:rStyle w:val="Hyperlink"/>
            <w:szCs w:val="22"/>
          </w:rPr>
          <w:t>standard prescription medicines registration process</w:t>
        </w:r>
      </w:hyperlink>
      <w:r w:rsidRPr="00BD5DBD">
        <w:rPr>
          <w:szCs w:val="22"/>
        </w:rPr>
        <w:t>.</w:t>
      </w:r>
    </w:p>
    <w:p w14:paraId="44628C5F" w14:textId="6A80C3BD" w:rsidR="00324B33" w:rsidRDefault="00324B33" w:rsidP="002C1232">
      <w:pPr>
        <w:pStyle w:val="TableTitle"/>
      </w:pPr>
      <w:r w:rsidRPr="002C1232">
        <w:t xml:space="preserve">Table </w:t>
      </w:r>
      <w:r w:rsidR="007F1E37">
        <w:fldChar w:fldCharType="begin"/>
      </w:r>
      <w:r w:rsidR="007F1E37">
        <w:instrText xml:space="preserve"> SEQ Table \* ARABIC </w:instrText>
      </w:r>
      <w:r w:rsidR="007F1E37">
        <w:fldChar w:fldCharType="separate"/>
      </w:r>
      <w:r w:rsidR="008B1CB5" w:rsidRPr="002C1232">
        <w:t>2</w:t>
      </w:r>
      <w:r w:rsidR="007F1E37">
        <w:fldChar w:fldCharType="end"/>
      </w:r>
      <w:r w:rsidRPr="002C1232">
        <w:t xml:space="preserve">: Timeline for </w:t>
      </w:r>
      <w:r w:rsidR="00D2553C">
        <w:t>Ebglyss</w:t>
      </w:r>
      <w:r w:rsidR="007105E8">
        <w:t xml:space="preserve"> s</w:t>
      </w:r>
      <w:r w:rsidRPr="002C1232">
        <w:t>ubmission</w:t>
      </w:r>
    </w:p>
    <w:tbl>
      <w:tblPr>
        <w:tblStyle w:val="TableTGAblue2023"/>
        <w:tblW w:w="8642" w:type="dxa"/>
        <w:tblLook w:val="04A0" w:firstRow="1" w:lastRow="0" w:firstColumn="1" w:lastColumn="0" w:noHBand="0" w:noVBand="1"/>
      </w:tblPr>
      <w:tblGrid>
        <w:gridCol w:w="6374"/>
        <w:gridCol w:w="2268"/>
      </w:tblGrid>
      <w:tr w:rsidR="00324B33" w:rsidRPr="00D01DDB" w14:paraId="6C59BE9C" w14:textId="77777777" w:rsidTr="00F516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6D80E78" w14:textId="3EC0CCAF" w:rsidR="00324B33" w:rsidRPr="00D01DDB" w:rsidRDefault="00324B33" w:rsidP="00324B33">
            <w:pPr>
              <w:rPr>
                <w:szCs w:val="22"/>
              </w:rPr>
            </w:pPr>
            <w:r w:rsidRPr="00D01DDB">
              <w:rPr>
                <w:szCs w:val="22"/>
              </w:rPr>
              <w:t>Description</w:t>
            </w:r>
          </w:p>
        </w:tc>
        <w:tc>
          <w:tcPr>
            <w:tcW w:w="2268"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F516F7">
        <w:tc>
          <w:tcPr>
            <w:cnfStyle w:val="001000000000" w:firstRow="0" w:lastRow="0" w:firstColumn="1" w:lastColumn="0" w:oddVBand="0" w:evenVBand="0" w:oddHBand="0" w:evenHBand="0" w:firstRowFirstColumn="0" w:firstRowLastColumn="0" w:lastRowFirstColumn="0" w:lastRowLastColumn="0"/>
            <w:tcW w:w="6374" w:type="dxa"/>
          </w:tcPr>
          <w:p w14:paraId="759D2A12" w14:textId="0D705F83" w:rsidR="00324B33" w:rsidRPr="00E679D1" w:rsidRDefault="00324B33" w:rsidP="00E679D1">
            <w:r w:rsidRPr="00E679D1">
              <w:t>Submission dossier accepted and first round evaluation commenced</w:t>
            </w:r>
          </w:p>
        </w:tc>
        <w:tc>
          <w:tcPr>
            <w:tcW w:w="2268" w:type="dxa"/>
          </w:tcPr>
          <w:p w14:paraId="2963D9D8" w14:textId="1760A07E" w:rsidR="00324B33" w:rsidRPr="00D01DDB" w:rsidRDefault="003479A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May 2023</w:t>
            </w:r>
          </w:p>
        </w:tc>
      </w:tr>
      <w:tr w:rsidR="00324B33" w:rsidRPr="00D01DDB" w14:paraId="767E33A4" w14:textId="77777777" w:rsidTr="00F516F7">
        <w:tc>
          <w:tcPr>
            <w:cnfStyle w:val="001000000000" w:firstRow="0" w:lastRow="0" w:firstColumn="1" w:lastColumn="0" w:oddVBand="0" w:evenVBand="0" w:oddHBand="0" w:evenHBand="0" w:firstRowFirstColumn="0" w:firstRowLastColumn="0" w:lastRowFirstColumn="0" w:lastRowLastColumn="0"/>
            <w:tcW w:w="6374" w:type="dxa"/>
          </w:tcPr>
          <w:p w14:paraId="4AFC5B50" w14:textId="37FB7ACB" w:rsidR="00324B33" w:rsidRPr="00E679D1" w:rsidRDefault="003479A4" w:rsidP="00E679D1">
            <w:r>
              <w:t>E</w:t>
            </w:r>
            <w:r w:rsidR="00324B33" w:rsidRPr="00E679D1">
              <w:t>valuation completed</w:t>
            </w:r>
          </w:p>
        </w:tc>
        <w:tc>
          <w:tcPr>
            <w:tcW w:w="2268" w:type="dxa"/>
          </w:tcPr>
          <w:p w14:paraId="4E47DF62" w14:textId="4690B6D8" w:rsidR="00324B33" w:rsidRPr="00D01DDB" w:rsidRDefault="003479A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4 January 2024</w:t>
            </w:r>
          </w:p>
        </w:tc>
      </w:tr>
      <w:tr w:rsidR="00324B33" w:rsidRPr="00D01DDB" w14:paraId="302FCB45" w14:textId="77777777" w:rsidTr="00F516F7">
        <w:tc>
          <w:tcPr>
            <w:cnfStyle w:val="001000000000" w:firstRow="0" w:lastRow="0" w:firstColumn="1" w:lastColumn="0" w:oddVBand="0" w:evenVBand="0" w:oddHBand="0" w:evenHBand="0" w:firstRowFirstColumn="0" w:firstRowLastColumn="0" w:lastRowFirstColumn="0" w:lastRowLastColumn="0"/>
            <w:tcW w:w="6374" w:type="dxa"/>
          </w:tcPr>
          <w:p w14:paraId="716E9DC1" w14:textId="7B470787" w:rsidR="00324B33" w:rsidRPr="00D01DDB" w:rsidRDefault="00324B33" w:rsidP="00324B33">
            <w:pPr>
              <w:rPr>
                <w:szCs w:val="22"/>
              </w:rPr>
            </w:pPr>
            <w:r w:rsidRPr="00D01DDB">
              <w:rPr>
                <w:szCs w:val="22"/>
              </w:rPr>
              <w:t>Delegate’s</w:t>
            </w:r>
            <w:r w:rsidR="00500D68">
              <w:rPr>
                <w:rStyle w:val="FootnoteReference"/>
                <w:szCs w:val="22"/>
              </w:rPr>
              <w:footnoteReference w:id="3"/>
            </w:r>
            <w:r w:rsidRPr="00D01DDB">
              <w:rPr>
                <w:szCs w:val="22"/>
              </w:rPr>
              <w:t xml:space="preserve"> Overall benefit-risk assessment </w:t>
            </w:r>
            <w:r w:rsidRPr="003479A4">
              <w:rPr>
                <w:color w:val="auto"/>
                <w:szCs w:val="22"/>
              </w:rPr>
              <w:t>and request for Advisory Committee advice</w:t>
            </w:r>
          </w:p>
        </w:tc>
        <w:tc>
          <w:tcPr>
            <w:tcW w:w="2268" w:type="dxa"/>
          </w:tcPr>
          <w:p w14:paraId="3BA6EF79" w14:textId="2B7C4461" w:rsidR="00324B33" w:rsidRPr="003479A4" w:rsidRDefault="003479A4" w:rsidP="00324B33">
            <w:pPr>
              <w:cnfStyle w:val="000000000000" w:firstRow="0" w:lastRow="0" w:firstColumn="0" w:lastColumn="0" w:oddVBand="0" w:evenVBand="0" w:oddHBand="0" w:evenHBand="0" w:firstRowFirstColumn="0" w:firstRowLastColumn="0" w:lastRowFirstColumn="0" w:lastRowLastColumn="0"/>
              <w:rPr>
                <w:bCs/>
                <w:szCs w:val="22"/>
              </w:rPr>
            </w:pPr>
            <w:r w:rsidRPr="003479A4">
              <w:rPr>
                <w:bCs/>
                <w:szCs w:val="22"/>
              </w:rPr>
              <w:t>1 March 2024</w:t>
            </w:r>
          </w:p>
        </w:tc>
      </w:tr>
      <w:tr w:rsidR="00324B33" w:rsidRPr="00D01DDB" w14:paraId="5754F7AC" w14:textId="77777777" w:rsidTr="00F516F7">
        <w:tc>
          <w:tcPr>
            <w:cnfStyle w:val="001000000000" w:firstRow="0" w:lastRow="0" w:firstColumn="1" w:lastColumn="0" w:oddVBand="0" w:evenVBand="0" w:oddHBand="0" w:evenHBand="0" w:firstRowFirstColumn="0" w:firstRowLastColumn="0" w:lastRowFirstColumn="0" w:lastRowLastColumn="0"/>
            <w:tcW w:w="6374" w:type="dxa"/>
          </w:tcPr>
          <w:p w14:paraId="789DE187" w14:textId="123446EE" w:rsidR="00324B33" w:rsidRPr="00E679D1" w:rsidRDefault="00324B33" w:rsidP="00E679D1">
            <w:r w:rsidRPr="00E679D1">
              <w:t>Advisory Committee meeting</w:t>
            </w:r>
          </w:p>
        </w:tc>
        <w:tc>
          <w:tcPr>
            <w:tcW w:w="2268" w:type="dxa"/>
          </w:tcPr>
          <w:p w14:paraId="5BE1EDE7" w14:textId="24CE1EAB" w:rsidR="00324B33" w:rsidRPr="00D01DDB" w:rsidRDefault="003479A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April 2024</w:t>
            </w:r>
          </w:p>
        </w:tc>
      </w:tr>
      <w:tr w:rsidR="00324B33" w:rsidRPr="00D01DDB" w14:paraId="6E5D32FE" w14:textId="77777777" w:rsidTr="00F516F7">
        <w:tc>
          <w:tcPr>
            <w:cnfStyle w:val="001000000000" w:firstRow="0" w:lastRow="0" w:firstColumn="1" w:lastColumn="0" w:oddVBand="0" w:evenVBand="0" w:oddHBand="0" w:evenHBand="0" w:firstRowFirstColumn="0" w:firstRowLastColumn="0" w:lastRowFirstColumn="0" w:lastRowLastColumn="0"/>
            <w:tcW w:w="6374" w:type="dxa"/>
          </w:tcPr>
          <w:p w14:paraId="4E95C44C" w14:textId="7A91C710" w:rsidR="00324B33" w:rsidRPr="00E679D1" w:rsidRDefault="00324B33" w:rsidP="00E679D1">
            <w:r w:rsidRPr="00E679D1">
              <w:t>Registration decision (Outcome)</w:t>
            </w:r>
          </w:p>
        </w:tc>
        <w:tc>
          <w:tcPr>
            <w:tcW w:w="2268" w:type="dxa"/>
          </w:tcPr>
          <w:p w14:paraId="62987ABD" w14:textId="7C9D4636" w:rsidR="00324B33" w:rsidRPr="00D01DDB" w:rsidRDefault="003479A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 May 2024</w:t>
            </w:r>
          </w:p>
        </w:tc>
      </w:tr>
      <w:tr w:rsidR="00324B33" w:rsidRPr="00D01DDB" w14:paraId="6DDCDDA4" w14:textId="77777777" w:rsidTr="00F516F7">
        <w:tc>
          <w:tcPr>
            <w:cnfStyle w:val="001000000000" w:firstRow="0" w:lastRow="0" w:firstColumn="1" w:lastColumn="0" w:oddVBand="0" w:evenVBand="0" w:oddHBand="0" w:evenHBand="0" w:firstRowFirstColumn="0" w:firstRowLastColumn="0" w:lastRowFirstColumn="0" w:lastRowLastColumn="0"/>
            <w:tcW w:w="6374" w:type="dxa"/>
          </w:tcPr>
          <w:p w14:paraId="192FD19D" w14:textId="38C0F35C" w:rsidR="00324B33" w:rsidRPr="00E679D1" w:rsidRDefault="00B80D2A" w:rsidP="00E679D1">
            <w:r w:rsidRPr="00B80D2A">
              <w:t>Registration in the ARTG</w:t>
            </w:r>
          </w:p>
        </w:tc>
        <w:tc>
          <w:tcPr>
            <w:tcW w:w="2268" w:type="dxa"/>
          </w:tcPr>
          <w:p w14:paraId="5A8923FD" w14:textId="232A16C8" w:rsidR="00324B33" w:rsidRPr="00D01DDB" w:rsidRDefault="003479A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May 2024</w:t>
            </w:r>
          </w:p>
        </w:tc>
      </w:tr>
      <w:tr w:rsidR="00324B33" w:rsidRPr="00D01DDB" w14:paraId="56D922E2" w14:textId="77777777" w:rsidTr="00F516F7">
        <w:tc>
          <w:tcPr>
            <w:cnfStyle w:val="001000000000" w:firstRow="0" w:lastRow="0" w:firstColumn="1" w:lastColumn="0" w:oddVBand="0" w:evenVBand="0" w:oddHBand="0" w:evenHBand="0" w:firstRowFirstColumn="0" w:firstRowLastColumn="0" w:lastRowFirstColumn="0" w:lastRowLastColumn="0"/>
            <w:tcW w:w="6374" w:type="dxa"/>
          </w:tcPr>
          <w:p w14:paraId="787FD8DD" w14:textId="0E0CF97F" w:rsidR="00324B33" w:rsidRPr="00E679D1" w:rsidRDefault="00324B33" w:rsidP="00E679D1">
            <w:r w:rsidRPr="00E679D1">
              <w:t>Number of working days from submission dossier acceptance to registration decision*</w:t>
            </w:r>
          </w:p>
        </w:tc>
        <w:tc>
          <w:tcPr>
            <w:tcW w:w="2268" w:type="dxa"/>
          </w:tcPr>
          <w:p w14:paraId="5BAF9FA1" w14:textId="545B7F44" w:rsidR="00324B33" w:rsidRPr="00D01DDB" w:rsidRDefault="003479A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245</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2C2F95FB" w:rsidR="00C22214" w:rsidRPr="00792A32" w:rsidRDefault="00BF38F0" w:rsidP="00C22214">
      <w:pPr>
        <w:pStyle w:val="Heading2"/>
      </w:pPr>
      <w:bookmarkStart w:id="23" w:name="_Toc196046504"/>
      <w:bookmarkStart w:id="24" w:name="_Toc247691527"/>
      <w:bookmarkStart w:id="25" w:name="_Toc314842510"/>
      <w:bookmarkStart w:id="26" w:name="_Toc103679294"/>
      <w:bookmarkStart w:id="27" w:name="_Toc180416236"/>
      <w:r>
        <w:t>Evalu</w:t>
      </w:r>
      <w:r w:rsidR="000E4642">
        <w:t>a</w:t>
      </w:r>
      <w:r>
        <w:t>tion</w:t>
      </w:r>
      <w:r w:rsidR="00C22214" w:rsidRPr="00006FAB">
        <w:t xml:space="preserve"> overview</w:t>
      </w:r>
      <w:bookmarkEnd w:id="23"/>
      <w:bookmarkEnd w:id="24"/>
      <w:bookmarkEnd w:id="25"/>
      <w:bookmarkEnd w:id="26"/>
      <w:bookmarkEnd w:id="27"/>
    </w:p>
    <w:p w14:paraId="37F5A1C0" w14:textId="1FA4AD71" w:rsidR="00C22214" w:rsidRDefault="00C22214" w:rsidP="00C22214">
      <w:pPr>
        <w:pStyle w:val="Heading3"/>
      </w:pPr>
      <w:bookmarkStart w:id="28" w:name="_Toc247691528"/>
      <w:bookmarkStart w:id="29" w:name="_Toc314842511"/>
      <w:bookmarkStart w:id="30" w:name="_Toc103679295"/>
      <w:bookmarkStart w:id="31" w:name="_Toc180416237"/>
      <w:r>
        <w:t>Quality</w:t>
      </w:r>
      <w:bookmarkEnd w:id="28"/>
      <w:bookmarkEnd w:id="29"/>
      <w:bookmarkEnd w:id="30"/>
      <w:r w:rsidR="00F956CF">
        <w:t xml:space="preserve"> </w:t>
      </w:r>
      <w:r w:rsidR="00F956CF" w:rsidRPr="00F956CF">
        <w:t>evaluation summary</w:t>
      </w:r>
      <w:bookmarkEnd w:id="31"/>
    </w:p>
    <w:p w14:paraId="070BE9E4" w14:textId="63326F15" w:rsidR="007105E8" w:rsidRDefault="007105E8" w:rsidP="007105E8">
      <w:pPr>
        <w:rPr>
          <w:lang w:val="en-GB"/>
        </w:rPr>
      </w:pPr>
      <w:r>
        <w:t xml:space="preserve">Lebrikizumab is an IgG4 monoclonal antibody derived from </w:t>
      </w:r>
      <w:r>
        <w:rPr>
          <w:lang w:val="en-GB"/>
        </w:rPr>
        <w:t xml:space="preserve">genetically modified </w:t>
      </w:r>
      <w:r>
        <w:t xml:space="preserve">Chinese Hamster Ovary (CHO) cells. </w:t>
      </w:r>
      <w:r>
        <w:rPr>
          <w:lang w:val="en-GB"/>
        </w:rPr>
        <w:t xml:space="preserve">To increase the stability of the antibody, the </w:t>
      </w:r>
      <w:r w:rsidRPr="00363D4E">
        <w:rPr>
          <w:lang w:val="en-GB"/>
        </w:rPr>
        <w:t xml:space="preserve">hinge region </w:t>
      </w:r>
      <w:r>
        <w:rPr>
          <w:lang w:val="en-GB"/>
        </w:rPr>
        <w:t xml:space="preserve">is </w:t>
      </w:r>
      <w:r w:rsidRPr="00363D4E">
        <w:rPr>
          <w:lang w:val="en-GB"/>
        </w:rPr>
        <w:t>modified with a S226P substitution</w:t>
      </w:r>
      <w:r>
        <w:rPr>
          <w:lang w:val="en-GB"/>
        </w:rPr>
        <w:t xml:space="preserve">. </w:t>
      </w:r>
      <w:r>
        <w:t>The active ingredient is produced using recombinant DNA technology</w:t>
      </w:r>
      <w:r w:rsidR="00F516F7">
        <w:t xml:space="preserve">. </w:t>
      </w:r>
    </w:p>
    <w:p w14:paraId="6F187DFB" w14:textId="30DFA6F9" w:rsidR="007105E8" w:rsidRPr="0019532C" w:rsidRDefault="007105E8" w:rsidP="007105E8">
      <w:r>
        <w:rPr>
          <w:lang w:val="en-GB"/>
        </w:rPr>
        <w:t xml:space="preserve">The drug substance and drug product manufacturing processes and controls are detailed in the evaluation report. </w:t>
      </w:r>
      <w:r w:rsidRPr="0019532C">
        <w:t>The overall quality of the active substance was demonstrated via adequate control of the starting material, control of critical steps and intermediates, process validation, extensive characterisation using orthogonal and state-of-the-art analytical methods, control of impurities and contaminants, generation of robust reference materials</w:t>
      </w:r>
      <w:r>
        <w:t>,</w:t>
      </w:r>
      <w:r w:rsidRPr="0019532C">
        <w:t xml:space="preserve"> and batch analyses that covered multiple manufacturing campaigns.</w:t>
      </w:r>
    </w:p>
    <w:p w14:paraId="19A60231" w14:textId="42C70F90" w:rsidR="007105E8" w:rsidRPr="00CC0BE0" w:rsidRDefault="007105E8" w:rsidP="007105E8">
      <w:r>
        <w:t xml:space="preserve">Manufacturing concerns identified by the FDA in the </w:t>
      </w:r>
      <w:r w:rsidRPr="00B4578A">
        <w:rPr>
          <w:lang w:val="en-US"/>
        </w:rPr>
        <w:t>Complete Response Letter</w:t>
      </w:r>
      <w:r>
        <w:t xml:space="preserve"> were reviewed by the Module 3 evaluator and the Manufacturing Quality Branch. All of the questions raised in relation to those concerns were satisfactorily addressed by the Sponsor</w:t>
      </w:r>
      <w:r w:rsidR="00F516F7">
        <w:t xml:space="preserve">. </w:t>
      </w:r>
      <w:r w:rsidRPr="00CC0BE0">
        <w:t>This issue is considered resolved from a quality</w:t>
      </w:r>
      <w:r>
        <w:t xml:space="preserve"> </w:t>
      </w:r>
      <w:r w:rsidRPr="00CC0BE0">
        <w:t>perspective.</w:t>
      </w:r>
    </w:p>
    <w:p w14:paraId="10AEDCF5" w14:textId="2854C632" w:rsidR="007105E8" w:rsidRDefault="007105E8" w:rsidP="007105E8">
      <w:pPr>
        <w:rPr>
          <w:lang w:val="en-GB"/>
        </w:rPr>
      </w:pPr>
      <w:r>
        <w:rPr>
          <w:lang w:val="en-GB"/>
        </w:rPr>
        <w:t>The proposed presentation is a single-dose pre-filled pen (autoinjector) containing 250mg/2mL of lebrikizumab for administration by subcutaneous injection</w:t>
      </w:r>
      <w:r w:rsidR="00F516F7">
        <w:rPr>
          <w:lang w:val="en-GB"/>
        </w:rPr>
        <w:t xml:space="preserve">. </w:t>
      </w:r>
      <w:r w:rsidRPr="009C14F5">
        <w:t xml:space="preserve">The formulation development has been adequately described and the final formulation intended for marketing was used in the phase </w:t>
      </w:r>
      <w:r>
        <w:t>3</w:t>
      </w:r>
      <w:r w:rsidRPr="009C14F5">
        <w:t xml:space="preserve"> clinical trials.</w:t>
      </w:r>
      <w:r>
        <w:t xml:space="preserve"> All excipients are well known pharmaceutical ingredients and their quality is compliant </w:t>
      </w:r>
      <w:r w:rsidRPr="00163A35">
        <w:t>with Ph. Eur/USP/JP standards</w:t>
      </w:r>
      <w:r w:rsidR="00F516F7">
        <w:t xml:space="preserve">. </w:t>
      </w:r>
      <w:r w:rsidRPr="00163A35">
        <w:t xml:space="preserve">The container closure is considered suitable for </w:t>
      </w:r>
      <w:r>
        <w:t>its intended use as demonstrated by compatibility and stability studies.</w:t>
      </w:r>
    </w:p>
    <w:p w14:paraId="1F5F5D9A" w14:textId="5E3AE1BA" w:rsidR="007105E8" w:rsidRPr="00D3044B" w:rsidRDefault="007105E8" w:rsidP="007105E8">
      <w:pPr>
        <w:rPr>
          <w:lang w:val="en-GB"/>
        </w:rPr>
      </w:pPr>
      <w:r>
        <w:rPr>
          <w:lang w:val="en-GB"/>
        </w:rPr>
        <w:t>T</w:t>
      </w:r>
      <w:r w:rsidRPr="00D3044B">
        <w:rPr>
          <w:lang w:val="en-GB"/>
        </w:rPr>
        <w:t>he recommend</w:t>
      </w:r>
      <w:r>
        <w:rPr>
          <w:lang w:val="en-GB"/>
        </w:rPr>
        <w:t>ed</w:t>
      </w:r>
      <w:r w:rsidRPr="00D3044B">
        <w:rPr>
          <w:lang w:val="en-GB"/>
        </w:rPr>
        <w:t xml:space="preserve"> shelf-life for the </w:t>
      </w:r>
      <w:r>
        <w:rPr>
          <w:lang w:val="en-GB"/>
        </w:rPr>
        <w:t>drug product</w:t>
      </w:r>
      <w:r w:rsidRPr="00D3044B">
        <w:rPr>
          <w:lang w:val="en-GB"/>
        </w:rPr>
        <w:t xml:space="preserve"> in the autoinjector when stored in the original carton protected from light at 2°C to 8°C</w:t>
      </w:r>
      <w:r w:rsidRPr="00DA627F">
        <w:rPr>
          <w:lang w:val="en-GB"/>
        </w:rPr>
        <w:t xml:space="preserve"> </w:t>
      </w:r>
      <w:r>
        <w:rPr>
          <w:lang w:val="en-GB"/>
        </w:rPr>
        <w:t xml:space="preserve">is </w:t>
      </w:r>
      <w:r w:rsidRPr="00D3044B">
        <w:rPr>
          <w:lang w:val="en-GB"/>
        </w:rPr>
        <w:t>18</w:t>
      </w:r>
      <w:r>
        <w:rPr>
          <w:lang w:val="en-GB"/>
        </w:rPr>
        <w:t xml:space="preserve"> </w:t>
      </w:r>
      <w:r w:rsidRPr="00D3044B">
        <w:rPr>
          <w:lang w:val="en-GB"/>
        </w:rPr>
        <w:t>months</w:t>
      </w:r>
      <w:r w:rsidR="00F516F7">
        <w:rPr>
          <w:lang w:val="en-GB"/>
        </w:rPr>
        <w:t xml:space="preserve">. </w:t>
      </w:r>
      <w:r>
        <w:rPr>
          <w:lang w:val="en-GB"/>
        </w:rPr>
        <w:t>T</w:t>
      </w:r>
      <w:r w:rsidRPr="00246E9E">
        <w:rPr>
          <w:lang w:val="en-GB"/>
        </w:rPr>
        <w:t>he recommended shipping temperature is +2°C to +15°C (for a period of up to 24 days)</w:t>
      </w:r>
      <w:r w:rsidR="00F516F7">
        <w:rPr>
          <w:lang w:val="en-GB"/>
        </w:rPr>
        <w:t xml:space="preserve">. </w:t>
      </w:r>
      <w:r w:rsidRPr="00285549">
        <w:t xml:space="preserve">To further support this shipping temperature, the Sponsor has </w:t>
      </w:r>
      <w:r w:rsidRPr="00285549">
        <w:rPr>
          <w:lang w:val="en-GB"/>
        </w:rPr>
        <w:t>commit</w:t>
      </w:r>
      <w:r>
        <w:rPr>
          <w:lang w:val="en-GB"/>
        </w:rPr>
        <w:t>ted</w:t>
      </w:r>
      <w:r w:rsidRPr="00285549">
        <w:rPr>
          <w:lang w:val="en-GB"/>
        </w:rPr>
        <w:t xml:space="preserve"> to submit the final results from the ongoing Definitive Shipping study and the Temperature Cycling study to the TGA via a Category 3 variation application</w:t>
      </w:r>
      <w:r>
        <w:rPr>
          <w:lang w:val="en-GB"/>
        </w:rPr>
        <w:t xml:space="preserve"> and to report any confirmed out-of-specification results in these studies immediately to the TGA.</w:t>
      </w:r>
    </w:p>
    <w:p w14:paraId="334CC744" w14:textId="0A38F086" w:rsidR="007105E8" w:rsidRPr="00425205" w:rsidRDefault="007105E8" w:rsidP="007105E8">
      <w:pPr>
        <w:rPr>
          <w:i/>
          <w:color w:val="7295D2" w:themeColor="accent1" w:themeTint="BF"/>
        </w:rPr>
      </w:pPr>
      <w:r>
        <w:rPr>
          <w:bCs/>
        </w:rPr>
        <w:t xml:space="preserve">There is no </w:t>
      </w:r>
      <w:r w:rsidRPr="005E6018">
        <w:rPr>
          <w:bCs/>
        </w:rPr>
        <w:t xml:space="preserve">objection from a </w:t>
      </w:r>
      <w:r>
        <w:rPr>
          <w:bCs/>
        </w:rPr>
        <w:t xml:space="preserve">manufacturing and </w:t>
      </w:r>
      <w:r w:rsidRPr="005E6018">
        <w:rPr>
          <w:bCs/>
        </w:rPr>
        <w:t>quality</w:t>
      </w:r>
      <w:r>
        <w:rPr>
          <w:bCs/>
        </w:rPr>
        <w:t xml:space="preserve"> </w:t>
      </w:r>
      <w:r w:rsidRPr="005E6018">
        <w:rPr>
          <w:bCs/>
        </w:rPr>
        <w:t xml:space="preserve">perspective to the approval of </w:t>
      </w:r>
      <w:r w:rsidR="00D2553C">
        <w:rPr>
          <w:bCs/>
        </w:rPr>
        <w:t>Ebglyss</w:t>
      </w:r>
      <w:r w:rsidRPr="00187549">
        <w:rPr>
          <w:bCs/>
        </w:rPr>
        <w:t xml:space="preserve"> lebrikizumab 250 mg /2 mL solution for injection autoinjector (</w:t>
      </w:r>
      <w:r w:rsidRPr="00522C4C">
        <w:rPr>
          <w:bCs/>
        </w:rPr>
        <w:t>pre-filled pen).</w:t>
      </w:r>
    </w:p>
    <w:p w14:paraId="2BE90AAE" w14:textId="4A04C71C" w:rsidR="00C22214" w:rsidRDefault="00C22214" w:rsidP="00C22214">
      <w:pPr>
        <w:pStyle w:val="Heading3"/>
      </w:pPr>
      <w:bookmarkStart w:id="32" w:name="_Toc314842512"/>
      <w:bookmarkStart w:id="33" w:name="_Toc103679296"/>
      <w:bookmarkStart w:id="34" w:name="_Toc180416238"/>
      <w:r>
        <w:t>Nonclinical</w:t>
      </w:r>
      <w:bookmarkEnd w:id="32"/>
      <w:bookmarkEnd w:id="33"/>
      <w:r w:rsidR="00F956CF">
        <w:t xml:space="preserve"> (toxicology) </w:t>
      </w:r>
      <w:r w:rsidR="00F956CF" w:rsidRPr="00F956CF">
        <w:t>evaluation summary</w:t>
      </w:r>
      <w:bookmarkEnd w:id="34"/>
    </w:p>
    <w:p w14:paraId="0F05D4F9" w14:textId="3C145C93" w:rsidR="007105E8" w:rsidRDefault="007105E8" w:rsidP="007105E8">
      <w:r w:rsidRPr="00762136">
        <w:t>The submitted Module 4 dossier was in accordance with the relevant ICH guideline for the non</w:t>
      </w:r>
      <w:r>
        <w:t>-</w:t>
      </w:r>
      <w:r w:rsidRPr="00762136">
        <w:t>clinical assessment of biological medicines (ICH S6[R1])</w:t>
      </w:r>
      <w:r>
        <w:rPr>
          <w:rStyle w:val="FootnoteReference"/>
        </w:rPr>
        <w:footnoteReference w:id="4"/>
      </w:r>
      <w:r w:rsidR="00F516F7">
        <w:t xml:space="preserve">. </w:t>
      </w:r>
      <w:r w:rsidRPr="00762136">
        <w:t xml:space="preserve">The overall quality of the </w:t>
      </w:r>
      <w:r w:rsidRPr="00E8039B">
        <w:t>non</w:t>
      </w:r>
      <w:r>
        <w:t>-</w:t>
      </w:r>
      <w:r w:rsidRPr="00E8039B">
        <w:t>clinical dossier was adequate</w:t>
      </w:r>
      <w:r w:rsidR="00F516F7">
        <w:t xml:space="preserve">. </w:t>
      </w:r>
      <w:r w:rsidRPr="00E8039B">
        <w:t xml:space="preserve">All pivotal safety-related studies were GLP compliant. </w:t>
      </w:r>
    </w:p>
    <w:p w14:paraId="6DC81C03" w14:textId="3B95C374" w:rsidR="007105E8" w:rsidRPr="00E8039B" w:rsidRDefault="007105E8" w:rsidP="007105E8">
      <w:r>
        <w:rPr>
          <w:kern w:val="2"/>
        </w:rPr>
        <w:t>M</w:t>
      </w:r>
      <w:r w:rsidRPr="0074756E">
        <w:rPr>
          <w:kern w:val="2"/>
        </w:rPr>
        <w:t xml:space="preserve">ost </w:t>
      </w:r>
      <w:r>
        <w:rPr>
          <w:kern w:val="2"/>
        </w:rPr>
        <w:t xml:space="preserve">of the </w:t>
      </w:r>
      <w:r w:rsidRPr="0074756E">
        <w:rPr>
          <w:kern w:val="2"/>
        </w:rPr>
        <w:t>toxicity studies were conducted with early manufacturing batches of the drug</w:t>
      </w:r>
      <w:r w:rsidR="00F516F7">
        <w:rPr>
          <w:kern w:val="2"/>
        </w:rPr>
        <w:t xml:space="preserve">. </w:t>
      </w:r>
      <w:r w:rsidRPr="0074756E">
        <w:t>The comparability between the early and commercial manufacturing processes was not fully demonstrated</w:t>
      </w:r>
      <w:r>
        <w:t xml:space="preserve"> in the Module 4 data, and the evaluator recommended that comparability needs to be adequately demonstrated by Module 3 data</w:t>
      </w:r>
      <w:r w:rsidR="00F516F7">
        <w:t xml:space="preserve">. </w:t>
      </w:r>
      <w:r>
        <w:t>This</w:t>
      </w:r>
      <w:r w:rsidRPr="006845E3">
        <w:t xml:space="preserve"> </w:t>
      </w:r>
      <w:r>
        <w:t>has been satisfactorily addressed</w:t>
      </w:r>
      <w:r w:rsidRPr="006845E3">
        <w:t xml:space="preserve"> </w:t>
      </w:r>
      <w:r>
        <w:t>in the Module 3 evaluation</w:t>
      </w:r>
      <w:r w:rsidRPr="0074756E">
        <w:t>.</w:t>
      </w:r>
    </w:p>
    <w:p w14:paraId="30E78AD7" w14:textId="6357B673" w:rsidR="007105E8" w:rsidRPr="00D41FE9" w:rsidRDefault="007105E8" w:rsidP="007105E8">
      <w:r w:rsidRPr="0074756E">
        <w:t>Primary pharmacology studies indicate that lebrikizumab is a relatively specific anti-IL-13 m</w:t>
      </w:r>
      <w:r>
        <w:t>onoclonal antibody</w:t>
      </w:r>
      <w:r w:rsidR="00F516F7">
        <w:t xml:space="preserve">. </w:t>
      </w:r>
      <w:r w:rsidRPr="0074756E">
        <w:t xml:space="preserve">However, direct evidence to support the proposed indication of atopic dermatitis is </w:t>
      </w:r>
      <w:r>
        <w:t>absent</w:t>
      </w:r>
      <w:r w:rsidR="00F516F7">
        <w:t xml:space="preserve">. </w:t>
      </w:r>
      <w:r w:rsidRPr="00D41FE9">
        <w:t>No off-target sites were identified in a panel of human tissues</w:t>
      </w:r>
      <w:r w:rsidR="00F516F7">
        <w:t xml:space="preserve">. </w:t>
      </w:r>
      <w:r w:rsidRPr="00D41FE9">
        <w:t>Lebrikizumab is not expected to induce complement dependent cytotoxicity or antibody dependent cellular cytotoxicity.</w:t>
      </w:r>
    </w:p>
    <w:p w14:paraId="3DC61560" w14:textId="0942A446" w:rsidR="007105E8" w:rsidRPr="00D41FE9" w:rsidRDefault="007105E8" w:rsidP="007105E8">
      <w:r w:rsidRPr="00D41FE9">
        <w:t xml:space="preserve">Safety pharmacology examinations incorporated in general repeat-dose toxicity studies in monkeys revealed no effects of lebrikizumab on </w:t>
      </w:r>
      <w:r w:rsidR="00524143">
        <w:t>the central nervous system</w:t>
      </w:r>
      <w:r w:rsidRPr="00D41FE9">
        <w:t xml:space="preserve">, respiratory function, or cardiovascular endpoints. </w:t>
      </w:r>
    </w:p>
    <w:p w14:paraId="732ED159" w14:textId="77777777" w:rsidR="007105E8" w:rsidRPr="00D41FE9" w:rsidRDefault="007105E8" w:rsidP="007105E8">
      <w:r w:rsidRPr="00D41FE9">
        <w:t xml:space="preserve">The </w:t>
      </w:r>
      <w:r>
        <w:t>pharmacokinetics</w:t>
      </w:r>
      <w:r w:rsidRPr="00D41FE9">
        <w:t xml:space="preserve"> of lebrikizumab in monkeys and human subjects was generally consistent with the protein nature of the drug and was characterised by long half-lives and limited distribution.</w:t>
      </w:r>
    </w:p>
    <w:p w14:paraId="66223C7D" w14:textId="77777777" w:rsidR="007105E8" w:rsidRPr="00AD27FB" w:rsidRDefault="007105E8" w:rsidP="007105E8">
      <w:r w:rsidRPr="00D41FE9">
        <w:t>Lebrikizumab had a low order of acute toxicity in monkeys.</w:t>
      </w:r>
    </w:p>
    <w:p w14:paraId="4A777CAC" w14:textId="7929888F" w:rsidR="007105E8" w:rsidRPr="0074756E" w:rsidRDefault="007105E8" w:rsidP="007105E8">
      <w:r w:rsidRPr="0074756E">
        <w:t>Repeat-dose toxicity studies by the SC and IV route were conducted in sexually immature cynomolgus monkeys (up to 9 months)</w:t>
      </w:r>
      <w:r w:rsidR="00F516F7">
        <w:t xml:space="preserve">. </w:t>
      </w:r>
      <w:r w:rsidRPr="0074756E">
        <w:t>The studies in adolescent animals were adequately conducted, achieving sufficient relative exposures</w:t>
      </w:r>
      <w:r w:rsidR="00F516F7">
        <w:t xml:space="preserve">. </w:t>
      </w:r>
      <w:r w:rsidRPr="0074756E">
        <w:t xml:space="preserve">Repeat-dose toxicity endpoints in adult monkeys were sourced from single sex, surrogate fertility studies of comparable duration and dose strength. No target organs for toxicity were identified in adult animals. In adolescent monkeys lower uterine weights were observed, but apart from this finding, lebrikizumab was generally well tolerated. </w:t>
      </w:r>
    </w:p>
    <w:p w14:paraId="64F6B696" w14:textId="14C6B4FF" w:rsidR="007105E8" w:rsidRPr="007105E8" w:rsidRDefault="007105E8" w:rsidP="007105E8">
      <w:r w:rsidRPr="007105E8">
        <w:t>No genotoxicity studies were conducted</w:t>
      </w:r>
      <w:r w:rsidR="00F516F7">
        <w:t xml:space="preserve">. </w:t>
      </w:r>
      <w:r w:rsidRPr="007105E8">
        <w:t>Given the protein nature of the drug this is considered acceptable</w:t>
      </w:r>
      <w:r w:rsidR="00F516F7">
        <w:t xml:space="preserve">. </w:t>
      </w:r>
      <w:r w:rsidRPr="007105E8">
        <w:t>The Sponsor submitted a carcinogenicity risk assessment based on literature data for IL-13</w:t>
      </w:r>
      <w:r w:rsidR="00F516F7">
        <w:t xml:space="preserve">. </w:t>
      </w:r>
      <w:r w:rsidRPr="007105E8">
        <w:t xml:space="preserve">Lebrikizumab is unlikely to convey an increased risk of cancer. </w:t>
      </w:r>
    </w:p>
    <w:p w14:paraId="67C78C1B" w14:textId="77777777" w:rsidR="007105E8" w:rsidRPr="00AD27FB" w:rsidRDefault="007105E8" w:rsidP="007105E8">
      <w:r w:rsidRPr="00AD27FB">
        <w:t xml:space="preserve">Reproductive and development studies performed in cynomolgus monkeys revealed no effects on male or female fertility surrogate endpoints, and no obvious treatment-related adverse effects on embryofetal or postnatal development. </w:t>
      </w:r>
    </w:p>
    <w:p w14:paraId="6D56CC0F" w14:textId="77777777" w:rsidR="007105E8" w:rsidRPr="0074756E" w:rsidRDefault="007105E8" w:rsidP="007105E8">
      <w:r w:rsidRPr="0074756E">
        <w:t xml:space="preserve">Lebrikizumab was well tolerated locally in monkeys following SC administration. Given the pharmacological action of the drug, an increased susceptibility to infections cannot be completely excluded. </w:t>
      </w:r>
    </w:p>
    <w:p w14:paraId="35DF5D00" w14:textId="280215F7" w:rsidR="007105E8" w:rsidRPr="0074756E" w:rsidRDefault="007105E8" w:rsidP="007105E8">
      <w:bookmarkStart w:id="35" w:name="_Hlk147848498"/>
      <w:r w:rsidRPr="0074756E">
        <w:t>No clinically relevant toxicities were identified in adult animals</w:t>
      </w:r>
      <w:r w:rsidR="00F516F7">
        <w:t xml:space="preserve">. </w:t>
      </w:r>
      <w:r w:rsidRPr="0074756E">
        <w:t xml:space="preserve">In sexually immature animals the effect of the drug on impaired uterus development cannot be unequivocally </w:t>
      </w:r>
      <w:r w:rsidR="00820A97" w:rsidRPr="0074756E">
        <w:t>excluded</w:t>
      </w:r>
      <w:r w:rsidR="00820A97">
        <w:t xml:space="preserve"> but</w:t>
      </w:r>
      <w:r>
        <w:t xml:space="preserve"> is not considered adverse</w:t>
      </w:r>
      <w:r w:rsidR="00F516F7">
        <w:t xml:space="preserve">. </w:t>
      </w:r>
      <w:r w:rsidRPr="0074756E">
        <w:t>In the absence of any maternal or fetal effects in adequately conducted embryofetal development and pre- and post</w:t>
      </w:r>
      <w:r>
        <w:t>-</w:t>
      </w:r>
      <w:r w:rsidRPr="0074756E">
        <w:t xml:space="preserve">natal development studies in cynomolgus monkeys, Pregnancy Category B1 is considered appropriate for this product. </w:t>
      </w:r>
    </w:p>
    <w:bookmarkEnd w:id="35"/>
    <w:p w14:paraId="54FFA516" w14:textId="4CC98A4C" w:rsidR="007105E8" w:rsidRPr="0074756E" w:rsidRDefault="007105E8" w:rsidP="007105E8">
      <w:r>
        <w:t>The</w:t>
      </w:r>
      <w:r w:rsidRPr="0074756E">
        <w:t>re are no non</w:t>
      </w:r>
      <w:r>
        <w:t>-</w:t>
      </w:r>
      <w:r w:rsidRPr="0074756E">
        <w:t>clinical objections to the registration of lebrikizumab</w:t>
      </w:r>
      <w:r w:rsidR="00F516F7">
        <w:t xml:space="preserve">. </w:t>
      </w:r>
      <w:r w:rsidRPr="0074756E">
        <w:t>The</w:t>
      </w:r>
      <w:r>
        <w:t xml:space="preserve"> proposed Product Information is acceptable from a non-clinical perspective. </w:t>
      </w:r>
    </w:p>
    <w:p w14:paraId="35B580A5" w14:textId="3ABD1DF1" w:rsidR="00C22214" w:rsidRDefault="00C22214" w:rsidP="008804CF">
      <w:pPr>
        <w:pStyle w:val="Heading3"/>
      </w:pPr>
      <w:bookmarkStart w:id="36" w:name="_Toc247691530"/>
      <w:bookmarkStart w:id="37" w:name="_Toc314842513"/>
      <w:bookmarkStart w:id="38" w:name="_Toc103679297"/>
      <w:bookmarkStart w:id="39" w:name="_Toc180416239"/>
      <w:r>
        <w:t>Clinical</w:t>
      </w:r>
      <w:bookmarkEnd w:id="36"/>
      <w:bookmarkEnd w:id="37"/>
      <w:bookmarkEnd w:id="38"/>
      <w:r w:rsidR="00F956CF">
        <w:t xml:space="preserve"> </w:t>
      </w:r>
      <w:r w:rsidR="00F956CF" w:rsidRPr="00F956CF">
        <w:t>evaluation summary</w:t>
      </w:r>
      <w:bookmarkEnd w:id="39"/>
    </w:p>
    <w:p w14:paraId="32B0DEDA" w14:textId="77777777" w:rsidR="00C22214" w:rsidRDefault="00C22214" w:rsidP="00496592">
      <w:pPr>
        <w:pStyle w:val="Heading5"/>
      </w:pPr>
      <w:bookmarkStart w:id="40" w:name="_Toc98931928"/>
      <w:r>
        <w:t>Summary of clinical studies</w:t>
      </w:r>
      <w:bookmarkEnd w:id="40"/>
    </w:p>
    <w:p w14:paraId="3B89667D" w14:textId="77777777" w:rsidR="007105E8" w:rsidRPr="007105E8" w:rsidRDefault="007105E8" w:rsidP="007105E8">
      <w:r w:rsidRPr="007105E8">
        <w:t>Clinical studies submitted with the initial application included:</w:t>
      </w:r>
    </w:p>
    <w:p w14:paraId="212DAB0B" w14:textId="3788B132" w:rsidR="007105E8" w:rsidRPr="007105E8" w:rsidRDefault="007105E8" w:rsidP="00F516F7">
      <w:pPr>
        <w:pStyle w:val="ListBullet"/>
      </w:pPr>
      <w:r w:rsidRPr="007105E8">
        <w:t>7 Phase 1 clinical pharmacology studies (</w:t>
      </w:r>
      <w:r w:rsidRPr="000243DD">
        <w:t xml:space="preserve">Table 3) </w:t>
      </w:r>
      <w:r w:rsidRPr="007105E8">
        <w:t>in healthy volunteers (KGBB, KGBA, KGAZ, KGAY, KGBG, KGAM) and in patients with mild intermittent asthma (KGBF).</w:t>
      </w:r>
    </w:p>
    <w:p w14:paraId="70079278" w14:textId="671AB619" w:rsidR="007105E8" w:rsidRPr="007105E8" w:rsidRDefault="007105E8" w:rsidP="00F516F7">
      <w:pPr>
        <w:pStyle w:val="ListBullet"/>
      </w:pPr>
      <w:r w:rsidRPr="007105E8">
        <w:t>3 Phase 2 studies in adults with AD: KGAG, KGAH, KGAF (</w:t>
      </w:r>
      <w:r w:rsidRPr="000243DD">
        <w:t>Table 4</w:t>
      </w:r>
      <w:r w:rsidRPr="007105E8">
        <w:t>).</w:t>
      </w:r>
    </w:p>
    <w:p w14:paraId="6D8AFEC0" w14:textId="1C956891" w:rsidR="007105E8" w:rsidRPr="007105E8" w:rsidRDefault="007105E8" w:rsidP="00F516F7">
      <w:pPr>
        <w:pStyle w:val="ListBullet"/>
      </w:pPr>
      <w:r w:rsidRPr="007105E8">
        <w:t>3 pivotal Phase 3 clinical efficacy and safety studies in adults and adolescents with AD: KGAB, KGAC, KGAD (</w:t>
      </w:r>
      <w:r w:rsidRPr="000243DD">
        <w:t>Table 5</w:t>
      </w:r>
      <w:r w:rsidRPr="007105E8">
        <w:t>).</w:t>
      </w:r>
    </w:p>
    <w:p w14:paraId="085C0104" w14:textId="77777777" w:rsidR="007105E8" w:rsidRPr="007105E8" w:rsidRDefault="007105E8" w:rsidP="00F516F7">
      <w:pPr>
        <w:pStyle w:val="ListBullet"/>
      </w:pPr>
      <w:r w:rsidRPr="007105E8">
        <w:t>a completed open-label Phase 3 study: KGAE.</w:t>
      </w:r>
    </w:p>
    <w:p w14:paraId="4C9FB445" w14:textId="77777777" w:rsidR="007105E8" w:rsidRPr="007105E8" w:rsidRDefault="007105E8" w:rsidP="00F516F7">
      <w:pPr>
        <w:pStyle w:val="ListBullet"/>
      </w:pPr>
      <w:r w:rsidRPr="007105E8">
        <w:t>an ongoing Phase 3 long-term extension study: KGAA.</w:t>
      </w:r>
    </w:p>
    <w:p w14:paraId="25D38F4A" w14:textId="77777777" w:rsidR="007105E8" w:rsidRPr="007105E8" w:rsidRDefault="007105E8" w:rsidP="00F516F7">
      <w:pPr>
        <w:pStyle w:val="ListBullet"/>
      </w:pPr>
      <w:r w:rsidRPr="007105E8">
        <w:t>Population PK and PK-PD (exposure-response) analyses.</w:t>
      </w:r>
    </w:p>
    <w:p w14:paraId="06DC79F0" w14:textId="06E303BA" w:rsidR="000243DD" w:rsidRDefault="007105E8">
      <w:pPr>
        <w:rPr>
          <w:rFonts w:eastAsia="Cambria" w:cs="Times New Roman"/>
          <w:b/>
          <w:szCs w:val="22"/>
        </w:rPr>
      </w:pPr>
      <w:r w:rsidRPr="007105E8">
        <w:t>In addition, two completed, non-pivotal, supportive Phase 3 studies (KGAK, KGAL) were submitted during the course of the clinical evaluation providing additional safety data</w:t>
      </w:r>
      <w:r w:rsidR="00F516F7">
        <w:t xml:space="preserve">. </w:t>
      </w:r>
      <w:r w:rsidRPr="007105E8">
        <w:t>The proposed commercial formulation was used in all AD clinical trials</w:t>
      </w:r>
      <w:r w:rsidR="00F516F7">
        <w:t xml:space="preserve">. </w:t>
      </w:r>
      <w:r w:rsidRPr="007105E8">
        <w:t xml:space="preserve">The clinical evaluator has no objection to the registration of </w:t>
      </w:r>
      <w:r w:rsidR="00D2553C">
        <w:t>Ebglyss</w:t>
      </w:r>
      <w:r w:rsidRPr="007105E8">
        <w:t xml:space="preserve"> in the proposed indication.</w:t>
      </w:r>
      <w:bookmarkStart w:id="41" w:name="_Ref145940829"/>
    </w:p>
    <w:p w14:paraId="4A71FC72" w14:textId="5578658B" w:rsidR="007105E8" w:rsidRDefault="007105E8" w:rsidP="007105E8">
      <w:pPr>
        <w:pStyle w:val="TableTitle"/>
      </w:pPr>
      <w:r>
        <w:t xml:space="preserve">Table </w:t>
      </w:r>
      <w:bookmarkEnd w:id="41"/>
      <w:r>
        <w:t>3. Lebrikizumab Phase 1 Clinical Pharmacology Studies</w:t>
      </w:r>
    </w:p>
    <w:tbl>
      <w:tblPr>
        <w:tblStyle w:val="TableGrid"/>
        <w:tblW w:w="9085" w:type="dxa"/>
        <w:tblLook w:val="04A0" w:firstRow="1" w:lastRow="0" w:firstColumn="1" w:lastColumn="0" w:noHBand="0" w:noVBand="1"/>
      </w:tblPr>
      <w:tblGrid>
        <w:gridCol w:w="704"/>
        <w:gridCol w:w="1933"/>
        <w:gridCol w:w="1446"/>
        <w:gridCol w:w="4200"/>
        <w:gridCol w:w="802"/>
      </w:tblGrid>
      <w:tr w:rsidR="00EB765F" w:rsidRPr="00EB765F" w14:paraId="26AFAB74" w14:textId="77777777" w:rsidTr="00A6545C">
        <w:tc>
          <w:tcPr>
            <w:tcW w:w="704" w:type="dxa"/>
            <w:shd w:val="clear" w:color="auto" w:fill="EBF0F9" w:themeFill="accent1" w:themeFillTint="1A"/>
          </w:tcPr>
          <w:p w14:paraId="11EE8FDD" w14:textId="77777777" w:rsidR="007105E8" w:rsidRPr="00EB765F" w:rsidRDefault="007105E8" w:rsidP="000E4642">
            <w:pPr>
              <w:keepNext/>
              <w:spacing w:before="80" w:after="40" w:line="264" w:lineRule="auto"/>
              <w:ind w:left="113"/>
              <w:rPr>
                <w:szCs w:val="22"/>
              </w:rPr>
            </w:pPr>
            <w:r w:rsidRPr="00EB765F">
              <w:rPr>
                <w:b/>
                <w:color w:val="263287"/>
                <w:szCs w:val="22"/>
              </w:rPr>
              <w:t>ID</w:t>
            </w:r>
          </w:p>
        </w:tc>
        <w:tc>
          <w:tcPr>
            <w:tcW w:w="1933" w:type="dxa"/>
            <w:shd w:val="clear" w:color="auto" w:fill="EBF0F9" w:themeFill="accent1" w:themeFillTint="1A"/>
          </w:tcPr>
          <w:p w14:paraId="0811BAB9" w14:textId="77777777" w:rsidR="007105E8" w:rsidRPr="00EB765F" w:rsidRDefault="007105E8" w:rsidP="000E4642">
            <w:pPr>
              <w:keepNext/>
              <w:spacing w:before="80" w:after="40" w:line="264" w:lineRule="auto"/>
              <w:ind w:left="113"/>
              <w:rPr>
                <w:szCs w:val="22"/>
              </w:rPr>
            </w:pPr>
            <w:r w:rsidRPr="00EB765F">
              <w:rPr>
                <w:b/>
                <w:color w:val="263287"/>
                <w:szCs w:val="22"/>
              </w:rPr>
              <w:t xml:space="preserve">Description </w:t>
            </w:r>
          </w:p>
        </w:tc>
        <w:tc>
          <w:tcPr>
            <w:tcW w:w="1446" w:type="dxa"/>
            <w:shd w:val="clear" w:color="auto" w:fill="EBF0F9" w:themeFill="accent1" w:themeFillTint="1A"/>
          </w:tcPr>
          <w:p w14:paraId="2B350FD8" w14:textId="4812C380" w:rsidR="007105E8" w:rsidRPr="00EB765F" w:rsidRDefault="00EB765F" w:rsidP="000E4642">
            <w:pPr>
              <w:keepNext/>
              <w:spacing w:before="80" w:after="40" w:line="264" w:lineRule="auto"/>
              <w:ind w:left="113"/>
              <w:rPr>
                <w:szCs w:val="22"/>
              </w:rPr>
            </w:pPr>
            <w:r>
              <w:rPr>
                <w:b/>
                <w:color w:val="263287"/>
                <w:szCs w:val="22"/>
              </w:rPr>
              <w:t>Population</w:t>
            </w:r>
          </w:p>
        </w:tc>
        <w:tc>
          <w:tcPr>
            <w:tcW w:w="4200" w:type="dxa"/>
            <w:shd w:val="clear" w:color="auto" w:fill="EBF0F9" w:themeFill="accent1" w:themeFillTint="1A"/>
          </w:tcPr>
          <w:p w14:paraId="2DAD93A2" w14:textId="77777777" w:rsidR="007105E8" w:rsidRPr="00EB765F" w:rsidRDefault="007105E8" w:rsidP="000E4642">
            <w:pPr>
              <w:keepNext/>
              <w:spacing w:before="80" w:after="40" w:line="264" w:lineRule="auto"/>
              <w:ind w:left="113"/>
              <w:rPr>
                <w:b/>
                <w:color w:val="263287"/>
                <w:szCs w:val="22"/>
              </w:rPr>
            </w:pPr>
            <w:r w:rsidRPr="00EB765F">
              <w:rPr>
                <w:b/>
                <w:color w:val="263287"/>
                <w:szCs w:val="22"/>
              </w:rPr>
              <w:t xml:space="preserve">Dosing Regimen </w:t>
            </w:r>
          </w:p>
        </w:tc>
        <w:tc>
          <w:tcPr>
            <w:tcW w:w="802" w:type="dxa"/>
            <w:shd w:val="clear" w:color="auto" w:fill="EBF0F9" w:themeFill="accent1" w:themeFillTint="1A"/>
          </w:tcPr>
          <w:p w14:paraId="7705703C" w14:textId="77777777" w:rsidR="007105E8" w:rsidRPr="00EB765F" w:rsidRDefault="007105E8" w:rsidP="000E4642">
            <w:pPr>
              <w:keepNext/>
              <w:spacing w:before="80" w:after="40" w:line="264" w:lineRule="auto"/>
              <w:ind w:left="113"/>
              <w:rPr>
                <w:szCs w:val="22"/>
              </w:rPr>
            </w:pPr>
            <w:r w:rsidRPr="00EB765F">
              <w:rPr>
                <w:b/>
                <w:color w:val="263287"/>
                <w:szCs w:val="22"/>
              </w:rPr>
              <w:t xml:space="preserve">N </w:t>
            </w:r>
          </w:p>
        </w:tc>
      </w:tr>
      <w:tr w:rsidR="00EB765F" w:rsidRPr="00EB765F" w14:paraId="05FFC3E8" w14:textId="77777777" w:rsidTr="00A6545C">
        <w:tc>
          <w:tcPr>
            <w:tcW w:w="704" w:type="dxa"/>
          </w:tcPr>
          <w:p w14:paraId="3C514C25"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 xml:space="preserve">KGBB </w:t>
            </w:r>
          </w:p>
        </w:tc>
        <w:tc>
          <w:tcPr>
            <w:tcW w:w="1933" w:type="dxa"/>
          </w:tcPr>
          <w:p w14:paraId="15E2FA77" w14:textId="77777777" w:rsidR="007105E8" w:rsidRPr="00EB765F" w:rsidRDefault="007105E8" w:rsidP="002F4307">
            <w:pPr>
              <w:autoSpaceDE w:val="0"/>
              <w:autoSpaceDN w:val="0"/>
              <w:adjustRightInd w:val="0"/>
              <w:spacing w:beforeLines="40" w:before="96" w:afterLines="40" w:after="96"/>
              <w:rPr>
                <w:rFonts w:eastAsiaTheme="minorHAnsi" w:cs="Calibri"/>
                <w:sz w:val="18"/>
                <w:szCs w:val="18"/>
              </w:rPr>
            </w:pPr>
            <w:r w:rsidRPr="00EB765F">
              <w:rPr>
                <w:rFonts w:eastAsiaTheme="minorHAnsi" w:cs="Calibri"/>
                <w:sz w:val="18"/>
                <w:szCs w:val="18"/>
              </w:rPr>
              <w:t>Single-ascending dose, safety, tolerability, PK</w:t>
            </w:r>
          </w:p>
        </w:tc>
        <w:tc>
          <w:tcPr>
            <w:tcW w:w="1446" w:type="dxa"/>
          </w:tcPr>
          <w:p w14:paraId="3FAF6499"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HV</w:t>
            </w:r>
          </w:p>
        </w:tc>
        <w:tc>
          <w:tcPr>
            <w:tcW w:w="4200" w:type="dxa"/>
          </w:tcPr>
          <w:p w14:paraId="46B3125B" w14:textId="77777777" w:rsidR="007105E8" w:rsidRPr="00EB765F" w:rsidRDefault="007105E8" w:rsidP="002F4307">
            <w:pPr>
              <w:spacing w:beforeLines="40" w:before="96" w:afterLines="40" w:after="96"/>
              <w:rPr>
                <w:rFonts w:eastAsiaTheme="minorHAnsi" w:cs="Calibri"/>
                <w:sz w:val="18"/>
                <w:szCs w:val="18"/>
              </w:rPr>
            </w:pPr>
            <w:r w:rsidRPr="00EB765F">
              <w:rPr>
                <w:rFonts w:eastAsiaTheme="minorHAnsi" w:cs="Calibri"/>
                <w:sz w:val="18"/>
                <w:szCs w:val="18"/>
              </w:rPr>
              <w:t>LEB/PBO bolus IVI over 15 minutes for 5 groups: 0.1 mg/kg; 0.3 mg/kg; 1.0 mg/kg; 3.0 mg/kg; or 5.0 mg/kg</w:t>
            </w:r>
          </w:p>
        </w:tc>
        <w:tc>
          <w:tcPr>
            <w:tcW w:w="802" w:type="dxa"/>
          </w:tcPr>
          <w:p w14:paraId="5ED3FF8E"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41</w:t>
            </w:r>
          </w:p>
        </w:tc>
      </w:tr>
      <w:tr w:rsidR="00EB765F" w:rsidRPr="00EB765F" w14:paraId="1C7585D0" w14:textId="77777777" w:rsidTr="00A6545C">
        <w:tc>
          <w:tcPr>
            <w:tcW w:w="704" w:type="dxa"/>
          </w:tcPr>
          <w:p w14:paraId="400B3C2D"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 xml:space="preserve">KGBF </w:t>
            </w:r>
          </w:p>
        </w:tc>
        <w:tc>
          <w:tcPr>
            <w:tcW w:w="1933" w:type="dxa"/>
          </w:tcPr>
          <w:p w14:paraId="0A105A3A" w14:textId="77777777" w:rsidR="007105E8" w:rsidRPr="00EB765F" w:rsidRDefault="007105E8" w:rsidP="002F4307">
            <w:pPr>
              <w:autoSpaceDE w:val="0"/>
              <w:autoSpaceDN w:val="0"/>
              <w:adjustRightInd w:val="0"/>
              <w:spacing w:beforeLines="40" w:before="96" w:afterLines="40" w:after="96"/>
              <w:rPr>
                <w:rFonts w:eastAsiaTheme="minorHAnsi" w:cs="Calibri"/>
                <w:sz w:val="18"/>
                <w:szCs w:val="18"/>
              </w:rPr>
            </w:pPr>
            <w:r w:rsidRPr="00EB765F">
              <w:rPr>
                <w:rFonts w:eastAsiaTheme="minorHAnsi" w:cs="Calibri"/>
                <w:sz w:val="18"/>
                <w:szCs w:val="18"/>
              </w:rPr>
              <w:t>Multiple-ascending dose, safety, tolerability, PK</w:t>
            </w:r>
          </w:p>
        </w:tc>
        <w:tc>
          <w:tcPr>
            <w:tcW w:w="1446" w:type="dxa"/>
          </w:tcPr>
          <w:p w14:paraId="30620850"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Asthma</w:t>
            </w:r>
          </w:p>
        </w:tc>
        <w:tc>
          <w:tcPr>
            <w:tcW w:w="4200" w:type="dxa"/>
          </w:tcPr>
          <w:p w14:paraId="3BE5A31B" w14:textId="77777777" w:rsidR="007105E8" w:rsidRPr="00EB765F" w:rsidRDefault="007105E8" w:rsidP="002F4307">
            <w:pPr>
              <w:autoSpaceDE w:val="0"/>
              <w:autoSpaceDN w:val="0"/>
              <w:adjustRightInd w:val="0"/>
              <w:spacing w:beforeLines="40" w:before="96" w:afterLines="40" w:after="96"/>
              <w:rPr>
                <w:rFonts w:eastAsiaTheme="minorHAnsi" w:cs="Calibri"/>
                <w:sz w:val="18"/>
                <w:szCs w:val="18"/>
              </w:rPr>
            </w:pPr>
            <w:r w:rsidRPr="00EB765F">
              <w:rPr>
                <w:rFonts w:eastAsiaTheme="minorHAnsi" w:cs="Calibri"/>
                <w:sz w:val="18"/>
                <w:szCs w:val="18"/>
              </w:rPr>
              <w:t>LEB/PO bolus IVI over 2-3 to 15 minutes, depending on volume, Q4W for 12 weeks (total of 4 doses) for 3 groups: 0.3 mg/kg; 1.0 mg/kg; or 3.0 mg/kg</w:t>
            </w:r>
          </w:p>
        </w:tc>
        <w:tc>
          <w:tcPr>
            <w:tcW w:w="802" w:type="dxa"/>
          </w:tcPr>
          <w:p w14:paraId="73AF0591" w14:textId="77777777" w:rsidR="007105E8" w:rsidRPr="00EB765F" w:rsidRDefault="007105E8" w:rsidP="002F4307">
            <w:pPr>
              <w:spacing w:beforeLines="40" w:before="96" w:afterLines="40" w:after="96"/>
              <w:rPr>
                <w:rFonts w:cs="Calibri"/>
                <w:sz w:val="18"/>
                <w:szCs w:val="18"/>
                <w:lang w:eastAsia="ja-JP"/>
              </w:rPr>
            </w:pPr>
            <w:r w:rsidRPr="00EB765F">
              <w:rPr>
                <w:rFonts w:eastAsiaTheme="minorHAnsi" w:cs="Calibri"/>
                <w:sz w:val="18"/>
                <w:szCs w:val="18"/>
              </w:rPr>
              <w:t>47</w:t>
            </w:r>
          </w:p>
        </w:tc>
      </w:tr>
      <w:tr w:rsidR="00EB765F" w:rsidRPr="00EB765F" w14:paraId="0C153A86" w14:textId="77777777" w:rsidTr="00A6545C">
        <w:tc>
          <w:tcPr>
            <w:tcW w:w="704" w:type="dxa"/>
          </w:tcPr>
          <w:p w14:paraId="639B3309"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KGBA</w:t>
            </w:r>
          </w:p>
        </w:tc>
        <w:tc>
          <w:tcPr>
            <w:tcW w:w="1933" w:type="dxa"/>
          </w:tcPr>
          <w:p w14:paraId="5401BC21" w14:textId="77777777" w:rsidR="007105E8" w:rsidRPr="00EB765F" w:rsidRDefault="007105E8" w:rsidP="002F4307">
            <w:pPr>
              <w:autoSpaceDE w:val="0"/>
              <w:autoSpaceDN w:val="0"/>
              <w:adjustRightInd w:val="0"/>
              <w:spacing w:beforeLines="40" w:before="96" w:afterLines="40" w:after="96"/>
              <w:rPr>
                <w:rFonts w:eastAsiaTheme="minorHAnsi" w:cs="Calibri"/>
                <w:sz w:val="18"/>
                <w:szCs w:val="18"/>
              </w:rPr>
            </w:pPr>
            <w:r w:rsidRPr="00EB765F">
              <w:rPr>
                <w:rFonts w:eastAsiaTheme="minorHAnsi" w:cs="Calibri"/>
                <w:sz w:val="18"/>
                <w:szCs w:val="18"/>
              </w:rPr>
              <w:t>Single-dose, safety, tolerability, PK</w:t>
            </w:r>
          </w:p>
        </w:tc>
        <w:tc>
          <w:tcPr>
            <w:tcW w:w="1446" w:type="dxa"/>
          </w:tcPr>
          <w:p w14:paraId="619B325A"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HV</w:t>
            </w:r>
          </w:p>
        </w:tc>
        <w:tc>
          <w:tcPr>
            <w:tcW w:w="4200" w:type="dxa"/>
          </w:tcPr>
          <w:p w14:paraId="19E783E9" w14:textId="77777777" w:rsidR="007105E8" w:rsidRPr="00EB765F" w:rsidRDefault="007105E8" w:rsidP="002F4307">
            <w:pPr>
              <w:autoSpaceDE w:val="0"/>
              <w:autoSpaceDN w:val="0"/>
              <w:adjustRightInd w:val="0"/>
              <w:spacing w:beforeLines="40" w:before="96" w:afterLines="40" w:after="96"/>
              <w:rPr>
                <w:rFonts w:eastAsiaTheme="minorHAnsi" w:cs="Calibri"/>
                <w:sz w:val="18"/>
                <w:szCs w:val="18"/>
              </w:rPr>
            </w:pPr>
            <w:r w:rsidRPr="00EB765F">
              <w:rPr>
                <w:rFonts w:eastAsiaTheme="minorHAnsi" w:cs="Calibri"/>
                <w:sz w:val="18"/>
                <w:szCs w:val="18"/>
              </w:rPr>
              <w:t>Two groups: LEB 1 mg/kg bolus IVI over ~ 15 minutes; or LEB  1 mg/kg SC by syringe</w:t>
            </w:r>
          </w:p>
        </w:tc>
        <w:tc>
          <w:tcPr>
            <w:tcW w:w="802" w:type="dxa"/>
          </w:tcPr>
          <w:p w14:paraId="61BC339F"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22</w:t>
            </w:r>
          </w:p>
        </w:tc>
      </w:tr>
      <w:tr w:rsidR="00EB765F" w:rsidRPr="00EB765F" w14:paraId="1C0B977D" w14:textId="77777777" w:rsidTr="00A6545C">
        <w:tc>
          <w:tcPr>
            <w:tcW w:w="704" w:type="dxa"/>
          </w:tcPr>
          <w:p w14:paraId="2572DF67"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 xml:space="preserve">KGAZ </w:t>
            </w:r>
          </w:p>
        </w:tc>
        <w:tc>
          <w:tcPr>
            <w:tcW w:w="1933" w:type="dxa"/>
          </w:tcPr>
          <w:p w14:paraId="42F13927" w14:textId="77777777" w:rsidR="007105E8" w:rsidRPr="00EB765F" w:rsidRDefault="007105E8" w:rsidP="002F4307">
            <w:pPr>
              <w:autoSpaceDE w:val="0"/>
              <w:autoSpaceDN w:val="0"/>
              <w:adjustRightInd w:val="0"/>
              <w:spacing w:beforeLines="40" w:before="96" w:afterLines="40" w:after="96"/>
              <w:rPr>
                <w:rFonts w:eastAsiaTheme="minorHAnsi" w:cs="Calibri"/>
                <w:sz w:val="18"/>
                <w:szCs w:val="18"/>
              </w:rPr>
            </w:pPr>
            <w:r w:rsidRPr="00EB765F">
              <w:rPr>
                <w:rFonts w:eastAsiaTheme="minorHAnsi" w:cs="Calibri"/>
                <w:sz w:val="18"/>
                <w:szCs w:val="18"/>
              </w:rPr>
              <w:t>Single-dose, safety, tolerability, PK</w:t>
            </w:r>
          </w:p>
        </w:tc>
        <w:tc>
          <w:tcPr>
            <w:tcW w:w="1446" w:type="dxa"/>
          </w:tcPr>
          <w:p w14:paraId="3B2A52A1"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HV – Japanese/ Caucasian</w:t>
            </w:r>
          </w:p>
        </w:tc>
        <w:tc>
          <w:tcPr>
            <w:tcW w:w="4200" w:type="dxa"/>
          </w:tcPr>
          <w:p w14:paraId="61B0AC93" w14:textId="77777777" w:rsidR="007105E8" w:rsidRPr="00EB765F" w:rsidRDefault="007105E8" w:rsidP="002F4307">
            <w:pPr>
              <w:autoSpaceDE w:val="0"/>
              <w:autoSpaceDN w:val="0"/>
              <w:adjustRightInd w:val="0"/>
              <w:spacing w:beforeLines="40" w:before="96" w:afterLines="40" w:after="96"/>
              <w:rPr>
                <w:rFonts w:cs="Calibri"/>
                <w:sz w:val="18"/>
                <w:szCs w:val="18"/>
                <w:lang w:eastAsia="ja-JP"/>
              </w:rPr>
            </w:pPr>
            <w:r w:rsidRPr="00EB765F">
              <w:rPr>
                <w:rFonts w:cs="Calibri"/>
                <w:sz w:val="18"/>
                <w:szCs w:val="18"/>
                <w:lang w:eastAsia="ja-JP"/>
              </w:rPr>
              <w:t xml:space="preserve">Three groups: LEB </w:t>
            </w:r>
            <w:r w:rsidRPr="00EB765F">
              <w:rPr>
                <w:rFonts w:eastAsiaTheme="minorHAnsi" w:cs="Calibri"/>
                <w:sz w:val="18"/>
                <w:szCs w:val="18"/>
              </w:rPr>
              <w:t xml:space="preserve">125 mg (1 x SC injection of 125 mg); LEB 250 mg (2  x SC injections of 125 mg ); or PBO. </w:t>
            </w:r>
          </w:p>
        </w:tc>
        <w:tc>
          <w:tcPr>
            <w:tcW w:w="802" w:type="dxa"/>
          </w:tcPr>
          <w:p w14:paraId="51D9652F"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 xml:space="preserve">60 </w:t>
            </w:r>
          </w:p>
        </w:tc>
      </w:tr>
      <w:tr w:rsidR="00EB765F" w:rsidRPr="00EB765F" w14:paraId="46088F57" w14:textId="77777777" w:rsidTr="00A6545C">
        <w:tc>
          <w:tcPr>
            <w:tcW w:w="704" w:type="dxa"/>
          </w:tcPr>
          <w:p w14:paraId="03BF60F8"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KGBG</w:t>
            </w:r>
          </w:p>
        </w:tc>
        <w:tc>
          <w:tcPr>
            <w:tcW w:w="1933" w:type="dxa"/>
          </w:tcPr>
          <w:p w14:paraId="5FF7B34D" w14:textId="77777777" w:rsidR="007105E8" w:rsidRPr="00EB765F" w:rsidRDefault="007105E8" w:rsidP="002F4307">
            <w:pPr>
              <w:autoSpaceDE w:val="0"/>
              <w:autoSpaceDN w:val="0"/>
              <w:adjustRightInd w:val="0"/>
              <w:spacing w:beforeLines="40" w:before="96" w:afterLines="40" w:after="96"/>
              <w:rPr>
                <w:rFonts w:eastAsiaTheme="minorHAnsi" w:cs="Calibri"/>
                <w:sz w:val="18"/>
                <w:szCs w:val="18"/>
              </w:rPr>
            </w:pPr>
            <w:r w:rsidRPr="00EB765F">
              <w:rPr>
                <w:rFonts w:eastAsiaTheme="minorHAnsi" w:cs="Calibri"/>
                <w:sz w:val="18"/>
                <w:szCs w:val="18"/>
              </w:rPr>
              <w:t>Single-dose, safety, tolerability, PK, BE (definitive)</w:t>
            </w:r>
            <w:r w:rsidRPr="00EB765F">
              <w:rPr>
                <w:rFonts w:eastAsiaTheme="minorHAnsi" w:cs="Calibri"/>
                <w:b/>
                <w:bCs/>
                <w:sz w:val="18"/>
                <w:szCs w:val="18"/>
              </w:rPr>
              <w:t xml:space="preserve"> </w:t>
            </w:r>
          </w:p>
        </w:tc>
        <w:tc>
          <w:tcPr>
            <w:tcW w:w="1446" w:type="dxa"/>
          </w:tcPr>
          <w:p w14:paraId="3CA68D6E"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 xml:space="preserve">HV </w:t>
            </w:r>
          </w:p>
        </w:tc>
        <w:tc>
          <w:tcPr>
            <w:tcW w:w="4200" w:type="dxa"/>
          </w:tcPr>
          <w:p w14:paraId="5C8C837C" w14:textId="77777777" w:rsidR="007105E8" w:rsidRPr="00EB765F" w:rsidRDefault="007105E8" w:rsidP="002F4307">
            <w:pPr>
              <w:autoSpaceDE w:val="0"/>
              <w:autoSpaceDN w:val="0"/>
              <w:adjustRightInd w:val="0"/>
              <w:spacing w:beforeLines="40" w:before="96" w:afterLines="40" w:after="96"/>
              <w:rPr>
                <w:rFonts w:cs="Calibri"/>
                <w:sz w:val="18"/>
                <w:szCs w:val="18"/>
                <w:lang w:eastAsia="ja-JP"/>
              </w:rPr>
            </w:pPr>
            <w:r w:rsidRPr="00EB765F">
              <w:rPr>
                <w:rFonts w:cs="Calibri"/>
                <w:sz w:val="18"/>
                <w:szCs w:val="18"/>
                <w:lang w:eastAsia="ja-JP"/>
              </w:rPr>
              <w:t xml:space="preserve">Two parallel groups: LEB 250 mg (2 x SC injections of 125 mg/L) via PFS-NSD; or LEB 250 mg (2 x SC injections of 125 mg/mL) via AI </w:t>
            </w:r>
          </w:p>
        </w:tc>
        <w:tc>
          <w:tcPr>
            <w:tcW w:w="802" w:type="dxa"/>
          </w:tcPr>
          <w:p w14:paraId="159D13AD"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241</w:t>
            </w:r>
          </w:p>
        </w:tc>
      </w:tr>
      <w:tr w:rsidR="00EB765F" w:rsidRPr="00EB765F" w14:paraId="5466FFE1" w14:textId="77777777" w:rsidTr="00A6545C">
        <w:tc>
          <w:tcPr>
            <w:tcW w:w="704" w:type="dxa"/>
          </w:tcPr>
          <w:p w14:paraId="516FDEFC"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 xml:space="preserve">KGAY </w:t>
            </w:r>
          </w:p>
        </w:tc>
        <w:tc>
          <w:tcPr>
            <w:tcW w:w="1933" w:type="dxa"/>
          </w:tcPr>
          <w:p w14:paraId="4BCA5658" w14:textId="77777777" w:rsidR="007105E8" w:rsidRPr="00EB765F" w:rsidRDefault="007105E8" w:rsidP="002F4307">
            <w:pPr>
              <w:autoSpaceDE w:val="0"/>
              <w:autoSpaceDN w:val="0"/>
              <w:adjustRightInd w:val="0"/>
              <w:spacing w:beforeLines="40" w:before="96" w:afterLines="40" w:after="96"/>
              <w:rPr>
                <w:rFonts w:eastAsiaTheme="minorHAnsi" w:cs="Calibri"/>
                <w:sz w:val="18"/>
                <w:szCs w:val="18"/>
              </w:rPr>
            </w:pPr>
            <w:r w:rsidRPr="00EB765F">
              <w:rPr>
                <w:rFonts w:eastAsiaTheme="minorHAnsi" w:cs="Calibri"/>
                <w:sz w:val="18"/>
                <w:szCs w:val="18"/>
              </w:rPr>
              <w:t>Single dose, safety, tolerability, PK, “BE” (bridging)</w:t>
            </w:r>
          </w:p>
        </w:tc>
        <w:tc>
          <w:tcPr>
            <w:tcW w:w="1446" w:type="dxa"/>
          </w:tcPr>
          <w:p w14:paraId="2C5F3DEB"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HV</w:t>
            </w:r>
          </w:p>
        </w:tc>
        <w:tc>
          <w:tcPr>
            <w:tcW w:w="4200" w:type="dxa"/>
          </w:tcPr>
          <w:p w14:paraId="5CD732F1" w14:textId="77777777" w:rsidR="007105E8" w:rsidRPr="00EB765F" w:rsidRDefault="007105E8" w:rsidP="002F4307">
            <w:pPr>
              <w:autoSpaceDE w:val="0"/>
              <w:autoSpaceDN w:val="0"/>
              <w:adjustRightInd w:val="0"/>
              <w:spacing w:beforeLines="40" w:before="96" w:afterLines="40" w:after="96"/>
              <w:rPr>
                <w:rFonts w:eastAsiaTheme="minorHAnsi" w:cs="Calibri"/>
                <w:sz w:val="18"/>
                <w:szCs w:val="18"/>
              </w:rPr>
            </w:pPr>
            <w:r w:rsidRPr="00EB765F">
              <w:rPr>
                <w:rFonts w:cs="Calibri"/>
                <w:sz w:val="18"/>
                <w:szCs w:val="18"/>
                <w:lang w:eastAsia="ja-JP"/>
              </w:rPr>
              <w:t xml:space="preserve">Two parallel groups: LEB </w:t>
            </w:r>
            <w:r w:rsidRPr="00EB765F">
              <w:rPr>
                <w:rFonts w:eastAsiaTheme="minorHAnsi" w:cs="Calibri"/>
                <w:sz w:val="18"/>
                <w:szCs w:val="18"/>
              </w:rPr>
              <w:t>37.5 mg (0.3 mL of 125 mg/mL) SC by needle and syringe; or LEB 37.5 mg (1 mL of 37.5 mg/mL) SC by PFS-NSD</w:t>
            </w:r>
          </w:p>
        </w:tc>
        <w:tc>
          <w:tcPr>
            <w:tcW w:w="802" w:type="dxa"/>
          </w:tcPr>
          <w:p w14:paraId="46CA27D5"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176</w:t>
            </w:r>
          </w:p>
        </w:tc>
      </w:tr>
      <w:tr w:rsidR="00EB765F" w:rsidRPr="00EB765F" w14:paraId="645D47E2" w14:textId="77777777" w:rsidTr="00A6545C">
        <w:tc>
          <w:tcPr>
            <w:tcW w:w="704" w:type="dxa"/>
          </w:tcPr>
          <w:p w14:paraId="0E732AFD"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KGAM</w:t>
            </w:r>
          </w:p>
        </w:tc>
        <w:tc>
          <w:tcPr>
            <w:tcW w:w="1933" w:type="dxa"/>
          </w:tcPr>
          <w:p w14:paraId="7344F3FD" w14:textId="77777777" w:rsidR="007105E8" w:rsidRPr="00EB765F" w:rsidRDefault="007105E8" w:rsidP="002F4307">
            <w:pPr>
              <w:autoSpaceDE w:val="0"/>
              <w:autoSpaceDN w:val="0"/>
              <w:adjustRightInd w:val="0"/>
              <w:spacing w:beforeLines="40" w:before="96" w:afterLines="40" w:after="96"/>
              <w:rPr>
                <w:rFonts w:eastAsiaTheme="minorHAnsi" w:cs="Calibri"/>
                <w:sz w:val="18"/>
                <w:szCs w:val="18"/>
              </w:rPr>
            </w:pPr>
            <w:r w:rsidRPr="00EB765F">
              <w:rPr>
                <w:rFonts w:eastAsiaTheme="minorHAnsi" w:cs="Calibri"/>
                <w:sz w:val="18"/>
                <w:szCs w:val="18"/>
              </w:rPr>
              <w:t>Single dose safety, tolerability, PK,</w:t>
            </w:r>
            <w:r w:rsidRPr="00EB765F">
              <w:rPr>
                <w:rFonts w:eastAsiaTheme="minorHAnsi" w:cs="Calibri"/>
                <w:b/>
                <w:bCs/>
                <w:sz w:val="18"/>
                <w:szCs w:val="18"/>
              </w:rPr>
              <w:t xml:space="preserve"> </w:t>
            </w:r>
            <w:r w:rsidRPr="00EB765F">
              <w:rPr>
                <w:rFonts w:eastAsiaTheme="minorHAnsi" w:cs="Calibri"/>
                <w:sz w:val="18"/>
                <w:szCs w:val="18"/>
              </w:rPr>
              <w:t xml:space="preserve">“BE” (bridging) </w:t>
            </w:r>
          </w:p>
        </w:tc>
        <w:tc>
          <w:tcPr>
            <w:tcW w:w="1446" w:type="dxa"/>
          </w:tcPr>
          <w:p w14:paraId="37512713"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HV</w:t>
            </w:r>
          </w:p>
        </w:tc>
        <w:tc>
          <w:tcPr>
            <w:tcW w:w="4200" w:type="dxa"/>
          </w:tcPr>
          <w:p w14:paraId="3F54C89D" w14:textId="77777777" w:rsidR="007105E8" w:rsidRPr="00EB765F" w:rsidRDefault="007105E8" w:rsidP="002F4307">
            <w:pPr>
              <w:autoSpaceDE w:val="0"/>
              <w:autoSpaceDN w:val="0"/>
              <w:adjustRightInd w:val="0"/>
              <w:spacing w:beforeLines="40" w:before="96" w:afterLines="40" w:after="96"/>
              <w:rPr>
                <w:rFonts w:eastAsiaTheme="minorHAnsi" w:cs="Calibri"/>
                <w:sz w:val="18"/>
                <w:szCs w:val="18"/>
              </w:rPr>
            </w:pPr>
            <w:r w:rsidRPr="00EB765F">
              <w:rPr>
                <w:rFonts w:cs="Calibri"/>
                <w:sz w:val="18"/>
                <w:szCs w:val="18"/>
                <w:lang w:eastAsia="ja-JP"/>
              </w:rPr>
              <w:t>Two parallel groups: LEB</w:t>
            </w:r>
            <w:r w:rsidRPr="00EB765F">
              <w:rPr>
                <w:rFonts w:eastAsiaTheme="minorHAnsi" w:cs="Calibri"/>
                <w:sz w:val="18"/>
                <w:szCs w:val="18"/>
              </w:rPr>
              <w:t xml:space="preserve"> 250 mg SC by two 1-mL (125 mg) syringes; or LEB 250 mg SC by one 2-mL (250 mg) syringe</w:t>
            </w:r>
          </w:p>
        </w:tc>
        <w:tc>
          <w:tcPr>
            <w:tcW w:w="802" w:type="dxa"/>
          </w:tcPr>
          <w:p w14:paraId="32A0F82B" w14:textId="77777777" w:rsidR="007105E8" w:rsidRPr="00EB765F" w:rsidRDefault="007105E8" w:rsidP="002F4307">
            <w:pPr>
              <w:spacing w:beforeLines="40" w:before="96" w:afterLines="40" w:after="96"/>
              <w:rPr>
                <w:rFonts w:cs="Calibri"/>
                <w:sz w:val="18"/>
                <w:szCs w:val="18"/>
                <w:lang w:eastAsia="ja-JP"/>
              </w:rPr>
            </w:pPr>
            <w:r w:rsidRPr="00EB765F">
              <w:rPr>
                <w:rFonts w:cs="Calibri"/>
                <w:sz w:val="18"/>
                <w:szCs w:val="18"/>
                <w:lang w:eastAsia="ja-JP"/>
              </w:rPr>
              <w:t>41</w:t>
            </w:r>
          </w:p>
        </w:tc>
      </w:tr>
    </w:tbl>
    <w:p w14:paraId="699BA721" w14:textId="0FB4E7B0" w:rsidR="007105E8" w:rsidRDefault="007105E8" w:rsidP="007105E8">
      <w:pPr>
        <w:pStyle w:val="TableDescription"/>
      </w:pPr>
      <w:r w:rsidRPr="009B33E7">
        <w:rPr>
          <w:lang w:eastAsia="ja-JP"/>
        </w:rPr>
        <w:t>Abbreviations: BE = bioequivalen</w:t>
      </w:r>
      <w:r>
        <w:rPr>
          <w:lang w:eastAsia="ja-JP"/>
        </w:rPr>
        <w:t>ce</w:t>
      </w:r>
      <w:r w:rsidRPr="009B33E7">
        <w:rPr>
          <w:lang w:eastAsia="ja-JP"/>
        </w:rPr>
        <w:t xml:space="preserve">; PopPK = population pharmacokinetic analysis; HV = heathy volunteers; LEB = lebrikizumab; PBO = placebo; IVI = intravenous  infusion; SC = subcutaneous; </w:t>
      </w:r>
      <w:r w:rsidRPr="009B33E7">
        <w:rPr>
          <w:rFonts w:eastAsiaTheme="minorHAnsi"/>
        </w:rPr>
        <w:t xml:space="preserve">PFS-NSD = prefilled syringe with needle safety device; </w:t>
      </w:r>
      <w:r>
        <w:rPr>
          <w:rFonts w:eastAsiaTheme="minorHAnsi"/>
        </w:rPr>
        <w:t xml:space="preserve">AI = autoinjector; </w:t>
      </w:r>
      <w:r w:rsidRPr="009B33E7">
        <w:rPr>
          <w:rFonts w:eastAsiaTheme="minorHAnsi"/>
        </w:rPr>
        <w:t>N = total number of participants randomised; Q4W = every 4 weeks</w:t>
      </w:r>
      <w:r w:rsidR="00F516F7">
        <w:rPr>
          <w:rFonts w:eastAsiaTheme="minorHAnsi"/>
        </w:rPr>
        <w:t xml:space="preserve">. </w:t>
      </w:r>
      <w:r w:rsidRPr="009B33E7">
        <w:rPr>
          <w:lang w:eastAsia="ja-JP"/>
        </w:rPr>
        <w:t>Source: SCP, Table 2.7.2.1 plus CSR, KGBG.</w:t>
      </w:r>
    </w:p>
    <w:p w14:paraId="13678AC3" w14:textId="7DA53457" w:rsidR="007105E8" w:rsidRDefault="007105E8" w:rsidP="007105E8">
      <w:pPr>
        <w:pStyle w:val="TableTitle"/>
      </w:pPr>
      <w:bookmarkStart w:id="42" w:name="_Ref145941379"/>
      <w:r>
        <w:t xml:space="preserve">Table </w:t>
      </w:r>
      <w:r w:rsidR="009E2845">
        <w:t>4</w:t>
      </w:r>
      <w:bookmarkEnd w:id="42"/>
      <w:r>
        <w:rPr>
          <w:noProof/>
        </w:rPr>
        <w:t>.</w:t>
      </w:r>
      <w:r>
        <w:t xml:space="preserve"> Lebrikizumab Phase 2 Studies</w:t>
      </w:r>
    </w:p>
    <w:tbl>
      <w:tblPr>
        <w:tblStyle w:val="TableGrid"/>
        <w:tblW w:w="9122" w:type="dxa"/>
        <w:tblLook w:val="04A0" w:firstRow="1" w:lastRow="0" w:firstColumn="1" w:lastColumn="0" w:noHBand="0" w:noVBand="1"/>
      </w:tblPr>
      <w:tblGrid>
        <w:gridCol w:w="711"/>
        <w:gridCol w:w="2190"/>
        <w:gridCol w:w="1333"/>
        <w:gridCol w:w="4274"/>
        <w:gridCol w:w="614"/>
      </w:tblGrid>
      <w:tr w:rsidR="007105E8" w:rsidRPr="00A6545C" w14:paraId="312D8C09" w14:textId="77777777" w:rsidTr="002F4307">
        <w:tc>
          <w:tcPr>
            <w:tcW w:w="715" w:type="dxa"/>
            <w:shd w:val="clear" w:color="auto" w:fill="EBF0F9" w:themeFill="accent1" w:themeFillTint="1A"/>
          </w:tcPr>
          <w:p w14:paraId="0643124A" w14:textId="77777777" w:rsidR="007105E8" w:rsidRPr="00A6545C" w:rsidRDefault="007105E8" w:rsidP="002F4307">
            <w:pPr>
              <w:spacing w:beforeLines="40" w:before="96" w:afterLines="40" w:after="96"/>
              <w:rPr>
                <w:b/>
                <w:color w:val="263287"/>
                <w:szCs w:val="22"/>
              </w:rPr>
            </w:pPr>
            <w:r w:rsidRPr="00A6545C">
              <w:rPr>
                <w:b/>
                <w:color w:val="263287"/>
                <w:szCs w:val="22"/>
              </w:rPr>
              <w:t>ID</w:t>
            </w:r>
          </w:p>
        </w:tc>
        <w:tc>
          <w:tcPr>
            <w:tcW w:w="2257" w:type="dxa"/>
            <w:shd w:val="clear" w:color="auto" w:fill="EBF0F9" w:themeFill="accent1" w:themeFillTint="1A"/>
          </w:tcPr>
          <w:p w14:paraId="5621643E" w14:textId="77777777" w:rsidR="007105E8" w:rsidRPr="00A6545C" w:rsidRDefault="007105E8" w:rsidP="002F4307">
            <w:pPr>
              <w:spacing w:beforeLines="40" w:before="96" w:afterLines="40" w:after="96"/>
              <w:rPr>
                <w:b/>
                <w:color w:val="263287"/>
                <w:szCs w:val="22"/>
              </w:rPr>
            </w:pPr>
            <w:r w:rsidRPr="00A6545C">
              <w:rPr>
                <w:b/>
                <w:color w:val="263287"/>
                <w:szCs w:val="22"/>
              </w:rPr>
              <w:t xml:space="preserve">Description </w:t>
            </w:r>
          </w:p>
        </w:tc>
        <w:tc>
          <w:tcPr>
            <w:tcW w:w="1012" w:type="dxa"/>
            <w:shd w:val="clear" w:color="auto" w:fill="EBF0F9" w:themeFill="accent1" w:themeFillTint="1A"/>
          </w:tcPr>
          <w:p w14:paraId="5A0F83AD" w14:textId="77777777" w:rsidR="007105E8" w:rsidRPr="00A6545C" w:rsidRDefault="007105E8" w:rsidP="002F4307">
            <w:pPr>
              <w:spacing w:beforeLines="40" w:before="96" w:afterLines="40" w:after="96"/>
              <w:rPr>
                <w:b/>
                <w:color w:val="263287"/>
                <w:szCs w:val="22"/>
              </w:rPr>
            </w:pPr>
            <w:r w:rsidRPr="00A6545C">
              <w:rPr>
                <w:b/>
                <w:color w:val="263287"/>
                <w:szCs w:val="22"/>
              </w:rPr>
              <w:t>Population</w:t>
            </w:r>
          </w:p>
        </w:tc>
        <w:tc>
          <w:tcPr>
            <w:tcW w:w="4516" w:type="dxa"/>
            <w:shd w:val="clear" w:color="auto" w:fill="EBF0F9" w:themeFill="accent1" w:themeFillTint="1A"/>
          </w:tcPr>
          <w:p w14:paraId="203B65EE" w14:textId="77777777" w:rsidR="007105E8" w:rsidRPr="00A6545C" w:rsidRDefault="007105E8" w:rsidP="002F4307">
            <w:pPr>
              <w:spacing w:beforeLines="40" w:before="96" w:afterLines="40" w:after="96"/>
              <w:rPr>
                <w:b/>
                <w:color w:val="263287"/>
                <w:szCs w:val="22"/>
              </w:rPr>
            </w:pPr>
            <w:r w:rsidRPr="00A6545C">
              <w:rPr>
                <w:b/>
                <w:color w:val="263287"/>
                <w:szCs w:val="22"/>
              </w:rPr>
              <w:t xml:space="preserve">Dosing Regimen </w:t>
            </w:r>
          </w:p>
        </w:tc>
        <w:tc>
          <w:tcPr>
            <w:tcW w:w="622" w:type="dxa"/>
            <w:shd w:val="clear" w:color="auto" w:fill="EBF0F9" w:themeFill="accent1" w:themeFillTint="1A"/>
          </w:tcPr>
          <w:p w14:paraId="21C22C63" w14:textId="77777777" w:rsidR="007105E8" w:rsidRPr="00A6545C" w:rsidRDefault="007105E8" w:rsidP="002F4307">
            <w:pPr>
              <w:spacing w:beforeLines="40" w:before="96" w:afterLines="40" w:after="96"/>
              <w:rPr>
                <w:b/>
                <w:color w:val="263287"/>
                <w:szCs w:val="22"/>
              </w:rPr>
            </w:pPr>
            <w:r w:rsidRPr="00A6545C">
              <w:rPr>
                <w:b/>
                <w:color w:val="263287"/>
                <w:szCs w:val="22"/>
              </w:rPr>
              <w:t xml:space="preserve">N </w:t>
            </w:r>
          </w:p>
        </w:tc>
      </w:tr>
      <w:tr w:rsidR="007105E8" w:rsidRPr="00A6545C" w14:paraId="2487EDE0" w14:textId="77777777" w:rsidTr="002F4307">
        <w:tc>
          <w:tcPr>
            <w:tcW w:w="715" w:type="dxa"/>
          </w:tcPr>
          <w:p w14:paraId="3B620658" w14:textId="77777777" w:rsidR="007105E8" w:rsidRPr="00A6545C" w:rsidRDefault="007105E8" w:rsidP="002F4307">
            <w:pPr>
              <w:spacing w:beforeLines="40" w:before="96" w:afterLines="40" w:after="96"/>
              <w:rPr>
                <w:rFonts w:cs="Calibri"/>
                <w:sz w:val="18"/>
                <w:szCs w:val="18"/>
                <w:lang w:eastAsia="ja-JP"/>
              </w:rPr>
            </w:pPr>
            <w:r w:rsidRPr="00A6545C">
              <w:rPr>
                <w:rFonts w:cs="Calibri"/>
                <w:sz w:val="18"/>
                <w:szCs w:val="18"/>
                <w:lang w:eastAsia="ja-JP"/>
              </w:rPr>
              <w:t>KGAG</w:t>
            </w:r>
          </w:p>
        </w:tc>
        <w:tc>
          <w:tcPr>
            <w:tcW w:w="2257" w:type="dxa"/>
          </w:tcPr>
          <w:p w14:paraId="3A9A25FA" w14:textId="77777777" w:rsidR="007105E8" w:rsidRPr="00A6545C" w:rsidRDefault="007105E8" w:rsidP="002F4307">
            <w:pPr>
              <w:autoSpaceDE w:val="0"/>
              <w:autoSpaceDN w:val="0"/>
              <w:adjustRightInd w:val="0"/>
              <w:spacing w:beforeLines="40" w:before="96" w:afterLines="40" w:after="96"/>
              <w:rPr>
                <w:rFonts w:eastAsiaTheme="minorHAnsi" w:cs="Calibri"/>
                <w:sz w:val="18"/>
                <w:szCs w:val="18"/>
              </w:rPr>
            </w:pPr>
            <w:r w:rsidRPr="00A6545C">
              <w:rPr>
                <w:rFonts w:eastAsiaTheme="minorHAnsi" w:cs="Calibri"/>
                <w:sz w:val="18"/>
                <w:szCs w:val="18"/>
              </w:rPr>
              <w:t>Efficacy of LEB + TCS vs TCS, safety, PD biomarkers</w:t>
            </w:r>
          </w:p>
        </w:tc>
        <w:tc>
          <w:tcPr>
            <w:tcW w:w="1012" w:type="dxa"/>
          </w:tcPr>
          <w:p w14:paraId="46AFB0A7" w14:textId="77777777" w:rsidR="007105E8" w:rsidRPr="00A6545C" w:rsidRDefault="007105E8" w:rsidP="002F4307">
            <w:pPr>
              <w:spacing w:beforeLines="40" w:before="96" w:afterLines="40" w:after="96"/>
              <w:rPr>
                <w:rFonts w:cs="Calibri"/>
                <w:sz w:val="18"/>
                <w:szCs w:val="18"/>
                <w:lang w:eastAsia="ja-JP"/>
              </w:rPr>
            </w:pPr>
            <w:r w:rsidRPr="00A6545C">
              <w:rPr>
                <w:rFonts w:cs="Calibri"/>
                <w:sz w:val="18"/>
                <w:szCs w:val="18"/>
                <w:lang w:eastAsia="ja-JP"/>
              </w:rPr>
              <w:t>AD adults</w:t>
            </w:r>
          </w:p>
        </w:tc>
        <w:tc>
          <w:tcPr>
            <w:tcW w:w="4516" w:type="dxa"/>
          </w:tcPr>
          <w:p w14:paraId="5D18BF6C" w14:textId="77777777" w:rsidR="007105E8" w:rsidRPr="00A6545C" w:rsidRDefault="007105E8" w:rsidP="002F4307">
            <w:pPr>
              <w:autoSpaceDE w:val="0"/>
              <w:autoSpaceDN w:val="0"/>
              <w:adjustRightInd w:val="0"/>
              <w:rPr>
                <w:rFonts w:eastAsiaTheme="minorHAnsi" w:cs="Calibri"/>
                <w:sz w:val="18"/>
                <w:szCs w:val="18"/>
              </w:rPr>
            </w:pPr>
            <w:r w:rsidRPr="00A6545C">
              <w:rPr>
                <w:rFonts w:eastAsiaTheme="minorHAnsi" w:cs="Calibri"/>
                <w:sz w:val="18"/>
                <w:szCs w:val="18"/>
              </w:rPr>
              <w:t>Week 0-12 dosing, 4 groups: LEB 250 mg sd SC + TCS; LEB 125 mg sd SC + TCS; LEB 125 mg Q4W × 3 SC i + TCS; or PBO Q4W SC + TCS</w:t>
            </w:r>
          </w:p>
        </w:tc>
        <w:tc>
          <w:tcPr>
            <w:tcW w:w="622" w:type="dxa"/>
          </w:tcPr>
          <w:p w14:paraId="19747A63" w14:textId="77777777" w:rsidR="007105E8" w:rsidRPr="00A6545C" w:rsidRDefault="007105E8" w:rsidP="002F4307">
            <w:pPr>
              <w:spacing w:beforeLines="40" w:before="96" w:afterLines="40" w:after="96"/>
              <w:rPr>
                <w:rFonts w:cs="Calibri"/>
                <w:sz w:val="18"/>
                <w:szCs w:val="18"/>
                <w:lang w:eastAsia="ja-JP"/>
              </w:rPr>
            </w:pPr>
            <w:r w:rsidRPr="00A6545C">
              <w:rPr>
                <w:rFonts w:cs="Calibri"/>
                <w:sz w:val="18"/>
                <w:szCs w:val="18"/>
                <w:lang w:eastAsia="ja-JP"/>
              </w:rPr>
              <w:t>212</w:t>
            </w:r>
          </w:p>
        </w:tc>
      </w:tr>
      <w:tr w:rsidR="007105E8" w:rsidRPr="00A6545C" w14:paraId="7308EC46" w14:textId="77777777" w:rsidTr="002F4307">
        <w:tc>
          <w:tcPr>
            <w:tcW w:w="715" w:type="dxa"/>
          </w:tcPr>
          <w:p w14:paraId="0DBD6FE9" w14:textId="77777777" w:rsidR="007105E8" w:rsidRPr="00A6545C" w:rsidRDefault="007105E8" w:rsidP="002F4307">
            <w:pPr>
              <w:spacing w:beforeLines="40" w:before="96" w:afterLines="40" w:after="96"/>
              <w:rPr>
                <w:rFonts w:cs="Calibri"/>
                <w:sz w:val="18"/>
                <w:szCs w:val="18"/>
                <w:lang w:eastAsia="ja-JP"/>
              </w:rPr>
            </w:pPr>
            <w:r w:rsidRPr="00A6545C">
              <w:rPr>
                <w:rFonts w:cs="Calibri"/>
                <w:sz w:val="18"/>
                <w:szCs w:val="18"/>
                <w:lang w:eastAsia="ja-JP"/>
              </w:rPr>
              <w:t>KGAH</w:t>
            </w:r>
          </w:p>
        </w:tc>
        <w:tc>
          <w:tcPr>
            <w:tcW w:w="2257" w:type="dxa"/>
          </w:tcPr>
          <w:p w14:paraId="377B06B3" w14:textId="77777777" w:rsidR="007105E8" w:rsidRPr="00A6545C" w:rsidRDefault="007105E8" w:rsidP="002F4307">
            <w:pPr>
              <w:autoSpaceDE w:val="0"/>
              <w:autoSpaceDN w:val="0"/>
              <w:adjustRightInd w:val="0"/>
              <w:rPr>
                <w:rFonts w:eastAsiaTheme="minorHAnsi" w:cs="Calibri"/>
                <w:sz w:val="18"/>
                <w:szCs w:val="18"/>
              </w:rPr>
            </w:pPr>
            <w:r w:rsidRPr="00A6545C">
              <w:rPr>
                <w:rFonts w:eastAsiaTheme="minorHAnsi" w:cs="Calibri"/>
                <w:sz w:val="18"/>
                <w:szCs w:val="18"/>
              </w:rPr>
              <w:t>Safety of LEB monotherapy vs  TCS, PK</w:t>
            </w:r>
          </w:p>
        </w:tc>
        <w:tc>
          <w:tcPr>
            <w:tcW w:w="1012" w:type="dxa"/>
          </w:tcPr>
          <w:p w14:paraId="05BCDEB1" w14:textId="77777777" w:rsidR="007105E8" w:rsidRPr="00A6545C" w:rsidRDefault="007105E8" w:rsidP="002F4307">
            <w:pPr>
              <w:spacing w:beforeLines="40" w:before="96" w:afterLines="40" w:after="96"/>
              <w:rPr>
                <w:rFonts w:cs="Calibri"/>
                <w:sz w:val="18"/>
                <w:szCs w:val="18"/>
                <w:lang w:eastAsia="ja-JP"/>
              </w:rPr>
            </w:pPr>
            <w:r w:rsidRPr="00A6545C">
              <w:rPr>
                <w:rFonts w:cs="Calibri"/>
                <w:sz w:val="18"/>
                <w:szCs w:val="18"/>
                <w:lang w:eastAsia="ja-JP"/>
              </w:rPr>
              <w:t>AD adults</w:t>
            </w:r>
          </w:p>
        </w:tc>
        <w:tc>
          <w:tcPr>
            <w:tcW w:w="4516" w:type="dxa"/>
          </w:tcPr>
          <w:p w14:paraId="39B7E1BA" w14:textId="77777777" w:rsidR="007105E8" w:rsidRPr="00A6545C" w:rsidRDefault="007105E8" w:rsidP="002F4307">
            <w:pPr>
              <w:autoSpaceDE w:val="0"/>
              <w:autoSpaceDN w:val="0"/>
              <w:adjustRightInd w:val="0"/>
              <w:rPr>
                <w:rFonts w:eastAsiaTheme="minorHAnsi" w:cs="Calibri"/>
                <w:sz w:val="18"/>
                <w:szCs w:val="18"/>
              </w:rPr>
            </w:pPr>
            <w:r w:rsidRPr="00A6545C">
              <w:rPr>
                <w:rFonts w:eastAsiaTheme="minorHAnsi" w:cs="Calibri"/>
                <w:sz w:val="18"/>
                <w:szCs w:val="18"/>
              </w:rPr>
              <w:t>Week 0-12 dosing, 2 groups: LEB 125 mg SC Q4W × 3 (monotherapy); or TCS cream twice daily</w:t>
            </w:r>
          </w:p>
        </w:tc>
        <w:tc>
          <w:tcPr>
            <w:tcW w:w="622" w:type="dxa"/>
          </w:tcPr>
          <w:p w14:paraId="5E5B639A" w14:textId="77777777" w:rsidR="007105E8" w:rsidRPr="00A6545C" w:rsidRDefault="007105E8" w:rsidP="002F4307">
            <w:pPr>
              <w:spacing w:beforeLines="40" w:before="96" w:afterLines="40" w:after="96"/>
              <w:rPr>
                <w:rFonts w:cs="Calibri"/>
                <w:sz w:val="18"/>
                <w:szCs w:val="18"/>
                <w:lang w:eastAsia="ja-JP"/>
              </w:rPr>
            </w:pPr>
            <w:r w:rsidRPr="00A6545C">
              <w:rPr>
                <w:rFonts w:cs="Calibri"/>
                <w:sz w:val="18"/>
                <w:szCs w:val="18"/>
                <w:lang w:eastAsia="ja-JP"/>
              </w:rPr>
              <w:t>55</w:t>
            </w:r>
          </w:p>
        </w:tc>
      </w:tr>
      <w:tr w:rsidR="007105E8" w:rsidRPr="00A6545C" w14:paraId="27EB41D7" w14:textId="77777777" w:rsidTr="002F4307">
        <w:tc>
          <w:tcPr>
            <w:tcW w:w="715" w:type="dxa"/>
          </w:tcPr>
          <w:p w14:paraId="385D37C2" w14:textId="77777777" w:rsidR="007105E8" w:rsidRPr="00A6545C" w:rsidRDefault="007105E8" w:rsidP="002F4307">
            <w:pPr>
              <w:spacing w:beforeLines="40" w:before="96" w:afterLines="40" w:after="96"/>
              <w:rPr>
                <w:rFonts w:cs="Calibri"/>
                <w:sz w:val="18"/>
                <w:szCs w:val="18"/>
                <w:lang w:eastAsia="ja-JP"/>
              </w:rPr>
            </w:pPr>
            <w:r w:rsidRPr="00A6545C">
              <w:rPr>
                <w:rFonts w:cs="Calibri"/>
                <w:sz w:val="18"/>
                <w:szCs w:val="18"/>
                <w:lang w:eastAsia="ja-JP"/>
              </w:rPr>
              <w:t>KGAF</w:t>
            </w:r>
          </w:p>
        </w:tc>
        <w:tc>
          <w:tcPr>
            <w:tcW w:w="2257" w:type="dxa"/>
          </w:tcPr>
          <w:p w14:paraId="6B30F0E7" w14:textId="77777777" w:rsidR="007105E8" w:rsidRPr="00A6545C" w:rsidRDefault="007105E8" w:rsidP="002F4307">
            <w:pPr>
              <w:autoSpaceDE w:val="0"/>
              <w:autoSpaceDN w:val="0"/>
              <w:adjustRightInd w:val="0"/>
              <w:rPr>
                <w:rFonts w:eastAsiaTheme="minorHAnsi" w:cs="Calibri"/>
                <w:sz w:val="18"/>
                <w:szCs w:val="18"/>
              </w:rPr>
            </w:pPr>
            <w:r w:rsidRPr="00A6545C">
              <w:rPr>
                <w:rFonts w:eastAsiaTheme="minorHAnsi" w:cs="Calibri"/>
                <w:sz w:val="18"/>
                <w:szCs w:val="18"/>
              </w:rPr>
              <w:t>Safety and efficacy of LEB vs PBO, PK</w:t>
            </w:r>
          </w:p>
        </w:tc>
        <w:tc>
          <w:tcPr>
            <w:tcW w:w="1012" w:type="dxa"/>
          </w:tcPr>
          <w:p w14:paraId="4F96CF8B" w14:textId="77777777" w:rsidR="007105E8" w:rsidRPr="00A6545C" w:rsidRDefault="007105E8" w:rsidP="002F4307">
            <w:pPr>
              <w:spacing w:beforeLines="40" w:before="96" w:afterLines="40" w:after="96"/>
              <w:rPr>
                <w:rFonts w:cs="Calibri"/>
                <w:sz w:val="18"/>
                <w:szCs w:val="18"/>
                <w:lang w:eastAsia="ja-JP"/>
              </w:rPr>
            </w:pPr>
            <w:r w:rsidRPr="00A6545C">
              <w:rPr>
                <w:rFonts w:cs="Calibri"/>
                <w:sz w:val="18"/>
                <w:szCs w:val="18"/>
                <w:lang w:eastAsia="ja-JP"/>
              </w:rPr>
              <w:t>AD adults</w:t>
            </w:r>
          </w:p>
        </w:tc>
        <w:tc>
          <w:tcPr>
            <w:tcW w:w="4516" w:type="dxa"/>
          </w:tcPr>
          <w:p w14:paraId="67A4EAA0" w14:textId="77777777" w:rsidR="007105E8" w:rsidRPr="00A6545C" w:rsidRDefault="007105E8" w:rsidP="002F4307">
            <w:pPr>
              <w:autoSpaceDE w:val="0"/>
              <w:autoSpaceDN w:val="0"/>
              <w:adjustRightInd w:val="0"/>
              <w:rPr>
                <w:rFonts w:eastAsiaTheme="minorHAnsi" w:cs="Calibri"/>
                <w:sz w:val="18"/>
                <w:szCs w:val="18"/>
              </w:rPr>
            </w:pPr>
            <w:r w:rsidRPr="00A6545C">
              <w:rPr>
                <w:rFonts w:eastAsiaTheme="minorHAnsi" w:cs="Calibri"/>
                <w:sz w:val="18"/>
                <w:szCs w:val="18"/>
              </w:rPr>
              <w:t>Week 0-16 dosing, 4 groups: LEB 250 mg SC at baseline, followed by 125 mg Q4W × 3; LEB 500 mg SC at baseline, followed by 250 mg SC Q4W × 3; LEB 500 mg SC at baseline and Week 2, followed by 250 mg SC Q2W × 6; or PBO Q2W</w:t>
            </w:r>
          </w:p>
        </w:tc>
        <w:tc>
          <w:tcPr>
            <w:tcW w:w="622" w:type="dxa"/>
          </w:tcPr>
          <w:p w14:paraId="3CC9E1E1" w14:textId="77777777" w:rsidR="007105E8" w:rsidRPr="00A6545C" w:rsidRDefault="007105E8" w:rsidP="002F4307">
            <w:pPr>
              <w:spacing w:beforeLines="40" w:before="96" w:afterLines="40" w:after="96"/>
              <w:rPr>
                <w:rFonts w:cs="Calibri"/>
                <w:sz w:val="18"/>
                <w:szCs w:val="18"/>
                <w:lang w:eastAsia="ja-JP"/>
              </w:rPr>
            </w:pPr>
            <w:r w:rsidRPr="00A6545C">
              <w:rPr>
                <w:rFonts w:cs="Calibri"/>
                <w:sz w:val="18"/>
                <w:szCs w:val="18"/>
                <w:lang w:eastAsia="ja-JP"/>
              </w:rPr>
              <w:t>280</w:t>
            </w:r>
          </w:p>
        </w:tc>
      </w:tr>
    </w:tbl>
    <w:p w14:paraId="445ABF04" w14:textId="1ADB7556" w:rsidR="00DF68FE" w:rsidRDefault="007105E8" w:rsidP="00F516F7">
      <w:pPr>
        <w:pStyle w:val="TableDescription"/>
        <w:rPr>
          <w:b/>
          <w:szCs w:val="22"/>
        </w:rPr>
      </w:pPr>
      <w:r w:rsidRPr="00176955">
        <w:rPr>
          <w:lang w:eastAsia="ja-JP"/>
        </w:rPr>
        <w:t>Abbreviations: LEB = lebrikizumab; PBO = placebo; TCS = topical corticosteroid</w:t>
      </w:r>
      <w:r>
        <w:rPr>
          <w:lang w:eastAsia="ja-JP"/>
        </w:rPr>
        <w:t>;</w:t>
      </w:r>
      <w:r w:rsidRPr="00176955">
        <w:rPr>
          <w:lang w:eastAsia="ja-JP"/>
        </w:rPr>
        <w:t xml:space="preserve"> SC = subcutaneous injection;</w:t>
      </w:r>
      <w:r w:rsidRPr="00176955">
        <w:t xml:space="preserve"> AD = moderate</w:t>
      </w:r>
      <w:r>
        <w:t>-</w:t>
      </w:r>
      <w:r w:rsidRPr="00176955">
        <w:t>to</w:t>
      </w:r>
      <w:r>
        <w:t>-</w:t>
      </w:r>
      <w:r w:rsidRPr="00176955">
        <w:t xml:space="preserve">severe atopic dermatitis; N = total number of participants randomised; </w:t>
      </w:r>
      <w:r w:rsidRPr="00204590">
        <w:rPr>
          <w:rFonts w:cs="Calibri"/>
        </w:rPr>
        <w:t>Q2W = every 2 weeks</w:t>
      </w:r>
      <w:r>
        <w:rPr>
          <w:rFonts w:cs="Calibri"/>
        </w:rPr>
        <w:t>;</w:t>
      </w:r>
      <w:r w:rsidRPr="00204590">
        <w:rPr>
          <w:rFonts w:cs="Calibri"/>
        </w:rPr>
        <w:t xml:space="preserve"> </w:t>
      </w:r>
      <w:r w:rsidRPr="00204590">
        <w:rPr>
          <w:sz w:val="14"/>
          <w:szCs w:val="14"/>
        </w:rPr>
        <w:t xml:space="preserve">Q4W </w:t>
      </w:r>
      <w:r w:rsidRPr="00176955">
        <w:t>= every 4 weeks</w:t>
      </w:r>
      <w:r w:rsidR="00F516F7">
        <w:t xml:space="preserve">. </w:t>
      </w:r>
      <w:bookmarkStart w:id="43" w:name="_Ref145941389"/>
    </w:p>
    <w:p w14:paraId="76782204" w14:textId="4F5D2B80" w:rsidR="007105E8" w:rsidRDefault="007105E8" w:rsidP="00F516F7">
      <w:pPr>
        <w:pStyle w:val="TableTitle"/>
        <w:pageBreakBefore/>
      </w:pPr>
      <w:r>
        <w:t xml:space="preserve">Table </w:t>
      </w:r>
      <w:bookmarkEnd w:id="43"/>
      <w:r w:rsidR="009E2845">
        <w:t>5.</w:t>
      </w:r>
      <w:r>
        <w:t xml:space="preserve"> Lebrikizumab Phase 3 Studies</w:t>
      </w:r>
    </w:p>
    <w:tbl>
      <w:tblPr>
        <w:tblStyle w:val="TableGrid"/>
        <w:tblW w:w="9207" w:type="dxa"/>
        <w:tblLook w:val="04A0" w:firstRow="1" w:lastRow="0" w:firstColumn="1" w:lastColumn="0" w:noHBand="0" w:noVBand="1"/>
      </w:tblPr>
      <w:tblGrid>
        <w:gridCol w:w="772"/>
        <w:gridCol w:w="2111"/>
        <w:gridCol w:w="1320"/>
        <w:gridCol w:w="4306"/>
        <w:gridCol w:w="698"/>
      </w:tblGrid>
      <w:tr w:rsidR="007105E8" w:rsidRPr="00A6545C" w14:paraId="5FFEF1B1" w14:textId="77777777" w:rsidTr="002F4307">
        <w:tc>
          <w:tcPr>
            <w:tcW w:w="639" w:type="dxa"/>
            <w:shd w:val="clear" w:color="auto" w:fill="EBF0F9" w:themeFill="accent1" w:themeFillTint="1A"/>
          </w:tcPr>
          <w:p w14:paraId="79BDFCCB" w14:textId="77777777" w:rsidR="007105E8" w:rsidRPr="00A6545C" w:rsidRDefault="007105E8" w:rsidP="002F4307">
            <w:pPr>
              <w:spacing w:before="40" w:afterLines="40" w:after="96"/>
              <w:rPr>
                <w:rFonts w:cs="Calibri"/>
                <w:szCs w:val="22"/>
                <w:lang w:eastAsia="ja-JP"/>
              </w:rPr>
            </w:pPr>
            <w:r w:rsidRPr="00A6545C">
              <w:rPr>
                <w:rFonts w:cs="Calibri"/>
                <w:szCs w:val="22"/>
                <w:lang w:eastAsia="ja-JP"/>
              </w:rPr>
              <w:t>ID</w:t>
            </w:r>
          </w:p>
        </w:tc>
        <w:tc>
          <w:tcPr>
            <w:tcW w:w="2176" w:type="dxa"/>
            <w:shd w:val="clear" w:color="auto" w:fill="EBF0F9" w:themeFill="accent1" w:themeFillTint="1A"/>
          </w:tcPr>
          <w:p w14:paraId="0897F601" w14:textId="77777777" w:rsidR="007105E8" w:rsidRPr="00A6545C" w:rsidRDefault="007105E8" w:rsidP="002F4307">
            <w:pPr>
              <w:spacing w:before="40" w:afterLines="40" w:after="96"/>
              <w:rPr>
                <w:rFonts w:cs="Calibri"/>
                <w:szCs w:val="22"/>
                <w:lang w:eastAsia="ja-JP"/>
              </w:rPr>
            </w:pPr>
            <w:r w:rsidRPr="00A6545C">
              <w:rPr>
                <w:rFonts w:cs="Calibri"/>
                <w:szCs w:val="22"/>
                <w:lang w:eastAsia="ja-JP"/>
              </w:rPr>
              <w:t xml:space="preserve">Description </w:t>
            </w:r>
          </w:p>
        </w:tc>
        <w:tc>
          <w:tcPr>
            <w:tcW w:w="1149" w:type="dxa"/>
            <w:shd w:val="clear" w:color="auto" w:fill="EBF0F9" w:themeFill="accent1" w:themeFillTint="1A"/>
          </w:tcPr>
          <w:p w14:paraId="48C53A63" w14:textId="77777777" w:rsidR="007105E8" w:rsidRPr="00A6545C" w:rsidRDefault="007105E8" w:rsidP="002F4307">
            <w:pPr>
              <w:spacing w:before="40" w:afterLines="40" w:after="96"/>
              <w:rPr>
                <w:rFonts w:cs="Calibri"/>
                <w:szCs w:val="22"/>
                <w:lang w:eastAsia="ja-JP"/>
              </w:rPr>
            </w:pPr>
            <w:r w:rsidRPr="00A6545C">
              <w:rPr>
                <w:rFonts w:cs="Calibri"/>
                <w:szCs w:val="22"/>
                <w:lang w:eastAsia="ja-JP"/>
              </w:rPr>
              <w:t>Population</w:t>
            </w:r>
          </w:p>
        </w:tc>
        <w:tc>
          <w:tcPr>
            <w:tcW w:w="4536" w:type="dxa"/>
            <w:shd w:val="clear" w:color="auto" w:fill="EBF0F9" w:themeFill="accent1" w:themeFillTint="1A"/>
          </w:tcPr>
          <w:p w14:paraId="515DC061" w14:textId="77777777" w:rsidR="007105E8" w:rsidRPr="00A6545C" w:rsidRDefault="007105E8" w:rsidP="002F4307">
            <w:pPr>
              <w:spacing w:before="40" w:afterLines="40" w:after="96"/>
              <w:rPr>
                <w:rFonts w:cs="Calibri"/>
                <w:szCs w:val="22"/>
                <w:lang w:eastAsia="ja-JP"/>
              </w:rPr>
            </w:pPr>
            <w:r w:rsidRPr="00A6545C">
              <w:rPr>
                <w:rFonts w:cs="Calibri"/>
                <w:szCs w:val="22"/>
                <w:lang w:eastAsia="ja-JP"/>
              </w:rPr>
              <w:t xml:space="preserve">Dosing Regimen </w:t>
            </w:r>
          </w:p>
        </w:tc>
        <w:tc>
          <w:tcPr>
            <w:tcW w:w="707" w:type="dxa"/>
            <w:shd w:val="clear" w:color="auto" w:fill="EBF0F9" w:themeFill="accent1" w:themeFillTint="1A"/>
          </w:tcPr>
          <w:p w14:paraId="14AA2FF8" w14:textId="77777777" w:rsidR="007105E8" w:rsidRPr="00A6545C" w:rsidRDefault="007105E8" w:rsidP="002F4307">
            <w:pPr>
              <w:spacing w:before="40" w:afterLines="40" w:after="96"/>
              <w:rPr>
                <w:rFonts w:cs="Calibri"/>
                <w:szCs w:val="22"/>
                <w:lang w:eastAsia="ja-JP"/>
              </w:rPr>
            </w:pPr>
            <w:r w:rsidRPr="00A6545C">
              <w:rPr>
                <w:rFonts w:cs="Calibri"/>
                <w:szCs w:val="22"/>
                <w:lang w:eastAsia="ja-JP"/>
              </w:rPr>
              <w:t xml:space="preserve">N </w:t>
            </w:r>
          </w:p>
        </w:tc>
      </w:tr>
      <w:tr w:rsidR="007105E8" w:rsidRPr="00A6545C" w14:paraId="770224B1" w14:textId="77777777" w:rsidTr="002F4307">
        <w:tc>
          <w:tcPr>
            <w:tcW w:w="639" w:type="dxa"/>
          </w:tcPr>
          <w:p w14:paraId="528B00C5" w14:textId="77777777" w:rsidR="007105E8" w:rsidRPr="00A6545C" w:rsidRDefault="007105E8" w:rsidP="002F4307">
            <w:pPr>
              <w:spacing w:before="40" w:afterLines="40" w:after="96"/>
              <w:rPr>
                <w:rFonts w:cs="Calibri"/>
                <w:szCs w:val="22"/>
                <w:lang w:eastAsia="ja-JP"/>
              </w:rPr>
            </w:pPr>
            <w:r w:rsidRPr="00A6545C">
              <w:rPr>
                <w:rFonts w:cs="Calibri"/>
                <w:szCs w:val="22"/>
                <w:lang w:eastAsia="ja-JP"/>
              </w:rPr>
              <w:t>KGAB</w:t>
            </w:r>
          </w:p>
        </w:tc>
        <w:tc>
          <w:tcPr>
            <w:tcW w:w="2176" w:type="dxa"/>
          </w:tcPr>
          <w:p w14:paraId="39A96DDE" w14:textId="77777777" w:rsidR="007105E8" w:rsidRPr="00A6545C" w:rsidRDefault="007105E8" w:rsidP="002F4307">
            <w:pPr>
              <w:autoSpaceDE w:val="0"/>
              <w:autoSpaceDN w:val="0"/>
              <w:adjustRightInd w:val="0"/>
              <w:spacing w:before="40" w:afterLines="40" w:after="96"/>
              <w:rPr>
                <w:rFonts w:eastAsiaTheme="minorHAnsi" w:cs="Calibri"/>
                <w:szCs w:val="22"/>
              </w:rPr>
            </w:pPr>
            <w:r w:rsidRPr="00A6545C">
              <w:rPr>
                <w:rFonts w:eastAsiaTheme="minorHAnsi" w:cs="Calibri"/>
                <w:szCs w:val="22"/>
              </w:rPr>
              <w:t xml:space="preserve">Pivotal efficacy and safety for LEB vs PBO, PK sparse sampling </w:t>
            </w:r>
          </w:p>
        </w:tc>
        <w:tc>
          <w:tcPr>
            <w:tcW w:w="1149" w:type="dxa"/>
          </w:tcPr>
          <w:p w14:paraId="33E8B17F" w14:textId="77777777" w:rsidR="007105E8" w:rsidRPr="00A6545C" w:rsidRDefault="007105E8" w:rsidP="002F4307">
            <w:pPr>
              <w:spacing w:before="40" w:afterLines="40" w:after="96"/>
              <w:rPr>
                <w:rFonts w:cs="Calibri"/>
                <w:szCs w:val="22"/>
                <w:lang w:eastAsia="ja-JP"/>
              </w:rPr>
            </w:pPr>
            <w:r w:rsidRPr="00A6545C">
              <w:rPr>
                <w:rFonts w:cs="Calibri"/>
                <w:szCs w:val="22"/>
                <w:lang w:eastAsia="ja-JP"/>
              </w:rPr>
              <w:t>AD – adults/</w:t>
            </w:r>
          </w:p>
          <w:p w14:paraId="00EE126F" w14:textId="77777777" w:rsidR="007105E8" w:rsidRPr="00A6545C" w:rsidRDefault="007105E8" w:rsidP="002F4307">
            <w:pPr>
              <w:spacing w:before="40" w:afterLines="40" w:after="96"/>
              <w:rPr>
                <w:rFonts w:cs="Calibri"/>
                <w:szCs w:val="22"/>
                <w:lang w:eastAsia="ja-JP"/>
              </w:rPr>
            </w:pPr>
            <w:r w:rsidRPr="00A6545C">
              <w:rPr>
                <w:rFonts w:cs="Calibri"/>
                <w:szCs w:val="22"/>
                <w:lang w:eastAsia="ja-JP"/>
              </w:rPr>
              <w:t>adolescents</w:t>
            </w:r>
          </w:p>
        </w:tc>
        <w:tc>
          <w:tcPr>
            <w:tcW w:w="4536" w:type="dxa"/>
          </w:tcPr>
          <w:p w14:paraId="4845CFC4" w14:textId="77777777" w:rsidR="007105E8" w:rsidRPr="00A6545C" w:rsidRDefault="007105E8" w:rsidP="002F4307">
            <w:pPr>
              <w:autoSpaceDE w:val="0"/>
              <w:autoSpaceDN w:val="0"/>
              <w:adjustRightInd w:val="0"/>
              <w:spacing w:before="40" w:after="40"/>
              <w:rPr>
                <w:rFonts w:eastAsiaTheme="minorHAnsi" w:cs="Calibri"/>
                <w:szCs w:val="22"/>
              </w:rPr>
            </w:pPr>
            <w:r w:rsidRPr="00A6545C">
              <w:rPr>
                <w:rFonts w:eastAsiaTheme="minorHAnsi" w:cs="Calibri"/>
                <w:szCs w:val="22"/>
                <w:u w:val="single"/>
              </w:rPr>
              <w:t>Induction (WK 0-16)</w:t>
            </w:r>
            <w:r w:rsidRPr="00A6545C">
              <w:rPr>
                <w:rFonts w:eastAsiaTheme="minorHAnsi" w:cs="Calibri"/>
                <w:szCs w:val="22"/>
              </w:rPr>
              <w:t xml:space="preserve">: LEB loading dose 500 mg SC at WK 0 and 2, followed by 250 mg Q2W × 6, or PBO Q2W. </w:t>
            </w:r>
            <w:r w:rsidRPr="00A6545C">
              <w:rPr>
                <w:rFonts w:eastAsiaTheme="minorHAnsi" w:cs="Calibri"/>
                <w:szCs w:val="22"/>
                <w:u w:val="single"/>
              </w:rPr>
              <w:t>Maintenance</w:t>
            </w:r>
            <w:r w:rsidRPr="00A6545C">
              <w:rPr>
                <w:rFonts w:eastAsiaTheme="minorHAnsi" w:cs="Calibri"/>
                <w:szCs w:val="22"/>
              </w:rPr>
              <w:t xml:space="preserve"> (WK 16-52): in the maintenance blinded period WK16 responders to LEB were re-randomised 2:2:1 to LEB Q2W, LEB Q4W or PBO Q2W; in the maintenance escape period non-responders received open-label LEB 250 mg Q2W through WK52 maintenance period. </w:t>
            </w:r>
          </w:p>
        </w:tc>
        <w:tc>
          <w:tcPr>
            <w:tcW w:w="707" w:type="dxa"/>
          </w:tcPr>
          <w:p w14:paraId="394068D2" w14:textId="77777777" w:rsidR="007105E8" w:rsidRPr="00A6545C" w:rsidRDefault="007105E8" w:rsidP="002F4307">
            <w:pPr>
              <w:spacing w:before="40" w:afterLines="40" w:after="96"/>
              <w:rPr>
                <w:rFonts w:cs="Calibri"/>
                <w:szCs w:val="22"/>
                <w:lang w:eastAsia="ja-JP"/>
              </w:rPr>
            </w:pPr>
            <w:r w:rsidRPr="00A6545C">
              <w:rPr>
                <w:rFonts w:cs="Calibri"/>
                <w:szCs w:val="22"/>
                <w:lang w:eastAsia="ja-JP"/>
              </w:rPr>
              <w:t>424</w:t>
            </w:r>
          </w:p>
        </w:tc>
      </w:tr>
      <w:tr w:rsidR="007105E8" w:rsidRPr="00A6545C" w14:paraId="3076129E" w14:textId="77777777" w:rsidTr="002F4307">
        <w:tc>
          <w:tcPr>
            <w:tcW w:w="639" w:type="dxa"/>
          </w:tcPr>
          <w:p w14:paraId="2846836D" w14:textId="77777777" w:rsidR="007105E8" w:rsidRPr="00A6545C" w:rsidRDefault="007105E8" w:rsidP="002F4307">
            <w:pPr>
              <w:spacing w:before="40" w:afterLines="40" w:after="96"/>
              <w:rPr>
                <w:rFonts w:cs="Calibri"/>
                <w:szCs w:val="22"/>
                <w:lang w:eastAsia="ja-JP"/>
              </w:rPr>
            </w:pPr>
            <w:r w:rsidRPr="00A6545C">
              <w:rPr>
                <w:rFonts w:cs="Calibri"/>
                <w:szCs w:val="22"/>
                <w:lang w:eastAsia="ja-JP"/>
              </w:rPr>
              <w:t>KGAC</w:t>
            </w:r>
          </w:p>
        </w:tc>
        <w:tc>
          <w:tcPr>
            <w:tcW w:w="2176" w:type="dxa"/>
          </w:tcPr>
          <w:p w14:paraId="342CC072" w14:textId="77777777" w:rsidR="007105E8" w:rsidRPr="00A6545C" w:rsidRDefault="007105E8" w:rsidP="002F4307">
            <w:pPr>
              <w:autoSpaceDE w:val="0"/>
              <w:autoSpaceDN w:val="0"/>
              <w:adjustRightInd w:val="0"/>
              <w:spacing w:before="40" w:after="40"/>
              <w:rPr>
                <w:rFonts w:eastAsiaTheme="minorHAnsi" w:cs="Calibri"/>
                <w:szCs w:val="22"/>
              </w:rPr>
            </w:pPr>
            <w:r w:rsidRPr="00A6545C">
              <w:rPr>
                <w:rFonts w:eastAsiaTheme="minorHAnsi" w:cs="Calibri"/>
                <w:szCs w:val="22"/>
              </w:rPr>
              <w:t xml:space="preserve">Pivotal efficacy and safety for LEB vs PBO, PK sparse sampling </w:t>
            </w:r>
          </w:p>
        </w:tc>
        <w:tc>
          <w:tcPr>
            <w:tcW w:w="1149" w:type="dxa"/>
          </w:tcPr>
          <w:p w14:paraId="33DF92B5" w14:textId="77777777" w:rsidR="007105E8" w:rsidRPr="00A6545C" w:rsidRDefault="007105E8" w:rsidP="002F4307">
            <w:pPr>
              <w:spacing w:before="40" w:afterLines="40" w:after="96"/>
              <w:rPr>
                <w:rFonts w:cs="Calibri"/>
                <w:szCs w:val="22"/>
                <w:lang w:eastAsia="ja-JP"/>
              </w:rPr>
            </w:pPr>
            <w:r w:rsidRPr="00A6545C">
              <w:rPr>
                <w:rFonts w:cs="Calibri"/>
                <w:szCs w:val="22"/>
                <w:lang w:eastAsia="ja-JP"/>
              </w:rPr>
              <w:t>AD – adults/ adolescents</w:t>
            </w:r>
          </w:p>
        </w:tc>
        <w:tc>
          <w:tcPr>
            <w:tcW w:w="4536" w:type="dxa"/>
          </w:tcPr>
          <w:p w14:paraId="230BF38F" w14:textId="77777777" w:rsidR="007105E8" w:rsidRPr="00A6545C" w:rsidRDefault="007105E8" w:rsidP="002F4307">
            <w:pPr>
              <w:autoSpaceDE w:val="0"/>
              <w:autoSpaceDN w:val="0"/>
              <w:adjustRightInd w:val="0"/>
              <w:spacing w:before="40" w:after="40"/>
              <w:rPr>
                <w:rFonts w:eastAsiaTheme="minorHAnsi" w:cs="Calibri"/>
                <w:szCs w:val="22"/>
              </w:rPr>
            </w:pPr>
            <w:r w:rsidRPr="00A6545C">
              <w:rPr>
                <w:rFonts w:eastAsiaTheme="minorHAnsi" w:cs="Calibri"/>
                <w:szCs w:val="22"/>
              </w:rPr>
              <w:t>Same as KGAB</w:t>
            </w:r>
          </w:p>
        </w:tc>
        <w:tc>
          <w:tcPr>
            <w:tcW w:w="707" w:type="dxa"/>
          </w:tcPr>
          <w:p w14:paraId="1C8B8B92" w14:textId="77777777" w:rsidR="007105E8" w:rsidRPr="00A6545C" w:rsidRDefault="007105E8" w:rsidP="002F4307">
            <w:pPr>
              <w:spacing w:before="40" w:afterLines="40" w:after="96"/>
              <w:rPr>
                <w:rFonts w:cs="Calibri"/>
                <w:szCs w:val="22"/>
                <w:lang w:eastAsia="ja-JP"/>
              </w:rPr>
            </w:pPr>
            <w:r w:rsidRPr="00A6545C">
              <w:rPr>
                <w:rFonts w:cs="Calibri"/>
                <w:szCs w:val="22"/>
                <w:lang w:eastAsia="ja-JP"/>
              </w:rPr>
              <w:t>445</w:t>
            </w:r>
          </w:p>
        </w:tc>
      </w:tr>
      <w:tr w:rsidR="007105E8" w:rsidRPr="00A6545C" w14:paraId="65D12E6E" w14:textId="77777777" w:rsidTr="002F4307">
        <w:tc>
          <w:tcPr>
            <w:tcW w:w="639" w:type="dxa"/>
          </w:tcPr>
          <w:p w14:paraId="3CB5022D" w14:textId="77777777" w:rsidR="007105E8" w:rsidRPr="00A6545C" w:rsidRDefault="007105E8" w:rsidP="002F4307">
            <w:pPr>
              <w:spacing w:beforeLines="40" w:before="96" w:afterLines="40" w:after="96"/>
              <w:rPr>
                <w:rFonts w:cs="Calibri"/>
                <w:szCs w:val="22"/>
                <w:lang w:eastAsia="ja-JP"/>
              </w:rPr>
            </w:pPr>
            <w:r w:rsidRPr="00A6545C">
              <w:rPr>
                <w:rFonts w:cs="Calibri"/>
                <w:szCs w:val="22"/>
                <w:lang w:eastAsia="ja-JP"/>
              </w:rPr>
              <w:t>KGAD</w:t>
            </w:r>
          </w:p>
        </w:tc>
        <w:tc>
          <w:tcPr>
            <w:tcW w:w="2176" w:type="dxa"/>
          </w:tcPr>
          <w:p w14:paraId="07215CD5" w14:textId="77777777" w:rsidR="007105E8" w:rsidRPr="00A6545C" w:rsidRDefault="007105E8" w:rsidP="002F4307">
            <w:pPr>
              <w:autoSpaceDE w:val="0"/>
              <w:autoSpaceDN w:val="0"/>
              <w:adjustRightInd w:val="0"/>
              <w:rPr>
                <w:rFonts w:eastAsiaTheme="minorHAnsi" w:cs="Calibri"/>
                <w:szCs w:val="22"/>
              </w:rPr>
            </w:pPr>
            <w:r w:rsidRPr="00A6545C">
              <w:rPr>
                <w:rFonts w:eastAsiaTheme="minorHAnsi" w:cs="Calibri"/>
                <w:szCs w:val="22"/>
              </w:rPr>
              <w:t>Pivotal efficacy and safety data for LEB + TCS vs PBO + TCS, PK</w:t>
            </w:r>
          </w:p>
        </w:tc>
        <w:tc>
          <w:tcPr>
            <w:tcW w:w="1149" w:type="dxa"/>
          </w:tcPr>
          <w:p w14:paraId="25F2FABF" w14:textId="77777777" w:rsidR="007105E8" w:rsidRPr="00A6545C" w:rsidRDefault="007105E8" w:rsidP="002F4307">
            <w:pPr>
              <w:spacing w:beforeLines="40" w:before="96" w:afterLines="40" w:after="96"/>
              <w:rPr>
                <w:rFonts w:cs="Calibri"/>
                <w:szCs w:val="22"/>
                <w:lang w:eastAsia="ja-JP"/>
              </w:rPr>
            </w:pPr>
            <w:r w:rsidRPr="00A6545C">
              <w:rPr>
                <w:rFonts w:cs="Calibri"/>
                <w:szCs w:val="22"/>
                <w:lang w:eastAsia="ja-JP"/>
              </w:rPr>
              <w:t>AD – adults/ adolescents</w:t>
            </w:r>
          </w:p>
        </w:tc>
        <w:tc>
          <w:tcPr>
            <w:tcW w:w="4536" w:type="dxa"/>
          </w:tcPr>
          <w:p w14:paraId="758A4108" w14:textId="77777777" w:rsidR="007105E8" w:rsidRPr="00A6545C" w:rsidRDefault="007105E8" w:rsidP="002F4307">
            <w:pPr>
              <w:autoSpaceDE w:val="0"/>
              <w:autoSpaceDN w:val="0"/>
              <w:adjustRightInd w:val="0"/>
              <w:rPr>
                <w:rFonts w:eastAsiaTheme="minorHAnsi" w:cs="Calibri"/>
                <w:szCs w:val="22"/>
              </w:rPr>
            </w:pPr>
            <w:r w:rsidRPr="00A6545C">
              <w:rPr>
                <w:rFonts w:eastAsiaTheme="minorHAnsi" w:cs="Calibri"/>
                <w:szCs w:val="22"/>
                <w:u w:val="single"/>
              </w:rPr>
              <w:t>WK 0-16</w:t>
            </w:r>
            <w:r w:rsidRPr="00A6545C">
              <w:rPr>
                <w:rFonts w:eastAsiaTheme="minorHAnsi" w:cs="Calibri"/>
                <w:szCs w:val="22"/>
              </w:rPr>
              <w:t>: LEB 500 mg SC at baseline and Week 2, followed by 250 mg Q2W × 6 + TCS; or PBO Q2W + TCS. TCS initiated at baseline could be tapered or stopped as warranted</w:t>
            </w:r>
          </w:p>
        </w:tc>
        <w:tc>
          <w:tcPr>
            <w:tcW w:w="707" w:type="dxa"/>
          </w:tcPr>
          <w:p w14:paraId="53EDD354" w14:textId="77777777" w:rsidR="007105E8" w:rsidRPr="00A6545C" w:rsidRDefault="007105E8" w:rsidP="002F4307">
            <w:pPr>
              <w:spacing w:beforeLines="40" w:before="96" w:afterLines="40" w:after="96"/>
              <w:rPr>
                <w:rFonts w:cs="Calibri"/>
                <w:szCs w:val="22"/>
                <w:lang w:eastAsia="ja-JP"/>
              </w:rPr>
            </w:pPr>
            <w:r w:rsidRPr="00A6545C">
              <w:rPr>
                <w:rFonts w:cs="Calibri"/>
                <w:szCs w:val="22"/>
                <w:lang w:eastAsia="ja-JP"/>
              </w:rPr>
              <w:t>228</w:t>
            </w:r>
          </w:p>
        </w:tc>
      </w:tr>
      <w:tr w:rsidR="007105E8" w:rsidRPr="00A6545C" w14:paraId="3B766FDB" w14:textId="77777777" w:rsidTr="002F4307">
        <w:tc>
          <w:tcPr>
            <w:tcW w:w="639" w:type="dxa"/>
          </w:tcPr>
          <w:p w14:paraId="24EF27E6" w14:textId="77777777" w:rsidR="007105E8" w:rsidRPr="00A6545C" w:rsidRDefault="007105E8" w:rsidP="002F4307">
            <w:pPr>
              <w:spacing w:beforeLines="40" w:before="96" w:afterLines="40" w:after="96"/>
              <w:rPr>
                <w:rFonts w:cs="Calibri"/>
                <w:szCs w:val="22"/>
                <w:lang w:eastAsia="ja-JP"/>
              </w:rPr>
            </w:pPr>
            <w:r w:rsidRPr="00A6545C">
              <w:rPr>
                <w:rFonts w:cs="Calibri"/>
                <w:szCs w:val="22"/>
                <w:lang w:eastAsia="ja-JP"/>
              </w:rPr>
              <w:t>KGAA</w:t>
            </w:r>
          </w:p>
        </w:tc>
        <w:tc>
          <w:tcPr>
            <w:tcW w:w="2176" w:type="dxa"/>
          </w:tcPr>
          <w:p w14:paraId="05DA78A7" w14:textId="77777777" w:rsidR="007105E8" w:rsidRPr="00A6545C" w:rsidRDefault="007105E8" w:rsidP="002F4307">
            <w:pPr>
              <w:autoSpaceDE w:val="0"/>
              <w:autoSpaceDN w:val="0"/>
              <w:adjustRightInd w:val="0"/>
              <w:rPr>
                <w:rFonts w:eastAsiaTheme="minorHAnsi" w:cs="Calibri"/>
                <w:szCs w:val="22"/>
              </w:rPr>
            </w:pPr>
            <w:r w:rsidRPr="00A6545C">
              <w:rPr>
                <w:rFonts w:eastAsiaTheme="minorHAnsi" w:cs="Calibri"/>
                <w:szCs w:val="22"/>
              </w:rPr>
              <w:t>Supportive long-term extension safety and efficacy data</w:t>
            </w:r>
          </w:p>
        </w:tc>
        <w:tc>
          <w:tcPr>
            <w:tcW w:w="1149" w:type="dxa"/>
          </w:tcPr>
          <w:p w14:paraId="295346D5" w14:textId="77777777" w:rsidR="007105E8" w:rsidRPr="00A6545C" w:rsidRDefault="007105E8" w:rsidP="002F4307">
            <w:pPr>
              <w:spacing w:beforeLines="40" w:before="96" w:afterLines="40" w:after="96"/>
              <w:rPr>
                <w:rFonts w:cs="Calibri"/>
                <w:szCs w:val="22"/>
                <w:lang w:eastAsia="ja-JP"/>
              </w:rPr>
            </w:pPr>
            <w:r w:rsidRPr="00A6545C">
              <w:rPr>
                <w:rFonts w:cs="Calibri"/>
                <w:szCs w:val="22"/>
                <w:lang w:eastAsia="ja-JP"/>
              </w:rPr>
              <w:t>AD – adults/ adolescents</w:t>
            </w:r>
          </w:p>
        </w:tc>
        <w:tc>
          <w:tcPr>
            <w:tcW w:w="4536" w:type="dxa"/>
          </w:tcPr>
          <w:p w14:paraId="7AD11AA3" w14:textId="77777777" w:rsidR="007105E8" w:rsidRPr="00A6545C" w:rsidRDefault="007105E8" w:rsidP="002F4307">
            <w:pPr>
              <w:autoSpaceDE w:val="0"/>
              <w:autoSpaceDN w:val="0"/>
              <w:adjustRightInd w:val="0"/>
              <w:rPr>
                <w:rFonts w:eastAsiaTheme="minorHAnsi" w:cs="Calibri"/>
                <w:szCs w:val="22"/>
                <w:u w:val="single"/>
              </w:rPr>
            </w:pPr>
            <w:r w:rsidRPr="00A6545C">
              <w:rPr>
                <w:rFonts w:eastAsiaTheme="minorHAnsi" w:cs="Calibri"/>
                <w:szCs w:val="22"/>
              </w:rPr>
              <w:t>Interim results to WK 40 for participants enrolling from KGAD and randomised 2:1 to 250 mg Q2W + TCS or 250 mg Q4W + TCS</w:t>
            </w:r>
          </w:p>
        </w:tc>
        <w:tc>
          <w:tcPr>
            <w:tcW w:w="707" w:type="dxa"/>
          </w:tcPr>
          <w:p w14:paraId="42F7E76F" w14:textId="77777777" w:rsidR="007105E8" w:rsidRPr="00A6545C" w:rsidRDefault="007105E8" w:rsidP="002F4307">
            <w:pPr>
              <w:spacing w:beforeLines="40" w:before="96" w:afterLines="40" w:after="96"/>
              <w:rPr>
                <w:rFonts w:cs="Calibri"/>
                <w:szCs w:val="22"/>
                <w:lang w:eastAsia="ja-JP"/>
              </w:rPr>
            </w:pPr>
            <w:r w:rsidRPr="00A6545C">
              <w:rPr>
                <w:rFonts w:cs="Calibri"/>
                <w:szCs w:val="22"/>
                <w:lang w:eastAsia="ja-JP"/>
              </w:rPr>
              <w:t>86</w:t>
            </w:r>
          </w:p>
        </w:tc>
      </w:tr>
      <w:tr w:rsidR="007105E8" w:rsidRPr="00A6545C" w14:paraId="04712D24" w14:textId="77777777" w:rsidTr="00A6545C">
        <w:trPr>
          <w:trHeight w:val="1700"/>
        </w:trPr>
        <w:tc>
          <w:tcPr>
            <w:tcW w:w="639" w:type="dxa"/>
          </w:tcPr>
          <w:p w14:paraId="49ADF8ED" w14:textId="77777777" w:rsidR="007105E8" w:rsidRPr="00A6545C" w:rsidRDefault="007105E8" w:rsidP="002F4307">
            <w:pPr>
              <w:spacing w:beforeLines="40" w:before="96" w:afterLines="40" w:after="96"/>
              <w:rPr>
                <w:rFonts w:cs="Calibri"/>
                <w:szCs w:val="22"/>
                <w:lang w:eastAsia="ja-JP"/>
              </w:rPr>
            </w:pPr>
            <w:r w:rsidRPr="00A6545C">
              <w:rPr>
                <w:rFonts w:cs="Calibri"/>
                <w:szCs w:val="22"/>
                <w:lang w:eastAsia="ja-JP"/>
              </w:rPr>
              <w:t>KGAE</w:t>
            </w:r>
          </w:p>
        </w:tc>
        <w:tc>
          <w:tcPr>
            <w:tcW w:w="2176" w:type="dxa"/>
          </w:tcPr>
          <w:p w14:paraId="32338A2B" w14:textId="77777777" w:rsidR="007105E8" w:rsidRPr="00A6545C" w:rsidRDefault="007105E8" w:rsidP="002F4307">
            <w:pPr>
              <w:autoSpaceDE w:val="0"/>
              <w:autoSpaceDN w:val="0"/>
              <w:adjustRightInd w:val="0"/>
              <w:rPr>
                <w:rFonts w:eastAsiaTheme="minorHAnsi" w:cs="Calibri"/>
                <w:szCs w:val="22"/>
              </w:rPr>
            </w:pPr>
            <w:r w:rsidRPr="00A6545C">
              <w:rPr>
                <w:rFonts w:eastAsiaTheme="minorHAnsi" w:cs="Calibri"/>
                <w:szCs w:val="22"/>
              </w:rPr>
              <w:t>Supportive single-arm efficacy and safety data, PK</w:t>
            </w:r>
          </w:p>
        </w:tc>
        <w:tc>
          <w:tcPr>
            <w:tcW w:w="1149" w:type="dxa"/>
          </w:tcPr>
          <w:p w14:paraId="7E4866F0" w14:textId="77777777" w:rsidR="007105E8" w:rsidRPr="00A6545C" w:rsidRDefault="007105E8" w:rsidP="002F4307">
            <w:pPr>
              <w:spacing w:beforeLines="40" w:before="96" w:afterLines="40" w:after="96"/>
              <w:rPr>
                <w:rFonts w:cs="Calibri"/>
                <w:szCs w:val="22"/>
                <w:lang w:eastAsia="ja-JP"/>
              </w:rPr>
            </w:pPr>
            <w:r w:rsidRPr="00A6545C">
              <w:rPr>
                <w:rFonts w:cs="Calibri"/>
                <w:szCs w:val="22"/>
                <w:lang w:eastAsia="ja-JP"/>
              </w:rPr>
              <w:t>AD - adolescents</w:t>
            </w:r>
          </w:p>
        </w:tc>
        <w:tc>
          <w:tcPr>
            <w:tcW w:w="4536" w:type="dxa"/>
          </w:tcPr>
          <w:p w14:paraId="3AA204CB" w14:textId="77777777" w:rsidR="007105E8" w:rsidRPr="00A6545C" w:rsidRDefault="007105E8" w:rsidP="002F4307">
            <w:pPr>
              <w:autoSpaceDE w:val="0"/>
              <w:autoSpaceDN w:val="0"/>
              <w:adjustRightInd w:val="0"/>
              <w:rPr>
                <w:rFonts w:eastAsiaTheme="minorHAnsi" w:cs="Calibri"/>
                <w:szCs w:val="22"/>
              </w:rPr>
            </w:pPr>
            <w:r w:rsidRPr="00A6545C">
              <w:rPr>
                <w:rFonts w:eastAsiaTheme="minorHAnsi" w:cs="Calibri"/>
                <w:szCs w:val="22"/>
                <w:u w:val="single"/>
              </w:rPr>
              <w:t>WK 0-52</w:t>
            </w:r>
            <w:r w:rsidRPr="00A6545C">
              <w:rPr>
                <w:rFonts w:eastAsiaTheme="minorHAnsi" w:cs="Calibri"/>
                <w:szCs w:val="22"/>
              </w:rPr>
              <w:t>: LEB 500 mg SC at baseline and Week 2, then 250 mg SC Q2W through Week 52</w:t>
            </w:r>
          </w:p>
        </w:tc>
        <w:tc>
          <w:tcPr>
            <w:tcW w:w="707" w:type="dxa"/>
          </w:tcPr>
          <w:p w14:paraId="749EA01B" w14:textId="77777777" w:rsidR="007105E8" w:rsidRPr="00A6545C" w:rsidRDefault="007105E8" w:rsidP="002F4307">
            <w:pPr>
              <w:spacing w:beforeLines="40" w:before="96" w:afterLines="40" w:after="96"/>
              <w:rPr>
                <w:rFonts w:cs="Calibri"/>
                <w:szCs w:val="22"/>
                <w:lang w:eastAsia="ja-JP"/>
              </w:rPr>
            </w:pPr>
            <w:r w:rsidRPr="00A6545C">
              <w:rPr>
                <w:rFonts w:cs="Calibri"/>
                <w:szCs w:val="22"/>
                <w:lang w:eastAsia="ja-JP"/>
              </w:rPr>
              <w:t>206 *</w:t>
            </w:r>
          </w:p>
        </w:tc>
      </w:tr>
    </w:tbl>
    <w:p w14:paraId="04DD5EFA" w14:textId="41E1DD8C" w:rsidR="007105E8" w:rsidRDefault="007105E8" w:rsidP="007105E8">
      <w:pPr>
        <w:spacing w:after="0" w:line="240" w:lineRule="auto"/>
        <w:rPr>
          <w:rFonts w:asciiTheme="minorHAnsi" w:hAnsiTheme="minorHAnsi" w:cs="Calibri"/>
          <w:sz w:val="16"/>
          <w:szCs w:val="16"/>
          <w:lang w:eastAsia="ja-JP"/>
        </w:rPr>
      </w:pPr>
      <w:r w:rsidRPr="00F530A6">
        <w:rPr>
          <w:rFonts w:asciiTheme="minorHAnsi" w:hAnsiTheme="minorHAnsi" w:cs="Calibri"/>
          <w:sz w:val="16"/>
          <w:szCs w:val="16"/>
          <w:lang w:eastAsia="ja-JP"/>
        </w:rPr>
        <w:t>Abbreviations: HV = heathy volunteers; LEB = lebrikizumab; PBO = placebo; TCS = topical corticosteroid; SC = subcutaneous injection;</w:t>
      </w:r>
      <w:r w:rsidRPr="00F530A6">
        <w:rPr>
          <w:rFonts w:asciiTheme="minorHAnsi" w:hAnsiTheme="minorHAnsi" w:cs="Calibri"/>
          <w:sz w:val="16"/>
          <w:szCs w:val="16"/>
        </w:rPr>
        <w:t xml:space="preserve"> AD – moderate</w:t>
      </w:r>
      <w:r>
        <w:rPr>
          <w:rFonts w:asciiTheme="minorHAnsi" w:hAnsiTheme="minorHAnsi" w:cs="Calibri"/>
          <w:sz w:val="16"/>
          <w:szCs w:val="16"/>
        </w:rPr>
        <w:t>-</w:t>
      </w:r>
      <w:r w:rsidRPr="00F530A6">
        <w:rPr>
          <w:rFonts w:asciiTheme="minorHAnsi" w:hAnsiTheme="minorHAnsi" w:cs="Calibri"/>
          <w:sz w:val="16"/>
          <w:szCs w:val="16"/>
        </w:rPr>
        <w:t>to</w:t>
      </w:r>
      <w:r>
        <w:rPr>
          <w:rFonts w:asciiTheme="minorHAnsi" w:hAnsiTheme="minorHAnsi" w:cs="Calibri"/>
          <w:sz w:val="16"/>
          <w:szCs w:val="16"/>
        </w:rPr>
        <w:t>-</w:t>
      </w:r>
      <w:r w:rsidRPr="00F530A6">
        <w:rPr>
          <w:rFonts w:asciiTheme="minorHAnsi" w:hAnsiTheme="minorHAnsi" w:cs="Calibri"/>
          <w:sz w:val="16"/>
          <w:szCs w:val="16"/>
        </w:rPr>
        <w:t>severe atopic dermatitis; N = total number of participants randomised (* apart from non-randomised study KGAE which included only one study arm); Q2W = every 2 weeks Q4W = every 4 weeks; WK = weeks</w:t>
      </w:r>
      <w:r w:rsidR="00F516F7">
        <w:rPr>
          <w:rFonts w:asciiTheme="minorHAnsi" w:hAnsiTheme="minorHAnsi" w:cs="Calibri"/>
          <w:sz w:val="16"/>
          <w:szCs w:val="16"/>
        </w:rPr>
        <w:t xml:space="preserve">. </w:t>
      </w:r>
    </w:p>
    <w:p w14:paraId="3B914655" w14:textId="77777777" w:rsidR="007105E8" w:rsidRDefault="007105E8" w:rsidP="007105E8">
      <w:pPr>
        <w:pStyle w:val="Heading4"/>
      </w:pPr>
      <w:bookmarkStart w:id="44" w:name="_Toc180416240"/>
      <w:r w:rsidRPr="00AA53F4">
        <w:t>Pharmacology</w:t>
      </w:r>
      <w:bookmarkEnd w:id="44"/>
    </w:p>
    <w:p w14:paraId="4F43F67B" w14:textId="450B9814" w:rsidR="007105E8" w:rsidRPr="009E2845" w:rsidRDefault="007105E8" w:rsidP="007105E8">
      <w:pPr>
        <w:rPr>
          <w:rFonts w:eastAsia="SymbolMT"/>
        </w:rPr>
      </w:pPr>
      <w:r w:rsidRPr="009E2845">
        <w:rPr>
          <w:rFonts w:eastAsia="SymbolMT"/>
        </w:rPr>
        <w:t>The clinical studies contributing to the PK and PD analyses (</w:t>
      </w:r>
      <w:r w:rsidR="009E2845">
        <w:rPr>
          <w:rFonts w:eastAsia="SymbolMT"/>
        </w:rPr>
        <w:t>Table 6</w:t>
      </w:r>
      <w:r w:rsidRPr="009E2845">
        <w:rPr>
          <w:rFonts w:eastAsia="SymbolMT"/>
        </w:rPr>
        <w:t>) are described in the clinical evaluation report and the main findings are summarised below</w:t>
      </w:r>
      <w:r w:rsidR="00F516F7">
        <w:rPr>
          <w:rFonts w:eastAsia="SymbolMT"/>
        </w:rPr>
        <w:t xml:space="preserve">. </w:t>
      </w:r>
    </w:p>
    <w:p w14:paraId="7D53B116" w14:textId="1E7979F3" w:rsidR="007105E8" w:rsidRDefault="007105E8" w:rsidP="009E2845">
      <w:pPr>
        <w:pStyle w:val="TableTitle"/>
      </w:pPr>
      <w:bookmarkStart w:id="45" w:name="_Ref146092774"/>
      <w:r>
        <w:t xml:space="preserve">Table </w:t>
      </w:r>
      <w:bookmarkEnd w:id="45"/>
      <w:r w:rsidR="00B061C4">
        <w:t>6</w:t>
      </w:r>
      <w:r w:rsidR="009E2845">
        <w:t>.</w:t>
      </w:r>
      <w:r>
        <w:t xml:space="preserve"> Summary of PK and PD Analyses for the Cross-Study Comparisons for Lebrikizumab</w:t>
      </w:r>
    </w:p>
    <w:p w14:paraId="0EBD821F" w14:textId="085519C2" w:rsidR="007105E8" w:rsidRPr="002D672C" w:rsidRDefault="007105E8" w:rsidP="007105E8">
      <w:r>
        <w:rPr>
          <w:noProof/>
        </w:rPr>
        <w:drawing>
          <wp:inline distT="0" distB="0" distL="0" distR="0" wp14:anchorId="1FEDDC5C" wp14:editId="63B1D39D">
            <wp:extent cx="4735902" cy="1618687"/>
            <wp:effectExtent l="0" t="0" r="7620" b="635"/>
            <wp:docPr id="2" name="Picture 2" descr="A table of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of numbers and text&#10;&#10;Description automatically generated with medium confidence"/>
                    <pic:cNvPicPr/>
                  </pic:nvPicPr>
                  <pic:blipFill>
                    <a:blip r:embed="rId20"/>
                    <a:stretch>
                      <a:fillRect/>
                    </a:stretch>
                  </pic:blipFill>
                  <pic:spPr>
                    <a:xfrm>
                      <a:off x="0" y="0"/>
                      <a:ext cx="4806331" cy="1642759"/>
                    </a:xfrm>
                    <a:prstGeom prst="rect">
                      <a:avLst/>
                    </a:prstGeom>
                  </pic:spPr>
                </pic:pic>
              </a:graphicData>
            </a:graphic>
          </wp:inline>
        </w:drawing>
      </w:r>
      <w:r>
        <w:br/>
      </w:r>
    </w:p>
    <w:p w14:paraId="17358CBF" w14:textId="14681E30" w:rsidR="007105E8" w:rsidRDefault="007105E8" w:rsidP="007105E8">
      <w:pPr>
        <w:pStyle w:val="Heading5"/>
      </w:pPr>
      <w:r w:rsidRPr="00AA53F4">
        <w:t>Pharmacokinetics</w:t>
      </w:r>
    </w:p>
    <w:p w14:paraId="7C6538AD" w14:textId="727480AF" w:rsidR="007105E8" w:rsidRPr="009E2845" w:rsidRDefault="007105E8" w:rsidP="007105E8">
      <w:r w:rsidRPr="009E2845">
        <w:rPr>
          <w:rFonts w:eastAsia="SymbolMT"/>
        </w:rPr>
        <w:t>In the Phase 1 clinical pharmacology studies, the PK of lebrikizumab was assessed following IV doses over a range of 0.1 to 5.0 mg/kg and SC doses over a range of 37.5 to 375 mg</w:t>
      </w:r>
      <w:r w:rsidR="00F516F7">
        <w:rPr>
          <w:rFonts w:eastAsia="SymbolMT"/>
        </w:rPr>
        <w:t xml:space="preserve">. </w:t>
      </w:r>
      <w:r w:rsidRPr="009E2845">
        <w:t>Following single SC doses of lebrikizumab in healthy participants, peak concentrations were achieved within 4 to 10 days across the Phase 1 studies (</w:t>
      </w:r>
      <w:r w:rsidRPr="009E2845">
        <w:rPr>
          <w:rFonts w:cs="TimesNewRomanPSMT"/>
        </w:rPr>
        <w:t>KGBA, KGAZ, KGAY, and KGAM)</w:t>
      </w:r>
      <w:r w:rsidR="00F516F7">
        <w:rPr>
          <w:rFonts w:cs="TimesNewRomanPSMT"/>
        </w:rPr>
        <w:t xml:space="preserve">. </w:t>
      </w:r>
      <w:r w:rsidRPr="009E2845">
        <w:t>Lebrikizumab demonstrated linear PK with dose-proportional increase in exposure across single IV doses of 0.1 to 5.0 mg/kg in Study KGBB and across single SC doses of 125 to 375 mg in Study KGAZ.</w:t>
      </w:r>
    </w:p>
    <w:p w14:paraId="523C3504" w14:textId="28F30EF9" w:rsidR="007105E8" w:rsidRPr="009E2845" w:rsidRDefault="007105E8" w:rsidP="007105E8">
      <w:pPr>
        <w:rPr>
          <w:rFonts w:cs="TimesNewRomanPSMT"/>
        </w:rPr>
      </w:pPr>
      <w:r w:rsidRPr="009E2845">
        <w:rPr>
          <w:lang w:eastAsia="ja-JP"/>
        </w:rPr>
        <w:t xml:space="preserve">In Study KGBA, the absolute bioavailability of lebrikizumab </w:t>
      </w:r>
      <w:r w:rsidRPr="009E2845">
        <w:rPr>
          <w:rFonts w:cs="TimesNewRomanPSMT"/>
        </w:rPr>
        <w:t xml:space="preserve">was 85% following a single-dose SC injection of </w:t>
      </w:r>
      <w:r w:rsidRPr="009E2845">
        <w:rPr>
          <w:lang w:eastAsia="ja-JP"/>
        </w:rPr>
        <w:t>1 mg/kg</w:t>
      </w:r>
      <w:r w:rsidRPr="009E2845">
        <w:rPr>
          <w:rFonts w:cs="TimesNewRomanPSMT"/>
        </w:rPr>
        <w:t xml:space="preserve"> based on AUC</w:t>
      </w:r>
      <w:r w:rsidRPr="009E2845">
        <w:rPr>
          <w:rFonts w:cs="TimesNewRomanPSMT"/>
          <w:vertAlign w:val="subscript"/>
        </w:rPr>
        <w:t>0-∞</w:t>
      </w:r>
      <w:r w:rsidRPr="009E2845">
        <w:rPr>
          <w:rFonts w:cs="TimesNewRomanPSMT"/>
        </w:rPr>
        <w:t xml:space="preserve"> (</w:t>
      </w:r>
      <w:r w:rsidR="009E2845">
        <w:rPr>
          <w:rFonts w:cs="TimesNewRomanPSMT"/>
        </w:rPr>
        <w:t>Table 7</w:t>
      </w:r>
      <w:r w:rsidRPr="009E2845">
        <w:rPr>
          <w:rFonts w:cs="TimesNewRomanPSMT"/>
        </w:rPr>
        <w:t>)</w:t>
      </w:r>
      <w:r w:rsidR="00F516F7">
        <w:rPr>
          <w:rFonts w:cs="TimesNewRomanPSMT"/>
          <w:vertAlign w:val="subscript"/>
        </w:rPr>
        <w:t xml:space="preserve">. </w:t>
      </w:r>
    </w:p>
    <w:p w14:paraId="6ACAB125" w14:textId="2591A7C2" w:rsidR="007105E8" w:rsidRPr="009E2845" w:rsidRDefault="007105E8" w:rsidP="009E2845">
      <w:pPr>
        <w:pStyle w:val="TableTitle"/>
        <w:rPr>
          <w:rFonts w:cs="TimesNewRomanPSMT"/>
        </w:rPr>
      </w:pPr>
      <w:bookmarkStart w:id="46" w:name="_Ref145947293"/>
      <w:r w:rsidRPr="009E2845">
        <w:t xml:space="preserve">Table </w:t>
      </w:r>
      <w:bookmarkEnd w:id="46"/>
      <w:r w:rsidR="009E2845">
        <w:t>7.</w:t>
      </w:r>
      <w:r w:rsidRPr="009E2845">
        <w:t xml:space="preserve"> Statistical analysis of PK data of lebrikizumab (SC injection relative to IV infusion) – Study KGBA</w:t>
      </w:r>
    </w:p>
    <w:p w14:paraId="7CFAB859" w14:textId="38102685" w:rsidR="007105E8" w:rsidRDefault="007105E8" w:rsidP="007105E8">
      <w:pPr>
        <w:rPr>
          <w:rFonts w:asciiTheme="minorHAnsi" w:hAnsiTheme="minorHAnsi" w:cs="TimesNewRomanPSMT"/>
        </w:rPr>
      </w:pPr>
      <w:r>
        <w:rPr>
          <w:noProof/>
        </w:rPr>
        <w:drawing>
          <wp:inline distT="0" distB="0" distL="0" distR="0" wp14:anchorId="38719708" wp14:editId="0F22D953">
            <wp:extent cx="5296619" cy="1238185"/>
            <wp:effectExtent l="0" t="0" r="0" b="635"/>
            <wp:docPr id="1"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able with numbers and symbols&#10;&#10;Description automatically generated"/>
                    <pic:cNvPicPr/>
                  </pic:nvPicPr>
                  <pic:blipFill>
                    <a:blip r:embed="rId21"/>
                    <a:stretch>
                      <a:fillRect/>
                    </a:stretch>
                  </pic:blipFill>
                  <pic:spPr>
                    <a:xfrm>
                      <a:off x="0" y="0"/>
                      <a:ext cx="5372267" cy="1255869"/>
                    </a:xfrm>
                    <a:prstGeom prst="rect">
                      <a:avLst/>
                    </a:prstGeom>
                  </pic:spPr>
                </pic:pic>
              </a:graphicData>
            </a:graphic>
          </wp:inline>
        </w:drawing>
      </w:r>
    </w:p>
    <w:p w14:paraId="397F1B5A" w14:textId="35C8EA10" w:rsidR="007105E8" w:rsidRPr="009E2845" w:rsidRDefault="007105E8" w:rsidP="00F516F7">
      <w:r w:rsidRPr="009E2845">
        <w:t>In the bioequivalence study KGBG comparing 250 mg single-dose SC administration with an autoinjector vs pre-filled syringe</w:t>
      </w:r>
      <w:r w:rsidRPr="009E2845">
        <w:rPr>
          <w:rFonts w:cs="Calibri"/>
        </w:rPr>
        <w:t xml:space="preserve"> with needle safety device (PFS-NSD)</w:t>
      </w:r>
      <w:r w:rsidRPr="009E2845">
        <w:t xml:space="preserve">, peak concentration occurred </w:t>
      </w:r>
      <w:r w:rsidRPr="009E2845">
        <w:rPr>
          <w:rFonts w:cs="Cambria Math"/>
        </w:rPr>
        <w:t>∼</w:t>
      </w:r>
      <w:r w:rsidRPr="009E2845">
        <w:t>7 to 8 days post-administration</w:t>
      </w:r>
      <w:r w:rsidR="00F516F7">
        <w:t xml:space="preserve">. </w:t>
      </w:r>
      <w:r w:rsidRPr="009E2845">
        <w:t xml:space="preserve">Bioequivalence was demonstrated for </w:t>
      </w:r>
      <w:r w:rsidRPr="009E2845">
        <w:rPr>
          <w:color w:val="000000"/>
        </w:rPr>
        <w:t xml:space="preserve">autoinjector (the presentation proposed for marketing in Australia) versus </w:t>
      </w:r>
      <w:r w:rsidRPr="009E2845">
        <w:rPr>
          <w:rFonts w:cs="Calibri"/>
        </w:rPr>
        <w:t xml:space="preserve">PFS-NSD </w:t>
      </w:r>
      <w:r w:rsidRPr="009E2845">
        <w:rPr>
          <w:color w:val="000000"/>
        </w:rPr>
        <w:t>(</w:t>
      </w:r>
      <w:r w:rsidR="009E2845">
        <w:rPr>
          <w:color w:val="000000"/>
        </w:rPr>
        <w:t>Table 8</w:t>
      </w:r>
      <w:r w:rsidRPr="009E2845">
        <w:rPr>
          <w:color w:val="000000"/>
        </w:rPr>
        <w:t>)</w:t>
      </w:r>
      <w:r w:rsidR="00F516F7">
        <w:rPr>
          <w:color w:val="000000"/>
        </w:rPr>
        <w:t xml:space="preserve">. </w:t>
      </w:r>
      <w:r w:rsidRPr="009E2845">
        <w:rPr>
          <w:color w:val="000000"/>
        </w:rPr>
        <w:t xml:space="preserve">PK exposure parameters </w:t>
      </w:r>
      <w:r w:rsidRPr="009E2845">
        <w:t>were similar across injection sites (arm, thigh, or abdomen) and across the three stratified weight categories (&lt;70 kg, 70–80 kg, &gt;80 kg).</w:t>
      </w:r>
    </w:p>
    <w:p w14:paraId="5C49309F" w14:textId="3B45D697" w:rsidR="007105E8" w:rsidRPr="009E2845" w:rsidRDefault="007105E8" w:rsidP="007105E8">
      <w:pPr>
        <w:rPr>
          <w:rFonts w:cs="TimesNewRomanPSMT"/>
        </w:rPr>
      </w:pPr>
      <w:r w:rsidRPr="009E2845">
        <w:rPr>
          <w:lang w:eastAsia="ja-JP"/>
        </w:rPr>
        <w:t>The relative bioavailability study KGAY (bridging study) demonstrated bioequivalence</w:t>
      </w:r>
      <w:r w:rsidRPr="009E2845">
        <w:rPr>
          <w:rFonts w:cs="TimesNewRomanPSMT"/>
        </w:rPr>
        <w:t xml:space="preserve"> of lebrikizumab as a single SC dose of 37.5 mg (0.3 mL of 125 mg/mL solution) withdrawn from a vial and administered using a needle and syringe with a single SC dose of 37.5 mg (1 mL of a 37.5 mg/mL solution) administered using a PFS-NSD</w:t>
      </w:r>
      <w:r w:rsidR="00F516F7">
        <w:rPr>
          <w:rFonts w:cs="TimesNewRomanPSMT"/>
        </w:rPr>
        <w:t xml:space="preserve">. </w:t>
      </w:r>
      <w:r w:rsidRPr="009E2845">
        <w:rPr>
          <w:lang w:eastAsia="ja-JP"/>
        </w:rPr>
        <w:t>The relative bioavailability study KGAM (bridging study) showed similar PK for 250 mg SC doses administered as two injections of 1 mL each vs one injection of 2 mL</w:t>
      </w:r>
      <w:r w:rsidR="00F516F7">
        <w:rPr>
          <w:lang w:eastAsia="ja-JP"/>
        </w:rPr>
        <w:t xml:space="preserve">. </w:t>
      </w:r>
      <w:r w:rsidRPr="009E2845">
        <w:rPr>
          <w:rFonts w:cs="TimesNewRomanPSMT"/>
        </w:rPr>
        <w:t>The 90% CI of the geometric LSM ratio for lebrikizumab AUC</w:t>
      </w:r>
      <w:r w:rsidRPr="009E2845">
        <w:rPr>
          <w:rFonts w:cs="TimesNewRomanPSMT"/>
          <w:vertAlign w:val="subscript"/>
        </w:rPr>
        <w:t>last</w:t>
      </w:r>
      <w:r w:rsidRPr="009E2845">
        <w:rPr>
          <w:rFonts w:cs="TimesNewRomanPSMT"/>
        </w:rPr>
        <w:t xml:space="preserve"> was completely contained within the BE range, but the 90% CIs for the AUC</w:t>
      </w:r>
      <w:r w:rsidRPr="009E2845">
        <w:rPr>
          <w:rFonts w:cs="TimesNewRomanPSMT"/>
          <w:vertAlign w:val="subscript"/>
        </w:rPr>
        <w:t>inf</w:t>
      </w:r>
      <w:r w:rsidRPr="009E2845">
        <w:rPr>
          <w:rFonts w:cs="TimesNewRomanPSMT"/>
        </w:rPr>
        <w:t>, and C</w:t>
      </w:r>
      <w:r w:rsidRPr="009E2845">
        <w:rPr>
          <w:rFonts w:cs="TimesNewRomanPSMT"/>
          <w:vertAlign w:val="subscript"/>
        </w:rPr>
        <w:t>max</w:t>
      </w:r>
      <w:r w:rsidRPr="009E2845">
        <w:rPr>
          <w:rFonts w:cs="TimesNewRomanPSMT"/>
        </w:rPr>
        <w:t xml:space="preserve"> were not contained completely within the range.</w:t>
      </w:r>
    </w:p>
    <w:p w14:paraId="3AE56242" w14:textId="3D1B7559" w:rsidR="007105E8" w:rsidRDefault="007105E8" w:rsidP="009E2845">
      <w:pPr>
        <w:pStyle w:val="TableTitle"/>
      </w:pPr>
      <w:bookmarkStart w:id="47" w:name="_Ref146094263"/>
      <w:r>
        <w:t>Table</w:t>
      </w:r>
      <w:bookmarkEnd w:id="47"/>
      <w:r w:rsidR="00B061C4">
        <w:t xml:space="preserve"> 8</w:t>
      </w:r>
      <w:r w:rsidR="009E2845">
        <w:t>.</w:t>
      </w:r>
      <w:r>
        <w:t xml:space="preserve"> Statistical Analysis of Serum Lebrikizumab Pharmacokinetic Parameters after Single Subcutaneous Administration of 2-mL (125 mg/mL) Lebrikizumab via AI (test) or PFS-NSD (reference)</w:t>
      </w:r>
      <w:r w:rsidRPr="00BD1742">
        <w:rPr>
          <w:rFonts w:asciiTheme="minorHAnsi" w:eastAsiaTheme="minorHAnsi" w:hAnsiTheme="minorHAnsi" w:cs="Arial-BoldMT"/>
          <w:bCs/>
        </w:rPr>
        <w:t xml:space="preserve"> </w:t>
      </w:r>
      <w:r>
        <w:rPr>
          <w:rFonts w:asciiTheme="minorHAnsi" w:eastAsiaTheme="minorHAnsi" w:hAnsiTheme="minorHAnsi" w:cs="Arial-BoldMT"/>
          <w:bCs/>
        </w:rPr>
        <w:t>–</w:t>
      </w:r>
      <w:r>
        <w:t xml:space="preserve"> Study KGBG</w:t>
      </w:r>
    </w:p>
    <w:p w14:paraId="547D4D8C" w14:textId="2AFB6BC6" w:rsidR="009E2845" w:rsidRDefault="007105E8" w:rsidP="007105E8">
      <w:r>
        <w:rPr>
          <w:noProof/>
        </w:rPr>
        <w:drawing>
          <wp:inline distT="0" distB="0" distL="0" distR="0" wp14:anchorId="59B10A57" wp14:editId="478A4B58">
            <wp:extent cx="4713707" cy="2130725"/>
            <wp:effectExtent l="0" t="0" r="0" b="3175"/>
            <wp:docPr id="4" name="Picture 4" descr="A table of medical tes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able of medical tests&#10;&#10;Description automatically generated with medium confidence"/>
                    <pic:cNvPicPr/>
                  </pic:nvPicPr>
                  <pic:blipFill>
                    <a:blip r:embed="rId22"/>
                    <a:stretch>
                      <a:fillRect/>
                    </a:stretch>
                  </pic:blipFill>
                  <pic:spPr>
                    <a:xfrm>
                      <a:off x="0" y="0"/>
                      <a:ext cx="4794236" cy="2167126"/>
                    </a:xfrm>
                    <a:prstGeom prst="rect">
                      <a:avLst/>
                    </a:prstGeom>
                  </pic:spPr>
                </pic:pic>
              </a:graphicData>
            </a:graphic>
          </wp:inline>
        </w:drawing>
      </w:r>
    </w:p>
    <w:p w14:paraId="08C57508" w14:textId="7E16950A" w:rsidR="007105E8" w:rsidRPr="0018055F" w:rsidRDefault="007105E8" w:rsidP="007105E8">
      <w:pPr>
        <w:rPr>
          <w:rFonts w:cs="TimesNewRomanPSMT"/>
        </w:rPr>
      </w:pPr>
      <w:r w:rsidRPr="0018055F">
        <w:t>No studies on the metabolism of lebrikizumab have been conducted, but lebrikizumab is a monoclonal antibody and is expected to be degraded into small peptides and amino acids via catabolic pathways in the same manner as endogenous IgG</w:t>
      </w:r>
      <w:r w:rsidR="00F516F7">
        <w:t xml:space="preserve">. </w:t>
      </w:r>
      <w:r w:rsidRPr="0018055F">
        <w:rPr>
          <w:rFonts w:cs="TimesNewRomanPSMT"/>
        </w:rPr>
        <w:t>In Study KGBA, mean terminal half-life values were comparable between the IV group (24.7 days) and the SC group (26.0 days).</w:t>
      </w:r>
    </w:p>
    <w:p w14:paraId="1A2768E2" w14:textId="6C8894B7" w:rsidR="007105E8" w:rsidRPr="0018055F" w:rsidRDefault="007105E8" w:rsidP="007105E8">
      <w:pPr>
        <w:autoSpaceDE w:val="0"/>
        <w:autoSpaceDN w:val="0"/>
        <w:adjustRightInd w:val="0"/>
        <w:spacing w:after="0" w:line="240" w:lineRule="auto"/>
        <w:rPr>
          <w:lang w:eastAsia="ja-JP"/>
        </w:rPr>
      </w:pPr>
      <w:r w:rsidRPr="0018055F">
        <w:rPr>
          <w:lang w:eastAsia="ja-JP"/>
        </w:rPr>
        <w:t>There were no dedicated PK studies in subjects with impaired hepatic function or impaired renal function</w:t>
      </w:r>
      <w:r w:rsidR="00F516F7">
        <w:rPr>
          <w:lang w:eastAsia="ja-JP"/>
        </w:rPr>
        <w:t xml:space="preserve">. </w:t>
      </w:r>
      <w:r w:rsidRPr="0018055F">
        <w:rPr>
          <w:lang w:eastAsia="ja-JP"/>
        </w:rPr>
        <w:t>The</w:t>
      </w:r>
      <w:r w:rsidRPr="0018055F">
        <w:t xml:space="preserve"> PopPK analysis showed that markers of hepatic function (ALT and AST) and renal function (eGFR) did not affect the PK of lebrikizumab.</w:t>
      </w:r>
      <w:r w:rsidRPr="0018055F">
        <w:rPr>
          <w:lang w:eastAsia="ja-JP"/>
        </w:rPr>
        <w:t xml:space="preserve"> </w:t>
      </w:r>
    </w:p>
    <w:p w14:paraId="74EF69AF" w14:textId="709DE3E9" w:rsidR="007105E8" w:rsidRPr="0018055F" w:rsidRDefault="007105E8" w:rsidP="007105E8">
      <w:pPr>
        <w:autoSpaceDE w:val="0"/>
        <w:autoSpaceDN w:val="0"/>
        <w:adjustRightInd w:val="0"/>
        <w:spacing w:after="0" w:line="240" w:lineRule="auto"/>
      </w:pPr>
      <w:r w:rsidRPr="0018055F">
        <w:t>No drug interaction studies were conducted</w:t>
      </w:r>
      <w:r w:rsidR="00F516F7">
        <w:t xml:space="preserve">. </w:t>
      </w:r>
      <w:r w:rsidRPr="0018055F">
        <w:t xml:space="preserve">No PK drug interactions are expected based on the characteristics of lebrikizumab. </w:t>
      </w:r>
    </w:p>
    <w:p w14:paraId="317314A5" w14:textId="3D31D22C" w:rsidR="007105E8" w:rsidRDefault="007105E8" w:rsidP="007105E8">
      <w:pPr>
        <w:pStyle w:val="Heading5"/>
        <w:rPr>
          <w:color w:val="auto"/>
        </w:rPr>
      </w:pPr>
      <w:r w:rsidRPr="00AA53F4">
        <w:t xml:space="preserve">Population PK data </w:t>
      </w:r>
    </w:p>
    <w:p w14:paraId="26EBD6F5" w14:textId="646CF829" w:rsidR="007105E8" w:rsidRDefault="007105E8" w:rsidP="007105E8">
      <w:pPr>
        <w:rPr>
          <w:lang w:eastAsia="ja-JP"/>
        </w:rPr>
      </w:pPr>
      <w:r w:rsidRPr="0058416B">
        <w:rPr>
          <w:lang w:eastAsia="ja-JP"/>
        </w:rPr>
        <w:t xml:space="preserve">The </w:t>
      </w:r>
      <w:r w:rsidRPr="004E2BE2">
        <w:rPr>
          <w:lang w:eastAsia="ja-JP"/>
        </w:rPr>
        <w:t>objectives</w:t>
      </w:r>
      <w:r w:rsidRPr="0058416B">
        <w:rPr>
          <w:lang w:eastAsia="ja-JP"/>
        </w:rPr>
        <w:t xml:space="preserve"> of the </w:t>
      </w:r>
      <w:r w:rsidR="009E2845">
        <w:rPr>
          <w:lang w:eastAsia="ja-JP"/>
        </w:rPr>
        <w:t>population pharmacokinetics (</w:t>
      </w:r>
      <w:r w:rsidRPr="0058416B">
        <w:rPr>
          <w:lang w:eastAsia="ja-JP"/>
        </w:rPr>
        <w:t>PopPK</w:t>
      </w:r>
      <w:r w:rsidR="009E2845">
        <w:rPr>
          <w:lang w:eastAsia="ja-JP"/>
        </w:rPr>
        <w:t>)</w:t>
      </w:r>
      <w:r w:rsidRPr="0058416B">
        <w:rPr>
          <w:lang w:eastAsia="ja-JP"/>
        </w:rPr>
        <w:t xml:space="preserve"> analysis were: </w:t>
      </w:r>
    </w:p>
    <w:p w14:paraId="40A246C0" w14:textId="77777777" w:rsidR="007105E8" w:rsidRPr="00DF68FE" w:rsidRDefault="007105E8" w:rsidP="00F516F7">
      <w:pPr>
        <w:pStyle w:val="ListBullet"/>
        <w:rPr>
          <w:i/>
          <w:iCs/>
        </w:rPr>
      </w:pPr>
      <w:r w:rsidRPr="00DF68FE">
        <w:t xml:space="preserve">to characterise the PK of lebrikizumab in adult and adolescent participants with AD. </w:t>
      </w:r>
    </w:p>
    <w:p w14:paraId="2C81141C" w14:textId="77777777" w:rsidR="007105E8" w:rsidRPr="00DF68FE" w:rsidRDefault="007105E8" w:rsidP="00F516F7">
      <w:pPr>
        <w:pStyle w:val="ListBullet"/>
        <w:rPr>
          <w:i/>
          <w:iCs/>
        </w:rPr>
      </w:pPr>
      <w:r w:rsidRPr="00DF68FE">
        <w:t>to identify patient factors and laboratory parameters that may influence lebrikizumab disposition in this patient population.</w:t>
      </w:r>
    </w:p>
    <w:p w14:paraId="6EED4046" w14:textId="77777777" w:rsidR="007105E8" w:rsidRPr="00DF68FE" w:rsidRDefault="007105E8" w:rsidP="00F516F7">
      <w:pPr>
        <w:pStyle w:val="ListBullet"/>
        <w:rPr>
          <w:i/>
          <w:iCs/>
        </w:rPr>
      </w:pPr>
      <w:r w:rsidRPr="00DF68FE">
        <w:t>to derive individual PK parameters/exposure metrics for the assessment of exposure-response (ER) relationships.</w:t>
      </w:r>
    </w:p>
    <w:p w14:paraId="1EC7AFEC" w14:textId="6D30E995" w:rsidR="007105E8" w:rsidRPr="001569E4" w:rsidRDefault="007105E8" w:rsidP="007105E8">
      <w:pPr>
        <w:autoSpaceDE w:val="0"/>
        <w:autoSpaceDN w:val="0"/>
        <w:rPr>
          <w:rFonts w:cs="TimesNewRomanPSMT"/>
        </w:rPr>
      </w:pPr>
      <w:r w:rsidRPr="001569E4">
        <w:t xml:space="preserve">The PopPK analysis included data from </w:t>
      </w:r>
      <w:r w:rsidRPr="001569E4">
        <w:rPr>
          <w:rFonts w:cs="CIDFont+F2"/>
        </w:rPr>
        <w:t>four Phase 3 studies in patients with AD (KGAB, KGAC, KGAD, KGAE), three Phase 2 studies in patients with AD (KGAF, KGAG, KGAH), and four Phase 1 studies in healthy participants (KGAM, KGAY, KGAZ, KGBA)</w:t>
      </w:r>
      <w:r w:rsidR="00F516F7">
        <w:rPr>
          <w:rFonts w:cs="CIDFont+F2"/>
        </w:rPr>
        <w:t xml:space="preserve">. </w:t>
      </w:r>
      <w:r w:rsidRPr="001569E4">
        <w:rPr>
          <w:rFonts w:cs="TimesNewRomanPSMT"/>
        </w:rPr>
        <w:t>The final PopPK dataset comprised 6860 measurable observations from 1607 participants, including 304 adolescents (aged 12 to &lt;18 years with body weight ≥ 40 kg).</w:t>
      </w:r>
    </w:p>
    <w:p w14:paraId="6DB4B930" w14:textId="58191A10" w:rsidR="007105E8" w:rsidRPr="000243DD" w:rsidRDefault="007105E8" w:rsidP="007105E8">
      <w:r w:rsidRPr="000243DD">
        <w:rPr>
          <w:rFonts w:cs="TimesNewRomanPSMT"/>
        </w:rPr>
        <w:t xml:space="preserve">The PK profile of lebrikizumab was best described by a 2-compartment model with first order absorption and linear elimination over a dose range of 37.5 mg to 500 mg when </w:t>
      </w:r>
      <w:r w:rsidRPr="000243DD">
        <w:t xml:space="preserve">lebrikizumab was </w:t>
      </w:r>
      <w:r w:rsidRPr="000243DD">
        <w:rPr>
          <w:rFonts w:cs="TimesNewRomanPSMT"/>
        </w:rPr>
        <w:t>administered SC in healthy participants and patients with AD</w:t>
      </w:r>
      <w:r w:rsidR="00F516F7">
        <w:rPr>
          <w:rFonts w:cs="TimesNewRomanPSMT"/>
        </w:rPr>
        <w:t xml:space="preserve">. </w:t>
      </w:r>
      <w:r w:rsidRPr="000243DD">
        <w:rPr>
          <w:rFonts w:cs="TimesNewRomanPSMT"/>
        </w:rPr>
        <w:t>Lebrikizumab bioavailability after SC administration was 86.1%</w:t>
      </w:r>
      <w:r w:rsidR="00F516F7">
        <w:rPr>
          <w:rFonts w:cs="TimesNewRomanPSMT"/>
        </w:rPr>
        <w:t xml:space="preserve">. </w:t>
      </w:r>
      <w:r w:rsidRPr="000243DD">
        <w:t>The total volume of distribution at steady state was 5.14 L</w:t>
      </w:r>
      <w:r w:rsidR="00F516F7">
        <w:t xml:space="preserve">. </w:t>
      </w:r>
      <w:r w:rsidRPr="000243DD">
        <w:t>Clearance was 0.154 L/day and was independent of dose over the range 37.5 mg to 500 mg</w:t>
      </w:r>
      <w:r w:rsidR="00F516F7">
        <w:t xml:space="preserve">. </w:t>
      </w:r>
      <w:r w:rsidRPr="000243DD">
        <w:t>The mean elimination half-life was 24.5 days.</w:t>
      </w:r>
    </w:p>
    <w:p w14:paraId="49315914" w14:textId="75D97A2D" w:rsidR="007105E8" w:rsidRPr="000243DD" w:rsidRDefault="007105E8" w:rsidP="007105E8">
      <w:r w:rsidRPr="000243DD">
        <w:t>Simulations of induction and maintenance dosing were performed, including the dosing regimen evaluated in the pivotal studies and proposed for registration (</w:t>
      </w:r>
      <w:r w:rsidR="000243DD">
        <w:t>Figure 1</w:t>
      </w:r>
      <w:r w:rsidRPr="000243DD">
        <w:t>)</w:t>
      </w:r>
      <w:r w:rsidR="00F516F7">
        <w:t xml:space="preserve">. </w:t>
      </w:r>
      <w:r w:rsidRPr="000243DD">
        <w:t>Following 500 mg loading doses at Weeks 0 and Week 2, steady-state serum concentrations were achieved at Week 4</w:t>
      </w:r>
      <w:r w:rsidR="00F516F7">
        <w:rPr>
          <w:rFonts w:eastAsia="SymbolMT" w:cs="TimesNewRomanPSMT"/>
          <w:color w:val="000000"/>
        </w:rPr>
        <w:t xml:space="preserve">. </w:t>
      </w:r>
      <w:r w:rsidRPr="000243DD">
        <w:rPr>
          <w:rFonts w:eastAsia="SymbolMT" w:cs="TimesNewRomanPSMT"/>
          <w:color w:val="000000"/>
        </w:rPr>
        <w:t>After Week 4, lebrikizumab serum concentrations were consistent across the treatment period from Week 4 to Week 16 with 250 mg Q2W</w:t>
      </w:r>
      <w:r w:rsidR="00F516F7">
        <w:rPr>
          <w:rFonts w:eastAsia="SymbolMT" w:cs="TimesNewRomanPSMT"/>
          <w:color w:val="000000"/>
        </w:rPr>
        <w:t xml:space="preserve">. </w:t>
      </w:r>
      <w:r w:rsidRPr="000243DD">
        <w:t>For participants switching from 250 mg Q2W to 250 mg Q4W, the new lower steady-state concentrations were reached after 3 doses (12 weeks) on Q4W dosing</w:t>
      </w:r>
      <w:r w:rsidR="00F516F7">
        <w:t xml:space="preserve">. </w:t>
      </w:r>
      <w:r w:rsidRPr="000243DD">
        <w:rPr>
          <w:rFonts w:eastAsia="SymbolMT" w:cs="TimesNewRomanPSMT"/>
        </w:rPr>
        <w:t xml:space="preserve">Simulated median lebrikizumab concentrations </w:t>
      </w:r>
      <w:r w:rsidRPr="000243DD">
        <w:rPr>
          <w:rFonts w:eastAsia="SymbolMT" w:cs="TimesNewRomanPSMT"/>
          <w:vertAlign w:val="subscript"/>
        </w:rPr>
        <w:t xml:space="preserve"> </w:t>
      </w:r>
      <w:r w:rsidRPr="000243DD">
        <w:rPr>
          <w:rFonts w:eastAsia="SymbolMT" w:cs="TimesNewRomanPSMT"/>
        </w:rPr>
        <w:t xml:space="preserve">were </w:t>
      </w:r>
      <w:r w:rsidRPr="000243DD">
        <w:rPr>
          <w:rFonts w:eastAsia="SymbolMT" w:cs="Cambria Math"/>
        </w:rPr>
        <w:t>∼</w:t>
      </w:r>
      <w:r w:rsidRPr="000243DD">
        <w:rPr>
          <w:rFonts w:eastAsia="SymbolMT" w:cs="TimesNewRomanPSMT"/>
        </w:rPr>
        <w:t>50% lower for 250 mg Q4W dosing compared to 250 mg Q2W dosing at Week 52</w:t>
      </w:r>
      <w:r w:rsidR="00F516F7">
        <w:rPr>
          <w:rFonts w:eastAsia="SymbolMT" w:cs="TimesNewRomanPSMT"/>
        </w:rPr>
        <w:t xml:space="preserve">. </w:t>
      </w:r>
    </w:p>
    <w:p w14:paraId="05332AD0" w14:textId="78F41056" w:rsidR="007105E8" w:rsidRDefault="007105E8" w:rsidP="001569E4">
      <w:pPr>
        <w:pStyle w:val="FigureTitle"/>
      </w:pPr>
      <w:bookmarkStart w:id="48" w:name="_Ref146101416"/>
      <w:r>
        <w:t xml:space="preserve">Figure </w:t>
      </w:r>
      <w:r>
        <w:fldChar w:fldCharType="begin"/>
      </w:r>
      <w:r>
        <w:instrText xml:space="preserve"> SEQ Figure \* ARABIC </w:instrText>
      </w:r>
      <w:r>
        <w:fldChar w:fldCharType="separate"/>
      </w:r>
      <w:r>
        <w:rPr>
          <w:noProof/>
        </w:rPr>
        <w:t>1</w:t>
      </w:r>
      <w:r>
        <w:rPr>
          <w:noProof/>
        </w:rPr>
        <w:fldChar w:fldCharType="end"/>
      </w:r>
      <w:bookmarkEnd w:id="48"/>
      <w:r w:rsidR="000243DD">
        <w:rPr>
          <w:noProof/>
        </w:rPr>
        <w:t>.</w:t>
      </w:r>
      <w:r>
        <w:t xml:space="preserve"> Simulations of lebrikizumab concentration-time to 52 weeks (Phase 3 dosing regimens) using final PopPK model. </w:t>
      </w:r>
    </w:p>
    <w:p w14:paraId="185F9B80" w14:textId="77777777" w:rsidR="00F516F7" w:rsidRDefault="00286237" w:rsidP="00F516F7">
      <w:r>
        <w:rPr>
          <w:noProof/>
        </w:rPr>
        <w:drawing>
          <wp:inline distT="0" distB="0" distL="0" distR="0" wp14:anchorId="6B51B17A" wp14:editId="19056347">
            <wp:extent cx="4961661" cy="3700732"/>
            <wp:effectExtent l="0" t="0" r="0" b="0"/>
            <wp:docPr id="2000213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13165" name=""/>
                    <pic:cNvPicPr/>
                  </pic:nvPicPr>
                  <pic:blipFill>
                    <a:blip r:embed="rId23"/>
                    <a:stretch>
                      <a:fillRect/>
                    </a:stretch>
                  </pic:blipFill>
                  <pic:spPr>
                    <a:xfrm>
                      <a:off x="0" y="0"/>
                      <a:ext cx="4965658" cy="3703713"/>
                    </a:xfrm>
                    <a:prstGeom prst="rect">
                      <a:avLst/>
                    </a:prstGeom>
                  </pic:spPr>
                </pic:pic>
              </a:graphicData>
            </a:graphic>
          </wp:inline>
        </w:drawing>
      </w:r>
    </w:p>
    <w:p w14:paraId="6900D55C" w14:textId="77777777" w:rsidR="00F516F7" w:rsidRDefault="007105E8" w:rsidP="00F516F7">
      <w:r w:rsidRPr="00DB3228">
        <w:t>Notes: Simulated patients received 500 mg loading doses at Weeks 0 and 2, followed by 250 mg Q2W dosing until Week 16. At Week 16, 1 group remained on 250 mg Q2W (black/grey) and 1 group reduced their dose to 250 mg Q4W (red) for remainder of maintenance period to Week 52. Simulation of N = 500 participants for each group. Body weights for simulated participants were sampled from observed baseline weights of Phase 3 adults and adolescents in the PK dataset. Lines represent medians, and shaded areas represent 5th and 95th percentiles of simulated values at each time point.</w:t>
      </w:r>
      <w:bookmarkStart w:id="49" w:name="_Ref146525008"/>
    </w:p>
    <w:p w14:paraId="2D187BE3" w14:textId="0BC828F5" w:rsidR="007105E8" w:rsidRPr="001569E4" w:rsidRDefault="007105E8" w:rsidP="00F516F7">
      <w:pPr>
        <w:rPr>
          <w:rFonts w:cs="TimesNewRomanPSMT"/>
        </w:rPr>
      </w:pPr>
      <w:r w:rsidRPr="001569E4">
        <w:rPr>
          <w:rFonts w:eastAsia="SymbolMT" w:cs="TimesNewRomanPSMT"/>
        </w:rPr>
        <w:t xml:space="preserve">Body weight was identified as a significant covariate on lebrikizumab </w:t>
      </w:r>
      <w:r w:rsidRPr="001569E4">
        <w:rPr>
          <w:rFonts w:cs="TimesNewRomanPSMT"/>
        </w:rPr>
        <w:t>clearance, inter-compartment clearance, central volume of distribution, and peripheral volume of distribution, but the analysis concluded that differences in body weight do not require dosage modification for the proposed treatment population</w:t>
      </w:r>
      <w:r w:rsidR="00F516F7">
        <w:rPr>
          <w:rFonts w:cs="TimesNewRomanPSMT"/>
        </w:rPr>
        <w:t xml:space="preserve">. </w:t>
      </w:r>
      <w:r w:rsidRPr="001569E4">
        <w:rPr>
          <w:rFonts w:cs="TimesNewRomanPSMT"/>
        </w:rPr>
        <w:t>Simulations of 250 mg Q2W dosing at steady state showed that the highest and lowest quartiles for body weight had median lebrikizumab concentrations of 75.7 μg/mL and 133 μg/mL, respectively, compared to the overall population median of 100 μg/mL</w:t>
      </w:r>
      <w:r w:rsidR="00F516F7">
        <w:rPr>
          <w:rFonts w:cs="TimesNewRomanPSMT"/>
        </w:rPr>
        <w:t xml:space="preserve">. </w:t>
      </w:r>
      <w:r w:rsidRPr="001569E4">
        <w:t>The simulated median C</w:t>
      </w:r>
      <w:r w:rsidRPr="001569E4">
        <w:rPr>
          <w:vertAlign w:val="subscript"/>
        </w:rPr>
        <w:t xml:space="preserve">trough,ss </w:t>
      </w:r>
      <w:r w:rsidRPr="001569E4">
        <w:t>values were above 50 µg/mL for the Q2W regimen for all body weight quartiles and generally 25 to 50 µg/mL for the Q4W regimen for all body weight quartiles.</w:t>
      </w:r>
    </w:p>
    <w:p w14:paraId="1F557135" w14:textId="7AAD8799" w:rsidR="007105E8" w:rsidRPr="001569E4" w:rsidRDefault="007105E8" w:rsidP="00F516F7">
      <w:r w:rsidRPr="001569E4">
        <w:rPr>
          <w:rFonts w:eastAsia="SymbolMT" w:cs="TimesNewRomanPSMT"/>
        </w:rPr>
        <w:t>Covariates assessed as having no significant influence on the PK of lebrikizumab included age, sex, race (Caucasian, African, Asian), injection site location (arm, abdomen, thigh), disease state (AD vs healthy), hepatic function (ALT, AST), and renal function (eGFR)</w:t>
      </w:r>
      <w:r w:rsidR="00F516F7">
        <w:rPr>
          <w:rFonts w:eastAsia="SymbolMT" w:cs="TimesNewRomanPSMT"/>
        </w:rPr>
        <w:t xml:space="preserve">. </w:t>
      </w:r>
      <w:r w:rsidRPr="001569E4">
        <w:t>The age of participants in the PopPK dataset ranged from 12 to 93 years, with 77 participants over the age of 65 years, 16 participants over the age of 75 years, and 304 adolescent participants (12 to &lt;18 years of age, body weight ≥40 kg)</w:t>
      </w:r>
      <w:r w:rsidR="00F516F7">
        <w:t xml:space="preserve">. </w:t>
      </w:r>
      <w:r w:rsidRPr="001569E4">
        <w:t>Age was tested as both a categorical (adult or adolescent) and continuous covariate and was found not to have a significant effect on the PK of lebrikizumab</w:t>
      </w:r>
      <w:r w:rsidR="00F516F7">
        <w:t xml:space="preserve">. </w:t>
      </w:r>
      <w:r w:rsidRPr="001569E4">
        <w:t>The PK exposure for adolescents was 17% to 21% higher than adults (</w:t>
      </w:r>
      <w:r w:rsidRPr="001569E4">
        <w:fldChar w:fldCharType="begin"/>
      </w:r>
      <w:r w:rsidRPr="001569E4">
        <w:instrText xml:space="preserve"> REF _Ref159508701 \h </w:instrText>
      </w:r>
      <w:r w:rsidR="001569E4">
        <w:instrText xml:space="preserve"> \* MERGEFORMAT </w:instrText>
      </w:r>
      <w:r w:rsidRPr="001569E4">
        <w:fldChar w:fldCharType="separate"/>
      </w:r>
      <w:r w:rsidRPr="001569E4">
        <w:t xml:space="preserve">Figure </w:t>
      </w:r>
      <w:r w:rsidRPr="001569E4">
        <w:rPr>
          <w:noProof/>
        </w:rPr>
        <w:t>2</w:t>
      </w:r>
      <w:r w:rsidRPr="001569E4">
        <w:fldChar w:fldCharType="end"/>
      </w:r>
      <w:r w:rsidRPr="001569E4">
        <w:t>), consistent with the lower mean body weight in adolescents (66 kg) compared to adults (79 kg)</w:t>
      </w:r>
      <w:r w:rsidR="00F516F7">
        <w:t xml:space="preserve">. </w:t>
      </w:r>
    </w:p>
    <w:p w14:paraId="0C2B9202" w14:textId="5CA7A614" w:rsidR="007105E8" w:rsidRDefault="007105E8" w:rsidP="001569E4">
      <w:pPr>
        <w:pStyle w:val="FigureTitle"/>
        <w:rPr>
          <w:rFonts w:asciiTheme="minorHAnsi" w:hAnsiTheme="minorHAnsi"/>
        </w:rPr>
      </w:pPr>
      <w:bookmarkStart w:id="50" w:name="_Ref159508701"/>
      <w:r>
        <w:t xml:space="preserve">Figure </w:t>
      </w:r>
      <w:bookmarkEnd w:id="49"/>
      <w:bookmarkEnd w:id="50"/>
      <w:r w:rsidR="001569E4">
        <w:t>2.</w:t>
      </w:r>
      <w:r>
        <w:t xml:space="preserve"> Simulations of lebrikizumab concentration-time to 52 weeks using final PopPK model for adults (black/grey) and adolescents (red). Phase 3 dosing regimens 500 mg</w:t>
      </w:r>
      <w:r w:rsidR="001569E4">
        <w:t xml:space="preserve"> </w:t>
      </w:r>
      <w:r>
        <w:t>loading doses at Weeks 0 and 2, then 250 mg Q2W doses to Week 16, then 250 mg Q2W (</w:t>
      </w:r>
      <w:r w:rsidR="001569E4">
        <w:t>upper</w:t>
      </w:r>
      <w:r>
        <w:t xml:space="preserve"> panel) or 250 mg Q4W (</w:t>
      </w:r>
      <w:r w:rsidR="001569E4">
        <w:t>lower</w:t>
      </w:r>
      <w:r>
        <w:t xml:space="preserve"> panel) from Week 16</w:t>
      </w:r>
      <w:r w:rsidR="00850971">
        <w:t>.</w:t>
      </w:r>
    </w:p>
    <w:p w14:paraId="7E8D0C4C" w14:textId="3A0421FB" w:rsidR="007105E8" w:rsidRDefault="00286237" w:rsidP="007105E8">
      <w:pPr>
        <w:autoSpaceDE w:val="0"/>
        <w:autoSpaceDN w:val="0"/>
        <w:adjustRightInd w:val="0"/>
        <w:rPr>
          <w:rFonts w:eastAsia="SymbolMT" w:cs="TimesNewRomanPSMT"/>
          <w:color w:val="000000"/>
        </w:rPr>
      </w:pPr>
      <w:r>
        <w:rPr>
          <w:noProof/>
        </w:rPr>
        <w:drawing>
          <wp:inline distT="0" distB="0" distL="0" distR="0" wp14:anchorId="4B986E8D" wp14:editId="7062DC83">
            <wp:extent cx="4816237" cy="3269412"/>
            <wp:effectExtent l="0" t="0" r="3810" b="7620"/>
            <wp:docPr id="124472225" name="Picture 1" descr="A graph showing a r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2225" name="Picture 1" descr="A graph showing a red line&#10;&#10;Description automatically generated with medium confidence"/>
                    <pic:cNvPicPr/>
                  </pic:nvPicPr>
                  <pic:blipFill>
                    <a:blip r:embed="rId24"/>
                    <a:stretch>
                      <a:fillRect/>
                    </a:stretch>
                  </pic:blipFill>
                  <pic:spPr>
                    <a:xfrm>
                      <a:off x="0" y="0"/>
                      <a:ext cx="4841089" cy="3286282"/>
                    </a:xfrm>
                    <a:prstGeom prst="rect">
                      <a:avLst/>
                    </a:prstGeom>
                  </pic:spPr>
                </pic:pic>
              </a:graphicData>
            </a:graphic>
          </wp:inline>
        </w:drawing>
      </w:r>
    </w:p>
    <w:p w14:paraId="033DB91F" w14:textId="4560B69A" w:rsidR="001569E4" w:rsidRPr="00F444EB" w:rsidRDefault="00286237" w:rsidP="007105E8">
      <w:pPr>
        <w:autoSpaceDE w:val="0"/>
        <w:autoSpaceDN w:val="0"/>
        <w:adjustRightInd w:val="0"/>
        <w:rPr>
          <w:rFonts w:eastAsia="SymbolMT" w:cs="TimesNewRomanPSMT"/>
          <w:color w:val="000000"/>
        </w:rPr>
      </w:pPr>
      <w:r w:rsidRPr="00286237">
        <w:rPr>
          <w:noProof/>
        </w:rPr>
        <w:drawing>
          <wp:inline distT="0" distB="0" distL="0" distR="0" wp14:anchorId="2A4A0FAF" wp14:editId="5E8ABED7">
            <wp:extent cx="4866644" cy="3467819"/>
            <wp:effectExtent l="0" t="0" r="0" b="0"/>
            <wp:docPr id="145746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6486" name=""/>
                    <pic:cNvPicPr/>
                  </pic:nvPicPr>
                  <pic:blipFill>
                    <a:blip r:embed="rId25"/>
                    <a:stretch>
                      <a:fillRect/>
                    </a:stretch>
                  </pic:blipFill>
                  <pic:spPr>
                    <a:xfrm>
                      <a:off x="0" y="0"/>
                      <a:ext cx="4885155" cy="3481009"/>
                    </a:xfrm>
                    <a:prstGeom prst="rect">
                      <a:avLst/>
                    </a:prstGeom>
                  </pic:spPr>
                </pic:pic>
              </a:graphicData>
            </a:graphic>
          </wp:inline>
        </w:drawing>
      </w:r>
    </w:p>
    <w:p w14:paraId="34219409" w14:textId="5579AFB0" w:rsidR="007105E8" w:rsidRDefault="007105E8" w:rsidP="007105E8">
      <w:pPr>
        <w:pStyle w:val="Heading5"/>
      </w:pPr>
      <w:r w:rsidRPr="00AA53F4">
        <w:t>Pharmacodynamics</w:t>
      </w:r>
    </w:p>
    <w:p w14:paraId="0738F145" w14:textId="5617168E" w:rsidR="007105E8" w:rsidRPr="001569E4" w:rsidRDefault="007105E8" w:rsidP="007105E8">
      <w:r w:rsidRPr="001569E4">
        <w:t xml:space="preserve">The </w:t>
      </w:r>
      <w:r w:rsidR="000243DD">
        <w:t>p</w:t>
      </w:r>
      <w:r w:rsidR="000243DD" w:rsidRPr="000243DD">
        <w:t>harmacodynamics (PD)</w:t>
      </w:r>
      <w:r w:rsidR="000243DD">
        <w:t xml:space="preserve"> </w:t>
      </w:r>
      <w:r w:rsidRPr="001569E4">
        <w:t>of lebrikizumab was evaluated in a Phase 2 randomised, double-blind, placebo-controlled study in 212 patients with AD (Study KGAG) and in two Phase 3, randomised, double-blind, placebo-controlled studies in 2148 patients with asthma (Studies KGAN and KGAO)</w:t>
      </w:r>
      <w:r w:rsidR="00F516F7">
        <w:t xml:space="preserve">. </w:t>
      </w:r>
      <w:r w:rsidRPr="001569E4">
        <w:t>Multiple serum biomarkers were explored as potential markers of IL-13 activity, including serum periostin, IgE, CCL-13 (monocyte chemotactic protein-4), CCL-17 (thymus and activation-regulated chemokine), and CCL-18 (pulmonary and activation-regulated chemokine).</w:t>
      </w:r>
    </w:p>
    <w:p w14:paraId="2E8C88EF" w14:textId="4FFA6D4D" w:rsidR="007105E8" w:rsidRPr="001569E4" w:rsidRDefault="007105E8" w:rsidP="007105E8">
      <w:r w:rsidRPr="001569E4">
        <w:t>In Study KGAG, treatment with lebrikizumab (combined with TCS) generally appeared to have a greater effect compared to placebo (TCS only) on the levels of CCL-13, CCL-18, periostin, and IgE, but no dose-response relationship was observed</w:t>
      </w:r>
      <w:r w:rsidR="00F516F7">
        <w:t xml:space="preserve">. </w:t>
      </w:r>
      <w:r w:rsidRPr="001569E4">
        <w:t>In Studies KGAN and KGAO in patients with asthma, treatment with lebrikizumab generally appeared to have a greater effect compared to placebo on the levels of CCL-13, CCL-17, periostin, and IgE</w:t>
      </w:r>
      <w:r w:rsidR="00F516F7">
        <w:t xml:space="preserve">. </w:t>
      </w:r>
      <w:r w:rsidRPr="001569E4">
        <w:t>These findings provide indirect support for inhibition of the IL-13 pathway by lebrikizumab.</w:t>
      </w:r>
    </w:p>
    <w:p w14:paraId="606DFA63" w14:textId="77777777" w:rsidR="007105E8" w:rsidRPr="004A6D0D" w:rsidRDefault="007105E8" w:rsidP="00E4590E">
      <w:pPr>
        <w:pStyle w:val="Heading5"/>
      </w:pPr>
      <w:r w:rsidRPr="004A6D0D">
        <w:t>Exposure-response analy</w:t>
      </w:r>
      <w:r>
        <w:t>si</w:t>
      </w:r>
      <w:r w:rsidRPr="004A6D0D">
        <w:t>s</w:t>
      </w:r>
    </w:p>
    <w:p w14:paraId="762B7F54" w14:textId="4106E5FC" w:rsidR="007105E8" w:rsidRPr="001569E4" w:rsidRDefault="007105E8" w:rsidP="007105E8">
      <w:pPr>
        <w:rPr>
          <w:rFonts w:cs="CMR10"/>
        </w:rPr>
      </w:pPr>
      <w:r w:rsidRPr="001569E4">
        <w:t xml:space="preserve">A PK/PD analysis was performed to characterise the relationship between exposure and </w:t>
      </w:r>
      <w:r w:rsidRPr="001569E4">
        <w:rPr>
          <w:rFonts w:cs="CMR10"/>
        </w:rPr>
        <w:t>Eczema Area and Severity Index (EASI) response</w:t>
      </w:r>
      <w:r w:rsidRPr="001569E4">
        <w:t xml:space="preserve"> to support the proposed dosing regimen</w:t>
      </w:r>
      <w:r w:rsidR="00F516F7">
        <w:t xml:space="preserve">. </w:t>
      </w:r>
      <w:r w:rsidRPr="001569E4">
        <w:t>The E-R analysis included data from 1307 participants (131 adolescents and 1176 adults) with AD from 5 studies (KGAF, KGAG, KGAB, KGAC, KGAD)</w:t>
      </w:r>
      <w:r w:rsidR="00F516F7">
        <w:t xml:space="preserve">. </w:t>
      </w:r>
      <w:r w:rsidRPr="001569E4">
        <w:rPr>
          <w:rFonts w:cs="CMR10"/>
        </w:rPr>
        <w:t>The maximum effect (E</w:t>
      </w:r>
      <w:r w:rsidRPr="001569E4">
        <w:rPr>
          <w:rFonts w:cs="CMR10"/>
          <w:vertAlign w:val="subscript"/>
        </w:rPr>
        <w:t xml:space="preserve">max </w:t>
      </w:r>
      <w:r w:rsidRPr="001569E4">
        <w:rPr>
          <w:rFonts w:cs="CMR10"/>
        </w:rPr>
        <w:t>) was estimated to be 0.831 (95% CI: 0.761, 0.883) and the lebrikizumab concentration that produces 50% of maximum effect (EC</w:t>
      </w:r>
      <w:r w:rsidRPr="001569E4">
        <w:rPr>
          <w:rFonts w:cs="CMR10"/>
          <w:vertAlign w:val="subscript"/>
        </w:rPr>
        <w:t>50</w:t>
      </w:r>
      <w:r w:rsidRPr="001569E4">
        <w:rPr>
          <w:rFonts w:cs="CMR10"/>
        </w:rPr>
        <w:t>) was estimated to be 16.5 ug/mL (95% CI: 9.84, 27.6 ug/mL).</w:t>
      </w:r>
    </w:p>
    <w:p w14:paraId="7DC0B1C6" w14:textId="2B172514" w:rsidR="007105E8" w:rsidRPr="001569E4" w:rsidRDefault="007105E8" w:rsidP="007105E8">
      <w:pPr>
        <w:rPr>
          <w:rFonts w:cs="CMR10"/>
        </w:rPr>
      </w:pPr>
      <w:r w:rsidRPr="001569E4">
        <w:t>Simulations using the final E-R model predicted EASI responses with various induction regimens up to Week 24, with and without daily TCS (</w:t>
      </w:r>
      <w:r w:rsidR="00791016">
        <w:t>Figure 3</w:t>
      </w:r>
      <w:r w:rsidRPr="001569E4">
        <w:t>)</w:t>
      </w:r>
      <w:r w:rsidR="00F516F7">
        <w:t xml:space="preserve">. </w:t>
      </w:r>
      <w:r w:rsidRPr="001569E4">
        <w:t>The EASI-75 and EASI-90 response rates were highest for the 500/250 mg Q2W regimen and the response curves tended to flatten after Week 16, supporting the induction regimen used in the pivotal Phase 3 studies (500 mg at Weeks 0 and 2 followed by 250 mg Q2W through to Week 16)</w:t>
      </w:r>
      <w:r w:rsidR="00F516F7">
        <w:t xml:space="preserve">. </w:t>
      </w:r>
      <w:r w:rsidRPr="001569E4">
        <w:rPr>
          <w:rFonts w:cs="CMR10"/>
        </w:rPr>
        <w:t>The estimated effect of TCS usage (whether transitory or consistent) was small</w:t>
      </w:r>
      <w:r w:rsidR="00F516F7">
        <w:rPr>
          <w:rFonts w:cs="CMR10"/>
        </w:rPr>
        <w:t xml:space="preserve">. </w:t>
      </w:r>
      <w:r w:rsidRPr="001569E4">
        <w:rPr>
          <w:rFonts w:cs="CMR10"/>
        </w:rPr>
        <w:t>Body weight was not found to be a statistically significant covariate in the PK-PD model.</w:t>
      </w:r>
    </w:p>
    <w:p w14:paraId="6470E74C" w14:textId="41BB4F3A" w:rsidR="007105E8" w:rsidRPr="001569E4" w:rsidRDefault="007105E8" w:rsidP="007105E8">
      <w:r w:rsidRPr="001569E4">
        <w:t>Simulations were conducted to compare 250 mg Q2W and 250 mg Q4W dosing regimens for the maintenance period</w:t>
      </w:r>
      <w:r w:rsidR="00F516F7">
        <w:t xml:space="preserve">. </w:t>
      </w:r>
      <w:r w:rsidRPr="001569E4">
        <w:t>For responders at Week 16, the simulations predicted that the 250 mg Q2W and Q4W regimens would maintain a similar percent change in EASI from Week 16 to Week 52 (</w:t>
      </w:r>
      <w:r w:rsidR="00791016">
        <w:t>Figure 4</w:t>
      </w:r>
      <w:r w:rsidRPr="001569E4">
        <w:t>), and similar EASI-75 and EASI-90 response rates through to Week 52 (</w:t>
      </w:r>
      <w:r w:rsidR="00791016">
        <w:t>Figure 5</w:t>
      </w:r>
      <w:r w:rsidRPr="001569E4">
        <w:t>)</w:t>
      </w:r>
      <w:r w:rsidR="00F516F7">
        <w:t xml:space="preserve">. </w:t>
      </w:r>
      <w:r w:rsidRPr="001569E4">
        <w:t>Non-responders had not achieved EASI 75 at Week 16, but EASI-75 response rates improved with maintenance treatment (</w:t>
      </w:r>
      <w:r w:rsidRPr="001569E4">
        <w:fldChar w:fldCharType="begin"/>
      </w:r>
      <w:r w:rsidRPr="001569E4">
        <w:instrText xml:space="preserve"> REF _Ref146206232 \h </w:instrText>
      </w:r>
      <w:r w:rsidR="001569E4">
        <w:instrText xml:space="preserve"> \* MERGEFORMAT </w:instrText>
      </w:r>
      <w:r w:rsidRPr="001569E4">
        <w:fldChar w:fldCharType="separate"/>
      </w:r>
      <w:r w:rsidRPr="001569E4">
        <w:t xml:space="preserve">Figure </w:t>
      </w:r>
      <w:r w:rsidRPr="001569E4">
        <w:rPr>
          <w:noProof/>
        </w:rPr>
        <w:t>6</w:t>
      </w:r>
      <w:r w:rsidRPr="001569E4">
        <w:fldChar w:fldCharType="end"/>
      </w:r>
      <w:r w:rsidRPr="001569E4">
        <w:t>)</w:t>
      </w:r>
      <w:r w:rsidR="00F516F7">
        <w:t xml:space="preserve">. </w:t>
      </w:r>
      <w:r w:rsidRPr="001569E4">
        <w:t>EASI-75 response rates at Week 52 were numerically higher for Q2W vs Q4W (41% vs 26%), but with substantial overlap in the 95% confidence intervals</w:t>
      </w:r>
      <w:r w:rsidR="00F516F7">
        <w:t xml:space="preserve">. </w:t>
      </w:r>
      <w:r w:rsidRPr="001569E4">
        <w:t>EASI-90 response rates remained low for non-responders at Week 16.</w:t>
      </w:r>
    </w:p>
    <w:p w14:paraId="5A663DE0" w14:textId="76CD838F" w:rsidR="007105E8" w:rsidRPr="001569E4" w:rsidRDefault="007105E8" w:rsidP="007105E8">
      <w:r w:rsidRPr="001569E4">
        <w:t xml:space="preserve">The simulations explored 250 mg </w:t>
      </w:r>
      <w:r w:rsidR="001A3B69">
        <w:t>QXW</w:t>
      </w:r>
      <w:r w:rsidRPr="001569E4">
        <w:t xml:space="preserve"> as maintenance dosing</w:t>
      </w:r>
      <w:r w:rsidR="000C7ABC">
        <w:t xml:space="preserve">; </w:t>
      </w:r>
      <w:r w:rsidRPr="001569E4">
        <w:t xml:space="preserve">250 mg </w:t>
      </w:r>
      <w:r w:rsidR="001A3B69">
        <w:t>QXW</w:t>
      </w:r>
      <w:r w:rsidRPr="001569E4">
        <w:t xml:space="preserve"> dosing was not evaluated in the pivotal AD studies.</w:t>
      </w:r>
    </w:p>
    <w:p w14:paraId="3EF16F78" w14:textId="72FB9B68" w:rsidR="000A41D9" w:rsidRDefault="007105E8" w:rsidP="00F516F7">
      <w:pPr>
        <w:pStyle w:val="FigureTitle"/>
        <w:rPr>
          <w:noProof/>
        </w:rPr>
      </w:pPr>
      <w:bookmarkStart w:id="51" w:name="_Ref146203445"/>
      <w:r>
        <w:t>Figure</w:t>
      </w:r>
      <w:bookmarkEnd w:id="51"/>
      <w:r w:rsidR="001569E4">
        <w:t xml:space="preserve"> </w:t>
      </w:r>
      <w:r w:rsidR="00791016">
        <w:t>3</w:t>
      </w:r>
      <w:r w:rsidR="001569E4">
        <w:rPr>
          <w:noProof/>
        </w:rPr>
        <w:t>.</w:t>
      </w:r>
      <w:r>
        <w:t xml:space="preserve"> </w:t>
      </w:r>
      <w:r w:rsidRPr="00487413">
        <w:t>Simulations using the final E</w:t>
      </w:r>
      <w:r>
        <w:t>-</w:t>
      </w:r>
      <w:r w:rsidRPr="00487413">
        <w:t xml:space="preserve">R </w:t>
      </w:r>
      <w:r>
        <w:t>m</w:t>
      </w:r>
      <w:r w:rsidRPr="00487413">
        <w:t>odel</w:t>
      </w:r>
      <w:r>
        <w:t xml:space="preserve"> of</w:t>
      </w:r>
      <w:r w:rsidRPr="00487413">
        <w:t xml:space="preserve"> various induction </w:t>
      </w:r>
      <w:r>
        <w:t xml:space="preserve">dosing </w:t>
      </w:r>
      <w:r w:rsidRPr="00487413">
        <w:t xml:space="preserve">regimens </w:t>
      </w:r>
      <w:r>
        <w:t xml:space="preserve">up to Week 24 </w:t>
      </w:r>
      <w:r w:rsidRPr="00487413">
        <w:t>to illustrate</w:t>
      </w:r>
      <w:r>
        <w:t xml:space="preserve"> the </w:t>
      </w:r>
      <w:r w:rsidRPr="00487413">
        <w:t>dose-response for lebrikizumab fo</w:t>
      </w:r>
      <w:r>
        <w:t>r E</w:t>
      </w:r>
      <w:r w:rsidRPr="00487413">
        <w:t>ASI 75</w:t>
      </w:r>
      <w:r>
        <w:t xml:space="preserve"> </w:t>
      </w:r>
      <w:r w:rsidRPr="00487413">
        <w:t>and EASI 90, with and without daily use of TCS</w:t>
      </w:r>
      <w:r>
        <w:t>.</w:t>
      </w:r>
    </w:p>
    <w:p w14:paraId="531919E5" w14:textId="3A5B75B6" w:rsidR="000243DD" w:rsidRDefault="000A41D9" w:rsidP="00F516F7">
      <w:pPr>
        <w:rPr>
          <w:rFonts w:asciiTheme="minorHAnsi" w:hAnsiTheme="minorHAnsi"/>
          <w:szCs w:val="18"/>
        </w:rPr>
      </w:pPr>
      <w:r>
        <w:rPr>
          <w:noProof/>
        </w:rPr>
        <w:drawing>
          <wp:inline distT="0" distB="0" distL="0" distR="0" wp14:anchorId="61BF9351" wp14:editId="1447D0F0">
            <wp:extent cx="5302111" cy="7539487"/>
            <wp:effectExtent l="0" t="0" r="0" b="4445"/>
            <wp:docPr id="153449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9908" name=""/>
                    <pic:cNvPicPr/>
                  </pic:nvPicPr>
                  <pic:blipFill rotWithShape="1">
                    <a:blip r:embed="rId26">
                      <a:extLst>
                        <a:ext uri="{BEBA8EAE-BF5A-486C-A8C5-ECC9F3942E4B}">
                          <a14:imgProps xmlns:a14="http://schemas.microsoft.com/office/drawing/2010/main">
                            <a14:imgLayer r:embed="rId27">
                              <a14:imgEffect>
                                <a14:sharpenSoften amount="25000"/>
                              </a14:imgEffect>
                              <a14:imgEffect>
                                <a14:brightnessContrast contrast="20000"/>
                              </a14:imgEffect>
                            </a14:imgLayer>
                          </a14:imgProps>
                        </a:ext>
                      </a:extLst>
                    </a:blip>
                    <a:srcRect t="384"/>
                    <a:stretch/>
                  </pic:blipFill>
                  <pic:spPr bwMode="auto">
                    <a:xfrm>
                      <a:off x="0" y="0"/>
                      <a:ext cx="5320289" cy="7565335"/>
                    </a:xfrm>
                    <a:prstGeom prst="rect">
                      <a:avLst/>
                    </a:prstGeom>
                    <a:ln>
                      <a:noFill/>
                    </a:ln>
                    <a:extLst>
                      <a:ext uri="{53640926-AAD7-44D8-BBD7-CCE9431645EC}">
                        <a14:shadowObscured xmlns:a14="http://schemas.microsoft.com/office/drawing/2010/main"/>
                      </a:ext>
                    </a:extLst>
                  </pic:spPr>
                </pic:pic>
              </a:graphicData>
            </a:graphic>
          </wp:inline>
        </w:drawing>
      </w:r>
      <w:r w:rsidR="007105E8" w:rsidRPr="00E331D9">
        <w:rPr>
          <w:rFonts w:asciiTheme="minorHAnsi" w:hAnsiTheme="minorHAnsi"/>
          <w:szCs w:val="18"/>
        </w:rPr>
        <w:t xml:space="preserve"> </w:t>
      </w:r>
    </w:p>
    <w:p w14:paraId="557E3278" w14:textId="07821924" w:rsidR="00001E0D" w:rsidRDefault="007105E8" w:rsidP="000243DD">
      <w:pPr>
        <w:pStyle w:val="TableDescription"/>
      </w:pPr>
      <w:r w:rsidRPr="00001E0D">
        <w:t>500/250 mg Q2W: loading doses of 500 mg at Weeks 0 and 2 followed by 250 mg Q2W; 500/250 mg Q4W: single loading dose of 500 mg followed by 250 mg Q4W; 250/125 mg Q2W: single loading dose of 250 mg followed by 125 mg Q4W</w:t>
      </w:r>
      <w:r w:rsidR="00F516F7">
        <w:t xml:space="preserve">. </w:t>
      </w:r>
    </w:p>
    <w:p w14:paraId="53D077D6" w14:textId="73DD2FDD" w:rsidR="007105E8" w:rsidRDefault="007105E8" w:rsidP="000A41D9">
      <w:pPr>
        <w:pStyle w:val="FigureTitle"/>
      </w:pPr>
      <w:bookmarkStart w:id="52" w:name="_Ref146205608"/>
      <w:r>
        <w:t xml:space="preserve">Figure </w:t>
      </w:r>
      <w:bookmarkEnd w:id="52"/>
      <w:r w:rsidR="00791016">
        <w:t>4</w:t>
      </w:r>
      <w:r w:rsidR="00001E0D">
        <w:rPr>
          <w:noProof/>
        </w:rPr>
        <w:t>.</w:t>
      </w:r>
      <w:r>
        <w:t xml:space="preserve"> Simulated EASI percent change from baseline for Week 16 responders and non-responders </w:t>
      </w:r>
    </w:p>
    <w:p w14:paraId="17D1E9B5" w14:textId="77777777" w:rsidR="00001E0D" w:rsidRDefault="00001E0D" w:rsidP="000A41D9">
      <w:r>
        <w:rPr>
          <w:noProof/>
        </w:rPr>
        <w:drawing>
          <wp:inline distT="0" distB="0" distL="0" distR="0" wp14:anchorId="4084A7CB" wp14:editId="4DC91195">
            <wp:extent cx="3544516" cy="3441940"/>
            <wp:effectExtent l="0" t="0" r="0" b="6350"/>
            <wp:docPr id="58665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877" name=""/>
                    <pic:cNvPicPr/>
                  </pic:nvPicPr>
                  <pic:blipFill>
                    <a:blip r:embed="rId28">
                      <a:extLst>
                        <a:ext uri="{BEBA8EAE-BF5A-486C-A8C5-ECC9F3942E4B}">
                          <a14:imgProps xmlns:a14="http://schemas.microsoft.com/office/drawing/2010/main">
                            <a14:imgLayer r:embed="rId29">
                              <a14:imgEffect>
                                <a14:sharpenSoften amount="25000"/>
                              </a14:imgEffect>
                              <a14:imgEffect>
                                <a14:brightnessContrast contrast="-40000"/>
                              </a14:imgEffect>
                            </a14:imgLayer>
                          </a14:imgProps>
                        </a:ext>
                      </a:extLst>
                    </a:blip>
                    <a:stretch>
                      <a:fillRect/>
                    </a:stretch>
                  </pic:blipFill>
                  <pic:spPr>
                    <a:xfrm>
                      <a:off x="0" y="0"/>
                      <a:ext cx="3564324" cy="3461175"/>
                    </a:xfrm>
                    <a:prstGeom prst="rect">
                      <a:avLst/>
                    </a:prstGeom>
                  </pic:spPr>
                </pic:pic>
              </a:graphicData>
            </a:graphic>
          </wp:inline>
        </w:drawing>
      </w:r>
    </w:p>
    <w:p w14:paraId="164414C7" w14:textId="77777777" w:rsidR="00AD421B" w:rsidRDefault="00001E0D" w:rsidP="000A41D9">
      <w:r>
        <w:rPr>
          <w:noProof/>
        </w:rPr>
        <w:drawing>
          <wp:inline distT="0" distB="0" distL="0" distR="0" wp14:anchorId="2D6370BC" wp14:editId="71840441">
            <wp:extent cx="3304097" cy="3407434"/>
            <wp:effectExtent l="0" t="0" r="0" b="2540"/>
            <wp:docPr id="2146591685" name="Picture 1" descr="A graph of a normalized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91685" name="Picture 1" descr="A graph of a normalized curve&#10;&#10;Description automatically generated with medium confidenc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Lst>
                    </a:blip>
                    <a:srcRect l="1100"/>
                    <a:stretch/>
                  </pic:blipFill>
                  <pic:spPr bwMode="auto">
                    <a:xfrm>
                      <a:off x="0" y="0"/>
                      <a:ext cx="3331302" cy="3435489"/>
                    </a:xfrm>
                    <a:prstGeom prst="rect">
                      <a:avLst/>
                    </a:prstGeom>
                    <a:ln>
                      <a:noFill/>
                    </a:ln>
                    <a:extLst>
                      <a:ext uri="{53640926-AAD7-44D8-BBD7-CCE9431645EC}">
                        <a14:shadowObscured xmlns:a14="http://schemas.microsoft.com/office/drawing/2010/main"/>
                      </a:ext>
                    </a:extLst>
                  </pic:spPr>
                </pic:pic>
              </a:graphicData>
            </a:graphic>
          </wp:inline>
        </w:drawing>
      </w:r>
    </w:p>
    <w:p w14:paraId="1E9DA1BC" w14:textId="77777777" w:rsidR="006D6FD0" w:rsidRDefault="007105E8" w:rsidP="006D6FD0">
      <w:pPr>
        <w:pStyle w:val="FigureDescription"/>
        <w:keepNext w:val="0"/>
      </w:pPr>
      <w:r w:rsidRPr="00BF3C98">
        <w:t>Colo</w:t>
      </w:r>
      <w:r>
        <w:t>u</w:t>
      </w:r>
      <w:r w:rsidRPr="00BF3C98">
        <w:t>red lines and shaded regions show median and 95% CI of simulated values, respectively, for each regimen.</w:t>
      </w:r>
      <w:bookmarkStart w:id="53" w:name="_Ref146206232"/>
    </w:p>
    <w:p w14:paraId="270C9AB7" w14:textId="20527175" w:rsidR="007105E8" w:rsidRDefault="007105E8" w:rsidP="006D6FD0">
      <w:pPr>
        <w:pStyle w:val="FigureTitle"/>
      </w:pPr>
      <w:r>
        <w:t xml:space="preserve">Figure </w:t>
      </w:r>
      <w:bookmarkEnd w:id="53"/>
      <w:r w:rsidR="00791016">
        <w:t>5</w:t>
      </w:r>
      <w:r w:rsidR="00001E0D">
        <w:t>.</w:t>
      </w:r>
      <w:r>
        <w:t xml:space="preserve"> Simulated EASI-75 (upper panels) and EASI-90 (lower panels) for Week 16 responders (left panels) and non-responders (right panels).</w:t>
      </w:r>
    </w:p>
    <w:p w14:paraId="51F5A994" w14:textId="094EB773" w:rsidR="000243DD" w:rsidRDefault="007105E8" w:rsidP="006D6FD0">
      <w:r>
        <w:rPr>
          <w:noProof/>
        </w:rPr>
        <w:drawing>
          <wp:inline distT="0" distB="0" distL="0" distR="0" wp14:anchorId="73092FD3" wp14:editId="3B957AA4">
            <wp:extent cx="5737632" cy="578594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6176" cy="5804645"/>
                    </a:xfrm>
                    <a:prstGeom prst="rect">
                      <a:avLst/>
                    </a:prstGeom>
                  </pic:spPr>
                </pic:pic>
              </a:graphicData>
            </a:graphic>
          </wp:inline>
        </w:drawing>
      </w:r>
    </w:p>
    <w:p w14:paraId="299817A7" w14:textId="1C9383D9" w:rsidR="007105E8" w:rsidRDefault="007105E8" w:rsidP="006D6FD0">
      <w:pPr>
        <w:pStyle w:val="FigureDescription"/>
      </w:pPr>
      <w:r w:rsidRPr="00BF3C98">
        <w:t>Colo</w:t>
      </w:r>
      <w:r>
        <w:t>u</w:t>
      </w:r>
      <w:r w:rsidRPr="00BF3C98">
        <w:t>red lines and shaded regions show median and 95% CI of simulated values, respectively, for each regimen.</w:t>
      </w:r>
    </w:p>
    <w:p w14:paraId="6D947AC2" w14:textId="0CCDA086" w:rsidR="007105E8" w:rsidRPr="00013277" w:rsidRDefault="007105E8" w:rsidP="006D6FD0">
      <w:pPr>
        <w:pStyle w:val="Heading5"/>
      </w:pPr>
      <w:r>
        <w:t>Phase 2 studies</w:t>
      </w:r>
    </w:p>
    <w:p w14:paraId="74365DB5" w14:textId="77777777" w:rsidR="007105E8" w:rsidRDefault="007105E8" w:rsidP="007105E8">
      <w:pPr>
        <w:pStyle w:val="Heading6"/>
      </w:pPr>
      <w:r>
        <w:t>Study KGAF</w:t>
      </w:r>
    </w:p>
    <w:p w14:paraId="64B5E50F" w14:textId="21BCC7C7" w:rsidR="007105E8" w:rsidRPr="000243DD" w:rsidRDefault="007105E8" w:rsidP="007105E8">
      <w:pPr>
        <w:rPr>
          <w:rFonts w:cs="TimesNewRomanPSMT"/>
        </w:rPr>
      </w:pPr>
      <w:r w:rsidRPr="000243DD">
        <w:rPr>
          <w:lang w:eastAsia="ja-JP"/>
        </w:rPr>
        <w:t xml:space="preserve">This was a Phase 2b, randomised, double-blind, placebo-controlled, dose-ranging trial designed to evaluate the efficacy and safety of </w:t>
      </w:r>
      <w:r w:rsidRPr="000243DD">
        <w:rPr>
          <w:rFonts w:cs="Calibri"/>
        </w:rPr>
        <w:t xml:space="preserve">lebrikizumab </w:t>
      </w:r>
      <w:r w:rsidRPr="000243DD">
        <w:rPr>
          <w:lang w:eastAsia="ja-JP"/>
        </w:rPr>
        <w:t>in adult patients with moderate to severe AD</w:t>
      </w:r>
      <w:r w:rsidR="00F516F7">
        <w:rPr>
          <w:lang w:eastAsia="ja-JP"/>
        </w:rPr>
        <w:t xml:space="preserve">. </w:t>
      </w:r>
      <w:r w:rsidRPr="000243DD">
        <w:rPr>
          <w:rFonts w:cs="TimesNewRomanPSMT"/>
        </w:rPr>
        <w:t>The study was conducted in the USA from January 2018 to May 2019.</w:t>
      </w:r>
    </w:p>
    <w:p w14:paraId="3121577A" w14:textId="23632EDB" w:rsidR="007105E8" w:rsidRPr="000243DD" w:rsidRDefault="007105E8" w:rsidP="007105E8">
      <w:pPr>
        <w:autoSpaceDE w:val="0"/>
        <w:autoSpaceDN w:val="0"/>
        <w:adjustRightInd w:val="0"/>
      </w:pPr>
      <w:r w:rsidRPr="000243DD">
        <w:t>The study included a screening period (up to 4 weeks), a treatment period (Baseline to Week 16), and a follow-up period (Week 16 to Week 32)</w:t>
      </w:r>
      <w:r w:rsidR="00F516F7">
        <w:t xml:space="preserve">. </w:t>
      </w:r>
      <w:r w:rsidRPr="000243DD">
        <w:t>Patients were randomised 3:3:3:2 to:</w:t>
      </w:r>
    </w:p>
    <w:p w14:paraId="6725B3CB" w14:textId="77777777" w:rsidR="007105E8" w:rsidRPr="006D6FD0" w:rsidRDefault="007105E8" w:rsidP="006D6FD0">
      <w:pPr>
        <w:pStyle w:val="ListBullet"/>
        <w:rPr>
          <w:i/>
          <w:iCs/>
        </w:rPr>
      </w:pPr>
      <w:r w:rsidRPr="006D6FD0">
        <w:rPr>
          <w:i/>
          <w:iCs/>
        </w:rPr>
        <w:t>Baseline loading dose of LEB 250 mg, followed by LEB 125 mg Q4W.</w:t>
      </w:r>
    </w:p>
    <w:p w14:paraId="2C6F4FBC" w14:textId="77777777" w:rsidR="007105E8" w:rsidRPr="006D6FD0" w:rsidRDefault="007105E8" w:rsidP="006D6FD0">
      <w:pPr>
        <w:pStyle w:val="ListBullet"/>
        <w:rPr>
          <w:i/>
          <w:iCs/>
        </w:rPr>
      </w:pPr>
      <w:r w:rsidRPr="006D6FD0">
        <w:rPr>
          <w:i/>
          <w:iCs/>
        </w:rPr>
        <w:t>Baseline loading dose of LEB 500 mg, followed by LEB 250 mg Q4W.</w:t>
      </w:r>
    </w:p>
    <w:p w14:paraId="4552A2BB" w14:textId="77777777" w:rsidR="007105E8" w:rsidRPr="006D6FD0" w:rsidRDefault="007105E8" w:rsidP="006D6FD0">
      <w:pPr>
        <w:pStyle w:val="ListBullet"/>
        <w:rPr>
          <w:i/>
          <w:iCs/>
        </w:rPr>
      </w:pPr>
      <w:r w:rsidRPr="006D6FD0">
        <w:rPr>
          <w:i/>
          <w:iCs/>
        </w:rPr>
        <w:t>Baseline and Week 2 loading doses of LEB 500 mg, followed by LEB 250 mg Q2W.</w:t>
      </w:r>
    </w:p>
    <w:p w14:paraId="0E39CC0F" w14:textId="77777777" w:rsidR="007105E8" w:rsidRPr="006D6FD0" w:rsidRDefault="007105E8" w:rsidP="006D6FD0">
      <w:pPr>
        <w:pStyle w:val="ListBullet"/>
        <w:rPr>
          <w:i/>
          <w:iCs/>
        </w:rPr>
      </w:pPr>
      <w:r w:rsidRPr="006D6FD0">
        <w:rPr>
          <w:i/>
          <w:iCs/>
        </w:rPr>
        <w:t>Placebo Q2W.</w:t>
      </w:r>
    </w:p>
    <w:p w14:paraId="5A56130B" w14:textId="21EBC9A4" w:rsidR="007105E8" w:rsidRPr="000243DD" w:rsidRDefault="007105E8" w:rsidP="007105E8">
      <w:pPr>
        <w:autoSpaceDE w:val="0"/>
        <w:autoSpaceDN w:val="0"/>
        <w:adjustRightInd w:val="0"/>
        <w:rPr>
          <w:rFonts w:cs="TimesNewRomanPSMT"/>
        </w:rPr>
      </w:pPr>
      <w:r w:rsidRPr="000243DD">
        <w:rPr>
          <w:lang w:eastAsia="ja-JP"/>
        </w:rPr>
        <w:t xml:space="preserve">The primary efficacy endpoint was the percent change in EASI from baseline to Week 16 </w:t>
      </w:r>
      <w:r w:rsidRPr="000243DD">
        <w:t xml:space="preserve">and </w:t>
      </w:r>
      <w:r w:rsidRPr="000243DD">
        <w:rPr>
          <w:lang w:eastAsia="ja-JP"/>
        </w:rPr>
        <w:t xml:space="preserve">key </w:t>
      </w:r>
      <w:r w:rsidRPr="000243DD">
        <w:rPr>
          <w:rFonts w:cs="TimesNewRomanPSMT"/>
        </w:rPr>
        <w:t xml:space="preserve">secondary efficacy endpoints were EASI-75 at Week 16 and </w:t>
      </w:r>
      <w:r w:rsidRPr="000243DD">
        <w:t xml:space="preserve">IGA 0,1 with a </w:t>
      </w:r>
      <w:r w:rsidRPr="000243DD">
        <w:rPr>
          <w:rFonts w:cs="TimesNewRomanPSMT"/>
        </w:rPr>
        <w:t xml:space="preserve">≥2-point reduction from baseline to Week 16 </w:t>
      </w:r>
      <w:r w:rsidRPr="000243DD">
        <w:rPr>
          <w:lang w:eastAsia="ja-JP"/>
        </w:rPr>
        <w:t>(</w:t>
      </w:r>
      <w:r w:rsidR="000243DD">
        <w:rPr>
          <w:lang w:eastAsia="ja-JP"/>
        </w:rPr>
        <w:t>Table 9</w:t>
      </w:r>
      <w:r w:rsidRPr="000243DD">
        <w:rPr>
          <w:lang w:eastAsia="ja-JP"/>
        </w:rPr>
        <w:t>)</w:t>
      </w:r>
      <w:r w:rsidRPr="000243DD">
        <w:rPr>
          <w:rFonts w:cs="TimesNewRomanPSMT"/>
        </w:rPr>
        <w:t>.</w:t>
      </w:r>
    </w:p>
    <w:p w14:paraId="332584A8" w14:textId="580460FA" w:rsidR="007105E8" w:rsidRDefault="007105E8" w:rsidP="00001E0D">
      <w:pPr>
        <w:pStyle w:val="TableTitle"/>
      </w:pPr>
      <w:bookmarkStart w:id="54" w:name="_Ref146532250"/>
      <w:r>
        <w:t xml:space="preserve">Table </w:t>
      </w:r>
      <w:bookmarkEnd w:id="54"/>
      <w:r w:rsidR="00B061C4">
        <w:t>9.</w:t>
      </w:r>
      <w:r>
        <w:t xml:space="preserve"> KGAF – Summary of Primary and Select Secondary Endpoints at Week 16 </w:t>
      </w:r>
    </w:p>
    <w:p w14:paraId="415EFDF1" w14:textId="67677796" w:rsidR="007105E8" w:rsidRPr="00AC7870" w:rsidRDefault="007105E8" w:rsidP="007105E8">
      <w:pPr>
        <w:rPr>
          <w:sz w:val="20"/>
        </w:rPr>
      </w:pPr>
      <w:r>
        <w:rPr>
          <w:noProof/>
        </w:rPr>
        <w:drawing>
          <wp:inline distT="0" distB="0" distL="0" distR="0" wp14:anchorId="2D29C879" wp14:editId="5FA2C9C8">
            <wp:extent cx="5729075" cy="3555124"/>
            <wp:effectExtent l="0" t="0" r="5080" b="7620"/>
            <wp:docPr id="16" name="Picture 16" descr="A white and black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hite and black table with numbers and numbers&#10;&#10;Description automatically generated"/>
                    <pic:cNvPicPr/>
                  </pic:nvPicPr>
                  <pic:blipFill>
                    <a:blip r:embed="rId33"/>
                    <a:stretch>
                      <a:fillRect/>
                    </a:stretch>
                  </pic:blipFill>
                  <pic:spPr>
                    <a:xfrm>
                      <a:off x="0" y="0"/>
                      <a:ext cx="5760575" cy="3574671"/>
                    </a:xfrm>
                    <a:prstGeom prst="rect">
                      <a:avLst/>
                    </a:prstGeom>
                  </pic:spPr>
                </pic:pic>
              </a:graphicData>
            </a:graphic>
          </wp:inline>
        </w:drawing>
      </w:r>
      <w:r w:rsidRPr="00AC7870">
        <w:rPr>
          <w:rFonts w:asciiTheme="minorHAnsi" w:hAnsiTheme="minorHAnsi"/>
          <w:sz w:val="16"/>
          <w:szCs w:val="16"/>
        </w:rPr>
        <w:t>Source: Table 2.7.3.8, Summary of Clinical Efficacy.</w:t>
      </w:r>
    </w:p>
    <w:p w14:paraId="7440E961" w14:textId="77777777" w:rsidR="007105E8" w:rsidRDefault="007105E8" w:rsidP="007105E8">
      <w:pPr>
        <w:pStyle w:val="Heading6"/>
      </w:pPr>
      <w:r>
        <w:t>Study KGAG</w:t>
      </w:r>
    </w:p>
    <w:p w14:paraId="79461E7A" w14:textId="110ACFDB" w:rsidR="007105E8" w:rsidRPr="00607840" w:rsidRDefault="007105E8" w:rsidP="007105E8">
      <w:pPr>
        <w:rPr>
          <w:rFonts w:cs="TimesNewRomanPSMT"/>
        </w:rPr>
      </w:pPr>
      <w:r w:rsidRPr="00607840">
        <w:rPr>
          <w:lang w:eastAsia="ja-JP"/>
        </w:rPr>
        <w:t>This was a multinational</w:t>
      </w:r>
      <w:r w:rsidRPr="00607840">
        <w:rPr>
          <w:rFonts w:cs="TimesNewRomanPSMT"/>
        </w:rPr>
        <w:t>, Phase 2, randomised, double-blind, placebo-controlled trial designed to evaluate the safety and efficacy of lebrikizumab in combination with TCS in adult patients with persistent moderate to severe AD for at least a year, inadequately controlled by TCS</w:t>
      </w:r>
      <w:r w:rsidR="00F516F7">
        <w:rPr>
          <w:rFonts w:cs="TimesNewRomanPSMT"/>
        </w:rPr>
        <w:t xml:space="preserve">. </w:t>
      </w:r>
      <w:r w:rsidRPr="00607840">
        <w:rPr>
          <w:rFonts w:cs="TimesNewRomanPSMT"/>
        </w:rPr>
        <w:t>The study was conducted from May 2015 to April 2016.</w:t>
      </w:r>
    </w:p>
    <w:p w14:paraId="120C326C" w14:textId="63308A88" w:rsidR="007105E8" w:rsidRPr="00607840" w:rsidRDefault="007105E8" w:rsidP="007105E8">
      <w:pPr>
        <w:autoSpaceDE w:val="0"/>
        <w:autoSpaceDN w:val="0"/>
        <w:adjustRightInd w:val="0"/>
      </w:pPr>
      <w:r w:rsidRPr="00607840">
        <w:rPr>
          <w:rFonts w:cs="TimesNewRomanPSMT"/>
        </w:rPr>
        <w:t>Patients were randomised to one of four treatment groups: (1) LEB 250 mg SC single-dose</w:t>
      </w:r>
      <w:r w:rsidRPr="00607840">
        <w:rPr>
          <w:rFonts w:cs="TimesNewRomanPSMT"/>
          <w:u w:val="single"/>
        </w:rPr>
        <w:t xml:space="preserve"> </w:t>
      </w:r>
      <w:r w:rsidRPr="00607840">
        <w:rPr>
          <w:rFonts w:cs="TimesNewRomanPSMT"/>
        </w:rPr>
        <w:t>(Day 1) followed by 2 placebo doses (Weeks 4 and 8) + TCS; (2) LEB 125 mg SC single-dose (Day 1) followed by 2 placebo doses (Weeks 4 and 8) + TCS; (3) LEB 125 mg SC Q4W for a total of 3 doses + TCS; and (4) placebo SC Q4W for a total of 3 doses + TCS</w:t>
      </w:r>
      <w:r w:rsidR="00F516F7">
        <w:rPr>
          <w:rFonts w:cs="TimesNewRomanPSMT"/>
        </w:rPr>
        <w:t xml:space="preserve">. </w:t>
      </w:r>
      <w:r w:rsidRPr="00607840">
        <w:rPr>
          <w:rFonts w:cs="TimesNewRomanPSMT"/>
        </w:rPr>
        <w:t>The primary efficacy endpoint was the percentage of patients achieving EASI-50 at Week 12</w:t>
      </w:r>
      <w:r w:rsidR="00F516F7">
        <w:rPr>
          <w:rFonts w:cs="TimesNewRomanPSMT"/>
        </w:rPr>
        <w:t xml:space="preserve">. </w:t>
      </w:r>
      <w:r w:rsidRPr="00607840">
        <w:rPr>
          <w:rFonts w:cs="TimesNewRomanPSMT"/>
        </w:rPr>
        <w:t>A statistically significant difference was observed for treatment group 3 vs treatment group 4</w:t>
      </w:r>
      <w:r w:rsidRPr="00607840">
        <w:rPr>
          <w:rFonts w:cs="TimesNewRomanPSMT"/>
          <w:i/>
          <w:iCs/>
        </w:rPr>
        <w:t xml:space="preserve"> </w:t>
      </w:r>
      <w:r w:rsidRPr="00607840">
        <w:rPr>
          <w:rFonts w:cs="TimesNewRomanPSMT"/>
        </w:rPr>
        <w:t>(82.4% vs 62.3%; Δ = 20.1% [95% CI: 3.4, 36.8], p=0.0261)</w:t>
      </w:r>
      <w:r w:rsidR="00F516F7">
        <w:rPr>
          <w:rFonts w:cs="TimesNewRomanPSMT"/>
        </w:rPr>
        <w:t xml:space="preserve">. </w:t>
      </w:r>
      <w:r w:rsidRPr="00607840">
        <w:rPr>
          <w:rFonts w:cs="TimesNewRomanPSMT"/>
        </w:rPr>
        <w:t>There was no statistically significant difference between either of the single-dose lebrikizumab regimens and placebo.</w:t>
      </w:r>
    </w:p>
    <w:p w14:paraId="78F715B3" w14:textId="77777777" w:rsidR="007105E8" w:rsidRDefault="007105E8" w:rsidP="007105E8">
      <w:pPr>
        <w:pStyle w:val="Heading6"/>
      </w:pPr>
      <w:r>
        <w:t>Study KGAH</w:t>
      </w:r>
    </w:p>
    <w:p w14:paraId="3A086445" w14:textId="5F2B13BF" w:rsidR="007105E8" w:rsidRPr="00607840" w:rsidRDefault="007105E8" w:rsidP="007105E8">
      <w:pPr>
        <w:rPr>
          <w:rFonts w:cs="TimesNewRomanPSMT"/>
        </w:rPr>
      </w:pPr>
      <w:r w:rsidRPr="00607840">
        <w:rPr>
          <w:lang w:eastAsia="ja-JP"/>
        </w:rPr>
        <w:t>This was</w:t>
      </w:r>
      <w:r w:rsidRPr="00607840">
        <w:rPr>
          <w:rFonts w:cs="TimesNewRomanPSMT"/>
        </w:rPr>
        <w:t xml:space="preserve"> a Phase 2, randomised, open-label, clinical trial designed to evaluate the safety of lebrikizumab monotherapy in adult patients with persistent moderate to severe AD inadequately controlled by TCS</w:t>
      </w:r>
      <w:r w:rsidR="00F516F7">
        <w:rPr>
          <w:rFonts w:cs="TimesNewRomanPSMT"/>
        </w:rPr>
        <w:t xml:space="preserve">. </w:t>
      </w:r>
      <w:r w:rsidRPr="00607840">
        <w:rPr>
          <w:rFonts w:cs="TimesNewRomanPSMT"/>
        </w:rPr>
        <w:t>The study was conducted in USA and Canada from June 2015 to May 2016</w:t>
      </w:r>
      <w:r w:rsidR="00F516F7">
        <w:rPr>
          <w:rFonts w:cs="TimesNewRomanPSMT"/>
        </w:rPr>
        <w:t xml:space="preserve">. </w:t>
      </w:r>
      <w:r w:rsidRPr="00607840">
        <w:rPr>
          <w:rFonts w:cs="TimesNewRomanPSMT"/>
        </w:rPr>
        <w:t xml:space="preserve">Study treatment was 3 doses of lebrikizumab </w:t>
      </w:r>
      <w:r w:rsidRPr="00607840">
        <w:rPr>
          <w:lang w:eastAsia="ja-JP"/>
        </w:rPr>
        <w:t>125 mg Q4W SC monotherapy or TCS cream administered twice a day (Weeks 0 to 12)</w:t>
      </w:r>
      <w:r w:rsidR="00F516F7">
        <w:rPr>
          <w:lang w:eastAsia="ja-JP"/>
        </w:rPr>
        <w:t xml:space="preserve">. </w:t>
      </w:r>
      <w:r w:rsidRPr="00607840">
        <w:rPr>
          <w:rFonts w:cs="TimesNewRomanPSMT"/>
        </w:rPr>
        <w:t>Efficacy endpoints were exploratory</w:t>
      </w:r>
      <w:r w:rsidR="00F516F7">
        <w:rPr>
          <w:rFonts w:cs="TimesNewRomanPSMT"/>
        </w:rPr>
        <w:t xml:space="preserve">. </w:t>
      </w:r>
      <w:r w:rsidRPr="00607840">
        <w:rPr>
          <w:rFonts w:cs="TimesNewRomanPSMT"/>
        </w:rPr>
        <w:t>Two (7.1%) patients in the LEB 125 mg Q4W arm achieved IGA 0,1 at Week 12 compared to 7 (25.9%) patients in the TCS arm, a difference of 18.8% (95% CI: 0.3, 37.3) in favour of the TCS arm</w:t>
      </w:r>
      <w:r w:rsidR="00F516F7">
        <w:rPr>
          <w:rFonts w:cs="TimesNewRomanPSMT"/>
        </w:rPr>
        <w:t xml:space="preserve">. </w:t>
      </w:r>
      <w:r w:rsidRPr="00607840">
        <w:rPr>
          <w:rFonts w:cs="TimesNewRomanPSMT"/>
        </w:rPr>
        <w:t>The proportion of patients achieving EASI-75 at Week 12 was similar for the two arms: 11 (39.3%) patients in the LEB 125 mg Q4W arm vs 10 (37.0%) patients in the TCS arm.</w:t>
      </w:r>
    </w:p>
    <w:p w14:paraId="6EFB88CD" w14:textId="77777777" w:rsidR="007105E8" w:rsidRDefault="007105E8" w:rsidP="00E4590E">
      <w:pPr>
        <w:pStyle w:val="Heading6"/>
      </w:pPr>
      <w:r>
        <w:t>Dose selection for the pivotal studies</w:t>
      </w:r>
    </w:p>
    <w:p w14:paraId="42BC033A" w14:textId="3F347BC3" w:rsidR="007105E8" w:rsidRPr="007718FC" w:rsidRDefault="007105E8" w:rsidP="007105E8">
      <w:r>
        <w:t>The induction dosing regimen in the Phase 3 trials was 500 mg at Weeks 0 and 2, followed by 250 mg Q2W from Weeks 4 to 16</w:t>
      </w:r>
      <w:r w:rsidR="00F516F7">
        <w:t xml:space="preserve">. </w:t>
      </w:r>
      <w:r>
        <w:t>This regimen was informed by the Phase 2b Study KGAF which demonstrated a dose-response over the range of doses tested and an acceptable safety profile</w:t>
      </w:r>
      <w:r w:rsidR="00F516F7">
        <w:t xml:space="preserve">. </w:t>
      </w:r>
      <w:r>
        <w:t>Pop PK simulations predicted that administration of 500 mg loading doses at Week 0 and Week 2 would achieve steady-state concentrations by Week 4, whereas 250 mg Q2W without loading doses would achieve steady-state concentrations at ∼Week 12</w:t>
      </w:r>
      <w:r w:rsidR="00F516F7">
        <w:t xml:space="preserve">. </w:t>
      </w:r>
      <w:r>
        <w:t>Maintenance dosing regimens evaluated in the Phase 3 trials were 250 mg Q2W or 250 mg Q4W starting at Week 16 for responders based on EASI-75 or IGA 0,1</w:t>
      </w:r>
      <w:r w:rsidR="00F516F7">
        <w:t xml:space="preserve">. </w:t>
      </w:r>
      <w:r>
        <w:t>Non-responders at Week 16 received 250 mg Q2W in the maintenance period</w:t>
      </w:r>
      <w:r w:rsidR="00F516F7">
        <w:t xml:space="preserve">. </w:t>
      </w:r>
      <w:r>
        <w:t>These regimens were informed by the exposure-response analyses.</w:t>
      </w:r>
    </w:p>
    <w:p w14:paraId="41D4B17F" w14:textId="77777777" w:rsidR="007105E8" w:rsidRDefault="007105E8" w:rsidP="007105E8">
      <w:pPr>
        <w:pStyle w:val="Heading4"/>
      </w:pPr>
      <w:bookmarkStart w:id="55" w:name="_Toc180416241"/>
      <w:r w:rsidRPr="00AA53F4">
        <w:t>Efficacy</w:t>
      </w:r>
      <w:bookmarkEnd w:id="55"/>
    </w:p>
    <w:p w14:paraId="17AA1E6B" w14:textId="4588C9E6" w:rsidR="007105E8" w:rsidRPr="00607840" w:rsidRDefault="007105E8" w:rsidP="007105E8">
      <w:r w:rsidRPr="00607840">
        <w:t xml:space="preserve">The dossier included three pivotal Phase 3 studies, two assessing lebrikizumab as monotherapy (KGAB, KGAC) and one in combination with TCS (KGAD), plus two supportive </w:t>
      </w:r>
      <w:r w:rsidRPr="00607840">
        <w:rPr>
          <w:lang w:eastAsia="ja-JP"/>
        </w:rPr>
        <w:t>single-arm studies (KGAE, KGAA)</w:t>
      </w:r>
      <w:r w:rsidR="00F516F7">
        <w:rPr>
          <w:lang w:eastAsia="ja-JP"/>
        </w:rPr>
        <w:t xml:space="preserve">. </w:t>
      </w:r>
      <w:r w:rsidRPr="00607840">
        <w:t>The formulation used in the Phase 3 studies was the same as the proposed commercial formulation</w:t>
      </w:r>
      <w:r w:rsidR="00F516F7">
        <w:t xml:space="preserve">. </w:t>
      </w:r>
    </w:p>
    <w:p w14:paraId="745DBB12" w14:textId="77777777" w:rsidR="007105E8" w:rsidRPr="00607840" w:rsidRDefault="007105E8" w:rsidP="007105E8">
      <w:r w:rsidRPr="00607840">
        <w:t xml:space="preserve">Efficacy measures evaluated in the clinical trials include </w:t>
      </w:r>
      <w:r w:rsidRPr="00607840">
        <w:rPr>
          <w:rFonts w:cs="TimesNewRomanPSMT"/>
        </w:rPr>
        <w:t>the Investigator’s Global Assessment (IGA) scale</w:t>
      </w:r>
      <w:r w:rsidRPr="00607840">
        <w:rPr>
          <w:rStyle w:val="FootnoteReference"/>
          <w:rFonts w:cs="TimesNewRomanPSMT"/>
        </w:rPr>
        <w:footnoteReference w:id="5"/>
      </w:r>
      <w:r w:rsidRPr="00607840">
        <w:rPr>
          <w:rFonts w:cs="TimesNewRomanPSMT"/>
        </w:rPr>
        <w:t xml:space="preserve">, </w:t>
      </w:r>
      <w:r w:rsidRPr="00607840">
        <w:rPr>
          <w:rFonts w:cs="Arial"/>
          <w:color w:val="202124"/>
          <w:shd w:val="clear" w:color="auto" w:fill="FFFFFF"/>
        </w:rPr>
        <w:t xml:space="preserve">the </w:t>
      </w:r>
      <w:r w:rsidRPr="00607840">
        <w:rPr>
          <w:rFonts w:cs="TimesNewRomanPSMT"/>
        </w:rPr>
        <w:t>Eczema Area and Severity Index (EASI)</w:t>
      </w:r>
      <w:r w:rsidRPr="00607840">
        <w:rPr>
          <w:rStyle w:val="FootnoteReference"/>
          <w:rFonts w:cs="TimesNewRomanPSMT"/>
        </w:rPr>
        <w:footnoteReference w:id="6"/>
      </w:r>
      <w:r w:rsidRPr="00607840">
        <w:rPr>
          <w:rFonts w:cs="TimesNewRomanPSMT"/>
        </w:rPr>
        <w:t>, and patient-reported outcomes including the Pruritis Numeric Rating Scale (NRS)</w:t>
      </w:r>
      <w:r w:rsidRPr="00607840">
        <w:rPr>
          <w:rStyle w:val="FootnoteReference"/>
          <w:rFonts w:cs="TimesNewRomanPSMT"/>
        </w:rPr>
        <w:footnoteReference w:id="7"/>
      </w:r>
      <w:r w:rsidRPr="00607840">
        <w:rPr>
          <w:rFonts w:cs="TimesNewRomanPSMT"/>
        </w:rPr>
        <w:t>, Dermatology Life Quality Index (DLQI)</w:t>
      </w:r>
      <w:r w:rsidRPr="00607840">
        <w:rPr>
          <w:rStyle w:val="FootnoteReference"/>
          <w:rFonts w:cs="TimesNewRomanPSMT"/>
        </w:rPr>
        <w:footnoteReference w:id="8"/>
      </w:r>
      <w:r w:rsidRPr="00607840">
        <w:rPr>
          <w:rFonts w:cs="TimesNewRomanPSMT"/>
        </w:rPr>
        <w:t>, Sleep-Loss Scale</w:t>
      </w:r>
      <w:r w:rsidRPr="00607840">
        <w:rPr>
          <w:rStyle w:val="FootnoteReference"/>
          <w:rFonts w:cs="TimesNewRomanPSMT"/>
        </w:rPr>
        <w:footnoteReference w:id="9"/>
      </w:r>
      <w:r w:rsidRPr="00607840">
        <w:rPr>
          <w:rFonts w:cs="TimesNewRomanPSMT"/>
        </w:rPr>
        <w:t>, Patient-Oriented Eczema Measure (POEM)</w:t>
      </w:r>
      <w:r w:rsidRPr="00607840">
        <w:rPr>
          <w:rStyle w:val="FootnoteReference"/>
          <w:rFonts w:cs="TimesNewRomanPSMT"/>
        </w:rPr>
        <w:footnoteReference w:id="10"/>
      </w:r>
      <w:r w:rsidRPr="00607840">
        <w:rPr>
          <w:rFonts w:cs="TimesNewRomanPSMT"/>
        </w:rPr>
        <w:t>, and Patient-Reported Outcomes Measurement Information System (PROMIS</w:t>
      </w:r>
      <w:r w:rsidRPr="00607840">
        <w:rPr>
          <w:rFonts w:cs="TimesNewRomanPSMT"/>
          <w:vertAlign w:val="superscript"/>
        </w:rPr>
        <w:t>®</w:t>
      </w:r>
      <w:r w:rsidRPr="00607840">
        <w:rPr>
          <w:rFonts w:cs="TimesNewRomanPSMT"/>
        </w:rPr>
        <w:t>) Anxiety and Depression measures.</w:t>
      </w:r>
    </w:p>
    <w:p w14:paraId="4ADE9753" w14:textId="07639B8C" w:rsidR="007105E8" w:rsidRPr="006D6FD0" w:rsidRDefault="007105E8" w:rsidP="006D6FD0">
      <w:pPr>
        <w:pStyle w:val="Heading5"/>
        <w:ind w:right="-2"/>
        <w:rPr>
          <w:sz w:val="24"/>
          <w:szCs w:val="24"/>
        </w:rPr>
      </w:pPr>
      <w:r w:rsidRPr="006D6FD0">
        <w:rPr>
          <w:sz w:val="24"/>
          <w:szCs w:val="24"/>
        </w:rPr>
        <w:t>Pivotal monotherapy studies: KGAB (ADvocate 1) and KGAC (ADvocate 2)</w:t>
      </w:r>
    </w:p>
    <w:p w14:paraId="586039AC" w14:textId="60BC79FB" w:rsidR="007105E8" w:rsidRPr="00607840" w:rsidRDefault="007105E8" w:rsidP="007105E8">
      <w:r w:rsidRPr="00607840">
        <w:t>The two pivotal monotherapy studies, KGAB and KGAC, shared the same design</w:t>
      </w:r>
      <w:r w:rsidR="00F516F7">
        <w:t xml:space="preserve">. </w:t>
      </w:r>
      <w:r w:rsidRPr="00607840">
        <w:t xml:space="preserve">They were Phase 3, randomised, double-blind, placebo-controlled, parallel-group trials of 52 weeks duration designed to confirm the efficacy and safety of </w:t>
      </w:r>
      <w:r w:rsidRPr="00607840">
        <w:rPr>
          <w:rFonts w:cs="TimesNewRomanPSMT"/>
        </w:rPr>
        <w:t>lebrikizumab as monotherapy in adults and adolescents with moderate to severe AD</w:t>
      </w:r>
      <w:r w:rsidR="00F516F7">
        <w:rPr>
          <w:rFonts w:cs="TimesNewRomanPSMT"/>
        </w:rPr>
        <w:t xml:space="preserve">. </w:t>
      </w:r>
      <w:r w:rsidRPr="00607840">
        <w:t>Study KGAB was conducted at 89 centres</w:t>
      </w:r>
      <w:r w:rsidRPr="00607840">
        <w:rPr>
          <w:rFonts w:cs="TimesNewRomanPSMT"/>
          <w:color w:val="231F20"/>
        </w:rPr>
        <w:t xml:space="preserve"> </w:t>
      </w:r>
      <w:r w:rsidRPr="00607840">
        <w:t>in Australia, Canada, Estonia, France, Latvia, Lithuania, Poland, South Korea, Spain, and USA from September 2019 to May 2022</w:t>
      </w:r>
      <w:r w:rsidR="00F516F7">
        <w:t xml:space="preserve">. </w:t>
      </w:r>
      <w:r w:rsidRPr="00607840">
        <w:t>Study KGAC was conducted at 82 centres in Bulgaria, Canada, Germany, Mexico, Singapore, Taiwan, Ukraine, and USA from October 2019 to April 2022.</w:t>
      </w:r>
    </w:p>
    <w:p w14:paraId="7E91523F" w14:textId="7D50F0C2" w:rsidR="007105E8" w:rsidRDefault="007105E8" w:rsidP="007105E8">
      <w:pPr>
        <w:rPr>
          <w:rFonts w:asciiTheme="minorHAnsi" w:hAnsiTheme="minorHAnsi" w:cs="TimesNewRomanPSMT"/>
        </w:rPr>
      </w:pPr>
      <w:r w:rsidRPr="00607840">
        <w:t>The study design (</w:t>
      </w:r>
      <w:r w:rsidR="00FF57FA">
        <w:t xml:space="preserve">Figure </w:t>
      </w:r>
      <w:r w:rsidR="00851999">
        <w:t>6</w:t>
      </w:r>
      <w:r w:rsidRPr="00607840">
        <w:t>) included</w:t>
      </w:r>
      <w:r w:rsidRPr="00607840">
        <w:rPr>
          <w:rFonts w:cs="TimesNewRomanPSMT"/>
        </w:rPr>
        <w:t xml:space="preserve"> a 16-week induction period in which participants were randomised 2:1 to lebrikizumab (</w:t>
      </w:r>
      <w:r w:rsidRPr="00607840">
        <w:t>500 mg loading doses at Baseline and Week 2 and 250 mg Q2W from Week 4 through Week 14</w:t>
      </w:r>
      <w:r w:rsidRPr="00607840">
        <w:rPr>
          <w:rFonts w:cs="TimesNewRomanPSMT"/>
        </w:rPr>
        <w:t xml:space="preserve">) or matching placebo, </w:t>
      </w:r>
      <w:r w:rsidRPr="00607840">
        <w:t>with stratification based on geographic region (US vs EU vs rest of world), age (adolescents aged 12 to &lt;18 years vs adults ≥ 18 years), and disease severity (IGA score of 3 vs 4)</w:t>
      </w:r>
      <w:r w:rsidR="00F516F7">
        <w:t xml:space="preserve">. </w:t>
      </w:r>
      <w:r w:rsidRPr="00607840">
        <w:t xml:space="preserve">The induction period was </w:t>
      </w:r>
      <w:r w:rsidRPr="00607840">
        <w:rPr>
          <w:rFonts w:cs="TimesNewRomanPSMT"/>
        </w:rPr>
        <w:t>followed by a 36-week blinded maintenance period in which lebrikizumab responders</w:t>
      </w:r>
      <w:r w:rsidRPr="00607840">
        <w:rPr>
          <w:rStyle w:val="FootnoteReference"/>
          <w:rFonts w:cs="TimesNewRomanPSMT"/>
        </w:rPr>
        <w:footnoteReference w:id="11"/>
      </w:r>
      <w:r w:rsidRPr="00607840">
        <w:rPr>
          <w:rFonts w:cs="TimesNewRomanPSMT"/>
        </w:rPr>
        <w:t xml:space="preserve"> at Week 16 were re-randomised 2:2:1 to lebrikizumab 250 mg Q2W, lebrikizumab 250 mg Q4W, or placebo (lebrikizumab withdrawal)</w:t>
      </w:r>
      <w:r w:rsidR="00F516F7">
        <w:rPr>
          <w:rFonts w:cs="TimesNewRomanPSMT"/>
        </w:rPr>
        <w:t xml:space="preserve">. </w:t>
      </w:r>
      <w:r w:rsidRPr="00607840">
        <w:t>Non-responders at Week 16 and participants who received topical or systemic rescue therapy from Baseline to</w:t>
      </w:r>
      <w:r>
        <w:t xml:space="preserve"> Week 16 were assigned to an escape arm and </w:t>
      </w:r>
      <w:r w:rsidRPr="00FF57FA">
        <w:t>received open-label lebrikizumab 250 mg Q2W through Week 52</w:t>
      </w:r>
      <w:r w:rsidR="00F516F7">
        <w:t xml:space="preserve">. </w:t>
      </w:r>
      <w:r w:rsidRPr="00FF57FA">
        <w:t xml:space="preserve">Responders at Week 16 who did not maintain an EASI-50 response at Weeks 24, 32, 40, or 48 were also assigned to the escape arm and received open-label </w:t>
      </w:r>
      <w:r w:rsidRPr="00FF57FA">
        <w:rPr>
          <w:rFonts w:cs="TimesNewRomanPSMT"/>
        </w:rPr>
        <w:t xml:space="preserve">lebrikizumab </w:t>
      </w:r>
      <w:r w:rsidRPr="00FF57FA">
        <w:t>250 mg Q2W through Week 52</w:t>
      </w:r>
      <w:r w:rsidR="00F516F7">
        <w:t xml:space="preserve">. </w:t>
      </w:r>
      <w:r w:rsidRPr="00FF57FA">
        <w:t xml:space="preserve">Participants in the escape arm </w:t>
      </w:r>
      <w:r w:rsidRPr="00FF57FA">
        <w:rPr>
          <w:rFonts w:cs="TimesNewRomanPSMT"/>
        </w:rPr>
        <w:t>not achieving an EASI 50 response after 8 weeks of treatment were discontinued from the study</w:t>
      </w:r>
      <w:r w:rsidR="00F516F7">
        <w:rPr>
          <w:rFonts w:cs="TimesNewRomanPSMT"/>
        </w:rPr>
        <w:t xml:space="preserve">. </w:t>
      </w:r>
    </w:p>
    <w:p w14:paraId="280D4821" w14:textId="591F228E" w:rsidR="007105E8" w:rsidRPr="00F92527" w:rsidRDefault="007105E8" w:rsidP="00FF57FA">
      <w:pPr>
        <w:pStyle w:val="FigureTitle"/>
        <w:rPr>
          <w:rFonts w:cs="TimesNewRomanPS-BoldMT"/>
          <w:bCs/>
        </w:rPr>
      </w:pPr>
      <w:bookmarkStart w:id="56" w:name="_Ref146556390"/>
      <w:r>
        <w:t xml:space="preserve">Figure </w:t>
      </w:r>
      <w:r w:rsidR="00851999">
        <w:t>6</w:t>
      </w:r>
      <w:bookmarkEnd w:id="56"/>
      <w:r w:rsidR="00F92527">
        <w:rPr>
          <w:noProof/>
        </w:rPr>
        <w:t>.</w:t>
      </w:r>
      <w:r w:rsidRPr="00F92527">
        <w:t xml:space="preserve"> </w:t>
      </w:r>
      <w:r w:rsidRPr="00F92527">
        <w:rPr>
          <w:rFonts w:cs="TimesNewRomanPS-BoldMT"/>
          <w:bCs/>
        </w:rPr>
        <w:t>Study design, KGAB and KGAC</w:t>
      </w:r>
      <w:r w:rsidR="00851999">
        <w:rPr>
          <w:rFonts w:cs="TimesNewRomanPS-BoldMT"/>
          <w:bCs/>
        </w:rPr>
        <w:t>.</w:t>
      </w:r>
    </w:p>
    <w:p w14:paraId="2094DC9A" w14:textId="0AAB637B" w:rsidR="007105E8" w:rsidRPr="00576720" w:rsidRDefault="007105E8" w:rsidP="007105E8">
      <w:pPr>
        <w:rPr>
          <w:sz w:val="16"/>
          <w:szCs w:val="16"/>
        </w:rPr>
      </w:pPr>
      <w:r>
        <w:rPr>
          <w:noProof/>
        </w:rPr>
        <w:drawing>
          <wp:inline distT="0" distB="0" distL="0" distR="0" wp14:anchorId="108CEFAE" wp14:editId="774DEC0D">
            <wp:extent cx="5704029" cy="1631975"/>
            <wp:effectExtent l="0" t="0" r="0" b="6350"/>
            <wp:docPr id="17" name="Picture 17" descr="A diagram of a patient's med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patient's medication&#10;&#10;Description automatically generated"/>
                    <pic:cNvPicPr/>
                  </pic:nvPicPr>
                  <pic:blipFill>
                    <a:blip r:embed="rId34">
                      <a:extLst>
                        <a:ext uri="{BEBA8EAE-BF5A-486C-A8C5-ECC9F3942E4B}">
                          <a14:imgProps xmlns:a14="http://schemas.microsoft.com/office/drawing/2010/main">
                            <a14:imgLayer r:embed="rId35">
                              <a14:imgEffect>
                                <a14:sharpenSoften amount="25000"/>
                              </a14:imgEffect>
                              <a14:imgEffect>
                                <a14:brightnessContrast contrast="20000"/>
                              </a14:imgEffect>
                            </a14:imgLayer>
                          </a14:imgProps>
                        </a:ext>
                      </a:extLst>
                    </a:blip>
                    <a:stretch>
                      <a:fillRect/>
                    </a:stretch>
                  </pic:blipFill>
                  <pic:spPr>
                    <a:xfrm>
                      <a:off x="0" y="0"/>
                      <a:ext cx="5878318" cy="1681841"/>
                    </a:xfrm>
                    <a:prstGeom prst="rect">
                      <a:avLst/>
                    </a:prstGeom>
                  </pic:spPr>
                </pic:pic>
              </a:graphicData>
            </a:graphic>
          </wp:inline>
        </w:drawing>
      </w:r>
    </w:p>
    <w:p w14:paraId="09DFC5C8" w14:textId="5C5E9C01" w:rsidR="007105E8" w:rsidRPr="00FF57FA" w:rsidRDefault="007105E8" w:rsidP="006D6FD0">
      <w:r w:rsidRPr="00FF57FA">
        <w:t>Study drug was supplied as a pre-filled syringe (lebrikizumab 250 mg in 2 mL or matching placebo) for subcutaneous injection</w:t>
      </w:r>
      <w:r w:rsidR="00F516F7">
        <w:t xml:space="preserve">. </w:t>
      </w:r>
      <w:r w:rsidRPr="00FF57FA">
        <w:t>In the induction period, study drug was administered in the clinic</w:t>
      </w:r>
      <w:r w:rsidR="00F516F7">
        <w:t xml:space="preserve">. </w:t>
      </w:r>
      <w:r w:rsidRPr="00FF57FA">
        <w:t>In the maintenance period, participants were instructed to self-administer the study drug at home.</w:t>
      </w:r>
    </w:p>
    <w:p w14:paraId="68B34838" w14:textId="4F341D97" w:rsidR="007105E8" w:rsidRPr="00AD421B" w:rsidRDefault="007105E8" w:rsidP="007105E8">
      <w:r w:rsidRPr="00AD421B">
        <w:t>The key inclusion criteria were:</w:t>
      </w:r>
    </w:p>
    <w:p w14:paraId="40E67FE2" w14:textId="77777777" w:rsidR="007105E8" w:rsidRPr="00AD421B" w:rsidRDefault="007105E8" w:rsidP="006D6FD0">
      <w:pPr>
        <w:pStyle w:val="ListBullet"/>
        <w:rPr>
          <w:i/>
          <w:iCs/>
        </w:rPr>
      </w:pPr>
      <w:r w:rsidRPr="00AD421B">
        <w:t>adults or adolescents (aged 12 to &lt;18 years and weighing 40 kg or more)</w:t>
      </w:r>
    </w:p>
    <w:p w14:paraId="65C4DE63" w14:textId="77777777" w:rsidR="007105E8" w:rsidRPr="00AD421B" w:rsidRDefault="007105E8" w:rsidP="006D6FD0">
      <w:pPr>
        <w:pStyle w:val="ListBullet"/>
        <w:rPr>
          <w:i/>
          <w:iCs/>
        </w:rPr>
      </w:pPr>
      <w:r w:rsidRPr="00AD421B">
        <w:t>diagnosis of chronic AD as defined by the American Academy of Dermatology Consensus Criteria, for at least 1 year before the screening visit</w:t>
      </w:r>
    </w:p>
    <w:p w14:paraId="4C945B46" w14:textId="77777777" w:rsidR="007105E8" w:rsidRPr="00AD421B" w:rsidRDefault="007105E8" w:rsidP="006D6FD0">
      <w:pPr>
        <w:pStyle w:val="ListBullet"/>
        <w:rPr>
          <w:i/>
          <w:iCs/>
        </w:rPr>
      </w:pPr>
      <w:r w:rsidRPr="00AD421B">
        <w:t>moderate-to-severe AD, defined as having all the following at the Baseline visit</w:t>
      </w:r>
    </w:p>
    <w:p w14:paraId="727E6810" w14:textId="77777777" w:rsidR="007105E8" w:rsidRPr="00AD421B" w:rsidRDefault="007105E8" w:rsidP="006D6FD0">
      <w:pPr>
        <w:pStyle w:val="ListBullet2"/>
        <w:rPr>
          <w:i/>
          <w:iCs/>
        </w:rPr>
      </w:pPr>
      <w:r w:rsidRPr="00AD421B">
        <w:t xml:space="preserve">EASI ≥16 </w:t>
      </w:r>
    </w:p>
    <w:p w14:paraId="766B33A2" w14:textId="77777777" w:rsidR="007105E8" w:rsidRPr="00AD421B" w:rsidRDefault="007105E8" w:rsidP="006D6FD0">
      <w:pPr>
        <w:pStyle w:val="ListBullet2"/>
        <w:rPr>
          <w:i/>
          <w:iCs/>
        </w:rPr>
      </w:pPr>
      <w:r w:rsidRPr="00AD421B">
        <w:t xml:space="preserve">IGA score ≥3 </w:t>
      </w:r>
    </w:p>
    <w:p w14:paraId="09A8B794" w14:textId="77777777" w:rsidR="007105E8" w:rsidRPr="00AD421B" w:rsidRDefault="007105E8" w:rsidP="006D6FD0">
      <w:pPr>
        <w:pStyle w:val="ListBullet2"/>
        <w:rPr>
          <w:i/>
          <w:iCs/>
        </w:rPr>
      </w:pPr>
      <w:r w:rsidRPr="00AD421B">
        <w:t xml:space="preserve">BSA ≥10% </w:t>
      </w:r>
    </w:p>
    <w:p w14:paraId="289767A2" w14:textId="77777777" w:rsidR="007105E8" w:rsidRPr="00AD421B" w:rsidRDefault="007105E8" w:rsidP="006D6FD0">
      <w:pPr>
        <w:pStyle w:val="ListBullet"/>
        <w:rPr>
          <w:i/>
          <w:iCs/>
        </w:rPr>
      </w:pPr>
      <w:r w:rsidRPr="00AD421B">
        <w:t>a candidate for systemic therapy.</w:t>
      </w:r>
    </w:p>
    <w:p w14:paraId="536F7489" w14:textId="77777777" w:rsidR="007105E8" w:rsidRPr="00AD421B" w:rsidRDefault="007105E8" w:rsidP="007105E8">
      <w:pPr>
        <w:autoSpaceDE w:val="0"/>
        <w:autoSpaceDN w:val="0"/>
        <w:rPr>
          <w:rFonts w:cs="TimesNewRomanPSMT"/>
        </w:rPr>
      </w:pPr>
      <w:r w:rsidRPr="00AD421B">
        <w:rPr>
          <w:rFonts w:cs="TimesNewRomanPSMT"/>
        </w:rPr>
        <w:t>The exclusion criteria included:</w:t>
      </w:r>
    </w:p>
    <w:p w14:paraId="75D69EEE" w14:textId="77777777" w:rsidR="007105E8" w:rsidRPr="00AD421B" w:rsidRDefault="007105E8" w:rsidP="006D6FD0">
      <w:pPr>
        <w:pStyle w:val="ListBullet"/>
        <w:rPr>
          <w:i/>
          <w:iCs/>
        </w:rPr>
      </w:pPr>
      <w:r w:rsidRPr="00AD421B">
        <w:t>prior treatment with dupilumab or tralokinumab.</w:t>
      </w:r>
    </w:p>
    <w:p w14:paraId="459C17A2" w14:textId="77777777" w:rsidR="007105E8" w:rsidRPr="00AD421B" w:rsidRDefault="007105E8" w:rsidP="006D6FD0">
      <w:pPr>
        <w:pStyle w:val="ListBullet"/>
        <w:rPr>
          <w:i/>
          <w:iCs/>
        </w:rPr>
      </w:pPr>
      <w:r w:rsidRPr="00AD421B">
        <w:t>treatment with TCS, TCI, or PDE-4 inhibitor within 1 week prior to the Baseline visit.</w:t>
      </w:r>
    </w:p>
    <w:p w14:paraId="10436F68" w14:textId="77777777" w:rsidR="007105E8" w:rsidRPr="00AD421B" w:rsidRDefault="007105E8" w:rsidP="006D6FD0">
      <w:pPr>
        <w:pStyle w:val="ListBullet"/>
        <w:rPr>
          <w:i/>
          <w:iCs/>
        </w:rPr>
      </w:pPr>
      <w:r w:rsidRPr="00AD421B">
        <w:t>treatment with immunosuppressive or immunomodulating drugs within 4 weeks prior to the Baseline visit.</w:t>
      </w:r>
    </w:p>
    <w:p w14:paraId="06159C30" w14:textId="77777777" w:rsidR="007105E8" w:rsidRPr="00AD421B" w:rsidRDefault="007105E8" w:rsidP="006D6FD0">
      <w:pPr>
        <w:pStyle w:val="ListBullet"/>
        <w:rPr>
          <w:i/>
          <w:iCs/>
        </w:rPr>
      </w:pPr>
      <w:r w:rsidRPr="00AD421B">
        <w:t>treatment with phototherapy and photochemotherapy within 4 weeks prior to the Baseline visit.</w:t>
      </w:r>
    </w:p>
    <w:p w14:paraId="061581C8" w14:textId="1195169B" w:rsidR="007105E8" w:rsidRPr="00FF57FA" w:rsidRDefault="007105E8" w:rsidP="007105E8">
      <w:pPr>
        <w:rPr>
          <w:rFonts w:cs="TimesNewRomanPSMT"/>
        </w:rPr>
      </w:pPr>
      <w:r w:rsidRPr="00FF57FA">
        <w:rPr>
          <w:rFonts w:cs="Calibri"/>
        </w:rPr>
        <w:t>Efficacy endpoints were informed by regulatory guidance from the FDA and EMA</w:t>
      </w:r>
      <w:r w:rsidR="00F516F7">
        <w:rPr>
          <w:rFonts w:cs="Calibri"/>
        </w:rPr>
        <w:t xml:space="preserve">. </w:t>
      </w:r>
      <w:r w:rsidRPr="00FF57FA">
        <w:rPr>
          <w:rFonts w:cs="TimesNewRomanPSMT"/>
        </w:rPr>
        <w:t>The FDA defined a single primary efficacy endpoint and the EMA defined two co-primary endpoints (</w:t>
      </w:r>
      <w:r w:rsidR="00B061C4">
        <w:rPr>
          <w:rFonts w:cs="TimesNewRomanPSMT"/>
        </w:rPr>
        <w:t>Table 10</w:t>
      </w:r>
      <w:r w:rsidRPr="00FF57FA">
        <w:rPr>
          <w:rFonts w:cs="TimesNewRomanPSMT"/>
        </w:rPr>
        <w:t>)</w:t>
      </w:r>
      <w:r w:rsidR="00F516F7">
        <w:rPr>
          <w:rFonts w:cs="TimesNewRomanPSMT"/>
        </w:rPr>
        <w:t xml:space="preserve">. </w:t>
      </w:r>
      <w:r w:rsidRPr="00FF57FA">
        <w:rPr>
          <w:rFonts w:cs="TimesNewRomanPSMT"/>
        </w:rPr>
        <w:t xml:space="preserve">The major secondary efficacy endpoints specified by the FDA and EMA for the induction period are summarised in </w:t>
      </w:r>
      <w:r w:rsidR="00B061C4">
        <w:rPr>
          <w:rFonts w:cs="TimesNewRomanPSMT"/>
        </w:rPr>
        <w:t>Table 11</w:t>
      </w:r>
      <w:r w:rsidR="00F516F7">
        <w:rPr>
          <w:rFonts w:cs="TimesNewRomanPSMT"/>
        </w:rPr>
        <w:t xml:space="preserve">. </w:t>
      </w:r>
      <w:r w:rsidRPr="00FF57FA">
        <w:rPr>
          <w:rFonts w:cs="TimesNewRomanPSMT"/>
        </w:rPr>
        <w:t>The FDA did not specify any major secondary efficacy endpoints for the maintenance period, but the EMA included major secondary efficacy endpoints for the maintenance period in their testing scheme (</w:t>
      </w:r>
      <w:r w:rsidR="00B061C4">
        <w:rPr>
          <w:rFonts w:cs="TimesNewRomanPSMT"/>
        </w:rPr>
        <w:t>Table 12</w:t>
      </w:r>
      <w:r w:rsidRPr="00FF57FA">
        <w:rPr>
          <w:rFonts w:cs="TimesNewRomanPSMT"/>
        </w:rPr>
        <w:t>)</w:t>
      </w:r>
      <w:r w:rsidR="00F516F7">
        <w:rPr>
          <w:rFonts w:cs="TimesNewRomanPSMT"/>
        </w:rPr>
        <w:t xml:space="preserve">. </w:t>
      </w:r>
    </w:p>
    <w:p w14:paraId="02208CCF" w14:textId="1478FDCA" w:rsidR="007105E8" w:rsidRPr="00FF57FA" w:rsidRDefault="007105E8" w:rsidP="007105E8">
      <w:pPr>
        <w:rPr>
          <w:rFonts w:cs="TimesNewRomanPSMT"/>
          <w:color w:val="000000"/>
        </w:rPr>
      </w:pPr>
      <w:r w:rsidRPr="00FF57FA">
        <w:rPr>
          <w:rFonts w:cs="TimesNewRomanPSMT"/>
          <w:color w:val="000000"/>
        </w:rPr>
        <w:t>A pre-specified graphical multiple testing approach was used to control the overall Type I error rate at 2-sided alpha of 0.05 for superiority tests for all primary and major secondary endpoints</w:t>
      </w:r>
      <w:r w:rsidR="00F516F7">
        <w:rPr>
          <w:rFonts w:cs="TimesNewRomanPSMT"/>
          <w:color w:val="000000"/>
        </w:rPr>
        <w:t xml:space="preserve">. </w:t>
      </w:r>
      <w:r w:rsidRPr="00FF57FA">
        <w:rPr>
          <w:rFonts w:cs="TimesNewRomanPSMT"/>
          <w:color w:val="000000"/>
        </w:rPr>
        <w:t>For the FDA and the EMA, the primary and major secondary endpoints in the induction period were included in the graphical testing scheme, and for the EMA the major secondary endpoints in the maintenance period were separately controlled using a graphical testing scheme.</w:t>
      </w:r>
    </w:p>
    <w:p w14:paraId="171CF173" w14:textId="68A26987" w:rsidR="00FF57FA" w:rsidRPr="00FF57FA" w:rsidRDefault="007105E8" w:rsidP="007105E8">
      <w:pPr>
        <w:rPr>
          <w:rFonts w:cs="TimesNewRomanPSMT"/>
        </w:rPr>
      </w:pPr>
      <w:r w:rsidRPr="00FF57FA">
        <w:rPr>
          <w:rFonts w:cs="TimesNewRomanPSMT"/>
          <w:color w:val="231F20"/>
        </w:rPr>
        <w:t>Efficacy analyses for the Induction Period were conducted on the ITT population for Study KGAB</w:t>
      </w:r>
      <w:r w:rsidRPr="00FF57FA">
        <w:rPr>
          <w:rFonts w:cs="TimesNewRomanPSMT"/>
          <w:i/>
          <w:iCs/>
          <w:color w:val="231F20"/>
        </w:rPr>
        <w:t xml:space="preserve"> </w:t>
      </w:r>
      <w:r w:rsidRPr="00FF57FA">
        <w:rPr>
          <w:rFonts w:cs="TimesNewRomanPSMT"/>
          <w:color w:val="231F20"/>
        </w:rPr>
        <w:t>(n=424) and the mITT population for Study KGAC (n=427)</w:t>
      </w:r>
      <w:r w:rsidR="00F516F7">
        <w:rPr>
          <w:rFonts w:cs="TimesNewRomanPSMT"/>
          <w:color w:val="231F20"/>
        </w:rPr>
        <w:t xml:space="preserve">. </w:t>
      </w:r>
      <w:r w:rsidRPr="00FF57FA">
        <w:rPr>
          <w:rFonts w:cs="TimesNewRomanPSMT"/>
          <w:color w:val="231F20"/>
        </w:rPr>
        <w:t xml:space="preserve">Efficacy analyses for the Maintenance Blinded Period were conducted on the Maintenance Primary Population (MPP) for Study KGAB (n=157) and the </w:t>
      </w:r>
      <w:r w:rsidRPr="00FF57FA">
        <w:t xml:space="preserve">modified MPP </w:t>
      </w:r>
      <w:r w:rsidRPr="00FF57FA">
        <w:rPr>
          <w:rFonts w:cs="TimesNewRomanPSMT"/>
          <w:color w:val="231F20"/>
        </w:rPr>
        <w:t>for Study KGAC (n=134)</w:t>
      </w:r>
      <w:r w:rsidR="00F516F7">
        <w:rPr>
          <w:rFonts w:cs="TimesNewRomanPSMT"/>
          <w:color w:val="231F20"/>
        </w:rPr>
        <w:t xml:space="preserve">. </w:t>
      </w:r>
      <w:r w:rsidRPr="00FF57FA">
        <w:rPr>
          <w:rFonts w:cs="TimesNewRomanPSMT"/>
        </w:rPr>
        <w:t>Both studies included a comprehensive analysis of the efficacy data based on primary and supportive estimands for the induction and maintenance periods</w:t>
      </w:r>
      <w:r w:rsidR="00F516F7">
        <w:rPr>
          <w:rFonts w:cs="TimesNewRomanPSMT"/>
        </w:rPr>
        <w:t xml:space="preserve">. </w:t>
      </w:r>
      <w:r w:rsidRPr="00FF57FA">
        <w:rPr>
          <w:rFonts w:cs="TimesNewRomanPSMT"/>
        </w:rPr>
        <w:t xml:space="preserve">  </w:t>
      </w:r>
    </w:p>
    <w:p w14:paraId="1C769737" w14:textId="487FF881" w:rsidR="007105E8" w:rsidRDefault="007105E8" w:rsidP="00FF57FA">
      <w:pPr>
        <w:pStyle w:val="TableTitle"/>
      </w:pPr>
      <w:bookmarkStart w:id="57" w:name="_Ref146614611"/>
      <w:r>
        <w:t xml:space="preserve">Table </w:t>
      </w:r>
      <w:bookmarkEnd w:id="57"/>
      <w:r w:rsidR="00B061C4">
        <w:t>10.</w:t>
      </w:r>
      <w:r>
        <w:t xml:space="preserve"> KGAB and KGAC – Primary efficacy endpoints for the induction period.</w:t>
      </w:r>
    </w:p>
    <w:tbl>
      <w:tblPr>
        <w:tblStyle w:val="TableTGAblue2023"/>
        <w:tblW w:w="9000" w:type="dxa"/>
        <w:tblLayout w:type="fixed"/>
        <w:tblLook w:val="04A0" w:firstRow="1" w:lastRow="0" w:firstColumn="1" w:lastColumn="0" w:noHBand="0" w:noVBand="1"/>
      </w:tblPr>
      <w:tblGrid>
        <w:gridCol w:w="7829"/>
        <w:gridCol w:w="554"/>
        <w:gridCol w:w="617"/>
      </w:tblGrid>
      <w:tr w:rsidR="007105E8" w:rsidRPr="006D6FD0" w14:paraId="2A930263" w14:textId="77777777" w:rsidTr="006D6F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hideMark/>
          </w:tcPr>
          <w:p w14:paraId="0C93EA35" w14:textId="77777777" w:rsidR="007105E8" w:rsidRPr="006D6FD0" w:rsidRDefault="007105E8" w:rsidP="002F4307">
            <w:pPr>
              <w:autoSpaceDE w:val="0"/>
              <w:autoSpaceDN w:val="0"/>
              <w:adjustRightInd w:val="0"/>
              <w:spacing w:before="40" w:line="40" w:lineRule="atLeast"/>
              <w:rPr>
                <w:rFonts w:ascii="Calibri" w:eastAsiaTheme="minorHAnsi" w:hAnsi="Calibri" w:cs="Calibri"/>
                <w:sz w:val="20"/>
                <w:szCs w:val="20"/>
              </w:rPr>
            </w:pPr>
            <w:r w:rsidRPr="006D6FD0">
              <w:rPr>
                <w:rFonts w:ascii="Calibri" w:hAnsi="Calibri" w:cs="Calibri"/>
                <w:sz w:val="20"/>
                <w:szCs w:val="20"/>
              </w:rPr>
              <w:t>Primary efficacy endpoints for induction period</w:t>
            </w:r>
          </w:p>
        </w:tc>
        <w:tc>
          <w:tcPr>
            <w:tcW w:w="554" w:type="dxa"/>
            <w:hideMark/>
          </w:tcPr>
          <w:p w14:paraId="218CA2D6" w14:textId="77777777" w:rsidR="007105E8" w:rsidRPr="006D6FD0" w:rsidRDefault="007105E8" w:rsidP="002F4307">
            <w:pPr>
              <w:spacing w:before="40" w:line="40" w:lineRule="atLeas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FDA</w:t>
            </w:r>
          </w:p>
        </w:tc>
        <w:tc>
          <w:tcPr>
            <w:tcW w:w="617" w:type="dxa"/>
            <w:hideMark/>
          </w:tcPr>
          <w:p w14:paraId="2B4FAC55" w14:textId="77777777" w:rsidR="007105E8" w:rsidRPr="006D6FD0" w:rsidRDefault="007105E8" w:rsidP="002F4307">
            <w:pPr>
              <w:spacing w:before="40" w:line="40" w:lineRule="atLeas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EMA</w:t>
            </w:r>
          </w:p>
        </w:tc>
      </w:tr>
      <w:tr w:rsidR="007105E8" w:rsidRPr="006D6FD0" w14:paraId="5CF738A0" w14:textId="77777777" w:rsidTr="006D6FD0">
        <w:tc>
          <w:tcPr>
            <w:cnfStyle w:val="001000000000" w:firstRow="0" w:lastRow="0" w:firstColumn="1" w:lastColumn="0" w:oddVBand="0" w:evenVBand="0" w:oddHBand="0" w:evenHBand="0" w:firstRowFirstColumn="0" w:firstRowLastColumn="0" w:lastRowFirstColumn="0" w:lastRowLastColumn="0"/>
            <w:tcW w:w="7824" w:type="dxa"/>
            <w:hideMark/>
          </w:tcPr>
          <w:p w14:paraId="64CF4AB5" w14:textId="77777777" w:rsidR="007105E8" w:rsidRPr="006D6FD0" w:rsidRDefault="007105E8" w:rsidP="002F4307">
            <w:pPr>
              <w:autoSpaceDE w:val="0"/>
              <w:autoSpaceDN w:val="0"/>
              <w:adjustRightInd w:val="0"/>
              <w:spacing w:before="40" w:line="40" w:lineRule="atLeast"/>
              <w:rPr>
                <w:rFonts w:ascii="Calibri" w:eastAsiaTheme="minorHAnsi" w:hAnsi="Calibri" w:cs="Calibri"/>
                <w:sz w:val="20"/>
                <w:szCs w:val="20"/>
              </w:rPr>
            </w:pPr>
            <w:r w:rsidRPr="006D6FD0">
              <w:rPr>
                <w:rFonts w:ascii="Calibri" w:eastAsiaTheme="minorHAnsi" w:hAnsi="Calibri" w:cs="Calibri"/>
                <w:sz w:val="20"/>
                <w:szCs w:val="20"/>
              </w:rPr>
              <w:t>Percentage of patients with an IGA score of 0 or 1 and a reduction ≥ 2 points from Baseline to Week 16.</w:t>
            </w:r>
          </w:p>
        </w:tc>
        <w:tc>
          <w:tcPr>
            <w:tcW w:w="554" w:type="dxa"/>
            <w:hideMark/>
          </w:tcPr>
          <w:p w14:paraId="7F71EB2D"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c>
          <w:tcPr>
            <w:tcW w:w="617" w:type="dxa"/>
            <w:hideMark/>
          </w:tcPr>
          <w:p w14:paraId="50580CFD"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r>
      <w:tr w:rsidR="007105E8" w:rsidRPr="006D6FD0" w14:paraId="6472C8F4" w14:textId="77777777" w:rsidTr="006D6FD0">
        <w:tc>
          <w:tcPr>
            <w:cnfStyle w:val="001000000000" w:firstRow="0" w:lastRow="0" w:firstColumn="1" w:lastColumn="0" w:oddVBand="0" w:evenVBand="0" w:oddHBand="0" w:evenHBand="0" w:firstRowFirstColumn="0" w:firstRowLastColumn="0" w:lastRowFirstColumn="0" w:lastRowLastColumn="0"/>
            <w:tcW w:w="7824" w:type="dxa"/>
            <w:hideMark/>
          </w:tcPr>
          <w:p w14:paraId="13442F7D" w14:textId="77777777" w:rsidR="007105E8" w:rsidRPr="006D6FD0" w:rsidRDefault="007105E8" w:rsidP="002F4307">
            <w:pPr>
              <w:autoSpaceDE w:val="0"/>
              <w:autoSpaceDN w:val="0"/>
              <w:adjustRightInd w:val="0"/>
              <w:spacing w:before="40" w:line="40" w:lineRule="atLeast"/>
              <w:rPr>
                <w:rFonts w:ascii="Calibri" w:eastAsiaTheme="minorHAnsi" w:hAnsi="Calibri" w:cs="Calibri"/>
                <w:sz w:val="20"/>
                <w:szCs w:val="20"/>
              </w:rPr>
            </w:pPr>
            <w:r w:rsidRPr="006D6FD0">
              <w:rPr>
                <w:rFonts w:ascii="Calibri" w:eastAsiaTheme="minorHAnsi" w:hAnsi="Calibri" w:cs="Calibri"/>
                <w:sz w:val="20"/>
                <w:szCs w:val="20"/>
              </w:rPr>
              <w:t>Percentage of patients achieving EASI-75 (≥ 75% reduction from Baseline in EASI) at Week 16</w:t>
            </w:r>
          </w:p>
        </w:tc>
        <w:tc>
          <w:tcPr>
            <w:tcW w:w="554" w:type="dxa"/>
            <w:hideMark/>
          </w:tcPr>
          <w:p w14:paraId="39DE8E53"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w:t>
            </w:r>
          </w:p>
        </w:tc>
        <w:tc>
          <w:tcPr>
            <w:tcW w:w="617" w:type="dxa"/>
            <w:hideMark/>
          </w:tcPr>
          <w:p w14:paraId="2A06DDAC"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r>
    </w:tbl>
    <w:p w14:paraId="35564AA1" w14:textId="7CC7911B" w:rsidR="007105E8" w:rsidRDefault="007105E8" w:rsidP="00FF57FA">
      <w:pPr>
        <w:pStyle w:val="TableTitle"/>
        <w:rPr>
          <w:bCs/>
          <w:sz w:val="18"/>
        </w:rPr>
      </w:pPr>
      <w:bookmarkStart w:id="58" w:name="_Ref146614711"/>
      <w:r>
        <w:t xml:space="preserve">Table </w:t>
      </w:r>
      <w:bookmarkEnd w:id="58"/>
      <w:r w:rsidR="00B061C4">
        <w:t>11.</w:t>
      </w:r>
      <w:r>
        <w:t xml:space="preserve"> </w:t>
      </w:r>
      <w:r w:rsidRPr="00340470">
        <w:t>KGAB and KGAC – Major secondary efficacy endpoints for the induction period.</w:t>
      </w:r>
    </w:p>
    <w:tbl>
      <w:tblPr>
        <w:tblStyle w:val="TableTGAblue2023"/>
        <w:tblW w:w="8872" w:type="dxa"/>
        <w:tblLook w:val="04A0" w:firstRow="1" w:lastRow="0" w:firstColumn="1" w:lastColumn="0" w:noHBand="0" w:noVBand="1"/>
      </w:tblPr>
      <w:tblGrid>
        <w:gridCol w:w="7480"/>
        <w:gridCol w:w="669"/>
        <w:gridCol w:w="723"/>
      </w:tblGrid>
      <w:tr w:rsidR="007105E8" w:rsidRPr="006D6FD0" w14:paraId="576A1F6F" w14:textId="77777777" w:rsidTr="006D6FD0">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860" w:type="dxa"/>
            <w:hideMark/>
          </w:tcPr>
          <w:p w14:paraId="4A79C10E" w14:textId="77777777" w:rsidR="007105E8" w:rsidRPr="006D6FD0" w:rsidRDefault="007105E8" w:rsidP="002F4307">
            <w:pPr>
              <w:autoSpaceDE w:val="0"/>
              <w:autoSpaceDN w:val="0"/>
              <w:adjustRightInd w:val="0"/>
              <w:spacing w:before="40" w:line="40" w:lineRule="atLeast"/>
              <w:rPr>
                <w:rFonts w:ascii="Calibri" w:eastAsiaTheme="minorHAnsi" w:hAnsi="Calibri" w:cs="Calibri"/>
                <w:i/>
                <w:iCs/>
                <w:sz w:val="20"/>
                <w:szCs w:val="20"/>
              </w:rPr>
            </w:pPr>
            <w:r w:rsidRPr="006D6FD0">
              <w:rPr>
                <w:rFonts w:ascii="Calibri" w:hAnsi="Calibri" w:cs="Calibri"/>
                <w:sz w:val="20"/>
                <w:szCs w:val="20"/>
              </w:rPr>
              <w:t>Major Secondary efficacy endpoints for induction period</w:t>
            </w:r>
          </w:p>
        </w:tc>
        <w:tc>
          <w:tcPr>
            <w:tcW w:w="480" w:type="dxa"/>
            <w:hideMark/>
          </w:tcPr>
          <w:p w14:paraId="3BF00343" w14:textId="77777777" w:rsidR="007105E8" w:rsidRPr="006D6FD0" w:rsidRDefault="007105E8" w:rsidP="002F4307">
            <w:pPr>
              <w:spacing w:before="40" w:line="40" w:lineRule="atLeas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FDA</w:t>
            </w:r>
          </w:p>
        </w:tc>
        <w:tc>
          <w:tcPr>
            <w:tcW w:w="532" w:type="dxa"/>
            <w:hideMark/>
          </w:tcPr>
          <w:p w14:paraId="01B9FEA1" w14:textId="77777777" w:rsidR="007105E8" w:rsidRPr="006D6FD0" w:rsidRDefault="007105E8" w:rsidP="002F4307">
            <w:pPr>
              <w:spacing w:before="40" w:line="40" w:lineRule="atLeas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EMA</w:t>
            </w:r>
          </w:p>
        </w:tc>
      </w:tr>
      <w:tr w:rsidR="007105E8" w:rsidRPr="006D6FD0" w14:paraId="331448B9" w14:textId="77777777" w:rsidTr="006D6FD0">
        <w:trPr>
          <w:trHeight w:val="269"/>
        </w:trPr>
        <w:tc>
          <w:tcPr>
            <w:cnfStyle w:val="001000000000" w:firstRow="0" w:lastRow="0" w:firstColumn="1" w:lastColumn="0" w:oddVBand="0" w:evenVBand="0" w:oddHBand="0" w:evenHBand="0" w:firstRowFirstColumn="0" w:firstRowLastColumn="0" w:lastRowFirstColumn="0" w:lastRowLastColumn="0"/>
            <w:tcW w:w="7860" w:type="dxa"/>
            <w:hideMark/>
          </w:tcPr>
          <w:p w14:paraId="1D44C0F7" w14:textId="77777777" w:rsidR="007105E8" w:rsidRPr="006D6FD0" w:rsidRDefault="007105E8" w:rsidP="002F4307">
            <w:pPr>
              <w:autoSpaceDE w:val="0"/>
              <w:autoSpaceDN w:val="0"/>
              <w:adjustRightInd w:val="0"/>
              <w:spacing w:before="40" w:line="40" w:lineRule="atLeast"/>
              <w:rPr>
                <w:rFonts w:ascii="Calibri" w:eastAsiaTheme="minorHAnsi" w:hAnsi="Calibri" w:cs="Calibri"/>
                <w:sz w:val="20"/>
                <w:szCs w:val="20"/>
              </w:rPr>
            </w:pPr>
            <w:r w:rsidRPr="006D6FD0">
              <w:rPr>
                <w:rFonts w:ascii="Calibri" w:eastAsiaTheme="minorHAnsi" w:hAnsi="Calibri" w:cs="Calibri"/>
                <w:sz w:val="20"/>
                <w:szCs w:val="20"/>
              </w:rPr>
              <w:t xml:space="preserve">Percentage of patients achieving EASI-75 (≥ 75% reduction from Baseline in EASI) at Week 16   </w:t>
            </w:r>
          </w:p>
        </w:tc>
        <w:tc>
          <w:tcPr>
            <w:tcW w:w="480" w:type="dxa"/>
            <w:hideMark/>
          </w:tcPr>
          <w:p w14:paraId="71AB93D3"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c>
          <w:tcPr>
            <w:tcW w:w="532" w:type="dxa"/>
            <w:hideMark/>
          </w:tcPr>
          <w:p w14:paraId="5E530C86"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Co-P</w:t>
            </w:r>
          </w:p>
        </w:tc>
      </w:tr>
      <w:tr w:rsidR="007105E8" w:rsidRPr="006D6FD0" w14:paraId="69EC776C" w14:textId="77777777" w:rsidTr="006D6FD0">
        <w:trPr>
          <w:trHeight w:val="269"/>
        </w:trPr>
        <w:tc>
          <w:tcPr>
            <w:cnfStyle w:val="001000000000" w:firstRow="0" w:lastRow="0" w:firstColumn="1" w:lastColumn="0" w:oddVBand="0" w:evenVBand="0" w:oddHBand="0" w:evenHBand="0" w:firstRowFirstColumn="0" w:firstRowLastColumn="0" w:lastRowFirstColumn="0" w:lastRowLastColumn="0"/>
            <w:tcW w:w="7860" w:type="dxa"/>
            <w:hideMark/>
          </w:tcPr>
          <w:p w14:paraId="2C36A518" w14:textId="77777777" w:rsidR="007105E8" w:rsidRPr="006D6FD0" w:rsidRDefault="007105E8" w:rsidP="002F4307">
            <w:pPr>
              <w:autoSpaceDE w:val="0"/>
              <w:autoSpaceDN w:val="0"/>
              <w:adjustRightInd w:val="0"/>
              <w:spacing w:before="40" w:line="40" w:lineRule="atLeast"/>
              <w:rPr>
                <w:rFonts w:ascii="Calibri" w:eastAsiaTheme="minorHAnsi" w:hAnsi="Calibri" w:cs="Calibri"/>
                <w:sz w:val="20"/>
                <w:szCs w:val="20"/>
              </w:rPr>
            </w:pPr>
            <w:r w:rsidRPr="006D6FD0">
              <w:rPr>
                <w:rFonts w:ascii="Calibri" w:eastAsiaTheme="minorHAnsi" w:hAnsi="Calibri" w:cs="Calibri"/>
                <w:sz w:val="20"/>
                <w:szCs w:val="20"/>
              </w:rPr>
              <w:t xml:space="preserve">Percentage of patients achieving EASI-90 (≥ 90% reduction from Baseline in EASI) at Week 16 </w:t>
            </w:r>
          </w:p>
        </w:tc>
        <w:tc>
          <w:tcPr>
            <w:tcW w:w="480" w:type="dxa"/>
            <w:hideMark/>
          </w:tcPr>
          <w:p w14:paraId="476852EC"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c>
          <w:tcPr>
            <w:tcW w:w="532" w:type="dxa"/>
            <w:hideMark/>
          </w:tcPr>
          <w:p w14:paraId="08421356"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r>
      <w:tr w:rsidR="007105E8" w:rsidRPr="006D6FD0" w14:paraId="67354EEB" w14:textId="77777777" w:rsidTr="006D6FD0">
        <w:trPr>
          <w:trHeight w:val="269"/>
        </w:trPr>
        <w:tc>
          <w:tcPr>
            <w:cnfStyle w:val="001000000000" w:firstRow="0" w:lastRow="0" w:firstColumn="1" w:lastColumn="0" w:oddVBand="0" w:evenVBand="0" w:oddHBand="0" w:evenHBand="0" w:firstRowFirstColumn="0" w:firstRowLastColumn="0" w:lastRowFirstColumn="0" w:lastRowLastColumn="0"/>
            <w:tcW w:w="7860" w:type="dxa"/>
            <w:hideMark/>
          </w:tcPr>
          <w:p w14:paraId="2FAE5861" w14:textId="77777777" w:rsidR="007105E8" w:rsidRPr="006D6FD0" w:rsidRDefault="007105E8" w:rsidP="002F4307">
            <w:pPr>
              <w:spacing w:before="40" w:line="40" w:lineRule="atLeast"/>
              <w:rPr>
                <w:rFonts w:ascii="Calibri" w:eastAsiaTheme="minorHAnsi" w:hAnsi="Calibri" w:cs="Calibri"/>
                <w:sz w:val="20"/>
                <w:szCs w:val="20"/>
              </w:rPr>
            </w:pPr>
            <w:r w:rsidRPr="006D6FD0">
              <w:rPr>
                <w:rFonts w:ascii="Calibri" w:eastAsiaTheme="minorHAnsi" w:hAnsi="Calibri" w:cs="Calibri"/>
                <w:color w:val="231F20"/>
                <w:sz w:val="20"/>
                <w:szCs w:val="20"/>
              </w:rPr>
              <w:t>Percentage change in Pruritus Numeric Rating Scale (NRS) score from Baseline to Week 16</w:t>
            </w:r>
          </w:p>
        </w:tc>
        <w:tc>
          <w:tcPr>
            <w:tcW w:w="480" w:type="dxa"/>
            <w:hideMark/>
          </w:tcPr>
          <w:p w14:paraId="4E815B87"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w:t>
            </w:r>
          </w:p>
        </w:tc>
        <w:tc>
          <w:tcPr>
            <w:tcW w:w="532" w:type="dxa"/>
            <w:hideMark/>
          </w:tcPr>
          <w:p w14:paraId="53A11F29"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r>
      <w:tr w:rsidR="007105E8" w:rsidRPr="006D6FD0" w14:paraId="1455C522" w14:textId="77777777" w:rsidTr="006D6FD0">
        <w:trPr>
          <w:trHeight w:val="471"/>
        </w:trPr>
        <w:tc>
          <w:tcPr>
            <w:cnfStyle w:val="001000000000" w:firstRow="0" w:lastRow="0" w:firstColumn="1" w:lastColumn="0" w:oddVBand="0" w:evenVBand="0" w:oddHBand="0" w:evenHBand="0" w:firstRowFirstColumn="0" w:firstRowLastColumn="0" w:lastRowFirstColumn="0" w:lastRowLastColumn="0"/>
            <w:tcW w:w="7860" w:type="dxa"/>
            <w:hideMark/>
          </w:tcPr>
          <w:p w14:paraId="03218436" w14:textId="77777777" w:rsidR="007105E8" w:rsidRPr="006D6FD0" w:rsidRDefault="007105E8" w:rsidP="002F4307">
            <w:pPr>
              <w:autoSpaceDE w:val="0"/>
              <w:autoSpaceDN w:val="0"/>
              <w:adjustRightInd w:val="0"/>
              <w:spacing w:before="40" w:line="40" w:lineRule="atLeast"/>
              <w:rPr>
                <w:rFonts w:ascii="Calibri" w:eastAsiaTheme="minorHAnsi" w:hAnsi="Calibri" w:cs="Calibri"/>
                <w:color w:val="231F20"/>
                <w:sz w:val="20"/>
                <w:szCs w:val="20"/>
              </w:rPr>
            </w:pPr>
            <w:r w:rsidRPr="006D6FD0">
              <w:rPr>
                <w:rFonts w:ascii="Calibri" w:eastAsiaTheme="minorHAnsi" w:hAnsi="Calibri" w:cs="Calibri"/>
                <w:color w:val="231F20"/>
                <w:sz w:val="20"/>
                <w:szCs w:val="20"/>
              </w:rPr>
              <w:t xml:space="preserve">Percentage of participants with a Pruritus NRS score </w:t>
            </w:r>
            <w:r w:rsidRPr="006D6FD0">
              <w:rPr>
                <w:rFonts w:ascii="Calibri" w:eastAsia="Times New Roman" w:hAnsi="Calibri" w:cs="Calibri"/>
                <w:color w:val="231F20"/>
                <w:sz w:val="20"/>
                <w:szCs w:val="20"/>
              </w:rPr>
              <w:t xml:space="preserve">≥ 4 </w:t>
            </w:r>
            <w:r w:rsidRPr="006D6FD0">
              <w:rPr>
                <w:rFonts w:ascii="Calibri" w:eastAsiaTheme="minorHAnsi" w:hAnsi="Calibri" w:cs="Calibri"/>
                <w:color w:val="231F20"/>
                <w:sz w:val="20"/>
                <w:szCs w:val="20"/>
              </w:rPr>
              <w:t>points at Baseline who achieve a ≥ 4-point reduction from Baseline to Week 16</w:t>
            </w:r>
          </w:p>
        </w:tc>
        <w:tc>
          <w:tcPr>
            <w:tcW w:w="480" w:type="dxa"/>
            <w:hideMark/>
          </w:tcPr>
          <w:p w14:paraId="37D9C23E"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c>
          <w:tcPr>
            <w:tcW w:w="532" w:type="dxa"/>
            <w:hideMark/>
          </w:tcPr>
          <w:p w14:paraId="37FD87F6"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r>
      <w:tr w:rsidR="007105E8" w:rsidRPr="006D6FD0" w14:paraId="171BFE5C" w14:textId="77777777" w:rsidTr="006D6FD0">
        <w:trPr>
          <w:trHeight w:val="269"/>
        </w:trPr>
        <w:tc>
          <w:tcPr>
            <w:cnfStyle w:val="001000000000" w:firstRow="0" w:lastRow="0" w:firstColumn="1" w:lastColumn="0" w:oddVBand="0" w:evenVBand="0" w:oddHBand="0" w:evenHBand="0" w:firstRowFirstColumn="0" w:firstRowLastColumn="0" w:lastRowFirstColumn="0" w:lastRowLastColumn="0"/>
            <w:tcW w:w="7860" w:type="dxa"/>
            <w:hideMark/>
          </w:tcPr>
          <w:p w14:paraId="397857E2" w14:textId="77777777" w:rsidR="007105E8" w:rsidRPr="006D6FD0" w:rsidRDefault="007105E8" w:rsidP="002F4307">
            <w:pPr>
              <w:spacing w:before="40" w:line="40" w:lineRule="atLeast"/>
              <w:rPr>
                <w:rFonts w:ascii="Calibri" w:eastAsiaTheme="minorHAnsi" w:hAnsi="Calibri" w:cs="Calibri"/>
                <w:color w:val="231F20"/>
                <w:sz w:val="20"/>
                <w:szCs w:val="20"/>
              </w:rPr>
            </w:pPr>
            <w:r w:rsidRPr="006D6FD0">
              <w:rPr>
                <w:rFonts w:ascii="Calibri" w:eastAsiaTheme="minorHAnsi" w:hAnsi="Calibri" w:cs="Calibri"/>
                <w:color w:val="231F20"/>
                <w:sz w:val="20"/>
                <w:szCs w:val="20"/>
              </w:rPr>
              <w:t>Percentage change in EASI from Baseline to Week 16</w:t>
            </w:r>
          </w:p>
        </w:tc>
        <w:tc>
          <w:tcPr>
            <w:tcW w:w="480" w:type="dxa"/>
            <w:hideMark/>
          </w:tcPr>
          <w:p w14:paraId="58D04B39"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w:t>
            </w:r>
          </w:p>
        </w:tc>
        <w:tc>
          <w:tcPr>
            <w:tcW w:w="532" w:type="dxa"/>
            <w:hideMark/>
          </w:tcPr>
          <w:p w14:paraId="49E2A68B"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r>
      <w:tr w:rsidR="007105E8" w:rsidRPr="006D6FD0" w14:paraId="396AA1DF" w14:textId="77777777" w:rsidTr="006D6FD0">
        <w:trPr>
          <w:trHeight w:val="269"/>
        </w:trPr>
        <w:tc>
          <w:tcPr>
            <w:cnfStyle w:val="001000000000" w:firstRow="0" w:lastRow="0" w:firstColumn="1" w:lastColumn="0" w:oddVBand="0" w:evenVBand="0" w:oddHBand="0" w:evenHBand="0" w:firstRowFirstColumn="0" w:firstRowLastColumn="0" w:lastRowFirstColumn="0" w:lastRowLastColumn="0"/>
            <w:tcW w:w="7860" w:type="dxa"/>
            <w:hideMark/>
          </w:tcPr>
          <w:p w14:paraId="27F9DD6D" w14:textId="77777777" w:rsidR="007105E8" w:rsidRPr="006D6FD0" w:rsidRDefault="007105E8" w:rsidP="002F4307">
            <w:pPr>
              <w:spacing w:before="40" w:line="40" w:lineRule="atLeast"/>
              <w:rPr>
                <w:rFonts w:ascii="Calibri" w:eastAsiaTheme="minorHAnsi" w:hAnsi="Calibri" w:cs="Calibri"/>
                <w:color w:val="231F20"/>
                <w:sz w:val="20"/>
                <w:szCs w:val="20"/>
              </w:rPr>
            </w:pPr>
            <w:r w:rsidRPr="006D6FD0">
              <w:rPr>
                <w:rFonts w:ascii="Calibri" w:eastAsiaTheme="minorHAnsi" w:hAnsi="Calibri" w:cs="Calibri"/>
                <w:sz w:val="20"/>
                <w:szCs w:val="20"/>
              </w:rPr>
              <w:t>Percentage of patients achieving EASI-90 (≥ 90% reduction from Baseline in EASI) at Week 4</w:t>
            </w:r>
          </w:p>
        </w:tc>
        <w:tc>
          <w:tcPr>
            <w:tcW w:w="480" w:type="dxa"/>
            <w:hideMark/>
          </w:tcPr>
          <w:p w14:paraId="37B05572"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w:t>
            </w:r>
          </w:p>
        </w:tc>
        <w:tc>
          <w:tcPr>
            <w:tcW w:w="532" w:type="dxa"/>
            <w:hideMark/>
          </w:tcPr>
          <w:p w14:paraId="02CACEC2"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r>
      <w:tr w:rsidR="007105E8" w:rsidRPr="006D6FD0" w14:paraId="07B03F7D" w14:textId="77777777" w:rsidTr="006D6FD0">
        <w:trPr>
          <w:trHeight w:val="393"/>
        </w:trPr>
        <w:tc>
          <w:tcPr>
            <w:cnfStyle w:val="001000000000" w:firstRow="0" w:lastRow="0" w:firstColumn="1" w:lastColumn="0" w:oddVBand="0" w:evenVBand="0" w:oddHBand="0" w:evenHBand="0" w:firstRowFirstColumn="0" w:firstRowLastColumn="0" w:lastRowFirstColumn="0" w:lastRowLastColumn="0"/>
            <w:tcW w:w="7860" w:type="dxa"/>
            <w:hideMark/>
          </w:tcPr>
          <w:p w14:paraId="4AD0C719" w14:textId="77777777" w:rsidR="007105E8" w:rsidRPr="006D6FD0" w:rsidRDefault="007105E8" w:rsidP="002F4307">
            <w:pPr>
              <w:autoSpaceDE w:val="0"/>
              <w:autoSpaceDN w:val="0"/>
              <w:adjustRightInd w:val="0"/>
              <w:rPr>
                <w:rFonts w:ascii="Calibri" w:eastAsiaTheme="minorHAnsi" w:hAnsi="Calibri" w:cs="Calibri"/>
                <w:sz w:val="20"/>
                <w:szCs w:val="20"/>
              </w:rPr>
            </w:pPr>
            <w:r w:rsidRPr="006D6FD0">
              <w:rPr>
                <w:rFonts w:ascii="Calibri" w:eastAsiaTheme="minorHAnsi" w:hAnsi="Calibri" w:cs="Calibri"/>
                <w:sz w:val="20"/>
                <w:szCs w:val="20"/>
              </w:rPr>
              <w:t>Percentage of patients with a Sleep-Loss Scale score ≥2 points at Baseline who achieve a ≥ 2 points reduction from Baseline at Week 16.</w:t>
            </w:r>
          </w:p>
        </w:tc>
        <w:tc>
          <w:tcPr>
            <w:tcW w:w="480" w:type="dxa"/>
            <w:hideMark/>
          </w:tcPr>
          <w:p w14:paraId="4672E7D1"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c>
          <w:tcPr>
            <w:tcW w:w="532" w:type="dxa"/>
            <w:hideMark/>
          </w:tcPr>
          <w:p w14:paraId="41341FAE"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r>
      <w:tr w:rsidR="007105E8" w:rsidRPr="006D6FD0" w14:paraId="600E1253" w14:textId="77777777" w:rsidTr="006D6FD0">
        <w:trPr>
          <w:trHeight w:val="269"/>
        </w:trPr>
        <w:tc>
          <w:tcPr>
            <w:cnfStyle w:val="001000000000" w:firstRow="0" w:lastRow="0" w:firstColumn="1" w:lastColumn="0" w:oddVBand="0" w:evenVBand="0" w:oddHBand="0" w:evenHBand="0" w:firstRowFirstColumn="0" w:firstRowLastColumn="0" w:lastRowFirstColumn="0" w:lastRowLastColumn="0"/>
            <w:tcW w:w="7860" w:type="dxa"/>
            <w:hideMark/>
          </w:tcPr>
          <w:p w14:paraId="0F8059C2" w14:textId="77777777" w:rsidR="007105E8" w:rsidRPr="006D6FD0" w:rsidRDefault="007105E8" w:rsidP="002F4307">
            <w:pPr>
              <w:spacing w:before="40" w:line="40" w:lineRule="atLeast"/>
              <w:rPr>
                <w:rFonts w:ascii="Calibri" w:eastAsiaTheme="minorHAnsi" w:hAnsi="Calibri" w:cs="Calibri"/>
                <w:color w:val="231F20"/>
                <w:sz w:val="20"/>
                <w:szCs w:val="20"/>
              </w:rPr>
            </w:pPr>
            <w:r w:rsidRPr="006D6FD0">
              <w:rPr>
                <w:rFonts w:ascii="Calibri" w:eastAsiaTheme="minorHAnsi" w:hAnsi="Calibri" w:cs="Calibri"/>
                <w:color w:val="231F20"/>
                <w:sz w:val="20"/>
                <w:szCs w:val="20"/>
              </w:rPr>
              <w:t>Change from Baseline in Sleep-Loss Scale score at Week 16</w:t>
            </w:r>
          </w:p>
        </w:tc>
        <w:tc>
          <w:tcPr>
            <w:tcW w:w="480" w:type="dxa"/>
            <w:hideMark/>
          </w:tcPr>
          <w:p w14:paraId="4A00158F"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w:t>
            </w:r>
          </w:p>
        </w:tc>
        <w:tc>
          <w:tcPr>
            <w:tcW w:w="532" w:type="dxa"/>
            <w:hideMark/>
          </w:tcPr>
          <w:p w14:paraId="0047DDA1"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r>
      <w:tr w:rsidR="007105E8" w:rsidRPr="006D6FD0" w14:paraId="03794A1D" w14:textId="77777777" w:rsidTr="006D6FD0">
        <w:trPr>
          <w:trHeight w:val="461"/>
        </w:trPr>
        <w:tc>
          <w:tcPr>
            <w:cnfStyle w:val="001000000000" w:firstRow="0" w:lastRow="0" w:firstColumn="1" w:lastColumn="0" w:oddVBand="0" w:evenVBand="0" w:oddHBand="0" w:evenHBand="0" w:firstRowFirstColumn="0" w:firstRowLastColumn="0" w:lastRowFirstColumn="0" w:lastRowLastColumn="0"/>
            <w:tcW w:w="7860" w:type="dxa"/>
            <w:hideMark/>
          </w:tcPr>
          <w:p w14:paraId="16E1D3C5" w14:textId="77777777" w:rsidR="007105E8" w:rsidRPr="006D6FD0" w:rsidRDefault="007105E8" w:rsidP="002F4307">
            <w:pPr>
              <w:spacing w:before="40" w:line="40" w:lineRule="atLeast"/>
              <w:rPr>
                <w:rFonts w:ascii="Calibri" w:eastAsiaTheme="minorHAnsi" w:hAnsi="Calibri" w:cs="Calibri"/>
                <w:color w:val="231F20"/>
                <w:sz w:val="20"/>
                <w:szCs w:val="20"/>
              </w:rPr>
            </w:pPr>
            <w:r w:rsidRPr="006D6FD0">
              <w:rPr>
                <w:rFonts w:ascii="Calibri" w:eastAsiaTheme="minorHAnsi" w:hAnsi="Calibri" w:cs="Calibri"/>
                <w:color w:val="231F20"/>
                <w:sz w:val="20"/>
                <w:szCs w:val="20"/>
              </w:rPr>
              <w:t xml:space="preserve">Percentage of participants with a Pruritus NRS score </w:t>
            </w:r>
            <w:r w:rsidRPr="006D6FD0">
              <w:rPr>
                <w:rFonts w:ascii="Calibri" w:eastAsia="Times New Roman" w:hAnsi="Calibri" w:cs="Calibri"/>
                <w:color w:val="231F20"/>
                <w:sz w:val="20"/>
                <w:szCs w:val="20"/>
              </w:rPr>
              <w:t xml:space="preserve">≥ 4 </w:t>
            </w:r>
            <w:r w:rsidRPr="006D6FD0">
              <w:rPr>
                <w:rFonts w:ascii="Calibri" w:eastAsiaTheme="minorHAnsi" w:hAnsi="Calibri" w:cs="Calibri"/>
                <w:color w:val="231F20"/>
                <w:sz w:val="20"/>
                <w:szCs w:val="20"/>
              </w:rPr>
              <w:t>points at Baseline who achieve a ≥ 4-point reduction from Baseline to Week 4</w:t>
            </w:r>
          </w:p>
        </w:tc>
        <w:tc>
          <w:tcPr>
            <w:tcW w:w="480" w:type="dxa"/>
            <w:hideMark/>
          </w:tcPr>
          <w:p w14:paraId="7085F7B8"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c>
          <w:tcPr>
            <w:tcW w:w="532" w:type="dxa"/>
            <w:hideMark/>
          </w:tcPr>
          <w:p w14:paraId="5E7D2ECD"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r>
      <w:tr w:rsidR="007105E8" w:rsidRPr="006D6FD0" w14:paraId="1384B8DF" w14:textId="77777777" w:rsidTr="006D6FD0">
        <w:trPr>
          <w:trHeight w:val="471"/>
        </w:trPr>
        <w:tc>
          <w:tcPr>
            <w:cnfStyle w:val="001000000000" w:firstRow="0" w:lastRow="0" w:firstColumn="1" w:lastColumn="0" w:oddVBand="0" w:evenVBand="0" w:oddHBand="0" w:evenHBand="0" w:firstRowFirstColumn="0" w:firstRowLastColumn="0" w:lastRowFirstColumn="0" w:lastRowLastColumn="0"/>
            <w:tcW w:w="7860" w:type="dxa"/>
            <w:hideMark/>
          </w:tcPr>
          <w:p w14:paraId="5F1CF3A1" w14:textId="77777777" w:rsidR="007105E8" w:rsidRPr="006D6FD0" w:rsidRDefault="007105E8" w:rsidP="002F4307">
            <w:pPr>
              <w:spacing w:before="40" w:line="40" w:lineRule="atLeast"/>
              <w:rPr>
                <w:rFonts w:ascii="Calibri" w:eastAsiaTheme="minorHAnsi" w:hAnsi="Calibri" w:cs="Calibri"/>
                <w:color w:val="231F20"/>
                <w:sz w:val="20"/>
                <w:szCs w:val="20"/>
              </w:rPr>
            </w:pPr>
            <w:r w:rsidRPr="006D6FD0">
              <w:rPr>
                <w:rFonts w:ascii="Calibri" w:eastAsiaTheme="minorHAnsi" w:hAnsi="Calibri" w:cs="Calibri"/>
                <w:color w:val="231F20"/>
                <w:sz w:val="20"/>
                <w:szCs w:val="20"/>
              </w:rPr>
              <w:t xml:space="preserve">Percentage of participants with a Pruritus NRS score </w:t>
            </w:r>
            <w:r w:rsidRPr="006D6FD0">
              <w:rPr>
                <w:rFonts w:ascii="Calibri" w:eastAsia="Times New Roman" w:hAnsi="Calibri" w:cs="Calibri"/>
                <w:color w:val="231F20"/>
                <w:sz w:val="20"/>
                <w:szCs w:val="20"/>
              </w:rPr>
              <w:t>≥ 4</w:t>
            </w:r>
            <w:r w:rsidRPr="006D6FD0">
              <w:rPr>
                <w:rFonts w:ascii="Calibri" w:eastAsiaTheme="minorHAnsi" w:hAnsi="Calibri" w:cs="Calibri"/>
                <w:color w:val="231F20"/>
                <w:sz w:val="20"/>
                <w:szCs w:val="20"/>
              </w:rPr>
              <w:t>points at Baseline who achieve a ≥ 4-point reduction from Baseline to Week 2</w:t>
            </w:r>
          </w:p>
        </w:tc>
        <w:tc>
          <w:tcPr>
            <w:tcW w:w="480" w:type="dxa"/>
            <w:hideMark/>
          </w:tcPr>
          <w:p w14:paraId="74BB510F"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c>
          <w:tcPr>
            <w:tcW w:w="532" w:type="dxa"/>
            <w:hideMark/>
          </w:tcPr>
          <w:p w14:paraId="5121AA07"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r>
      <w:tr w:rsidR="007105E8" w:rsidRPr="006D6FD0" w14:paraId="0EDA49E3" w14:textId="77777777" w:rsidTr="006D6FD0">
        <w:trPr>
          <w:trHeight w:val="269"/>
        </w:trPr>
        <w:tc>
          <w:tcPr>
            <w:cnfStyle w:val="001000000000" w:firstRow="0" w:lastRow="0" w:firstColumn="1" w:lastColumn="0" w:oddVBand="0" w:evenVBand="0" w:oddHBand="0" w:evenHBand="0" w:firstRowFirstColumn="0" w:firstRowLastColumn="0" w:lastRowFirstColumn="0" w:lastRowLastColumn="0"/>
            <w:tcW w:w="7860" w:type="dxa"/>
            <w:hideMark/>
          </w:tcPr>
          <w:p w14:paraId="65B4ECD2" w14:textId="77777777" w:rsidR="007105E8" w:rsidRPr="006D6FD0" w:rsidRDefault="007105E8" w:rsidP="002F4307">
            <w:pPr>
              <w:autoSpaceDE w:val="0"/>
              <w:autoSpaceDN w:val="0"/>
              <w:adjustRightInd w:val="0"/>
              <w:rPr>
                <w:rFonts w:ascii="Calibri" w:eastAsiaTheme="minorHAnsi" w:hAnsi="Calibri" w:cs="Calibri"/>
                <w:sz w:val="20"/>
                <w:szCs w:val="20"/>
              </w:rPr>
            </w:pPr>
            <w:r w:rsidRPr="006D6FD0">
              <w:rPr>
                <w:rFonts w:ascii="Calibri" w:eastAsiaTheme="minorHAnsi" w:hAnsi="Calibri" w:cs="Calibri"/>
                <w:sz w:val="20"/>
                <w:szCs w:val="20"/>
              </w:rPr>
              <w:t>Percentage of patients with an IGA score of 0 or 1 and a reduction ≥ 2 points at Week 4.</w:t>
            </w:r>
          </w:p>
        </w:tc>
        <w:tc>
          <w:tcPr>
            <w:tcW w:w="480" w:type="dxa"/>
            <w:hideMark/>
          </w:tcPr>
          <w:p w14:paraId="68EE1BC3"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c>
          <w:tcPr>
            <w:tcW w:w="532" w:type="dxa"/>
            <w:hideMark/>
          </w:tcPr>
          <w:p w14:paraId="11AC0220"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w:t>
            </w:r>
          </w:p>
        </w:tc>
      </w:tr>
      <w:tr w:rsidR="007105E8" w:rsidRPr="006D6FD0" w14:paraId="7A72D593" w14:textId="77777777" w:rsidTr="006D6FD0">
        <w:trPr>
          <w:trHeight w:val="269"/>
        </w:trPr>
        <w:tc>
          <w:tcPr>
            <w:cnfStyle w:val="001000000000" w:firstRow="0" w:lastRow="0" w:firstColumn="1" w:lastColumn="0" w:oddVBand="0" w:evenVBand="0" w:oddHBand="0" w:evenHBand="0" w:firstRowFirstColumn="0" w:firstRowLastColumn="0" w:lastRowFirstColumn="0" w:lastRowLastColumn="0"/>
            <w:tcW w:w="7860" w:type="dxa"/>
            <w:hideMark/>
          </w:tcPr>
          <w:p w14:paraId="67514F25" w14:textId="77777777" w:rsidR="007105E8" w:rsidRPr="006D6FD0" w:rsidRDefault="007105E8" w:rsidP="002F4307">
            <w:pPr>
              <w:autoSpaceDE w:val="0"/>
              <w:autoSpaceDN w:val="0"/>
              <w:adjustRightInd w:val="0"/>
              <w:rPr>
                <w:rFonts w:ascii="Calibri" w:eastAsiaTheme="minorHAnsi" w:hAnsi="Calibri" w:cs="Calibri"/>
                <w:sz w:val="20"/>
                <w:szCs w:val="20"/>
              </w:rPr>
            </w:pPr>
            <w:r w:rsidRPr="006D6FD0">
              <w:rPr>
                <w:rFonts w:ascii="Calibri" w:eastAsiaTheme="minorHAnsi" w:hAnsi="Calibri" w:cs="Calibri"/>
                <w:sz w:val="20"/>
                <w:szCs w:val="20"/>
              </w:rPr>
              <w:t>Percentage of patients with an IGA score of 0 or 1 and a reduction ≥ 2 points at Week 16 in adults.</w:t>
            </w:r>
          </w:p>
        </w:tc>
        <w:tc>
          <w:tcPr>
            <w:tcW w:w="480" w:type="dxa"/>
            <w:hideMark/>
          </w:tcPr>
          <w:p w14:paraId="35563BCC"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c>
          <w:tcPr>
            <w:tcW w:w="532" w:type="dxa"/>
            <w:hideMark/>
          </w:tcPr>
          <w:p w14:paraId="4840D687"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w:t>
            </w:r>
          </w:p>
        </w:tc>
      </w:tr>
      <w:tr w:rsidR="007105E8" w:rsidRPr="006D6FD0" w14:paraId="13568447" w14:textId="77777777" w:rsidTr="006D6FD0">
        <w:trPr>
          <w:trHeight w:val="269"/>
        </w:trPr>
        <w:tc>
          <w:tcPr>
            <w:cnfStyle w:val="001000000000" w:firstRow="0" w:lastRow="0" w:firstColumn="1" w:lastColumn="0" w:oddVBand="0" w:evenVBand="0" w:oddHBand="0" w:evenHBand="0" w:firstRowFirstColumn="0" w:firstRowLastColumn="0" w:lastRowFirstColumn="0" w:lastRowLastColumn="0"/>
            <w:tcW w:w="7860" w:type="dxa"/>
            <w:hideMark/>
          </w:tcPr>
          <w:p w14:paraId="2278751F" w14:textId="77777777" w:rsidR="007105E8" w:rsidRPr="006D6FD0" w:rsidRDefault="007105E8" w:rsidP="002F4307">
            <w:pPr>
              <w:spacing w:before="40" w:line="40" w:lineRule="atLeast"/>
              <w:rPr>
                <w:rFonts w:ascii="Calibri" w:eastAsiaTheme="minorHAnsi" w:hAnsi="Calibri" w:cs="Calibri"/>
                <w:color w:val="231F20"/>
                <w:sz w:val="20"/>
                <w:szCs w:val="20"/>
              </w:rPr>
            </w:pPr>
            <w:r w:rsidRPr="006D6FD0">
              <w:rPr>
                <w:rFonts w:ascii="Calibri" w:eastAsiaTheme="minorHAnsi" w:hAnsi="Calibri" w:cs="Calibri"/>
                <w:color w:val="231F20"/>
                <w:sz w:val="20"/>
                <w:szCs w:val="20"/>
              </w:rPr>
              <w:t>Change from Baseline in Dermatology Life Quality Index (DLQI) total score at Week 16</w:t>
            </w:r>
          </w:p>
        </w:tc>
        <w:tc>
          <w:tcPr>
            <w:tcW w:w="480" w:type="dxa"/>
            <w:hideMark/>
          </w:tcPr>
          <w:p w14:paraId="0231DE89"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w:t>
            </w:r>
          </w:p>
        </w:tc>
        <w:tc>
          <w:tcPr>
            <w:tcW w:w="532" w:type="dxa"/>
            <w:hideMark/>
          </w:tcPr>
          <w:p w14:paraId="4E32F10E"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r>
      <w:tr w:rsidR="007105E8" w:rsidRPr="006D6FD0" w14:paraId="5885D3A7" w14:textId="77777777" w:rsidTr="006D6FD0">
        <w:trPr>
          <w:trHeight w:val="461"/>
        </w:trPr>
        <w:tc>
          <w:tcPr>
            <w:cnfStyle w:val="001000000000" w:firstRow="0" w:lastRow="0" w:firstColumn="1" w:lastColumn="0" w:oddVBand="0" w:evenVBand="0" w:oddHBand="0" w:evenHBand="0" w:firstRowFirstColumn="0" w:firstRowLastColumn="0" w:lastRowFirstColumn="0" w:lastRowLastColumn="0"/>
            <w:tcW w:w="7860" w:type="dxa"/>
            <w:hideMark/>
          </w:tcPr>
          <w:p w14:paraId="791D4845" w14:textId="77777777" w:rsidR="007105E8" w:rsidRPr="006D6FD0" w:rsidRDefault="007105E8" w:rsidP="002F4307">
            <w:pPr>
              <w:autoSpaceDE w:val="0"/>
              <w:autoSpaceDN w:val="0"/>
              <w:adjustRightInd w:val="0"/>
              <w:spacing w:before="40" w:line="40" w:lineRule="atLeast"/>
              <w:rPr>
                <w:rFonts w:ascii="Calibri" w:eastAsiaTheme="minorHAnsi" w:hAnsi="Calibri" w:cs="Calibri"/>
                <w:color w:val="231F20"/>
                <w:sz w:val="20"/>
                <w:szCs w:val="20"/>
              </w:rPr>
            </w:pPr>
            <w:r w:rsidRPr="006D6FD0">
              <w:rPr>
                <w:rFonts w:ascii="Calibri" w:eastAsiaTheme="minorHAnsi" w:hAnsi="Calibri" w:cs="Calibri"/>
                <w:color w:val="231F20"/>
                <w:sz w:val="20"/>
                <w:szCs w:val="20"/>
              </w:rPr>
              <w:t xml:space="preserve">Percentage of patients with a DLQI score of </w:t>
            </w:r>
            <w:r w:rsidRPr="006D6FD0">
              <w:rPr>
                <w:rFonts w:ascii="Calibri" w:eastAsia="Times New Roman" w:hAnsi="Calibri" w:cs="Calibri"/>
                <w:color w:val="231F20"/>
                <w:sz w:val="20"/>
                <w:szCs w:val="20"/>
              </w:rPr>
              <w:t xml:space="preserve">≥ 4 </w:t>
            </w:r>
            <w:r w:rsidRPr="006D6FD0">
              <w:rPr>
                <w:rFonts w:ascii="Calibri" w:eastAsiaTheme="minorHAnsi" w:hAnsi="Calibri" w:cs="Calibri"/>
                <w:color w:val="231F20"/>
                <w:sz w:val="20"/>
                <w:szCs w:val="20"/>
              </w:rPr>
              <w:t>points at Baseline who achieve a ≥ 4 -point improvement from Baseline to Week 16</w:t>
            </w:r>
          </w:p>
        </w:tc>
        <w:tc>
          <w:tcPr>
            <w:tcW w:w="480" w:type="dxa"/>
            <w:hideMark/>
          </w:tcPr>
          <w:p w14:paraId="736A6CE9"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w:t>
            </w:r>
          </w:p>
        </w:tc>
        <w:tc>
          <w:tcPr>
            <w:tcW w:w="532" w:type="dxa"/>
            <w:hideMark/>
          </w:tcPr>
          <w:p w14:paraId="54E10B92" w14:textId="77777777" w:rsidR="007105E8" w:rsidRPr="006D6FD0" w:rsidRDefault="007105E8" w:rsidP="002F4307">
            <w:pPr>
              <w:spacing w:before="40" w:line="4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6FD0">
              <w:rPr>
                <w:rFonts w:ascii="Calibri" w:hAnsi="Calibri" w:cs="Calibri"/>
                <w:sz w:val="20"/>
                <w:szCs w:val="20"/>
              </w:rPr>
              <w:t>X</w:t>
            </w:r>
          </w:p>
        </w:tc>
      </w:tr>
    </w:tbl>
    <w:p w14:paraId="538BE5EC" w14:textId="77777777" w:rsidR="007105E8" w:rsidRDefault="007105E8" w:rsidP="007105E8">
      <w:pPr>
        <w:autoSpaceDE w:val="0"/>
        <w:autoSpaceDN w:val="0"/>
        <w:adjustRightInd w:val="0"/>
        <w:spacing w:after="0" w:line="240" w:lineRule="auto"/>
        <w:rPr>
          <w:rFonts w:asciiTheme="minorHAnsi" w:hAnsiTheme="minorHAnsi" w:cs="TimesNewRomanPSMT"/>
          <w:sz w:val="18"/>
          <w:szCs w:val="18"/>
        </w:rPr>
      </w:pPr>
    </w:p>
    <w:p w14:paraId="39006ABF" w14:textId="448CF08B" w:rsidR="007105E8" w:rsidRDefault="007105E8" w:rsidP="00FF57FA">
      <w:pPr>
        <w:pStyle w:val="TableTitle"/>
      </w:pPr>
      <w:bookmarkStart w:id="59" w:name="_Ref146614792"/>
      <w:r>
        <w:t>Table</w:t>
      </w:r>
      <w:bookmarkEnd w:id="59"/>
      <w:r w:rsidR="00B061C4">
        <w:t xml:space="preserve"> 12</w:t>
      </w:r>
      <w:r w:rsidR="00FF57FA">
        <w:rPr>
          <w:noProof/>
        </w:rPr>
        <w:t>.</w:t>
      </w:r>
      <w:r>
        <w:t xml:space="preserve"> KGAB and KGAC – Major secondary efficacy endpoints for the maintenance period specified by the EMA for the graphical testing scheme. </w:t>
      </w:r>
    </w:p>
    <w:tbl>
      <w:tblPr>
        <w:tblStyle w:val="TableTGAblue2023"/>
        <w:tblW w:w="9067" w:type="dxa"/>
        <w:tblLook w:val="04A0" w:firstRow="1" w:lastRow="0" w:firstColumn="1" w:lastColumn="0" w:noHBand="0" w:noVBand="1"/>
      </w:tblPr>
      <w:tblGrid>
        <w:gridCol w:w="9067"/>
      </w:tblGrid>
      <w:tr w:rsidR="007105E8" w:rsidRPr="006D6FD0" w14:paraId="47022E1F" w14:textId="77777777" w:rsidTr="006D6F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600BFD52" w14:textId="77777777" w:rsidR="007105E8" w:rsidRPr="006D6FD0" w:rsidRDefault="007105E8" w:rsidP="002F4307">
            <w:pPr>
              <w:spacing w:before="40" w:line="40" w:lineRule="atLeast"/>
              <w:rPr>
                <w:rFonts w:ascii="Calibri" w:hAnsi="Calibri" w:cs="Calibri"/>
                <w:sz w:val="20"/>
                <w:szCs w:val="20"/>
              </w:rPr>
            </w:pPr>
            <w:r w:rsidRPr="006D6FD0">
              <w:rPr>
                <w:rFonts w:ascii="Calibri" w:eastAsiaTheme="minorHAnsi" w:hAnsi="Calibri" w:cs="Calibri"/>
                <w:sz w:val="20"/>
                <w:szCs w:val="20"/>
              </w:rPr>
              <w:t>Major Secondary Endpoints for the Maintenance Blinded Period specified by the EMA for the graphical testing scheme</w:t>
            </w:r>
          </w:p>
        </w:tc>
      </w:tr>
      <w:tr w:rsidR="007105E8" w:rsidRPr="006D6FD0" w14:paraId="37D53969" w14:textId="77777777" w:rsidTr="006D6FD0">
        <w:tc>
          <w:tcPr>
            <w:cnfStyle w:val="001000000000" w:firstRow="0" w:lastRow="0" w:firstColumn="1" w:lastColumn="0" w:oddVBand="0" w:evenVBand="0" w:oddHBand="0" w:evenHBand="0" w:firstRowFirstColumn="0" w:firstRowLastColumn="0" w:lastRowFirstColumn="0" w:lastRowLastColumn="0"/>
            <w:tcW w:w="9067" w:type="dxa"/>
            <w:hideMark/>
          </w:tcPr>
          <w:p w14:paraId="39B0345A" w14:textId="77777777" w:rsidR="007105E8" w:rsidRPr="006D6FD0" w:rsidRDefault="007105E8" w:rsidP="002F4307">
            <w:pPr>
              <w:autoSpaceDE w:val="0"/>
              <w:autoSpaceDN w:val="0"/>
              <w:adjustRightInd w:val="0"/>
              <w:rPr>
                <w:rFonts w:ascii="Calibri" w:eastAsiaTheme="minorHAnsi" w:hAnsi="Calibri" w:cs="Calibri"/>
                <w:sz w:val="20"/>
                <w:szCs w:val="20"/>
              </w:rPr>
            </w:pPr>
            <w:r w:rsidRPr="006D6FD0">
              <w:rPr>
                <w:rFonts w:ascii="Calibri" w:eastAsiaTheme="minorHAnsi" w:hAnsi="Calibri" w:cs="Calibri"/>
                <w:sz w:val="20"/>
                <w:szCs w:val="20"/>
              </w:rPr>
              <w:t>Percentage of patients from those re-randomised to Q2W or Q4W having achieved EASI-75 at Week 16 who continue to exhibit EASI-75 at Week 52 (EASI-75 calculated relative to Baseline EASI).</w:t>
            </w:r>
          </w:p>
        </w:tc>
      </w:tr>
      <w:tr w:rsidR="007105E8" w:rsidRPr="006D6FD0" w14:paraId="7B8D7314" w14:textId="77777777" w:rsidTr="006D6FD0">
        <w:tc>
          <w:tcPr>
            <w:cnfStyle w:val="001000000000" w:firstRow="0" w:lastRow="0" w:firstColumn="1" w:lastColumn="0" w:oddVBand="0" w:evenVBand="0" w:oddHBand="0" w:evenHBand="0" w:firstRowFirstColumn="0" w:firstRowLastColumn="0" w:lastRowFirstColumn="0" w:lastRowLastColumn="0"/>
            <w:tcW w:w="9067" w:type="dxa"/>
            <w:hideMark/>
          </w:tcPr>
          <w:p w14:paraId="0A084D63" w14:textId="77777777" w:rsidR="007105E8" w:rsidRPr="006D6FD0" w:rsidRDefault="007105E8" w:rsidP="002F4307">
            <w:pPr>
              <w:autoSpaceDE w:val="0"/>
              <w:autoSpaceDN w:val="0"/>
              <w:adjustRightInd w:val="0"/>
              <w:rPr>
                <w:rFonts w:ascii="Calibri" w:eastAsiaTheme="minorHAnsi" w:hAnsi="Calibri" w:cs="Calibri"/>
                <w:sz w:val="20"/>
                <w:szCs w:val="20"/>
              </w:rPr>
            </w:pPr>
            <w:r w:rsidRPr="006D6FD0">
              <w:rPr>
                <w:rFonts w:ascii="Calibri" w:eastAsiaTheme="minorHAnsi" w:hAnsi="Calibri" w:cs="Calibri"/>
                <w:sz w:val="20"/>
                <w:szCs w:val="20"/>
              </w:rPr>
              <w:t>Percentage of patients from those re-randomised to Q2W or Q4W having achieved IGA 0 or 1 and a ≥ 2-point improvement from Baseline at Week 16 who continue to exhibit an IGA 0 or 1 and a ≥ 2-point improvement from Baseline at Week 52</w:t>
            </w:r>
          </w:p>
        </w:tc>
      </w:tr>
      <w:tr w:rsidR="007105E8" w:rsidRPr="006D6FD0" w14:paraId="0A299917" w14:textId="77777777" w:rsidTr="006D6FD0">
        <w:tc>
          <w:tcPr>
            <w:cnfStyle w:val="001000000000" w:firstRow="0" w:lastRow="0" w:firstColumn="1" w:lastColumn="0" w:oddVBand="0" w:evenVBand="0" w:oddHBand="0" w:evenHBand="0" w:firstRowFirstColumn="0" w:firstRowLastColumn="0" w:lastRowFirstColumn="0" w:lastRowLastColumn="0"/>
            <w:tcW w:w="9067" w:type="dxa"/>
            <w:hideMark/>
          </w:tcPr>
          <w:p w14:paraId="7C84B53B" w14:textId="77777777" w:rsidR="007105E8" w:rsidRPr="006D6FD0" w:rsidRDefault="007105E8" w:rsidP="002F4307">
            <w:pPr>
              <w:autoSpaceDE w:val="0"/>
              <w:autoSpaceDN w:val="0"/>
              <w:adjustRightInd w:val="0"/>
              <w:rPr>
                <w:rFonts w:ascii="Calibri" w:eastAsiaTheme="minorHAnsi" w:hAnsi="Calibri" w:cs="Calibri"/>
                <w:sz w:val="20"/>
                <w:szCs w:val="20"/>
              </w:rPr>
            </w:pPr>
            <w:r w:rsidRPr="006D6FD0">
              <w:rPr>
                <w:rFonts w:ascii="Calibri" w:eastAsiaTheme="minorHAnsi" w:hAnsi="Calibri" w:cs="Calibri"/>
                <w:sz w:val="20"/>
                <w:szCs w:val="20"/>
              </w:rPr>
              <w:t>Percentage of patients from those with a Pruritus NRS of ≥4-points at baseline and re-randomised to Q4W maintenance therapy having achieved ≥4-point reduction from baseline at Week 16 who continue to exhibit ≥4-point reduction from baseline at Week 52</w:t>
            </w:r>
          </w:p>
        </w:tc>
      </w:tr>
      <w:tr w:rsidR="007105E8" w:rsidRPr="006D6FD0" w14:paraId="2C741712" w14:textId="77777777" w:rsidTr="006D6FD0">
        <w:tc>
          <w:tcPr>
            <w:cnfStyle w:val="001000000000" w:firstRow="0" w:lastRow="0" w:firstColumn="1" w:lastColumn="0" w:oddVBand="0" w:evenVBand="0" w:oddHBand="0" w:evenHBand="0" w:firstRowFirstColumn="0" w:firstRowLastColumn="0" w:lastRowFirstColumn="0" w:lastRowLastColumn="0"/>
            <w:tcW w:w="9067" w:type="dxa"/>
            <w:hideMark/>
          </w:tcPr>
          <w:p w14:paraId="78E2B62F" w14:textId="77777777" w:rsidR="007105E8" w:rsidRPr="006D6FD0" w:rsidRDefault="007105E8" w:rsidP="002F4307">
            <w:pPr>
              <w:autoSpaceDE w:val="0"/>
              <w:autoSpaceDN w:val="0"/>
              <w:adjustRightInd w:val="0"/>
              <w:rPr>
                <w:rFonts w:ascii="Calibri" w:eastAsiaTheme="minorHAnsi" w:hAnsi="Calibri" w:cs="Calibri"/>
                <w:sz w:val="20"/>
                <w:szCs w:val="20"/>
              </w:rPr>
            </w:pPr>
            <w:r w:rsidRPr="006D6FD0">
              <w:rPr>
                <w:rFonts w:ascii="Calibri" w:eastAsiaTheme="minorHAnsi" w:hAnsi="Calibri" w:cs="Calibri"/>
                <w:sz w:val="20"/>
                <w:szCs w:val="20"/>
              </w:rPr>
              <w:t>Percentage change in EASI Score from baseline to Week 52 for those patients re-randomised to Q2W or Q4W maintenance therapy at Week 16</w:t>
            </w:r>
          </w:p>
        </w:tc>
      </w:tr>
    </w:tbl>
    <w:p w14:paraId="7CA5D9E3" w14:textId="6DF4CF59" w:rsidR="007105E8" w:rsidRPr="00402817" w:rsidRDefault="007105E8" w:rsidP="007105E8">
      <w:pPr>
        <w:spacing w:line="240" w:lineRule="auto"/>
        <w:rPr>
          <w:sz w:val="16"/>
          <w:szCs w:val="16"/>
        </w:rPr>
      </w:pPr>
    </w:p>
    <w:p w14:paraId="01A4DD31" w14:textId="1CEF8430" w:rsidR="007105E8" w:rsidRDefault="007105E8" w:rsidP="007105E8">
      <w:r w:rsidRPr="00B15D82">
        <w:t xml:space="preserve">In </w:t>
      </w:r>
      <w:r w:rsidRPr="005F6551">
        <w:t>Study KGAB</w:t>
      </w:r>
      <w:r w:rsidRPr="00B15D82">
        <w:t>, 536 patients were screened and 424 patients were enrolled and random</w:t>
      </w:r>
      <w:r>
        <w:t>ised</w:t>
      </w:r>
      <w:r w:rsidRPr="00B15D82">
        <w:t xml:space="preserve"> to </w:t>
      </w:r>
      <w:r>
        <w:t>study treatment</w:t>
      </w:r>
      <w:r w:rsidR="00F516F7">
        <w:t xml:space="preserve">. </w:t>
      </w:r>
      <w:r>
        <w:t xml:space="preserve">In </w:t>
      </w:r>
      <w:r w:rsidRPr="00D9581E">
        <w:t>Study KGAC</w:t>
      </w:r>
      <w:r w:rsidRPr="00B15D82">
        <w:t xml:space="preserve">, </w:t>
      </w:r>
      <w:r>
        <w:t>606</w:t>
      </w:r>
      <w:r w:rsidRPr="00B15D82">
        <w:t xml:space="preserve"> patients were screened and </w:t>
      </w:r>
      <w:r>
        <w:t>445</w:t>
      </w:r>
      <w:r w:rsidRPr="00B15D82">
        <w:t xml:space="preserve"> patients were enrolled and random</w:t>
      </w:r>
      <w:r>
        <w:t>ised</w:t>
      </w:r>
      <w:r w:rsidRPr="00B15D82">
        <w:t xml:space="preserve"> to</w:t>
      </w:r>
      <w:r>
        <w:t xml:space="preserve"> study treatment</w:t>
      </w:r>
      <w:r w:rsidR="00F516F7">
        <w:t xml:space="preserve">. </w:t>
      </w:r>
      <w:r>
        <w:t>T</w:t>
      </w:r>
      <w:r w:rsidRPr="005E58AF">
        <w:t xml:space="preserve">he SAP </w:t>
      </w:r>
      <w:r>
        <w:t xml:space="preserve">for </w:t>
      </w:r>
      <w:r w:rsidRPr="005E58AF">
        <w:t>KGAC was revised following the closure of 1 study site identified in a site audit as producing unreliable data due to non-compliance with protocol entry criteria related to severity of AD at baseline</w:t>
      </w:r>
      <w:r w:rsidR="00F516F7">
        <w:t xml:space="preserve">. </w:t>
      </w:r>
      <w:r w:rsidRPr="005E58AF">
        <w:t>18 participants from that study site were excluded from efficacy analyses</w:t>
      </w:r>
      <w:r>
        <w:t xml:space="preserve">, resulting in a modified </w:t>
      </w:r>
      <w:r w:rsidRPr="005E58AF">
        <w:t xml:space="preserve">ITT </w:t>
      </w:r>
      <w:r>
        <w:t>population of</w:t>
      </w:r>
      <w:r w:rsidRPr="005E58AF">
        <w:t xml:space="preserve"> 427</w:t>
      </w:r>
      <w:r w:rsidR="00F516F7">
        <w:t xml:space="preserve">. </w:t>
      </w:r>
      <w:r>
        <w:t xml:space="preserve">Disposition in the induction and maintenance periods is summarised in </w:t>
      </w:r>
      <w:r w:rsidR="00B061C4">
        <w:t xml:space="preserve">Table 13 </w:t>
      </w:r>
      <w:r>
        <w:t>and</w:t>
      </w:r>
      <w:r w:rsidR="00B061C4">
        <w:t xml:space="preserve"> Table 14</w:t>
      </w:r>
      <w:r>
        <w:t>, respectively.</w:t>
      </w:r>
    </w:p>
    <w:p w14:paraId="2CC660DE" w14:textId="2AF6C953" w:rsidR="007105E8" w:rsidRDefault="007105E8" w:rsidP="00FF57FA">
      <w:pPr>
        <w:pStyle w:val="TableTitle"/>
      </w:pPr>
      <w:bookmarkStart w:id="60" w:name="_Ref146702341"/>
      <w:r>
        <w:t xml:space="preserve">Table </w:t>
      </w:r>
      <w:bookmarkEnd w:id="60"/>
      <w:r w:rsidR="00B061C4">
        <w:t>13</w:t>
      </w:r>
      <w:r w:rsidR="00FF57FA">
        <w:t>.</w:t>
      </w:r>
      <w:r>
        <w:t xml:space="preserve"> Disposition in the Induction Period</w:t>
      </w:r>
    </w:p>
    <w:p w14:paraId="0F612615" w14:textId="77777777" w:rsidR="006D6FD0" w:rsidRPr="006D6FD0" w:rsidRDefault="007105E8" w:rsidP="006D6FD0">
      <w:r>
        <w:rPr>
          <w:noProof/>
        </w:rPr>
        <w:drawing>
          <wp:inline distT="0" distB="0" distL="0" distR="0" wp14:anchorId="154BABA8" wp14:editId="2D574531">
            <wp:extent cx="4597879" cy="3775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65683" cy="3831379"/>
                    </a:xfrm>
                    <a:prstGeom prst="rect">
                      <a:avLst/>
                    </a:prstGeom>
                  </pic:spPr>
                </pic:pic>
              </a:graphicData>
            </a:graphic>
          </wp:inline>
        </w:drawing>
      </w:r>
    </w:p>
    <w:p w14:paraId="517EE3BD" w14:textId="0E1DB9EC" w:rsidR="007105E8" w:rsidRDefault="007105E8" w:rsidP="006D6FD0">
      <w:pPr>
        <w:pStyle w:val="TableDescription"/>
        <w:rPr>
          <w:rFonts w:cs="CourierNewPS-BoldMT"/>
          <w:color w:val="231F20"/>
        </w:rPr>
      </w:pPr>
      <w:r w:rsidRPr="007C5B82">
        <w:rPr>
          <w:vertAlign w:val="superscript"/>
        </w:rPr>
        <w:t>a</w:t>
      </w:r>
      <w:r w:rsidR="006D6FD0">
        <w:rPr>
          <w:vertAlign w:val="superscript"/>
        </w:rPr>
        <w:t xml:space="preserve"> </w:t>
      </w:r>
      <w:r>
        <w:t>7</w:t>
      </w:r>
      <w:r w:rsidRPr="007C5B82">
        <w:t xml:space="preserve"> participants in Study KGAB and 3 participants in Study KGAC were erroneously re</w:t>
      </w:r>
      <w:r>
        <w:t>-</w:t>
      </w:r>
      <w:r w:rsidRPr="007C5B82">
        <w:t>randomi</w:t>
      </w:r>
      <w:r>
        <w:t>s</w:t>
      </w:r>
      <w:r w:rsidRPr="007C5B82">
        <w:t>ed at Week 16</w:t>
      </w:r>
      <w:r w:rsidR="00F516F7">
        <w:t xml:space="preserve">. </w:t>
      </w:r>
      <w:r>
        <w:br/>
      </w:r>
      <w:r w:rsidRPr="007C5B82">
        <w:rPr>
          <w:vertAlign w:val="superscript"/>
        </w:rPr>
        <w:t>b</w:t>
      </w:r>
      <w:r w:rsidRPr="007C5B82">
        <w:t xml:space="preserve"> </w:t>
      </w:r>
      <w:r>
        <w:t>6</w:t>
      </w:r>
      <w:r w:rsidRPr="007C5B82">
        <w:t xml:space="preserve"> participants in Study KGAB and 14 participants in Study KGAC were erroneously assigned to the Escape Arm at Week 16</w:t>
      </w:r>
      <w:r w:rsidR="00F516F7">
        <w:t xml:space="preserve">. </w:t>
      </w:r>
    </w:p>
    <w:p w14:paraId="41ABD446" w14:textId="17AF2B7A" w:rsidR="007105E8" w:rsidRPr="002C5DC7" w:rsidRDefault="007105E8" w:rsidP="00FF57FA">
      <w:pPr>
        <w:pStyle w:val="TableTitle"/>
        <w:rPr>
          <w:sz w:val="18"/>
        </w:rPr>
      </w:pPr>
      <w:bookmarkStart w:id="61" w:name="_Ref146702601"/>
      <w:r>
        <w:t>Table</w:t>
      </w:r>
      <w:bookmarkEnd w:id="61"/>
      <w:r w:rsidR="00FF57FA">
        <w:t xml:space="preserve"> 1</w:t>
      </w:r>
      <w:r w:rsidR="00B061C4">
        <w:t>4</w:t>
      </w:r>
      <w:r w:rsidR="00FF57FA">
        <w:rPr>
          <w:noProof/>
        </w:rPr>
        <w:t>.</w:t>
      </w:r>
      <w:r>
        <w:t xml:space="preserve"> Disposition in the Maintenance Period for lebrikizumab responders re-randomised at Week 16</w:t>
      </w:r>
    </w:p>
    <w:p w14:paraId="77FB630F" w14:textId="08063010" w:rsidR="007105E8" w:rsidRDefault="007105E8" w:rsidP="007105E8">
      <w:pPr>
        <w:spacing w:after="0" w:line="240" w:lineRule="auto"/>
      </w:pPr>
      <w:r>
        <w:rPr>
          <w:noProof/>
        </w:rPr>
        <w:drawing>
          <wp:inline distT="0" distB="0" distL="0" distR="0" wp14:anchorId="42D08421" wp14:editId="0E42EA1C">
            <wp:extent cx="5709343" cy="4043856"/>
            <wp:effectExtent l="0" t="0" r="5715" b="0"/>
            <wp:docPr id="22" name="Picture 22"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table with numbers and symbols&#10;&#10;Description automatically generated"/>
                    <pic:cNvPicPr/>
                  </pic:nvPicPr>
                  <pic:blipFill>
                    <a:blip r:embed="rId37"/>
                    <a:stretch>
                      <a:fillRect/>
                    </a:stretch>
                  </pic:blipFill>
                  <pic:spPr>
                    <a:xfrm>
                      <a:off x="0" y="0"/>
                      <a:ext cx="5735725" cy="4062542"/>
                    </a:xfrm>
                    <a:prstGeom prst="rect">
                      <a:avLst/>
                    </a:prstGeom>
                  </pic:spPr>
                </pic:pic>
              </a:graphicData>
            </a:graphic>
          </wp:inline>
        </w:drawing>
      </w:r>
    </w:p>
    <w:p w14:paraId="43D1D355" w14:textId="77777777" w:rsidR="00EC0AC4" w:rsidRPr="006D6FD0" w:rsidRDefault="00EC0AC4" w:rsidP="007105E8">
      <w:pPr>
        <w:spacing w:after="0" w:line="240" w:lineRule="auto"/>
      </w:pPr>
    </w:p>
    <w:p w14:paraId="02142A4B" w14:textId="1C74CF72" w:rsidR="007105E8" w:rsidRPr="00B061C4" w:rsidRDefault="007105E8" w:rsidP="00EC0AC4">
      <w:r w:rsidRPr="00B061C4">
        <w:t xml:space="preserve">Demographic and baseline disease characteristics are summarised in </w:t>
      </w:r>
      <w:r w:rsidR="00B061C4">
        <w:t xml:space="preserve">Table 15 </w:t>
      </w:r>
      <w:r w:rsidRPr="00B061C4">
        <w:t>and</w:t>
      </w:r>
      <w:r w:rsidR="00B061C4">
        <w:t xml:space="preserve"> Table 16</w:t>
      </w:r>
      <w:r w:rsidR="00F516F7">
        <w:t xml:space="preserve">. </w:t>
      </w:r>
      <w:r w:rsidRPr="00B061C4">
        <w:t>Across the two studies, 88% of participants were adults and 12% were adolescents</w:t>
      </w:r>
      <w:r w:rsidR="00F516F7">
        <w:t xml:space="preserve">. </w:t>
      </w:r>
      <w:r w:rsidRPr="00B061C4">
        <w:t>61.5% had IGA score of 3 (moderate) and 38.5% had IGA score of 4 (severe)</w:t>
      </w:r>
      <w:r w:rsidR="00F516F7">
        <w:t xml:space="preserve">. </w:t>
      </w:r>
      <w:r w:rsidRPr="00B061C4">
        <w:t>Mean EASI score was 29.6</w:t>
      </w:r>
      <w:r w:rsidR="00F516F7">
        <w:t xml:space="preserve">. </w:t>
      </w:r>
      <w:r w:rsidRPr="00B061C4">
        <w:t>Prior AD treatment history was well balanced across the treatment arms in both studies</w:t>
      </w:r>
      <w:r w:rsidR="00F516F7">
        <w:t xml:space="preserve">. </w:t>
      </w:r>
      <w:r w:rsidRPr="00B061C4">
        <w:t>Per protocol, all participants were required to wash-out topical and systemic therapy prior to randomisation</w:t>
      </w:r>
      <w:r w:rsidR="00F516F7">
        <w:t xml:space="preserve">. </w:t>
      </w:r>
      <w:r w:rsidRPr="00B061C4">
        <w:t>Concomitant AD therapies were prohibited during the study unless part of rescue therapy.</w:t>
      </w:r>
    </w:p>
    <w:p w14:paraId="5AA72BD4" w14:textId="469D5F25" w:rsidR="007105E8" w:rsidRDefault="007105E8" w:rsidP="00FF57FA">
      <w:pPr>
        <w:pStyle w:val="TableTitle"/>
      </w:pPr>
      <w:bookmarkStart w:id="62" w:name="_Ref146701961"/>
      <w:r>
        <w:t xml:space="preserve">Table </w:t>
      </w:r>
      <w:bookmarkEnd w:id="62"/>
      <w:r w:rsidR="00B061C4">
        <w:t>15.</w:t>
      </w:r>
      <w:r>
        <w:t xml:space="preserve"> Summary of Participant Demographics </w:t>
      </w:r>
    </w:p>
    <w:p w14:paraId="5A4940C7" w14:textId="06E00733" w:rsidR="007105E8" w:rsidRPr="007D3788" w:rsidRDefault="007105E8" w:rsidP="007105E8">
      <w:pPr>
        <w:rPr>
          <w:sz w:val="16"/>
          <w:szCs w:val="16"/>
        </w:rPr>
      </w:pPr>
      <w:r>
        <w:rPr>
          <w:noProof/>
        </w:rPr>
        <w:drawing>
          <wp:inline distT="0" distB="0" distL="0" distR="0" wp14:anchorId="792A4B96" wp14:editId="7F922D93">
            <wp:extent cx="5750616" cy="5226269"/>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86533" cy="5258911"/>
                    </a:xfrm>
                    <a:prstGeom prst="rect">
                      <a:avLst/>
                    </a:prstGeom>
                  </pic:spPr>
                </pic:pic>
              </a:graphicData>
            </a:graphic>
          </wp:inline>
        </w:drawing>
      </w:r>
    </w:p>
    <w:p w14:paraId="4746FE31" w14:textId="237A0841" w:rsidR="007105E8" w:rsidRDefault="007105E8" w:rsidP="00FF57FA">
      <w:pPr>
        <w:pStyle w:val="TableTitle"/>
        <w:rPr>
          <w:rFonts w:asciiTheme="minorHAnsi" w:eastAsiaTheme="minorHAnsi" w:hAnsiTheme="minorHAnsi" w:cs="TimesNewRomanPSMT"/>
        </w:rPr>
      </w:pPr>
      <w:bookmarkStart w:id="63" w:name="_Ref146701963"/>
      <w:r>
        <w:t xml:space="preserve">Table </w:t>
      </w:r>
      <w:bookmarkEnd w:id="63"/>
      <w:r w:rsidR="00B061C4">
        <w:t>16.</w:t>
      </w:r>
      <w:r>
        <w:t xml:space="preserve"> Summary of Baseline Disease Characteristics</w:t>
      </w:r>
    </w:p>
    <w:p w14:paraId="099266DC" w14:textId="5B80EA7F" w:rsidR="007105E8" w:rsidRPr="00EC0AC4" w:rsidRDefault="007105E8" w:rsidP="007105E8">
      <w:pPr>
        <w:rPr>
          <w:sz w:val="24"/>
          <w:szCs w:val="24"/>
        </w:rPr>
      </w:pPr>
      <w:r>
        <w:rPr>
          <w:noProof/>
        </w:rPr>
        <w:drawing>
          <wp:inline distT="0" distB="0" distL="0" distR="0" wp14:anchorId="0D55C0FF" wp14:editId="1BA48446">
            <wp:extent cx="5777822" cy="3310758"/>
            <wp:effectExtent l="0" t="0" r="0" b="4445"/>
            <wp:docPr id="19" name="Picture 19" descr="A table of statistics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table of statistics with numbers and text&#10;&#10;Description automatically generated"/>
                    <pic:cNvPicPr/>
                  </pic:nvPicPr>
                  <pic:blipFill>
                    <a:blip r:embed="rId39"/>
                    <a:stretch>
                      <a:fillRect/>
                    </a:stretch>
                  </pic:blipFill>
                  <pic:spPr>
                    <a:xfrm>
                      <a:off x="0" y="0"/>
                      <a:ext cx="5806967" cy="3327459"/>
                    </a:xfrm>
                    <a:prstGeom prst="rect">
                      <a:avLst/>
                    </a:prstGeom>
                  </pic:spPr>
                </pic:pic>
              </a:graphicData>
            </a:graphic>
          </wp:inline>
        </w:drawing>
      </w:r>
    </w:p>
    <w:p w14:paraId="5080BD38" w14:textId="0AFFFF00" w:rsidR="007105E8" w:rsidRPr="00FF57FA" w:rsidRDefault="007105E8" w:rsidP="007105E8">
      <w:r w:rsidRPr="004D1AE7">
        <w:rPr>
          <w:rFonts w:cs="TimesNewRomanPSMT"/>
        </w:rPr>
        <w:t xml:space="preserve">The primary endpoints specified by the FDA and EMA were met in both studies. The percentage of participants with </w:t>
      </w:r>
      <w:r w:rsidRPr="004D1AE7">
        <w:t>IGA score 0 or 1, with ≥ 2-point reduction from baseline at Week 16 (FDA</w:t>
      </w:r>
      <w:r w:rsidRPr="00FF57FA">
        <w:t xml:space="preserve"> primary, EMA co-primary) was significantly greater in the lebrikizumab arm compared to placebo in both studies (</w:t>
      </w:r>
      <w:r w:rsidR="00FF57FA">
        <w:t xml:space="preserve">Table </w:t>
      </w:r>
      <w:r w:rsidR="00B061C4">
        <w:t>17</w:t>
      </w:r>
      <w:r w:rsidRPr="00FF57FA">
        <w:t>)</w:t>
      </w:r>
      <w:r w:rsidR="00F516F7">
        <w:t xml:space="preserve">. </w:t>
      </w:r>
      <w:r w:rsidRPr="00FF57FA">
        <w:t xml:space="preserve">Both studies demonstrated superiority of lebrikizumab to placebo at Week 16, with a significant benefit observed from Week 4 in both studies </w:t>
      </w:r>
      <w:r w:rsidR="00FF57FA">
        <w:t xml:space="preserve">(Figure </w:t>
      </w:r>
      <w:r w:rsidR="00082832">
        <w:t>7</w:t>
      </w:r>
      <w:r w:rsidRPr="00FF57FA">
        <w:t>)</w:t>
      </w:r>
      <w:r w:rsidR="00F516F7">
        <w:t xml:space="preserve">. </w:t>
      </w:r>
    </w:p>
    <w:p w14:paraId="75E7E921" w14:textId="014495E7" w:rsidR="007105E8" w:rsidRPr="00B061C4" w:rsidRDefault="007105E8" w:rsidP="00B061C4">
      <w:pPr>
        <w:pStyle w:val="TableTitle"/>
        <w:rPr>
          <w:rFonts w:eastAsiaTheme="minorHAnsi" w:cs="TimesNewRomanPSMT"/>
        </w:rPr>
      </w:pPr>
      <w:bookmarkStart w:id="64" w:name="_Ref146705708"/>
      <w:r w:rsidRPr="00B061C4">
        <w:t xml:space="preserve">Table </w:t>
      </w:r>
      <w:bookmarkEnd w:id="64"/>
      <w:r w:rsidR="00B061C4">
        <w:t>17.</w:t>
      </w:r>
      <w:r w:rsidRPr="00B061C4">
        <w:t xml:space="preserve"> IGA 0 or 1 with ≥2-Point Reduction at Week 16, </w:t>
      </w:r>
      <w:r w:rsidRPr="00B061C4">
        <w:rPr>
          <w:rFonts w:cs="Calibri"/>
          <w:bCs/>
        </w:rPr>
        <w:t>primary estimand (hybrid) with MCMC-MI</w:t>
      </w:r>
    </w:p>
    <w:p w14:paraId="3223E896" w14:textId="77777777" w:rsidR="00EC0AC4" w:rsidRDefault="007105E8" w:rsidP="00EC0AC4">
      <w:r>
        <w:rPr>
          <w:noProof/>
        </w:rPr>
        <w:drawing>
          <wp:inline distT="0" distB="0" distL="0" distR="0" wp14:anchorId="12518CDB" wp14:editId="72A7CB0A">
            <wp:extent cx="5408762" cy="1887611"/>
            <wp:effectExtent l="0" t="0" r="1905" b="0"/>
            <wp:docPr id="23" name="Picture 23"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table with numbers and text&#10;&#10;Description automatically generated with medium confidence"/>
                    <pic:cNvPicPr/>
                  </pic:nvPicPr>
                  <pic:blipFill>
                    <a:blip r:embed="rId40"/>
                    <a:stretch>
                      <a:fillRect/>
                    </a:stretch>
                  </pic:blipFill>
                  <pic:spPr>
                    <a:xfrm>
                      <a:off x="0" y="0"/>
                      <a:ext cx="5470888" cy="1909292"/>
                    </a:xfrm>
                    <a:prstGeom prst="rect">
                      <a:avLst/>
                    </a:prstGeom>
                  </pic:spPr>
                </pic:pic>
              </a:graphicData>
            </a:graphic>
          </wp:inline>
        </w:drawing>
      </w:r>
    </w:p>
    <w:p w14:paraId="5CE78462" w14:textId="269E85DB" w:rsidR="007105E8" w:rsidRPr="00CB3E0D" w:rsidRDefault="007105E8" w:rsidP="00EC0AC4">
      <w:r w:rsidRPr="00CB3E0D">
        <w:t>MCMC-MI = Markov Chain Monte Carlo multiple imputation</w:t>
      </w:r>
      <w:r w:rsidR="00F516F7">
        <w:t xml:space="preserve">. </w:t>
      </w:r>
      <w:r w:rsidRPr="00547961">
        <w:rPr>
          <w:vertAlign w:val="superscript"/>
        </w:rPr>
        <w:t>a</w:t>
      </w:r>
      <w:r w:rsidRPr="00CB3E0D">
        <w:t xml:space="preserve"> Cochran-Mantel-Haenszel test adjusted by geographic region (US versus EU versus rest of world), age (adolescent versus adult), and disease severity (IGA 3 versus 4)</w:t>
      </w:r>
      <w:r w:rsidR="00F516F7">
        <w:t xml:space="preserve">. </w:t>
      </w:r>
    </w:p>
    <w:p w14:paraId="38CE84EF" w14:textId="1BAE3AEE" w:rsidR="007105E8" w:rsidRDefault="007105E8" w:rsidP="00EC0AC4">
      <w:pPr>
        <w:pStyle w:val="FigureTitle"/>
      </w:pPr>
      <w:bookmarkStart w:id="65" w:name="_Ref146707016"/>
      <w:r>
        <w:t>Figure</w:t>
      </w:r>
      <w:bookmarkEnd w:id="65"/>
      <w:r w:rsidR="00FF57FA">
        <w:t xml:space="preserve"> </w:t>
      </w:r>
      <w:r w:rsidR="00082832">
        <w:t>7</w:t>
      </w:r>
      <w:r w:rsidR="00FF57FA">
        <w:t>.</w:t>
      </w:r>
      <w:r>
        <w:t xml:space="preserve"> </w:t>
      </w:r>
      <w:r w:rsidRPr="00B41D24">
        <w:t>Proportion of participants achieving IGA 0 or 1 with a ≥2-point improvement from baseline through Week 16</w:t>
      </w:r>
      <w:r>
        <w:t xml:space="preserve">, </w:t>
      </w:r>
      <w:r>
        <w:rPr>
          <w:rFonts w:cs="Calibri"/>
          <w:bCs/>
        </w:rPr>
        <w:t>primary estimand (hybrid) with MCMC-MI</w:t>
      </w:r>
      <w:r>
        <w:t xml:space="preserve"> </w:t>
      </w:r>
    </w:p>
    <w:p w14:paraId="3E5B4CBB" w14:textId="7FEA5637" w:rsidR="00FF57FA" w:rsidRDefault="00FF57FA" w:rsidP="00EC0AC4">
      <w:r w:rsidRPr="00FF57FA">
        <w:rPr>
          <w:noProof/>
        </w:rPr>
        <w:drawing>
          <wp:inline distT="0" distB="0" distL="0" distR="0" wp14:anchorId="5BFA8253" wp14:editId="4A7B4BBE">
            <wp:extent cx="3735238" cy="3396948"/>
            <wp:effectExtent l="0" t="0" r="0" b="0"/>
            <wp:docPr id="926116026" name="Picture 3" descr="A comparison of a graph&#10;&#10;Description automatically generated">
              <a:extLst xmlns:a="http://schemas.openxmlformats.org/drawingml/2006/main">
                <a:ext uri="{FF2B5EF4-FFF2-40B4-BE49-F238E27FC236}">
                  <a16:creationId xmlns:a16="http://schemas.microsoft.com/office/drawing/2014/main" id="{2EFED333-DD8B-A908-8E16-A8EB76098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omparison of a graph&#10;&#10;Description automatically generated">
                      <a:extLst>
                        <a:ext uri="{FF2B5EF4-FFF2-40B4-BE49-F238E27FC236}">
                          <a16:creationId xmlns:a16="http://schemas.microsoft.com/office/drawing/2014/main" id="{2EFED333-DD8B-A908-8E16-A8EB76098D0A}"/>
                        </a:ext>
                      </a:extLst>
                    </pic:cNvPr>
                    <pic:cNvPicPr>
                      <a:picLocks noChangeAspect="1"/>
                    </pic:cNvPicPr>
                  </pic:nvPicPr>
                  <pic:blipFill rotWithShape="1">
                    <a:blip r:embed="rId41">
                      <a:extLst>
                        <a:ext uri="{BEBA8EAE-BF5A-486C-A8C5-ECC9F3942E4B}">
                          <a14:imgProps xmlns:a14="http://schemas.microsoft.com/office/drawing/2010/main">
                            <a14:imgLayer r:embed="rId42">
                              <a14:imgEffect>
                                <a14:sharpenSoften amount="25000"/>
                              </a14:imgEffect>
                              <a14:imgEffect>
                                <a14:brightnessContrast contrast="20000"/>
                              </a14:imgEffect>
                            </a14:imgLayer>
                          </a14:imgProps>
                        </a:ext>
                      </a:extLst>
                    </a:blip>
                    <a:srcRect r="49604"/>
                    <a:stretch/>
                  </pic:blipFill>
                  <pic:spPr>
                    <a:xfrm>
                      <a:off x="0" y="0"/>
                      <a:ext cx="3747404" cy="3408012"/>
                    </a:xfrm>
                    <a:prstGeom prst="rect">
                      <a:avLst/>
                    </a:prstGeom>
                  </pic:spPr>
                </pic:pic>
              </a:graphicData>
            </a:graphic>
          </wp:inline>
        </w:drawing>
      </w:r>
    </w:p>
    <w:p w14:paraId="533D9ABB" w14:textId="77777777" w:rsidR="00EC0AC4" w:rsidRDefault="00FF57FA" w:rsidP="00FF57FA">
      <w:pPr>
        <w:pStyle w:val="TableDescription"/>
      </w:pPr>
      <w:r w:rsidRPr="00FF57FA">
        <w:rPr>
          <w:noProof/>
        </w:rPr>
        <w:drawing>
          <wp:inline distT="0" distB="0" distL="0" distR="0" wp14:anchorId="4E3AF31A" wp14:editId="7A41484D">
            <wp:extent cx="3519578" cy="3251943"/>
            <wp:effectExtent l="0" t="0" r="5080" b="5715"/>
            <wp:docPr id="1891963227" name="Picture 4" descr="A comparison of a graph&#10;&#10;Description automatically generated">
              <a:extLst xmlns:a="http://schemas.openxmlformats.org/drawingml/2006/main">
                <a:ext uri="{FF2B5EF4-FFF2-40B4-BE49-F238E27FC236}">
                  <a16:creationId xmlns:a16="http://schemas.microsoft.com/office/drawing/2014/main" id="{2BE04F3C-7CA9-6A97-2826-A9156D11F7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omparison of a graph&#10;&#10;Description automatically generated">
                      <a:extLst>
                        <a:ext uri="{FF2B5EF4-FFF2-40B4-BE49-F238E27FC236}">
                          <a16:creationId xmlns:a16="http://schemas.microsoft.com/office/drawing/2014/main" id="{2BE04F3C-7CA9-6A97-2826-A9156D11F796}"/>
                        </a:ext>
                      </a:extLst>
                    </pic:cNvPr>
                    <pic:cNvPicPr>
                      <a:picLocks noChangeAspect="1"/>
                    </pic:cNvPicPr>
                  </pic:nvPicPr>
                  <pic:blipFill rotWithShape="1">
                    <a:blip r:embed="rId41">
                      <a:extLst>
                        <a:ext uri="{BEBA8EAE-BF5A-486C-A8C5-ECC9F3942E4B}">
                          <a14:imgProps xmlns:a14="http://schemas.microsoft.com/office/drawing/2010/main">
                            <a14:imgLayer r:embed="rId42">
                              <a14:imgEffect>
                                <a14:sharpenSoften amount="25000"/>
                              </a14:imgEffect>
                              <a14:imgEffect>
                                <a14:brightnessContrast contrast="20000"/>
                              </a14:imgEffect>
                            </a14:imgLayer>
                          </a14:imgProps>
                        </a:ext>
                      </a:extLst>
                    </a:blip>
                    <a:srcRect l="50396"/>
                    <a:stretch/>
                  </pic:blipFill>
                  <pic:spPr>
                    <a:xfrm>
                      <a:off x="0" y="0"/>
                      <a:ext cx="3527482" cy="3259246"/>
                    </a:xfrm>
                    <a:prstGeom prst="rect">
                      <a:avLst/>
                    </a:prstGeom>
                  </pic:spPr>
                </pic:pic>
              </a:graphicData>
            </a:graphic>
          </wp:inline>
        </w:drawing>
      </w:r>
    </w:p>
    <w:p w14:paraId="17DA4FC8" w14:textId="48DF4B90" w:rsidR="00FF57FA" w:rsidRDefault="007105E8" w:rsidP="00FF57FA">
      <w:pPr>
        <w:pStyle w:val="TableDescription"/>
        <w:rPr>
          <w:rFonts w:cs="Calibri"/>
        </w:rPr>
      </w:pPr>
      <w:r w:rsidRPr="00496982">
        <w:t>LEB vs  PBO: *p &lt;0.05, **p &lt;0.01, ***p &lt;0.001</w:t>
      </w:r>
      <w:r w:rsidR="00F516F7">
        <w:t xml:space="preserve">. </w:t>
      </w:r>
      <w:r w:rsidRPr="00496982">
        <w:t xml:space="preserve"> </w:t>
      </w:r>
    </w:p>
    <w:p w14:paraId="4261D4AA" w14:textId="2FF06FD6" w:rsidR="007105E8" w:rsidRPr="00FF57FA" w:rsidRDefault="007105E8" w:rsidP="007105E8">
      <w:r w:rsidRPr="004D1AE7">
        <w:rPr>
          <w:rFonts w:cs="TimesNewRomanPSMT"/>
        </w:rPr>
        <w:t>The percentage of participants achieving</w:t>
      </w:r>
      <w:r w:rsidRPr="004D1AE7">
        <w:t xml:space="preserve"> EASI-75 at Week 16 (EMA co-primary, FDA major</w:t>
      </w:r>
      <w:r w:rsidRPr="00FF57FA">
        <w:t xml:space="preserve"> secondary) was significantly greater in the lebrikizumab arm compared to placebo in both studies (</w:t>
      </w:r>
      <w:r w:rsidR="00FF57FA">
        <w:t>Table 1</w:t>
      </w:r>
      <w:r w:rsidR="00B061C4">
        <w:t>8</w:t>
      </w:r>
      <w:r w:rsidRPr="00FF57FA">
        <w:t>)</w:t>
      </w:r>
      <w:r w:rsidR="00F516F7">
        <w:t xml:space="preserve">. </w:t>
      </w:r>
      <w:r w:rsidRPr="00FF57FA">
        <w:t>Both studies demonstrated superiority of lebrikizumab to placebo at Week 16, with a significant benefit observed from Week 2 and Week 4 in KGAB and KGAC, respectively (</w:t>
      </w:r>
      <w:r w:rsidR="00FF57FA">
        <w:t>Figure</w:t>
      </w:r>
      <w:r w:rsidR="00082832">
        <w:t xml:space="preserve"> 8</w:t>
      </w:r>
      <w:r w:rsidRPr="00FF57FA">
        <w:t>)</w:t>
      </w:r>
      <w:r w:rsidR="00F516F7">
        <w:t xml:space="preserve">. </w:t>
      </w:r>
    </w:p>
    <w:p w14:paraId="3E284B16" w14:textId="22EC2C96" w:rsidR="007105E8" w:rsidRDefault="007105E8" w:rsidP="00FF57FA">
      <w:pPr>
        <w:pStyle w:val="TableTitle"/>
      </w:pPr>
      <w:bookmarkStart w:id="66" w:name="_Ref146791900"/>
      <w:r>
        <w:t xml:space="preserve">Table </w:t>
      </w:r>
      <w:bookmarkEnd w:id="66"/>
      <w:r w:rsidR="00B061C4">
        <w:t>18.</w:t>
      </w:r>
      <w:r>
        <w:t xml:space="preserve"> </w:t>
      </w:r>
      <w:r w:rsidRPr="00D16FA4">
        <w:t xml:space="preserve">Percentage of participants achieving EASI-75 at week 16. </w:t>
      </w:r>
    </w:p>
    <w:p w14:paraId="505434CF" w14:textId="77777777" w:rsidR="00EC0AC4" w:rsidRDefault="007105E8" w:rsidP="00EC0AC4">
      <w:pPr>
        <w:rPr>
          <w:vertAlign w:val="superscript"/>
        </w:rPr>
      </w:pPr>
      <w:r>
        <w:rPr>
          <w:noProof/>
        </w:rPr>
        <w:drawing>
          <wp:inline distT="0" distB="0" distL="0" distR="0" wp14:anchorId="3B826F52" wp14:editId="23420B95">
            <wp:extent cx="4787661" cy="1964713"/>
            <wp:effectExtent l="0" t="0" r="0" b="0"/>
            <wp:docPr id="14" name="Picture 14"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table with numbers and symbols&#10;&#10;Description automatically generated"/>
                    <pic:cNvPicPr/>
                  </pic:nvPicPr>
                  <pic:blipFill>
                    <a:blip r:embed="rId43"/>
                    <a:stretch>
                      <a:fillRect/>
                    </a:stretch>
                  </pic:blipFill>
                  <pic:spPr>
                    <a:xfrm>
                      <a:off x="0" y="0"/>
                      <a:ext cx="4850728" cy="1990594"/>
                    </a:xfrm>
                    <a:prstGeom prst="rect">
                      <a:avLst/>
                    </a:prstGeom>
                  </pic:spPr>
                </pic:pic>
              </a:graphicData>
            </a:graphic>
          </wp:inline>
        </w:drawing>
      </w:r>
    </w:p>
    <w:p w14:paraId="3385BCB4" w14:textId="497AB733" w:rsidR="0048626B" w:rsidRDefault="007105E8" w:rsidP="00EC0AC4">
      <w:pPr>
        <w:rPr>
          <w:b/>
        </w:rPr>
      </w:pPr>
      <w:r w:rsidRPr="00547961">
        <w:rPr>
          <w:vertAlign w:val="superscript"/>
        </w:rPr>
        <w:t>a</w:t>
      </w:r>
      <w:r w:rsidRPr="00CB3E0D">
        <w:t xml:space="preserve"> Cochran-Mantel-Haenszel test adjusted by geographic region (US versus EU versus rest of world), age (adolescent versus adult), and disease severity (IGA 3 versus 4).</w:t>
      </w:r>
      <w:r>
        <w:t xml:space="preserve"> </w:t>
      </w:r>
      <w:bookmarkStart w:id="67" w:name="_Ref146792221"/>
    </w:p>
    <w:p w14:paraId="54653543" w14:textId="32F53107" w:rsidR="007105E8" w:rsidRDefault="007105E8" w:rsidP="00FF57FA">
      <w:pPr>
        <w:pStyle w:val="FigureTitle"/>
      </w:pPr>
      <w:r>
        <w:t xml:space="preserve">Figure </w:t>
      </w:r>
      <w:bookmarkEnd w:id="67"/>
      <w:r w:rsidR="00082832">
        <w:t>8</w:t>
      </w:r>
      <w:r w:rsidR="00FF57FA">
        <w:t>.</w:t>
      </w:r>
      <w:r>
        <w:t xml:space="preserve"> Proportion of participants achieving EASI-75 from baseline through Week 16.</w:t>
      </w:r>
    </w:p>
    <w:p w14:paraId="4C974789" w14:textId="77777777" w:rsidR="00FF57FA" w:rsidRDefault="00FF57FA" w:rsidP="007105E8">
      <w:pPr>
        <w:autoSpaceDE w:val="0"/>
        <w:autoSpaceDN w:val="0"/>
        <w:adjustRightInd w:val="0"/>
        <w:spacing w:after="0" w:line="240" w:lineRule="auto"/>
        <w:rPr>
          <w:rFonts w:asciiTheme="minorHAnsi" w:hAnsiTheme="minorHAnsi" w:cs="TimesNewRomanPSMT"/>
          <w:sz w:val="16"/>
          <w:szCs w:val="16"/>
        </w:rPr>
      </w:pPr>
      <w:r w:rsidRPr="00FF57FA">
        <w:rPr>
          <w:noProof/>
        </w:rPr>
        <w:drawing>
          <wp:inline distT="0" distB="0" distL="0" distR="0" wp14:anchorId="6AF108D7" wp14:editId="34569096">
            <wp:extent cx="4543495" cy="4054415"/>
            <wp:effectExtent l="0" t="0" r="0" b="3810"/>
            <wp:docPr id="533065930" name="Picture 1" descr="A graph of a number of numbers&#10;&#10;Description automatically generated with medium confidence">
              <a:extLst xmlns:a="http://schemas.openxmlformats.org/drawingml/2006/main">
                <a:ext uri="{FF2B5EF4-FFF2-40B4-BE49-F238E27FC236}">
                  <a16:creationId xmlns:a16="http://schemas.microsoft.com/office/drawing/2014/main" id="{AEE5B229-949A-6CAA-526F-FBE7BF631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of a number of numbers&#10;&#10;Description automatically generated with medium confidence">
                      <a:extLst>
                        <a:ext uri="{FF2B5EF4-FFF2-40B4-BE49-F238E27FC236}">
                          <a16:creationId xmlns:a16="http://schemas.microsoft.com/office/drawing/2014/main" id="{AEE5B229-949A-6CAA-526F-FBE7BF631EB9}"/>
                        </a:ext>
                      </a:extLst>
                    </pic:cNvPr>
                    <pic:cNvPicPr>
                      <a:picLocks noChangeAspect="1"/>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Lst>
                    </a:blip>
                    <a:srcRect r="48635"/>
                    <a:stretch/>
                  </pic:blipFill>
                  <pic:spPr>
                    <a:xfrm>
                      <a:off x="0" y="0"/>
                      <a:ext cx="4556544" cy="4066060"/>
                    </a:xfrm>
                    <a:prstGeom prst="rect">
                      <a:avLst/>
                    </a:prstGeom>
                  </pic:spPr>
                </pic:pic>
              </a:graphicData>
            </a:graphic>
          </wp:inline>
        </w:drawing>
      </w:r>
    </w:p>
    <w:p w14:paraId="323F48BC" w14:textId="30F56C0F" w:rsidR="00FF57FA" w:rsidRDefault="00FF57FA" w:rsidP="007105E8">
      <w:pPr>
        <w:autoSpaceDE w:val="0"/>
        <w:autoSpaceDN w:val="0"/>
        <w:adjustRightInd w:val="0"/>
        <w:spacing w:after="0" w:line="240" w:lineRule="auto"/>
        <w:rPr>
          <w:rFonts w:asciiTheme="minorHAnsi" w:hAnsiTheme="minorHAnsi" w:cs="TimesNewRomanPSMT"/>
          <w:sz w:val="16"/>
          <w:szCs w:val="16"/>
        </w:rPr>
      </w:pPr>
      <w:r w:rsidRPr="00FF57FA">
        <w:rPr>
          <w:rFonts w:asciiTheme="minorHAnsi" w:hAnsiTheme="minorHAnsi" w:cs="TimesNewRomanPSMT"/>
          <w:noProof/>
          <w:sz w:val="16"/>
          <w:szCs w:val="16"/>
        </w:rPr>
        <w:drawing>
          <wp:inline distT="0" distB="0" distL="0" distR="0" wp14:anchorId="523F5284" wp14:editId="10A8FB46">
            <wp:extent cx="4400553" cy="4051738"/>
            <wp:effectExtent l="0" t="0" r="0" b="6350"/>
            <wp:docPr id="1029322698" name="Picture 2" descr="A graph of a number of numbers&#10;&#10;Description automatically generated with medium confidence">
              <a:extLst xmlns:a="http://schemas.openxmlformats.org/drawingml/2006/main">
                <a:ext uri="{FF2B5EF4-FFF2-40B4-BE49-F238E27FC236}">
                  <a16:creationId xmlns:a16="http://schemas.microsoft.com/office/drawing/2014/main" id="{8B127B93-D5A0-A92D-3294-AE13FE0BB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a number of numbers&#10;&#10;Description automatically generated with medium confidence">
                      <a:extLst>
                        <a:ext uri="{FF2B5EF4-FFF2-40B4-BE49-F238E27FC236}">
                          <a16:creationId xmlns:a16="http://schemas.microsoft.com/office/drawing/2014/main" id="{8B127B93-D5A0-A92D-3294-AE13FE0BB0BE}"/>
                        </a:ext>
                      </a:extLst>
                    </pic:cNvPr>
                    <pic:cNvPicPr>
                      <a:picLocks noChangeAspect="1"/>
                    </pic:cNvPicPr>
                  </pic:nvPicPr>
                  <pic:blipFill rotWithShape="1">
                    <a:blip r:embed="rId46">
                      <a:extLst>
                        <a:ext uri="{BEBA8EAE-BF5A-486C-A8C5-ECC9F3942E4B}">
                          <a14:imgProps xmlns:a14="http://schemas.microsoft.com/office/drawing/2010/main">
                            <a14:imgLayer r:embed="rId45">
                              <a14:imgEffect>
                                <a14:sharpenSoften amount="25000"/>
                              </a14:imgEffect>
                              <a14:imgEffect>
                                <a14:brightnessContrast contrast="40000"/>
                              </a14:imgEffect>
                            </a14:imgLayer>
                          </a14:imgProps>
                        </a:ext>
                      </a:extLst>
                    </a:blip>
                    <a:srcRect l="50219"/>
                    <a:stretch/>
                  </pic:blipFill>
                  <pic:spPr>
                    <a:xfrm>
                      <a:off x="0" y="0"/>
                      <a:ext cx="4413536" cy="4063692"/>
                    </a:xfrm>
                    <a:prstGeom prst="rect">
                      <a:avLst/>
                    </a:prstGeom>
                  </pic:spPr>
                </pic:pic>
              </a:graphicData>
            </a:graphic>
          </wp:inline>
        </w:drawing>
      </w:r>
    </w:p>
    <w:p w14:paraId="773E2326" w14:textId="7764D11C" w:rsidR="00AD421B" w:rsidRDefault="007105E8" w:rsidP="00AD421B">
      <w:pPr>
        <w:pStyle w:val="TableDescription"/>
      </w:pPr>
      <w:r w:rsidRPr="00C564B8">
        <w:t>LEB vs PBO = *p &lt;0.05, **p &lt;0.01, ***p &lt;0.001.</w:t>
      </w:r>
    </w:p>
    <w:p w14:paraId="3151C446" w14:textId="3AD5DA19" w:rsidR="007105E8" w:rsidRDefault="007105E8" w:rsidP="00AD421B">
      <w:r>
        <w:t xml:space="preserve">In </w:t>
      </w:r>
      <w:r w:rsidRPr="004E2CAF">
        <w:t>Study KGAB</w:t>
      </w:r>
      <w:r>
        <w:t>, treatment with lebrikizumab resulted in statistically significant improvement compared to placebo in all FDA and EMA major secondary endpoints in the induction period (</w:t>
      </w:r>
      <w:r w:rsidR="00B061C4">
        <w:t>Table 19</w:t>
      </w:r>
      <w:r>
        <w:t>)</w:t>
      </w:r>
      <w:r w:rsidR="00F516F7">
        <w:t xml:space="preserve">. </w:t>
      </w:r>
      <w:r>
        <w:t xml:space="preserve">In </w:t>
      </w:r>
      <w:r w:rsidRPr="004E2CAF">
        <w:t>Study KGAC</w:t>
      </w:r>
      <w:r>
        <w:t xml:space="preserve">, treatment with lebrikizumab resulted in statistically significant improvement compared to placebo in all FDA and EMA major secondary endpoints in the induction period, </w:t>
      </w:r>
      <w:r w:rsidRPr="00395E88">
        <w:t>except</w:t>
      </w:r>
      <w:r>
        <w:t xml:space="preserve"> for </w:t>
      </w:r>
      <w:r w:rsidRPr="00395E88">
        <w:rPr>
          <w:i/>
          <w:iCs/>
        </w:rPr>
        <w:t>percentage of participants with a Pruritus NRS score of ≥ 4 points at baseline who achieved a ≥ 4-point reduction from baseline to Week 2</w:t>
      </w:r>
      <w:r w:rsidR="00F516F7">
        <w:rPr>
          <w:i/>
          <w:iCs/>
        </w:rPr>
        <w:t xml:space="preserve">. </w:t>
      </w:r>
      <w:r>
        <w:t xml:space="preserve">That endpoint favoured lebrikizumab but did not reach statistical significance (3.6% lebrikizumab vs 0.7% placebo, 95% CI -0.1, 5.4; p=0.113). </w:t>
      </w:r>
    </w:p>
    <w:p w14:paraId="28E38C65" w14:textId="4895DF48" w:rsidR="007105E8" w:rsidRPr="0048626B" w:rsidRDefault="007105E8" w:rsidP="007105E8">
      <w:r w:rsidRPr="0048626B">
        <w:t>Subgroup analyses of pooled data from KGAB and KGAC were generally consistent with the overall population (</w:t>
      </w:r>
      <w:r w:rsidR="00082832">
        <w:t>Figure 9</w:t>
      </w:r>
      <w:r w:rsidRPr="0048626B">
        <w:t>)</w:t>
      </w:r>
      <w:r w:rsidR="00F516F7">
        <w:t xml:space="preserve">. </w:t>
      </w:r>
      <w:r w:rsidRPr="0048626B">
        <w:t>There was a trend to greater treatment effect in participants &lt;60 kg and lesser treatment effect in participants ≥100 kg</w:t>
      </w:r>
      <w:r w:rsidR="00F516F7">
        <w:t xml:space="preserve">. </w:t>
      </w:r>
      <w:r w:rsidRPr="0048626B">
        <w:t>Findings in adolescents were similar to adults, with numerically higher responses in adolescents consistent with lower body weight</w:t>
      </w:r>
      <w:r w:rsidR="00F516F7">
        <w:t xml:space="preserve">. </w:t>
      </w:r>
    </w:p>
    <w:p w14:paraId="75AE6390" w14:textId="094C971F" w:rsidR="007105E8" w:rsidRDefault="007105E8" w:rsidP="0048626B">
      <w:pPr>
        <w:pStyle w:val="TableTitle"/>
      </w:pPr>
      <w:bookmarkStart w:id="68" w:name="_Ref146794683"/>
      <w:r>
        <w:t xml:space="preserve">Table </w:t>
      </w:r>
      <w:bookmarkEnd w:id="68"/>
      <w:r w:rsidR="00B061C4">
        <w:t>19.</w:t>
      </w:r>
      <w:r>
        <w:t xml:space="preserve"> Major secondary efficacy endpoints in the induction period.</w:t>
      </w:r>
    </w:p>
    <w:p w14:paraId="649DB57C" w14:textId="1799CF1F" w:rsidR="0048626B" w:rsidRPr="0048626B" w:rsidRDefault="0048626B" w:rsidP="0048626B">
      <w:r>
        <w:rPr>
          <w:noProof/>
        </w:rPr>
        <w:drawing>
          <wp:inline distT="0" distB="0" distL="0" distR="0" wp14:anchorId="02AB8958" wp14:editId="2847A7A0">
            <wp:extent cx="8160306" cy="5565562"/>
            <wp:effectExtent l="1905" t="0" r="0" b="0"/>
            <wp:docPr id="1653145736"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45736" name="Picture 1" descr="A table with numbers and letters&#10;&#10;Description automatically generated"/>
                    <pic:cNvPicPr/>
                  </pic:nvPicPr>
                  <pic:blipFill>
                    <a:blip r:embed="rId47"/>
                    <a:stretch>
                      <a:fillRect/>
                    </a:stretch>
                  </pic:blipFill>
                  <pic:spPr>
                    <a:xfrm rot="16200000">
                      <a:off x="0" y="0"/>
                      <a:ext cx="8188014" cy="5584459"/>
                    </a:xfrm>
                    <a:prstGeom prst="rect">
                      <a:avLst/>
                    </a:prstGeom>
                  </pic:spPr>
                </pic:pic>
              </a:graphicData>
            </a:graphic>
          </wp:inline>
        </w:drawing>
      </w:r>
    </w:p>
    <w:p w14:paraId="759F09C5" w14:textId="7AB48603" w:rsidR="007105E8" w:rsidRDefault="007105E8" w:rsidP="00AD421B">
      <w:pPr>
        <w:pStyle w:val="TableDescription"/>
      </w:pPr>
      <w:r w:rsidRPr="00A564D3">
        <w:t>Note: The analyses of reduction of at least 4 points in the pruritus NRS</w:t>
      </w:r>
      <w:r>
        <w:t xml:space="preserve"> </w:t>
      </w:r>
      <w:r w:rsidRPr="00A564D3">
        <w:t>scores at weeks 16, 4 and 2 were assessed only in patients who had a score of 4 at baseline. The analyses of reduction of at least 2 points in the Sleep-Loss Scale score from baseline to weeks 16 was assessed only in patients who had a score of at least 2 at baseline</w:t>
      </w:r>
      <w:r w:rsidR="00F516F7">
        <w:t xml:space="preserve">. </w:t>
      </w:r>
      <w:r>
        <w:br/>
      </w:r>
    </w:p>
    <w:p w14:paraId="7146D0E9" w14:textId="61ADD4C2" w:rsidR="007105E8" w:rsidRDefault="007105E8" w:rsidP="00EC0AC4">
      <w:pPr>
        <w:pStyle w:val="FigureTitle"/>
      </w:pPr>
      <w:bookmarkStart w:id="69" w:name="_Ref146806876"/>
      <w:r>
        <w:t>Figure</w:t>
      </w:r>
      <w:bookmarkEnd w:id="69"/>
      <w:r w:rsidR="00082832">
        <w:t xml:space="preserve"> 9</w:t>
      </w:r>
      <w:r w:rsidR="00F92527">
        <w:rPr>
          <w:noProof/>
        </w:rPr>
        <w:t>.</w:t>
      </w:r>
      <w:r>
        <w:t xml:space="preserve"> Subgroup analysis of pooled data from the Induction Periods of KGAB and KGAC at Week 16</w:t>
      </w:r>
    </w:p>
    <w:p w14:paraId="08A28FBF" w14:textId="0AF956C0" w:rsidR="0048626B" w:rsidRDefault="0048626B" w:rsidP="00EC0AC4">
      <w:r>
        <w:rPr>
          <w:noProof/>
        </w:rPr>
        <w:drawing>
          <wp:inline distT="0" distB="0" distL="0" distR="0" wp14:anchorId="1A81CA7C" wp14:editId="008C9908">
            <wp:extent cx="7899297" cy="3537741"/>
            <wp:effectExtent l="8890" t="0" r="0" b="0"/>
            <wp:docPr id="1105351082"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51082" name="Picture 1" descr="A graph with numbers and lines&#10;&#10;Description automatically generated"/>
                    <pic:cNvPicPr/>
                  </pic:nvPicPr>
                  <pic:blipFill rotWithShape="1">
                    <a:blip r:embed="rId48">
                      <a:extLst>
                        <a:ext uri="{BEBA8EAE-BF5A-486C-A8C5-ECC9F3942E4B}">
                          <a14:imgProps xmlns:a14="http://schemas.microsoft.com/office/drawing/2010/main">
                            <a14:imgLayer r:embed="rId49">
                              <a14:imgEffect>
                                <a14:sharpenSoften amount="25000"/>
                              </a14:imgEffect>
                              <a14:imgEffect>
                                <a14:brightnessContrast contrast="-20000"/>
                              </a14:imgEffect>
                            </a14:imgLayer>
                          </a14:imgProps>
                        </a:ext>
                      </a:extLst>
                    </a:blip>
                    <a:srcRect b="1070"/>
                    <a:stretch/>
                  </pic:blipFill>
                  <pic:spPr bwMode="auto">
                    <a:xfrm rot="16200000">
                      <a:off x="0" y="0"/>
                      <a:ext cx="7909697" cy="3542399"/>
                    </a:xfrm>
                    <a:prstGeom prst="rect">
                      <a:avLst/>
                    </a:prstGeom>
                    <a:ln>
                      <a:noFill/>
                    </a:ln>
                    <a:extLst>
                      <a:ext uri="{53640926-AAD7-44D8-BBD7-CCE9431645EC}">
                        <a14:shadowObscured xmlns:a14="http://schemas.microsoft.com/office/drawing/2010/main"/>
                      </a:ext>
                    </a:extLst>
                  </pic:spPr>
                </pic:pic>
              </a:graphicData>
            </a:graphic>
          </wp:inline>
        </w:drawing>
      </w:r>
    </w:p>
    <w:p w14:paraId="15DA34BF" w14:textId="4B781D92" w:rsidR="0048626B" w:rsidRDefault="0048626B" w:rsidP="0048626B">
      <w:pPr>
        <w:pStyle w:val="TableTitle"/>
      </w:pPr>
      <w:r>
        <w:rPr>
          <w:noProof/>
        </w:rPr>
        <w:drawing>
          <wp:inline distT="0" distB="0" distL="0" distR="0" wp14:anchorId="5A135197" wp14:editId="60E25CCB">
            <wp:extent cx="8949807" cy="4054645"/>
            <wp:effectExtent l="9207" t="0" r="0" b="0"/>
            <wp:docPr id="2079764858" name="Picture 1" descr="A graph with purple lin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64858" name="Picture 1" descr="A graph with purple lines and white text&#10;&#10;Description automatically generated"/>
                    <pic:cNvPicPr/>
                  </pic:nvPicPr>
                  <pic:blipFill rotWithShape="1">
                    <a:blip r:embed="rId50">
                      <a:extLst>
                        <a:ext uri="{BEBA8EAE-BF5A-486C-A8C5-ECC9F3942E4B}">
                          <a14:imgProps xmlns:a14="http://schemas.microsoft.com/office/drawing/2010/main">
                            <a14:imgLayer r:embed="rId51">
                              <a14:imgEffect>
                                <a14:sharpenSoften amount="25000"/>
                              </a14:imgEffect>
                            </a14:imgLayer>
                          </a14:imgProps>
                        </a:ext>
                      </a:extLst>
                    </a:blip>
                    <a:srcRect t="1129"/>
                    <a:stretch/>
                  </pic:blipFill>
                  <pic:spPr bwMode="auto">
                    <a:xfrm rot="16200000">
                      <a:off x="0" y="0"/>
                      <a:ext cx="8989997" cy="4072853"/>
                    </a:xfrm>
                    <a:prstGeom prst="rect">
                      <a:avLst/>
                    </a:prstGeom>
                    <a:ln>
                      <a:noFill/>
                    </a:ln>
                    <a:extLst>
                      <a:ext uri="{53640926-AAD7-44D8-BBD7-CCE9431645EC}">
                        <a14:shadowObscured xmlns:a14="http://schemas.microsoft.com/office/drawing/2010/main"/>
                      </a:ext>
                    </a:extLst>
                  </pic:spPr>
                </pic:pic>
              </a:graphicData>
            </a:graphic>
          </wp:inline>
        </w:drawing>
      </w:r>
    </w:p>
    <w:p w14:paraId="7EA8FD87" w14:textId="3E124760" w:rsidR="007105E8" w:rsidRDefault="007105E8" w:rsidP="00E4590E">
      <w:pPr>
        <w:pStyle w:val="Heading5"/>
      </w:pPr>
      <w:r w:rsidRPr="00B061C4">
        <w:rPr>
          <w:rFonts w:eastAsiaTheme="minorHAnsi"/>
        </w:rPr>
        <w:t xml:space="preserve">Maintenance </w:t>
      </w:r>
      <w:r w:rsidR="00EC0AC4" w:rsidRPr="00B061C4">
        <w:rPr>
          <w:rFonts w:eastAsiaTheme="minorHAnsi"/>
        </w:rPr>
        <w:t>blinded p</w:t>
      </w:r>
      <w:r w:rsidRPr="00B061C4">
        <w:rPr>
          <w:rFonts w:eastAsiaTheme="minorHAnsi"/>
        </w:rPr>
        <w:t>eriod</w:t>
      </w:r>
    </w:p>
    <w:p w14:paraId="341313D6" w14:textId="69DF0BE7" w:rsidR="007105E8" w:rsidRPr="00B061C4" w:rsidRDefault="007105E8" w:rsidP="007105E8">
      <w:r w:rsidRPr="00B061C4">
        <w:rPr>
          <w:rFonts w:cs="TimesNewRomanPSMT"/>
        </w:rPr>
        <w:t>The EMA specified four major secondary endpoints for the maintenance blinded period</w:t>
      </w:r>
      <w:r w:rsidR="00F516F7">
        <w:rPr>
          <w:rFonts w:cs="TimesNewRomanPSMT"/>
        </w:rPr>
        <w:t xml:space="preserve">. </w:t>
      </w:r>
      <w:r w:rsidRPr="00B061C4">
        <w:rPr>
          <w:rFonts w:cs="TimesNewRomanPSMT"/>
        </w:rPr>
        <w:t>Efficacy in the maintenance period was evaluated in lebrikizumab responders at Week 16 who were then re-randomised to treatment with lebrikizumab 250 mg Q4W, 250 mg Q2W, or placebo (lebrikizumab withdrawal)</w:t>
      </w:r>
      <w:r w:rsidR="00F516F7">
        <w:rPr>
          <w:rFonts w:cs="TimesNewRomanPSMT"/>
        </w:rPr>
        <w:t xml:space="preserve">. </w:t>
      </w:r>
      <w:r w:rsidRPr="00B061C4">
        <w:rPr>
          <w:rFonts w:cs="TimesNewRomanPSMT"/>
        </w:rPr>
        <w:t>Results for the major secondary endpoints for the maintenance blinded period are shown in</w:t>
      </w:r>
      <w:r w:rsidR="00B061C4">
        <w:rPr>
          <w:rFonts w:cs="TimesNewRomanPSMT"/>
        </w:rPr>
        <w:t xml:space="preserve"> Table 20</w:t>
      </w:r>
      <w:r w:rsidR="00F516F7">
        <w:rPr>
          <w:rFonts w:cs="TimesNewRomanPSMT"/>
        </w:rPr>
        <w:t xml:space="preserve">. </w:t>
      </w:r>
      <w:r w:rsidRPr="00B061C4">
        <w:t>In both studies, efficacy findings at Week 52 were generally similar for the two lebrikizumab arms, and numerically favoured the lebrikizumab arms compared to placebo</w:t>
      </w:r>
      <w:r w:rsidR="00F516F7">
        <w:t xml:space="preserve">. </w:t>
      </w:r>
      <w:r w:rsidRPr="00B061C4">
        <w:t>Based on the pre-specified graphical testing scheme to control for multiplicity, none of the major secondary efficacy endpoints in the maintenance period were statistically significant for either of the lebrikizumab arms compared to placebo</w:t>
      </w:r>
      <w:r w:rsidR="00F516F7">
        <w:t xml:space="preserve">. </w:t>
      </w:r>
      <w:r w:rsidRPr="00B061C4">
        <w:t>In the pooled analysis (KGAB &amp; KGAC), there was a nominally significant benefit with 250 mg Q4W maintenance treatment compared to placebo for EASI-75 and IGO 0,1 at Week 52 (</w:t>
      </w:r>
      <w:r w:rsidR="00DE17B7">
        <w:t>Figure 10</w:t>
      </w:r>
      <w:r w:rsidRPr="00B061C4">
        <w:t>).</w:t>
      </w:r>
    </w:p>
    <w:p w14:paraId="5AECD2E1" w14:textId="7DDFD67A" w:rsidR="007105E8" w:rsidRDefault="007105E8" w:rsidP="00DE608A">
      <w:pPr>
        <w:pStyle w:val="TableTitle"/>
      </w:pPr>
      <w:bookmarkStart w:id="70" w:name="_Ref146801874"/>
      <w:r>
        <w:t xml:space="preserve">Table </w:t>
      </w:r>
      <w:bookmarkEnd w:id="70"/>
      <w:r w:rsidR="00B061C4">
        <w:t>20.</w:t>
      </w:r>
      <w:r>
        <w:t xml:space="preserve"> Major secondary endpoints for the maintenance blinded period. </w:t>
      </w:r>
    </w:p>
    <w:p w14:paraId="369C0551" w14:textId="18291E97" w:rsidR="00DE608A" w:rsidRDefault="00DE608A" w:rsidP="00EC0AC4">
      <w:r>
        <w:rPr>
          <w:noProof/>
        </w:rPr>
        <w:drawing>
          <wp:inline distT="0" distB="0" distL="0" distR="0" wp14:anchorId="7C875633" wp14:editId="3F33A376">
            <wp:extent cx="6520502" cy="2639833"/>
            <wp:effectExtent l="0" t="2858" r="0" b="0"/>
            <wp:docPr id="1217742038"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42038" name="Picture 1" descr="A table with numbers and letters&#10;&#10;Description automatically generated"/>
                    <pic:cNvPicPr/>
                  </pic:nvPicPr>
                  <pic:blipFill>
                    <a:blip r:embed="rId52"/>
                    <a:stretch>
                      <a:fillRect/>
                    </a:stretch>
                  </pic:blipFill>
                  <pic:spPr>
                    <a:xfrm rot="16200000">
                      <a:off x="0" y="0"/>
                      <a:ext cx="6628928" cy="2683729"/>
                    </a:xfrm>
                    <a:prstGeom prst="rect">
                      <a:avLst/>
                    </a:prstGeom>
                  </pic:spPr>
                </pic:pic>
              </a:graphicData>
            </a:graphic>
          </wp:inline>
        </w:drawing>
      </w:r>
    </w:p>
    <w:p w14:paraId="66F9C173" w14:textId="63C06BC8" w:rsidR="007105E8" w:rsidRDefault="007105E8" w:rsidP="0048626B">
      <w:pPr>
        <w:pStyle w:val="TableDescription"/>
        <w:rPr>
          <w:rFonts w:cs="Calibri"/>
        </w:rPr>
      </w:pPr>
      <w:r w:rsidRPr="00EC2A07">
        <w:t>EASI-75 = Percentage of patients from those randomly re-assigned having achieved EASI-75 at Week 16 who continued to exhibit EASI-75 at Week 52 (EASI-75 calculated relative to baseline EASI)</w:t>
      </w:r>
      <w:r w:rsidR="00F516F7">
        <w:t xml:space="preserve">. </w:t>
      </w:r>
      <w:r>
        <w:t xml:space="preserve"> </w:t>
      </w:r>
      <w:r w:rsidRPr="00EC2A07">
        <w:rPr>
          <w:rFonts w:cs="Calibri"/>
        </w:rPr>
        <w:t xml:space="preserve">IGA 0,1 + ≥ 2 = </w:t>
      </w:r>
      <w:r w:rsidRPr="00EC2A07">
        <w:t xml:space="preserve">Percentage of patients from those randomly re-assigned having achieved an IGA score of 0 or 1 and a </w:t>
      </w:r>
      <w:r w:rsidRPr="00EC2A07">
        <w:rPr>
          <w:rFonts w:cs="TimesNewRomanPSMT"/>
        </w:rPr>
        <w:t>≥ 2</w:t>
      </w:r>
      <w:r w:rsidRPr="00EC2A07">
        <w:t xml:space="preserve">-point improvement from baseline at Week 16 who continued to exhibit an IGA score of </w:t>
      </w:r>
      <w:r w:rsidRPr="00EC2A07">
        <w:rPr>
          <w:rFonts w:cs="TimesNewRomanPSMT"/>
        </w:rPr>
        <w:t>0 or 1 and a ≥2</w:t>
      </w:r>
      <w:r w:rsidRPr="00EC2A07">
        <w:t>-point improvement from baseline at Week 52</w:t>
      </w:r>
      <w:r w:rsidR="00F516F7">
        <w:t xml:space="preserve">. </w:t>
      </w:r>
      <w:r>
        <w:t xml:space="preserve"> </w:t>
      </w:r>
      <w:r w:rsidRPr="00EC2A07">
        <w:t xml:space="preserve">Pruritus NRS = </w:t>
      </w:r>
      <w:r w:rsidRPr="00EC2A07">
        <w:rPr>
          <w:rFonts w:cs="TimesNewRomanPSMT"/>
          <w:color w:val="231F20"/>
        </w:rPr>
        <w:t>Percentage of participants from those with a s</w:t>
      </w:r>
      <w:r w:rsidRPr="00EC2A07">
        <w:rPr>
          <w:rFonts w:eastAsia="Times New Roman"/>
          <w:color w:val="231F20"/>
        </w:rPr>
        <w:t xml:space="preserve">core of ≥ 4 </w:t>
      </w:r>
      <w:r w:rsidRPr="00EC2A07">
        <w:rPr>
          <w:rFonts w:cs="TimesNewRomanPSMT"/>
          <w:color w:val="231F20"/>
        </w:rPr>
        <w:t>points at Baseline randomly</w:t>
      </w:r>
      <w:r>
        <w:rPr>
          <w:rFonts w:cs="TimesNewRomanPSMT"/>
          <w:color w:val="231F20"/>
        </w:rPr>
        <w:t xml:space="preserve"> </w:t>
      </w:r>
      <w:r w:rsidRPr="00EC2A07">
        <w:rPr>
          <w:rFonts w:cs="TimesNewRomanPSMT"/>
          <w:color w:val="231F20"/>
        </w:rPr>
        <w:t xml:space="preserve">reassigned </w:t>
      </w:r>
      <w:r w:rsidRPr="00EC2A07">
        <w:rPr>
          <w:rFonts w:eastAsia="Times New Roman"/>
          <w:color w:val="231F20"/>
        </w:rPr>
        <w:t>after achieving a ≥ 4</w:t>
      </w:r>
      <w:r w:rsidRPr="00EC2A07">
        <w:rPr>
          <w:rFonts w:cs="TimesNewRomanPSMT"/>
          <w:color w:val="231F20"/>
        </w:rPr>
        <w:t xml:space="preserve">-point reduction from Baseline at Week 16 who continue to exhibit </w:t>
      </w:r>
      <w:r w:rsidRPr="00EC2A07">
        <w:rPr>
          <w:rFonts w:eastAsia="Times New Roman"/>
          <w:color w:val="231F20"/>
        </w:rPr>
        <w:t>≥ 4</w:t>
      </w:r>
      <w:r w:rsidRPr="00EC2A07">
        <w:rPr>
          <w:rFonts w:cs="TimesNewRomanPSMT"/>
          <w:color w:val="231F20"/>
        </w:rPr>
        <w:t>-point reduction from Baseline at Week 52</w:t>
      </w:r>
      <w:r w:rsidR="00F516F7">
        <w:rPr>
          <w:rFonts w:cs="TimesNewRomanPSMT"/>
          <w:color w:val="231F20"/>
        </w:rPr>
        <w:t xml:space="preserve">. </w:t>
      </w:r>
      <w:r>
        <w:rPr>
          <w:rFonts w:cs="TimesNewRomanPSMT"/>
          <w:color w:val="231F20"/>
        </w:rPr>
        <w:t xml:space="preserve"> </w:t>
      </w:r>
      <w:r w:rsidRPr="00EC2A07">
        <w:rPr>
          <w:color w:val="231F20"/>
        </w:rPr>
        <w:t xml:space="preserve">EASI % change: </w:t>
      </w:r>
      <w:r w:rsidRPr="00EC2A07">
        <w:rPr>
          <w:rFonts w:cs="TimesNewRomanPSMT"/>
          <w:color w:val="231F20"/>
        </w:rPr>
        <w:t>Percentage change in EASI from Baseline at Week 52 in the subset of patients who were</w:t>
      </w:r>
      <w:r>
        <w:rPr>
          <w:rFonts w:cs="TimesNewRomanPSMT"/>
          <w:color w:val="231F20"/>
        </w:rPr>
        <w:t xml:space="preserve"> </w:t>
      </w:r>
      <w:r w:rsidRPr="00EC2A07">
        <w:rPr>
          <w:rFonts w:cs="TimesNewRomanPSMT"/>
          <w:color w:val="231F20"/>
        </w:rPr>
        <w:t>randomly re-assigned at Week 16</w:t>
      </w:r>
      <w:r w:rsidR="00F516F7">
        <w:rPr>
          <w:rFonts w:cs="TimesNewRomanPSMT"/>
          <w:color w:val="231F20"/>
        </w:rPr>
        <w:t xml:space="preserve">. </w:t>
      </w:r>
      <w:r>
        <w:rPr>
          <w:rFonts w:cs="TimesNewRomanPSMT"/>
          <w:color w:val="231F20"/>
        </w:rPr>
        <w:t xml:space="preserve"> </w:t>
      </w:r>
      <w:r w:rsidRPr="00EC2A07">
        <w:rPr>
          <w:rFonts w:cs="TimesNewRomanPSMT"/>
        </w:rPr>
        <w:t xml:space="preserve">Source: </w:t>
      </w:r>
      <w:r w:rsidRPr="00EC2A07">
        <w:t>CSR</w:t>
      </w:r>
      <w:r>
        <w:t xml:space="preserve"> </w:t>
      </w:r>
      <w:r w:rsidRPr="00EC2A07">
        <w:t>Table KGAB.5.2 &amp; Table KGAC5.2.</w:t>
      </w:r>
      <w:r w:rsidRPr="00EC2A07">
        <w:rPr>
          <w:rFonts w:cs="Calibri"/>
        </w:rPr>
        <w:t xml:space="preserve"> </w:t>
      </w:r>
    </w:p>
    <w:p w14:paraId="77CB27B9" w14:textId="0DFB03A3" w:rsidR="0048626B" w:rsidRDefault="007105E8" w:rsidP="00EC0AC4">
      <w:pPr>
        <w:pStyle w:val="FigureTitle"/>
        <w:rPr>
          <w:sz w:val="19"/>
          <w:szCs w:val="19"/>
        </w:rPr>
      </w:pPr>
      <w:bookmarkStart w:id="71" w:name="_Ref158195710"/>
      <w:r>
        <w:t>Figure</w:t>
      </w:r>
      <w:bookmarkEnd w:id="71"/>
      <w:r w:rsidR="00DE17B7">
        <w:t xml:space="preserve"> 10</w:t>
      </w:r>
      <w:r w:rsidR="00F92527">
        <w:rPr>
          <w:noProof/>
        </w:rPr>
        <w:t>.</w:t>
      </w:r>
      <w:r>
        <w:t xml:space="preserve"> </w:t>
      </w:r>
      <w:r w:rsidRPr="00E044C6">
        <w:t>Proportion of participants maintaining IGA 0 or 1 with ≥ 2-point improvement from Baseline (left panel) and proportion of participants maintaining EASI-75 (right panel)</w:t>
      </w:r>
      <w:r>
        <w:t>, Week 16 through Week 52, Pooled Population KGAB and KGAC</w:t>
      </w:r>
      <w:r w:rsidR="00F516F7">
        <w:t xml:space="preserve">. </w:t>
      </w:r>
      <w:r>
        <w:rPr>
          <w:sz w:val="19"/>
          <w:szCs w:val="19"/>
        </w:rPr>
        <w:t xml:space="preserve">        </w:t>
      </w:r>
    </w:p>
    <w:p w14:paraId="29819DDF" w14:textId="77777777" w:rsidR="00EC0AC4" w:rsidRDefault="0048626B" w:rsidP="00EC0AC4">
      <w:r w:rsidRPr="0048626B">
        <w:t>IGO 0,1 with ≥2-point improvement</w:t>
      </w:r>
    </w:p>
    <w:p w14:paraId="35972FAD" w14:textId="6C923D84" w:rsidR="0048626B" w:rsidRDefault="007105E8" w:rsidP="00EC0AC4">
      <w:r>
        <w:rPr>
          <w:noProof/>
        </w:rPr>
        <w:drawing>
          <wp:inline distT="0" distB="0" distL="0" distR="0" wp14:anchorId="32C4E9F5" wp14:editId="478C8E8B">
            <wp:extent cx="2760453" cy="2773233"/>
            <wp:effectExtent l="0" t="0" r="190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88475" cy="2801385"/>
                    </a:xfrm>
                    <a:prstGeom prst="rect">
                      <a:avLst/>
                    </a:prstGeom>
                  </pic:spPr>
                </pic:pic>
              </a:graphicData>
            </a:graphic>
          </wp:inline>
        </w:drawing>
      </w:r>
      <w:r>
        <w:t xml:space="preserve">   </w:t>
      </w:r>
    </w:p>
    <w:p w14:paraId="2E44F37D" w14:textId="77777777" w:rsidR="00EC0AC4" w:rsidRDefault="0048626B" w:rsidP="00EC0AC4">
      <w:pPr>
        <w:pStyle w:val="FigureTitle"/>
      </w:pPr>
      <w:r w:rsidRPr="0048626B">
        <w:t>EASI-75 response</w:t>
      </w:r>
    </w:p>
    <w:p w14:paraId="65959A72" w14:textId="77777777" w:rsidR="00EC0AC4" w:rsidRDefault="0048626B" w:rsidP="00EC0AC4">
      <w:r>
        <w:rPr>
          <w:noProof/>
        </w:rPr>
        <w:drawing>
          <wp:inline distT="0" distB="0" distL="0" distR="0" wp14:anchorId="31207217" wp14:editId="0834FE6C">
            <wp:extent cx="3001993" cy="2933140"/>
            <wp:effectExtent l="0" t="0" r="8255" b="635"/>
            <wp:docPr id="27" name="Picture 27"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with a line and a line&#10;&#10;Description automatically generated with medium confidence"/>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3039534" cy="2969820"/>
                    </a:xfrm>
                    <a:prstGeom prst="rect">
                      <a:avLst/>
                    </a:prstGeom>
                  </pic:spPr>
                </pic:pic>
              </a:graphicData>
            </a:graphic>
          </wp:inline>
        </w:drawing>
      </w:r>
    </w:p>
    <w:p w14:paraId="3B849619" w14:textId="326EF40E" w:rsidR="007105E8" w:rsidRPr="00EC2A07" w:rsidRDefault="007105E8" w:rsidP="00EC0AC4">
      <w:pPr>
        <w:pStyle w:val="FigureDescription"/>
      </w:pPr>
      <w:r>
        <w:t xml:space="preserve"> </w:t>
      </w:r>
      <w:r w:rsidRPr="004075DB">
        <w:t xml:space="preserve">vs. PBO: *p </w:t>
      </w:r>
      <w:r>
        <w:t xml:space="preserve">&lt;0.05, </w:t>
      </w:r>
      <w:r w:rsidRPr="004075DB">
        <w:t>*</w:t>
      </w:r>
      <w:r>
        <w:t>*</w:t>
      </w:r>
      <w:r w:rsidRPr="004075DB">
        <w:t xml:space="preserve">p </w:t>
      </w:r>
      <w:r>
        <w:t xml:space="preserve">&lt;0.01, </w:t>
      </w:r>
      <w:r w:rsidRPr="004075DB">
        <w:t>*</w:t>
      </w:r>
      <w:r>
        <w:t>**</w:t>
      </w:r>
      <w:r w:rsidRPr="004075DB">
        <w:t xml:space="preserve">p </w:t>
      </w:r>
      <w:r>
        <w:t xml:space="preserve">&lt;0.001. </w:t>
      </w:r>
    </w:p>
    <w:p w14:paraId="687F01DD" w14:textId="747BD5BE" w:rsidR="007105E8" w:rsidRPr="00B061C4" w:rsidRDefault="007105E8" w:rsidP="00EC0AC4">
      <w:pPr>
        <w:pStyle w:val="Heading5"/>
        <w:pageBreakBefore/>
      </w:pPr>
      <w:r w:rsidRPr="00B061C4">
        <w:t>Rescue therapy</w:t>
      </w:r>
    </w:p>
    <w:p w14:paraId="6B7771BF" w14:textId="6049A221" w:rsidR="007105E8" w:rsidRPr="00B061C4" w:rsidRDefault="007105E8" w:rsidP="007105E8">
      <w:r w:rsidRPr="00B061C4">
        <w:t>Participants who experienced intolerable AD symptoms could use rescue therapy, including topical (TCS, TCI, crisaborole) and systemic treatments (systemic corticosteroids, immunosuppressants, biologics, phototherapy or photochemotherapy)</w:t>
      </w:r>
      <w:r w:rsidR="00F516F7">
        <w:t xml:space="preserve">. </w:t>
      </w:r>
      <w:r w:rsidRPr="00B061C4">
        <w:t>The most commonly used rescue treatments during both the induction and maintenance blinded periods of both studies were TCS</w:t>
      </w:r>
      <w:r w:rsidR="00F516F7">
        <w:t xml:space="preserve">. </w:t>
      </w:r>
      <w:r w:rsidRPr="00B061C4">
        <w:t xml:space="preserve"> </w:t>
      </w:r>
    </w:p>
    <w:p w14:paraId="60538CE5" w14:textId="0C4B077D" w:rsidR="007105E8" w:rsidRPr="00B061C4" w:rsidRDefault="007105E8" w:rsidP="007105E8">
      <w:pPr>
        <w:rPr>
          <w:rFonts w:cs="TimesNewRomanPSMT"/>
        </w:rPr>
      </w:pPr>
      <w:r w:rsidRPr="00B061C4">
        <w:t>During the induction period of KGAB, TCS use was higher in the placebo than the lebrikizumab arm (29.8% vs 8.5%, respectively), and systemic corticosteroids were used in 6.4% and 2.1%, respectively</w:t>
      </w:r>
      <w:r w:rsidR="00F516F7">
        <w:t xml:space="preserve">. </w:t>
      </w:r>
      <w:r w:rsidRPr="00B061C4">
        <w:t>During the induction period of KGAC, TCS use was higher in the placebo than the lebrikizumab arm (37% vs  16.7%, respectively), and systemic corticosteroids were used by 5.5% and 2.5%, respectively</w:t>
      </w:r>
      <w:r w:rsidR="00F516F7">
        <w:t xml:space="preserve">. </w:t>
      </w:r>
      <w:r w:rsidRPr="00B061C4">
        <w:rPr>
          <w:rFonts w:cs="TimesNewRomanPSMT"/>
        </w:rPr>
        <w:t>In the pooled studies KGAB and KGAC,</w:t>
      </w:r>
      <w:r w:rsidRPr="00B061C4">
        <w:rPr>
          <w:rFonts w:cs="Calibri"/>
          <w:color w:val="231F20"/>
        </w:rPr>
        <w:t xml:space="preserve"> any rescue therapy used in the </w:t>
      </w:r>
      <w:r w:rsidRPr="00B061C4">
        <w:rPr>
          <w:rFonts w:cs="TimesNewRomanPSMT"/>
        </w:rPr>
        <w:t xml:space="preserve">maintenance period (Week 16 to Week 52) </w:t>
      </w:r>
      <w:r w:rsidRPr="00B061C4">
        <w:rPr>
          <w:rFonts w:cs="Calibri"/>
          <w:color w:val="231F20"/>
        </w:rPr>
        <w:t xml:space="preserve">were used by </w:t>
      </w:r>
      <w:r w:rsidRPr="00B061C4">
        <w:rPr>
          <w:rFonts w:cs="TimesNewRomanPSMT"/>
        </w:rPr>
        <w:t xml:space="preserve">11 (18.3%) </w:t>
      </w:r>
      <w:r w:rsidRPr="00B061C4">
        <w:rPr>
          <w:rFonts w:cs="Calibri"/>
          <w:color w:val="231F20"/>
        </w:rPr>
        <w:t xml:space="preserve">participants in the placebo group, </w:t>
      </w:r>
      <w:r w:rsidRPr="00B061C4">
        <w:rPr>
          <w:rFonts w:cs="TimesNewRomanPSMT"/>
        </w:rPr>
        <w:t xml:space="preserve">19 (16.1%) </w:t>
      </w:r>
      <w:r w:rsidRPr="00B061C4">
        <w:rPr>
          <w:rFonts w:cs="Calibri"/>
          <w:color w:val="231F20"/>
        </w:rPr>
        <w:t xml:space="preserve">participants </w:t>
      </w:r>
      <w:r w:rsidRPr="00B061C4">
        <w:rPr>
          <w:rFonts w:cs="TimesNewRomanPSMT"/>
        </w:rPr>
        <w:t xml:space="preserve">in the 250 mg Q4W group, and 14 (12.4%) </w:t>
      </w:r>
      <w:r w:rsidRPr="00B061C4">
        <w:rPr>
          <w:rFonts w:cs="Calibri"/>
          <w:color w:val="231F20"/>
        </w:rPr>
        <w:t xml:space="preserve">participants </w:t>
      </w:r>
      <w:r w:rsidRPr="00B061C4">
        <w:rPr>
          <w:rFonts w:cs="TimesNewRomanPSMT"/>
        </w:rPr>
        <w:t>in the 250 mg Q2W group</w:t>
      </w:r>
      <w:r w:rsidR="00F516F7">
        <w:rPr>
          <w:rFonts w:cs="TimesNewRomanPSMT"/>
        </w:rPr>
        <w:t xml:space="preserve">. </w:t>
      </w:r>
    </w:p>
    <w:p w14:paraId="0051053D" w14:textId="77777777" w:rsidR="007105E8" w:rsidRPr="00B061C4" w:rsidRDefault="007105E8" w:rsidP="00E4590E">
      <w:pPr>
        <w:pStyle w:val="Heading5"/>
        <w:rPr>
          <w:rFonts w:eastAsiaTheme="minorHAnsi"/>
        </w:rPr>
      </w:pPr>
      <w:r w:rsidRPr="00B061C4">
        <w:rPr>
          <w:rFonts w:eastAsiaTheme="minorHAnsi"/>
        </w:rPr>
        <w:t>Maintenance treatment in the escape population</w:t>
      </w:r>
    </w:p>
    <w:p w14:paraId="3F4292AF" w14:textId="65ECD505" w:rsidR="007105E8" w:rsidRPr="00B061C4" w:rsidRDefault="007105E8" w:rsidP="007105E8">
      <w:pPr>
        <w:rPr>
          <w:rFonts w:cs="TimesNewRomanPSMT"/>
        </w:rPr>
      </w:pPr>
      <w:r w:rsidRPr="00B061C4">
        <w:rPr>
          <w:rFonts w:cs="TimesNewRomanPSMT"/>
        </w:rPr>
        <w:t>Participants assigned to the escape arm received open-label lebrikizumab 250 mg Q2W during the maintenance period</w:t>
      </w:r>
      <w:r w:rsidR="00F516F7">
        <w:rPr>
          <w:rFonts w:cs="TimesNewRomanPSMT"/>
        </w:rPr>
        <w:t xml:space="preserve">. </w:t>
      </w:r>
      <w:r w:rsidRPr="00B061C4">
        <w:rPr>
          <w:rFonts w:cs="TimesNewRomanPSMT"/>
        </w:rPr>
        <w:t>Responses during the maintenance period were similar for participants originally assigned to lebrikizumab or placebo (</w:t>
      </w:r>
      <w:r w:rsidR="00DE17B7">
        <w:rPr>
          <w:rFonts w:cs="TimesNewRomanPSMT"/>
        </w:rPr>
        <w:t>Figure 11</w:t>
      </w:r>
      <w:r w:rsidRPr="00B061C4">
        <w:rPr>
          <w:rFonts w:cs="TimesNewRomanPSMT"/>
        </w:rPr>
        <w:t>).</w:t>
      </w:r>
    </w:p>
    <w:p w14:paraId="78020CC7" w14:textId="49C38A97" w:rsidR="007105E8" w:rsidRDefault="007105E8" w:rsidP="00EC0AC4">
      <w:pPr>
        <w:pStyle w:val="FigureTitle"/>
      </w:pPr>
      <w:bookmarkStart w:id="72" w:name="_Ref158198655"/>
      <w:r>
        <w:t>Figure</w:t>
      </w:r>
      <w:bookmarkEnd w:id="72"/>
      <w:r w:rsidR="00DE17B7">
        <w:t xml:space="preserve"> 11</w:t>
      </w:r>
      <w:r w:rsidR="00F92527">
        <w:rPr>
          <w:noProof/>
        </w:rPr>
        <w:t>.</w:t>
      </w:r>
      <w:r>
        <w:t xml:space="preserve"> Proportion of participants achieving (a) IGA 0,1 or (b) EASI 75 during Maintenance Period, among Maintenance Week 16 Escape Population (pooled Studies KGAB and KGAC, observed data).</w:t>
      </w:r>
    </w:p>
    <w:p w14:paraId="01B12848" w14:textId="3DFB7F44" w:rsidR="007105E8" w:rsidRPr="002A0206" w:rsidRDefault="007105E8" w:rsidP="007105E8">
      <w:pPr>
        <w:rPr>
          <w:sz w:val="16"/>
          <w:szCs w:val="16"/>
        </w:rPr>
      </w:pPr>
      <w:r>
        <w:rPr>
          <w:noProof/>
        </w:rPr>
        <w:drawing>
          <wp:inline distT="0" distB="0" distL="0" distR="0" wp14:anchorId="3876168D" wp14:editId="0C456BC8">
            <wp:extent cx="5010793" cy="4330194"/>
            <wp:effectExtent l="0" t="2540" r="0" b="0"/>
            <wp:docPr id="216856641" name="Picture 216856641" descr="A graph of the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56641" name="Picture 216856641" descr="A graph of the number of patients&#10;&#10;Description automatically generated"/>
                    <pic:cNvPicPr/>
                  </pic:nvPicPr>
                  <pic:blipFill>
                    <a:blip r:embed="rId56">
                      <a:extLst>
                        <a:ext uri="{BEBA8EAE-BF5A-486C-A8C5-ECC9F3942E4B}">
                          <a14:imgProps xmlns:a14="http://schemas.microsoft.com/office/drawing/2010/main">
                            <a14:imgLayer r:embed="rId57">
                              <a14:imgEffect>
                                <a14:sharpenSoften amount="25000"/>
                              </a14:imgEffect>
                              <a14:imgEffect>
                                <a14:brightnessContrast contrast="20000"/>
                              </a14:imgEffect>
                            </a14:imgLayer>
                          </a14:imgProps>
                        </a:ext>
                      </a:extLst>
                    </a:blip>
                    <a:stretch>
                      <a:fillRect/>
                    </a:stretch>
                  </pic:blipFill>
                  <pic:spPr>
                    <a:xfrm rot="16200000">
                      <a:off x="0" y="0"/>
                      <a:ext cx="5050116" cy="4364176"/>
                    </a:xfrm>
                    <a:prstGeom prst="rect">
                      <a:avLst/>
                    </a:prstGeom>
                  </pic:spPr>
                </pic:pic>
              </a:graphicData>
            </a:graphic>
          </wp:inline>
        </w:drawing>
      </w:r>
    </w:p>
    <w:p w14:paraId="7FE5723E" w14:textId="77777777" w:rsidR="007105E8" w:rsidRDefault="007105E8" w:rsidP="007105E8">
      <w:pPr>
        <w:pStyle w:val="Heading5"/>
      </w:pPr>
      <w:r>
        <w:t>Pivotal study in combination with TCS: Study KGAD (ADhere)</w:t>
      </w:r>
    </w:p>
    <w:p w14:paraId="205CA60B" w14:textId="6D8BB5CF" w:rsidR="007105E8" w:rsidRPr="00AE4680" w:rsidRDefault="007105E8" w:rsidP="007105E8">
      <w:pPr>
        <w:rPr>
          <w:rFonts w:cs="TimesNewRomanPSMT"/>
        </w:rPr>
      </w:pPr>
      <w:r w:rsidRPr="00AE4680">
        <w:rPr>
          <w:rFonts w:cs="TimesNewRomanPSMT"/>
        </w:rPr>
        <w:t>This was a Phase 3, multicentre, randomised, double-blind, placebo-controlled, parallel-group clinical trial of 16 weeks duration in adults (aged &gt;18 years) and adolescents (aged 12 to &lt;18 years weighing ≥40 kg)</w:t>
      </w:r>
      <w:r w:rsidR="00F516F7">
        <w:rPr>
          <w:rFonts w:cs="TimesNewRomanPSMT"/>
        </w:rPr>
        <w:t xml:space="preserve">. </w:t>
      </w:r>
      <w:r w:rsidRPr="00AE4680">
        <w:rPr>
          <w:lang w:eastAsia="ja-JP"/>
        </w:rPr>
        <w:t xml:space="preserve">The study objective was  </w:t>
      </w:r>
      <w:r w:rsidRPr="00AE4680">
        <w:rPr>
          <w:rFonts w:cs="TimesNewRomanPS-BoldMT"/>
        </w:rPr>
        <w:t>to evaluate the safety and efficacy of lebrikizumab in combination with TCS compared with placebo in combination with TCS in patients with moderate-to-severe AD</w:t>
      </w:r>
      <w:r w:rsidR="00F516F7">
        <w:rPr>
          <w:rFonts w:cs="TimesNewRomanPS-BoldMT"/>
        </w:rPr>
        <w:t xml:space="preserve">. </w:t>
      </w:r>
      <w:r w:rsidRPr="00AE4680">
        <w:rPr>
          <w:rFonts w:cs="TimesNewRomanPSMT"/>
        </w:rPr>
        <w:t>The study was conducted at 54 centres in Canada, Germany, Poland, and USA between February 2020 and September 2021</w:t>
      </w:r>
      <w:r w:rsidR="00F516F7">
        <w:rPr>
          <w:rFonts w:cs="TimesNewRomanPSMT"/>
        </w:rPr>
        <w:t xml:space="preserve">. </w:t>
      </w:r>
      <w:r w:rsidRPr="00AE4680">
        <w:rPr>
          <w:rFonts w:cs="TimesNewRomanPSMT"/>
        </w:rPr>
        <w:t>Participants completing the 16-week treatment period were offered continued treatment in a separate long-term extension safety study (KGAA)</w:t>
      </w:r>
      <w:r w:rsidR="00F516F7">
        <w:rPr>
          <w:rFonts w:cs="TimesNewRomanPSMT"/>
        </w:rPr>
        <w:t xml:space="preserve">. </w:t>
      </w:r>
      <w:r w:rsidRPr="00AE4680">
        <w:rPr>
          <w:rFonts w:cs="TimesNewRomanPSMT"/>
        </w:rPr>
        <w:t>The study design i</w:t>
      </w:r>
      <w:r w:rsidR="00DE17B7">
        <w:rPr>
          <w:rFonts w:cs="TimesNewRomanPSMT"/>
        </w:rPr>
        <w:t>s</w:t>
      </w:r>
      <w:r w:rsidRPr="00AE4680">
        <w:rPr>
          <w:rFonts w:cs="TimesNewRomanPSMT"/>
        </w:rPr>
        <w:t xml:space="preserve"> shown in</w:t>
      </w:r>
      <w:r w:rsidR="00DE17B7">
        <w:rPr>
          <w:rFonts w:cs="TimesNewRomanPSMT"/>
        </w:rPr>
        <w:t xml:space="preserve"> Figure 12</w:t>
      </w:r>
      <w:r w:rsidRPr="00AE4680">
        <w:rPr>
          <w:rFonts w:cs="TimesNewRomanPSMT"/>
        </w:rPr>
        <w:t>.</w:t>
      </w:r>
    </w:p>
    <w:p w14:paraId="1D5AAEAB" w14:textId="77777777" w:rsidR="007105E8" w:rsidRPr="00AE4680" w:rsidRDefault="007105E8" w:rsidP="007105E8">
      <w:pPr>
        <w:rPr>
          <w:lang w:eastAsia="ja-JP"/>
        </w:rPr>
      </w:pPr>
      <w:r w:rsidRPr="00AE4680">
        <w:rPr>
          <w:lang w:eastAsia="ja-JP"/>
        </w:rPr>
        <w:t>The key</w:t>
      </w:r>
      <w:r w:rsidRPr="00AE4680">
        <w:rPr>
          <w:i/>
          <w:iCs/>
          <w:lang w:eastAsia="ja-JP"/>
        </w:rPr>
        <w:t xml:space="preserve"> inclusion criteria</w:t>
      </w:r>
      <w:r w:rsidRPr="00AE4680">
        <w:rPr>
          <w:lang w:eastAsia="ja-JP"/>
        </w:rPr>
        <w:t xml:space="preserve"> were:</w:t>
      </w:r>
    </w:p>
    <w:p w14:paraId="3AEB9237" w14:textId="77777777" w:rsidR="007105E8" w:rsidRPr="00AE4680" w:rsidRDefault="007105E8" w:rsidP="006E5360">
      <w:pPr>
        <w:pStyle w:val="ListBullet"/>
      </w:pPr>
      <w:r w:rsidRPr="00AE4680">
        <w:t>adults or adolescents (aged 12 years to &lt; 18 years and weighing ≥ 40 kg).</w:t>
      </w:r>
    </w:p>
    <w:p w14:paraId="7A551561" w14:textId="77777777" w:rsidR="007105E8" w:rsidRPr="00AE4680" w:rsidRDefault="007105E8" w:rsidP="006E5360">
      <w:pPr>
        <w:pStyle w:val="ListBullet"/>
      </w:pPr>
      <w:r w:rsidRPr="00AE4680">
        <w:t>diagnosis of chronic AD as defined by the American Academy of Dermatology Consensus Criteria, for at least 1 year before the screening visit.</w:t>
      </w:r>
    </w:p>
    <w:p w14:paraId="2D221C6E" w14:textId="77777777" w:rsidR="007105E8" w:rsidRPr="00AE4680" w:rsidRDefault="007105E8" w:rsidP="006E5360">
      <w:pPr>
        <w:pStyle w:val="ListBullet"/>
      </w:pPr>
      <w:r w:rsidRPr="00AE4680">
        <w:t>moderate-to-severe AD, defined as having all the following at the baseline visit: EASI ≥ 16; IGA score ≥ 3; and BSA ≥ 10%.</w:t>
      </w:r>
    </w:p>
    <w:p w14:paraId="10A97AE9" w14:textId="77777777" w:rsidR="007105E8" w:rsidRPr="00AE4680" w:rsidRDefault="007105E8" w:rsidP="006E5360">
      <w:pPr>
        <w:pStyle w:val="ListBullet"/>
      </w:pPr>
      <w:r w:rsidRPr="00AE4680">
        <w:t>history of inadequate response to treatment with topical medications.</w:t>
      </w:r>
    </w:p>
    <w:p w14:paraId="50DCF30B" w14:textId="77777777" w:rsidR="007105E8" w:rsidRPr="00AE4680" w:rsidRDefault="007105E8" w:rsidP="006E5360">
      <w:pPr>
        <w:pStyle w:val="ListBullet"/>
      </w:pPr>
      <w:r w:rsidRPr="00AE4680">
        <w:t>candidate for systemic therapy.</w:t>
      </w:r>
    </w:p>
    <w:p w14:paraId="4764C1E4" w14:textId="77777777" w:rsidR="007105E8" w:rsidRPr="00AE4680" w:rsidRDefault="007105E8" w:rsidP="007105E8">
      <w:pPr>
        <w:autoSpaceDE w:val="0"/>
        <w:autoSpaceDN w:val="0"/>
        <w:rPr>
          <w:rFonts w:cs="TimesNewRomanPSMT"/>
        </w:rPr>
      </w:pPr>
      <w:r w:rsidRPr="00AE4680">
        <w:rPr>
          <w:rFonts w:cs="TimesNewRomanPSMT"/>
        </w:rPr>
        <w:t>Participants were required to have stopped t</w:t>
      </w:r>
      <w:r w:rsidRPr="00AE4680">
        <w:rPr>
          <w:rFonts w:cs="TimesNewRomanPSMT"/>
          <w:color w:val="231F20"/>
        </w:rPr>
        <w:t>reatment with TCS, TCI, or PDE-4 inhibitor within 1 week prior to the Baseline visit, and treatment with immunosuppressive or immunomodulating drugs, phototherapy or photochemotherapy within 4 weeks prior to the Baseline visit.</w:t>
      </w:r>
    </w:p>
    <w:p w14:paraId="7F6F19F2" w14:textId="280F5AF2" w:rsidR="007105E8" w:rsidRDefault="007105E8" w:rsidP="00B061C4">
      <w:pPr>
        <w:pStyle w:val="FigureTitle"/>
      </w:pPr>
      <w:bookmarkStart w:id="73" w:name="_Ref147139824"/>
      <w:r>
        <w:t>Figure</w:t>
      </w:r>
      <w:bookmarkEnd w:id="73"/>
      <w:r w:rsidR="00DE17B7">
        <w:t xml:space="preserve"> 12</w:t>
      </w:r>
      <w:r w:rsidR="00F92527">
        <w:rPr>
          <w:noProof/>
        </w:rPr>
        <w:t>.</w:t>
      </w:r>
      <w:r>
        <w:t xml:space="preserve"> KGAD – Study design</w:t>
      </w:r>
    </w:p>
    <w:p w14:paraId="4FCD2205" w14:textId="77777777" w:rsidR="006E5360" w:rsidRDefault="007105E8" w:rsidP="006E5360">
      <w:pPr>
        <w:rPr>
          <w:vertAlign w:val="superscript"/>
        </w:rPr>
      </w:pPr>
      <w:r>
        <w:rPr>
          <w:noProof/>
        </w:rPr>
        <w:drawing>
          <wp:inline distT="0" distB="0" distL="0" distR="0" wp14:anchorId="6F7642C8" wp14:editId="23A19879">
            <wp:extent cx="5792656" cy="2286000"/>
            <wp:effectExtent l="0" t="0" r="0" b="0"/>
            <wp:docPr id="1626078622" name="Picture 1626078622"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78622" name="Picture 1626078622" descr="A close-up of a chart&#10;&#10;Description automatically generated"/>
                    <pic:cNvPicPr/>
                  </pic:nvPicPr>
                  <pic:blipFill>
                    <a:blip r:embed="rId58"/>
                    <a:stretch>
                      <a:fillRect/>
                    </a:stretch>
                  </pic:blipFill>
                  <pic:spPr>
                    <a:xfrm>
                      <a:off x="0" y="0"/>
                      <a:ext cx="5848214" cy="2307925"/>
                    </a:xfrm>
                    <a:prstGeom prst="rect">
                      <a:avLst/>
                    </a:prstGeom>
                  </pic:spPr>
                </pic:pic>
              </a:graphicData>
            </a:graphic>
          </wp:inline>
        </w:drawing>
      </w:r>
    </w:p>
    <w:p w14:paraId="1A1711D6" w14:textId="77777777" w:rsidR="006E5360" w:rsidRDefault="007105E8" w:rsidP="006E5360">
      <w:r w:rsidRPr="007816CC">
        <w:rPr>
          <w:vertAlign w:val="superscript"/>
        </w:rPr>
        <w:t>a</w:t>
      </w:r>
      <w:r w:rsidRPr="007816CC">
        <w:t xml:space="preserve"> Use of TCS was required at baseline but could be used, tapered, stopped, and resumed as needed after that</w:t>
      </w:r>
      <w:r w:rsidR="00F516F7">
        <w:t xml:space="preserve">. </w:t>
      </w:r>
      <w:r>
        <w:t xml:space="preserve">  </w:t>
      </w:r>
      <w:r w:rsidRPr="00302DD4">
        <w:rPr>
          <w:vertAlign w:val="superscript"/>
        </w:rPr>
        <w:t>b</w:t>
      </w:r>
      <w:r w:rsidRPr="007816CC">
        <w:t xml:space="preserve"> A total of 228 participants with moderate-to-severe AD, including 53 adolescent participants</w:t>
      </w:r>
      <w:r w:rsidR="00F516F7">
        <w:t xml:space="preserve">. </w:t>
      </w:r>
      <w:r>
        <w:t xml:space="preserve">  </w:t>
      </w:r>
      <w:r w:rsidRPr="00302DD4">
        <w:rPr>
          <w:vertAlign w:val="superscript"/>
        </w:rPr>
        <w:t>c</w:t>
      </w:r>
      <w:r w:rsidRPr="007816CC">
        <w:t xml:space="preserve"> 500 mg loading dose at W0 and W2. </w:t>
      </w:r>
      <w:r>
        <w:br/>
      </w:r>
      <w:r w:rsidRPr="00302DD4">
        <w:rPr>
          <w:vertAlign w:val="superscript"/>
        </w:rPr>
        <w:t>d</w:t>
      </w:r>
      <w:r w:rsidRPr="007816CC">
        <w:t xml:space="preserve"> Participants who completed Study KGAD had the option to enrol in Study KGAA long-term extension. Otherwise, participants entered a safety follow-up period for 12 weeks after their last dose</w:t>
      </w:r>
      <w:r w:rsidR="00F516F7">
        <w:t xml:space="preserve">. </w:t>
      </w:r>
      <w:r>
        <w:t xml:space="preserve">  </w:t>
      </w:r>
      <w:r w:rsidRPr="00471380">
        <w:rPr>
          <w:vertAlign w:val="superscript"/>
        </w:rPr>
        <w:t>e</w:t>
      </w:r>
      <w:r w:rsidRPr="007816CC">
        <w:t xml:space="preserve"> ≤30-day screening period</w:t>
      </w:r>
      <w:r w:rsidR="00F516F7">
        <w:t xml:space="preserve">. </w:t>
      </w:r>
      <w:r>
        <w:t xml:space="preserve"> </w:t>
      </w:r>
      <w:r w:rsidRPr="007D58C4">
        <w:rPr>
          <w:vertAlign w:val="superscript"/>
        </w:rPr>
        <w:t>f</w:t>
      </w:r>
      <w:r w:rsidRPr="007816CC">
        <w:t xml:space="preserve"> IGA (0,1) with ≥2-point improvement from baseline</w:t>
      </w:r>
      <w:r w:rsidR="00F516F7">
        <w:t xml:space="preserve">. </w:t>
      </w:r>
      <w:r>
        <w:t xml:space="preserve">  </w:t>
      </w:r>
      <w:r w:rsidRPr="007D58C4">
        <w:rPr>
          <w:vertAlign w:val="superscript"/>
        </w:rPr>
        <w:t>g</w:t>
      </w:r>
      <w:r w:rsidRPr="007816CC">
        <w:t xml:space="preserve"> FDA primary endpoint</w:t>
      </w:r>
      <w:r w:rsidR="00F516F7">
        <w:t xml:space="preserve">. </w:t>
      </w:r>
      <w:r>
        <w:t xml:space="preserve">  </w:t>
      </w:r>
      <w:r w:rsidRPr="007D58C4">
        <w:rPr>
          <w:vertAlign w:val="superscript"/>
        </w:rPr>
        <w:t>h</w:t>
      </w:r>
      <w:r w:rsidRPr="007816CC">
        <w:t xml:space="preserve"> EMA co-primary endpoint.</w:t>
      </w:r>
    </w:p>
    <w:p w14:paraId="0731A07A" w14:textId="3A6D9C6F" w:rsidR="007105E8" w:rsidRPr="00AE4680" w:rsidRDefault="007105E8" w:rsidP="006E5360">
      <w:r w:rsidRPr="00AE4680">
        <w:rPr>
          <w:rFonts w:cs="TimesNewRomanPSMT"/>
        </w:rPr>
        <w:t>Participants who met all the eligibility criteria at baseline visit were randomised in a 2:1 ratio to 16 weeks of double-blind treatment with SC lebrikizumab + TCS or matching placebo + TCS, with stratification based on geographic region (USA vs EU vs rest of world), age (adolescent vs adult), and disease severity (IGA = 3 vs IGA = 4)</w:t>
      </w:r>
      <w:r w:rsidR="00F516F7">
        <w:rPr>
          <w:rFonts w:cs="TimesNewRomanPSMT"/>
        </w:rPr>
        <w:t xml:space="preserve">. </w:t>
      </w:r>
      <w:r w:rsidRPr="00AE4680">
        <w:rPr>
          <w:rFonts w:cs="TimesNewRomanPSMT"/>
        </w:rPr>
        <w:t>Study treatment was two 500 mg loading doses of lebrikizumab at Weeks 0 and 2, then 250 mg Q2W SC through Week 14 administered SC by PFS-NSD, or matching placebo</w:t>
      </w:r>
      <w:r w:rsidR="00F516F7">
        <w:rPr>
          <w:rFonts w:cs="TimesNewRomanPSMT"/>
        </w:rPr>
        <w:t xml:space="preserve">. </w:t>
      </w:r>
      <w:r w:rsidRPr="00AE4680">
        <w:rPr>
          <w:rFonts w:cs="TimesNewRomanPSMT"/>
        </w:rPr>
        <w:t xml:space="preserve">TCS treatment was initiated at Baseline and applied as required, and </w:t>
      </w:r>
      <w:r w:rsidRPr="00AE4680">
        <w:t>could be tapered, stopped, or resumed, as needed</w:t>
      </w:r>
      <w:r w:rsidR="00F516F7">
        <w:t xml:space="preserve">. </w:t>
      </w:r>
      <w:r w:rsidRPr="00AE4680">
        <w:rPr>
          <w:rFonts w:cs="TimesNewRomanPSMT"/>
        </w:rPr>
        <w:t xml:space="preserve"> Participants were supplied with </w:t>
      </w:r>
      <w:r w:rsidRPr="00AE4680">
        <w:t>a mid-potency TCS (triamcinolone acetonide 0.1% cream) and a low potency TCS (hydrocortisone 1% cream) for use on sensitive skin areas</w:t>
      </w:r>
      <w:r w:rsidR="00F516F7">
        <w:t xml:space="preserve">. </w:t>
      </w:r>
      <w:r w:rsidRPr="00AE4680">
        <w:t>TCI use was permitted for use on sensitive areas only, and all use of TCS and TCI was recorded daily by the participant using an electronic diary.</w:t>
      </w:r>
    </w:p>
    <w:p w14:paraId="15E616EE" w14:textId="0E512B20" w:rsidR="007105E8" w:rsidRPr="00AE4680" w:rsidRDefault="007105E8" w:rsidP="006E5360">
      <w:pPr>
        <w:rPr>
          <w:rFonts w:cs="TimesNewRomanPSMT"/>
          <w:color w:val="000000"/>
        </w:rPr>
      </w:pPr>
      <w:r w:rsidRPr="00AE4680">
        <w:rPr>
          <w:rFonts w:cs="TimesNewRomanPSMT"/>
          <w:color w:val="000000"/>
        </w:rPr>
        <w:t>A total of 312 participants enrolled in the study, and 228 participants were randomly assigned to the treatment groups</w:t>
      </w:r>
      <w:r w:rsidR="00F516F7">
        <w:rPr>
          <w:rFonts w:cs="TimesNewRomanPSMT"/>
          <w:color w:val="000000"/>
        </w:rPr>
        <w:t xml:space="preserve">. </w:t>
      </w:r>
      <w:r w:rsidRPr="00AE4680">
        <w:rPr>
          <w:rFonts w:cs="TimesNewRomanPSMT"/>
        </w:rPr>
        <w:t>Following the primary outcome database lock (Week 16), a site audit triggered by statistically implausible data at one study site showed GCP noncompliance with protocol entry criteria related to severity of AD at Baseline</w:t>
      </w:r>
      <w:r w:rsidR="00F516F7">
        <w:rPr>
          <w:rFonts w:cs="TimesNewRomanPSMT"/>
        </w:rPr>
        <w:t xml:space="preserve">. </w:t>
      </w:r>
      <w:r w:rsidRPr="00AE4680">
        <w:rPr>
          <w:rFonts w:cs="TimesNewRomanPSMT"/>
        </w:rPr>
        <w:t>D</w:t>
      </w:r>
      <w:r w:rsidRPr="00AE4680">
        <w:rPr>
          <w:rFonts w:cs="TimesNewRomanPSMT"/>
          <w:color w:val="000000"/>
        </w:rPr>
        <w:t>ata from all 17 participants at that site were excluded from efficacy analyses, creating an mITT population of 211 participants (66 in the placebo arm and 145 in the lebrikizumab arm). 134 (92.4%) in the lebrikizumab arm and 58 (87.9%) in the placebo arm completed Week 16.</w:t>
      </w:r>
    </w:p>
    <w:p w14:paraId="370A5B30" w14:textId="24A8C69E" w:rsidR="007105E8" w:rsidRPr="00AE4680" w:rsidRDefault="007105E8" w:rsidP="006E5360">
      <w:r w:rsidRPr="00AE4680">
        <w:t>The mean age of participants was 37.2 years, and 21.8% were adolescents</w:t>
      </w:r>
      <w:r w:rsidR="00F516F7">
        <w:t xml:space="preserve">. </w:t>
      </w:r>
      <w:r w:rsidRPr="00AE4680">
        <w:t>The population was approximately evenly divided between females and males. 61.6% of participants were White, 14.7% Asian, and 13.3% Black or African American</w:t>
      </w:r>
      <w:r w:rsidR="00F516F7">
        <w:t xml:space="preserve">. </w:t>
      </w:r>
      <w:r w:rsidRPr="00AE4680">
        <w:t>The mean duration since AD onset was 21.1 years</w:t>
      </w:r>
      <w:r w:rsidR="00F516F7">
        <w:t xml:space="preserve">. </w:t>
      </w:r>
      <w:r w:rsidRPr="00AE4680">
        <w:t>Baseline IGA score was 3 (moderate) in 69.2% and 4 (severe) in 30.8%</w:t>
      </w:r>
      <w:r w:rsidR="00F516F7">
        <w:t xml:space="preserve">. </w:t>
      </w:r>
      <w:r w:rsidRPr="00AE4680">
        <w:t xml:space="preserve">Mean EASI score at Baseline was 27.3. </w:t>
      </w:r>
    </w:p>
    <w:p w14:paraId="23591928" w14:textId="7E280D13" w:rsidR="007105E8" w:rsidRPr="00AE4680" w:rsidRDefault="007105E8" w:rsidP="006E5360">
      <w:r w:rsidRPr="00AE4680">
        <w:t>The primary and major secondary efficacy endpoints specified by the EMA and FDA are shown in</w:t>
      </w:r>
      <w:r w:rsidR="00B061C4">
        <w:t xml:space="preserve"> Table 21</w:t>
      </w:r>
      <w:r w:rsidR="00F516F7">
        <w:t xml:space="preserve">. </w:t>
      </w:r>
      <w:r w:rsidRPr="00AE4680">
        <w:rPr>
          <w:rFonts w:cs="TimesNewRomanPSMT"/>
        </w:rPr>
        <w:t>Multiplicity-adjusted testing schemes were used to control the overall Type I error rate at a 2-sided alpha of 0.05.</w:t>
      </w:r>
    </w:p>
    <w:p w14:paraId="2C26C968" w14:textId="781D23FF" w:rsidR="007105E8" w:rsidRDefault="007105E8" w:rsidP="00AE4680">
      <w:pPr>
        <w:pStyle w:val="TableTitle"/>
      </w:pPr>
      <w:bookmarkStart w:id="74" w:name="_Ref147140059"/>
      <w:r>
        <w:t xml:space="preserve">Table </w:t>
      </w:r>
      <w:bookmarkEnd w:id="74"/>
      <w:r w:rsidR="00B061C4">
        <w:t>21.</w:t>
      </w:r>
      <w:r>
        <w:t xml:space="preserve"> Study  KGAD – primary and major secondary efficacy endpoints.</w:t>
      </w:r>
    </w:p>
    <w:p w14:paraId="67096542" w14:textId="02140B79" w:rsidR="007105E8" w:rsidRDefault="007105E8" w:rsidP="007105E8">
      <w:pPr>
        <w:autoSpaceDE w:val="0"/>
        <w:autoSpaceDN w:val="0"/>
        <w:adjustRightInd w:val="0"/>
        <w:rPr>
          <w:rFonts w:asciiTheme="minorHAnsi" w:hAnsiTheme="minorHAnsi"/>
        </w:rPr>
      </w:pPr>
      <w:r>
        <w:rPr>
          <w:noProof/>
        </w:rPr>
        <w:drawing>
          <wp:inline distT="0" distB="0" distL="0" distR="0" wp14:anchorId="6AC9181E" wp14:editId="01BAFFD2">
            <wp:extent cx="5728427" cy="5005552"/>
            <wp:effectExtent l="0" t="0" r="5715" b="5080"/>
            <wp:docPr id="28" name="Picture 28" descr="A table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table of information&#10;&#10;Description automatically generated"/>
                    <pic:cNvPicPr/>
                  </pic:nvPicPr>
                  <pic:blipFill>
                    <a:blip r:embed="rId59"/>
                    <a:stretch>
                      <a:fillRect/>
                    </a:stretch>
                  </pic:blipFill>
                  <pic:spPr>
                    <a:xfrm>
                      <a:off x="0" y="0"/>
                      <a:ext cx="5782008" cy="5052372"/>
                    </a:xfrm>
                    <a:prstGeom prst="rect">
                      <a:avLst/>
                    </a:prstGeom>
                  </pic:spPr>
                </pic:pic>
              </a:graphicData>
            </a:graphic>
          </wp:inline>
        </w:drawing>
      </w:r>
    </w:p>
    <w:p w14:paraId="6E7E83F1" w14:textId="19060ABC" w:rsidR="007105E8" w:rsidRPr="00D2553C" w:rsidRDefault="007105E8" w:rsidP="007105E8">
      <w:r w:rsidRPr="00D2553C">
        <w:t xml:space="preserve">During the 16 weeks of the study, based on case report form (CRF) data, </w:t>
      </w:r>
      <w:r w:rsidRPr="00D2553C">
        <w:rPr>
          <w:rFonts w:cs="TimesNewRomanPS-BoldMT"/>
        </w:rPr>
        <w:t xml:space="preserve">97.0% of patients in the </w:t>
      </w:r>
      <w:r w:rsidRPr="00D2553C">
        <w:t>placebo</w:t>
      </w:r>
      <w:r w:rsidR="00D2553C">
        <w:t xml:space="preserve"> </w:t>
      </w:r>
      <w:r w:rsidRPr="00D2553C">
        <w:t>+</w:t>
      </w:r>
      <w:r w:rsidR="00D2553C">
        <w:t xml:space="preserve"> </w:t>
      </w:r>
      <w:r w:rsidRPr="00D2553C">
        <w:t xml:space="preserve">TCS arm and </w:t>
      </w:r>
      <w:r w:rsidRPr="00D2553C">
        <w:rPr>
          <w:rFonts w:cs="TimesNewRomanPS-BoldMT"/>
        </w:rPr>
        <w:t>96.6% of patients</w:t>
      </w:r>
      <w:r w:rsidRPr="00D2553C">
        <w:t xml:space="preserve"> in the lebrikizumab</w:t>
      </w:r>
      <w:r w:rsidR="00D2553C">
        <w:t xml:space="preserve"> </w:t>
      </w:r>
      <w:r w:rsidRPr="00D2553C">
        <w:t>+</w:t>
      </w:r>
      <w:r w:rsidR="00D2553C">
        <w:t xml:space="preserve"> </w:t>
      </w:r>
      <w:r w:rsidRPr="00D2553C">
        <w:t>TCS arm</w:t>
      </w:r>
      <w:r w:rsidRPr="00D2553C">
        <w:rPr>
          <w:rFonts w:cs="TimesNewRomanPS-BoldMT"/>
        </w:rPr>
        <w:t xml:space="preserve"> used mild or moderate TCS, and 4.5% and 3.4% of patients, respectively, used TCIs</w:t>
      </w:r>
      <w:r w:rsidR="00F516F7">
        <w:rPr>
          <w:rFonts w:cs="TimesNewRomanPS-BoldMT"/>
        </w:rPr>
        <w:t xml:space="preserve">. </w:t>
      </w:r>
    </w:p>
    <w:p w14:paraId="0698B522" w14:textId="1D7960DE" w:rsidR="007105E8" w:rsidRPr="00AE4680" w:rsidRDefault="007105E8" w:rsidP="007105E8">
      <w:pPr>
        <w:rPr>
          <w:rFonts w:cs="Calibri"/>
        </w:rPr>
      </w:pPr>
      <w:r w:rsidRPr="00AE4680">
        <w:t>All primary and major secondary endpoints were met (</w:t>
      </w:r>
      <w:r w:rsidR="00B061C4">
        <w:t>Table 22</w:t>
      </w:r>
      <w:r w:rsidRPr="00AE4680">
        <w:t xml:space="preserve">). </w:t>
      </w:r>
      <w:r w:rsidRPr="00AE4680">
        <w:rPr>
          <w:rFonts w:cs="Calibri"/>
        </w:rPr>
        <w:t xml:space="preserve">Response rates for IGA 0,1 and EASI-75 from baseline through Week 16 are shown below in </w:t>
      </w:r>
      <w:r w:rsidRPr="00AE4680">
        <w:rPr>
          <w:rFonts w:cs="Calibri"/>
        </w:rPr>
        <w:fldChar w:fldCharType="begin"/>
      </w:r>
      <w:r w:rsidRPr="00AE4680">
        <w:rPr>
          <w:rFonts w:cs="Calibri"/>
        </w:rPr>
        <w:instrText xml:space="preserve"> REF _Ref147148692 \h </w:instrText>
      </w:r>
      <w:r w:rsidR="00AE4680">
        <w:rPr>
          <w:rFonts w:cs="Calibri"/>
        </w:rPr>
        <w:instrText xml:space="preserve"> \* MERGEFORMAT </w:instrText>
      </w:r>
      <w:r w:rsidRPr="00AE4680">
        <w:rPr>
          <w:rFonts w:cs="Calibri"/>
        </w:rPr>
      </w:r>
      <w:r w:rsidRPr="00AE4680">
        <w:rPr>
          <w:rFonts w:cs="Calibri"/>
        </w:rPr>
        <w:fldChar w:fldCharType="separate"/>
      </w:r>
      <w:r w:rsidRPr="00AE4680">
        <w:t xml:space="preserve">Figure </w:t>
      </w:r>
      <w:r w:rsidRPr="00AE4680">
        <w:rPr>
          <w:rFonts w:cs="Calibri"/>
        </w:rPr>
        <w:fldChar w:fldCharType="end"/>
      </w:r>
      <w:r w:rsidR="00403785">
        <w:rPr>
          <w:rFonts w:cs="Calibri"/>
        </w:rPr>
        <w:t>13</w:t>
      </w:r>
      <w:r w:rsidR="00F516F7">
        <w:rPr>
          <w:rFonts w:cs="Calibri"/>
        </w:rPr>
        <w:t xml:space="preserve">. </w:t>
      </w:r>
    </w:p>
    <w:p w14:paraId="2B698124" w14:textId="3E8596E6" w:rsidR="007105E8" w:rsidRPr="00AE4680" w:rsidRDefault="007105E8" w:rsidP="007105E8">
      <w:pPr>
        <w:autoSpaceDE w:val="0"/>
        <w:autoSpaceDN w:val="0"/>
        <w:adjustRightInd w:val="0"/>
        <w:rPr>
          <w:rFonts w:cs="TimesNewRomanPSMT"/>
        </w:rPr>
      </w:pPr>
      <w:r w:rsidRPr="00AE4680">
        <w:rPr>
          <w:rFonts w:cs="TimesNewRomanPSMT"/>
        </w:rPr>
        <w:t xml:space="preserve">In terms of other patient-reported secondary efficacy endpoints, a nominally significant improvement in disease severity as assessed by POEM score from baseline to Week 16 was </w:t>
      </w:r>
      <w:r w:rsidRPr="00D2553C">
        <w:rPr>
          <w:rFonts w:cs="TimesNewRomanPSMT"/>
        </w:rPr>
        <w:t>observed for lebrikizumab</w:t>
      </w:r>
      <w:r w:rsidR="00D2553C">
        <w:rPr>
          <w:rFonts w:cs="TimesNewRomanPSMT"/>
        </w:rPr>
        <w:t xml:space="preserve"> </w:t>
      </w:r>
      <w:r w:rsidRPr="00D2553C">
        <w:rPr>
          <w:rFonts w:cs="TimesNewRomanPSMT"/>
        </w:rPr>
        <w:t>+</w:t>
      </w:r>
      <w:r w:rsidR="00D2553C">
        <w:rPr>
          <w:rFonts w:cs="TimesNewRomanPSMT"/>
        </w:rPr>
        <w:t xml:space="preserve"> </w:t>
      </w:r>
      <w:r w:rsidRPr="00D2553C">
        <w:rPr>
          <w:rFonts w:cs="TimesNewRomanPSMT"/>
        </w:rPr>
        <w:t>TCS compared to placebo</w:t>
      </w:r>
      <w:r w:rsidR="00D2553C">
        <w:rPr>
          <w:rFonts w:cs="TimesNewRomanPSMT"/>
        </w:rPr>
        <w:t xml:space="preserve"> </w:t>
      </w:r>
      <w:r w:rsidRPr="00D2553C">
        <w:rPr>
          <w:rFonts w:cs="TimesNewRomanPSMT"/>
        </w:rPr>
        <w:t>+</w:t>
      </w:r>
      <w:r w:rsidR="00D2553C">
        <w:rPr>
          <w:rFonts w:cs="TimesNewRomanPSMT"/>
        </w:rPr>
        <w:t xml:space="preserve"> </w:t>
      </w:r>
      <w:r w:rsidRPr="00D2553C">
        <w:rPr>
          <w:rFonts w:cs="TimesNewRomanPSMT"/>
        </w:rPr>
        <w:t>TCS, but no significant difference was</w:t>
      </w:r>
      <w:r w:rsidRPr="00AE4680">
        <w:rPr>
          <w:rFonts w:cs="TimesNewRomanPSMT"/>
        </w:rPr>
        <w:t xml:space="preserve"> observed in </w:t>
      </w:r>
      <w:r w:rsidRPr="00AE4680">
        <w:rPr>
          <w:rFonts w:cs="Arial-BoldMT"/>
        </w:rPr>
        <w:t>PROMIS</w:t>
      </w:r>
      <w:r w:rsidRPr="00AE4680">
        <w:rPr>
          <w:rFonts w:cs="Arial-BoldMT"/>
          <w:vertAlign w:val="superscript"/>
        </w:rPr>
        <w:t>®</w:t>
      </w:r>
      <w:r w:rsidRPr="00AE4680">
        <w:rPr>
          <w:rFonts w:cs="Arial-BoldMT"/>
        </w:rPr>
        <w:t xml:space="preserve"> scores for anxiety and depression</w:t>
      </w:r>
      <w:r w:rsidRPr="00AE4680">
        <w:rPr>
          <w:rFonts w:cs="TimesNewRomanPSMT"/>
        </w:rPr>
        <w:t>.</w:t>
      </w:r>
    </w:p>
    <w:p w14:paraId="098C06DE" w14:textId="77EA32EA" w:rsidR="007105E8" w:rsidRPr="00AE4680" w:rsidRDefault="007105E8" w:rsidP="007105E8">
      <w:pPr>
        <w:rPr>
          <w:rFonts w:cs="TimesNewRomanPSMT"/>
        </w:rPr>
      </w:pPr>
      <w:r w:rsidRPr="00AE4680">
        <w:t>Subgroup analyses at Week 16 were generally consistent with the overall population</w:t>
      </w:r>
      <w:r w:rsidR="00F840FB">
        <w:t xml:space="preserve"> (Figure 14)</w:t>
      </w:r>
      <w:r w:rsidRPr="00AE4680">
        <w:t>, though a greater treatment effect was observed in males than females for EASI-75 and EASI-90. The treatment effect in adolescents was similar to adults.</w:t>
      </w:r>
    </w:p>
    <w:p w14:paraId="257DBC1C" w14:textId="4DEF5254" w:rsidR="007105E8" w:rsidRDefault="007105E8" w:rsidP="00AE4680">
      <w:pPr>
        <w:pStyle w:val="TableTitle"/>
      </w:pPr>
      <w:bookmarkStart w:id="75" w:name="_Ref147147713"/>
      <w:r>
        <w:t xml:space="preserve">Table </w:t>
      </w:r>
      <w:bookmarkEnd w:id="75"/>
      <w:r w:rsidR="00B061C4">
        <w:t>22.</w:t>
      </w:r>
      <w:r>
        <w:t xml:space="preserve"> KGAD - Primary and Secondary Endpoints Included in Gatekeeping Testing Schemes for EU and US Submissions and Summary of Results, mITT population</w:t>
      </w:r>
    </w:p>
    <w:p w14:paraId="15FB7443" w14:textId="77777777" w:rsidR="006E5360" w:rsidRDefault="007105E8" w:rsidP="006E5360">
      <w:r>
        <w:rPr>
          <w:noProof/>
        </w:rPr>
        <w:drawing>
          <wp:inline distT="0" distB="0" distL="0" distR="0" wp14:anchorId="3E6EE2F3" wp14:editId="0A1D302D">
            <wp:extent cx="5707090" cy="4288221"/>
            <wp:effectExtent l="0" t="0" r="8255" b="0"/>
            <wp:docPr id="31" name="Picture 3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table with numbers and symbols&#10;&#10;Description automatically generated"/>
                    <pic:cNvPicPr/>
                  </pic:nvPicPr>
                  <pic:blipFill>
                    <a:blip r:embed="rId60"/>
                    <a:stretch>
                      <a:fillRect/>
                    </a:stretch>
                  </pic:blipFill>
                  <pic:spPr>
                    <a:xfrm>
                      <a:off x="0" y="0"/>
                      <a:ext cx="5727459" cy="4303526"/>
                    </a:xfrm>
                    <a:prstGeom prst="rect">
                      <a:avLst/>
                    </a:prstGeom>
                  </pic:spPr>
                </pic:pic>
              </a:graphicData>
            </a:graphic>
          </wp:inline>
        </w:drawing>
      </w:r>
    </w:p>
    <w:p w14:paraId="63A65636" w14:textId="27CD9C8C" w:rsidR="007105E8" w:rsidRPr="00DA0A34" w:rsidRDefault="007105E8" w:rsidP="006E5360">
      <w:r w:rsidRPr="00B84877">
        <w:t>a Common Risk Difference (percentage of patients), LSM Diff (percentage or absolute change from Baseline)</w:t>
      </w:r>
      <w:r w:rsidR="00F516F7">
        <w:t xml:space="preserve">. </w:t>
      </w:r>
      <w:r>
        <w:t xml:space="preserve"> </w:t>
      </w:r>
      <w:r w:rsidRPr="00B84877">
        <w:t>b Cochran-Mantel-Haenszel test adjusted by geographic region (US versus EU versus rest of world), age (adolescent versus adult), and disease severity (IGA 3 vs 4) for categorical endpoints</w:t>
      </w:r>
      <w:r w:rsidR="00F516F7">
        <w:t xml:space="preserve">. </w:t>
      </w:r>
      <w:r>
        <w:t xml:space="preserve"> </w:t>
      </w:r>
      <w:r w:rsidRPr="00B84877">
        <w:t xml:space="preserve"> c Participants who received high potency topical or systemic rescue medication, or discontinued treatment due to lack of efficacy, set to their baseline value subsequent to this time through Week 16; MCMC-MI was used to handle the remaining missing data.</w:t>
      </w:r>
    </w:p>
    <w:p w14:paraId="0D1C1335" w14:textId="5837C5AA" w:rsidR="00D2553C" w:rsidRDefault="007105E8" w:rsidP="00CF53EB">
      <w:pPr>
        <w:pStyle w:val="FigureTitle"/>
        <w:pageBreakBefore/>
      </w:pPr>
      <w:bookmarkStart w:id="76" w:name="_Ref147148692"/>
      <w:r>
        <w:t>Figure</w:t>
      </w:r>
      <w:bookmarkEnd w:id="76"/>
      <w:r w:rsidR="001B32B7">
        <w:t xml:space="preserve"> 13</w:t>
      </w:r>
      <w:r w:rsidR="00F92527">
        <w:rPr>
          <w:noProof/>
        </w:rPr>
        <w:t>.</w:t>
      </w:r>
      <w:r>
        <w:t xml:space="preserve"> KGAD – Response rates for IGA 0,1 and EASI-75, primary estimand (hybrid) with MCMC-MI. </w:t>
      </w:r>
    </w:p>
    <w:p w14:paraId="7B38C004" w14:textId="3D053DAE" w:rsidR="00AE4680" w:rsidRPr="00D2553C" w:rsidRDefault="00AE4680" w:rsidP="00CF53EB">
      <w:r w:rsidRPr="00AE4680">
        <w:t>IGO 0,1 with ≥2-point improvement</w:t>
      </w:r>
    </w:p>
    <w:p w14:paraId="3D4CD34F" w14:textId="77777777" w:rsidR="00AE4680" w:rsidRDefault="007105E8" w:rsidP="007105E8">
      <w:r>
        <w:rPr>
          <w:noProof/>
        </w:rPr>
        <w:drawing>
          <wp:inline distT="0" distB="0" distL="0" distR="0" wp14:anchorId="4D2C08BB" wp14:editId="3D418EEA">
            <wp:extent cx="4063520" cy="3467819"/>
            <wp:effectExtent l="0" t="0" r="0" b="0"/>
            <wp:docPr id="1150558530" name="Picture 1150558530" descr="A graph with a line and a purpl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58530" name="Picture 1150558530" descr="A graph with a line and a purple line&#10;&#10;Description automatically generated"/>
                    <pic:cNvPicPr/>
                  </pic:nvPicPr>
                  <pic:blipFill>
                    <a:blip r:embed="rId61"/>
                    <a:stretch>
                      <a:fillRect/>
                    </a:stretch>
                  </pic:blipFill>
                  <pic:spPr>
                    <a:xfrm>
                      <a:off x="0" y="0"/>
                      <a:ext cx="4089610" cy="3490084"/>
                    </a:xfrm>
                    <a:prstGeom prst="rect">
                      <a:avLst/>
                    </a:prstGeom>
                  </pic:spPr>
                </pic:pic>
              </a:graphicData>
            </a:graphic>
          </wp:inline>
        </w:drawing>
      </w:r>
      <w:r>
        <w:t xml:space="preserve">   </w:t>
      </w:r>
    </w:p>
    <w:p w14:paraId="1C80C6DF" w14:textId="314B82FD" w:rsidR="007105E8" w:rsidRDefault="00AE4680" w:rsidP="00CF53EB">
      <w:pPr>
        <w:pStyle w:val="FigureTitle"/>
        <w:rPr>
          <w:rFonts w:asciiTheme="minorHAnsi" w:hAnsiTheme="minorHAnsi" w:cs="Calibri"/>
          <w:sz w:val="16"/>
          <w:szCs w:val="16"/>
        </w:rPr>
      </w:pPr>
      <w:r w:rsidRPr="00AE4680">
        <w:t>EASI-75 response</w:t>
      </w:r>
    </w:p>
    <w:p w14:paraId="0BAF12D9" w14:textId="77777777" w:rsidR="00CF53EB" w:rsidRDefault="00AE4680" w:rsidP="00CF53EB">
      <w:r>
        <w:rPr>
          <w:noProof/>
        </w:rPr>
        <w:drawing>
          <wp:inline distT="0" distB="0" distL="0" distR="0" wp14:anchorId="768BDF14" wp14:editId="7822B8B7">
            <wp:extent cx="4175003" cy="3502324"/>
            <wp:effectExtent l="0" t="0" r="0" b="3175"/>
            <wp:docPr id="1150558528" name="Picture 115055852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58528" name="Picture 1150558528" descr="A graph of a number of people&#10;&#10;Description automatically generated with medium confidence"/>
                    <pic:cNvPicPr/>
                  </pic:nvPicPr>
                  <pic:blipFill>
                    <a:blip r:embed="rId62"/>
                    <a:stretch>
                      <a:fillRect/>
                    </a:stretch>
                  </pic:blipFill>
                  <pic:spPr>
                    <a:xfrm>
                      <a:off x="0" y="0"/>
                      <a:ext cx="4208995" cy="3530839"/>
                    </a:xfrm>
                    <a:prstGeom prst="rect">
                      <a:avLst/>
                    </a:prstGeom>
                  </pic:spPr>
                </pic:pic>
              </a:graphicData>
            </a:graphic>
          </wp:inline>
        </w:drawing>
      </w:r>
    </w:p>
    <w:p w14:paraId="45A6A020" w14:textId="449B0F84" w:rsidR="007105E8" w:rsidRDefault="007105E8" w:rsidP="00CF53EB">
      <w:pPr>
        <w:pStyle w:val="FigureTitle"/>
      </w:pPr>
      <w:r>
        <w:t>Figure</w:t>
      </w:r>
      <w:r w:rsidR="00F840FB">
        <w:t xml:space="preserve"> 14</w:t>
      </w:r>
      <w:r w:rsidR="00F92527">
        <w:rPr>
          <w:noProof/>
        </w:rPr>
        <w:t>.</w:t>
      </w:r>
      <w:r>
        <w:t xml:space="preserve"> KGAD - Subgroup analyses at Week 16</w:t>
      </w:r>
    </w:p>
    <w:p w14:paraId="2459BD26" w14:textId="77777777" w:rsidR="007105E8" w:rsidRDefault="007105E8" w:rsidP="007105E8">
      <w:r>
        <w:rPr>
          <w:noProof/>
        </w:rPr>
        <w:drawing>
          <wp:inline distT="0" distB="0" distL="0" distR="0" wp14:anchorId="7F9415C4" wp14:editId="067B7060">
            <wp:extent cx="8526414" cy="5540733"/>
            <wp:effectExtent l="6985" t="0" r="0" b="0"/>
            <wp:docPr id="216856644" name="Picture 216856644" descr="A graph of a graph with purpl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56644" name="Picture 216856644" descr="A graph of a graph with purple lines&#10;&#10;Description automatically generated with medium confidence"/>
                    <pic:cNvPicPr/>
                  </pic:nvPicPr>
                  <pic:blipFill>
                    <a:blip r:embed="rId63">
                      <a:extLst>
                        <a:ext uri="{BEBA8EAE-BF5A-486C-A8C5-ECC9F3942E4B}">
                          <a14:imgProps xmlns:a14="http://schemas.microsoft.com/office/drawing/2010/main">
                            <a14:imgLayer r:embed="rId64">
                              <a14:imgEffect>
                                <a14:sharpenSoften amount="25000"/>
                              </a14:imgEffect>
                              <a14:imgEffect>
                                <a14:brightnessContrast contrast="40000"/>
                              </a14:imgEffect>
                            </a14:imgLayer>
                          </a14:imgProps>
                        </a:ext>
                      </a:extLst>
                    </a:blip>
                    <a:stretch>
                      <a:fillRect/>
                    </a:stretch>
                  </pic:blipFill>
                  <pic:spPr>
                    <a:xfrm rot="16200000">
                      <a:off x="0" y="0"/>
                      <a:ext cx="8548084" cy="5554815"/>
                    </a:xfrm>
                    <a:prstGeom prst="rect">
                      <a:avLst/>
                    </a:prstGeom>
                  </pic:spPr>
                </pic:pic>
              </a:graphicData>
            </a:graphic>
          </wp:inline>
        </w:drawing>
      </w:r>
    </w:p>
    <w:p w14:paraId="21BA2642" w14:textId="77777777" w:rsidR="007105E8" w:rsidRPr="00476358" w:rsidRDefault="007105E8" w:rsidP="007105E8">
      <w:r>
        <w:rPr>
          <w:noProof/>
        </w:rPr>
        <w:drawing>
          <wp:inline distT="0" distB="0" distL="0" distR="0" wp14:anchorId="69F96EA3" wp14:editId="6A0CF9E6">
            <wp:extent cx="8859545" cy="5645933"/>
            <wp:effectExtent l="6667" t="0" r="5398" b="5397"/>
            <wp:docPr id="216856645" name="Picture 216856645" descr="A graph of different differen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56645" name="Picture 216856645" descr="A graph of different differences&#10;&#10;Description automatically generated with medium confidence"/>
                    <pic:cNvPicPr/>
                  </pic:nvPicPr>
                  <pic:blipFill>
                    <a:blip r:embed="rId65">
                      <a:extLst>
                        <a:ext uri="{BEBA8EAE-BF5A-486C-A8C5-ECC9F3942E4B}">
                          <a14:imgProps xmlns:a14="http://schemas.microsoft.com/office/drawing/2010/main">
                            <a14:imgLayer r:embed="rId66">
                              <a14:imgEffect>
                                <a14:sharpenSoften amount="25000"/>
                              </a14:imgEffect>
                              <a14:imgEffect>
                                <a14:brightnessContrast contrast="20000"/>
                              </a14:imgEffect>
                            </a14:imgLayer>
                          </a14:imgProps>
                        </a:ext>
                      </a:extLst>
                    </a:blip>
                    <a:stretch>
                      <a:fillRect/>
                    </a:stretch>
                  </pic:blipFill>
                  <pic:spPr>
                    <a:xfrm rot="16200000">
                      <a:off x="0" y="0"/>
                      <a:ext cx="8872860" cy="5654418"/>
                    </a:xfrm>
                    <a:prstGeom prst="rect">
                      <a:avLst/>
                    </a:prstGeom>
                  </pic:spPr>
                </pic:pic>
              </a:graphicData>
            </a:graphic>
          </wp:inline>
        </w:drawing>
      </w:r>
    </w:p>
    <w:p w14:paraId="7D5A8871" w14:textId="77777777" w:rsidR="007105E8" w:rsidRPr="00AC7EC4" w:rsidRDefault="007105E8" w:rsidP="00E4590E">
      <w:pPr>
        <w:pStyle w:val="Heading5"/>
      </w:pPr>
      <w:r w:rsidRPr="00AC7EC4">
        <w:t>Rescue therapy</w:t>
      </w:r>
    </w:p>
    <w:p w14:paraId="1531486C" w14:textId="72C45858" w:rsidR="007105E8" w:rsidRPr="00820A97" w:rsidRDefault="007105E8" w:rsidP="007105E8">
      <w:r w:rsidRPr="00820A97">
        <w:rPr>
          <w:rFonts w:cs="TimesNewRomanPSMT"/>
        </w:rPr>
        <w:t>Rescue therapy was used by more participants in the placebo</w:t>
      </w:r>
      <w:r w:rsidR="00820A97">
        <w:rPr>
          <w:rFonts w:cs="TimesNewRomanPSMT"/>
        </w:rPr>
        <w:t xml:space="preserve"> </w:t>
      </w:r>
      <w:r w:rsidRPr="00820A97">
        <w:rPr>
          <w:rFonts w:cs="TimesNewRomanPSMT"/>
        </w:rPr>
        <w:t>+</w:t>
      </w:r>
      <w:r w:rsidR="00820A97">
        <w:rPr>
          <w:rFonts w:cs="TimesNewRomanPSMT"/>
        </w:rPr>
        <w:t xml:space="preserve"> </w:t>
      </w:r>
      <w:r w:rsidRPr="00820A97">
        <w:rPr>
          <w:rFonts w:cs="TimesNewRomanPSMT"/>
        </w:rPr>
        <w:t>TCS arm (7 participants, 10.6%) than in the lebrikizumab</w:t>
      </w:r>
      <w:r w:rsidR="00820A97">
        <w:rPr>
          <w:rFonts w:cs="TimesNewRomanPSMT"/>
        </w:rPr>
        <w:t xml:space="preserve"> </w:t>
      </w:r>
      <w:r w:rsidRPr="00820A97">
        <w:rPr>
          <w:rFonts w:cs="TimesNewRomanPSMT"/>
        </w:rPr>
        <w:t>+</w:t>
      </w:r>
      <w:r w:rsidR="00820A97">
        <w:rPr>
          <w:rFonts w:cs="TimesNewRomanPSMT"/>
        </w:rPr>
        <w:t xml:space="preserve"> </w:t>
      </w:r>
      <w:r w:rsidRPr="00820A97">
        <w:rPr>
          <w:rFonts w:cs="TimesNewRomanPSMT"/>
        </w:rPr>
        <w:t>TCS arm (6 participants, 4.1%)</w:t>
      </w:r>
      <w:r w:rsidR="00F516F7">
        <w:rPr>
          <w:rFonts w:cs="TimesNewRomanPSMT"/>
        </w:rPr>
        <w:t xml:space="preserve">. </w:t>
      </w:r>
      <w:r w:rsidRPr="00820A97">
        <w:rPr>
          <w:rFonts w:cs="TimesNewRomanPSMT"/>
        </w:rPr>
        <w:t>Topical rescue therapy, including high potency TCS, was used by 3 participants (4.5%) in the placebo</w:t>
      </w:r>
      <w:r w:rsidR="00820A97">
        <w:rPr>
          <w:rFonts w:cs="TimesNewRomanPSMT"/>
        </w:rPr>
        <w:t xml:space="preserve"> </w:t>
      </w:r>
      <w:r w:rsidRPr="00820A97">
        <w:rPr>
          <w:rFonts w:cs="TimesNewRomanPSMT"/>
        </w:rPr>
        <w:t>+</w:t>
      </w:r>
      <w:r w:rsidR="00820A97">
        <w:rPr>
          <w:rFonts w:cs="TimesNewRomanPSMT"/>
        </w:rPr>
        <w:t xml:space="preserve"> </w:t>
      </w:r>
      <w:r w:rsidRPr="00820A97">
        <w:rPr>
          <w:rFonts w:cs="TimesNewRomanPSMT"/>
        </w:rPr>
        <w:t>TCS arm and 2 participants (1.4%) in the lebrikizumab</w:t>
      </w:r>
      <w:r w:rsidR="00820A97">
        <w:rPr>
          <w:rFonts w:cs="TimesNewRomanPSMT"/>
        </w:rPr>
        <w:t xml:space="preserve"> </w:t>
      </w:r>
      <w:r w:rsidRPr="00820A97">
        <w:rPr>
          <w:rFonts w:cs="TimesNewRomanPSMT"/>
        </w:rPr>
        <w:t>+</w:t>
      </w:r>
      <w:r w:rsidR="00820A97">
        <w:rPr>
          <w:rFonts w:cs="TimesNewRomanPSMT"/>
        </w:rPr>
        <w:t xml:space="preserve"> </w:t>
      </w:r>
      <w:r w:rsidRPr="00820A97">
        <w:rPr>
          <w:rFonts w:cs="TimesNewRomanPSMT"/>
        </w:rPr>
        <w:t>TCS arm. Systemic rescue therapy was used by 5 participants (7.6%) in the placebo</w:t>
      </w:r>
      <w:r w:rsidR="00820A97">
        <w:rPr>
          <w:rFonts w:cs="TimesNewRomanPSMT"/>
        </w:rPr>
        <w:t xml:space="preserve"> </w:t>
      </w:r>
      <w:r w:rsidRPr="00820A97">
        <w:rPr>
          <w:rFonts w:cs="TimesNewRomanPSMT"/>
        </w:rPr>
        <w:t>+</w:t>
      </w:r>
      <w:r w:rsidR="00820A97">
        <w:rPr>
          <w:rFonts w:cs="TimesNewRomanPSMT"/>
        </w:rPr>
        <w:t xml:space="preserve"> </w:t>
      </w:r>
      <w:r w:rsidRPr="00820A97">
        <w:rPr>
          <w:rFonts w:cs="TimesNewRomanPSMT"/>
        </w:rPr>
        <w:t>TCS arm and 5 participants (3.4%) in the lebrikizumab</w:t>
      </w:r>
      <w:r w:rsidR="00820A97">
        <w:rPr>
          <w:rFonts w:cs="TimesNewRomanPSMT"/>
        </w:rPr>
        <w:t xml:space="preserve"> </w:t>
      </w:r>
      <w:r w:rsidRPr="00820A97">
        <w:rPr>
          <w:rFonts w:cs="TimesNewRomanPSMT"/>
        </w:rPr>
        <w:t>+</w:t>
      </w:r>
      <w:r w:rsidR="00820A97">
        <w:rPr>
          <w:rFonts w:cs="TimesNewRomanPSMT"/>
        </w:rPr>
        <w:t xml:space="preserve"> </w:t>
      </w:r>
      <w:r w:rsidRPr="00820A97">
        <w:rPr>
          <w:rFonts w:cs="TimesNewRomanPSMT"/>
        </w:rPr>
        <w:t>TCS arm.</w:t>
      </w:r>
    </w:p>
    <w:p w14:paraId="1EB403F8" w14:textId="77777777" w:rsidR="007105E8" w:rsidRDefault="007105E8" w:rsidP="007105E8">
      <w:pPr>
        <w:pStyle w:val="Heading5"/>
      </w:pPr>
      <w:r>
        <w:t>Supportive Study: KGAA (ADjoin)</w:t>
      </w:r>
    </w:p>
    <w:p w14:paraId="7B09056D" w14:textId="6A101B38" w:rsidR="007105E8" w:rsidRPr="00AC7EC4" w:rsidRDefault="007105E8" w:rsidP="00CF53EB">
      <w:r w:rsidRPr="00AC7EC4">
        <w:t>KGAA</w:t>
      </w:r>
      <w:r w:rsidRPr="00AC7EC4">
        <w:rPr>
          <w:i/>
          <w:iCs/>
        </w:rPr>
        <w:t xml:space="preserve"> </w:t>
      </w:r>
      <w:r w:rsidRPr="00AC7EC4">
        <w:t xml:space="preserve">is an ongoing, long-term, Phase 3 safety study of 100 weeks duration for adult and adolescent patients with moderate-to-severe AD who complete Studies </w:t>
      </w:r>
      <w:r w:rsidRPr="00AC7EC4">
        <w:rPr>
          <w:rFonts w:eastAsia="SymbolMT"/>
        </w:rPr>
        <w:t>KGAB, KGAC, KGAD, KGAE, or KGAK (vaccine)</w:t>
      </w:r>
      <w:r w:rsidR="00F516F7">
        <w:rPr>
          <w:rFonts w:eastAsia="SymbolMT"/>
        </w:rPr>
        <w:t xml:space="preserve">. </w:t>
      </w:r>
      <w:r w:rsidRPr="00AC7EC4">
        <w:t>An additional cohort of 88 participants was enrolled directly into KGAA without first completing a parent study</w:t>
      </w:r>
      <w:r w:rsidR="00F516F7">
        <w:t xml:space="preserve">. </w:t>
      </w:r>
      <w:r w:rsidRPr="00AC7EC4">
        <w:rPr>
          <w:color w:val="000000"/>
        </w:rPr>
        <w:t>KGAA is being conducted at 199 centres (999 enrolled participants) in Australia, Bulgaria, Canada, Estonia, France, Germany, Latvia, Lithuania, Mexico, Poland, Singapore, South Korea, Spain, Taiwan, Ukraine, and USA</w:t>
      </w:r>
      <w:r w:rsidR="00F516F7">
        <w:rPr>
          <w:color w:val="0070C1"/>
        </w:rPr>
        <w:t xml:space="preserve">. </w:t>
      </w:r>
      <w:r w:rsidRPr="00AC7EC4">
        <w:t xml:space="preserve">The date of first participant visit was 15 June 2020. </w:t>
      </w:r>
    </w:p>
    <w:p w14:paraId="2422199D" w14:textId="65DA7CF7" w:rsidR="007105E8" w:rsidRPr="00AC7EC4" w:rsidRDefault="007105E8" w:rsidP="00CF53EB">
      <w:r w:rsidRPr="00AC7EC4">
        <w:t>The primary objective of this ongoing study is to describe the long-term safety of lebrikizumab in participants with moderate-to-severe AD</w:t>
      </w:r>
      <w:r w:rsidR="00F516F7">
        <w:t xml:space="preserve">. </w:t>
      </w:r>
      <w:r w:rsidRPr="00AC7EC4">
        <w:t>The secondary objective is to describe the long-term efficacy of lebrikizumab in participants with moderate-to-severe AD</w:t>
      </w:r>
      <w:r w:rsidR="00F516F7">
        <w:t xml:space="preserve">. </w:t>
      </w:r>
      <w:r w:rsidRPr="00AC7EC4">
        <w:t xml:space="preserve">The endpoints used to assess this objective are: (1) proportion of participants with a response of IGA 0,1 at each visit; and (2) proportion of participants achieving response of EASI-75 from baseline of parent study at each visit. </w:t>
      </w:r>
    </w:p>
    <w:p w14:paraId="4B3D6EFB" w14:textId="6638941F" w:rsidR="007105E8" w:rsidRPr="00AC7EC4" w:rsidRDefault="007105E8" w:rsidP="00CF53EB">
      <w:r w:rsidRPr="00AC7EC4">
        <w:t>The interim KGAA study report included limited efficacy data at Week 40 for a subset of participants who completed Week 16 of KGAD</w:t>
      </w:r>
      <w:r w:rsidR="00F516F7">
        <w:rPr>
          <w:i/>
          <w:iCs/>
        </w:rPr>
        <w:t xml:space="preserve">. </w:t>
      </w:r>
      <w:r w:rsidRPr="00AC7EC4">
        <w:t xml:space="preserve">This subset included lebrikizumab responders who received blinded </w:t>
      </w:r>
      <w:r w:rsidRPr="00AC7EC4">
        <w:rPr>
          <w:i/>
          <w:iCs/>
        </w:rPr>
        <w:t>lebrikizumab 250 mg Q2W + TCS</w:t>
      </w:r>
      <w:r w:rsidRPr="00AC7EC4">
        <w:t xml:space="preserve"> in KGAD and achieved EASI-75 or IGA 0,1 with ≥2-point reduction from baseline at Week 16, without receiving rescue therapy</w:t>
      </w:r>
      <w:r w:rsidR="00F516F7">
        <w:t xml:space="preserve">. </w:t>
      </w:r>
      <w:r w:rsidRPr="00AC7EC4">
        <w:t>In KGAA, lebrikizumab responders from KGAD were randomised 1:2 to receive either lebrikizumab 250 mg Q4W or 250 mg Q2W, with placebo injections used to maintain the blind for patients randomised to 250 mg Q4W until unblinding of the parent study, KGAD</w:t>
      </w:r>
      <w:r w:rsidR="00F516F7">
        <w:t xml:space="preserve">. </w:t>
      </w:r>
      <w:r w:rsidRPr="00AC7EC4">
        <w:t>Participants were allowed to taper, stop, and resume TCS as needed.</w:t>
      </w:r>
    </w:p>
    <w:p w14:paraId="0ED76FF3" w14:textId="13CFD106" w:rsidR="007105E8" w:rsidRPr="00AC7EC4" w:rsidRDefault="007105E8" w:rsidP="00CF53EB">
      <w:r w:rsidRPr="00AC7EC4">
        <w:t>The KGAA interim efficacy findings (</w:t>
      </w:r>
      <w:r w:rsidR="009551A0">
        <w:t>Table 23</w:t>
      </w:r>
      <w:r w:rsidRPr="00AC7EC4">
        <w:t>) show similar outcomes for IGA 0,1 response and EASI-75 response at Week 40 in the 250 mg Q4W and 250 mg Q2W arms.</w:t>
      </w:r>
    </w:p>
    <w:p w14:paraId="79EE6BCE" w14:textId="6217FC89" w:rsidR="007105E8" w:rsidRDefault="007105E8" w:rsidP="00AC7EC4">
      <w:pPr>
        <w:pStyle w:val="TableTitle"/>
        <w:rPr>
          <w:rFonts w:asciiTheme="minorHAnsi" w:eastAsiaTheme="minorHAnsi" w:hAnsiTheme="minorHAnsi" w:cs="TimesNewRomanPSMT"/>
        </w:rPr>
      </w:pPr>
      <w:bookmarkStart w:id="77" w:name="_Ref147153454"/>
      <w:r>
        <w:t xml:space="preserve">Table </w:t>
      </w:r>
      <w:r>
        <w:fldChar w:fldCharType="begin"/>
      </w:r>
      <w:r>
        <w:instrText xml:space="preserve"> SEQ Table \* ARABIC </w:instrText>
      </w:r>
      <w:r>
        <w:fldChar w:fldCharType="separate"/>
      </w:r>
      <w:r>
        <w:rPr>
          <w:noProof/>
        </w:rPr>
        <w:t>2</w:t>
      </w:r>
      <w:r>
        <w:rPr>
          <w:noProof/>
        </w:rPr>
        <w:fldChar w:fldCharType="end"/>
      </w:r>
      <w:bookmarkEnd w:id="77"/>
      <w:r w:rsidR="009551A0">
        <w:rPr>
          <w:noProof/>
        </w:rPr>
        <w:t>3</w:t>
      </w:r>
      <w:r w:rsidR="00D2553C">
        <w:rPr>
          <w:noProof/>
        </w:rPr>
        <w:t>.</w:t>
      </w:r>
      <w:r>
        <w:t xml:space="preserve"> KGAA – Summary of the two secondary efficacy endpoints for lebrikizumab responders from KGAD, mITT population.</w:t>
      </w:r>
    </w:p>
    <w:p w14:paraId="4AAAB652" w14:textId="2F771E84" w:rsidR="007105E8" w:rsidRDefault="007105E8" w:rsidP="007105E8">
      <w:pPr>
        <w:autoSpaceDE w:val="0"/>
        <w:autoSpaceDN w:val="0"/>
        <w:adjustRightInd w:val="0"/>
        <w:rPr>
          <w:rFonts w:asciiTheme="minorHAnsi" w:hAnsiTheme="minorHAnsi" w:cs="TimesNewRomanPSMT"/>
          <w:color w:val="000000"/>
        </w:rPr>
      </w:pPr>
      <w:r>
        <w:rPr>
          <w:noProof/>
        </w:rPr>
        <w:drawing>
          <wp:inline distT="0" distB="0" distL="0" distR="0" wp14:anchorId="704A7010" wp14:editId="15F0D0CB">
            <wp:extent cx="5676900" cy="1190625"/>
            <wp:effectExtent l="0" t="0" r="0" b="9525"/>
            <wp:docPr id="1150558532" name="Picture 1150558532"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58532" name="Picture 1150558532" descr="A table with numbers and letters&#10;&#10;Description automatically generated"/>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Lst>
                    </a:blip>
                    <a:stretch>
                      <a:fillRect/>
                    </a:stretch>
                  </pic:blipFill>
                  <pic:spPr>
                    <a:xfrm>
                      <a:off x="0" y="0"/>
                      <a:ext cx="5676900" cy="1190625"/>
                    </a:xfrm>
                    <a:prstGeom prst="rect">
                      <a:avLst/>
                    </a:prstGeom>
                  </pic:spPr>
                </pic:pic>
              </a:graphicData>
            </a:graphic>
          </wp:inline>
        </w:drawing>
      </w:r>
    </w:p>
    <w:p w14:paraId="122144A1" w14:textId="661C8278" w:rsidR="007105E8" w:rsidRDefault="007105E8" w:rsidP="007105E8">
      <w:pPr>
        <w:pStyle w:val="Heading5"/>
      </w:pPr>
      <w:r>
        <w:t xml:space="preserve">Supportive </w:t>
      </w:r>
      <w:r w:rsidR="00CF53EB">
        <w:t>study in adolescents</w:t>
      </w:r>
      <w:r>
        <w:t>: KGAE (ADore)</w:t>
      </w:r>
    </w:p>
    <w:p w14:paraId="215289FD" w14:textId="012BFDA0" w:rsidR="007105E8" w:rsidRDefault="007105E8" w:rsidP="007105E8">
      <w:r>
        <w:t xml:space="preserve">KGAE was a 52-week, open-label, single-arm study in </w:t>
      </w:r>
      <w:r w:rsidRPr="003B307A">
        <w:t xml:space="preserve">adolescent </w:t>
      </w:r>
      <w:r w:rsidRPr="003B307A">
        <w:rPr>
          <w:rFonts w:cs="TimesNewRomanPSMT"/>
        </w:rPr>
        <w:t>participants</w:t>
      </w:r>
      <w:r>
        <w:rPr>
          <w:rFonts w:cs="TimesNewRomanPSMT"/>
          <w:u w:val="single"/>
        </w:rPr>
        <w:t xml:space="preserve"> </w:t>
      </w:r>
      <w:r>
        <w:rPr>
          <w:rFonts w:cs="TimesNewRomanPSMT"/>
        </w:rPr>
        <w:t>aged 12 to &lt; 18 years and weighing ≥ 40 kg with t</w:t>
      </w:r>
      <w:r>
        <w:t xml:space="preserve">he </w:t>
      </w:r>
      <w:r w:rsidRPr="00113E44">
        <w:t>objective</w:t>
      </w:r>
      <w:r>
        <w:t xml:space="preserve"> to evaluate the </w:t>
      </w:r>
      <w:r>
        <w:rPr>
          <w:rFonts w:cs="TimesNewRomanPSMT"/>
        </w:rPr>
        <w:t xml:space="preserve">safety and efficacy of lebrikizumab in adolescent patients </w:t>
      </w:r>
      <w:r>
        <w:t>with moderate-to-severe AD</w:t>
      </w:r>
      <w:r w:rsidR="00F516F7">
        <w:t xml:space="preserve">. </w:t>
      </w:r>
      <w:r>
        <w:t>The study was conducted at 55 centres (245 enrolled patients) in Australia, Canada, Poland, and USA between February 2020 and June 2022.</w:t>
      </w:r>
    </w:p>
    <w:p w14:paraId="76847CE8" w14:textId="584619D3" w:rsidR="007105E8" w:rsidRPr="00F766C4" w:rsidRDefault="007105E8" w:rsidP="007105E8">
      <w:r w:rsidRPr="00F766C4">
        <w:t>The primary endpoint was a safety endpoint: the proportion of patients discontinued from study treatment due to AEs through the last treatment visit</w:t>
      </w:r>
      <w:r w:rsidR="00F516F7">
        <w:t xml:space="preserve">. </w:t>
      </w:r>
      <w:r w:rsidRPr="00F766C4">
        <w:t xml:space="preserve">The secondary efficacy endpoints were: </w:t>
      </w:r>
      <w:r w:rsidRPr="00F766C4">
        <w:rPr>
          <w:rFonts w:cs="TimesNewRomanPSMT"/>
        </w:rPr>
        <w:t>percentage of patients with an IGA score of 0 or 1 and a reduction of ≥ 2</w:t>
      </w:r>
      <w:r w:rsidRPr="00F766C4">
        <w:t>-points from baseline, percentage of patients achieving response of EASI-</w:t>
      </w:r>
      <w:r w:rsidRPr="00F766C4">
        <w:rPr>
          <w:rFonts w:cs="TimesNewRomanPSMT"/>
        </w:rPr>
        <w:t xml:space="preserve">75, </w:t>
      </w:r>
      <w:r w:rsidRPr="00F766C4">
        <w:t>percentage change from baseline in EASI score and percentage of patients achieving EASI-50 and EASI-</w:t>
      </w:r>
      <w:r w:rsidRPr="00F766C4">
        <w:rPr>
          <w:rFonts w:cs="TimesNewRomanPSMT"/>
        </w:rPr>
        <w:t xml:space="preserve">90, </w:t>
      </w:r>
      <w:r w:rsidRPr="00F766C4">
        <w:t>change from baseline in BSA, change from baseline in PROMIS Anxiety and Depression measures, and change from baseline and improvement in DLQI/CDLQI</w:t>
      </w:r>
      <w:r w:rsidR="00F516F7">
        <w:t xml:space="preserve">. </w:t>
      </w:r>
      <w:r w:rsidRPr="00F766C4">
        <w:rPr>
          <w:rFonts w:cs="TimesNewRomanPSMT"/>
        </w:rPr>
        <w:t>Efficacy data were summarised using descriptive statistics</w:t>
      </w:r>
      <w:r w:rsidR="00F516F7">
        <w:rPr>
          <w:rFonts w:cs="TimesNewRomanPSMT"/>
        </w:rPr>
        <w:t xml:space="preserve">. </w:t>
      </w:r>
      <w:r w:rsidRPr="00F766C4">
        <w:rPr>
          <w:rFonts w:cs="TimesNewRomanPSMT"/>
        </w:rPr>
        <w:t>No inferential testing was performed and no adjustments were made for multiplicity.</w:t>
      </w:r>
    </w:p>
    <w:p w14:paraId="53B8D3DB" w14:textId="0187ACD7" w:rsidR="007105E8" w:rsidRPr="00F766C4" w:rsidRDefault="007105E8" w:rsidP="007105E8">
      <w:pPr>
        <w:rPr>
          <w:rFonts w:eastAsia="SymbolMT"/>
        </w:rPr>
      </w:pPr>
      <w:r w:rsidRPr="00F766C4">
        <w:rPr>
          <w:rFonts w:eastAsia="SymbolMT"/>
        </w:rPr>
        <w:t>All participants were given SC loading doses of lebrikizumab 500 mg at the baseline and Week 2 visits</w:t>
      </w:r>
      <w:r w:rsidR="00F516F7">
        <w:rPr>
          <w:rFonts w:eastAsia="SymbolMT"/>
        </w:rPr>
        <w:t xml:space="preserve">. </w:t>
      </w:r>
      <w:r w:rsidRPr="00F766C4">
        <w:rPr>
          <w:rFonts w:eastAsia="SymbolMT"/>
        </w:rPr>
        <w:t>From Week 4 onwards, all participants were treated with lebrikizumab 250 mg Q2W SC through Week 52</w:t>
      </w:r>
      <w:r w:rsidR="00F516F7">
        <w:rPr>
          <w:rFonts w:eastAsia="SymbolMT"/>
        </w:rPr>
        <w:t xml:space="preserve">. </w:t>
      </w:r>
      <w:r w:rsidRPr="00F766C4">
        <w:rPr>
          <w:rFonts w:eastAsia="SymbolMT"/>
        </w:rPr>
        <w:t>Findings for IGA 0,1 and EASI-75 are presented in</w:t>
      </w:r>
      <w:r w:rsidR="00F766C4">
        <w:rPr>
          <w:rFonts w:eastAsia="SymbolMT"/>
        </w:rPr>
        <w:t xml:space="preserve"> Figure 15</w:t>
      </w:r>
      <w:r w:rsidRPr="00F766C4">
        <w:rPr>
          <w:rFonts w:eastAsia="SymbolMT"/>
        </w:rPr>
        <w:t>.</w:t>
      </w:r>
    </w:p>
    <w:p w14:paraId="1648474D" w14:textId="07E6D922" w:rsidR="007105E8" w:rsidRDefault="007105E8" w:rsidP="00AC7EC4">
      <w:pPr>
        <w:pStyle w:val="TableTitle"/>
      </w:pPr>
      <w:bookmarkStart w:id="78" w:name="_Ref147154275"/>
      <w:r>
        <w:t>Figure</w:t>
      </w:r>
      <w:bookmarkEnd w:id="78"/>
      <w:r w:rsidR="00DF71BE">
        <w:t xml:space="preserve"> 15</w:t>
      </w:r>
      <w:r w:rsidR="00F92527">
        <w:rPr>
          <w:noProof/>
        </w:rPr>
        <w:t>.</w:t>
      </w:r>
      <w:r>
        <w:t xml:space="preserve"> KGAE - Percentage of participants with IGA score of 0 or 1 and a reduction ≥ 2 points from baseline by visit (</w:t>
      </w:r>
      <w:r w:rsidR="00AC7EC4">
        <w:t>upper</w:t>
      </w:r>
      <w:r>
        <w:t xml:space="preserve"> panel), and percentage of  participants achieving EASI 75 by visit (</w:t>
      </w:r>
      <w:r w:rsidR="00AC7EC4">
        <w:t>lower</w:t>
      </w:r>
      <w:r>
        <w:t xml:space="preserve"> panel).</w:t>
      </w:r>
    </w:p>
    <w:p w14:paraId="6DE40347" w14:textId="64BB7E3D" w:rsidR="007105E8" w:rsidRPr="00CC15BB" w:rsidRDefault="007105E8" w:rsidP="00CF53EB">
      <w:r w:rsidRPr="00CC15BB">
        <w:t>IGA 0,1 with ≥2-point improvement from baseline</w:t>
      </w:r>
      <w:r w:rsidR="00DF71BE">
        <w:t>:</w:t>
      </w:r>
      <w:r w:rsidRPr="00CC15BB">
        <w:t xml:space="preserve"> </w:t>
      </w:r>
    </w:p>
    <w:p w14:paraId="1B638189" w14:textId="77777777" w:rsidR="00AC7EC4" w:rsidRDefault="007105E8" w:rsidP="007105E8">
      <w:pPr>
        <w:tabs>
          <w:tab w:val="left" w:pos="1950"/>
        </w:tabs>
      </w:pPr>
      <w:r>
        <w:rPr>
          <w:noProof/>
        </w:rPr>
        <w:drawing>
          <wp:inline distT="0" distB="0" distL="0" distR="0" wp14:anchorId="641FD4E9" wp14:editId="5F53D27F">
            <wp:extent cx="5573134" cy="2561590"/>
            <wp:effectExtent l="0" t="0" r="8890" b="0"/>
            <wp:docPr id="844505349" name="Picture 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05349" name="Picture 1" descr="A picture containing text, line, diagram, plot&#10;&#10;Description automatically generated"/>
                    <pic:cNvPicPr>
                      <a:picLocks noChangeAspect="1"/>
                    </pic:cNvPicPr>
                  </pic:nvPicPr>
                  <pic:blipFill rotWithShape="1">
                    <a:blip r:embed="rId69"/>
                    <a:srcRect l="4071"/>
                    <a:stretch/>
                  </pic:blipFill>
                  <pic:spPr bwMode="auto">
                    <a:xfrm>
                      <a:off x="0" y="0"/>
                      <a:ext cx="5610653" cy="257883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0F8C11AC" w14:textId="1E1A4E75" w:rsidR="00AC7EC4" w:rsidRDefault="00AC7EC4" w:rsidP="00CF53EB">
      <w:pPr>
        <w:pStyle w:val="FigureTitle"/>
      </w:pPr>
      <w:r w:rsidRPr="00AC7EC4">
        <w:t>EASI-75</w:t>
      </w:r>
      <w:r w:rsidR="00DF71BE">
        <w:t>:</w:t>
      </w:r>
    </w:p>
    <w:p w14:paraId="5F5E9E5F" w14:textId="1B3D57F1" w:rsidR="007105E8" w:rsidRDefault="007105E8" w:rsidP="007105E8">
      <w:pPr>
        <w:tabs>
          <w:tab w:val="left" w:pos="1950"/>
        </w:tabs>
      </w:pPr>
      <w:r>
        <w:rPr>
          <w:noProof/>
        </w:rPr>
        <w:drawing>
          <wp:inline distT="0" distB="0" distL="0" distR="0" wp14:anchorId="5DD62EE7" wp14:editId="48F6CAF2">
            <wp:extent cx="5620407" cy="2364452"/>
            <wp:effectExtent l="0" t="0" r="0" b="0"/>
            <wp:docPr id="216856665"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56665" name="Picture 1" descr="A graph with numbers and a line&#10;&#10;Description automatically generated"/>
                    <pic:cNvPicPr>
                      <a:picLocks noChangeAspect="1"/>
                    </pic:cNvPicPr>
                  </pic:nvPicPr>
                  <pic:blipFill rotWithShape="1">
                    <a:blip r:embed="rId70"/>
                    <a:srcRect l="2539"/>
                    <a:stretch/>
                  </pic:blipFill>
                  <pic:spPr bwMode="auto">
                    <a:xfrm>
                      <a:off x="0" y="0"/>
                      <a:ext cx="5679293" cy="2389225"/>
                    </a:xfrm>
                    <a:prstGeom prst="rect">
                      <a:avLst/>
                    </a:prstGeom>
                    <a:ln>
                      <a:noFill/>
                    </a:ln>
                    <a:extLst>
                      <a:ext uri="{53640926-AAD7-44D8-BBD7-CCE9431645EC}">
                        <a14:shadowObscured xmlns:a14="http://schemas.microsoft.com/office/drawing/2010/main"/>
                      </a:ext>
                    </a:extLst>
                  </pic:spPr>
                </pic:pic>
              </a:graphicData>
            </a:graphic>
          </wp:inline>
        </w:drawing>
      </w:r>
    </w:p>
    <w:p w14:paraId="4BEE8BC9" w14:textId="77777777" w:rsidR="007105E8" w:rsidRDefault="007105E8" w:rsidP="007105E8">
      <w:pPr>
        <w:pStyle w:val="Heading4"/>
      </w:pPr>
      <w:bookmarkStart w:id="79" w:name="_Toc180416242"/>
      <w:r w:rsidRPr="00AA53F4">
        <w:t>Safety</w:t>
      </w:r>
      <w:bookmarkEnd w:id="79"/>
    </w:p>
    <w:p w14:paraId="19757FBB" w14:textId="55B35DFE" w:rsidR="007105E8" w:rsidRPr="00AC7EC4" w:rsidRDefault="007105E8" w:rsidP="007105E8">
      <w:r w:rsidRPr="00AC7EC4">
        <w:rPr>
          <w:lang w:eastAsia="ja-JP"/>
        </w:rPr>
        <w:t>The initial application included a comprehensive integrated assessment of the safety of lebrikizumab from 8 clinical studies in adults and adolescents with moderate-to-severe AD (KGAG, KGAF, KGAB, KGAC, KGAD, KGAE, KGAA, and KGAH)</w:t>
      </w:r>
      <w:r w:rsidR="00F516F7">
        <w:rPr>
          <w:lang w:eastAsia="ja-JP"/>
        </w:rPr>
        <w:t xml:space="preserve">. </w:t>
      </w:r>
      <w:r w:rsidRPr="00AC7EC4">
        <w:rPr>
          <w:lang w:eastAsia="ja-JP"/>
        </w:rPr>
        <w:t xml:space="preserve">During the course of the evaluation, the Sponsor submitted safety data from two recently completed supportive Phase 3 studies: KGAK (Adopt-VA), a 16-week study designed to assess the impact of lebrikizumab on vaccine response, efficacy and safety in adult patients with moderate-to-severe AD, and KGAL (ADhere-J), a 68-week efficacy and safety study evaluating </w:t>
      </w:r>
      <w:r w:rsidRPr="00AC7EC4">
        <w:rPr>
          <w:i/>
          <w:iCs/>
          <w:lang w:eastAsia="ja-JP"/>
        </w:rPr>
        <w:t>lebrikizumab + TCS</w:t>
      </w:r>
      <w:r w:rsidRPr="00AC7EC4">
        <w:rPr>
          <w:lang w:eastAsia="ja-JP"/>
        </w:rPr>
        <w:t xml:space="preserve"> in Japanese patients with moderate-to-severe AD.</w:t>
      </w:r>
    </w:p>
    <w:p w14:paraId="4BB1D704" w14:textId="2530810B" w:rsidR="007105E8" w:rsidRPr="00AC7EC4" w:rsidRDefault="007105E8" w:rsidP="007105E8">
      <w:r w:rsidRPr="00AC7EC4">
        <w:rPr>
          <w:rFonts w:cs="TimesNewRomanPSMT"/>
        </w:rPr>
        <w:t xml:space="preserve">The </w:t>
      </w:r>
      <w:r w:rsidRPr="00AC7EC4">
        <w:rPr>
          <w:rFonts w:cs="TimesNewRomanPSMT"/>
          <w:i/>
          <w:iCs/>
        </w:rPr>
        <w:t>primary safety analysis population</w:t>
      </w:r>
      <w:r w:rsidRPr="00AC7EC4">
        <w:rPr>
          <w:rFonts w:cs="TimesNewRomanPSMT"/>
        </w:rPr>
        <w:t xml:space="preserve"> for the integrated assessment of safety is the </w:t>
      </w:r>
      <w:r w:rsidRPr="00AC7EC4">
        <w:rPr>
          <w:rFonts w:cs="TimesNewRomanPSMT"/>
          <w:i/>
          <w:iCs/>
        </w:rPr>
        <w:t xml:space="preserve">modified safety population, </w:t>
      </w:r>
      <w:r w:rsidRPr="00AC7EC4">
        <w:rPr>
          <w:rFonts w:cs="TimesNewRomanPSMT"/>
        </w:rPr>
        <w:t>defined as all participants who received at least 1 dose of study drug except for 38 participants excluded due to GCP site audit findings (17 participants in both</w:t>
      </w:r>
      <w:r w:rsidRPr="00AC7EC4">
        <w:rPr>
          <w:rFonts w:cs="TimesNewRomanPSMT"/>
          <w:i/>
          <w:iCs/>
        </w:rPr>
        <w:t xml:space="preserve"> </w:t>
      </w:r>
      <w:r w:rsidRPr="00AC7EC4">
        <w:rPr>
          <w:rFonts w:cs="TimesNewRomanPSMT"/>
        </w:rPr>
        <w:t>KGAD and KGAA, 18 participants in</w:t>
      </w:r>
      <w:r w:rsidRPr="00AC7EC4">
        <w:rPr>
          <w:rFonts w:cs="TimesNewRomanPSMT"/>
          <w:i/>
          <w:iCs/>
        </w:rPr>
        <w:t xml:space="preserve"> </w:t>
      </w:r>
      <w:r w:rsidRPr="00AC7EC4">
        <w:rPr>
          <w:rFonts w:cs="TimesNewRomanPSMT"/>
        </w:rPr>
        <w:t>KGAC, and 3 participants in KGAA open-label addendum)</w:t>
      </w:r>
      <w:r w:rsidR="00F516F7">
        <w:rPr>
          <w:rFonts w:cs="TimesNewRomanPSMT"/>
        </w:rPr>
        <w:t xml:space="preserve">. </w:t>
      </w:r>
      <w:r w:rsidRPr="00AC7EC4">
        <w:rPr>
          <w:rFonts w:cs="TimesNewRomanPSMT"/>
        </w:rPr>
        <w:t>In addition to the analyses using the modified safety population, sensitivity analyses using the entire safety analysis population were conducted.</w:t>
      </w:r>
    </w:p>
    <w:p w14:paraId="00928322" w14:textId="3124BE29" w:rsidR="007105E8" w:rsidRPr="00AC7EC4" w:rsidRDefault="007105E8" w:rsidP="007105E8">
      <w:pPr>
        <w:rPr>
          <w:rFonts w:cs="TimesNewRomanPSMT"/>
        </w:rPr>
      </w:pPr>
      <w:r w:rsidRPr="00AC7EC4">
        <w:rPr>
          <w:rFonts w:cs="TimesNewRomanPSMT"/>
        </w:rPr>
        <w:t>As of the data cut-off date of 6 June 2022, the AD safety database included 1720 participants (including 372 adolescents) exposed to lebrikizumab at any dose</w:t>
      </w:r>
      <w:r w:rsidR="00F516F7">
        <w:rPr>
          <w:rFonts w:cs="TimesNewRomanPSMT"/>
        </w:rPr>
        <w:t xml:space="preserve">. </w:t>
      </w:r>
      <w:r w:rsidRPr="00AC7EC4">
        <w:rPr>
          <w:rFonts w:cs="TimesNewRomanPSMT"/>
        </w:rPr>
        <w:t>Of the 1720 participants, 891 (including 270 adolescents) were exposed to lebrikizumab for at least 1 year, 744 (including 246 adolescents) were exposed only to 250 mg Q2W for at least 1 year, and 132 (including 23 adolescents) were exposed to 250 mg Q2W induction followed by 250 mg Q4W for at least 1 year</w:t>
      </w:r>
      <w:r w:rsidR="00F516F7">
        <w:rPr>
          <w:rFonts w:cs="TimesNewRomanPSMT"/>
        </w:rPr>
        <w:t xml:space="preserve">. </w:t>
      </w:r>
    </w:p>
    <w:p w14:paraId="0FBD5831" w14:textId="36C9412C" w:rsidR="007105E8" w:rsidRPr="00AC7EC4" w:rsidRDefault="007105E8" w:rsidP="007105E8">
      <w:r w:rsidRPr="00AC7EC4">
        <w:t>The proportion of participants with historical illnesses and pre-existing conditions was balanced across the treatment groups</w:t>
      </w:r>
      <w:r w:rsidR="00F516F7">
        <w:t xml:space="preserve">. </w:t>
      </w:r>
      <w:r w:rsidRPr="00AC7EC4">
        <w:t>Co-morbid conditions reported at baseline by lebrikizumab-treated participants in the Phase 3 studies included allergic rhinitis (50.1%), asthma (30.6%), food allergy (30.1%), and allergic conjunctivitis (14.5%).</w:t>
      </w:r>
    </w:p>
    <w:p w14:paraId="6DED030D" w14:textId="63F50259" w:rsidR="007105E8" w:rsidRPr="00AC7EC4" w:rsidRDefault="007105E8" w:rsidP="007105E8">
      <w:pPr>
        <w:autoSpaceDE w:val="0"/>
        <w:autoSpaceDN w:val="0"/>
        <w:adjustRightInd w:val="0"/>
      </w:pPr>
      <w:r w:rsidRPr="00AC7EC4">
        <w:rPr>
          <w:rFonts w:eastAsia="SymbolMT" w:cs="TimesNewRomanPSMT"/>
        </w:rPr>
        <w:t xml:space="preserve">In the </w:t>
      </w:r>
      <w:r w:rsidRPr="00AC7EC4">
        <w:rPr>
          <w:rFonts w:cs="TimesNewRomanPSMT"/>
        </w:rPr>
        <w:t xml:space="preserve">placebo-controlled </w:t>
      </w:r>
      <w:r w:rsidRPr="00AC7EC4">
        <w:rPr>
          <w:rFonts w:eastAsia="SymbolMT" w:cs="TimesNewRomanPSMT"/>
        </w:rPr>
        <w:t xml:space="preserve">induction period, treatment-emergent adverse events (TEAEs) and serious adverse events (SAEs) were reported more frequently in the </w:t>
      </w:r>
      <w:r w:rsidRPr="00AC7EC4">
        <w:t>placebo group than the lebrikizumab group, but treatment-related TEAEs and discontinuations due to AE were reported more frequently in the lebrikizumab group than placebo (</w:t>
      </w:r>
      <w:r w:rsidR="009551A0">
        <w:t>Table 2</w:t>
      </w:r>
      <w:r w:rsidR="005363DC">
        <w:t>4</w:t>
      </w:r>
      <w:r w:rsidRPr="00AC7EC4">
        <w:t>)</w:t>
      </w:r>
      <w:r w:rsidR="00F516F7">
        <w:t xml:space="preserve">. </w:t>
      </w:r>
      <w:r w:rsidRPr="00AC7EC4">
        <w:t xml:space="preserve">In the </w:t>
      </w:r>
      <w:r w:rsidRPr="00AC7EC4">
        <w:rPr>
          <w:i/>
          <w:iCs/>
        </w:rPr>
        <w:t xml:space="preserve">AD All PC Weeks 0-16 </w:t>
      </w:r>
      <w:r w:rsidRPr="00AC7EC4">
        <w:t>analysis set, TEAEs reported in at least 1% of participants in the lebrikizumab group and more frequently than in the placebo group included conjunctivitis, nasopharyngitis, headache, conjunctivitis allergic, dry eye, and allergic</w:t>
      </w:r>
      <w:r w:rsidR="005363DC">
        <w:t xml:space="preserve"> </w:t>
      </w:r>
      <w:r w:rsidR="005363DC" w:rsidRPr="005363DC">
        <w:t>rhinitis</w:t>
      </w:r>
      <w:r w:rsidRPr="00AC7EC4">
        <w:t xml:space="preserve"> (</w:t>
      </w:r>
      <w:r w:rsidR="005363DC">
        <w:t>Table 26</w:t>
      </w:r>
      <w:r w:rsidRPr="00AC7EC4">
        <w:t>)</w:t>
      </w:r>
      <w:r w:rsidR="00F516F7">
        <w:t xml:space="preserve">. </w:t>
      </w:r>
    </w:p>
    <w:p w14:paraId="389AF85B" w14:textId="4E0369AF" w:rsidR="007105E8" w:rsidRPr="00AC7EC4" w:rsidRDefault="007105E8" w:rsidP="007105E8">
      <w:pPr>
        <w:rPr>
          <w:rFonts w:cs="CourierNewPS-BoldMT"/>
          <w:bCs/>
        </w:rPr>
      </w:pPr>
      <w:r w:rsidRPr="00AC7EC4">
        <w:t>In the maintenance period (</w:t>
      </w:r>
      <w:r w:rsidRPr="00AC7EC4">
        <w:rPr>
          <w:i/>
          <w:iCs/>
        </w:rPr>
        <w:t>AD Mono PC Weeks 16-52</w:t>
      </w:r>
      <w:r w:rsidRPr="00AC7EC4">
        <w:t xml:space="preserve"> analysis set), TEAEs overall occurred with comparable frequencies across the three treatment groups (</w:t>
      </w:r>
      <w:r w:rsidR="005363DC">
        <w:t>Table 25</w:t>
      </w:r>
      <w:r w:rsidRPr="00AC7EC4">
        <w:t>)</w:t>
      </w:r>
      <w:r w:rsidR="00F516F7">
        <w:t xml:space="preserve">. </w:t>
      </w:r>
      <w:r w:rsidRPr="00AC7EC4">
        <w:rPr>
          <w:rFonts w:cs="CourierNewPS-BoldMT"/>
          <w:bCs/>
        </w:rPr>
        <w:t>TEAEs reported in at least 2% of participants in the LEB 250 mg Q2W and Q4W groups are shown in</w:t>
      </w:r>
      <w:r w:rsidR="00E079A6">
        <w:rPr>
          <w:rFonts w:cs="CourierNewPS-BoldMT"/>
          <w:bCs/>
        </w:rPr>
        <w:t xml:space="preserve"> Table 27</w:t>
      </w:r>
      <w:r w:rsidR="00F516F7">
        <w:rPr>
          <w:rFonts w:cs="CourierNewPS-BoldMT"/>
          <w:bCs/>
        </w:rPr>
        <w:t xml:space="preserve">. </w:t>
      </w:r>
    </w:p>
    <w:p w14:paraId="56A2F476" w14:textId="64A30607" w:rsidR="007105E8" w:rsidRDefault="007105E8" w:rsidP="00AC7EC4">
      <w:pPr>
        <w:pStyle w:val="TableTitle"/>
      </w:pPr>
      <w:bookmarkStart w:id="80" w:name="_Ref147233356"/>
      <w:r>
        <w:t xml:space="preserve">Table </w:t>
      </w:r>
      <w:bookmarkEnd w:id="80"/>
      <w:r w:rsidR="005363DC">
        <w:t>24</w:t>
      </w:r>
      <w:r w:rsidR="00F516F7">
        <w:t xml:space="preserve">. </w:t>
      </w:r>
      <w:r w:rsidRPr="00C3141A">
        <w:t>Overview of adverse events in the placebo-controlled induction period.</w:t>
      </w:r>
    </w:p>
    <w:p w14:paraId="0598D771" w14:textId="77777777" w:rsidR="00CF53EB" w:rsidRDefault="007105E8" w:rsidP="00CF53EB">
      <w:r>
        <w:rPr>
          <w:noProof/>
        </w:rPr>
        <w:drawing>
          <wp:inline distT="0" distB="0" distL="0" distR="0" wp14:anchorId="296E17E7" wp14:editId="5548B77C">
            <wp:extent cx="5798454" cy="3176751"/>
            <wp:effectExtent l="0" t="0" r="0" b="5080"/>
            <wp:docPr id="20" name="Picture 20"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table with numbers and letters&#10;&#10;Description automatically generated"/>
                    <pic:cNvPicPr/>
                  </pic:nvPicPr>
                  <pic:blipFill>
                    <a:blip r:embed="rId71"/>
                    <a:stretch>
                      <a:fillRect/>
                    </a:stretch>
                  </pic:blipFill>
                  <pic:spPr>
                    <a:xfrm>
                      <a:off x="0" y="0"/>
                      <a:ext cx="5807512" cy="3181714"/>
                    </a:xfrm>
                    <a:prstGeom prst="rect">
                      <a:avLst/>
                    </a:prstGeom>
                  </pic:spPr>
                </pic:pic>
              </a:graphicData>
            </a:graphic>
          </wp:inline>
        </w:drawing>
      </w:r>
    </w:p>
    <w:p w14:paraId="44892AE8" w14:textId="0CD67B52" w:rsidR="007105E8" w:rsidRDefault="007105E8" w:rsidP="00CF53EB">
      <w:pPr>
        <w:pStyle w:val="TableDescription"/>
        <w:rPr>
          <w:rFonts w:cs="CourierNewPS-BoldMT"/>
        </w:rPr>
      </w:pPr>
      <w:r w:rsidRPr="005D560E">
        <w:t>AE = adverse event</w:t>
      </w:r>
      <w:r>
        <w:t>;</w:t>
      </w:r>
      <w:r w:rsidRPr="005D560E">
        <w:t xml:space="preserve"> adj % = adjusted percentage; DC = discontinuation; IR = incidence rate; LEB = lebrikizumab; Mono = monotherapy; n = number of patients in the specified category; N = number of patients in the analysis population; PBO = placebo; PC = placebo-controlled; PY = patient-year; PYE = patient-years of exposure; Q2W = every 2 weeks; SAE = serious adverse event; TCS = topical corticosteroids; TEAE = treatment-emergent adverse event</w:t>
      </w:r>
      <w:r w:rsidR="00F516F7">
        <w:t xml:space="preserve">. </w:t>
      </w:r>
      <w:r w:rsidRPr="005D560E">
        <w:t xml:space="preserve">  a. Events per 100 PY</w:t>
      </w:r>
      <w:r w:rsidR="00F516F7">
        <w:t xml:space="preserve">. </w:t>
      </w:r>
      <w:r w:rsidRPr="005D560E">
        <w:t xml:space="preserve">  b. Relationship to study treatment is assessed by the investigator</w:t>
      </w:r>
      <w:r w:rsidR="00F516F7">
        <w:t xml:space="preserve">. </w:t>
      </w:r>
      <w:r w:rsidRPr="005D560E">
        <w:t xml:space="preserve">  </w:t>
      </w:r>
      <w:r>
        <w:t xml:space="preserve">         </w:t>
      </w:r>
      <w:r w:rsidRPr="005D560E">
        <w:t>Source: Table 2.7.4.10, Summary of Clinical Safety.</w:t>
      </w:r>
    </w:p>
    <w:p w14:paraId="5D3FF087" w14:textId="744B3540" w:rsidR="007105E8" w:rsidRDefault="007105E8" w:rsidP="00AC7EC4">
      <w:pPr>
        <w:pStyle w:val="TableTitle"/>
      </w:pPr>
      <w:bookmarkStart w:id="81" w:name="_Ref147240127"/>
      <w:r>
        <w:t>Table</w:t>
      </w:r>
      <w:r w:rsidR="00E079A6">
        <w:t xml:space="preserve"> 25.</w:t>
      </w:r>
      <w:bookmarkEnd w:id="81"/>
      <w:r>
        <w:t xml:space="preserve"> </w:t>
      </w:r>
      <w:r w:rsidRPr="000148EF">
        <w:t xml:space="preserve">Overview of adverse events in the </w:t>
      </w:r>
      <w:r>
        <w:t>M</w:t>
      </w:r>
      <w:r w:rsidRPr="000148EF">
        <w:t xml:space="preserve">aintenance period, </w:t>
      </w:r>
      <w:r>
        <w:t>C</w:t>
      </w:r>
      <w:r w:rsidRPr="000148EF">
        <w:t xml:space="preserve">ombined </w:t>
      </w:r>
      <w:r>
        <w:t>I</w:t>
      </w:r>
      <w:r w:rsidRPr="000148EF">
        <w:t xml:space="preserve">nduction and </w:t>
      </w:r>
      <w:r>
        <w:t>M</w:t>
      </w:r>
      <w:r w:rsidRPr="000148EF">
        <w:t>aintenance period</w:t>
      </w:r>
      <w:r>
        <w:t>,</w:t>
      </w:r>
      <w:r w:rsidRPr="000148EF">
        <w:t xml:space="preserve"> and </w:t>
      </w:r>
      <w:r>
        <w:t>AD All LEB Analyses Sets</w:t>
      </w:r>
      <w:r w:rsidRPr="000148EF">
        <w:t xml:space="preserve">. </w:t>
      </w:r>
    </w:p>
    <w:p w14:paraId="2DA00E6A" w14:textId="77777777" w:rsidR="00CF53EB" w:rsidRDefault="007105E8" w:rsidP="00CF53EB">
      <w:r>
        <w:rPr>
          <w:noProof/>
        </w:rPr>
        <w:drawing>
          <wp:inline distT="0" distB="0" distL="0" distR="0" wp14:anchorId="7ECDAA86" wp14:editId="249A4C02">
            <wp:extent cx="5883288" cy="2486025"/>
            <wp:effectExtent l="0" t="0" r="3175" b="0"/>
            <wp:docPr id="29" name="Picture 29"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table with numbers and symbols&#10;&#10;Description automatically generated"/>
                    <pic:cNvPicPr/>
                  </pic:nvPicPr>
                  <pic:blipFill>
                    <a:blip r:embed="rId72">
                      <a:extLst>
                        <a:ext uri="{BEBA8EAE-BF5A-486C-A8C5-ECC9F3942E4B}">
                          <a14:imgProps xmlns:a14="http://schemas.microsoft.com/office/drawing/2010/main">
                            <a14:imgLayer r:embed="rId73">
                              <a14:imgEffect>
                                <a14:sharpenSoften amount="25000"/>
                              </a14:imgEffect>
                              <a14:imgEffect>
                                <a14:brightnessContrast contrast="-20000"/>
                              </a14:imgEffect>
                            </a14:imgLayer>
                          </a14:imgProps>
                        </a:ext>
                      </a:extLst>
                    </a:blip>
                    <a:stretch>
                      <a:fillRect/>
                    </a:stretch>
                  </pic:blipFill>
                  <pic:spPr>
                    <a:xfrm>
                      <a:off x="0" y="0"/>
                      <a:ext cx="5883301" cy="2486030"/>
                    </a:xfrm>
                    <a:prstGeom prst="rect">
                      <a:avLst/>
                    </a:prstGeom>
                  </pic:spPr>
                </pic:pic>
              </a:graphicData>
            </a:graphic>
          </wp:inline>
        </w:drawing>
      </w:r>
    </w:p>
    <w:p w14:paraId="78FB5A9C" w14:textId="6931914C" w:rsidR="007105E8" w:rsidRPr="003B08D2" w:rsidRDefault="007105E8" w:rsidP="00CF53EB">
      <w:pPr>
        <w:pStyle w:val="TableDescription"/>
      </w:pPr>
      <w:r w:rsidRPr="003B08D2">
        <w:t>AD = atopic dermatitis; adj % = adjusted percentage; AE = adverse event; DC = discontinuation; IR = incidence rate; LEB = lebrikizumab; Mono = monotherapy; n = number of patients in the specified category; N = number of patients in the analysis population; PBO = placebo; PC = placebo-controlled; PY = patient-years; PYE = patient years of exposure; Q2W = every 2 weeks; Q4W = every 4 weeks; SAE = serious adverse event; TCS = topical corticosteroids; TEAE = treatment-emergent adverse event.</w:t>
      </w:r>
    </w:p>
    <w:p w14:paraId="5DCFFE44" w14:textId="4E36397B" w:rsidR="007105E8" w:rsidRDefault="007105E8" w:rsidP="00CF53EB">
      <w:pPr>
        <w:pStyle w:val="TableDescription"/>
      </w:pPr>
      <w:r w:rsidRPr="003B08D2">
        <w:t>a. Events per 100 PY</w:t>
      </w:r>
      <w:r w:rsidR="00F516F7">
        <w:t xml:space="preserve">. </w:t>
      </w:r>
      <w:r w:rsidRPr="003B08D2">
        <w:t xml:space="preserve"> b. Relationship to study treatment is assessed by the investigator</w:t>
      </w:r>
      <w:r w:rsidR="00F516F7">
        <w:t xml:space="preserve">. </w:t>
      </w:r>
    </w:p>
    <w:p w14:paraId="6D76AD48" w14:textId="50C5FD6A" w:rsidR="007105E8" w:rsidRPr="00F269F9" w:rsidRDefault="007105E8" w:rsidP="00CF53EB">
      <w:pPr>
        <w:pStyle w:val="TableTitle"/>
      </w:pPr>
      <w:bookmarkStart w:id="82" w:name="_Ref147404190"/>
      <w:r>
        <w:t>Table</w:t>
      </w:r>
      <w:bookmarkEnd w:id="82"/>
      <w:r w:rsidR="005363DC">
        <w:t xml:space="preserve"> 26</w:t>
      </w:r>
      <w:r w:rsidR="00AC7EC4">
        <w:rPr>
          <w:noProof/>
        </w:rPr>
        <w:t>.</w:t>
      </w:r>
      <w:r>
        <w:t xml:space="preserve"> </w:t>
      </w:r>
      <w:r w:rsidRPr="008F62BC">
        <w:rPr>
          <w:rFonts w:cs="Calibri"/>
          <w:lang w:eastAsia="ja-JP"/>
        </w:rPr>
        <w:t>AD All PC Weeks 0-16 analysis set</w:t>
      </w:r>
      <w:r>
        <w:rPr>
          <w:rFonts w:cs="Calibri"/>
          <w:lang w:eastAsia="ja-JP"/>
        </w:rPr>
        <w:t xml:space="preserve">, </w:t>
      </w:r>
      <w:r w:rsidRPr="00F269F9">
        <w:t>TEAE</w:t>
      </w:r>
      <w:r>
        <w:t>s</w:t>
      </w:r>
      <w:r w:rsidRPr="00F269F9">
        <w:t xml:space="preserve"> occur</w:t>
      </w:r>
      <w:r>
        <w:t>r</w:t>
      </w:r>
      <w:r w:rsidRPr="00F269F9">
        <w:t>ing in at least 1% of participants in the</w:t>
      </w:r>
      <w:r>
        <w:t xml:space="preserve"> </w:t>
      </w:r>
      <w:r w:rsidRPr="00F269F9">
        <w:t xml:space="preserve">LEB 250 mg Q2W </w:t>
      </w:r>
      <w:r>
        <w:t xml:space="preserve">(with or without TCS) </w:t>
      </w:r>
      <w:r w:rsidRPr="00F269F9">
        <w:t>group, by descending order of frequency</w:t>
      </w:r>
      <w:r>
        <w:t xml:space="preserve">, versus placebo in the induction period. </w:t>
      </w:r>
    </w:p>
    <w:tbl>
      <w:tblPr>
        <w:tblStyle w:val="TableTGAblue2023"/>
        <w:tblW w:w="8784" w:type="dxa"/>
        <w:tblLook w:val="04A0" w:firstRow="1" w:lastRow="0" w:firstColumn="1" w:lastColumn="0" w:noHBand="0" w:noVBand="1"/>
      </w:tblPr>
      <w:tblGrid>
        <w:gridCol w:w="3426"/>
        <w:gridCol w:w="1088"/>
        <w:gridCol w:w="1225"/>
        <w:gridCol w:w="1202"/>
        <w:gridCol w:w="1843"/>
      </w:tblGrid>
      <w:tr w:rsidR="007105E8" w:rsidRPr="00A457BE" w14:paraId="01079E3C" w14:textId="77777777" w:rsidTr="00CF53EB">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426" w:type="dxa"/>
          </w:tcPr>
          <w:p w14:paraId="7CE283BC" w14:textId="77777777" w:rsidR="007105E8" w:rsidRPr="00C57E20" w:rsidRDefault="007105E8" w:rsidP="00CF53EB">
            <w:pPr>
              <w:keepNext w:val="0"/>
            </w:pPr>
          </w:p>
        </w:tc>
        <w:tc>
          <w:tcPr>
            <w:tcW w:w="2313" w:type="dxa"/>
            <w:gridSpan w:val="2"/>
          </w:tcPr>
          <w:p w14:paraId="18E4C8BF" w14:textId="77777777" w:rsidR="007105E8" w:rsidRPr="00C57E20" w:rsidRDefault="007105E8" w:rsidP="00CF53EB">
            <w:pPr>
              <w:ind w:left="0"/>
              <w:cnfStyle w:val="100000000000" w:firstRow="1" w:lastRow="0" w:firstColumn="0" w:lastColumn="0" w:oddVBand="0" w:evenVBand="0" w:oddHBand="0" w:evenHBand="0" w:firstRowFirstColumn="0" w:firstRowLastColumn="0" w:lastRowFirstColumn="0" w:lastRowLastColumn="0"/>
            </w:pPr>
            <w:r w:rsidRPr="00C57E20">
              <w:t xml:space="preserve">Placebo </w:t>
            </w:r>
          </w:p>
          <w:p w14:paraId="1BF60E32" w14:textId="73260D22" w:rsidR="007105E8" w:rsidRPr="00C57E20" w:rsidRDefault="007105E8" w:rsidP="00CF53EB">
            <w:pPr>
              <w:ind w:left="0"/>
              <w:cnfStyle w:val="100000000000" w:firstRow="1" w:lastRow="0" w:firstColumn="0" w:lastColumn="0" w:oddVBand="0" w:evenVBand="0" w:oddHBand="0" w:evenHBand="0" w:firstRowFirstColumn="0" w:firstRowLastColumn="0" w:lastRowFirstColumn="0" w:lastRowLastColumn="0"/>
            </w:pPr>
            <w:r w:rsidRPr="00C57E20">
              <w:t>N = 404; PYE = 13.8</w:t>
            </w:r>
          </w:p>
        </w:tc>
        <w:tc>
          <w:tcPr>
            <w:tcW w:w="3045" w:type="dxa"/>
            <w:gridSpan w:val="2"/>
          </w:tcPr>
          <w:p w14:paraId="498B6097" w14:textId="567F77DC" w:rsidR="007105E8" w:rsidRDefault="007105E8" w:rsidP="00CF53EB">
            <w:pPr>
              <w:cnfStyle w:val="100000000000" w:firstRow="1" w:lastRow="0" w:firstColumn="0" w:lastColumn="0" w:oddVBand="0" w:evenVBand="0" w:oddHBand="0" w:evenHBand="0" w:firstRowFirstColumn="0" w:firstRowLastColumn="0" w:lastRowFirstColumn="0" w:lastRowLastColumn="0"/>
            </w:pPr>
            <w:r w:rsidRPr="00C57E20">
              <w:t xml:space="preserve">LEB 250 mg Q2W </w:t>
            </w:r>
            <w:r>
              <w:t>(with or without TCS)</w:t>
            </w:r>
          </w:p>
          <w:p w14:paraId="03056530" w14:textId="77777777" w:rsidR="007105E8" w:rsidRPr="00C57E20" w:rsidRDefault="007105E8" w:rsidP="00CF53EB">
            <w:pPr>
              <w:cnfStyle w:val="100000000000" w:firstRow="1" w:lastRow="0" w:firstColumn="0" w:lastColumn="0" w:oddVBand="0" w:evenVBand="0" w:oddHBand="0" w:evenHBand="0" w:firstRowFirstColumn="0" w:firstRowLastColumn="0" w:lastRowFirstColumn="0" w:lastRowLastColumn="0"/>
            </w:pPr>
            <w:r w:rsidRPr="00C57E20">
              <w:t>N = 783; PYE = 233.3</w:t>
            </w:r>
          </w:p>
        </w:tc>
      </w:tr>
      <w:tr w:rsidR="007105E8" w:rsidRPr="00A457BE" w14:paraId="1CF18EBD" w14:textId="77777777" w:rsidTr="00CF53EB">
        <w:tc>
          <w:tcPr>
            <w:cnfStyle w:val="001000000000" w:firstRow="0" w:lastRow="0" w:firstColumn="1" w:lastColumn="0" w:oddVBand="0" w:evenVBand="0" w:oddHBand="0" w:evenHBand="0" w:firstRowFirstColumn="0" w:firstRowLastColumn="0" w:lastRowFirstColumn="0" w:lastRowLastColumn="0"/>
            <w:tcW w:w="3426" w:type="dxa"/>
          </w:tcPr>
          <w:p w14:paraId="1C4E1554" w14:textId="77777777" w:rsidR="007105E8" w:rsidRPr="00C57E20" w:rsidRDefault="007105E8" w:rsidP="00CF53EB"/>
        </w:tc>
        <w:tc>
          <w:tcPr>
            <w:tcW w:w="1088" w:type="dxa"/>
          </w:tcPr>
          <w:p w14:paraId="7A950475" w14:textId="380A5446"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n (adj %)</w:t>
            </w:r>
          </w:p>
        </w:tc>
        <w:tc>
          <w:tcPr>
            <w:tcW w:w="1225" w:type="dxa"/>
          </w:tcPr>
          <w:p w14:paraId="41D8FE78"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[IR adj %]</w:t>
            </w:r>
          </w:p>
        </w:tc>
        <w:tc>
          <w:tcPr>
            <w:tcW w:w="1202" w:type="dxa"/>
          </w:tcPr>
          <w:p w14:paraId="3CA70A80" w14:textId="32E1F36F"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n (adj %)</w:t>
            </w:r>
          </w:p>
        </w:tc>
        <w:tc>
          <w:tcPr>
            <w:tcW w:w="1843" w:type="dxa"/>
          </w:tcPr>
          <w:p w14:paraId="6F4AA039"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[IR adj %]</w:t>
            </w:r>
          </w:p>
        </w:tc>
      </w:tr>
      <w:tr w:rsidR="007105E8" w:rsidRPr="00A457BE" w14:paraId="59DBB24F" w14:textId="77777777" w:rsidTr="00CF53EB">
        <w:tc>
          <w:tcPr>
            <w:cnfStyle w:val="001000000000" w:firstRow="0" w:lastRow="0" w:firstColumn="1" w:lastColumn="0" w:oddVBand="0" w:evenVBand="0" w:oddHBand="0" w:evenHBand="0" w:firstRowFirstColumn="0" w:firstRowLastColumn="0" w:lastRowFirstColumn="0" w:lastRowLastColumn="0"/>
            <w:tcW w:w="3426" w:type="dxa"/>
          </w:tcPr>
          <w:p w14:paraId="79FDAF04" w14:textId="77777777" w:rsidR="007105E8" w:rsidRPr="00C57E20" w:rsidRDefault="007105E8" w:rsidP="00CF53EB">
            <w:r w:rsidRPr="00C57E20">
              <w:t>Patients with at least 1 TEAE</w:t>
            </w:r>
          </w:p>
        </w:tc>
        <w:tc>
          <w:tcPr>
            <w:tcW w:w="1088" w:type="dxa"/>
          </w:tcPr>
          <w:p w14:paraId="14301BCD"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 xml:space="preserve">215 (53.1) </w:t>
            </w:r>
          </w:p>
        </w:tc>
        <w:tc>
          <w:tcPr>
            <w:tcW w:w="1225" w:type="dxa"/>
          </w:tcPr>
          <w:p w14:paraId="14A737F4"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[307.0]</w:t>
            </w:r>
          </w:p>
        </w:tc>
        <w:tc>
          <w:tcPr>
            <w:tcW w:w="1202" w:type="dxa"/>
          </w:tcPr>
          <w:p w14:paraId="6E1A531F"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384 (49.2)</w:t>
            </w:r>
          </w:p>
        </w:tc>
        <w:tc>
          <w:tcPr>
            <w:tcW w:w="1843" w:type="dxa"/>
          </w:tcPr>
          <w:p w14:paraId="02F3B10B"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[247.3]</w:t>
            </w:r>
          </w:p>
        </w:tc>
      </w:tr>
      <w:tr w:rsidR="007105E8" w:rsidRPr="00A457BE" w14:paraId="3C1678C0" w14:textId="77777777" w:rsidTr="00CF53EB">
        <w:tc>
          <w:tcPr>
            <w:cnfStyle w:val="001000000000" w:firstRow="0" w:lastRow="0" w:firstColumn="1" w:lastColumn="0" w:oddVBand="0" w:evenVBand="0" w:oddHBand="0" w:evenHBand="0" w:firstRowFirstColumn="0" w:firstRowLastColumn="0" w:lastRowFirstColumn="0" w:lastRowLastColumn="0"/>
            <w:tcW w:w="3426" w:type="dxa"/>
          </w:tcPr>
          <w:p w14:paraId="5C546D32" w14:textId="77777777" w:rsidR="007105E8" w:rsidRPr="00C57E20" w:rsidRDefault="007105E8" w:rsidP="00CF53EB">
            <w:r w:rsidRPr="00C57E20">
              <w:t xml:space="preserve">Conjunctivitis </w:t>
            </w:r>
          </w:p>
        </w:tc>
        <w:tc>
          <w:tcPr>
            <w:tcW w:w="1088" w:type="dxa"/>
          </w:tcPr>
          <w:p w14:paraId="2DEE089B"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7 (1.8)</w:t>
            </w:r>
          </w:p>
        </w:tc>
        <w:tc>
          <w:tcPr>
            <w:tcW w:w="1225" w:type="dxa"/>
          </w:tcPr>
          <w:p w14:paraId="1FCCFC4D"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[6.2]</w:t>
            </w:r>
          </w:p>
        </w:tc>
        <w:tc>
          <w:tcPr>
            <w:tcW w:w="1202" w:type="dxa"/>
          </w:tcPr>
          <w:p w14:paraId="15F7CF39"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51 (6.5)</w:t>
            </w:r>
          </w:p>
        </w:tc>
        <w:tc>
          <w:tcPr>
            <w:tcW w:w="1843" w:type="dxa"/>
          </w:tcPr>
          <w:p w14:paraId="5ED5687D"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[22.8]</w:t>
            </w:r>
          </w:p>
        </w:tc>
      </w:tr>
      <w:tr w:rsidR="007105E8" w:rsidRPr="00A457BE" w14:paraId="090C063A" w14:textId="77777777" w:rsidTr="00CF53EB">
        <w:tc>
          <w:tcPr>
            <w:cnfStyle w:val="001000000000" w:firstRow="0" w:lastRow="0" w:firstColumn="1" w:lastColumn="0" w:oddVBand="0" w:evenVBand="0" w:oddHBand="0" w:evenHBand="0" w:firstRowFirstColumn="0" w:firstRowLastColumn="0" w:lastRowFirstColumn="0" w:lastRowLastColumn="0"/>
            <w:tcW w:w="3426" w:type="dxa"/>
          </w:tcPr>
          <w:p w14:paraId="45232276" w14:textId="77777777" w:rsidR="007105E8" w:rsidRPr="00C57E20" w:rsidRDefault="007105E8" w:rsidP="00CF53EB">
            <w:r w:rsidRPr="00C57E20">
              <w:t xml:space="preserve">Dermatitis atopic </w:t>
            </w:r>
          </w:p>
        </w:tc>
        <w:tc>
          <w:tcPr>
            <w:tcW w:w="1088" w:type="dxa"/>
          </w:tcPr>
          <w:p w14:paraId="6FEDD1FF"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74 (18.4)</w:t>
            </w:r>
          </w:p>
        </w:tc>
        <w:tc>
          <w:tcPr>
            <w:tcW w:w="1225" w:type="dxa"/>
          </w:tcPr>
          <w:p w14:paraId="119E0845"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[76.9]</w:t>
            </w:r>
          </w:p>
        </w:tc>
        <w:tc>
          <w:tcPr>
            <w:tcW w:w="1202" w:type="dxa"/>
          </w:tcPr>
          <w:p w14:paraId="76AFF071"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47 (6.0)</w:t>
            </w:r>
          </w:p>
        </w:tc>
        <w:tc>
          <w:tcPr>
            <w:tcW w:w="1843" w:type="dxa"/>
          </w:tcPr>
          <w:p w14:paraId="56A813CA"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[21.2]</w:t>
            </w:r>
          </w:p>
        </w:tc>
      </w:tr>
      <w:tr w:rsidR="007105E8" w:rsidRPr="00A457BE" w14:paraId="7AAAF3CF" w14:textId="77777777" w:rsidTr="00CF53EB">
        <w:tc>
          <w:tcPr>
            <w:cnfStyle w:val="001000000000" w:firstRow="0" w:lastRow="0" w:firstColumn="1" w:lastColumn="0" w:oddVBand="0" w:evenVBand="0" w:oddHBand="0" w:evenHBand="0" w:firstRowFirstColumn="0" w:firstRowLastColumn="0" w:lastRowFirstColumn="0" w:lastRowLastColumn="0"/>
            <w:tcW w:w="3426" w:type="dxa"/>
          </w:tcPr>
          <w:p w14:paraId="2D578A61" w14:textId="77777777" w:rsidR="007105E8" w:rsidRPr="00C57E20" w:rsidRDefault="007105E8" w:rsidP="00CF53EB">
            <w:r w:rsidRPr="00C57E20">
              <w:t xml:space="preserve">Nasopharyngitis </w:t>
            </w:r>
          </w:p>
        </w:tc>
        <w:tc>
          <w:tcPr>
            <w:tcW w:w="1088" w:type="dxa"/>
          </w:tcPr>
          <w:p w14:paraId="126484A1"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13 (3.2)</w:t>
            </w:r>
          </w:p>
        </w:tc>
        <w:tc>
          <w:tcPr>
            <w:tcW w:w="1225" w:type="dxa"/>
          </w:tcPr>
          <w:p w14:paraId="3540E2B7"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[11.8]</w:t>
            </w:r>
          </w:p>
        </w:tc>
        <w:tc>
          <w:tcPr>
            <w:tcW w:w="1202" w:type="dxa"/>
          </w:tcPr>
          <w:p w14:paraId="1546523C"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34 (4.4)</w:t>
            </w:r>
          </w:p>
        </w:tc>
        <w:tc>
          <w:tcPr>
            <w:tcW w:w="1843" w:type="dxa"/>
          </w:tcPr>
          <w:p w14:paraId="45CD93C6"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[15.2]</w:t>
            </w:r>
          </w:p>
        </w:tc>
      </w:tr>
      <w:tr w:rsidR="007105E8" w:rsidRPr="00A457BE" w14:paraId="36DBC601" w14:textId="77777777" w:rsidTr="00CF53EB">
        <w:tc>
          <w:tcPr>
            <w:cnfStyle w:val="001000000000" w:firstRow="0" w:lastRow="0" w:firstColumn="1" w:lastColumn="0" w:oddVBand="0" w:evenVBand="0" w:oddHBand="0" w:evenHBand="0" w:firstRowFirstColumn="0" w:firstRowLastColumn="0" w:lastRowFirstColumn="0" w:lastRowLastColumn="0"/>
            <w:tcW w:w="3426" w:type="dxa"/>
          </w:tcPr>
          <w:p w14:paraId="0B584716" w14:textId="77777777" w:rsidR="007105E8" w:rsidRPr="00C57E20" w:rsidRDefault="007105E8" w:rsidP="00CF53EB">
            <w:r w:rsidRPr="00C57E20">
              <w:t xml:space="preserve">Headache </w:t>
            </w:r>
          </w:p>
        </w:tc>
        <w:tc>
          <w:tcPr>
            <w:tcW w:w="1088" w:type="dxa"/>
          </w:tcPr>
          <w:p w14:paraId="54ABC645"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12 (2.9)</w:t>
            </w:r>
          </w:p>
        </w:tc>
        <w:tc>
          <w:tcPr>
            <w:tcW w:w="1225" w:type="dxa"/>
          </w:tcPr>
          <w:p w14:paraId="5CE23682"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[10.5]</w:t>
            </w:r>
          </w:p>
        </w:tc>
        <w:tc>
          <w:tcPr>
            <w:tcW w:w="1202" w:type="dxa"/>
          </w:tcPr>
          <w:p w14:paraId="6D51F337"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34 (4.4)</w:t>
            </w:r>
          </w:p>
        </w:tc>
        <w:tc>
          <w:tcPr>
            <w:tcW w:w="1843" w:type="dxa"/>
          </w:tcPr>
          <w:p w14:paraId="7BEC6496"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[15.0]</w:t>
            </w:r>
          </w:p>
        </w:tc>
      </w:tr>
      <w:tr w:rsidR="007105E8" w:rsidRPr="00A457BE" w14:paraId="5CB4089E" w14:textId="77777777" w:rsidTr="00CF53EB">
        <w:tc>
          <w:tcPr>
            <w:cnfStyle w:val="001000000000" w:firstRow="0" w:lastRow="0" w:firstColumn="1" w:lastColumn="0" w:oddVBand="0" w:evenVBand="0" w:oddHBand="0" w:evenHBand="0" w:firstRowFirstColumn="0" w:firstRowLastColumn="0" w:lastRowFirstColumn="0" w:lastRowLastColumn="0"/>
            <w:tcW w:w="3426" w:type="dxa"/>
          </w:tcPr>
          <w:p w14:paraId="2847E36A" w14:textId="77777777" w:rsidR="007105E8" w:rsidRPr="00C57E20" w:rsidRDefault="007105E8" w:rsidP="00CF53EB">
            <w:r w:rsidRPr="00C57E20">
              <w:t xml:space="preserve">Oral herpes </w:t>
            </w:r>
          </w:p>
        </w:tc>
        <w:tc>
          <w:tcPr>
            <w:tcW w:w="1088" w:type="dxa"/>
          </w:tcPr>
          <w:p w14:paraId="68EC252F"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9 (2.3)</w:t>
            </w:r>
          </w:p>
        </w:tc>
        <w:tc>
          <w:tcPr>
            <w:tcW w:w="1225" w:type="dxa"/>
          </w:tcPr>
          <w:p w14:paraId="465B6772"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[8.1]</w:t>
            </w:r>
          </w:p>
        </w:tc>
        <w:tc>
          <w:tcPr>
            <w:tcW w:w="1202" w:type="dxa"/>
          </w:tcPr>
          <w:p w14:paraId="3B9C656B"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15 (1.9)</w:t>
            </w:r>
          </w:p>
        </w:tc>
        <w:tc>
          <w:tcPr>
            <w:tcW w:w="1843" w:type="dxa"/>
          </w:tcPr>
          <w:p w14:paraId="79EB8E03"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[6.5]</w:t>
            </w:r>
          </w:p>
        </w:tc>
      </w:tr>
      <w:tr w:rsidR="007105E8" w:rsidRPr="00A457BE" w14:paraId="146EA16E" w14:textId="77777777" w:rsidTr="00CF53EB">
        <w:tc>
          <w:tcPr>
            <w:cnfStyle w:val="001000000000" w:firstRow="0" w:lastRow="0" w:firstColumn="1" w:lastColumn="0" w:oddVBand="0" w:evenVBand="0" w:oddHBand="0" w:evenHBand="0" w:firstRowFirstColumn="0" w:firstRowLastColumn="0" w:lastRowFirstColumn="0" w:lastRowLastColumn="0"/>
            <w:tcW w:w="3426" w:type="dxa"/>
          </w:tcPr>
          <w:p w14:paraId="01BB753C" w14:textId="77777777" w:rsidR="007105E8" w:rsidRPr="00C57E20" w:rsidRDefault="007105E8" w:rsidP="00CF53EB">
            <w:r w:rsidRPr="00C57E20">
              <w:t>Conjunctivitis allergic</w:t>
            </w:r>
          </w:p>
        </w:tc>
        <w:tc>
          <w:tcPr>
            <w:tcW w:w="1088" w:type="dxa"/>
          </w:tcPr>
          <w:p w14:paraId="0F8D3E7D"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 xml:space="preserve">3 (0.7) </w:t>
            </w:r>
          </w:p>
        </w:tc>
        <w:tc>
          <w:tcPr>
            <w:tcW w:w="1225" w:type="dxa"/>
          </w:tcPr>
          <w:p w14:paraId="38A30406"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[2.6]</w:t>
            </w:r>
          </w:p>
        </w:tc>
        <w:tc>
          <w:tcPr>
            <w:tcW w:w="1202" w:type="dxa"/>
          </w:tcPr>
          <w:p w14:paraId="60DE3704"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14 (1.8)</w:t>
            </w:r>
          </w:p>
        </w:tc>
        <w:tc>
          <w:tcPr>
            <w:tcW w:w="1843" w:type="dxa"/>
          </w:tcPr>
          <w:p w14:paraId="47F17051"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[6.1]</w:t>
            </w:r>
          </w:p>
        </w:tc>
      </w:tr>
      <w:tr w:rsidR="007105E8" w:rsidRPr="00A457BE" w14:paraId="583AEBAF" w14:textId="77777777" w:rsidTr="00CF53EB">
        <w:tc>
          <w:tcPr>
            <w:cnfStyle w:val="001000000000" w:firstRow="0" w:lastRow="0" w:firstColumn="1" w:lastColumn="0" w:oddVBand="0" w:evenVBand="0" w:oddHBand="0" w:evenHBand="0" w:firstRowFirstColumn="0" w:firstRowLastColumn="0" w:lastRowFirstColumn="0" w:lastRowLastColumn="0"/>
            <w:tcW w:w="3426" w:type="dxa"/>
          </w:tcPr>
          <w:p w14:paraId="7333AFCE" w14:textId="77777777" w:rsidR="007105E8" w:rsidRPr="00C57E20" w:rsidRDefault="007105E8" w:rsidP="00CF53EB">
            <w:r w:rsidRPr="00C57E20">
              <w:t xml:space="preserve">Dry eye </w:t>
            </w:r>
          </w:p>
        </w:tc>
        <w:tc>
          <w:tcPr>
            <w:tcW w:w="1088" w:type="dxa"/>
          </w:tcPr>
          <w:p w14:paraId="20EC708B"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4 (0.9)</w:t>
            </w:r>
          </w:p>
        </w:tc>
        <w:tc>
          <w:tcPr>
            <w:tcW w:w="1225" w:type="dxa"/>
          </w:tcPr>
          <w:p w14:paraId="29A63DF8"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[3.4]</w:t>
            </w:r>
          </w:p>
        </w:tc>
        <w:tc>
          <w:tcPr>
            <w:tcW w:w="1202" w:type="dxa"/>
          </w:tcPr>
          <w:p w14:paraId="69A412C8"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11 (1.4)</w:t>
            </w:r>
          </w:p>
        </w:tc>
        <w:tc>
          <w:tcPr>
            <w:tcW w:w="1843" w:type="dxa"/>
          </w:tcPr>
          <w:p w14:paraId="56716BA1"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[4.8]</w:t>
            </w:r>
          </w:p>
        </w:tc>
      </w:tr>
      <w:tr w:rsidR="007105E8" w:rsidRPr="00A457BE" w14:paraId="3DA6674B" w14:textId="77777777" w:rsidTr="00CF53EB">
        <w:tc>
          <w:tcPr>
            <w:cnfStyle w:val="001000000000" w:firstRow="0" w:lastRow="0" w:firstColumn="1" w:lastColumn="0" w:oddVBand="0" w:evenVBand="0" w:oddHBand="0" w:evenHBand="0" w:firstRowFirstColumn="0" w:firstRowLastColumn="0" w:lastRowFirstColumn="0" w:lastRowLastColumn="0"/>
            <w:tcW w:w="3426" w:type="dxa"/>
          </w:tcPr>
          <w:p w14:paraId="67707D80" w14:textId="77777777" w:rsidR="007105E8" w:rsidRPr="00C57E20" w:rsidRDefault="007105E8" w:rsidP="00CF53EB">
            <w:r w:rsidRPr="00C57E20">
              <w:t xml:space="preserve">Pruritis </w:t>
            </w:r>
          </w:p>
        </w:tc>
        <w:tc>
          <w:tcPr>
            <w:tcW w:w="1088" w:type="dxa"/>
          </w:tcPr>
          <w:p w14:paraId="618B8B0A"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7 (1.8)</w:t>
            </w:r>
          </w:p>
        </w:tc>
        <w:tc>
          <w:tcPr>
            <w:tcW w:w="1225" w:type="dxa"/>
          </w:tcPr>
          <w:p w14:paraId="4161DBEB"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[6.4]</w:t>
            </w:r>
          </w:p>
        </w:tc>
        <w:tc>
          <w:tcPr>
            <w:tcW w:w="1202" w:type="dxa"/>
          </w:tcPr>
          <w:p w14:paraId="623EA5AE"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9 (1.2)</w:t>
            </w:r>
          </w:p>
        </w:tc>
        <w:tc>
          <w:tcPr>
            <w:tcW w:w="1843" w:type="dxa"/>
          </w:tcPr>
          <w:p w14:paraId="1866DFDA"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[3.9]</w:t>
            </w:r>
          </w:p>
        </w:tc>
      </w:tr>
      <w:tr w:rsidR="007105E8" w:rsidRPr="00A457BE" w14:paraId="3DDE9DA1" w14:textId="77777777" w:rsidTr="00CF53EB">
        <w:tc>
          <w:tcPr>
            <w:cnfStyle w:val="001000000000" w:firstRow="0" w:lastRow="0" w:firstColumn="1" w:lastColumn="0" w:oddVBand="0" w:evenVBand="0" w:oddHBand="0" w:evenHBand="0" w:firstRowFirstColumn="0" w:firstRowLastColumn="0" w:lastRowFirstColumn="0" w:lastRowLastColumn="0"/>
            <w:tcW w:w="3426" w:type="dxa"/>
          </w:tcPr>
          <w:p w14:paraId="33D56B75" w14:textId="77777777" w:rsidR="007105E8" w:rsidRPr="00C57E20" w:rsidRDefault="007105E8" w:rsidP="00CF53EB">
            <w:r w:rsidRPr="00C57E20">
              <w:t xml:space="preserve">COVID-19 </w:t>
            </w:r>
          </w:p>
        </w:tc>
        <w:tc>
          <w:tcPr>
            <w:tcW w:w="1088" w:type="dxa"/>
          </w:tcPr>
          <w:p w14:paraId="1D883EB9"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5 (1.3)</w:t>
            </w:r>
          </w:p>
        </w:tc>
        <w:tc>
          <w:tcPr>
            <w:tcW w:w="1225" w:type="dxa"/>
          </w:tcPr>
          <w:p w14:paraId="0EDB032C"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[4.4]</w:t>
            </w:r>
          </w:p>
        </w:tc>
        <w:tc>
          <w:tcPr>
            <w:tcW w:w="1202" w:type="dxa"/>
          </w:tcPr>
          <w:p w14:paraId="031558CC"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9 (1.1)</w:t>
            </w:r>
          </w:p>
        </w:tc>
        <w:tc>
          <w:tcPr>
            <w:tcW w:w="1843" w:type="dxa"/>
          </w:tcPr>
          <w:p w14:paraId="64FC4B38"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[3.8]</w:t>
            </w:r>
          </w:p>
        </w:tc>
      </w:tr>
      <w:tr w:rsidR="007105E8" w:rsidRPr="00A457BE" w14:paraId="7A69B124" w14:textId="77777777" w:rsidTr="00CF53EB">
        <w:tc>
          <w:tcPr>
            <w:cnfStyle w:val="001000000000" w:firstRow="0" w:lastRow="0" w:firstColumn="1" w:lastColumn="0" w:oddVBand="0" w:evenVBand="0" w:oddHBand="0" w:evenHBand="0" w:firstRowFirstColumn="0" w:firstRowLastColumn="0" w:lastRowFirstColumn="0" w:lastRowLastColumn="0"/>
            <w:tcW w:w="3426" w:type="dxa"/>
          </w:tcPr>
          <w:p w14:paraId="205204C1" w14:textId="77777777" w:rsidR="007105E8" w:rsidRPr="00C57E20" w:rsidRDefault="007105E8" w:rsidP="00CF53EB">
            <w:r w:rsidRPr="00C57E20">
              <w:t xml:space="preserve">Hypertension </w:t>
            </w:r>
          </w:p>
        </w:tc>
        <w:tc>
          <w:tcPr>
            <w:tcW w:w="1088" w:type="dxa"/>
          </w:tcPr>
          <w:p w14:paraId="058D1CBC"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4 (1.0)</w:t>
            </w:r>
          </w:p>
        </w:tc>
        <w:tc>
          <w:tcPr>
            <w:tcW w:w="1225" w:type="dxa"/>
          </w:tcPr>
          <w:p w14:paraId="119409C1"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[3.6]</w:t>
            </w:r>
          </w:p>
        </w:tc>
        <w:tc>
          <w:tcPr>
            <w:tcW w:w="1202" w:type="dxa"/>
          </w:tcPr>
          <w:p w14:paraId="7746E017"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9 (1.1)</w:t>
            </w:r>
          </w:p>
        </w:tc>
        <w:tc>
          <w:tcPr>
            <w:tcW w:w="1843" w:type="dxa"/>
          </w:tcPr>
          <w:p w14:paraId="750FCE49"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[3.8]</w:t>
            </w:r>
          </w:p>
        </w:tc>
      </w:tr>
      <w:tr w:rsidR="007105E8" w:rsidRPr="00A457BE" w14:paraId="1369AE1B" w14:textId="77777777" w:rsidTr="00CF53EB">
        <w:tc>
          <w:tcPr>
            <w:cnfStyle w:val="001000000000" w:firstRow="0" w:lastRow="0" w:firstColumn="1" w:lastColumn="0" w:oddVBand="0" w:evenVBand="0" w:oddHBand="0" w:evenHBand="0" w:firstRowFirstColumn="0" w:firstRowLastColumn="0" w:lastRowFirstColumn="0" w:lastRowLastColumn="0"/>
            <w:tcW w:w="3426" w:type="dxa"/>
          </w:tcPr>
          <w:p w14:paraId="43BD9E33" w14:textId="77777777" w:rsidR="007105E8" w:rsidRPr="00C57E20" w:rsidRDefault="007105E8" w:rsidP="00CF53EB">
            <w:r w:rsidRPr="00C57E20">
              <w:t xml:space="preserve">Rhinitis allergic </w:t>
            </w:r>
          </w:p>
        </w:tc>
        <w:tc>
          <w:tcPr>
            <w:tcW w:w="1088" w:type="dxa"/>
          </w:tcPr>
          <w:p w14:paraId="5C6AE890"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1 (0.2)</w:t>
            </w:r>
          </w:p>
        </w:tc>
        <w:tc>
          <w:tcPr>
            <w:tcW w:w="1225" w:type="dxa"/>
          </w:tcPr>
          <w:p w14:paraId="0C68B495"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[0.9]</w:t>
            </w:r>
          </w:p>
        </w:tc>
        <w:tc>
          <w:tcPr>
            <w:tcW w:w="1202" w:type="dxa"/>
          </w:tcPr>
          <w:p w14:paraId="27E46A8F"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8 (1.0)</w:t>
            </w:r>
          </w:p>
        </w:tc>
        <w:tc>
          <w:tcPr>
            <w:tcW w:w="1843" w:type="dxa"/>
          </w:tcPr>
          <w:p w14:paraId="00D8ACCC"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[3.5]</w:t>
            </w:r>
          </w:p>
        </w:tc>
      </w:tr>
      <w:tr w:rsidR="007105E8" w:rsidRPr="00A457BE" w14:paraId="5362F320" w14:textId="77777777" w:rsidTr="00CF53EB">
        <w:tc>
          <w:tcPr>
            <w:cnfStyle w:val="001000000000" w:firstRow="0" w:lastRow="0" w:firstColumn="1" w:lastColumn="0" w:oddVBand="0" w:evenVBand="0" w:oddHBand="0" w:evenHBand="0" w:firstRowFirstColumn="0" w:firstRowLastColumn="0" w:lastRowFirstColumn="0" w:lastRowLastColumn="0"/>
            <w:tcW w:w="3426" w:type="dxa"/>
          </w:tcPr>
          <w:p w14:paraId="58490ACA" w14:textId="77777777" w:rsidR="007105E8" w:rsidRPr="00C57E20" w:rsidRDefault="007105E8" w:rsidP="00CF53EB">
            <w:r w:rsidRPr="00C57E20">
              <w:t xml:space="preserve">Injection site pain </w:t>
            </w:r>
          </w:p>
        </w:tc>
        <w:tc>
          <w:tcPr>
            <w:tcW w:w="1088" w:type="dxa"/>
          </w:tcPr>
          <w:p w14:paraId="052FC995"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4 (1.0)</w:t>
            </w:r>
          </w:p>
        </w:tc>
        <w:tc>
          <w:tcPr>
            <w:tcW w:w="1225" w:type="dxa"/>
          </w:tcPr>
          <w:p w14:paraId="1554FB00"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[3.5]</w:t>
            </w:r>
          </w:p>
        </w:tc>
        <w:tc>
          <w:tcPr>
            <w:tcW w:w="1202" w:type="dxa"/>
          </w:tcPr>
          <w:p w14:paraId="782DE65E"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7 (1.0)</w:t>
            </w:r>
          </w:p>
        </w:tc>
        <w:tc>
          <w:tcPr>
            <w:tcW w:w="1843" w:type="dxa"/>
          </w:tcPr>
          <w:p w14:paraId="13EBAD45" w14:textId="77777777" w:rsidR="007105E8" w:rsidRPr="00C57E20" w:rsidRDefault="007105E8" w:rsidP="00CF53EB">
            <w:pPr>
              <w:cnfStyle w:val="000000000000" w:firstRow="0" w:lastRow="0" w:firstColumn="0" w:lastColumn="0" w:oddVBand="0" w:evenVBand="0" w:oddHBand="0" w:evenHBand="0" w:firstRowFirstColumn="0" w:firstRowLastColumn="0" w:lastRowFirstColumn="0" w:lastRowLastColumn="0"/>
            </w:pPr>
            <w:r w:rsidRPr="00C57E20">
              <w:t>[3.2]</w:t>
            </w:r>
          </w:p>
        </w:tc>
      </w:tr>
    </w:tbl>
    <w:p w14:paraId="08BE49C7" w14:textId="77777777" w:rsidR="00CF53EB" w:rsidRDefault="007105E8" w:rsidP="00CF53EB">
      <w:pPr>
        <w:pStyle w:val="TableDescription"/>
        <w:rPr>
          <w:rFonts w:asciiTheme="minorHAnsi" w:hAnsiTheme="minorHAnsi"/>
        </w:rPr>
      </w:pPr>
      <w:r w:rsidRPr="00703C27">
        <w:t xml:space="preserve">Abbreviations: n (adj %) = number of participants with an event study size-adjusted percentage; adj IR = study-size adjusted incidence rate </w:t>
      </w:r>
      <w:r>
        <w:t xml:space="preserve">per </w:t>
      </w:r>
      <w:r w:rsidRPr="00703C27">
        <w:t>100 patient years; Q2W = every 2 weeks; PYE = patient years of exposure</w:t>
      </w:r>
      <w:r w:rsidR="00F516F7">
        <w:t xml:space="preserve">. </w:t>
      </w:r>
      <w:r w:rsidRPr="00703C27">
        <w:t xml:space="preserve"> </w:t>
      </w:r>
      <w:r w:rsidRPr="00703C27">
        <w:rPr>
          <w:rFonts w:asciiTheme="minorHAnsi" w:hAnsiTheme="minorHAnsi"/>
        </w:rPr>
        <w:t>Source: SCS, Table 2.7.4.14.</w:t>
      </w:r>
      <w:bookmarkStart w:id="83" w:name="_Ref147244609"/>
    </w:p>
    <w:p w14:paraId="1F2BFCEF" w14:textId="52405308" w:rsidR="007105E8" w:rsidRPr="001D5594" w:rsidRDefault="007105E8" w:rsidP="00CF53EB">
      <w:pPr>
        <w:pStyle w:val="TableTitle"/>
      </w:pPr>
      <w:r>
        <w:t>Table</w:t>
      </w:r>
      <w:bookmarkEnd w:id="83"/>
      <w:r w:rsidR="00E079A6">
        <w:t xml:space="preserve"> 27</w:t>
      </w:r>
      <w:r w:rsidR="005363DC">
        <w:rPr>
          <w:noProof/>
        </w:rPr>
        <w:t>.</w:t>
      </w:r>
      <w:r>
        <w:t xml:space="preserve"> </w:t>
      </w:r>
      <w:r w:rsidRPr="005363DC">
        <w:t xml:space="preserve">AD Mono PC Weeks 16 to 52 analysis set </w:t>
      </w:r>
      <w:r w:rsidRPr="001D5594">
        <w:t>– TEAEs occurring in at least 2% of participants in the</w:t>
      </w:r>
      <w:r>
        <w:t xml:space="preserve"> </w:t>
      </w:r>
      <w:r w:rsidRPr="001D5594">
        <w:t xml:space="preserve">LEB 250 mg Q2W and Q4W groups, </w:t>
      </w:r>
      <w:r>
        <w:t xml:space="preserve">by </w:t>
      </w:r>
      <w:r w:rsidRPr="001D5594">
        <w:t xml:space="preserve">descending order of frequency in the LEB Q2W group. </w:t>
      </w:r>
    </w:p>
    <w:tbl>
      <w:tblPr>
        <w:tblStyle w:val="TableTGAblue2023"/>
        <w:tblW w:w="9229" w:type="dxa"/>
        <w:tblLayout w:type="fixed"/>
        <w:tblLook w:val="04A0" w:firstRow="1" w:lastRow="0" w:firstColumn="1" w:lastColumn="0" w:noHBand="0" w:noVBand="1"/>
      </w:tblPr>
      <w:tblGrid>
        <w:gridCol w:w="2122"/>
        <w:gridCol w:w="1417"/>
        <w:gridCol w:w="851"/>
        <w:gridCol w:w="1275"/>
        <w:gridCol w:w="993"/>
        <w:gridCol w:w="1428"/>
        <w:gridCol w:w="1134"/>
        <w:gridCol w:w="9"/>
      </w:tblGrid>
      <w:tr w:rsidR="007105E8" w:rsidRPr="00D04601" w14:paraId="047EC596" w14:textId="77777777" w:rsidTr="00CF5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930D4D" w14:textId="77777777" w:rsidR="007105E8" w:rsidRPr="00D04601" w:rsidRDefault="007105E8" w:rsidP="00CF53EB"/>
        </w:tc>
        <w:tc>
          <w:tcPr>
            <w:tcW w:w="2268" w:type="dxa"/>
            <w:gridSpan w:val="2"/>
          </w:tcPr>
          <w:p w14:paraId="257230D2" w14:textId="77777777" w:rsidR="007105E8" w:rsidRPr="00D04601" w:rsidRDefault="007105E8" w:rsidP="00CF53EB">
            <w:pPr>
              <w:cnfStyle w:val="100000000000" w:firstRow="1" w:lastRow="0" w:firstColumn="0" w:lastColumn="0" w:oddVBand="0" w:evenVBand="0" w:oddHBand="0" w:evenHBand="0" w:firstRowFirstColumn="0" w:firstRowLastColumn="0" w:lastRowFirstColumn="0" w:lastRowLastColumn="0"/>
            </w:pPr>
            <w:r w:rsidRPr="00D04601">
              <w:t>Placebo</w:t>
            </w:r>
          </w:p>
        </w:tc>
        <w:tc>
          <w:tcPr>
            <w:tcW w:w="2268" w:type="dxa"/>
            <w:gridSpan w:val="2"/>
          </w:tcPr>
          <w:p w14:paraId="28C7A6DB" w14:textId="77777777" w:rsidR="007105E8" w:rsidRPr="00D04601" w:rsidRDefault="007105E8" w:rsidP="00CF53EB">
            <w:pPr>
              <w:cnfStyle w:val="100000000000" w:firstRow="1" w:lastRow="0" w:firstColumn="0" w:lastColumn="0" w:oddVBand="0" w:evenVBand="0" w:oddHBand="0" w:evenHBand="0" w:firstRowFirstColumn="0" w:firstRowLastColumn="0" w:lastRowFirstColumn="0" w:lastRowLastColumn="0"/>
            </w:pPr>
            <w:r w:rsidRPr="00D04601">
              <w:t>LEB 250 mg Q2W - mono</w:t>
            </w:r>
          </w:p>
        </w:tc>
        <w:tc>
          <w:tcPr>
            <w:tcW w:w="2571" w:type="dxa"/>
            <w:gridSpan w:val="3"/>
          </w:tcPr>
          <w:p w14:paraId="0E58ECBD" w14:textId="77777777" w:rsidR="007105E8" w:rsidRPr="00D04601" w:rsidRDefault="007105E8" w:rsidP="00CF53EB">
            <w:pPr>
              <w:cnfStyle w:val="100000000000" w:firstRow="1" w:lastRow="0" w:firstColumn="0" w:lastColumn="0" w:oddVBand="0" w:evenVBand="0" w:oddHBand="0" w:evenHBand="0" w:firstRowFirstColumn="0" w:firstRowLastColumn="0" w:lastRowFirstColumn="0" w:lastRowLastColumn="0"/>
            </w:pPr>
            <w:r w:rsidRPr="00D04601">
              <w:t xml:space="preserve">LEB 250 mg Q4W – mono </w:t>
            </w:r>
          </w:p>
        </w:tc>
      </w:tr>
      <w:tr w:rsidR="007105E8" w:rsidRPr="00D04601" w14:paraId="7671691A" w14:textId="77777777" w:rsidTr="00CF53EB">
        <w:tc>
          <w:tcPr>
            <w:cnfStyle w:val="001000000000" w:firstRow="0" w:lastRow="0" w:firstColumn="1" w:lastColumn="0" w:oddVBand="0" w:evenVBand="0" w:oddHBand="0" w:evenHBand="0" w:firstRowFirstColumn="0" w:firstRowLastColumn="0" w:lastRowFirstColumn="0" w:lastRowLastColumn="0"/>
            <w:tcW w:w="2122" w:type="dxa"/>
          </w:tcPr>
          <w:p w14:paraId="0E6EC471" w14:textId="77777777" w:rsidR="007105E8" w:rsidRPr="00D04601" w:rsidRDefault="007105E8" w:rsidP="00CF53EB"/>
        </w:tc>
        <w:tc>
          <w:tcPr>
            <w:tcW w:w="2268" w:type="dxa"/>
            <w:gridSpan w:val="2"/>
          </w:tcPr>
          <w:p w14:paraId="4A72D853"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N=60; PYE=37.0</w:t>
            </w:r>
          </w:p>
        </w:tc>
        <w:tc>
          <w:tcPr>
            <w:tcW w:w="2268" w:type="dxa"/>
            <w:gridSpan w:val="2"/>
          </w:tcPr>
          <w:p w14:paraId="32E1C79D"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N=113, PYE=71.1</w:t>
            </w:r>
          </w:p>
        </w:tc>
        <w:tc>
          <w:tcPr>
            <w:tcW w:w="2571" w:type="dxa"/>
            <w:gridSpan w:val="3"/>
          </w:tcPr>
          <w:p w14:paraId="1AB39540"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N=118, PYE=77.4</w:t>
            </w:r>
          </w:p>
        </w:tc>
      </w:tr>
      <w:tr w:rsidR="007105E8" w:rsidRPr="00D04601" w14:paraId="0D56E3E9" w14:textId="77777777" w:rsidTr="00CF53EB">
        <w:trPr>
          <w:gridAfter w:val="1"/>
          <w:wAfter w:w="9" w:type="dxa"/>
        </w:trPr>
        <w:tc>
          <w:tcPr>
            <w:cnfStyle w:val="001000000000" w:firstRow="0" w:lastRow="0" w:firstColumn="1" w:lastColumn="0" w:oddVBand="0" w:evenVBand="0" w:oddHBand="0" w:evenHBand="0" w:firstRowFirstColumn="0" w:firstRowLastColumn="0" w:lastRowFirstColumn="0" w:lastRowLastColumn="0"/>
            <w:tcW w:w="2122" w:type="dxa"/>
          </w:tcPr>
          <w:p w14:paraId="77D9F4C4" w14:textId="77777777" w:rsidR="007105E8" w:rsidRPr="00D04601" w:rsidRDefault="007105E8" w:rsidP="00CF53EB"/>
        </w:tc>
        <w:tc>
          <w:tcPr>
            <w:tcW w:w="1417" w:type="dxa"/>
          </w:tcPr>
          <w:p w14:paraId="7F8FF9D0"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n (adj %) </w:t>
            </w:r>
          </w:p>
        </w:tc>
        <w:tc>
          <w:tcPr>
            <w:tcW w:w="851" w:type="dxa"/>
          </w:tcPr>
          <w:p w14:paraId="516F8F15"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[adj IR] </w:t>
            </w:r>
          </w:p>
        </w:tc>
        <w:tc>
          <w:tcPr>
            <w:tcW w:w="1275" w:type="dxa"/>
          </w:tcPr>
          <w:p w14:paraId="3FD0EF79"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n (adj %)</w:t>
            </w:r>
          </w:p>
        </w:tc>
        <w:tc>
          <w:tcPr>
            <w:tcW w:w="993" w:type="dxa"/>
          </w:tcPr>
          <w:p w14:paraId="4D7FBC70"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[adj IR] </w:t>
            </w:r>
          </w:p>
        </w:tc>
        <w:tc>
          <w:tcPr>
            <w:tcW w:w="1428" w:type="dxa"/>
          </w:tcPr>
          <w:p w14:paraId="386CF978"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n (adj %)</w:t>
            </w:r>
          </w:p>
        </w:tc>
        <w:tc>
          <w:tcPr>
            <w:tcW w:w="1134" w:type="dxa"/>
          </w:tcPr>
          <w:p w14:paraId="47AB2FD5"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[adj IR]</w:t>
            </w:r>
          </w:p>
        </w:tc>
      </w:tr>
      <w:tr w:rsidR="007105E8" w:rsidRPr="00D04601" w14:paraId="642C081A" w14:textId="77777777" w:rsidTr="00CF53EB">
        <w:trPr>
          <w:gridAfter w:val="1"/>
          <w:wAfter w:w="9" w:type="dxa"/>
        </w:trPr>
        <w:tc>
          <w:tcPr>
            <w:cnfStyle w:val="001000000000" w:firstRow="0" w:lastRow="0" w:firstColumn="1" w:lastColumn="0" w:oddVBand="0" w:evenVBand="0" w:oddHBand="0" w:evenHBand="0" w:firstRowFirstColumn="0" w:firstRowLastColumn="0" w:lastRowFirstColumn="0" w:lastRowLastColumn="0"/>
            <w:tcW w:w="2122" w:type="dxa"/>
          </w:tcPr>
          <w:p w14:paraId="597219D7" w14:textId="77777777" w:rsidR="007105E8" w:rsidRPr="00D04601" w:rsidRDefault="007105E8" w:rsidP="00CF53EB">
            <w:r w:rsidRPr="00D04601">
              <w:t xml:space="preserve">Participants with ≥1 TEAE </w:t>
            </w:r>
          </w:p>
        </w:tc>
        <w:tc>
          <w:tcPr>
            <w:tcW w:w="1417" w:type="dxa"/>
          </w:tcPr>
          <w:p w14:paraId="09562FCA"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30 (50.0) </w:t>
            </w:r>
          </w:p>
        </w:tc>
        <w:tc>
          <w:tcPr>
            <w:tcW w:w="851" w:type="dxa"/>
          </w:tcPr>
          <w:p w14:paraId="4A741453"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[117.5]</w:t>
            </w:r>
          </w:p>
        </w:tc>
        <w:tc>
          <w:tcPr>
            <w:tcW w:w="1275" w:type="dxa"/>
          </w:tcPr>
          <w:p w14:paraId="623C99FA"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56 (49.7)</w:t>
            </w:r>
          </w:p>
        </w:tc>
        <w:tc>
          <w:tcPr>
            <w:tcW w:w="993" w:type="dxa"/>
          </w:tcPr>
          <w:p w14:paraId="49EC0641"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[121.1]</w:t>
            </w:r>
          </w:p>
        </w:tc>
        <w:tc>
          <w:tcPr>
            <w:tcW w:w="1428" w:type="dxa"/>
          </w:tcPr>
          <w:p w14:paraId="7EB8BDCE"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61 (51.7) </w:t>
            </w:r>
          </w:p>
        </w:tc>
        <w:tc>
          <w:tcPr>
            <w:tcW w:w="1134" w:type="dxa"/>
          </w:tcPr>
          <w:p w14:paraId="10569202"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[124.4]</w:t>
            </w:r>
          </w:p>
        </w:tc>
      </w:tr>
      <w:tr w:rsidR="007105E8" w:rsidRPr="00D04601" w14:paraId="4443ECCA" w14:textId="77777777" w:rsidTr="00CF53EB">
        <w:trPr>
          <w:gridAfter w:val="1"/>
          <w:wAfter w:w="9" w:type="dxa"/>
        </w:trPr>
        <w:tc>
          <w:tcPr>
            <w:cnfStyle w:val="001000000000" w:firstRow="0" w:lastRow="0" w:firstColumn="1" w:lastColumn="0" w:oddVBand="0" w:evenVBand="0" w:oddHBand="0" w:evenHBand="0" w:firstRowFirstColumn="0" w:firstRowLastColumn="0" w:lastRowFirstColumn="0" w:lastRowLastColumn="0"/>
            <w:tcW w:w="2122" w:type="dxa"/>
          </w:tcPr>
          <w:p w14:paraId="083FC230" w14:textId="77777777" w:rsidR="007105E8" w:rsidRPr="00D04601" w:rsidRDefault="007105E8" w:rsidP="00CF53EB">
            <w:r w:rsidRPr="00D04601">
              <w:t xml:space="preserve">Dermatitis atopic </w:t>
            </w:r>
          </w:p>
        </w:tc>
        <w:tc>
          <w:tcPr>
            <w:tcW w:w="1417" w:type="dxa"/>
          </w:tcPr>
          <w:p w14:paraId="11095EC4"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7 (11.7) </w:t>
            </w:r>
          </w:p>
        </w:tc>
        <w:tc>
          <w:tcPr>
            <w:tcW w:w="851" w:type="dxa"/>
          </w:tcPr>
          <w:p w14:paraId="2F8548F1"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[19.8]</w:t>
            </w:r>
          </w:p>
        </w:tc>
        <w:tc>
          <w:tcPr>
            <w:tcW w:w="1275" w:type="dxa"/>
          </w:tcPr>
          <w:p w14:paraId="274C00D2"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5 (4.4)</w:t>
            </w:r>
          </w:p>
        </w:tc>
        <w:tc>
          <w:tcPr>
            <w:tcW w:w="993" w:type="dxa"/>
          </w:tcPr>
          <w:p w14:paraId="29C845C4"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[7.2]</w:t>
            </w:r>
          </w:p>
        </w:tc>
        <w:tc>
          <w:tcPr>
            <w:tcW w:w="1428" w:type="dxa"/>
          </w:tcPr>
          <w:p w14:paraId="03294301"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7 ( 5.9) </w:t>
            </w:r>
          </w:p>
        </w:tc>
        <w:tc>
          <w:tcPr>
            <w:tcW w:w="1134" w:type="dxa"/>
          </w:tcPr>
          <w:p w14:paraId="60FC25D3"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[9.3]</w:t>
            </w:r>
          </w:p>
        </w:tc>
      </w:tr>
      <w:tr w:rsidR="007105E8" w:rsidRPr="00D04601" w14:paraId="4C54CB2A" w14:textId="77777777" w:rsidTr="00CF53EB">
        <w:trPr>
          <w:gridAfter w:val="1"/>
          <w:wAfter w:w="9" w:type="dxa"/>
        </w:trPr>
        <w:tc>
          <w:tcPr>
            <w:cnfStyle w:val="001000000000" w:firstRow="0" w:lastRow="0" w:firstColumn="1" w:lastColumn="0" w:oddVBand="0" w:evenVBand="0" w:oddHBand="0" w:evenHBand="0" w:firstRowFirstColumn="0" w:firstRowLastColumn="0" w:lastRowFirstColumn="0" w:lastRowLastColumn="0"/>
            <w:tcW w:w="2122" w:type="dxa"/>
          </w:tcPr>
          <w:p w14:paraId="7CDFE9C1" w14:textId="77777777" w:rsidR="007105E8" w:rsidRPr="00D04601" w:rsidRDefault="007105E8" w:rsidP="00CF53EB">
            <w:r w:rsidRPr="00D04601">
              <w:t>Nasopharyngitis</w:t>
            </w:r>
          </w:p>
        </w:tc>
        <w:tc>
          <w:tcPr>
            <w:tcW w:w="1417" w:type="dxa"/>
          </w:tcPr>
          <w:p w14:paraId="3517924A"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3 ( 5.0) </w:t>
            </w:r>
          </w:p>
        </w:tc>
        <w:tc>
          <w:tcPr>
            <w:tcW w:w="851" w:type="dxa"/>
          </w:tcPr>
          <w:p w14:paraId="6454006A"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[8.3]</w:t>
            </w:r>
          </w:p>
        </w:tc>
        <w:tc>
          <w:tcPr>
            <w:tcW w:w="1275" w:type="dxa"/>
          </w:tcPr>
          <w:p w14:paraId="05A0D30E"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4 (3.5)</w:t>
            </w:r>
          </w:p>
        </w:tc>
        <w:tc>
          <w:tcPr>
            <w:tcW w:w="993" w:type="dxa"/>
          </w:tcPr>
          <w:p w14:paraId="05CD6CD2"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[5.8]</w:t>
            </w:r>
          </w:p>
        </w:tc>
        <w:tc>
          <w:tcPr>
            <w:tcW w:w="1428" w:type="dxa"/>
          </w:tcPr>
          <w:p w14:paraId="34D478A0"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9 ( 7.6) </w:t>
            </w:r>
          </w:p>
        </w:tc>
        <w:tc>
          <w:tcPr>
            <w:tcW w:w="1134" w:type="dxa"/>
          </w:tcPr>
          <w:p w14:paraId="56245EC7"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[12.2]</w:t>
            </w:r>
          </w:p>
        </w:tc>
      </w:tr>
      <w:tr w:rsidR="007105E8" w:rsidRPr="00D04601" w14:paraId="52C2209C" w14:textId="77777777" w:rsidTr="00CF53EB">
        <w:trPr>
          <w:gridAfter w:val="1"/>
          <w:wAfter w:w="9" w:type="dxa"/>
        </w:trPr>
        <w:tc>
          <w:tcPr>
            <w:cnfStyle w:val="001000000000" w:firstRow="0" w:lastRow="0" w:firstColumn="1" w:lastColumn="0" w:oddVBand="0" w:evenVBand="0" w:oddHBand="0" w:evenHBand="0" w:firstRowFirstColumn="0" w:firstRowLastColumn="0" w:lastRowFirstColumn="0" w:lastRowLastColumn="0"/>
            <w:tcW w:w="2122" w:type="dxa"/>
          </w:tcPr>
          <w:p w14:paraId="6C02E00C" w14:textId="77777777" w:rsidR="007105E8" w:rsidRPr="00D04601" w:rsidRDefault="007105E8" w:rsidP="00CF53EB">
            <w:r w:rsidRPr="00D04601">
              <w:t xml:space="preserve">Vaccination complication </w:t>
            </w:r>
          </w:p>
        </w:tc>
        <w:tc>
          <w:tcPr>
            <w:tcW w:w="1417" w:type="dxa"/>
          </w:tcPr>
          <w:p w14:paraId="455A2BBD"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2 ( 3.3)</w:t>
            </w:r>
          </w:p>
        </w:tc>
        <w:tc>
          <w:tcPr>
            <w:tcW w:w="851" w:type="dxa"/>
          </w:tcPr>
          <w:p w14:paraId="2F4CC369"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[5.4]</w:t>
            </w:r>
          </w:p>
        </w:tc>
        <w:tc>
          <w:tcPr>
            <w:tcW w:w="1275" w:type="dxa"/>
          </w:tcPr>
          <w:p w14:paraId="2EF14D24"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3 (2.7)</w:t>
            </w:r>
          </w:p>
        </w:tc>
        <w:tc>
          <w:tcPr>
            <w:tcW w:w="993" w:type="dxa"/>
          </w:tcPr>
          <w:p w14:paraId="7A29282E"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[4.5]</w:t>
            </w:r>
          </w:p>
        </w:tc>
        <w:tc>
          <w:tcPr>
            <w:tcW w:w="1428" w:type="dxa"/>
          </w:tcPr>
          <w:p w14:paraId="17F75F34"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3 (2.5) </w:t>
            </w:r>
          </w:p>
        </w:tc>
        <w:tc>
          <w:tcPr>
            <w:tcW w:w="1134" w:type="dxa"/>
          </w:tcPr>
          <w:p w14:paraId="080C165A"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[3.9]</w:t>
            </w:r>
          </w:p>
        </w:tc>
      </w:tr>
      <w:tr w:rsidR="007105E8" w:rsidRPr="00D04601" w14:paraId="7F5AD4D5" w14:textId="77777777" w:rsidTr="00CF53EB">
        <w:trPr>
          <w:gridAfter w:val="1"/>
          <w:wAfter w:w="9" w:type="dxa"/>
        </w:trPr>
        <w:tc>
          <w:tcPr>
            <w:cnfStyle w:val="001000000000" w:firstRow="0" w:lastRow="0" w:firstColumn="1" w:lastColumn="0" w:oddVBand="0" w:evenVBand="0" w:oddHBand="0" w:evenHBand="0" w:firstRowFirstColumn="0" w:firstRowLastColumn="0" w:lastRowFirstColumn="0" w:lastRowLastColumn="0"/>
            <w:tcW w:w="2122" w:type="dxa"/>
          </w:tcPr>
          <w:p w14:paraId="7C69D710" w14:textId="77777777" w:rsidR="007105E8" w:rsidRPr="00D04601" w:rsidRDefault="007105E8" w:rsidP="00CF53EB">
            <w:r w:rsidRPr="00D04601">
              <w:t xml:space="preserve">Folliculitis </w:t>
            </w:r>
          </w:p>
        </w:tc>
        <w:tc>
          <w:tcPr>
            <w:tcW w:w="1417" w:type="dxa"/>
          </w:tcPr>
          <w:p w14:paraId="036C6B37"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0</w:t>
            </w:r>
          </w:p>
        </w:tc>
        <w:tc>
          <w:tcPr>
            <w:tcW w:w="851" w:type="dxa"/>
          </w:tcPr>
          <w:p w14:paraId="7159CDC2"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[0.0]</w:t>
            </w:r>
          </w:p>
        </w:tc>
        <w:tc>
          <w:tcPr>
            <w:tcW w:w="1275" w:type="dxa"/>
          </w:tcPr>
          <w:p w14:paraId="1D376ED5"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3 (2.7)</w:t>
            </w:r>
          </w:p>
        </w:tc>
        <w:tc>
          <w:tcPr>
            <w:tcW w:w="993" w:type="dxa"/>
          </w:tcPr>
          <w:p w14:paraId="72A3B5D2"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[4.4]</w:t>
            </w:r>
          </w:p>
        </w:tc>
        <w:tc>
          <w:tcPr>
            <w:tcW w:w="1428" w:type="dxa"/>
          </w:tcPr>
          <w:p w14:paraId="0D832E55"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3 ( 2.5) </w:t>
            </w:r>
          </w:p>
        </w:tc>
        <w:tc>
          <w:tcPr>
            <w:tcW w:w="1134" w:type="dxa"/>
          </w:tcPr>
          <w:p w14:paraId="7C951BDC"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[3.9]</w:t>
            </w:r>
          </w:p>
        </w:tc>
      </w:tr>
      <w:tr w:rsidR="007105E8" w:rsidRPr="00D04601" w14:paraId="33E15E8E" w14:textId="77777777" w:rsidTr="00CF53EB">
        <w:trPr>
          <w:gridAfter w:val="1"/>
          <w:wAfter w:w="9" w:type="dxa"/>
        </w:trPr>
        <w:tc>
          <w:tcPr>
            <w:cnfStyle w:val="001000000000" w:firstRow="0" w:lastRow="0" w:firstColumn="1" w:lastColumn="0" w:oddVBand="0" w:evenVBand="0" w:oddHBand="0" w:evenHBand="0" w:firstRowFirstColumn="0" w:firstRowLastColumn="0" w:lastRowFirstColumn="0" w:lastRowLastColumn="0"/>
            <w:tcW w:w="2122" w:type="dxa"/>
          </w:tcPr>
          <w:p w14:paraId="5AA3F0C7" w14:textId="77777777" w:rsidR="007105E8" w:rsidRPr="00D04601" w:rsidRDefault="007105E8" w:rsidP="00CF53EB">
            <w:r w:rsidRPr="00D04601">
              <w:t xml:space="preserve">COVID-19 </w:t>
            </w:r>
          </w:p>
        </w:tc>
        <w:tc>
          <w:tcPr>
            <w:tcW w:w="1417" w:type="dxa"/>
          </w:tcPr>
          <w:p w14:paraId="5E58F6CE"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2 (3.3) </w:t>
            </w:r>
          </w:p>
        </w:tc>
        <w:tc>
          <w:tcPr>
            <w:tcW w:w="851" w:type="dxa"/>
          </w:tcPr>
          <w:p w14:paraId="160127FC"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[5.5]</w:t>
            </w:r>
          </w:p>
        </w:tc>
        <w:tc>
          <w:tcPr>
            <w:tcW w:w="1275" w:type="dxa"/>
          </w:tcPr>
          <w:p w14:paraId="4567BEA5"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3 (2.6) </w:t>
            </w:r>
          </w:p>
        </w:tc>
        <w:tc>
          <w:tcPr>
            <w:tcW w:w="993" w:type="dxa"/>
          </w:tcPr>
          <w:p w14:paraId="3809A073"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[4.2]</w:t>
            </w:r>
          </w:p>
        </w:tc>
        <w:tc>
          <w:tcPr>
            <w:tcW w:w="1428" w:type="dxa"/>
          </w:tcPr>
          <w:p w14:paraId="645D33D1"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11 ( 9.4) </w:t>
            </w:r>
          </w:p>
        </w:tc>
        <w:tc>
          <w:tcPr>
            <w:tcW w:w="1134" w:type="dxa"/>
          </w:tcPr>
          <w:p w14:paraId="6699C32C"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[14.9]</w:t>
            </w:r>
          </w:p>
        </w:tc>
      </w:tr>
      <w:tr w:rsidR="007105E8" w:rsidRPr="00D04601" w14:paraId="72217D86" w14:textId="77777777" w:rsidTr="00CF53EB">
        <w:trPr>
          <w:gridAfter w:val="1"/>
          <w:wAfter w:w="9" w:type="dxa"/>
        </w:trPr>
        <w:tc>
          <w:tcPr>
            <w:cnfStyle w:val="001000000000" w:firstRow="0" w:lastRow="0" w:firstColumn="1" w:lastColumn="0" w:oddVBand="0" w:evenVBand="0" w:oddHBand="0" w:evenHBand="0" w:firstRowFirstColumn="0" w:firstRowLastColumn="0" w:lastRowFirstColumn="0" w:lastRowLastColumn="0"/>
            <w:tcW w:w="2122" w:type="dxa"/>
          </w:tcPr>
          <w:p w14:paraId="67F532D1" w14:textId="77777777" w:rsidR="007105E8" w:rsidRPr="00D04601" w:rsidRDefault="007105E8" w:rsidP="00CF53EB">
            <w:r w:rsidRPr="00D04601">
              <w:t xml:space="preserve">Conjunctivitis allergic </w:t>
            </w:r>
          </w:p>
        </w:tc>
        <w:tc>
          <w:tcPr>
            <w:tcW w:w="1417" w:type="dxa"/>
          </w:tcPr>
          <w:p w14:paraId="44AB75D6"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2 (3.3) </w:t>
            </w:r>
          </w:p>
        </w:tc>
        <w:tc>
          <w:tcPr>
            <w:tcW w:w="851" w:type="dxa"/>
          </w:tcPr>
          <w:p w14:paraId="00D45A87"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[5.5]</w:t>
            </w:r>
          </w:p>
        </w:tc>
        <w:tc>
          <w:tcPr>
            <w:tcW w:w="1275" w:type="dxa"/>
          </w:tcPr>
          <w:p w14:paraId="6DA1A0F7"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2 (1.8) </w:t>
            </w:r>
          </w:p>
        </w:tc>
        <w:tc>
          <w:tcPr>
            <w:tcW w:w="993" w:type="dxa"/>
          </w:tcPr>
          <w:p w14:paraId="6CA91F36"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[2.9]</w:t>
            </w:r>
          </w:p>
        </w:tc>
        <w:tc>
          <w:tcPr>
            <w:tcW w:w="1428" w:type="dxa"/>
          </w:tcPr>
          <w:p w14:paraId="2F1F4D2F"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7 (5.9) </w:t>
            </w:r>
          </w:p>
        </w:tc>
        <w:tc>
          <w:tcPr>
            <w:tcW w:w="1134" w:type="dxa"/>
          </w:tcPr>
          <w:p w14:paraId="5EE0D392"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[9.4]</w:t>
            </w:r>
          </w:p>
        </w:tc>
      </w:tr>
      <w:tr w:rsidR="007105E8" w:rsidRPr="00D04601" w14:paraId="28A2A901" w14:textId="77777777" w:rsidTr="00CF53EB">
        <w:trPr>
          <w:gridAfter w:val="1"/>
          <w:wAfter w:w="9" w:type="dxa"/>
        </w:trPr>
        <w:tc>
          <w:tcPr>
            <w:cnfStyle w:val="001000000000" w:firstRow="0" w:lastRow="0" w:firstColumn="1" w:lastColumn="0" w:oddVBand="0" w:evenVBand="0" w:oddHBand="0" w:evenHBand="0" w:firstRowFirstColumn="0" w:firstRowLastColumn="0" w:lastRowFirstColumn="0" w:lastRowLastColumn="0"/>
            <w:tcW w:w="2122" w:type="dxa"/>
          </w:tcPr>
          <w:p w14:paraId="09D976B1" w14:textId="77777777" w:rsidR="007105E8" w:rsidRPr="00D04601" w:rsidRDefault="007105E8" w:rsidP="00CF53EB">
            <w:r w:rsidRPr="00D04601">
              <w:t>URTI</w:t>
            </w:r>
          </w:p>
        </w:tc>
        <w:tc>
          <w:tcPr>
            <w:tcW w:w="1417" w:type="dxa"/>
          </w:tcPr>
          <w:p w14:paraId="76AB2543"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3 (5.1)] </w:t>
            </w:r>
          </w:p>
        </w:tc>
        <w:tc>
          <w:tcPr>
            <w:tcW w:w="851" w:type="dxa"/>
          </w:tcPr>
          <w:p w14:paraId="1EC167B0"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[8.8] </w:t>
            </w:r>
          </w:p>
        </w:tc>
        <w:tc>
          <w:tcPr>
            <w:tcW w:w="1275" w:type="dxa"/>
          </w:tcPr>
          <w:p w14:paraId="7CB39796"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2 (1.8) </w:t>
            </w:r>
          </w:p>
        </w:tc>
        <w:tc>
          <w:tcPr>
            <w:tcW w:w="993" w:type="dxa"/>
          </w:tcPr>
          <w:p w14:paraId="10CB4EBB"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[2.9]</w:t>
            </w:r>
          </w:p>
        </w:tc>
        <w:tc>
          <w:tcPr>
            <w:tcW w:w="1428" w:type="dxa"/>
          </w:tcPr>
          <w:p w14:paraId="62980B83"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2 ( 1.7) </w:t>
            </w:r>
          </w:p>
        </w:tc>
        <w:tc>
          <w:tcPr>
            <w:tcW w:w="1134" w:type="dxa"/>
          </w:tcPr>
          <w:p w14:paraId="7DFE878A"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[2.6]</w:t>
            </w:r>
          </w:p>
        </w:tc>
      </w:tr>
      <w:tr w:rsidR="007105E8" w:rsidRPr="00D04601" w14:paraId="207E26CA" w14:textId="77777777" w:rsidTr="00CF53EB">
        <w:trPr>
          <w:gridAfter w:val="1"/>
          <w:wAfter w:w="9" w:type="dxa"/>
        </w:trPr>
        <w:tc>
          <w:tcPr>
            <w:cnfStyle w:val="001000000000" w:firstRow="0" w:lastRow="0" w:firstColumn="1" w:lastColumn="0" w:oddVBand="0" w:evenVBand="0" w:oddHBand="0" w:evenHBand="0" w:firstRowFirstColumn="0" w:firstRowLastColumn="0" w:lastRowFirstColumn="0" w:lastRowLastColumn="0"/>
            <w:tcW w:w="2122" w:type="dxa"/>
          </w:tcPr>
          <w:p w14:paraId="033A4630" w14:textId="77777777" w:rsidR="007105E8" w:rsidRPr="00D04601" w:rsidRDefault="007105E8" w:rsidP="00CF53EB">
            <w:r w:rsidRPr="00D04601">
              <w:t>Headache</w:t>
            </w:r>
          </w:p>
        </w:tc>
        <w:tc>
          <w:tcPr>
            <w:tcW w:w="1417" w:type="dxa"/>
          </w:tcPr>
          <w:p w14:paraId="6DA3431A"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1 (1.6) </w:t>
            </w:r>
          </w:p>
        </w:tc>
        <w:tc>
          <w:tcPr>
            <w:tcW w:w="851" w:type="dxa"/>
          </w:tcPr>
          <w:p w14:paraId="2B5227F9"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[2.7]</w:t>
            </w:r>
          </w:p>
        </w:tc>
        <w:tc>
          <w:tcPr>
            <w:tcW w:w="1275" w:type="dxa"/>
          </w:tcPr>
          <w:p w14:paraId="09D438AD"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1 (0.9) </w:t>
            </w:r>
          </w:p>
        </w:tc>
        <w:tc>
          <w:tcPr>
            <w:tcW w:w="993" w:type="dxa"/>
          </w:tcPr>
          <w:p w14:paraId="2D8F07AF"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[1.5]</w:t>
            </w:r>
          </w:p>
        </w:tc>
        <w:tc>
          <w:tcPr>
            <w:tcW w:w="1428" w:type="dxa"/>
          </w:tcPr>
          <w:p w14:paraId="63269F50"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5 (4.2) </w:t>
            </w:r>
          </w:p>
        </w:tc>
        <w:tc>
          <w:tcPr>
            <w:tcW w:w="1134" w:type="dxa"/>
          </w:tcPr>
          <w:p w14:paraId="5BBA98A0"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[6.5]</w:t>
            </w:r>
          </w:p>
        </w:tc>
      </w:tr>
      <w:tr w:rsidR="007105E8" w:rsidRPr="00D04601" w14:paraId="5E7D5EAA" w14:textId="77777777" w:rsidTr="00CF53EB">
        <w:trPr>
          <w:gridAfter w:val="1"/>
          <w:wAfter w:w="9" w:type="dxa"/>
        </w:trPr>
        <w:tc>
          <w:tcPr>
            <w:cnfStyle w:val="001000000000" w:firstRow="0" w:lastRow="0" w:firstColumn="1" w:lastColumn="0" w:oddVBand="0" w:evenVBand="0" w:oddHBand="0" w:evenHBand="0" w:firstRowFirstColumn="0" w:firstRowLastColumn="0" w:lastRowFirstColumn="0" w:lastRowLastColumn="0"/>
            <w:tcW w:w="2122" w:type="dxa"/>
          </w:tcPr>
          <w:p w14:paraId="22A2E61B" w14:textId="77777777" w:rsidR="007105E8" w:rsidRPr="00D04601" w:rsidRDefault="007105E8" w:rsidP="00CF53EB">
            <w:r w:rsidRPr="00D04601">
              <w:t>Oral herpes</w:t>
            </w:r>
          </w:p>
        </w:tc>
        <w:tc>
          <w:tcPr>
            <w:tcW w:w="1417" w:type="dxa"/>
          </w:tcPr>
          <w:p w14:paraId="5E6261AA"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1 (1.6) </w:t>
            </w:r>
          </w:p>
        </w:tc>
        <w:tc>
          <w:tcPr>
            <w:tcW w:w="851" w:type="dxa"/>
          </w:tcPr>
          <w:p w14:paraId="7F499803"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[2.7] </w:t>
            </w:r>
          </w:p>
        </w:tc>
        <w:tc>
          <w:tcPr>
            <w:tcW w:w="1275" w:type="dxa"/>
          </w:tcPr>
          <w:p w14:paraId="4559A273"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1 (0.9)</w:t>
            </w:r>
          </w:p>
        </w:tc>
        <w:tc>
          <w:tcPr>
            <w:tcW w:w="993" w:type="dxa"/>
          </w:tcPr>
          <w:p w14:paraId="1AB9FD42"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[1.4]</w:t>
            </w:r>
          </w:p>
        </w:tc>
        <w:tc>
          <w:tcPr>
            <w:tcW w:w="1428" w:type="dxa"/>
          </w:tcPr>
          <w:p w14:paraId="6C357A88"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4 (3.4) </w:t>
            </w:r>
          </w:p>
        </w:tc>
        <w:tc>
          <w:tcPr>
            <w:tcW w:w="1134" w:type="dxa"/>
          </w:tcPr>
          <w:p w14:paraId="5AAA9E07"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[5.2]</w:t>
            </w:r>
          </w:p>
        </w:tc>
      </w:tr>
      <w:tr w:rsidR="007105E8" w:rsidRPr="00D04601" w14:paraId="14745883" w14:textId="77777777" w:rsidTr="00CF53EB">
        <w:trPr>
          <w:gridAfter w:val="1"/>
          <w:wAfter w:w="9" w:type="dxa"/>
        </w:trPr>
        <w:tc>
          <w:tcPr>
            <w:cnfStyle w:val="001000000000" w:firstRow="0" w:lastRow="0" w:firstColumn="1" w:lastColumn="0" w:oddVBand="0" w:evenVBand="0" w:oddHBand="0" w:evenHBand="0" w:firstRowFirstColumn="0" w:firstRowLastColumn="0" w:lastRowFirstColumn="0" w:lastRowLastColumn="0"/>
            <w:tcW w:w="2122" w:type="dxa"/>
          </w:tcPr>
          <w:p w14:paraId="0AA57DB9" w14:textId="77777777" w:rsidR="007105E8" w:rsidRPr="00D04601" w:rsidRDefault="007105E8" w:rsidP="00CF53EB">
            <w:r w:rsidRPr="00D04601">
              <w:t>Food allergy</w:t>
            </w:r>
          </w:p>
        </w:tc>
        <w:tc>
          <w:tcPr>
            <w:tcW w:w="1417" w:type="dxa"/>
          </w:tcPr>
          <w:p w14:paraId="09D4CD25"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0  </w:t>
            </w:r>
          </w:p>
        </w:tc>
        <w:tc>
          <w:tcPr>
            <w:tcW w:w="851" w:type="dxa"/>
          </w:tcPr>
          <w:p w14:paraId="43CEBAFD"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[0.0] </w:t>
            </w:r>
          </w:p>
        </w:tc>
        <w:tc>
          <w:tcPr>
            <w:tcW w:w="1275" w:type="dxa"/>
          </w:tcPr>
          <w:p w14:paraId="6CE85EBD"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1 (0.9) </w:t>
            </w:r>
          </w:p>
        </w:tc>
        <w:tc>
          <w:tcPr>
            <w:tcW w:w="993" w:type="dxa"/>
          </w:tcPr>
          <w:p w14:paraId="298768E8"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[3.0]</w:t>
            </w:r>
          </w:p>
        </w:tc>
        <w:tc>
          <w:tcPr>
            <w:tcW w:w="1428" w:type="dxa"/>
          </w:tcPr>
          <w:p w14:paraId="4AD043A7"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3 (2.5) </w:t>
            </w:r>
          </w:p>
        </w:tc>
        <w:tc>
          <w:tcPr>
            <w:tcW w:w="1134" w:type="dxa"/>
          </w:tcPr>
          <w:p w14:paraId="32C0406D"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[3.9]</w:t>
            </w:r>
          </w:p>
        </w:tc>
      </w:tr>
      <w:tr w:rsidR="007105E8" w:rsidRPr="00D04601" w14:paraId="38338B99" w14:textId="77777777" w:rsidTr="00CF53EB">
        <w:trPr>
          <w:gridAfter w:val="1"/>
          <w:wAfter w:w="9" w:type="dxa"/>
        </w:trPr>
        <w:tc>
          <w:tcPr>
            <w:cnfStyle w:val="001000000000" w:firstRow="0" w:lastRow="0" w:firstColumn="1" w:lastColumn="0" w:oddVBand="0" w:evenVBand="0" w:oddHBand="0" w:evenHBand="0" w:firstRowFirstColumn="0" w:firstRowLastColumn="0" w:lastRowFirstColumn="0" w:lastRowLastColumn="0"/>
            <w:tcW w:w="2122" w:type="dxa"/>
          </w:tcPr>
          <w:p w14:paraId="4E7454EF" w14:textId="77777777" w:rsidR="007105E8" w:rsidRPr="00D04601" w:rsidRDefault="007105E8" w:rsidP="00CF53EB">
            <w:r w:rsidRPr="00D04601">
              <w:t xml:space="preserve">Herpes dermatitis </w:t>
            </w:r>
          </w:p>
        </w:tc>
        <w:tc>
          <w:tcPr>
            <w:tcW w:w="1417" w:type="dxa"/>
          </w:tcPr>
          <w:p w14:paraId="5FEB2944"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0</w:t>
            </w:r>
          </w:p>
        </w:tc>
        <w:tc>
          <w:tcPr>
            <w:tcW w:w="851" w:type="dxa"/>
          </w:tcPr>
          <w:p w14:paraId="5B9B0ABD"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[0.0]</w:t>
            </w:r>
          </w:p>
        </w:tc>
        <w:tc>
          <w:tcPr>
            <w:tcW w:w="1275" w:type="dxa"/>
          </w:tcPr>
          <w:p w14:paraId="65F7EA38"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1 (0.9) </w:t>
            </w:r>
          </w:p>
        </w:tc>
        <w:tc>
          <w:tcPr>
            <w:tcW w:w="993" w:type="dxa"/>
          </w:tcPr>
          <w:p w14:paraId="72E16652"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[1.4]</w:t>
            </w:r>
          </w:p>
        </w:tc>
        <w:tc>
          <w:tcPr>
            <w:tcW w:w="1428" w:type="dxa"/>
          </w:tcPr>
          <w:p w14:paraId="4C1F3AEB"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3 (2.5) </w:t>
            </w:r>
          </w:p>
        </w:tc>
        <w:tc>
          <w:tcPr>
            <w:tcW w:w="1134" w:type="dxa"/>
          </w:tcPr>
          <w:p w14:paraId="65242F32"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[3.9]</w:t>
            </w:r>
          </w:p>
        </w:tc>
      </w:tr>
      <w:tr w:rsidR="007105E8" w:rsidRPr="00D04601" w14:paraId="55BC6C8E" w14:textId="77777777" w:rsidTr="00CF53EB">
        <w:trPr>
          <w:gridAfter w:val="1"/>
          <w:wAfter w:w="9" w:type="dxa"/>
        </w:trPr>
        <w:tc>
          <w:tcPr>
            <w:cnfStyle w:val="001000000000" w:firstRow="0" w:lastRow="0" w:firstColumn="1" w:lastColumn="0" w:oddVBand="0" w:evenVBand="0" w:oddHBand="0" w:evenHBand="0" w:firstRowFirstColumn="0" w:firstRowLastColumn="0" w:lastRowFirstColumn="0" w:lastRowLastColumn="0"/>
            <w:tcW w:w="2122" w:type="dxa"/>
          </w:tcPr>
          <w:p w14:paraId="2C7F3EC8" w14:textId="77777777" w:rsidR="007105E8" w:rsidRPr="00D04601" w:rsidRDefault="007105E8" w:rsidP="00CF53EB">
            <w:r w:rsidRPr="00D04601">
              <w:t>Conjunctivitis</w:t>
            </w:r>
          </w:p>
        </w:tc>
        <w:tc>
          <w:tcPr>
            <w:tcW w:w="1417" w:type="dxa"/>
          </w:tcPr>
          <w:p w14:paraId="28983C19"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3 [ 5.0]</w:t>
            </w:r>
          </w:p>
        </w:tc>
        <w:tc>
          <w:tcPr>
            <w:tcW w:w="851" w:type="dxa"/>
          </w:tcPr>
          <w:p w14:paraId="734662D2"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[8.4]</w:t>
            </w:r>
          </w:p>
        </w:tc>
        <w:tc>
          <w:tcPr>
            <w:tcW w:w="1275" w:type="dxa"/>
          </w:tcPr>
          <w:p w14:paraId="6E4A0706"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0</w:t>
            </w:r>
          </w:p>
        </w:tc>
        <w:tc>
          <w:tcPr>
            <w:tcW w:w="993" w:type="dxa"/>
          </w:tcPr>
          <w:p w14:paraId="28FC7162"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[0.0]</w:t>
            </w:r>
          </w:p>
        </w:tc>
        <w:tc>
          <w:tcPr>
            <w:tcW w:w="1428" w:type="dxa"/>
          </w:tcPr>
          <w:p w14:paraId="77968E58"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 xml:space="preserve">6 (5.0) </w:t>
            </w:r>
          </w:p>
        </w:tc>
        <w:tc>
          <w:tcPr>
            <w:tcW w:w="1134" w:type="dxa"/>
          </w:tcPr>
          <w:p w14:paraId="65DFCCB0" w14:textId="77777777" w:rsidR="007105E8" w:rsidRPr="00D04601" w:rsidRDefault="007105E8" w:rsidP="00CF53EB">
            <w:pPr>
              <w:cnfStyle w:val="000000000000" w:firstRow="0" w:lastRow="0" w:firstColumn="0" w:lastColumn="0" w:oddVBand="0" w:evenVBand="0" w:oddHBand="0" w:evenHBand="0" w:firstRowFirstColumn="0" w:firstRowLastColumn="0" w:lastRowFirstColumn="0" w:lastRowLastColumn="0"/>
            </w:pPr>
            <w:r w:rsidRPr="00D04601">
              <w:t>[8.1]</w:t>
            </w:r>
          </w:p>
        </w:tc>
      </w:tr>
    </w:tbl>
    <w:p w14:paraId="389D5DA7" w14:textId="795DA790" w:rsidR="007105E8" w:rsidRPr="00451D5C" w:rsidRDefault="007105E8" w:rsidP="00AC7EC4">
      <w:pPr>
        <w:pStyle w:val="TableDescription"/>
      </w:pPr>
      <w:r w:rsidRPr="00184401">
        <w:t xml:space="preserve">TEAE = treatment emergent adverse events (AEs); n (adj %) = number of participants with an event study size-adjusted percentage; adj IR = study-size adjusted incidence rate </w:t>
      </w:r>
      <w:r>
        <w:t xml:space="preserve">per </w:t>
      </w:r>
      <w:r w:rsidRPr="00184401">
        <w:t>100 patient years; Q2W = every 2 weeks; Q4W = every 4 weeks; PYE = patient years of exposure; LEB = lebrikizumab; mono = monotherapy</w:t>
      </w:r>
      <w:r w:rsidR="00F516F7">
        <w:t>.</w:t>
      </w:r>
    </w:p>
    <w:p w14:paraId="081E8FE3" w14:textId="20E80A63" w:rsidR="007105E8" w:rsidRDefault="007105E8" w:rsidP="007105E8">
      <w:pPr>
        <w:autoSpaceDE w:val="0"/>
        <w:autoSpaceDN w:val="0"/>
        <w:adjustRightInd w:val="0"/>
        <w:spacing w:line="240" w:lineRule="auto"/>
      </w:pPr>
      <w:r w:rsidRPr="00500A4D">
        <w:t xml:space="preserve">In the </w:t>
      </w:r>
      <w:r w:rsidRPr="00500A4D">
        <w:rPr>
          <w:i/>
          <w:iCs/>
        </w:rPr>
        <w:t xml:space="preserve">AD All PC Weeks 0-16 </w:t>
      </w:r>
      <w:r w:rsidRPr="00500A4D">
        <w:t xml:space="preserve">analysis set, </w:t>
      </w:r>
      <w:r>
        <w:t>SAEs were reported in 1.3% of participants in the lebrikizumab group and 1.9% of participants in the placebo group, with none of the SAE preferred terms in the lebrikizumab group reported in more than 1 participant</w:t>
      </w:r>
      <w:r w:rsidR="00F516F7">
        <w:t xml:space="preserve">. </w:t>
      </w:r>
      <w:r>
        <w:t xml:space="preserve">In the </w:t>
      </w:r>
      <w:r w:rsidRPr="00A6100E">
        <w:rPr>
          <w:i/>
          <w:iCs/>
        </w:rPr>
        <w:t>AD Mono PC Weeks 16 to 52</w:t>
      </w:r>
      <w:r>
        <w:t xml:space="preserve"> analysis set, SAEs were reported in 1 (1.6%), 2 (1.8%), and 2 (1.7%) participants in the placebo, LEB 250 mg Q2W and LEB 250 mg Q4W groups, respectively (</w:t>
      </w:r>
      <w:r>
        <w:fldChar w:fldCharType="begin"/>
      </w:r>
      <w:r>
        <w:instrText xml:space="preserve"> REF _Ref147240127 \h </w:instrText>
      </w:r>
      <w:r>
        <w:fldChar w:fldCharType="separate"/>
      </w:r>
      <w:r>
        <w:t xml:space="preserve">Table </w:t>
      </w:r>
      <w:r>
        <w:rPr>
          <w:noProof/>
        </w:rPr>
        <w:t>23</w:t>
      </w:r>
      <w:r>
        <w:fldChar w:fldCharType="end"/>
      </w:r>
      <w:r>
        <w:t>)</w:t>
      </w:r>
      <w:r w:rsidR="00F516F7">
        <w:t xml:space="preserve">. </w:t>
      </w:r>
      <w:r>
        <w:t>There were 4 deaths reported in the lebrikizumab clinical development program: 1 death due to myocardial infarction in the placebo group during the induction period</w:t>
      </w:r>
      <w:r w:rsidRPr="00FB74A9">
        <w:t xml:space="preserve"> </w:t>
      </w:r>
      <w:r>
        <w:t>of KGAC and</w:t>
      </w:r>
      <w:r>
        <w:rPr>
          <w:rFonts w:eastAsia="SymbolMT" w:cs="TimesNewRomanPSMT"/>
        </w:rPr>
        <w:t xml:space="preserve"> </w:t>
      </w:r>
      <w:r w:rsidRPr="00045373">
        <w:rPr>
          <w:rFonts w:eastAsia="SymbolMT" w:cs="TimesNewRomanPSMT"/>
        </w:rPr>
        <w:t xml:space="preserve">3 deaths in participants treated with </w:t>
      </w:r>
      <w:r>
        <w:rPr>
          <w:rFonts w:eastAsia="SymbolMT" w:cs="TimesNewRomanPSMT"/>
        </w:rPr>
        <w:t>lebrikizumab</w:t>
      </w:r>
      <w:r w:rsidRPr="00045373">
        <w:rPr>
          <w:rFonts w:eastAsia="SymbolMT" w:cs="TimesNewRomanPSMT"/>
        </w:rPr>
        <w:t xml:space="preserve"> 250 mg Q2W</w:t>
      </w:r>
      <w:r>
        <w:rPr>
          <w:rFonts w:eastAsia="SymbolMT" w:cs="TimesNewRomanPSMT"/>
        </w:rPr>
        <w:t>,</w:t>
      </w:r>
      <w:r>
        <w:t xml:space="preserve"> none of which were assessed as related to study drug</w:t>
      </w:r>
      <w:r w:rsidR="00F516F7">
        <w:t xml:space="preserve">. </w:t>
      </w:r>
    </w:p>
    <w:p w14:paraId="17829E21" w14:textId="28C746C6" w:rsidR="007105E8" w:rsidRPr="00AC7EC4" w:rsidRDefault="007105E8" w:rsidP="007105E8">
      <w:pPr>
        <w:autoSpaceDE w:val="0"/>
        <w:autoSpaceDN w:val="0"/>
        <w:adjustRightInd w:val="0"/>
        <w:spacing w:line="240" w:lineRule="auto"/>
        <w:rPr>
          <w:rFonts w:eastAsia="SymbolMT" w:cs="TimesNewRomanPSMT"/>
        </w:rPr>
      </w:pPr>
      <w:r w:rsidRPr="00AC7EC4">
        <w:t xml:space="preserve">In the </w:t>
      </w:r>
      <w:r w:rsidRPr="00AC7EC4">
        <w:rPr>
          <w:i/>
          <w:iCs/>
        </w:rPr>
        <w:t xml:space="preserve">AD All PC Weeks 0-16 </w:t>
      </w:r>
      <w:r w:rsidRPr="00AC7EC4">
        <w:t>analysis set, d</w:t>
      </w:r>
      <w:r w:rsidRPr="00AC7EC4">
        <w:rPr>
          <w:rFonts w:eastAsia="SymbolMT" w:cs="TimesNewRomanPSMT"/>
        </w:rPr>
        <w:t>iscontinuation of study treatment due to AE was reported in 18 (2.3%) participants in the lebrikizumab group and 6 (1.4%) participants in the placebo group</w:t>
      </w:r>
      <w:r w:rsidR="00F516F7">
        <w:rPr>
          <w:rFonts w:eastAsia="SymbolMT" w:cs="TimesNewRomanPSMT"/>
        </w:rPr>
        <w:t xml:space="preserve">. </w:t>
      </w:r>
      <w:r w:rsidRPr="00AC7EC4">
        <w:rPr>
          <w:rFonts w:eastAsia="SymbolMT" w:cs="TimesNewRomanPSMT"/>
        </w:rPr>
        <w:t xml:space="preserve">In the lebrikizumab group, AEs leading to discontinuation of study treatment included atopic dermatitis (4 [0.5%] participants), conjunctivitis (2 [0.3%] participants), and </w:t>
      </w:r>
      <w:r w:rsidRPr="00AC7EC4">
        <w:rPr>
          <w:rFonts w:cs="TimesNewRomanPSMT"/>
        </w:rPr>
        <w:t>atopic keratoconjunctivitis, cerebellar syndrome, conjunctivitis bacterial, dermatitis allergic, dermatitis exfoliative generalised, folliculitis, drug hypersensitivity, injection site dermatitis, injection site rash, keratitis, oedema peripheral, and panic attack (1 participant each)</w:t>
      </w:r>
      <w:r w:rsidR="00F516F7">
        <w:rPr>
          <w:rFonts w:cs="TimesNewRomanPSMT"/>
        </w:rPr>
        <w:t xml:space="preserve">. </w:t>
      </w:r>
      <w:r w:rsidRPr="00AC7EC4">
        <w:t>D</w:t>
      </w:r>
      <w:r w:rsidRPr="00AC7EC4">
        <w:rPr>
          <w:rFonts w:eastAsia="SymbolMT" w:cs="TimesNewRomanPSMT"/>
        </w:rPr>
        <w:t>iscontinuation of study treatment due to AE remained infrequent throughout the maintenance period to Week 52 (</w:t>
      </w:r>
      <w:r w:rsidR="00E079A6">
        <w:rPr>
          <w:rFonts w:eastAsia="SymbolMT" w:cs="TimesNewRomanPSMT"/>
        </w:rPr>
        <w:t>Table 25</w:t>
      </w:r>
      <w:r w:rsidRPr="00AC7EC4">
        <w:rPr>
          <w:rFonts w:eastAsia="SymbolMT" w:cs="TimesNewRomanPSMT"/>
        </w:rPr>
        <w:t>).</w:t>
      </w:r>
    </w:p>
    <w:p w14:paraId="08F92757" w14:textId="75B5DA76" w:rsidR="007105E8" w:rsidRPr="00AC7EC4" w:rsidRDefault="007105E8" w:rsidP="007105E8">
      <w:r w:rsidRPr="00AC7EC4">
        <w:rPr>
          <w:rFonts w:cs="TimesNewRomanPSMT"/>
        </w:rPr>
        <w:t>12-lead ECGs were collected for detailed safety assessments in three clinical pharmacology Phase 1 studies in healthy subjects (KGAY, KGAZ, and KGBB)</w:t>
      </w:r>
      <w:r w:rsidR="00F516F7">
        <w:rPr>
          <w:rFonts w:cs="TimesNewRomanPSMT"/>
        </w:rPr>
        <w:t xml:space="preserve">. </w:t>
      </w:r>
      <w:r w:rsidRPr="00AC7EC4">
        <w:rPr>
          <w:rFonts w:cs="TimesNewRomanPSMT"/>
        </w:rPr>
        <w:t xml:space="preserve">There were </w:t>
      </w:r>
      <w:r w:rsidRPr="00AC7EC4">
        <w:t>no clinically significant ECG findings or TEAEs related to ECG findings</w:t>
      </w:r>
      <w:r w:rsidR="00F516F7">
        <w:t xml:space="preserve">. </w:t>
      </w:r>
      <w:r w:rsidRPr="00AC7EC4">
        <w:t>The totality of the data for cardiac disorders and ECG abnormalities indicates that treatment with lebrikizumab in patients with moderate-to-severe AD is not associated with clinically significant cardiac toxicity.</w:t>
      </w:r>
    </w:p>
    <w:p w14:paraId="5966F5CB" w14:textId="578A3A0B" w:rsidR="007105E8" w:rsidRPr="00AC7EC4" w:rsidRDefault="007105E8" w:rsidP="007105E8">
      <w:r w:rsidRPr="00AC7EC4">
        <w:t>No clinically meaningful impacts on clinical chemistry or haematological laboratory parameters were observed in the placebo-controlled induction and maintenance periods</w:t>
      </w:r>
      <w:r w:rsidR="00F516F7">
        <w:t xml:space="preserve">. </w:t>
      </w:r>
      <w:r w:rsidRPr="00AC7EC4">
        <w:t xml:space="preserve">Hepatic safety was assessed as an </w:t>
      </w:r>
      <w:r w:rsidRPr="00AC7EC4">
        <w:rPr>
          <w:rFonts w:cs="TimesNewRomanPSMT"/>
          <w:color w:val="000000"/>
        </w:rPr>
        <w:t>adverse events of special interest (</w:t>
      </w:r>
      <w:r w:rsidRPr="00AC7EC4">
        <w:t>AESI) and the evaluation did not identify concern regarding hepatic toxicity.</w:t>
      </w:r>
    </w:p>
    <w:p w14:paraId="5DF047A2" w14:textId="77777777" w:rsidR="007105E8" w:rsidRPr="00AC7EC4" w:rsidRDefault="007105E8" w:rsidP="007105E8">
      <w:pPr>
        <w:rPr>
          <w:rFonts w:cs="TimesNewRomanPSMT"/>
          <w:color w:val="000000"/>
        </w:rPr>
      </w:pPr>
      <w:r w:rsidRPr="00AC7EC4">
        <w:rPr>
          <w:rFonts w:cs="TimesNewRomanPSMT"/>
          <w:color w:val="000000"/>
        </w:rPr>
        <w:t xml:space="preserve">Other AESIs included conjunctivitis and keratitis, infections, eosinophilia and eosinophil-related disorders, hypersensitivity reactions,  </w:t>
      </w:r>
      <w:r w:rsidRPr="00AC7EC4">
        <w:rPr>
          <w:rFonts w:cs="TimesNewRomanPSMT"/>
        </w:rPr>
        <w:t>injection site reactions</w:t>
      </w:r>
      <w:r w:rsidRPr="00AC7EC4">
        <w:rPr>
          <w:rFonts w:cs="TimesNewRomanPSMT"/>
          <w:color w:val="000000"/>
        </w:rPr>
        <w:t>, AD exacerbation, suicide/self-injury, and malignancies.</w:t>
      </w:r>
    </w:p>
    <w:p w14:paraId="65F8F85A" w14:textId="326BB271" w:rsidR="007105E8" w:rsidRPr="00AC7EC4" w:rsidRDefault="007105E8" w:rsidP="007105E8">
      <w:pPr>
        <w:autoSpaceDE w:val="0"/>
        <w:autoSpaceDN w:val="0"/>
        <w:adjustRightInd w:val="0"/>
        <w:rPr>
          <w:rFonts w:cs="TimesNewRomanPSMT"/>
        </w:rPr>
      </w:pPr>
      <w:r w:rsidRPr="00AC7EC4">
        <w:rPr>
          <w:rFonts w:cs="TimesNewRomanPSMT"/>
        </w:rPr>
        <w:t>Conjunctivitis was defined as an AESI due to the potential association with the mechanism of action of lebrikizumab, the AEs observed for other drugs in the same class, and the increased likelihood for this disorder in the AD population</w:t>
      </w:r>
      <w:r w:rsidR="00F516F7">
        <w:rPr>
          <w:rFonts w:cs="TimesNewRomanPSMT"/>
        </w:rPr>
        <w:t xml:space="preserve">. </w:t>
      </w:r>
      <w:r w:rsidRPr="00AC7EC4">
        <w:rPr>
          <w:rFonts w:cs="TimesNewRomanPSMT"/>
        </w:rPr>
        <w:t>The evaluation assessed broadly defined clusters of conjunctivitis, keratitis, ocular symptoms, and dry eye, as well as blepharitis</w:t>
      </w:r>
      <w:r w:rsidR="00F516F7">
        <w:rPr>
          <w:rFonts w:cs="TimesNewRomanPSMT"/>
        </w:rPr>
        <w:t xml:space="preserve">. </w:t>
      </w:r>
      <w:r w:rsidRPr="00AC7EC4">
        <w:rPr>
          <w:rFonts w:cs="TimesNewRomanPSMT"/>
        </w:rPr>
        <w:t>Conjunctivitis cluster TEAEs reported in the induction period are summarised in</w:t>
      </w:r>
      <w:r w:rsidR="00E079A6">
        <w:rPr>
          <w:rFonts w:cs="TimesNewRomanPSMT"/>
        </w:rPr>
        <w:t xml:space="preserve"> Table 28</w:t>
      </w:r>
      <w:r w:rsidR="00F516F7">
        <w:rPr>
          <w:rFonts w:cs="TimesNewRomanPSMT"/>
        </w:rPr>
        <w:t xml:space="preserve">. </w:t>
      </w:r>
      <w:r w:rsidRPr="00AC7EC4">
        <w:rPr>
          <w:rFonts w:cs="TimesNewRomanPS-BoldItalicMT"/>
        </w:rPr>
        <w:t>In the</w:t>
      </w:r>
      <w:r w:rsidRPr="00AC7EC4">
        <w:rPr>
          <w:rFonts w:cs="TimesNewRomanPS-BoldItalicMT"/>
          <w:i/>
          <w:iCs/>
        </w:rPr>
        <w:t xml:space="preserve"> AD ALL PC Weeks 0-16 </w:t>
      </w:r>
      <w:r w:rsidRPr="00AC7EC4">
        <w:rPr>
          <w:rFonts w:cs="TimesNewRomanPS-BoldItalicMT"/>
        </w:rPr>
        <w:t>analysis set</w:t>
      </w:r>
      <w:r w:rsidRPr="00AC7EC4">
        <w:rPr>
          <w:rFonts w:cs="TimesNewRomanPSMT"/>
        </w:rPr>
        <w:t>, all TEAEs in these clusters reported in the LEB 250 mg Q2W group were mild or moderate in severity</w:t>
      </w:r>
      <w:r w:rsidR="00F516F7">
        <w:rPr>
          <w:rFonts w:cs="TimesNewRomanPSMT"/>
        </w:rPr>
        <w:t xml:space="preserve">. </w:t>
      </w:r>
      <w:r w:rsidRPr="00AC7EC4">
        <w:rPr>
          <w:rFonts w:cs="TimesNewRomanPSMT"/>
        </w:rPr>
        <w:t>A severe TEAE of blepharitis was reported in 1 lebrikizumab-treated participant</w:t>
      </w:r>
      <w:r w:rsidR="00F516F7">
        <w:rPr>
          <w:rFonts w:cs="TimesNewRomanPSMT"/>
        </w:rPr>
        <w:t xml:space="preserve">. </w:t>
      </w:r>
      <w:r w:rsidRPr="00AC7EC4">
        <w:rPr>
          <w:rFonts w:cs="TimesNewRomanPSMT"/>
        </w:rPr>
        <w:t>Five lebrikizumab-treated participants reported TEAEs that led to treatment discontinuation (conjunctivitis [n = 2], conjunctivitis bacterial [n = 1]</w:t>
      </w:r>
      <w:r w:rsidRPr="00AC7EC4">
        <w:rPr>
          <w:rFonts w:eastAsia="SymbolMT" w:cs="SymbolMT"/>
        </w:rPr>
        <w:t xml:space="preserve">, </w:t>
      </w:r>
      <w:r w:rsidRPr="00AC7EC4">
        <w:rPr>
          <w:rFonts w:eastAsia="SymbolMT" w:cs="TimesNewRomanPSMT"/>
        </w:rPr>
        <w:t>keratitis [n = 1], and atopic keratoconjunctivitis [n = 1])</w:t>
      </w:r>
      <w:r w:rsidR="00F516F7">
        <w:rPr>
          <w:rFonts w:eastAsia="SymbolMT" w:cs="TimesNewRomanPSMT"/>
        </w:rPr>
        <w:t xml:space="preserve">. </w:t>
      </w:r>
      <w:r w:rsidRPr="00AC7EC4">
        <w:rPr>
          <w:rFonts w:cs="TimesNewRomanPSMT"/>
        </w:rPr>
        <w:t>One placebo-treated participant reported conjunctivitis that led to treatment discontinuation</w:t>
      </w:r>
      <w:r w:rsidR="00F516F7">
        <w:rPr>
          <w:rFonts w:cs="TimesNewRomanPSMT"/>
        </w:rPr>
        <w:t xml:space="preserve">. </w:t>
      </w:r>
      <w:r w:rsidRPr="00AC7EC4">
        <w:rPr>
          <w:rFonts w:cs="Arial-BoldMT"/>
        </w:rPr>
        <w:t xml:space="preserve">For the maintenance period, TEAEs for the </w:t>
      </w:r>
      <w:r w:rsidRPr="00AC7EC4">
        <w:rPr>
          <w:rFonts w:cs="Arial-BoldMT"/>
          <w:i/>
          <w:iCs/>
        </w:rPr>
        <w:t xml:space="preserve">AD Mono PC Weeks 16-52 </w:t>
      </w:r>
      <w:r w:rsidRPr="00AC7EC4">
        <w:rPr>
          <w:rFonts w:cs="Arial-BoldMT"/>
        </w:rPr>
        <w:t>analysis set</w:t>
      </w:r>
      <w:r w:rsidRPr="00AC7EC4">
        <w:rPr>
          <w:rFonts w:cs="Arial-BoldMT"/>
          <w:i/>
          <w:iCs/>
        </w:rPr>
        <w:t xml:space="preserve"> </w:t>
      </w:r>
      <w:r w:rsidRPr="00AC7EC4">
        <w:rPr>
          <w:rFonts w:cs="Calibri"/>
        </w:rPr>
        <w:t>for the 4 broadly defined clusters and the PT blepharitis are summarised in</w:t>
      </w:r>
      <w:r w:rsidR="00E079A6">
        <w:rPr>
          <w:rFonts w:cs="Calibri"/>
        </w:rPr>
        <w:t xml:space="preserve"> Table 29</w:t>
      </w:r>
      <w:r w:rsidRPr="00AC7EC4">
        <w:rPr>
          <w:rFonts w:cs="Calibri"/>
        </w:rPr>
        <w:t>.</w:t>
      </w:r>
    </w:p>
    <w:p w14:paraId="1B5C811E" w14:textId="73626C78" w:rsidR="007105E8" w:rsidRDefault="007105E8" w:rsidP="00AC7EC4">
      <w:pPr>
        <w:pStyle w:val="TableTitle"/>
      </w:pPr>
      <w:bookmarkStart w:id="84" w:name="_Ref147740528"/>
      <w:r>
        <w:t xml:space="preserve">Table </w:t>
      </w:r>
      <w:bookmarkEnd w:id="84"/>
      <w:r w:rsidR="00E079A6">
        <w:t>28.</w:t>
      </w:r>
      <w:r>
        <w:t xml:space="preserve"> </w:t>
      </w:r>
      <w:r w:rsidRPr="008A4F24">
        <w:t>Summary of conjunctivitis cluster</w:t>
      </w:r>
      <w:r>
        <w:t>s</w:t>
      </w:r>
      <w:r w:rsidRPr="008A4F24">
        <w:t xml:space="preserve"> from the </w:t>
      </w:r>
      <w:r>
        <w:t>Induction Period</w:t>
      </w:r>
      <w:r w:rsidRPr="008A4F24">
        <w:t xml:space="preserve"> placebo-controlled analysis sets. </w:t>
      </w:r>
    </w:p>
    <w:p w14:paraId="142863C4" w14:textId="77777777" w:rsidR="00CF53EB" w:rsidRDefault="007105E8" w:rsidP="00CF53EB">
      <w:pPr>
        <w:pStyle w:val="TableDescription"/>
        <w:rPr>
          <w:vertAlign w:val="superscript"/>
        </w:rPr>
      </w:pPr>
      <w:r>
        <w:rPr>
          <w:noProof/>
        </w:rPr>
        <w:drawing>
          <wp:inline distT="0" distB="0" distL="0" distR="0" wp14:anchorId="1B106EE3" wp14:editId="5AF6C08F">
            <wp:extent cx="5765444" cy="4974021"/>
            <wp:effectExtent l="0" t="0" r="6985" b="0"/>
            <wp:docPr id="216856640" name="Picture 216856640"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56640" name="Picture 216856640" descr="A table with numbers and symbols&#10;&#10;Description automatically generated"/>
                    <pic:cNvPicPr/>
                  </pic:nvPicPr>
                  <pic:blipFill>
                    <a:blip r:embed="rId74"/>
                    <a:stretch>
                      <a:fillRect/>
                    </a:stretch>
                  </pic:blipFill>
                  <pic:spPr>
                    <a:xfrm>
                      <a:off x="0" y="0"/>
                      <a:ext cx="5806914" cy="5009798"/>
                    </a:xfrm>
                    <a:prstGeom prst="rect">
                      <a:avLst/>
                    </a:prstGeom>
                  </pic:spPr>
                </pic:pic>
              </a:graphicData>
            </a:graphic>
          </wp:inline>
        </w:drawing>
      </w:r>
    </w:p>
    <w:p w14:paraId="46D22F5E" w14:textId="20B67EBA" w:rsidR="007105E8" w:rsidRPr="00826966" w:rsidRDefault="007105E8" w:rsidP="00CF53EB">
      <w:pPr>
        <w:pStyle w:val="TableDescription"/>
      </w:pPr>
      <w:r w:rsidRPr="00AF5EEF">
        <w:rPr>
          <w:vertAlign w:val="superscript"/>
        </w:rPr>
        <w:t>a</w:t>
      </w:r>
      <w:r w:rsidRPr="00AF5EEF">
        <w:t xml:space="preserve"> Events per 100 PY</w:t>
      </w:r>
    </w:p>
    <w:p w14:paraId="08701054" w14:textId="3C2BC067" w:rsidR="007105E8" w:rsidRPr="001569BD" w:rsidRDefault="007105E8" w:rsidP="00AC7EC4">
      <w:pPr>
        <w:pStyle w:val="TableTitle"/>
      </w:pPr>
      <w:bookmarkStart w:id="85" w:name="_Ref147759272"/>
      <w:r>
        <w:t xml:space="preserve">Table </w:t>
      </w:r>
      <w:bookmarkEnd w:id="85"/>
      <w:r w:rsidR="00E079A6">
        <w:t>29.</w:t>
      </w:r>
      <w:r>
        <w:t xml:space="preserve"> </w:t>
      </w:r>
      <w:r w:rsidRPr="001569BD">
        <w:t xml:space="preserve">AD Mono PC Weeks 16-52 – Maintenance period, </w:t>
      </w:r>
      <w:r w:rsidRPr="001569BD">
        <w:rPr>
          <w:rFonts w:cs="Arial-BoldMT"/>
        </w:rPr>
        <w:t>AD Mono PC Weeks 16-52 analysis set</w:t>
      </w:r>
      <w:r>
        <w:rPr>
          <w:rFonts w:cs="Arial-BoldMT"/>
        </w:rPr>
        <w:t>.</w:t>
      </w:r>
      <w:r w:rsidRPr="001569BD">
        <w:rPr>
          <w:rFonts w:cs="Arial-BoldMT"/>
        </w:rPr>
        <w:t xml:space="preserve"> </w:t>
      </w:r>
    </w:p>
    <w:tbl>
      <w:tblPr>
        <w:tblStyle w:val="TableTGAblue2023"/>
        <w:tblW w:w="9036" w:type="dxa"/>
        <w:tblLayout w:type="fixed"/>
        <w:tblLook w:val="04A0" w:firstRow="1" w:lastRow="0" w:firstColumn="1" w:lastColumn="0" w:noHBand="0" w:noVBand="1"/>
      </w:tblPr>
      <w:tblGrid>
        <w:gridCol w:w="2122"/>
        <w:gridCol w:w="1417"/>
        <w:gridCol w:w="961"/>
        <w:gridCol w:w="1417"/>
        <w:gridCol w:w="851"/>
        <w:gridCol w:w="1417"/>
        <w:gridCol w:w="851"/>
      </w:tblGrid>
      <w:tr w:rsidR="007105E8" w:rsidRPr="00384A7C" w14:paraId="0B511614" w14:textId="77777777" w:rsidTr="00CF5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E2F1E90" w14:textId="77777777" w:rsidR="007105E8" w:rsidRPr="00AC7EC4" w:rsidRDefault="007105E8" w:rsidP="00CF53EB"/>
        </w:tc>
        <w:tc>
          <w:tcPr>
            <w:tcW w:w="2378" w:type="dxa"/>
            <w:gridSpan w:val="2"/>
          </w:tcPr>
          <w:p w14:paraId="00B44F10" w14:textId="77777777" w:rsidR="007105E8" w:rsidRPr="00AC7EC4" w:rsidRDefault="007105E8" w:rsidP="00CF53EB">
            <w:pPr>
              <w:cnfStyle w:val="100000000000" w:firstRow="1" w:lastRow="0" w:firstColumn="0" w:lastColumn="0" w:oddVBand="0" w:evenVBand="0" w:oddHBand="0" w:evenHBand="0" w:firstRowFirstColumn="0" w:firstRowLastColumn="0" w:lastRowFirstColumn="0" w:lastRowLastColumn="0"/>
            </w:pPr>
            <w:r w:rsidRPr="00AC7EC4">
              <w:t>Placebo</w:t>
            </w:r>
          </w:p>
        </w:tc>
        <w:tc>
          <w:tcPr>
            <w:tcW w:w="2268" w:type="dxa"/>
            <w:gridSpan w:val="2"/>
          </w:tcPr>
          <w:p w14:paraId="2049B6A3" w14:textId="77777777" w:rsidR="007105E8" w:rsidRPr="00AC7EC4" w:rsidRDefault="007105E8" w:rsidP="00CF53EB">
            <w:pPr>
              <w:cnfStyle w:val="100000000000" w:firstRow="1" w:lastRow="0" w:firstColumn="0" w:lastColumn="0" w:oddVBand="0" w:evenVBand="0" w:oddHBand="0" w:evenHBand="0" w:firstRowFirstColumn="0" w:firstRowLastColumn="0" w:lastRowFirstColumn="0" w:lastRowLastColumn="0"/>
            </w:pPr>
            <w:r w:rsidRPr="00AC7EC4">
              <w:t>Lebrikizumab 250 mg Q4W</w:t>
            </w:r>
          </w:p>
        </w:tc>
        <w:tc>
          <w:tcPr>
            <w:tcW w:w="2268" w:type="dxa"/>
            <w:gridSpan w:val="2"/>
          </w:tcPr>
          <w:p w14:paraId="46F049EE" w14:textId="77777777" w:rsidR="007105E8" w:rsidRPr="00AC7EC4" w:rsidRDefault="007105E8" w:rsidP="00CF53EB">
            <w:pPr>
              <w:cnfStyle w:val="100000000000" w:firstRow="1" w:lastRow="0" w:firstColumn="0" w:lastColumn="0" w:oddVBand="0" w:evenVBand="0" w:oddHBand="0" w:evenHBand="0" w:firstRowFirstColumn="0" w:firstRowLastColumn="0" w:lastRowFirstColumn="0" w:lastRowLastColumn="0"/>
            </w:pPr>
            <w:r w:rsidRPr="00AC7EC4">
              <w:t>Lebrikizumab 250 mg Q2W</w:t>
            </w:r>
          </w:p>
        </w:tc>
      </w:tr>
      <w:tr w:rsidR="007105E8" w:rsidRPr="00384A7C" w14:paraId="6E574127" w14:textId="77777777" w:rsidTr="00CF53EB">
        <w:tc>
          <w:tcPr>
            <w:cnfStyle w:val="001000000000" w:firstRow="0" w:lastRow="0" w:firstColumn="1" w:lastColumn="0" w:oddVBand="0" w:evenVBand="0" w:oddHBand="0" w:evenHBand="0" w:firstRowFirstColumn="0" w:firstRowLastColumn="0" w:lastRowFirstColumn="0" w:lastRowLastColumn="0"/>
            <w:tcW w:w="2122" w:type="dxa"/>
          </w:tcPr>
          <w:p w14:paraId="40C8BA8F" w14:textId="77777777" w:rsidR="007105E8" w:rsidRPr="00AC7EC4" w:rsidRDefault="007105E8" w:rsidP="00CF53EB">
            <w:pPr>
              <w:rPr>
                <w:b/>
              </w:rPr>
            </w:pPr>
            <w:r w:rsidRPr="00AC7EC4">
              <w:rPr>
                <w:b/>
              </w:rPr>
              <w:t xml:space="preserve">Events  </w:t>
            </w:r>
          </w:p>
        </w:tc>
        <w:tc>
          <w:tcPr>
            <w:tcW w:w="2378" w:type="dxa"/>
            <w:gridSpan w:val="2"/>
          </w:tcPr>
          <w:p w14:paraId="6FA9C9C0" w14:textId="77777777" w:rsidR="007105E8" w:rsidRPr="00AC7EC4" w:rsidRDefault="007105E8" w:rsidP="00CF53EB">
            <w:pPr>
              <w:cnfStyle w:val="000000000000" w:firstRow="0" w:lastRow="0" w:firstColumn="0" w:lastColumn="0" w:oddVBand="0" w:evenVBand="0" w:oddHBand="0" w:evenHBand="0" w:firstRowFirstColumn="0" w:firstRowLastColumn="0" w:lastRowFirstColumn="0" w:lastRowLastColumn="0"/>
              <w:rPr>
                <w:b/>
              </w:rPr>
            </w:pPr>
            <w:r w:rsidRPr="00AC7EC4">
              <w:rPr>
                <w:b/>
              </w:rPr>
              <w:t>N=60; PYE=37.0</w:t>
            </w:r>
          </w:p>
        </w:tc>
        <w:tc>
          <w:tcPr>
            <w:tcW w:w="2268" w:type="dxa"/>
            <w:gridSpan w:val="2"/>
          </w:tcPr>
          <w:p w14:paraId="5FADC7BB" w14:textId="77777777" w:rsidR="007105E8" w:rsidRPr="00AC7EC4" w:rsidRDefault="007105E8" w:rsidP="00CF53EB">
            <w:pPr>
              <w:cnfStyle w:val="000000000000" w:firstRow="0" w:lastRow="0" w:firstColumn="0" w:lastColumn="0" w:oddVBand="0" w:evenVBand="0" w:oddHBand="0" w:evenHBand="0" w:firstRowFirstColumn="0" w:firstRowLastColumn="0" w:lastRowFirstColumn="0" w:lastRowLastColumn="0"/>
              <w:rPr>
                <w:b/>
              </w:rPr>
            </w:pPr>
            <w:r w:rsidRPr="00AC7EC4">
              <w:rPr>
                <w:b/>
              </w:rPr>
              <w:t>N=118, PYE=77.4</w:t>
            </w:r>
          </w:p>
        </w:tc>
        <w:tc>
          <w:tcPr>
            <w:tcW w:w="2268" w:type="dxa"/>
            <w:gridSpan w:val="2"/>
          </w:tcPr>
          <w:p w14:paraId="28D429E0" w14:textId="77777777" w:rsidR="007105E8" w:rsidRPr="00AC7EC4" w:rsidRDefault="007105E8" w:rsidP="00CF53EB">
            <w:pPr>
              <w:cnfStyle w:val="000000000000" w:firstRow="0" w:lastRow="0" w:firstColumn="0" w:lastColumn="0" w:oddVBand="0" w:evenVBand="0" w:oddHBand="0" w:evenHBand="0" w:firstRowFirstColumn="0" w:firstRowLastColumn="0" w:lastRowFirstColumn="0" w:lastRowLastColumn="0"/>
              <w:rPr>
                <w:b/>
              </w:rPr>
            </w:pPr>
            <w:r w:rsidRPr="00AC7EC4">
              <w:rPr>
                <w:b/>
              </w:rPr>
              <w:t>N=113, PYE=71.1</w:t>
            </w:r>
          </w:p>
        </w:tc>
      </w:tr>
      <w:tr w:rsidR="007105E8" w:rsidRPr="00384A7C" w14:paraId="64E5F1CE" w14:textId="77777777" w:rsidTr="00CF53EB">
        <w:tc>
          <w:tcPr>
            <w:cnfStyle w:val="001000000000" w:firstRow="0" w:lastRow="0" w:firstColumn="1" w:lastColumn="0" w:oddVBand="0" w:evenVBand="0" w:oddHBand="0" w:evenHBand="0" w:firstRowFirstColumn="0" w:firstRowLastColumn="0" w:lastRowFirstColumn="0" w:lastRowLastColumn="0"/>
            <w:tcW w:w="2122" w:type="dxa"/>
          </w:tcPr>
          <w:p w14:paraId="246B59A6" w14:textId="77777777" w:rsidR="007105E8" w:rsidRPr="00AC7EC4" w:rsidRDefault="007105E8" w:rsidP="00CF53EB">
            <w:pPr>
              <w:rPr>
                <w:b/>
              </w:rPr>
            </w:pPr>
            <w:r w:rsidRPr="00AC7EC4">
              <w:rPr>
                <w:b/>
              </w:rPr>
              <w:t>Participants with ≥ TEAE</w:t>
            </w:r>
          </w:p>
        </w:tc>
        <w:tc>
          <w:tcPr>
            <w:tcW w:w="1417" w:type="dxa"/>
          </w:tcPr>
          <w:p w14:paraId="455AFF1C" w14:textId="77777777" w:rsidR="007105E8" w:rsidRPr="00AC7EC4" w:rsidRDefault="007105E8" w:rsidP="00CF53EB">
            <w:pPr>
              <w:cnfStyle w:val="000000000000" w:firstRow="0" w:lastRow="0" w:firstColumn="0" w:lastColumn="0" w:oddVBand="0" w:evenVBand="0" w:oddHBand="0" w:evenHBand="0" w:firstRowFirstColumn="0" w:firstRowLastColumn="0" w:lastRowFirstColumn="0" w:lastRowLastColumn="0"/>
              <w:rPr>
                <w:b/>
              </w:rPr>
            </w:pPr>
            <w:r w:rsidRPr="00AC7EC4">
              <w:rPr>
                <w:b/>
              </w:rPr>
              <w:t>n (adj %)</w:t>
            </w:r>
          </w:p>
        </w:tc>
        <w:tc>
          <w:tcPr>
            <w:tcW w:w="961" w:type="dxa"/>
          </w:tcPr>
          <w:p w14:paraId="4EF9ABCA" w14:textId="77777777" w:rsidR="007105E8" w:rsidRPr="00AC7EC4" w:rsidRDefault="007105E8" w:rsidP="00CF53EB">
            <w:pPr>
              <w:cnfStyle w:val="000000000000" w:firstRow="0" w:lastRow="0" w:firstColumn="0" w:lastColumn="0" w:oddVBand="0" w:evenVBand="0" w:oddHBand="0" w:evenHBand="0" w:firstRowFirstColumn="0" w:firstRowLastColumn="0" w:lastRowFirstColumn="0" w:lastRowLastColumn="0"/>
              <w:rPr>
                <w:b/>
              </w:rPr>
            </w:pPr>
            <w:r w:rsidRPr="00AC7EC4">
              <w:rPr>
                <w:b/>
              </w:rPr>
              <w:t xml:space="preserve">[adj IR] </w:t>
            </w:r>
            <w:r w:rsidRPr="00AC7EC4">
              <w:rPr>
                <w:b/>
                <w:vertAlign w:val="superscript"/>
              </w:rPr>
              <w:t>a</w:t>
            </w:r>
          </w:p>
        </w:tc>
        <w:tc>
          <w:tcPr>
            <w:tcW w:w="1417" w:type="dxa"/>
          </w:tcPr>
          <w:p w14:paraId="5B403D52" w14:textId="77777777" w:rsidR="007105E8" w:rsidRPr="00AC7EC4" w:rsidRDefault="007105E8" w:rsidP="00CF53EB">
            <w:pPr>
              <w:cnfStyle w:val="000000000000" w:firstRow="0" w:lastRow="0" w:firstColumn="0" w:lastColumn="0" w:oddVBand="0" w:evenVBand="0" w:oddHBand="0" w:evenHBand="0" w:firstRowFirstColumn="0" w:firstRowLastColumn="0" w:lastRowFirstColumn="0" w:lastRowLastColumn="0"/>
              <w:rPr>
                <w:b/>
              </w:rPr>
            </w:pPr>
            <w:r w:rsidRPr="00AC7EC4">
              <w:rPr>
                <w:b/>
              </w:rPr>
              <w:t>n (adj %)</w:t>
            </w:r>
          </w:p>
        </w:tc>
        <w:tc>
          <w:tcPr>
            <w:tcW w:w="851" w:type="dxa"/>
          </w:tcPr>
          <w:p w14:paraId="4A7D63EE" w14:textId="77777777" w:rsidR="007105E8" w:rsidRPr="00AC7EC4" w:rsidRDefault="007105E8" w:rsidP="00CF53EB">
            <w:pPr>
              <w:cnfStyle w:val="000000000000" w:firstRow="0" w:lastRow="0" w:firstColumn="0" w:lastColumn="0" w:oddVBand="0" w:evenVBand="0" w:oddHBand="0" w:evenHBand="0" w:firstRowFirstColumn="0" w:firstRowLastColumn="0" w:lastRowFirstColumn="0" w:lastRowLastColumn="0"/>
              <w:rPr>
                <w:b/>
              </w:rPr>
            </w:pPr>
            <w:r w:rsidRPr="00AC7EC4">
              <w:rPr>
                <w:b/>
              </w:rPr>
              <w:t>[adj IR]</w:t>
            </w:r>
            <w:r w:rsidRPr="00AC7EC4">
              <w:rPr>
                <w:b/>
                <w:i/>
                <w:iCs/>
                <w:vertAlign w:val="superscript"/>
              </w:rPr>
              <w:t xml:space="preserve"> </w:t>
            </w:r>
            <w:r w:rsidRPr="00AC7EC4">
              <w:rPr>
                <w:b/>
                <w:vertAlign w:val="superscript"/>
              </w:rPr>
              <w:t>a</w:t>
            </w:r>
          </w:p>
        </w:tc>
        <w:tc>
          <w:tcPr>
            <w:tcW w:w="1417" w:type="dxa"/>
          </w:tcPr>
          <w:p w14:paraId="476F85F1" w14:textId="77777777" w:rsidR="007105E8" w:rsidRPr="00AC7EC4" w:rsidRDefault="007105E8" w:rsidP="00CF53EB">
            <w:pPr>
              <w:cnfStyle w:val="000000000000" w:firstRow="0" w:lastRow="0" w:firstColumn="0" w:lastColumn="0" w:oddVBand="0" w:evenVBand="0" w:oddHBand="0" w:evenHBand="0" w:firstRowFirstColumn="0" w:firstRowLastColumn="0" w:lastRowFirstColumn="0" w:lastRowLastColumn="0"/>
              <w:rPr>
                <w:b/>
              </w:rPr>
            </w:pPr>
            <w:r w:rsidRPr="00AC7EC4">
              <w:rPr>
                <w:b/>
              </w:rPr>
              <w:t>n (adj %)</w:t>
            </w:r>
          </w:p>
        </w:tc>
        <w:tc>
          <w:tcPr>
            <w:tcW w:w="851" w:type="dxa"/>
          </w:tcPr>
          <w:p w14:paraId="1C723848" w14:textId="77777777" w:rsidR="007105E8" w:rsidRPr="00AC7EC4" w:rsidRDefault="007105E8" w:rsidP="00CF53EB">
            <w:pPr>
              <w:cnfStyle w:val="000000000000" w:firstRow="0" w:lastRow="0" w:firstColumn="0" w:lastColumn="0" w:oddVBand="0" w:evenVBand="0" w:oddHBand="0" w:evenHBand="0" w:firstRowFirstColumn="0" w:firstRowLastColumn="0" w:lastRowFirstColumn="0" w:lastRowLastColumn="0"/>
              <w:rPr>
                <w:b/>
              </w:rPr>
            </w:pPr>
            <w:r w:rsidRPr="00AC7EC4">
              <w:rPr>
                <w:b/>
              </w:rPr>
              <w:t>[adj IR]</w:t>
            </w:r>
            <w:r w:rsidRPr="00AC7EC4">
              <w:rPr>
                <w:b/>
                <w:i/>
                <w:iCs/>
                <w:vertAlign w:val="superscript"/>
              </w:rPr>
              <w:t xml:space="preserve"> </w:t>
            </w:r>
            <w:r w:rsidRPr="00AC7EC4">
              <w:rPr>
                <w:b/>
                <w:vertAlign w:val="superscript"/>
              </w:rPr>
              <w:t>a</w:t>
            </w:r>
          </w:p>
        </w:tc>
      </w:tr>
      <w:tr w:rsidR="007105E8" w:rsidRPr="00384A7C" w14:paraId="7A9A534A" w14:textId="77777777" w:rsidTr="00CF53EB">
        <w:tc>
          <w:tcPr>
            <w:cnfStyle w:val="001000000000" w:firstRow="0" w:lastRow="0" w:firstColumn="1" w:lastColumn="0" w:oddVBand="0" w:evenVBand="0" w:oddHBand="0" w:evenHBand="0" w:firstRowFirstColumn="0" w:firstRowLastColumn="0" w:lastRowFirstColumn="0" w:lastRowLastColumn="0"/>
            <w:tcW w:w="2122" w:type="dxa"/>
          </w:tcPr>
          <w:p w14:paraId="647A48E5" w14:textId="77777777" w:rsidR="007105E8" w:rsidRPr="002C6E1A" w:rsidRDefault="007105E8" w:rsidP="00CF53EB">
            <w:r w:rsidRPr="002C6E1A">
              <w:t xml:space="preserve">Conjunctivitis cluster </w:t>
            </w:r>
          </w:p>
        </w:tc>
        <w:tc>
          <w:tcPr>
            <w:tcW w:w="1417" w:type="dxa"/>
          </w:tcPr>
          <w:p w14:paraId="424B69F5"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 xml:space="preserve">5 </w:t>
            </w:r>
            <w:r>
              <w:t>(</w:t>
            </w:r>
            <w:r w:rsidRPr="002C6E1A">
              <w:t>8.3%</w:t>
            </w:r>
            <w:r>
              <w:t>)</w:t>
            </w:r>
          </w:p>
        </w:tc>
        <w:tc>
          <w:tcPr>
            <w:tcW w:w="961" w:type="dxa"/>
          </w:tcPr>
          <w:p w14:paraId="622CC401"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 xml:space="preserve">[14.3] </w:t>
            </w:r>
          </w:p>
        </w:tc>
        <w:tc>
          <w:tcPr>
            <w:tcW w:w="1417" w:type="dxa"/>
          </w:tcPr>
          <w:p w14:paraId="6A6838B2"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 xml:space="preserve">12 </w:t>
            </w:r>
            <w:r>
              <w:t>(</w:t>
            </w:r>
            <w:r w:rsidRPr="002C6E1A">
              <w:t>10.1%</w:t>
            </w:r>
            <w:r>
              <w:t>)</w:t>
            </w:r>
          </w:p>
        </w:tc>
        <w:tc>
          <w:tcPr>
            <w:tcW w:w="851" w:type="dxa"/>
          </w:tcPr>
          <w:p w14:paraId="3B53F8CE"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[16.8]</w:t>
            </w:r>
          </w:p>
        </w:tc>
        <w:tc>
          <w:tcPr>
            <w:tcW w:w="1417" w:type="dxa"/>
          </w:tcPr>
          <w:p w14:paraId="1F7CBF25"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 xml:space="preserve">2 </w:t>
            </w:r>
            <w:r>
              <w:t>(</w:t>
            </w:r>
            <w:r w:rsidRPr="002C6E1A">
              <w:t>1.8%</w:t>
            </w:r>
            <w:r>
              <w:t>)</w:t>
            </w:r>
          </w:p>
        </w:tc>
        <w:tc>
          <w:tcPr>
            <w:tcW w:w="851" w:type="dxa"/>
          </w:tcPr>
          <w:p w14:paraId="0FBDACC9"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[2.9]</w:t>
            </w:r>
          </w:p>
        </w:tc>
      </w:tr>
      <w:tr w:rsidR="007105E8" w:rsidRPr="00384A7C" w14:paraId="73DB3DAA" w14:textId="77777777" w:rsidTr="00CF53EB">
        <w:tc>
          <w:tcPr>
            <w:cnfStyle w:val="001000000000" w:firstRow="0" w:lastRow="0" w:firstColumn="1" w:lastColumn="0" w:oddVBand="0" w:evenVBand="0" w:oddHBand="0" w:evenHBand="0" w:firstRowFirstColumn="0" w:firstRowLastColumn="0" w:lastRowFirstColumn="0" w:lastRowLastColumn="0"/>
            <w:tcW w:w="2122" w:type="dxa"/>
          </w:tcPr>
          <w:p w14:paraId="0D7A2789" w14:textId="77777777" w:rsidR="007105E8" w:rsidRPr="002C6E1A" w:rsidRDefault="007105E8" w:rsidP="00CF53EB">
            <w:r w:rsidRPr="002C6E1A">
              <w:t>Keratitis cluster</w:t>
            </w:r>
          </w:p>
        </w:tc>
        <w:tc>
          <w:tcPr>
            <w:tcW w:w="1417" w:type="dxa"/>
          </w:tcPr>
          <w:p w14:paraId="224B6ABE"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 xml:space="preserve">0  </w:t>
            </w:r>
          </w:p>
        </w:tc>
        <w:tc>
          <w:tcPr>
            <w:tcW w:w="961" w:type="dxa"/>
          </w:tcPr>
          <w:p w14:paraId="424AC8CD"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0</w:t>
            </w:r>
          </w:p>
        </w:tc>
        <w:tc>
          <w:tcPr>
            <w:tcW w:w="1417" w:type="dxa"/>
          </w:tcPr>
          <w:p w14:paraId="4A0628C7"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 xml:space="preserve">1 </w:t>
            </w:r>
            <w:r>
              <w:t>(</w:t>
            </w:r>
            <w:r w:rsidRPr="002C6E1A">
              <w:t>0.8</w:t>
            </w:r>
            <w:r>
              <w:t>)</w:t>
            </w:r>
          </w:p>
        </w:tc>
        <w:tc>
          <w:tcPr>
            <w:tcW w:w="851" w:type="dxa"/>
          </w:tcPr>
          <w:p w14:paraId="69573EFF"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t>[</w:t>
            </w:r>
            <w:r w:rsidRPr="002C6E1A">
              <w:t>1.3]</w:t>
            </w:r>
          </w:p>
        </w:tc>
        <w:tc>
          <w:tcPr>
            <w:tcW w:w="1417" w:type="dxa"/>
          </w:tcPr>
          <w:p w14:paraId="53189B45"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 xml:space="preserve">1 </w:t>
            </w:r>
            <w:r>
              <w:t>(</w:t>
            </w:r>
            <w:r w:rsidRPr="002C6E1A">
              <w:t>0.9</w:t>
            </w:r>
            <w:r>
              <w:t>)</w:t>
            </w:r>
          </w:p>
        </w:tc>
        <w:tc>
          <w:tcPr>
            <w:tcW w:w="851" w:type="dxa"/>
          </w:tcPr>
          <w:p w14:paraId="72098FB6"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[1.4]</w:t>
            </w:r>
          </w:p>
        </w:tc>
      </w:tr>
      <w:tr w:rsidR="007105E8" w:rsidRPr="00384A7C" w14:paraId="6D186099" w14:textId="77777777" w:rsidTr="00CF53EB">
        <w:tc>
          <w:tcPr>
            <w:cnfStyle w:val="001000000000" w:firstRow="0" w:lastRow="0" w:firstColumn="1" w:lastColumn="0" w:oddVBand="0" w:evenVBand="0" w:oddHBand="0" w:evenHBand="0" w:firstRowFirstColumn="0" w:firstRowLastColumn="0" w:lastRowFirstColumn="0" w:lastRowLastColumn="0"/>
            <w:tcW w:w="2122" w:type="dxa"/>
          </w:tcPr>
          <w:p w14:paraId="3CD98909" w14:textId="77777777" w:rsidR="007105E8" w:rsidRPr="002C6E1A" w:rsidRDefault="007105E8" w:rsidP="00CF53EB">
            <w:r w:rsidRPr="002C6E1A">
              <w:t>Ocular symptom cluster</w:t>
            </w:r>
          </w:p>
        </w:tc>
        <w:tc>
          <w:tcPr>
            <w:tcW w:w="1417" w:type="dxa"/>
          </w:tcPr>
          <w:p w14:paraId="006AF5DD"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0</w:t>
            </w:r>
          </w:p>
        </w:tc>
        <w:tc>
          <w:tcPr>
            <w:tcW w:w="961" w:type="dxa"/>
          </w:tcPr>
          <w:p w14:paraId="2266DFBA"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0</w:t>
            </w:r>
          </w:p>
        </w:tc>
        <w:tc>
          <w:tcPr>
            <w:tcW w:w="1417" w:type="dxa"/>
          </w:tcPr>
          <w:p w14:paraId="5FA19E23"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 xml:space="preserve">1 </w:t>
            </w:r>
            <w:r>
              <w:t>(</w:t>
            </w:r>
            <w:r w:rsidRPr="002C6E1A">
              <w:t>0.8</w:t>
            </w:r>
            <w:r>
              <w:t>)</w:t>
            </w:r>
          </w:p>
        </w:tc>
        <w:tc>
          <w:tcPr>
            <w:tcW w:w="851" w:type="dxa"/>
          </w:tcPr>
          <w:p w14:paraId="563C9991"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[1.3]</w:t>
            </w:r>
          </w:p>
        </w:tc>
        <w:tc>
          <w:tcPr>
            <w:tcW w:w="1417" w:type="dxa"/>
          </w:tcPr>
          <w:p w14:paraId="6DDC2099"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0</w:t>
            </w:r>
          </w:p>
        </w:tc>
        <w:tc>
          <w:tcPr>
            <w:tcW w:w="851" w:type="dxa"/>
          </w:tcPr>
          <w:p w14:paraId="30DB6E04"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0</w:t>
            </w:r>
          </w:p>
        </w:tc>
      </w:tr>
      <w:tr w:rsidR="007105E8" w:rsidRPr="00384A7C" w14:paraId="3F60A45A" w14:textId="77777777" w:rsidTr="00CF53EB">
        <w:tc>
          <w:tcPr>
            <w:cnfStyle w:val="001000000000" w:firstRow="0" w:lastRow="0" w:firstColumn="1" w:lastColumn="0" w:oddVBand="0" w:evenVBand="0" w:oddHBand="0" w:evenHBand="0" w:firstRowFirstColumn="0" w:firstRowLastColumn="0" w:lastRowFirstColumn="0" w:lastRowLastColumn="0"/>
            <w:tcW w:w="2122" w:type="dxa"/>
          </w:tcPr>
          <w:p w14:paraId="5B3EC2EB" w14:textId="77777777" w:rsidR="007105E8" w:rsidRPr="002C6E1A" w:rsidRDefault="007105E8" w:rsidP="00CF53EB">
            <w:r w:rsidRPr="002C6E1A">
              <w:t>Dry eye cluster</w:t>
            </w:r>
          </w:p>
        </w:tc>
        <w:tc>
          <w:tcPr>
            <w:tcW w:w="1417" w:type="dxa"/>
          </w:tcPr>
          <w:p w14:paraId="11C89C99"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0</w:t>
            </w:r>
          </w:p>
        </w:tc>
        <w:tc>
          <w:tcPr>
            <w:tcW w:w="961" w:type="dxa"/>
          </w:tcPr>
          <w:p w14:paraId="582C4A49"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0</w:t>
            </w:r>
          </w:p>
        </w:tc>
        <w:tc>
          <w:tcPr>
            <w:tcW w:w="1417" w:type="dxa"/>
          </w:tcPr>
          <w:p w14:paraId="362AAEE8"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 xml:space="preserve">1 </w:t>
            </w:r>
            <w:r>
              <w:t>(</w:t>
            </w:r>
            <w:r w:rsidRPr="002C6E1A">
              <w:t>0.8</w:t>
            </w:r>
            <w:r>
              <w:t>)</w:t>
            </w:r>
          </w:p>
        </w:tc>
        <w:tc>
          <w:tcPr>
            <w:tcW w:w="851" w:type="dxa"/>
          </w:tcPr>
          <w:p w14:paraId="1E84D2B3"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[1.3]</w:t>
            </w:r>
          </w:p>
        </w:tc>
        <w:tc>
          <w:tcPr>
            <w:tcW w:w="1417" w:type="dxa"/>
          </w:tcPr>
          <w:p w14:paraId="6893DD63"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 xml:space="preserve">1 </w:t>
            </w:r>
            <w:r>
              <w:t>(</w:t>
            </w:r>
            <w:r w:rsidRPr="002C6E1A">
              <w:t>0.9</w:t>
            </w:r>
            <w:r>
              <w:t>)</w:t>
            </w:r>
          </w:p>
        </w:tc>
        <w:tc>
          <w:tcPr>
            <w:tcW w:w="851" w:type="dxa"/>
          </w:tcPr>
          <w:p w14:paraId="0BA1204B"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[1.4]</w:t>
            </w:r>
          </w:p>
        </w:tc>
      </w:tr>
      <w:tr w:rsidR="007105E8" w:rsidRPr="00384A7C" w14:paraId="32AC52B6" w14:textId="77777777" w:rsidTr="00CF53EB">
        <w:tc>
          <w:tcPr>
            <w:cnfStyle w:val="001000000000" w:firstRow="0" w:lastRow="0" w:firstColumn="1" w:lastColumn="0" w:oddVBand="0" w:evenVBand="0" w:oddHBand="0" w:evenHBand="0" w:firstRowFirstColumn="0" w:firstRowLastColumn="0" w:lastRowFirstColumn="0" w:lastRowLastColumn="0"/>
            <w:tcW w:w="2122" w:type="dxa"/>
          </w:tcPr>
          <w:p w14:paraId="798DF8FE" w14:textId="77777777" w:rsidR="007105E8" w:rsidRPr="002C6E1A" w:rsidRDefault="007105E8" w:rsidP="00CF53EB">
            <w:r w:rsidRPr="002C6E1A">
              <w:t xml:space="preserve">Blepharitis </w:t>
            </w:r>
          </w:p>
        </w:tc>
        <w:tc>
          <w:tcPr>
            <w:tcW w:w="1417" w:type="dxa"/>
          </w:tcPr>
          <w:p w14:paraId="5696227B"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0</w:t>
            </w:r>
          </w:p>
        </w:tc>
        <w:tc>
          <w:tcPr>
            <w:tcW w:w="961" w:type="dxa"/>
          </w:tcPr>
          <w:p w14:paraId="58B5AC69"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0</w:t>
            </w:r>
          </w:p>
        </w:tc>
        <w:tc>
          <w:tcPr>
            <w:tcW w:w="1417" w:type="dxa"/>
          </w:tcPr>
          <w:p w14:paraId="4CA42F48"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0</w:t>
            </w:r>
          </w:p>
        </w:tc>
        <w:tc>
          <w:tcPr>
            <w:tcW w:w="851" w:type="dxa"/>
          </w:tcPr>
          <w:p w14:paraId="51B6AFA7"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0</w:t>
            </w:r>
          </w:p>
        </w:tc>
        <w:tc>
          <w:tcPr>
            <w:tcW w:w="1417" w:type="dxa"/>
          </w:tcPr>
          <w:p w14:paraId="687D72FB"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 xml:space="preserve">1 </w:t>
            </w:r>
            <w:r>
              <w:t>(</w:t>
            </w:r>
            <w:r w:rsidRPr="002C6E1A">
              <w:t>0.9</w:t>
            </w:r>
            <w:r>
              <w:t>)</w:t>
            </w:r>
          </w:p>
        </w:tc>
        <w:tc>
          <w:tcPr>
            <w:tcW w:w="851" w:type="dxa"/>
          </w:tcPr>
          <w:p w14:paraId="2FB0F4CE" w14:textId="77777777" w:rsidR="007105E8" w:rsidRPr="002C6E1A" w:rsidRDefault="007105E8" w:rsidP="00CF53EB">
            <w:pPr>
              <w:cnfStyle w:val="000000000000" w:firstRow="0" w:lastRow="0" w:firstColumn="0" w:lastColumn="0" w:oddVBand="0" w:evenVBand="0" w:oddHBand="0" w:evenHBand="0" w:firstRowFirstColumn="0" w:firstRowLastColumn="0" w:lastRowFirstColumn="0" w:lastRowLastColumn="0"/>
            </w:pPr>
            <w:r w:rsidRPr="002C6E1A">
              <w:t>[1.4]</w:t>
            </w:r>
          </w:p>
        </w:tc>
      </w:tr>
    </w:tbl>
    <w:p w14:paraId="6313AE77" w14:textId="462837D4" w:rsidR="00AC7EC4" w:rsidRDefault="007105E8" w:rsidP="00CF53EB">
      <w:pPr>
        <w:pStyle w:val="TableDescription"/>
      </w:pPr>
      <w:r w:rsidRPr="00046A56">
        <w:rPr>
          <w:vertAlign w:val="superscript"/>
        </w:rPr>
        <w:t>a</w:t>
      </w:r>
      <w:r w:rsidRPr="00046A56">
        <w:t xml:space="preserve">  Events per 100 PY</w:t>
      </w:r>
      <w:r w:rsidR="00F516F7">
        <w:t xml:space="preserve">. </w:t>
      </w:r>
      <w:r w:rsidRPr="00046A56">
        <w:t xml:space="preserve"> </w:t>
      </w:r>
    </w:p>
    <w:p w14:paraId="43E38803" w14:textId="7E5FCC97" w:rsidR="007105E8" w:rsidRDefault="007105E8" w:rsidP="007105E8">
      <w:r w:rsidRPr="00E079A6">
        <w:rPr>
          <w:rFonts w:cs="TimesNewRomanPSMT"/>
          <w:color w:val="000000"/>
        </w:rPr>
        <w:t>The evaluation of infections included overall infections, herpes infections, parasitic (helminth) infections, potential opportunistic infections, skin infections, and serious and severe infections</w:t>
      </w:r>
      <w:r w:rsidR="00F516F7">
        <w:rPr>
          <w:rFonts w:cs="TimesNewRomanPSMT"/>
          <w:color w:val="000000"/>
        </w:rPr>
        <w:t xml:space="preserve">. </w:t>
      </w:r>
      <w:r w:rsidRPr="00E079A6">
        <w:rPr>
          <w:rFonts w:cs="TimesNewRomanPSMT"/>
          <w:color w:val="000000"/>
        </w:rPr>
        <w:t>Treatment-emergent infections reported in the induction period are summarised in</w:t>
      </w:r>
      <w:r w:rsidR="00E079A6">
        <w:rPr>
          <w:rFonts w:cs="TimesNewRomanPSMT"/>
          <w:color w:val="000000"/>
        </w:rPr>
        <w:t xml:space="preserve"> Table 30</w:t>
      </w:r>
      <w:r w:rsidRPr="00E079A6">
        <w:rPr>
          <w:rFonts w:cs="TimesNewRomanPSMT"/>
          <w:color w:val="000000"/>
        </w:rPr>
        <w:t xml:space="preserve">. </w:t>
      </w:r>
      <w:r w:rsidRPr="00E079A6">
        <w:t xml:space="preserve">In the </w:t>
      </w:r>
      <w:r w:rsidRPr="00E079A6">
        <w:rPr>
          <w:i/>
          <w:iCs/>
        </w:rPr>
        <w:t>AD All PC Weeks 0-16</w:t>
      </w:r>
      <w:r w:rsidRPr="00E079A6">
        <w:t xml:space="preserve"> analysis set, </w:t>
      </w:r>
      <w:r w:rsidRPr="00E079A6">
        <w:rPr>
          <w:rFonts w:cs="TimesNewRomanPSMT"/>
        </w:rPr>
        <w:t xml:space="preserve">the overall frequencies of </w:t>
      </w:r>
      <w:r w:rsidRPr="00E079A6">
        <w:rPr>
          <w:rFonts w:cs="TimesNewRomanPSMT"/>
          <w:i/>
          <w:iCs/>
        </w:rPr>
        <w:t>Infections and infestations</w:t>
      </w:r>
      <w:r w:rsidRPr="00E079A6">
        <w:rPr>
          <w:rFonts w:cs="TimesNewRomanPSMT"/>
        </w:rPr>
        <w:t xml:space="preserve"> (SOC) were similar between the two treatment groups, but the preferred terms of conjunctivitis, nasopharyngitis, and herpes zoster were reported more frequently in the lebrikizumab group than in the placebo group (</w:t>
      </w:r>
      <w:r w:rsidRPr="00E079A6">
        <w:t>TEAEs of herpes zoster were reported only in lebrikizumab-treated participants)</w:t>
      </w:r>
      <w:r w:rsidR="00F516F7">
        <w:t xml:space="preserve">. </w:t>
      </w:r>
      <w:r w:rsidRPr="00E079A6">
        <w:t>Skin infections were reported less frequently in the lebrikizumab group compared to placebo</w:t>
      </w:r>
      <w:r w:rsidR="00F516F7">
        <w:t xml:space="preserve">. </w:t>
      </w:r>
      <w:r w:rsidRPr="00E079A6">
        <w:rPr>
          <w:rFonts w:cs="TimesNewRomanPSMT"/>
        </w:rPr>
        <w:t>No parasitic (helminth) infections or confirmed opportunistic infections were reported in the placebo-controlled induction period</w:t>
      </w:r>
      <w:r w:rsidR="00F516F7">
        <w:rPr>
          <w:rFonts w:cs="TimesNewRomanPSMT"/>
        </w:rPr>
        <w:t xml:space="preserve">. </w:t>
      </w:r>
      <w:r w:rsidRPr="00E079A6">
        <w:t>Most infections in the induction period were mild or moderate in severity, with only 3 serious events being reported: 1 (0.2%) placebo-treated participant reported 2 serious events of cellulitis and sepsis and 1 (0.1%) lebrikizumab-treated participant reported a serious event of severe infectious colitis</w:t>
      </w:r>
      <w:r w:rsidR="00F516F7">
        <w:t xml:space="preserve">. </w:t>
      </w:r>
    </w:p>
    <w:p w14:paraId="2B8A3E4D" w14:textId="7184CAF0" w:rsidR="008B68FC" w:rsidRDefault="008B68FC" w:rsidP="008B68FC">
      <w:pPr>
        <w:pStyle w:val="TableTitle"/>
      </w:pPr>
      <w:r>
        <w:t>Table 30. Treatment-Emergent Infections Occurring in at Least 1% of Lebrikizumab-Treated Participants for the Induction Period Placebo-Controlled Analysis Sets</w:t>
      </w:r>
    </w:p>
    <w:p w14:paraId="20AC4663" w14:textId="0544AEBA" w:rsidR="008B68FC" w:rsidRPr="00E079A6" w:rsidRDefault="008B68FC" w:rsidP="007105E8">
      <w:r>
        <w:rPr>
          <w:noProof/>
        </w:rPr>
        <w:drawing>
          <wp:inline distT="0" distB="0" distL="0" distR="0" wp14:anchorId="36EFC6CD" wp14:editId="27AA66EA">
            <wp:extent cx="5681980" cy="4639310"/>
            <wp:effectExtent l="0" t="0" r="0" b="8890"/>
            <wp:docPr id="27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81980" cy="4639310"/>
                    </a:xfrm>
                    <a:prstGeom prst="rect">
                      <a:avLst/>
                    </a:prstGeom>
                    <a:noFill/>
                  </pic:spPr>
                </pic:pic>
              </a:graphicData>
            </a:graphic>
          </wp:inline>
        </w:drawing>
      </w:r>
    </w:p>
    <w:p w14:paraId="4CF1E1E9" w14:textId="7DA3C294" w:rsidR="00AC7EC4" w:rsidRPr="00AC7EC4" w:rsidRDefault="00AC7EC4" w:rsidP="008B68FC">
      <w:pPr>
        <w:pStyle w:val="TableDescription"/>
      </w:pPr>
      <w:r w:rsidRPr="00AC7EC4">
        <w:t>a</w:t>
      </w:r>
      <w:r w:rsidR="00AD421B">
        <w:t>:</w:t>
      </w:r>
      <w:r w:rsidRPr="00AC7EC4">
        <w:t xml:space="preserve"> Events per 100 PY</w:t>
      </w:r>
      <w:r w:rsidR="00F516F7">
        <w:t xml:space="preserve">. </w:t>
      </w:r>
      <w:r w:rsidRPr="00AC7EC4">
        <w:t xml:space="preserve"> </w:t>
      </w:r>
      <w:r w:rsidR="00AD421B">
        <w:t>b:</w:t>
      </w:r>
      <w:r w:rsidRPr="00AC7EC4">
        <w:t xml:space="preserve"> Conjunctivitis infections have been considered above under the conjunctivitis and keratitis clusters</w:t>
      </w:r>
      <w:r w:rsidR="00F516F7">
        <w:t xml:space="preserve">. </w:t>
      </w:r>
      <w:r w:rsidRPr="00AC7EC4">
        <w:t xml:space="preserve">  </w:t>
      </w:r>
    </w:p>
    <w:p w14:paraId="0C5D85B5" w14:textId="104BDB57" w:rsidR="007105E8" w:rsidRDefault="007105E8" w:rsidP="007105E8">
      <w:pPr>
        <w:autoSpaceDE w:val="0"/>
        <w:autoSpaceDN w:val="0"/>
        <w:adjustRightInd w:val="0"/>
        <w:spacing w:after="0" w:line="240" w:lineRule="auto"/>
      </w:pPr>
      <w:r w:rsidRPr="00AC7EC4">
        <w:rPr>
          <w:rFonts w:cs="TimesNewRomanPSMT"/>
          <w:color w:val="000000"/>
        </w:rPr>
        <w:t>In the maintenance period (</w:t>
      </w:r>
      <w:r w:rsidRPr="00AC7EC4">
        <w:rPr>
          <w:rFonts w:cs="TimesNewRomanPSMT"/>
          <w:i/>
          <w:iCs/>
          <w:color w:val="000000"/>
        </w:rPr>
        <w:t>AD Mono PC Weeks 16-52</w:t>
      </w:r>
      <w:r w:rsidRPr="00AC7EC4">
        <w:rPr>
          <w:rFonts w:cs="TimesNewRomanPSMT"/>
          <w:color w:val="000000"/>
        </w:rPr>
        <w:t xml:space="preserve"> analysis set), treatment-emergent infections were reported</w:t>
      </w:r>
      <w:r w:rsidRPr="00AC7EC4">
        <w:t xml:space="preserve"> </w:t>
      </w:r>
      <w:r w:rsidRPr="00AC7EC4">
        <w:rPr>
          <w:rFonts w:cs="TimesNewRomanPSMT"/>
          <w:color w:val="000000"/>
        </w:rPr>
        <w:t>more frequently in the LEB 250 mg Q4W group than the LBE 250 mg Q2W and placebo groups (</w:t>
      </w:r>
      <w:r w:rsidR="00E079A6">
        <w:rPr>
          <w:rFonts w:cs="TimesNewRomanPSMT"/>
          <w:color w:val="000000"/>
        </w:rPr>
        <w:t>Table 31</w:t>
      </w:r>
      <w:r w:rsidRPr="00AC7EC4">
        <w:rPr>
          <w:rFonts w:cs="TimesNewRomanPSMT"/>
          <w:color w:val="000000"/>
        </w:rPr>
        <w:t xml:space="preserve">). </w:t>
      </w:r>
      <w:r w:rsidRPr="00AC7EC4">
        <w:t>All events were non-serious, and mild or moderate in severity. One (0.9%) case of conjunctivitis in the LEB 250 mg Q4W group led to treatment discontinuation</w:t>
      </w:r>
      <w:r w:rsidR="00F516F7">
        <w:t xml:space="preserve">. </w:t>
      </w:r>
      <w:r w:rsidRPr="00AC7EC4">
        <w:t xml:space="preserve">One helminth infection was reported in the </w:t>
      </w:r>
      <w:r w:rsidRPr="00AC7EC4">
        <w:rPr>
          <w:i/>
          <w:iCs/>
        </w:rPr>
        <w:t>AD Mono/TCS Weeks 0-52/56</w:t>
      </w:r>
      <w:r w:rsidRPr="00AC7EC4">
        <w:t xml:space="preserve"> analysis set.</w:t>
      </w:r>
    </w:p>
    <w:p w14:paraId="7ADF35E9" w14:textId="45F13A63" w:rsidR="007105E8" w:rsidRPr="00E7334C" w:rsidRDefault="007105E8" w:rsidP="00AC7EC4">
      <w:pPr>
        <w:pStyle w:val="TableTitle"/>
      </w:pPr>
      <w:bookmarkStart w:id="86" w:name="_Ref147742317"/>
      <w:r>
        <w:t xml:space="preserve">Table </w:t>
      </w:r>
      <w:bookmarkEnd w:id="86"/>
      <w:r w:rsidR="00E079A6">
        <w:t>31.</w:t>
      </w:r>
      <w:r>
        <w:t xml:space="preserve"> </w:t>
      </w:r>
      <w:r w:rsidRPr="00E7334C">
        <w:t xml:space="preserve">AD Mono PC Weeks 16-52 – Treatment-emergent infections </w:t>
      </w:r>
      <w:r w:rsidRPr="00E7334C">
        <w:rPr>
          <w:rFonts w:cs="TimesNewRomanPSMT"/>
        </w:rPr>
        <w:t xml:space="preserve">in the </w:t>
      </w:r>
      <w:r w:rsidRPr="00B05C7A">
        <w:rPr>
          <w:rFonts w:cs="TimesNewRomanPSMT"/>
          <w:i/>
          <w:iCs/>
        </w:rPr>
        <w:t xml:space="preserve">Infections and </w:t>
      </w:r>
      <w:r>
        <w:rPr>
          <w:rFonts w:cs="TimesNewRomanPSMT"/>
          <w:i/>
          <w:iCs/>
        </w:rPr>
        <w:t>i</w:t>
      </w:r>
      <w:r w:rsidRPr="00B05C7A">
        <w:rPr>
          <w:rFonts w:cs="TimesNewRomanPSMT"/>
          <w:i/>
          <w:iCs/>
        </w:rPr>
        <w:t>nfestations</w:t>
      </w:r>
      <w:r w:rsidRPr="00CE2D6C">
        <w:rPr>
          <w:rFonts w:cs="TimesNewRomanPSMT"/>
          <w:i/>
          <w:iCs/>
        </w:rPr>
        <w:t xml:space="preserve"> </w:t>
      </w:r>
      <w:r>
        <w:rPr>
          <w:rFonts w:cs="TimesNewRomanPSMT"/>
          <w:i/>
          <w:iCs/>
        </w:rPr>
        <w:t>(</w:t>
      </w:r>
      <w:r w:rsidRPr="00CE2D6C">
        <w:rPr>
          <w:rFonts w:cs="TimesNewRomanPSMT"/>
          <w:i/>
          <w:iCs/>
        </w:rPr>
        <w:t>SO</w:t>
      </w:r>
      <w:r>
        <w:rPr>
          <w:rFonts w:cs="TimesNewRomanPSMT"/>
          <w:i/>
          <w:iCs/>
        </w:rPr>
        <w:t xml:space="preserve">C) </w:t>
      </w:r>
      <w:r w:rsidRPr="00E7334C">
        <w:rPr>
          <w:rFonts w:cs="TimesNewRomanPSMT"/>
          <w:i/>
          <w:iCs/>
        </w:rPr>
        <w:t xml:space="preserve"> </w:t>
      </w:r>
      <w:r w:rsidRPr="00E7334C">
        <w:t>occurring in at least 1% of participants in the LEB Q4W group by descending order of frequency in the AD maintenance period placebo-controlled analysis set (KGAB, KGAC).</w:t>
      </w:r>
    </w:p>
    <w:tbl>
      <w:tblPr>
        <w:tblStyle w:val="TableTGAblue2023"/>
        <w:tblW w:w="9143" w:type="dxa"/>
        <w:tblLayout w:type="fixed"/>
        <w:tblLook w:val="04A0" w:firstRow="1" w:lastRow="0" w:firstColumn="1" w:lastColumn="0" w:noHBand="0" w:noVBand="1"/>
      </w:tblPr>
      <w:tblGrid>
        <w:gridCol w:w="2339"/>
        <w:gridCol w:w="1200"/>
        <w:gridCol w:w="992"/>
        <w:gridCol w:w="1276"/>
        <w:gridCol w:w="1068"/>
        <w:gridCol w:w="1200"/>
        <w:gridCol w:w="1068"/>
      </w:tblGrid>
      <w:tr w:rsidR="007105E8" w:rsidRPr="00AC7EC4" w14:paraId="5C8421F3" w14:textId="77777777" w:rsidTr="008B6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60241E95" w14:textId="77777777" w:rsidR="007105E8" w:rsidRPr="00AC7EC4" w:rsidRDefault="007105E8" w:rsidP="008B68FC">
            <w:pPr>
              <w:rPr>
                <w:b w:val="0"/>
              </w:rPr>
            </w:pPr>
          </w:p>
        </w:tc>
        <w:tc>
          <w:tcPr>
            <w:tcW w:w="2192" w:type="dxa"/>
            <w:gridSpan w:val="2"/>
          </w:tcPr>
          <w:p w14:paraId="64B62C8B" w14:textId="77777777" w:rsidR="007105E8" w:rsidRPr="00AC7EC4" w:rsidRDefault="007105E8" w:rsidP="008B68FC">
            <w:pPr>
              <w:cnfStyle w:val="100000000000" w:firstRow="1" w:lastRow="0" w:firstColumn="0" w:lastColumn="0" w:oddVBand="0" w:evenVBand="0" w:oddHBand="0" w:evenHBand="0" w:firstRowFirstColumn="0" w:firstRowLastColumn="0" w:lastRowFirstColumn="0" w:lastRowLastColumn="0"/>
              <w:rPr>
                <w:b w:val="0"/>
              </w:rPr>
            </w:pPr>
            <w:r w:rsidRPr="00AC7EC4">
              <w:t>Placebo</w:t>
            </w:r>
          </w:p>
        </w:tc>
        <w:tc>
          <w:tcPr>
            <w:tcW w:w="2344" w:type="dxa"/>
            <w:gridSpan w:val="2"/>
          </w:tcPr>
          <w:p w14:paraId="3BD7B859" w14:textId="77777777" w:rsidR="007105E8" w:rsidRPr="00AC7EC4" w:rsidRDefault="007105E8" w:rsidP="008B68FC">
            <w:pPr>
              <w:cnfStyle w:val="100000000000" w:firstRow="1" w:lastRow="0" w:firstColumn="0" w:lastColumn="0" w:oddVBand="0" w:evenVBand="0" w:oddHBand="0" w:evenHBand="0" w:firstRowFirstColumn="0" w:firstRowLastColumn="0" w:lastRowFirstColumn="0" w:lastRowLastColumn="0"/>
              <w:rPr>
                <w:b w:val="0"/>
              </w:rPr>
            </w:pPr>
            <w:r w:rsidRPr="00AC7EC4">
              <w:t>LEB 250 mg Q4W</w:t>
            </w:r>
          </w:p>
        </w:tc>
        <w:tc>
          <w:tcPr>
            <w:tcW w:w="2268" w:type="dxa"/>
            <w:gridSpan w:val="2"/>
          </w:tcPr>
          <w:p w14:paraId="5DC7FEBB" w14:textId="77777777" w:rsidR="007105E8" w:rsidRPr="00AC7EC4" w:rsidRDefault="007105E8" w:rsidP="008B68FC">
            <w:pPr>
              <w:cnfStyle w:val="100000000000" w:firstRow="1" w:lastRow="0" w:firstColumn="0" w:lastColumn="0" w:oddVBand="0" w:evenVBand="0" w:oddHBand="0" w:evenHBand="0" w:firstRowFirstColumn="0" w:firstRowLastColumn="0" w:lastRowFirstColumn="0" w:lastRowLastColumn="0"/>
              <w:rPr>
                <w:b w:val="0"/>
              </w:rPr>
            </w:pPr>
            <w:r w:rsidRPr="00AC7EC4">
              <w:t>LEB 250 mg Q2W</w:t>
            </w:r>
          </w:p>
        </w:tc>
      </w:tr>
      <w:tr w:rsidR="007105E8" w:rsidRPr="00AC7EC4" w14:paraId="15A50115" w14:textId="77777777" w:rsidTr="008B68FC">
        <w:tc>
          <w:tcPr>
            <w:cnfStyle w:val="001000000000" w:firstRow="0" w:lastRow="0" w:firstColumn="1" w:lastColumn="0" w:oddVBand="0" w:evenVBand="0" w:oddHBand="0" w:evenHBand="0" w:firstRowFirstColumn="0" w:firstRowLastColumn="0" w:lastRowFirstColumn="0" w:lastRowLastColumn="0"/>
            <w:tcW w:w="2339" w:type="dxa"/>
          </w:tcPr>
          <w:p w14:paraId="54175532" w14:textId="77777777" w:rsidR="007105E8" w:rsidRPr="00AC7EC4" w:rsidRDefault="007105E8" w:rsidP="008B68FC"/>
        </w:tc>
        <w:tc>
          <w:tcPr>
            <w:tcW w:w="2192" w:type="dxa"/>
            <w:gridSpan w:val="2"/>
          </w:tcPr>
          <w:p w14:paraId="1E2C4AEA"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N=60; PYE=37.0</w:t>
            </w:r>
          </w:p>
        </w:tc>
        <w:tc>
          <w:tcPr>
            <w:tcW w:w="2344" w:type="dxa"/>
            <w:gridSpan w:val="2"/>
          </w:tcPr>
          <w:p w14:paraId="2442AE21"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N=118, PYE=77.4</w:t>
            </w:r>
          </w:p>
        </w:tc>
        <w:tc>
          <w:tcPr>
            <w:tcW w:w="2268" w:type="dxa"/>
            <w:gridSpan w:val="2"/>
          </w:tcPr>
          <w:p w14:paraId="2D1EE787"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N=113, PYE=71.1</w:t>
            </w:r>
          </w:p>
        </w:tc>
      </w:tr>
      <w:tr w:rsidR="007105E8" w:rsidRPr="00AC7EC4" w14:paraId="647D013A" w14:textId="77777777" w:rsidTr="008B68FC">
        <w:tc>
          <w:tcPr>
            <w:cnfStyle w:val="001000000000" w:firstRow="0" w:lastRow="0" w:firstColumn="1" w:lastColumn="0" w:oddVBand="0" w:evenVBand="0" w:oddHBand="0" w:evenHBand="0" w:firstRowFirstColumn="0" w:firstRowLastColumn="0" w:lastRowFirstColumn="0" w:lastRowLastColumn="0"/>
            <w:tcW w:w="2339" w:type="dxa"/>
          </w:tcPr>
          <w:p w14:paraId="762750B4" w14:textId="77777777" w:rsidR="007105E8" w:rsidRPr="00AC7EC4" w:rsidRDefault="007105E8" w:rsidP="008B68FC"/>
        </w:tc>
        <w:tc>
          <w:tcPr>
            <w:tcW w:w="1200" w:type="dxa"/>
          </w:tcPr>
          <w:p w14:paraId="5D4FED91"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n (adj %)</w:t>
            </w:r>
          </w:p>
        </w:tc>
        <w:tc>
          <w:tcPr>
            <w:tcW w:w="992" w:type="dxa"/>
          </w:tcPr>
          <w:p w14:paraId="5E59CE55"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[adj IR] </w:t>
            </w:r>
            <w:r w:rsidRPr="00AC7EC4">
              <w:rPr>
                <w:vertAlign w:val="superscript"/>
              </w:rPr>
              <w:t>a</w:t>
            </w:r>
          </w:p>
        </w:tc>
        <w:tc>
          <w:tcPr>
            <w:tcW w:w="1276" w:type="dxa"/>
          </w:tcPr>
          <w:p w14:paraId="364D79FB"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n (adj %)</w:t>
            </w:r>
          </w:p>
        </w:tc>
        <w:tc>
          <w:tcPr>
            <w:tcW w:w="1068" w:type="dxa"/>
          </w:tcPr>
          <w:p w14:paraId="554D69A0"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[adj IR]</w:t>
            </w:r>
            <w:r w:rsidRPr="00AC7EC4">
              <w:rPr>
                <w:vertAlign w:val="superscript"/>
              </w:rPr>
              <w:t xml:space="preserve"> a</w:t>
            </w:r>
          </w:p>
        </w:tc>
        <w:tc>
          <w:tcPr>
            <w:tcW w:w="1200" w:type="dxa"/>
          </w:tcPr>
          <w:p w14:paraId="15D9F7FE"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n (adj %)</w:t>
            </w:r>
          </w:p>
        </w:tc>
        <w:tc>
          <w:tcPr>
            <w:tcW w:w="1068" w:type="dxa"/>
          </w:tcPr>
          <w:p w14:paraId="660B8F15"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[adj IR]</w:t>
            </w:r>
            <w:r w:rsidRPr="00AC7EC4">
              <w:rPr>
                <w:vertAlign w:val="superscript"/>
              </w:rPr>
              <w:t xml:space="preserve"> a</w:t>
            </w:r>
          </w:p>
        </w:tc>
      </w:tr>
      <w:tr w:rsidR="007105E8" w:rsidRPr="00AC7EC4" w14:paraId="20695811" w14:textId="77777777" w:rsidTr="008B68FC">
        <w:tc>
          <w:tcPr>
            <w:cnfStyle w:val="001000000000" w:firstRow="0" w:lastRow="0" w:firstColumn="1" w:lastColumn="0" w:oddVBand="0" w:evenVBand="0" w:oddHBand="0" w:evenHBand="0" w:firstRowFirstColumn="0" w:firstRowLastColumn="0" w:lastRowFirstColumn="0" w:lastRowLastColumn="0"/>
            <w:tcW w:w="2339" w:type="dxa"/>
          </w:tcPr>
          <w:p w14:paraId="2AA4FDCA" w14:textId="77777777" w:rsidR="007105E8" w:rsidRPr="00AC7EC4" w:rsidRDefault="007105E8" w:rsidP="008B68FC">
            <w:r w:rsidRPr="00AC7EC4">
              <w:rPr>
                <w:sz w:val="16"/>
                <w:szCs w:val="16"/>
              </w:rPr>
              <w:t>Participants with ≥ 1 TEAE Infections and infestations SOC</w:t>
            </w:r>
          </w:p>
        </w:tc>
        <w:tc>
          <w:tcPr>
            <w:tcW w:w="1200" w:type="dxa"/>
          </w:tcPr>
          <w:p w14:paraId="16A9018E"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12 (20.1)  </w:t>
            </w:r>
          </w:p>
        </w:tc>
        <w:tc>
          <w:tcPr>
            <w:tcW w:w="992" w:type="dxa"/>
          </w:tcPr>
          <w:p w14:paraId="6CAD6FE3"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[37.8] </w:t>
            </w:r>
          </w:p>
        </w:tc>
        <w:tc>
          <w:tcPr>
            <w:tcW w:w="1276" w:type="dxa"/>
          </w:tcPr>
          <w:p w14:paraId="54AA465C"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36 (30.5) </w:t>
            </w:r>
          </w:p>
        </w:tc>
        <w:tc>
          <w:tcPr>
            <w:tcW w:w="1068" w:type="dxa"/>
          </w:tcPr>
          <w:p w14:paraId="235A0AAB"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[56.0]</w:t>
            </w:r>
          </w:p>
        </w:tc>
        <w:tc>
          <w:tcPr>
            <w:tcW w:w="1200" w:type="dxa"/>
          </w:tcPr>
          <w:p w14:paraId="50581464"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23 (20.4) </w:t>
            </w:r>
          </w:p>
        </w:tc>
        <w:tc>
          <w:tcPr>
            <w:tcW w:w="1068" w:type="dxa"/>
          </w:tcPr>
          <w:p w14:paraId="5E132B19"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[36.0]</w:t>
            </w:r>
          </w:p>
        </w:tc>
      </w:tr>
      <w:tr w:rsidR="007105E8" w:rsidRPr="00AC7EC4" w14:paraId="701F271D" w14:textId="77777777" w:rsidTr="008B68FC">
        <w:tc>
          <w:tcPr>
            <w:cnfStyle w:val="001000000000" w:firstRow="0" w:lastRow="0" w:firstColumn="1" w:lastColumn="0" w:oddVBand="0" w:evenVBand="0" w:oddHBand="0" w:evenHBand="0" w:firstRowFirstColumn="0" w:firstRowLastColumn="0" w:lastRowFirstColumn="0" w:lastRowLastColumn="0"/>
            <w:tcW w:w="2339" w:type="dxa"/>
          </w:tcPr>
          <w:p w14:paraId="046452EE" w14:textId="77777777" w:rsidR="007105E8" w:rsidRPr="00AC7EC4" w:rsidRDefault="007105E8" w:rsidP="008B68FC">
            <w:r w:rsidRPr="00AC7EC4">
              <w:t>Covid-19</w:t>
            </w:r>
          </w:p>
        </w:tc>
        <w:tc>
          <w:tcPr>
            <w:tcW w:w="1200" w:type="dxa"/>
          </w:tcPr>
          <w:p w14:paraId="17CE2445"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2 ( 3.3) </w:t>
            </w:r>
          </w:p>
        </w:tc>
        <w:tc>
          <w:tcPr>
            <w:tcW w:w="992" w:type="dxa"/>
          </w:tcPr>
          <w:p w14:paraId="5A521A32"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[5.5]</w:t>
            </w:r>
          </w:p>
        </w:tc>
        <w:tc>
          <w:tcPr>
            <w:tcW w:w="1276" w:type="dxa"/>
          </w:tcPr>
          <w:p w14:paraId="1AC3D3AC"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11 ( 9.4) </w:t>
            </w:r>
          </w:p>
        </w:tc>
        <w:tc>
          <w:tcPr>
            <w:tcW w:w="1068" w:type="dxa"/>
          </w:tcPr>
          <w:p w14:paraId="659C295A"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[14.9]</w:t>
            </w:r>
          </w:p>
        </w:tc>
        <w:tc>
          <w:tcPr>
            <w:tcW w:w="1200" w:type="dxa"/>
          </w:tcPr>
          <w:p w14:paraId="32EB408E"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3 (2.6) </w:t>
            </w:r>
          </w:p>
        </w:tc>
        <w:tc>
          <w:tcPr>
            <w:tcW w:w="1068" w:type="dxa"/>
          </w:tcPr>
          <w:p w14:paraId="06185FC8"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[4.2]</w:t>
            </w:r>
          </w:p>
        </w:tc>
      </w:tr>
      <w:tr w:rsidR="007105E8" w:rsidRPr="00AC7EC4" w14:paraId="5D836FA5" w14:textId="77777777" w:rsidTr="008B68FC">
        <w:tc>
          <w:tcPr>
            <w:cnfStyle w:val="001000000000" w:firstRow="0" w:lastRow="0" w:firstColumn="1" w:lastColumn="0" w:oddVBand="0" w:evenVBand="0" w:oddHBand="0" w:evenHBand="0" w:firstRowFirstColumn="0" w:firstRowLastColumn="0" w:lastRowFirstColumn="0" w:lastRowLastColumn="0"/>
            <w:tcW w:w="2339" w:type="dxa"/>
          </w:tcPr>
          <w:p w14:paraId="762C6ADC" w14:textId="77777777" w:rsidR="007105E8" w:rsidRPr="00AC7EC4" w:rsidRDefault="007105E8" w:rsidP="008B68FC">
            <w:r w:rsidRPr="00AC7EC4">
              <w:t>Nasopharyngitis</w:t>
            </w:r>
          </w:p>
        </w:tc>
        <w:tc>
          <w:tcPr>
            <w:tcW w:w="1200" w:type="dxa"/>
          </w:tcPr>
          <w:p w14:paraId="210C6658"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3 ( 5.0) </w:t>
            </w:r>
          </w:p>
        </w:tc>
        <w:tc>
          <w:tcPr>
            <w:tcW w:w="992" w:type="dxa"/>
          </w:tcPr>
          <w:p w14:paraId="73BF1183"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[8.3]</w:t>
            </w:r>
          </w:p>
        </w:tc>
        <w:tc>
          <w:tcPr>
            <w:tcW w:w="1276" w:type="dxa"/>
          </w:tcPr>
          <w:p w14:paraId="040FBCBD"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9 ( 7.6) </w:t>
            </w:r>
          </w:p>
        </w:tc>
        <w:tc>
          <w:tcPr>
            <w:tcW w:w="1068" w:type="dxa"/>
          </w:tcPr>
          <w:p w14:paraId="6AC852BC"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[12.2]</w:t>
            </w:r>
          </w:p>
        </w:tc>
        <w:tc>
          <w:tcPr>
            <w:tcW w:w="1200" w:type="dxa"/>
          </w:tcPr>
          <w:p w14:paraId="221AD95B"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4 ( 3.5) </w:t>
            </w:r>
          </w:p>
        </w:tc>
        <w:tc>
          <w:tcPr>
            <w:tcW w:w="1068" w:type="dxa"/>
          </w:tcPr>
          <w:p w14:paraId="7B1130A0"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[5.8]</w:t>
            </w:r>
          </w:p>
        </w:tc>
      </w:tr>
      <w:tr w:rsidR="007105E8" w:rsidRPr="00AC7EC4" w14:paraId="1A7E98D2" w14:textId="77777777" w:rsidTr="008B68FC">
        <w:tc>
          <w:tcPr>
            <w:cnfStyle w:val="001000000000" w:firstRow="0" w:lastRow="0" w:firstColumn="1" w:lastColumn="0" w:oddVBand="0" w:evenVBand="0" w:oddHBand="0" w:evenHBand="0" w:firstRowFirstColumn="0" w:firstRowLastColumn="0" w:lastRowFirstColumn="0" w:lastRowLastColumn="0"/>
            <w:tcW w:w="2339" w:type="dxa"/>
          </w:tcPr>
          <w:p w14:paraId="165F0128" w14:textId="77777777" w:rsidR="007105E8" w:rsidRPr="00AC7EC4" w:rsidRDefault="007105E8" w:rsidP="008B68FC">
            <w:r w:rsidRPr="00AC7EC4">
              <w:t>Conjunctivitis</w:t>
            </w:r>
          </w:p>
        </w:tc>
        <w:tc>
          <w:tcPr>
            <w:tcW w:w="1200" w:type="dxa"/>
          </w:tcPr>
          <w:p w14:paraId="55BC2ACE"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3 ( 5.0) </w:t>
            </w:r>
          </w:p>
        </w:tc>
        <w:tc>
          <w:tcPr>
            <w:tcW w:w="992" w:type="dxa"/>
          </w:tcPr>
          <w:p w14:paraId="2EC3016B"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[8.4]</w:t>
            </w:r>
          </w:p>
        </w:tc>
        <w:tc>
          <w:tcPr>
            <w:tcW w:w="1276" w:type="dxa"/>
          </w:tcPr>
          <w:p w14:paraId="0A1A44E2"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6 ( 5.0) </w:t>
            </w:r>
          </w:p>
        </w:tc>
        <w:tc>
          <w:tcPr>
            <w:tcW w:w="1068" w:type="dxa"/>
          </w:tcPr>
          <w:p w14:paraId="2CD151DE"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[8.1]</w:t>
            </w:r>
          </w:p>
        </w:tc>
        <w:tc>
          <w:tcPr>
            <w:tcW w:w="1200" w:type="dxa"/>
          </w:tcPr>
          <w:p w14:paraId="753E7B3A"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0</w:t>
            </w:r>
          </w:p>
        </w:tc>
        <w:tc>
          <w:tcPr>
            <w:tcW w:w="1068" w:type="dxa"/>
          </w:tcPr>
          <w:p w14:paraId="790A4824"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0</w:t>
            </w:r>
          </w:p>
        </w:tc>
      </w:tr>
      <w:tr w:rsidR="007105E8" w:rsidRPr="00AC7EC4" w14:paraId="2E68E8E7" w14:textId="77777777" w:rsidTr="008B68FC">
        <w:tc>
          <w:tcPr>
            <w:cnfStyle w:val="001000000000" w:firstRow="0" w:lastRow="0" w:firstColumn="1" w:lastColumn="0" w:oddVBand="0" w:evenVBand="0" w:oddHBand="0" w:evenHBand="0" w:firstRowFirstColumn="0" w:firstRowLastColumn="0" w:lastRowFirstColumn="0" w:lastRowLastColumn="0"/>
            <w:tcW w:w="2339" w:type="dxa"/>
          </w:tcPr>
          <w:p w14:paraId="05B980FE" w14:textId="77777777" w:rsidR="007105E8" w:rsidRPr="00AC7EC4" w:rsidRDefault="007105E8" w:rsidP="008B68FC">
            <w:r w:rsidRPr="00AC7EC4">
              <w:t xml:space="preserve">Oral herpes </w:t>
            </w:r>
          </w:p>
        </w:tc>
        <w:tc>
          <w:tcPr>
            <w:tcW w:w="1200" w:type="dxa"/>
          </w:tcPr>
          <w:p w14:paraId="38963570"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1 ( 1.6)</w:t>
            </w:r>
          </w:p>
        </w:tc>
        <w:tc>
          <w:tcPr>
            <w:tcW w:w="992" w:type="dxa"/>
          </w:tcPr>
          <w:p w14:paraId="758CE71F"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[2.7]</w:t>
            </w:r>
          </w:p>
        </w:tc>
        <w:tc>
          <w:tcPr>
            <w:tcW w:w="1276" w:type="dxa"/>
          </w:tcPr>
          <w:p w14:paraId="398B7D82"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4 ( 3.4) </w:t>
            </w:r>
          </w:p>
        </w:tc>
        <w:tc>
          <w:tcPr>
            <w:tcW w:w="1068" w:type="dxa"/>
          </w:tcPr>
          <w:p w14:paraId="375AB7C6"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[5.2]</w:t>
            </w:r>
          </w:p>
        </w:tc>
        <w:tc>
          <w:tcPr>
            <w:tcW w:w="1200" w:type="dxa"/>
          </w:tcPr>
          <w:p w14:paraId="2E48EEB6"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1 ( 0.9) </w:t>
            </w:r>
          </w:p>
        </w:tc>
        <w:tc>
          <w:tcPr>
            <w:tcW w:w="1068" w:type="dxa"/>
          </w:tcPr>
          <w:p w14:paraId="3EFA9668"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[1.4]</w:t>
            </w:r>
          </w:p>
        </w:tc>
      </w:tr>
      <w:tr w:rsidR="007105E8" w:rsidRPr="00AC7EC4" w14:paraId="0B948766" w14:textId="77777777" w:rsidTr="008B68FC">
        <w:tc>
          <w:tcPr>
            <w:cnfStyle w:val="001000000000" w:firstRow="0" w:lastRow="0" w:firstColumn="1" w:lastColumn="0" w:oddVBand="0" w:evenVBand="0" w:oddHBand="0" w:evenHBand="0" w:firstRowFirstColumn="0" w:firstRowLastColumn="0" w:lastRowFirstColumn="0" w:lastRowLastColumn="0"/>
            <w:tcW w:w="2339" w:type="dxa"/>
          </w:tcPr>
          <w:p w14:paraId="09BBA696" w14:textId="77777777" w:rsidR="007105E8" w:rsidRPr="00AC7EC4" w:rsidRDefault="007105E8" w:rsidP="008B68FC">
            <w:r w:rsidRPr="00AC7EC4">
              <w:t>Folliculitis</w:t>
            </w:r>
          </w:p>
        </w:tc>
        <w:tc>
          <w:tcPr>
            <w:tcW w:w="1200" w:type="dxa"/>
          </w:tcPr>
          <w:p w14:paraId="7EF27299"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0 </w:t>
            </w:r>
          </w:p>
        </w:tc>
        <w:tc>
          <w:tcPr>
            <w:tcW w:w="992" w:type="dxa"/>
          </w:tcPr>
          <w:p w14:paraId="36235AEF"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0</w:t>
            </w:r>
          </w:p>
        </w:tc>
        <w:tc>
          <w:tcPr>
            <w:tcW w:w="1276" w:type="dxa"/>
          </w:tcPr>
          <w:p w14:paraId="05644657"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3 ( 2.5) </w:t>
            </w:r>
          </w:p>
        </w:tc>
        <w:tc>
          <w:tcPr>
            <w:tcW w:w="1068" w:type="dxa"/>
          </w:tcPr>
          <w:p w14:paraId="72EB1DF7"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[3.9]</w:t>
            </w:r>
          </w:p>
        </w:tc>
        <w:tc>
          <w:tcPr>
            <w:tcW w:w="1200" w:type="dxa"/>
          </w:tcPr>
          <w:p w14:paraId="40E98CEF"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3 ( 2.7) </w:t>
            </w:r>
          </w:p>
        </w:tc>
        <w:tc>
          <w:tcPr>
            <w:tcW w:w="1068" w:type="dxa"/>
          </w:tcPr>
          <w:p w14:paraId="5AD07E92"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[4.4]</w:t>
            </w:r>
          </w:p>
        </w:tc>
      </w:tr>
      <w:tr w:rsidR="007105E8" w:rsidRPr="00AC7EC4" w14:paraId="5E97227C" w14:textId="77777777" w:rsidTr="008B68FC">
        <w:tc>
          <w:tcPr>
            <w:cnfStyle w:val="001000000000" w:firstRow="0" w:lastRow="0" w:firstColumn="1" w:lastColumn="0" w:oddVBand="0" w:evenVBand="0" w:oddHBand="0" w:evenHBand="0" w:firstRowFirstColumn="0" w:firstRowLastColumn="0" w:lastRowFirstColumn="0" w:lastRowLastColumn="0"/>
            <w:tcW w:w="2339" w:type="dxa"/>
          </w:tcPr>
          <w:p w14:paraId="5C1B1E28" w14:textId="77777777" w:rsidR="007105E8" w:rsidRPr="00AC7EC4" w:rsidRDefault="007105E8" w:rsidP="008B68FC">
            <w:r w:rsidRPr="00AC7EC4">
              <w:t>Herpes dermatitis</w:t>
            </w:r>
          </w:p>
        </w:tc>
        <w:tc>
          <w:tcPr>
            <w:tcW w:w="1200" w:type="dxa"/>
          </w:tcPr>
          <w:p w14:paraId="1760D706"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0</w:t>
            </w:r>
          </w:p>
        </w:tc>
        <w:tc>
          <w:tcPr>
            <w:tcW w:w="992" w:type="dxa"/>
          </w:tcPr>
          <w:p w14:paraId="7925C9A2"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0</w:t>
            </w:r>
          </w:p>
        </w:tc>
        <w:tc>
          <w:tcPr>
            <w:tcW w:w="1276" w:type="dxa"/>
          </w:tcPr>
          <w:p w14:paraId="39B53E7E"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3 (2.5)</w:t>
            </w:r>
          </w:p>
        </w:tc>
        <w:tc>
          <w:tcPr>
            <w:tcW w:w="1068" w:type="dxa"/>
          </w:tcPr>
          <w:p w14:paraId="792B3E50"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[3.9]</w:t>
            </w:r>
          </w:p>
        </w:tc>
        <w:tc>
          <w:tcPr>
            <w:tcW w:w="1200" w:type="dxa"/>
          </w:tcPr>
          <w:p w14:paraId="0B027B67"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1 ( 0.9)</w:t>
            </w:r>
          </w:p>
        </w:tc>
        <w:tc>
          <w:tcPr>
            <w:tcW w:w="1068" w:type="dxa"/>
          </w:tcPr>
          <w:p w14:paraId="7944C71A"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[1.4]</w:t>
            </w:r>
          </w:p>
        </w:tc>
      </w:tr>
      <w:tr w:rsidR="007105E8" w:rsidRPr="00AC7EC4" w14:paraId="196C1EE2" w14:textId="77777777" w:rsidTr="008B68FC">
        <w:tc>
          <w:tcPr>
            <w:cnfStyle w:val="001000000000" w:firstRow="0" w:lastRow="0" w:firstColumn="1" w:lastColumn="0" w:oddVBand="0" w:evenVBand="0" w:oddHBand="0" w:evenHBand="0" w:firstRowFirstColumn="0" w:firstRowLastColumn="0" w:lastRowFirstColumn="0" w:lastRowLastColumn="0"/>
            <w:tcW w:w="2339" w:type="dxa"/>
          </w:tcPr>
          <w:p w14:paraId="6712DA91" w14:textId="77777777" w:rsidR="007105E8" w:rsidRPr="00AC7EC4" w:rsidRDefault="007105E8" w:rsidP="008B68FC">
            <w:r w:rsidRPr="00AC7EC4">
              <w:t>URTI</w:t>
            </w:r>
          </w:p>
        </w:tc>
        <w:tc>
          <w:tcPr>
            <w:tcW w:w="1200" w:type="dxa"/>
          </w:tcPr>
          <w:p w14:paraId="5957DF9D"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3 ( 5.1) </w:t>
            </w:r>
          </w:p>
        </w:tc>
        <w:tc>
          <w:tcPr>
            <w:tcW w:w="992" w:type="dxa"/>
          </w:tcPr>
          <w:p w14:paraId="1B2A7C4E"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[8.8]</w:t>
            </w:r>
          </w:p>
        </w:tc>
        <w:tc>
          <w:tcPr>
            <w:tcW w:w="1276" w:type="dxa"/>
          </w:tcPr>
          <w:p w14:paraId="47EF6FE3"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2 ( 1.7) </w:t>
            </w:r>
          </w:p>
        </w:tc>
        <w:tc>
          <w:tcPr>
            <w:tcW w:w="1068" w:type="dxa"/>
          </w:tcPr>
          <w:p w14:paraId="47A4301B"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[2.6]</w:t>
            </w:r>
          </w:p>
        </w:tc>
        <w:tc>
          <w:tcPr>
            <w:tcW w:w="1200" w:type="dxa"/>
          </w:tcPr>
          <w:p w14:paraId="00D65115"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2 ( 1.8) </w:t>
            </w:r>
          </w:p>
        </w:tc>
        <w:tc>
          <w:tcPr>
            <w:tcW w:w="1068" w:type="dxa"/>
          </w:tcPr>
          <w:p w14:paraId="38F13ADE"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[2.9]</w:t>
            </w:r>
          </w:p>
        </w:tc>
      </w:tr>
      <w:tr w:rsidR="007105E8" w:rsidRPr="00AC7EC4" w14:paraId="318B21C9" w14:textId="77777777" w:rsidTr="008B68FC">
        <w:tc>
          <w:tcPr>
            <w:cnfStyle w:val="001000000000" w:firstRow="0" w:lastRow="0" w:firstColumn="1" w:lastColumn="0" w:oddVBand="0" w:evenVBand="0" w:oddHBand="0" w:evenHBand="0" w:firstRowFirstColumn="0" w:firstRowLastColumn="0" w:lastRowFirstColumn="0" w:lastRowLastColumn="0"/>
            <w:tcW w:w="2339" w:type="dxa"/>
          </w:tcPr>
          <w:p w14:paraId="63E986F0" w14:textId="77777777" w:rsidR="007105E8" w:rsidRPr="00AC7EC4" w:rsidRDefault="007105E8" w:rsidP="008B68FC">
            <w:r w:rsidRPr="00AC7EC4">
              <w:t xml:space="preserve">Sinusitis </w:t>
            </w:r>
          </w:p>
        </w:tc>
        <w:tc>
          <w:tcPr>
            <w:tcW w:w="1200" w:type="dxa"/>
          </w:tcPr>
          <w:p w14:paraId="10EA7FEE"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0</w:t>
            </w:r>
          </w:p>
        </w:tc>
        <w:tc>
          <w:tcPr>
            <w:tcW w:w="992" w:type="dxa"/>
          </w:tcPr>
          <w:p w14:paraId="0F3A7FAB"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0</w:t>
            </w:r>
          </w:p>
        </w:tc>
        <w:tc>
          <w:tcPr>
            <w:tcW w:w="1276" w:type="dxa"/>
          </w:tcPr>
          <w:p w14:paraId="52406B0F"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2 ( 1.7) </w:t>
            </w:r>
          </w:p>
        </w:tc>
        <w:tc>
          <w:tcPr>
            <w:tcW w:w="1068" w:type="dxa"/>
          </w:tcPr>
          <w:p w14:paraId="0C57F12C"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[2.7]</w:t>
            </w:r>
          </w:p>
        </w:tc>
        <w:tc>
          <w:tcPr>
            <w:tcW w:w="1200" w:type="dxa"/>
          </w:tcPr>
          <w:p w14:paraId="24CBECD8"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0</w:t>
            </w:r>
          </w:p>
        </w:tc>
        <w:tc>
          <w:tcPr>
            <w:tcW w:w="1068" w:type="dxa"/>
          </w:tcPr>
          <w:p w14:paraId="3E49D55D"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0</w:t>
            </w:r>
          </w:p>
        </w:tc>
      </w:tr>
      <w:tr w:rsidR="007105E8" w:rsidRPr="00AC7EC4" w14:paraId="7955A70D" w14:textId="77777777" w:rsidTr="008B68FC">
        <w:tc>
          <w:tcPr>
            <w:cnfStyle w:val="001000000000" w:firstRow="0" w:lastRow="0" w:firstColumn="1" w:lastColumn="0" w:oddVBand="0" w:evenVBand="0" w:oddHBand="0" w:evenHBand="0" w:firstRowFirstColumn="0" w:firstRowLastColumn="0" w:lastRowFirstColumn="0" w:lastRowLastColumn="0"/>
            <w:tcW w:w="2339" w:type="dxa"/>
          </w:tcPr>
          <w:p w14:paraId="419BDD0F" w14:textId="77777777" w:rsidR="007105E8" w:rsidRPr="00AC7EC4" w:rsidRDefault="007105E8" w:rsidP="008B68FC">
            <w:r w:rsidRPr="00AC7EC4">
              <w:t xml:space="preserve">Pneumonia </w:t>
            </w:r>
          </w:p>
        </w:tc>
        <w:tc>
          <w:tcPr>
            <w:tcW w:w="1200" w:type="dxa"/>
          </w:tcPr>
          <w:p w14:paraId="137C5567"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0</w:t>
            </w:r>
          </w:p>
        </w:tc>
        <w:tc>
          <w:tcPr>
            <w:tcW w:w="992" w:type="dxa"/>
          </w:tcPr>
          <w:p w14:paraId="23E518CD"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0</w:t>
            </w:r>
          </w:p>
        </w:tc>
        <w:tc>
          <w:tcPr>
            <w:tcW w:w="1276" w:type="dxa"/>
          </w:tcPr>
          <w:p w14:paraId="26F535C8"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2 ( 1.7) </w:t>
            </w:r>
          </w:p>
        </w:tc>
        <w:tc>
          <w:tcPr>
            <w:tcW w:w="1068" w:type="dxa"/>
          </w:tcPr>
          <w:p w14:paraId="281D142C"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[2.6]</w:t>
            </w:r>
          </w:p>
        </w:tc>
        <w:tc>
          <w:tcPr>
            <w:tcW w:w="1200" w:type="dxa"/>
          </w:tcPr>
          <w:p w14:paraId="7E9B9FA4"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0</w:t>
            </w:r>
          </w:p>
        </w:tc>
        <w:tc>
          <w:tcPr>
            <w:tcW w:w="1068" w:type="dxa"/>
          </w:tcPr>
          <w:p w14:paraId="3348579B"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0</w:t>
            </w:r>
          </w:p>
        </w:tc>
      </w:tr>
      <w:tr w:rsidR="007105E8" w:rsidRPr="00AC7EC4" w14:paraId="35E48978" w14:textId="77777777" w:rsidTr="008B68FC">
        <w:tc>
          <w:tcPr>
            <w:cnfStyle w:val="001000000000" w:firstRow="0" w:lastRow="0" w:firstColumn="1" w:lastColumn="0" w:oddVBand="0" w:evenVBand="0" w:oddHBand="0" w:evenHBand="0" w:firstRowFirstColumn="0" w:firstRowLastColumn="0" w:lastRowFirstColumn="0" w:lastRowLastColumn="0"/>
            <w:tcW w:w="2339" w:type="dxa"/>
          </w:tcPr>
          <w:p w14:paraId="65F6A471" w14:textId="77777777" w:rsidR="007105E8" w:rsidRPr="00AC7EC4" w:rsidRDefault="007105E8" w:rsidP="008B68FC">
            <w:r w:rsidRPr="00AC7EC4">
              <w:t xml:space="preserve">Vulvovaginal candidiasis *b </w:t>
            </w:r>
          </w:p>
        </w:tc>
        <w:tc>
          <w:tcPr>
            <w:tcW w:w="1200" w:type="dxa"/>
          </w:tcPr>
          <w:p w14:paraId="420F73AB"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0</w:t>
            </w:r>
          </w:p>
        </w:tc>
        <w:tc>
          <w:tcPr>
            <w:tcW w:w="992" w:type="dxa"/>
          </w:tcPr>
          <w:p w14:paraId="65D5412F"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0</w:t>
            </w:r>
          </w:p>
        </w:tc>
        <w:tc>
          <w:tcPr>
            <w:tcW w:w="1276" w:type="dxa"/>
          </w:tcPr>
          <w:p w14:paraId="41328EA7"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 xml:space="preserve">1 ( 1.4) </w:t>
            </w:r>
          </w:p>
        </w:tc>
        <w:tc>
          <w:tcPr>
            <w:tcW w:w="1068" w:type="dxa"/>
          </w:tcPr>
          <w:p w14:paraId="4B9769B2"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[2.2]</w:t>
            </w:r>
          </w:p>
        </w:tc>
        <w:tc>
          <w:tcPr>
            <w:tcW w:w="1200" w:type="dxa"/>
          </w:tcPr>
          <w:p w14:paraId="0ABEA104"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0</w:t>
            </w:r>
          </w:p>
        </w:tc>
        <w:tc>
          <w:tcPr>
            <w:tcW w:w="1068" w:type="dxa"/>
          </w:tcPr>
          <w:p w14:paraId="4E33D7A4" w14:textId="77777777" w:rsidR="007105E8" w:rsidRPr="00AC7EC4" w:rsidRDefault="007105E8" w:rsidP="008B68FC">
            <w:pPr>
              <w:cnfStyle w:val="000000000000" w:firstRow="0" w:lastRow="0" w:firstColumn="0" w:lastColumn="0" w:oddVBand="0" w:evenVBand="0" w:oddHBand="0" w:evenHBand="0" w:firstRowFirstColumn="0" w:firstRowLastColumn="0" w:lastRowFirstColumn="0" w:lastRowLastColumn="0"/>
            </w:pPr>
            <w:r w:rsidRPr="00AC7EC4">
              <w:t>0</w:t>
            </w:r>
          </w:p>
        </w:tc>
      </w:tr>
    </w:tbl>
    <w:p w14:paraId="1B7A80BC" w14:textId="3CBD89CC" w:rsidR="007105E8" w:rsidRDefault="007105E8" w:rsidP="00AC7EC4">
      <w:pPr>
        <w:pStyle w:val="TableDescription"/>
      </w:pPr>
      <w:r w:rsidRPr="00451F56">
        <w:rPr>
          <w:vertAlign w:val="superscript"/>
        </w:rPr>
        <w:t>a</w:t>
      </w:r>
      <w:r w:rsidRPr="00451F56">
        <w:t xml:space="preserve">  Events per 100 PY  </w:t>
      </w:r>
      <w:r>
        <w:t xml:space="preserve">  </w:t>
      </w:r>
      <w:r w:rsidRPr="00451F56">
        <w:t xml:space="preserve"> </w:t>
      </w:r>
      <w:r w:rsidRPr="00451F56">
        <w:rPr>
          <w:vertAlign w:val="superscript"/>
        </w:rPr>
        <w:t>b</w:t>
      </w:r>
      <w:r w:rsidRPr="00451F56">
        <w:t xml:space="preserve"> Adjusted for </w:t>
      </w:r>
      <w:r w:rsidR="00AC7EC4">
        <w:t>female</w:t>
      </w:r>
      <w:r w:rsidRPr="00451F56">
        <w:t xml:space="preserve"> participants</w:t>
      </w:r>
      <w:r w:rsidR="00F516F7">
        <w:t xml:space="preserve">. </w:t>
      </w:r>
      <w:r>
        <w:t xml:space="preserve">  </w:t>
      </w:r>
      <w:r w:rsidRPr="00451F56">
        <w:t xml:space="preserve">   </w:t>
      </w:r>
    </w:p>
    <w:p w14:paraId="45A9725B" w14:textId="787C8F28" w:rsidR="007105E8" w:rsidRPr="00AC7EC4" w:rsidRDefault="007105E8" w:rsidP="007105E8">
      <w:r w:rsidRPr="00AC7EC4">
        <w:t>The frequency of participants with increased blood eosinophils at any time point post-baseline was higher in lebrikizumab-treated participants (20.3%) compared to placebo-treated participants (11.7%)</w:t>
      </w:r>
      <w:r w:rsidR="00F516F7">
        <w:t xml:space="preserve">. </w:t>
      </w:r>
      <w:r w:rsidRPr="00AC7EC4">
        <w:t>In the placebo-controlled period, 3 lebrikizumab-treated participants (0.4%) and no placebo-treated participants had a shift from mild or moderate to severe eosinophilia (≥5000 per microliter)</w:t>
      </w:r>
      <w:r w:rsidR="00F516F7">
        <w:t xml:space="preserve">. </w:t>
      </w:r>
      <w:r w:rsidRPr="00AC7EC4">
        <w:t>In the placebo-controlled period, 5 (0.6%) participants in the lebrikizumab group and 3 (0.8%) participants in the placebo group reported at least 1 TEAE of eosinophilia</w:t>
      </w:r>
      <w:r w:rsidR="00F516F7">
        <w:t xml:space="preserve">. </w:t>
      </w:r>
      <w:r w:rsidRPr="00AC7EC4">
        <w:t>All events were non-serious, mild or moderate in severity, and did not lead to treatment discontinuation</w:t>
      </w:r>
      <w:r w:rsidR="00F516F7">
        <w:t xml:space="preserve">. </w:t>
      </w:r>
    </w:p>
    <w:p w14:paraId="1094E088" w14:textId="59738895" w:rsidR="007105E8" w:rsidRPr="00AC7EC4" w:rsidRDefault="007105E8" w:rsidP="007105E8">
      <w:pPr>
        <w:rPr>
          <w:rFonts w:cs="TimesNewRomanPSMT"/>
        </w:rPr>
      </w:pPr>
      <w:r w:rsidRPr="00AC7EC4">
        <w:t>During the placebo-controlled induction period, there was no clinically significant imbalance in hypersensitivity reactions in the lebrikizumab (2.8%) and placebo (6.2%) groups, with the difference mostly driven by dermatitis atopic events (4.7% in the placebo group, 1.5% in the lebrikizumab group)</w:t>
      </w:r>
      <w:r w:rsidR="00F516F7">
        <w:t xml:space="preserve">. </w:t>
      </w:r>
      <w:r w:rsidRPr="00AC7EC4">
        <w:t>No serious events of immediate hypersensitivity or anaphylaxis were reported</w:t>
      </w:r>
      <w:r w:rsidR="00F516F7">
        <w:t xml:space="preserve">. </w:t>
      </w:r>
      <w:r w:rsidR="00E079A6">
        <w:t xml:space="preserve">One </w:t>
      </w:r>
      <w:r w:rsidRPr="00AC7EC4">
        <w:rPr>
          <w:rFonts w:cs="TimesNewRomanPSMT"/>
        </w:rPr>
        <w:t>serious event of Stevens Johnson Syndrome (SJS) was reported in a 56-year-old male with a medical history of previous SJS episode in 2019 after taking sulfamethoxazole + trimethoprim</w:t>
      </w:r>
      <w:r w:rsidR="00F516F7">
        <w:rPr>
          <w:rFonts w:cs="TimesNewRomanPSMT"/>
        </w:rPr>
        <w:t xml:space="preserve">. </w:t>
      </w:r>
      <w:r w:rsidRPr="00AC7EC4">
        <w:rPr>
          <w:rFonts w:cs="TimesNewRomanPSMT"/>
        </w:rPr>
        <w:t>On Study Day 13, 12 days after beginning lebrikizumab and 7 days after starting sulfamethoxazole + trimethoprim for treatment of a dog bite, he was hospitalised due to severe SJS and treatment was discontinued.</w:t>
      </w:r>
    </w:p>
    <w:p w14:paraId="3A768238" w14:textId="2F82D43B" w:rsidR="007105E8" w:rsidRPr="00AC7EC4" w:rsidRDefault="007105E8" w:rsidP="007105E8">
      <w:r w:rsidRPr="00AC7EC4">
        <w:rPr>
          <w:rFonts w:cs="TimesNewRomanPSMT"/>
        </w:rPr>
        <w:t>Injection site reactions were reported more frequently with lebrikizumab (2.6%) than placebo (1.5%) i</w:t>
      </w:r>
      <w:r w:rsidRPr="00AC7EC4">
        <w:rPr>
          <w:rFonts w:cs="CourierNewPS-BoldMT"/>
        </w:rPr>
        <w:t>n the induction period (</w:t>
      </w:r>
      <w:r w:rsidRPr="00AC7EC4">
        <w:rPr>
          <w:rFonts w:cs="CourierNewPS-BoldMT"/>
          <w:i/>
          <w:iCs/>
        </w:rPr>
        <w:t xml:space="preserve">AD ALL PC Weeks 0-16 </w:t>
      </w:r>
      <w:r w:rsidRPr="00AC7EC4">
        <w:rPr>
          <w:rFonts w:cs="CourierNewPS-BoldMT"/>
        </w:rPr>
        <w:t>analysis set)</w:t>
      </w:r>
      <w:r w:rsidR="00F516F7">
        <w:rPr>
          <w:rFonts w:cs="CourierNewPS-BoldMT"/>
          <w:i/>
          <w:iCs/>
        </w:rPr>
        <w:t xml:space="preserve">. </w:t>
      </w:r>
      <w:r w:rsidRPr="00AC7EC4">
        <w:t>The majority of events were mild or moderate in severity and did not lead to treatment discontinuation.</w:t>
      </w:r>
    </w:p>
    <w:p w14:paraId="6F6E7CC0" w14:textId="77777777" w:rsidR="007105E8" w:rsidRPr="00AC7EC4" w:rsidRDefault="007105E8" w:rsidP="007105E8">
      <w:r w:rsidRPr="00AC7EC4">
        <w:t>The clinical trial data do not support an increased risk of suicide/self-injury or an increased risk of malignancy with lebrikizumab treatment.</w:t>
      </w:r>
    </w:p>
    <w:p w14:paraId="7CB4CCDB" w14:textId="77777777" w:rsidR="007105E8" w:rsidRPr="00AC7EC4" w:rsidRDefault="007105E8" w:rsidP="007105E8">
      <w:r w:rsidRPr="00AC7EC4">
        <w:t>Analyses of safety in adolescents compared to adults did not identify any additional safety risks.</w:t>
      </w:r>
    </w:p>
    <w:p w14:paraId="3F23D82F" w14:textId="77777777" w:rsidR="007105E8" w:rsidRDefault="007105E8" w:rsidP="00E4590E">
      <w:pPr>
        <w:pStyle w:val="Heading5"/>
      </w:pPr>
      <w:r>
        <w:t>Immunogenicity</w:t>
      </w:r>
    </w:p>
    <w:p w14:paraId="5D2948D5" w14:textId="4B043127" w:rsidR="007105E8" w:rsidRPr="00AC7EC4" w:rsidRDefault="007105E8" w:rsidP="007105E8">
      <w:pPr>
        <w:autoSpaceDE w:val="0"/>
        <w:autoSpaceDN w:val="0"/>
        <w:adjustRightInd w:val="0"/>
        <w:rPr>
          <w:rFonts w:cs="TimesNewRomanPSMT"/>
        </w:rPr>
      </w:pPr>
      <w:r w:rsidRPr="00AC7EC4">
        <w:rPr>
          <w:rFonts w:cs="TimesNewRomanPSMT"/>
        </w:rPr>
        <w:t xml:space="preserve">Immunogenicity of the proposed treatment regimen was evaluated in the </w:t>
      </w:r>
      <w:r w:rsidRPr="00AC7EC4">
        <w:rPr>
          <w:rFonts w:cs="TimesNewRomanPSMT"/>
          <w:i/>
          <w:iCs/>
        </w:rPr>
        <w:t>Combined Induction and Maintenance Periods Immunogenicity Analysis Set</w:t>
      </w:r>
      <w:r w:rsidRPr="00AC7EC4">
        <w:rPr>
          <w:rFonts w:cs="TimesNewRomanPSMT"/>
        </w:rPr>
        <w:t xml:space="preserve"> comprising </w:t>
      </w:r>
      <w:r w:rsidRPr="00AC7EC4">
        <w:rPr>
          <w:rFonts w:cs="TimesNewRomanPSMT"/>
          <w:color w:val="000000"/>
        </w:rPr>
        <w:t>all participants in the two pivotal monotherapy studies (KGAB and KGAC) and the pivotal TCS combination study (KGAD) up to 52/56 weeks</w:t>
      </w:r>
      <w:r w:rsidR="00F516F7">
        <w:rPr>
          <w:rFonts w:cs="TimesNewRomanPSMT"/>
          <w:color w:val="000000"/>
        </w:rPr>
        <w:t xml:space="preserve">. </w:t>
      </w:r>
      <w:r w:rsidRPr="00AC7EC4">
        <w:rPr>
          <w:rFonts w:cs="CourierNewPS-BoldMT"/>
        </w:rPr>
        <w:t>The treatment-emergent ADA evaluable population included 822 participants in the 250 mg Q2W only group, 145 participants in the 250 mg Q2W/Q4W group, and 330 participants in the placebo group</w:t>
      </w:r>
      <w:r w:rsidR="00F516F7">
        <w:rPr>
          <w:rFonts w:cs="CourierNewPS-BoldMT"/>
        </w:rPr>
        <w:t xml:space="preserve">. </w:t>
      </w:r>
      <w:r w:rsidRPr="00AC7EC4">
        <w:rPr>
          <w:rFonts w:cs="CourierNewPS-BoldMT"/>
        </w:rPr>
        <w:t>The findings are presented in</w:t>
      </w:r>
      <w:r w:rsidR="00E079A6">
        <w:rPr>
          <w:rFonts w:cs="CourierNewPS-BoldMT"/>
        </w:rPr>
        <w:t xml:space="preserve"> Table 32</w:t>
      </w:r>
      <w:r w:rsidR="00F516F7">
        <w:rPr>
          <w:rFonts w:cs="CourierNewPS-BoldMT"/>
        </w:rPr>
        <w:t xml:space="preserve">. </w:t>
      </w:r>
      <w:r w:rsidRPr="00AC7EC4">
        <w:rPr>
          <w:rFonts w:cs="CourierNewPS-BoldMT"/>
        </w:rPr>
        <w:t>8.8% of evaluable participants in the 250 mg Q2W only group, 9.7% in the 250 mg Q2W/Q4W group, and 9.1% in the placebo group had ADA at baseline</w:t>
      </w:r>
      <w:r w:rsidR="00F516F7">
        <w:rPr>
          <w:rFonts w:cs="CourierNewPS-BoldMT"/>
        </w:rPr>
        <w:t xml:space="preserve">. </w:t>
      </w:r>
      <w:r w:rsidRPr="00AC7EC4">
        <w:rPr>
          <w:rFonts w:cs="CourierNewPS-BoldMT"/>
        </w:rPr>
        <w:t>3.4% of evaluable participants in the 250 mg Q2W only group, 2.8% in the 250 mg Q2W/Q4W group, and 0.9% in the placebo group were reported as treatment-emergent ADA-positive</w:t>
      </w:r>
      <w:r w:rsidR="00F516F7">
        <w:rPr>
          <w:rFonts w:cs="CourierNewPS-BoldMT"/>
        </w:rPr>
        <w:t xml:space="preserve">. </w:t>
      </w:r>
      <w:r w:rsidRPr="00AC7EC4">
        <w:rPr>
          <w:rFonts w:cs="TimesNewRomanPSMT"/>
        </w:rPr>
        <w:t>A subset analysis of adolescent participants (12 to &lt;18 years) showed similar immunogenicity to the overall population</w:t>
      </w:r>
      <w:r w:rsidR="00F516F7">
        <w:rPr>
          <w:rFonts w:cs="TimesNewRomanPSMT"/>
        </w:rPr>
        <w:t>.</w:t>
      </w:r>
    </w:p>
    <w:p w14:paraId="13DBF158" w14:textId="363852BF" w:rsidR="007105E8" w:rsidRDefault="007105E8" w:rsidP="00AC7EC4">
      <w:pPr>
        <w:pStyle w:val="TableTitle"/>
        <w:rPr>
          <w:rFonts w:asciiTheme="minorHAnsi" w:eastAsiaTheme="minorHAnsi" w:hAnsiTheme="minorHAnsi" w:cs="CourierNewPS-BoldMT"/>
        </w:rPr>
      </w:pPr>
      <w:bookmarkStart w:id="87" w:name="_Ref146268800"/>
      <w:r>
        <w:t xml:space="preserve">Table </w:t>
      </w:r>
      <w:bookmarkEnd w:id="87"/>
      <w:r w:rsidR="00126DB2">
        <w:t>32</w:t>
      </w:r>
      <w:r w:rsidR="00E10F26">
        <w:rPr>
          <w:noProof/>
        </w:rPr>
        <w:t>.</w:t>
      </w:r>
      <w:r>
        <w:t xml:space="preserve"> Incidence of Anti-Drug Antibodies Atopic Dermatitis Combined Induction and Maintenance Periods Immunogenicity Analysis Set, Induction and Maintenance (Weeks 0-52/56), Age category: Overall</w:t>
      </w:r>
    </w:p>
    <w:p w14:paraId="2CD415C5" w14:textId="77777777" w:rsidR="008B68FC" w:rsidRDefault="007105E8" w:rsidP="00F92527">
      <w:pPr>
        <w:pStyle w:val="ListBullet-donotcross"/>
        <w:rPr>
          <w:rFonts w:asciiTheme="minorHAnsi" w:hAnsiTheme="minorHAnsi" w:cs="CourierNewPS-BoldMT"/>
          <w:sz w:val="14"/>
          <w:szCs w:val="14"/>
        </w:rPr>
      </w:pPr>
      <w:r>
        <w:rPr>
          <w:noProof/>
        </w:rPr>
        <w:drawing>
          <wp:inline distT="0" distB="0" distL="0" distR="0" wp14:anchorId="6B929C59" wp14:editId="5F285D07">
            <wp:extent cx="8369692" cy="2642771"/>
            <wp:effectExtent l="6032" t="0" r="0" b="0"/>
            <wp:docPr id="9"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screen&#10;&#10;Description automatically generated"/>
                    <pic:cNvPicPr/>
                  </pic:nvPicPr>
                  <pic:blipFill>
                    <a:blip r:embed="rId76"/>
                    <a:stretch>
                      <a:fillRect/>
                    </a:stretch>
                  </pic:blipFill>
                  <pic:spPr>
                    <a:xfrm rot="16200000">
                      <a:off x="0" y="0"/>
                      <a:ext cx="8369692" cy="2642771"/>
                    </a:xfrm>
                    <a:prstGeom prst="rect">
                      <a:avLst/>
                    </a:prstGeom>
                  </pic:spPr>
                </pic:pic>
              </a:graphicData>
            </a:graphic>
          </wp:inline>
        </w:drawing>
      </w:r>
      <w:r>
        <w:rPr>
          <w:rFonts w:asciiTheme="minorHAnsi" w:hAnsiTheme="minorHAnsi" w:cs="CourierNewPS-BoldMT"/>
          <w:sz w:val="14"/>
          <w:szCs w:val="14"/>
        </w:rPr>
        <w:t xml:space="preserve">  </w:t>
      </w:r>
      <w:r w:rsidRPr="0049105F">
        <w:rPr>
          <w:rFonts w:asciiTheme="minorHAnsi" w:hAnsiTheme="minorHAnsi" w:cs="CourierNewPS-BoldMT"/>
          <w:sz w:val="14"/>
          <w:szCs w:val="14"/>
        </w:rPr>
        <w:t xml:space="preserve"> </w:t>
      </w:r>
      <w:r>
        <w:rPr>
          <w:rFonts w:asciiTheme="minorHAnsi" w:hAnsiTheme="minorHAnsi" w:cs="CourierNewPS-BoldMT"/>
          <w:sz w:val="14"/>
          <w:szCs w:val="14"/>
        </w:rPr>
        <w:t xml:space="preserve">  </w:t>
      </w:r>
    </w:p>
    <w:p w14:paraId="118CE5D5" w14:textId="513E1787" w:rsidR="007105E8" w:rsidRPr="00AC7EC4" w:rsidRDefault="007105E8" w:rsidP="007105E8">
      <w:pPr>
        <w:rPr>
          <w:rFonts w:cs="TimesNewRomanPSMT"/>
        </w:rPr>
      </w:pPr>
      <w:r w:rsidRPr="00AC7EC4">
        <w:rPr>
          <w:rFonts w:cs="TimesNewRomanPSMT"/>
        </w:rPr>
        <w:t>The effect of immunogenicity on the PK of lebrikizumab after 250 mg Q2W dosing was explored using graphical analyses</w:t>
      </w:r>
      <w:r w:rsidR="00F516F7">
        <w:rPr>
          <w:rFonts w:cs="TimesNewRomanPSMT"/>
          <w:i/>
          <w:iCs/>
        </w:rPr>
        <w:t xml:space="preserve">. </w:t>
      </w:r>
      <w:r w:rsidRPr="00AC7EC4">
        <w:rPr>
          <w:rFonts w:cs="TimesNewRomanPSMT"/>
        </w:rPr>
        <w:t xml:space="preserve">Lebrikizumab exposure was similar for treatment-emergent ADA-positive and ADA-negative </w:t>
      </w:r>
      <w:r w:rsidRPr="00AC7EC4">
        <w:rPr>
          <w:rFonts w:cs="CourierNewPS-BoldMT"/>
        </w:rPr>
        <w:t>participants</w:t>
      </w:r>
      <w:r w:rsidR="00F516F7">
        <w:rPr>
          <w:rFonts w:cs="TimesNewRomanPSMT"/>
        </w:rPr>
        <w:t xml:space="preserve">. </w:t>
      </w:r>
      <w:r w:rsidRPr="00AC7EC4">
        <w:rPr>
          <w:rFonts w:cs="TimesNewRomanPSMT"/>
        </w:rPr>
        <w:t>Similar findings were observed with 250 mg Q4W dosing.</w:t>
      </w:r>
    </w:p>
    <w:p w14:paraId="6559D8D8" w14:textId="7118C7E2" w:rsidR="007105E8" w:rsidRDefault="007105E8" w:rsidP="008B68FC">
      <w:pPr>
        <w:pStyle w:val="FigureTitle"/>
        <w:rPr>
          <w:rFonts w:cs="CourierNewPS-BoldMT"/>
        </w:rPr>
      </w:pPr>
      <w:r>
        <w:t>Figure</w:t>
      </w:r>
      <w:r w:rsidR="00F766C4">
        <w:t xml:space="preserve"> 16</w:t>
      </w:r>
      <w:r w:rsidR="00F92527">
        <w:rPr>
          <w:noProof/>
        </w:rPr>
        <w:t>.</w:t>
      </w:r>
      <w:r>
        <w:t xml:space="preserve"> </w:t>
      </w:r>
      <w:r w:rsidRPr="00B341C7">
        <w:t>Observed lebrikizumab serum concentrations following SC dosing of lebrikizumab 250 mg Q2W during Weeks 0-52 (induction and maintenance and open-label escape arm) in studies KGAB, KGAC, KGAD, and KGAE by TE ADA status and titre.</w:t>
      </w:r>
    </w:p>
    <w:p w14:paraId="42E0C6B6" w14:textId="21D02230" w:rsidR="007105E8" w:rsidRPr="008B68FC" w:rsidRDefault="007105E8" w:rsidP="007105E8">
      <w:r>
        <w:rPr>
          <w:noProof/>
        </w:rPr>
        <w:drawing>
          <wp:inline distT="0" distB="0" distL="0" distR="0" wp14:anchorId="6F77E4DD" wp14:editId="7CF72C85">
            <wp:extent cx="5158596" cy="3396580"/>
            <wp:effectExtent l="0" t="0" r="4445" b="0"/>
            <wp:docPr id="10" name="Picture 10"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with numbers and dots&#10;&#10;Description automatically generated"/>
                    <pic:cNvPicPr/>
                  </pic:nvPicPr>
                  <pic:blipFill>
                    <a:blip r:embed="rId77"/>
                    <a:stretch>
                      <a:fillRect/>
                    </a:stretch>
                  </pic:blipFill>
                  <pic:spPr>
                    <a:xfrm>
                      <a:off x="0" y="0"/>
                      <a:ext cx="5196860" cy="3421774"/>
                    </a:xfrm>
                    <a:prstGeom prst="rect">
                      <a:avLst/>
                    </a:prstGeom>
                  </pic:spPr>
                </pic:pic>
              </a:graphicData>
            </a:graphic>
          </wp:inline>
        </w:drawing>
      </w:r>
    </w:p>
    <w:p w14:paraId="443411B4" w14:textId="2803B3DB" w:rsidR="007105E8" w:rsidRPr="009F0054" w:rsidRDefault="007105E8" w:rsidP="007105E8">
      <w:pPr>
        <w:autoSpaceDE w:val="0"/>
        <w:autoSpaceDN w:val="0"/>
        <w:adjustRightInd w:val="0"/>
        <w:rPr>
          <w:rFonts w:cs="CourierNewPS-BoldMT"/>
        </w:rPr>
      </w:pPr>
      <w:r w:rsidRPr="009F0054">
        <w:rPr>
          <w:rFonts w:cs="TimesNewRomanPSMT"/>
        </w:rPr>
        <w:t xml:space="preserve">The influence of immunogenicity on efficacy </w:t>
      </w:r>
      <w:r w:rsidRPr="009F0054">
        <w:rPr>
          <w:rFonts w:cs="TimesNewRomanPSMT"/>
          <w:color w:val="000000"/>
        </w:rPr>
        <w:t xml:space="preserve">was assessed in the </w:t>
      </w:r>
      <w:r w:rsidRPr="009F0054">
        <w:rPr>
          <w:rFonts w:cs="TimesNewRomanPSMT"/>
          <w:i/>
          <w:iCs/>
          <w:color w:val="000000"/>
        </w:rPr>
        <w:t>Pooled Modified Maintenance Primary Analysis Set</w:t>
      </w:r>
      <w:r w:rsidRPr="009F0054">
        <w:rPr>
          <w:rFonts w:cs="TimesNewRomanPSMT"/>
          <w:color w:val="000000"/>
        </w:rPr>
        <w:t xml:space="preserve"> using integrated data from the induction and maintenance periods from the 2 pivotal monotherapy studies (KGAB and KGAC)</w:t>
      </w:r>
      <w:r w:rsidR="00F516F7">
        <w:rPr>
          <w:rFonts w:cs="TimesNewRomanPSMT"/>
          <w:color w:val="000000"/>
        </w:rPr>
        <w:t xml:space="preserve">. </w:t>
      </w:r>
      <w:r w:rsidRPr="009F0054">
        <w:rPr>
          <w:rFonts w:cs="TimesNewRomanPSMT"/>
          <w:color w:val="000000"/>
        </w:rPr>
        <w:t>In these 2 studies, participants were initially randomised to lebrikizumab 250 mg Q2W or placebo during the induction period (Weeks 0-16)</w:t>
      </w:r>
      <w:r w:rsidR="00F516F7">
        <w:rPr>
          <w:rFonts w:cs="TimesNewRomanPSMT"/>
          <w:color w:val="000000"/>
        </w:rPr>
        <w:t xml:space="preserve">. </w:t>
      </w:r>
      <w:r w:rsidRPr="009F0054">
        <w:rPr>
          <w:rFonts w:cs="TimesNewRomanPSMT"/>
          <w:color w:val="000000"/>
        </w:rPr>
        <w:t>At Week 16, clinical responders to 250 mg Q2W were re-randomised to 250 mg Q2W, 250 mg Q4W, or placebo for the maintenance period</w:t>
      </w:r>
      <w:r w:rsidR="00F516F7">
        <w:rPr>
          <w:rFonts w:cs="TimesNewRomanPSMT"/>
          <w:color w:val="000000"/>
        </w:rPr>
        <w:t xml:space="preserve">. </w:t>
      </w:r>
      <w:r w:rsidRPr="009F0054">
        <w:rPr>
          <w:rFonts w:cs="TimesNewRomanPSMT"/>
          <w:color w:val="000000"/>
        </w:rPr>
        <w:t xml:space="preserve">Evaluation of the effect of ADA on efficacy was limited by the small number of TE-ADA-positive </w:t>
      </w:r>
      <w:r w:rsidRPr="009F0054">
        <w:rPr>
          <w:rFonts w:cs="CourierNewPS-BoldMT"/>
        </w:rPr>
        <w:t>participants</w:t>
      </w:r>
      <w:r w:rsidR="00F516F7">
        <w:rPr>
          <w:rFonts w:cs="TimesNewRomanPSMT"/>
          <w:color w:val="000000"/>
        </w:rPr>
        <w:t xml:space="preserve">. </w:t>
      </w:r>
      <w:r w:rsidRPr="009F0054">
        <w:rPr>
          <w:rFonts w:cs="CourierNewPS-BoldMT"/>
        </w:rPr>
        <w:t>For Week 16 responders re-randomised to 250 mg Q2W, EASI-75 response rates at Week 52 were 77.2% (83/107) in TE-ADA-negative participants and 100.0% (5/5) in TE-ADA-positive participants</w:t>
      </w:r>
      <w:r w:rsidR="00F516F7">
        <w:rPr>
          <w:rFonts w:cs="CourierNewPS-BoldMT"/>
        </w:rPr>
        <w:t xml:space="preserve">. </w:t>
      </w:r>
      <w:r w:rsidRPr="009F0054">
        <w:rPr>
          <w:rFonts w:cs="CourierNewPS-BoldMT"/>
        </w:rPr>
        <w:t>For Week 16 responders re-randomised to 250 mg Q4W, EASI-75 response rates at Week 52 were 81.9% (93/113) in TE-ADA-negative participants and 100.0% (2/2) in TE-ADA-positive participants.</w:t>
      </w:r>
    </w:p>
    <w:p w14:paraId="1C97FB36" w14:textId="4CEC4F32" w:rsidR="007105E8" w:rsidRPr="009F0054" w:rsidRDefault="007105E8" w:rsidP="007105E8">
      <w:pPr>
        <w:autoSpaceDE w:val="0"/>
        <w:autoSpaceDN w:val="0"/>
        <w:adjustRightInd w:val="0"/>
        <w:rPr>
          <w:rFonts w:cs="CourierNewPS-BoldMT"/>
        </w:rPr>
      </w:pPr>
      <w:r w:rsidRPr="009F0054">
        <w:rPr>
          <w:rFonts w:cs="TimesNewRomanPSMT"/>
        </w:rPr>
        <w:t xml:space="preserve">The safety analysis evaluated the frequency of hypersensitivity reactions and injection site reactions in TE-ADA-negative and TE-ADA-positive participants using the </w:t>
      </w:r>
      <w:r w:rsidRPr="009F0054">
        <w:rPr>
          <w:rFonts w:cs="TimesNewRomanPSMT"/>
          <w:i/>
          <w:iCs/>
        </w:rPr>
        <w:t>Atopic Dermatitis Combined Induction</w:t>
      </w:r>
      <w:r w:rsidRPr="009F0054">
        <w:rPr>
          <w:rFonts w:cs="TimesNewRomanPSMT"/>
        </w:rPr>
        <w:t xml:space="preserve"> </w:t>
      </w:r>
      <w:r w:rsidRPr="009F0054">
        <w:rPr>
          <w:rFonts w:cs="TimesNewRomanPSMT"/>
          <w:i/>
          <w:iCs/>
        </w:rPr>
        <w:t>and Maintenance Periods Immunogenicity Analysis Set</w:t>
      </w:r>
      <w:r w:rsidR="00F516F7">
        <w:rPr>
          <w:rFonts w:cs="TimesNewRomanPSMT"/>
        </w:rPr>
        <w:t xml:space="preserve">. </w:t>
      </w:r>
      <w:r w:rsidRPr="009F0054">
        <w:rPr>
          <w:rFonts w:cs="TimesNewRomanPSMT"/>
        </w:rPr>
        <w:t>The frequency of hypersensitivity reactions (narrow and broad search terms) in the 250 mg Q2W group was similar for TE-ADA-negative and TE-ADA-positive participants (208 of 792 [26.3%] and 7 of 28 [25.0%], respectively)</w:t>
      </w:r>
      <w:r w:rsidR="00F516F7">
        <w:rPr>
          <w:rFonts w:cs="TimesNewRomanPSMT"/>
        </w:rPr>
        <w:t xml:space="preserve">. </w:t>
      </w:r>
      <w:r w:rsidRPr="009F0054">
        <w:rPr>
          <w:rFonts w:cs="TimesNewRomanPSMT"/>
        </w:rPr>
        <w:t>In the 250 mg Q2W/Q4W group, 35 of 140 (25.0%) TE-ADA-negative participants and no (0 of 4) TE-ADA-positive participants reported hypersensitivity reactions (narrow and broad search terms)</w:t>
      </w:r>
      <w:r w:rsidR="00F516F7">
        <w:rPr>
          <w:rFonts w:cs="TimesNewRomanPSMT"/>
        </w:rPr>
        <w:t xml:space="preserve">. </w:t>
      </w:r>
      <w:r w:rsidRPr="009F0054">
        <w:rPr>
          <w:rFonts w:cs="TimesNewRomanPSMT"/>
          <w:color w:val="000000"/>
        </w:rPr>
        <w:t xml:space="preserve">Although the frequency of </w:t>
      </w:r>
      <w:r w:rsidRPr="009F0054">
        <w:rPr>
          <w:rFonts w:cs="TimesNewRomanPSMT"/>
        </w:rPr>
        <w:t>injection site reactions</w:t>
      </w:r>
      <w:r w:rsidRPr="009F0054">
        <w:rPr>
          <w:rFonts w:cs="TimesNewRomanPSMT"/>
          <w:color w:val="000000"/>
        </w:rPr>
        <w:t xml:space="preserve"> was higher in participants who were TE-ADA-positive treated with lebrikizumab 250 mg Q2W compared to placebo (10.7% vs 0%, respectively), the number of events in TE-ADA-positive participants was low and there was no temporal association with </w:t>
      </w:r>
      <w:r w:rsidRPr="009F0054">
        <w:rPr>
          <w:rFonts w:cs="TimesNewRomanPSMT"/>
        </w:rPr>
        <w:t>injection site reactions</w:t>
      </w:r>
      <w:r w:rsidRPr="009F0054">
        <w:rPr>
          <w:rFonts w:cs="TimesNewRomanPSMT"/>
          <w:color w:val="000000"/>
        </w:rPr>
        <w:t xml:space="preserve"> and development of TE-ADA.</w:t>
      </w:r>
    </w:p>
    <w:p w14:paraId="3CFB572B" w14:textId="0EC4D3F4" w:rsidR="007105E8" w:rsidRDefault="007105E8" w:rsidP="007105E8">
      <w:pPr>
        <w:pStyle w:val="Heading3"/>
      </w:pPr>
      <w:bookmarkStart w:id="88" w:name="_Toc12019956"/>
      <w:bookmarkStart w:id="89" w:name="_Toc180416243"/>
      <w:r w:rsidRPr="00AA53F4">
        <w:t xml:space="preserve">Risk </w:t>
      </w:r>
      <w:r w:rsidR="008B68FC" w:rsidRPr="00AA53F4">
        <w:t>management plan evaluation</w:t>
      </w:r>
      <w:bookmarkEnd w:id="88"/>
      <w:r w:rsidR="008B68FC">
        <w:t xml:space="preserve"> </w:t>
      </w:r>
      <w:r w:rsidR="009F0054">
        <w:t>summary</w:t>
      </w:r>
      <w:bookmarkEnd w:id="89"/>
    </w:p>
    <w:p w14:paraId="114BDE39" w14:textId="28FA038B" w:rsidR="007105E8" w:rsidRDefault="007105E8" w:rsidP="007105E8">
      <w:r>
        <w:t>Risk management for t</w:t>
      </w:r>
      <w:r w:rsidRPr="00944E4A">
        <w:t xml:space="preserve">his application is supported by </w:t>
      </w:r>
      <w:r>
        <w:t>the Australian-Specific Annex (</w:t>
      </w:r>
      <w:r w:rsidRPr="008F171D">
        <w:t>ASA</w:t>
      </w:r>
      <w:r>
        <w:t>)</w:t>
      </w:r>
      <w:r w:rsidRPr="008F171D">
        <w:t xml:space="preserve"> version 2.0</w:t>
      </w:r>
      <w:r>
        <w:t xml:space="preserve"> (</w:t>
      </w:r>
      <w:r w:rsidRPr="008F171D">
        <w:t>dated 14 November 2023</w:t>
      </w:r>
      <w:r>
        <w:t xml:space="preserve">) in association with the Core </w:t>
      </w:r>
      <w:r w:rsidRPr="008F171D">
        <w:t>RMP</w:t>
      </w:r>
      <w:r w:rsidRPr="008F171D">
        <w:rPr>
          <w:i/>
        </w:rPr>
        <w:t xml:space="preserve"> </w:t>
      </w:r>
      <w:r w:rsidRPr="008F171D">
        <w:t>version 1.0 (dated 2 September 2022; D</w:t>
      </w:r>
      <w:r w:rsidRPr="004247D5">
        <w:t>LP 06 July 2022)</w:t>
      </w:r>
      <w:r w:rsidR="00F516F7">
        <w:t xml:space="preserve">. </w:t>
      </w:r>
      <w:r>
        <w:t>The summary of safety concerns in the ASA is presented in</w:t>
      </w:r>
      <w:r w:rsidR="00E079A6">
        <w:t xml:space="preserve"> Table </w:t>
      </w:r>
      <w:r w:rsidR="00F92527">
        <w:t>3</w:t>
      </w:r>
      <w:r w:rsidR="00126DB2">
        <w:t>3</w:t>
      </w:r>
      <w:r w:rsidR="00F516F7">
        <w:t xml:space="preserve">. </w:t>
      </w:r>
      <w:r>
        <w:t>There are no outstanding issues from the RMP evaluation.</w:t>
      </w:r>
    </w:p>
    <w:p w14:paraId="2698DCC4" w14:textId="715760D0" w:rsidR="007105E8" w:rsidRPr="00054DA9" w:rsidRDefault="007105E8" w:rsidP="00E079A6">
      <w:pPr>
        <w:pStyle w:val="TableTitle"/>
      </w:pPr>
      <w:bookmarkStart w:id="90" w:name="_Ref158295731"/>
      <w:r>
        <w:t xml:space="preserve">Table </w:t>
      </w:r>
      <w:bookmarkEnd w:id="90"/>
      <w:r w:rsidR="00E079A6">
        <w:t>3</w:t>
      </w:r>
      <w:r w:rsidR="00126DB2">
        <w:t>3</w:t>
      </w:r>
      <w:r w:rsidR="00F516F7">
        <w:t xml:space="preserve">. </w:t>
      </w:r>
      <w:r>
        <w:t>Summary of Safety Concerns</w:t>
      </w:r>
    </w:p>
    <w:p w14:paraId="7595D107" w14:textId="77777777" w:rsidR="008B68FC" w:rsidRDefault="007105E8" w:rsidP="008B68FC">
      <w:r>
        <w:rPr>
          <w:noProof/>
        </w:rPr>
        <w:drawing>
          <wp:inline distT="0" distB="0" distL="0" distR="0" wp14:anchorId="73A8A6BF" wp14:editId="7C5ACF64">
            <wp:extent cx="5715946" cy="2782614"/>
            <wp:effectExtent l="0" t="0" r="0" b="0"/>
            <wp:docPr id="216856643" name="Picture 216856643" descr="A close-up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56643" name="Picture 216856643" descr="A close-up of a medical form&#10;&#10;Description automatically generated"/>
                    <pic:cNvPicPr/>
                  </pic:nvPicPr>
                  <pic:blipFill>
                    <a:blip r:embed="rId78"/>
                    <a:stretch>
                      <a:fillRect/>
                    </a:stretch>
                  </pic:blipFill>
                  <pic:spPr>
                    <a:xfrm>
                      <a:off x="0" y="0"/>
                      <a:ext cx="5747855" cy="2798148"/>
                    </a:xfrm>
                    <a:prstGeom prst="rect">
                      <a:avLst/>
                    </a:prstGeom>
                  </pic:spPr>
                </pic:pic>
              </a:graphicData>
            </a:graphic>
          </wp:inline>
        </w:drawing>
      </w:r>
    </w:p>
    <w:p w14:paraId="09A86473" w14:textId="50C37614" w:rsidR="007105E8" w:rsidRDefault="007105E8" w:rsidP="008B68FC">
      <w:r w:rsidRPr="00AA53F4">
        <w:t>R</w:t>
      </w:r>
      <w:r>
        <w:t>MP evaluator r</w:t>
      </w:r>
      <w:r w:rsidRPr="00AA53F4">
        <w:t>ecommend</w:t>
      </w:r>
      <w:r>
        <w:t>ations regarding</w:t>
      </w:r>
      <w:r w:rsidRPr="00AA53F4">
        <w:t xml:space="preserve"> conditions of registration</w:t>
      </w:r>
    </w:p>
    <w:p w14:paraId="58C449D5" w14:textId="77777777" w:rsidR="008B68FC" w:rsidRPr="008B68FC" w:rsidRDefault="007105E8" w:rsidP="00DB6A99">
      <w:pPr>
        <w:pStyle w:val="ListBullet"/>
        <w:rPr>
          <w:i/>
          <w:iCs/>
        </w:rPr>
      </w:pPr>
      <w:r w:rsidRPr="00AD421B">
        <w:t xml:space="preserve">The </w:t>
      </w:r>
      <w:r w:rsidR="00D2553C" w:rsidRPr="00AD421B">
        <w:t>Ebglyss</w:t>
      </w:r>
      <w:r w:rsidRPr="00AD421B">
        <w:t xml:space="preserve"> Core-Risk Management Plan (RMP) (version 1.0, dated 2 September 2022, data lock point 06 July 2022), with Australian Specific Annex (version 2.0, dated 14 November 2023), included with submission PM-2023-01192-1-1, and any subsequent revisions, as agreed with the TGA will be implemented in Australia.</w:t>
      </w:r>
    </w:p>
    <w:p w14:paraId="0B0D5157" w14:textId="77777777" w:rsidR="008B68FC" w:rsidRPr="008B68FC" w:rsidRDefault="007105E8" w:rsidP="00DB6A99">
      <w:pPr>
        <w:pStyle w:val="ListBullet"/>
        <w:rPr>
          <w:i/>
          <w:iCs/>
        </w:rPr>
      </w:pPr>
      <w:r w:rsidRPr="00AD421B">
        <w:t xml:space="preserve">An obligatory component of risk management plans is routine pharmacovigilance. Routine pharmacovigilance includes the submission of periodic safety update reports (PSURs). </w:t>
      </w:r>
      <w:r w:rsidRPr="00AD421B">
        <w:b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six-monthly reports may be submitted separately as they become available.</w:t>
      </w:r>
      <w:r w:rsidRPr="00AD421B">
        <w:b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67DFD8C7" w14:textId="18F62EF4" w:rsidR="007105E8" w:rsidRPr="008B68FC" w:rsidRDefault="007105E8" w:rsidP="00DB6A99">
      <w:pPr>
        <w:pStyle w:val="ListBullet"/>
        <w:rPr>
          <w:i/>
          <w:iCs/>
        </w:rPr>
      </w:pPr>
      <w:r w:rsidRPr="00AD421B">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118C318C" w14:textId="08413667" w:rsidR="007105E8" w:rsidRPr="00AD421B" w:rsidRDefault="007105E8" w:rsidP="008B68FC">
      <w:pPr>
        <w:pStyle w:val="ListBullet"/>
        <w:rPr>
          <w:i/>
          <w:iCs/>
        </w:rPr>
      </w:pPr>
      <w:r w:rsidRPr="00AD421B">
        <w:t>Lebrikizumab (</w:t>
      </w:r>
      <w:r w:rsidR="00D2553C" w:rsidRPr="00AD421B">
        <w:t>Ebglyss</w:t>
      </w:r>
      <w:r w:rsidRPr="00AD421B">
        <w:t xml:space="preserve">) is to be included in the Black Triangle Scheme. The PI and CMI for </w:t>
      </w:r>
      <w:r w:rsidR="00D2553C" w:rsidRPr="00AD421B">
        <w:t>Ebglyss</w:t>
      </w:r>
      <w:r w:rsidRPr="00AD421B">
        <w:t xml:space="preserve"> must include the black triangle symbol and mandatory accompanying text for five years, which starts from the date of first supply of the product.</w:t>
      </w:r>
    </w:p>
    <w:p w14:paraId="66DEC301" w14:textId="77777777" w:rsidR="00E4590E" w:rsidRDefault="00E4590E" w:rsidP="001757E5">
      <w:pPr>
        <w:pStyle w:val="Heading2"/>
      </w:pPr>
      <w:bookmarkStart w:id="91" w:name="_Toc247691531"/>
      <w:bookmarkStart w:id="92" w:name="_Toc314842515"/>
      <w:bookmarkStart w:id="93" w:name="_Toc103679299"/>
      <w:bookmarkStart w:id="94" w:name="_Toc180416244"/>
      <w:r>
        <w:t>Risk-benefit analysis</w:t>
      </w:r>
      <w:bookmarkEnd w:id="91"/>
      <w:bookmarkEnd w:id="92"/>
      <w:bookmarkEnd w:id="93"/>
      <w:bookmarkEnd w:id="94"/>
    </w:p>
    <w:p w14:paraId="4E240FFF" w14:textId="77777777" w:rsidR="007105E8" w:rsidRDefault="007105E8" w:rsidP="00D2553C">
      <w:pPr>
        <w:pStyle w:val="Heading5"/>
      </w:pPr>
      <w:r>
        <w:t>Efficacy</w:t>
      </w:r>
    </w:p>
    <w:p w14:paraId="5886948F" w14:textId="243B1C2E" w:rsidR="007105E8" w:rsidRPr="00E079A6" w:rsidRDefault="007105E8" w:rsidP="007105E8">
      <w:r w:rsidRPr="00E079A6">
        <w:t>The efficacy of lebrikizumab in adult and adolescent patients with moderate-to-severe AD was evaluated in three pivotal Phase 3 studies, including two monotherapy studies (KGAB, KGAC) and one in combination with TCS (KGAD), as well as two supportive Phase 3 s</w:t>
      </w:r>
      <w:r w:rsidRPr="00E079A6">
        <w:rPr>
          <w:lang w:eastAsia="ja-JP"/>
        </w:rPr>
        <w:t>tudies (KGAE, KGAA)</w:t>
      </w:r>
      <w:r w:rsidR="00F516F7">
        <w:rPr>
          <w:lang w:eastAsia="ja-JP"/>
        </w:rPr>
        <w:t xml:space="preserve">. </w:t>
      </w:r>
    </w:p>
    <w:p w14:paraId="3DFE1382" w14:textId="11285CF1" w:rsidR="007105E8" w:rsidRPr="00E079A6" w:rsidRDefault="007105E8" w:rsidP="007105E8">
      <w:r w:rsidRPr="00E079A6">
        <w:rPr>
          <w:rFonts w:cs="TimesNewRomanPSMT"/>
        </w:rPr>
        <w:t>The pivotal monotherapy studies KGAB and KGAC shared the same design</w:t>
      </w:r>
      <w:r w:rsidR="00F516F7">
        <w:rPr>
          <w:rFonts w:cs="TimesNewRomanPSMT"/>
        </w:rPr>
        <w:t xml:space="preserve">. </w:t>
      </w:r>
      <w:r w:rsidRPr="00E079A6">
        <w:t>Across the two studies, 749 participants (88%) were adults and 102 (12%) were adolescents</w:t>
      </w:r>
      <w:r w:rsidR="00F516F7">
        <w:t xml:space="preserve">. </w:t>
      </w:r>
      <w:r w:rsidRPr="00E079A6">
        <w:t>At baseline, 61.5% had IGA score of 3 (moderate) and 38.5% had IGA score of 4 (severe), and mean EASI score was 29.6</w:t>
      </w:r>
      <w:r w:rsidR="00F516F7">
        <w:t xml:space="preserve">. </w:t>
      </w:r>
    </w:p>
    <w:p w14:paraId="573F28BC" w14:textId="68C32790" w:rsidR="007105E8" w:rsidRPr="00E079A6" w:rsidRDefault="007105E8" w:rsidP="007105E8">
      <w:pPr>
        <w:rPr>
          <w:rFonts w:cs="TimesNewRomanPSMT"/>
        </w:rPr>
      </w:pPr>
      <w:r w:rsidRPr="00E079A6">
        <w:t>S</w:t>
      </w:r>
      <w:r w:rsidRPr="00E079A6">
        <w:rPr>
          <w:rFonts w:cs="TimesNewRomanPSMT"/>
        </w:rPr>
        <w:t>tudies KGAB and KGAC both demonstrated the superiority of lebrikizumab versus placebo</w:t>
      </w:r>
      <w:r w:rsidRPr="00E079A6">
        <w:rPr>
          <w:rFonts w:cs="TimesNewRomanPSMT"/>
          <w:i/>
          <w:iCs/>
        </w:rPr>
        <w:t xml:space="preserve"> </w:t>
      </w:r>
      <w:r w:rsidRPr="00E079A6">
        <w:rPr>
          <w:rFonts w:cs="TimesNewRomanPSMT"/>
        </w:rPr>
        <w:t xml:space="preserve">for the key efficacy endpoints, </w:t>
      </w:r>
      <w:r w:rsidRPr="00E079A6">
        <w:rPr>
          <w:rFonts w:cs="TimesNewRomanPSMT"/>
          <w:i/>
          <w:iCs/>
        </w:rPr>
        <w:t>percentage of patients achieving IGA score of 0 or 1 with ≥ 2-point improvement from Baseline to Week 16</w:t>
      </w:r>
      <w:r w:rsidRPr="00E079A6">
        <w:rPr>
          <w:rFonts w:cs="TimesNewRomanPSMT"/>
        </w:rPr>
        <w:t xml:space="preserve"> (EMA co-primary, FDA primary) and </w:t>
      </w:r>
      <w:r w:rsidRPr="00E079A6">
        <w:rPr>
          <w:rFonts w:cs="TimesNewRomanPSMT"/>
          <w:i/>
          <w:iCs/>
        </w:rPr>
        <w:t>percentage of patients achieving</w:t>
      </w:r>
      <w:r w:rsidRPr="00E079A6">
        <w:rPr>
          <w:rFonts w:cs="TimesNewRomanPSMT"/>
        </w:rPr>
        <w:t xml:space="preserve"> </w:t>
      </w:r>
      <w:r w:rsidRPr="00E079A6">
        <w:rPr>
          <w:rFonts w:cs="TimesNewRomanPSMT"/>
          <w:i/>
          <w:iCs/>
        </w:rPr>
        <w:t xml:space="preserve">EASI-75 at Week 16 </w:t>
      </w:r>
      <w:r w:rsidRPr="00E079A6">
        <w:rPr>
          <w:rFonts w:cs="TimesNewRomanPSMT"/>
        </w:rPr>
        <w:t>(EMA co-primary, FDA major secondary)</w:t>
      </w:r>
      <w:r w:rsidR="00F516F7">
        <w:rPr>
          <w:rFonts w:cs="TimesNewRomanPSMT"/>
        </w:rPr>
        <w:t xml:space="preserve">. </w:t>
      </w:r>
      <w:r w:rsidRPr="00E079A6">
        <w:rPr>
          <w:rFonts w:cs="TimesNewRomanPSMT"/>
        </w:rPr>
        <w:t>Treatment with lebrikizumab compared to placebo</w:t>
      </w:r>
      <w:r w:rsidRPr="00E079A6">
        <w:rPr>
          <w:rFonts w:cs="TimesNewRomanPSMT"/>
          <w:i/>
          <w:iCs/>
        </w:rPr>
        <w:t xml:space="preserve"> </w:t>
      </w:r>
      <w:r w:rsidRPr="00E079A6">
        <w:rPr>
          <w:rFonts w:cs="TimesNewRomanPSMT"/>
        </w:rPr>
        <w:t>produced statistically significant and clinically meaningful improvements in both key endpoints, with significant treatment effects observed from Week 4 in both studies (and from Week 2 for EASI-75 in KGAB)</w:t>
      </w:r>
      <w:r w:rsidR="00F516F7">
        <w:rPr>
          <w:rFonts w:cs="TimesNewRomanPSMT"/>
        </w:rPr>
        <w:t xml:space="preserve">. </w:t>
      </w:r>
      <w:r w:rsidRPr="00E079A6">
        <w:t>In Study KGAB, treatment with lebrikizumab resulted in statistically significant improvement compared to placebo in all major secondary endpoints in the induction period</w:t>
      </w:r>
      <w:r w:rsidRPr="00E079A6">
        <w:rPr>
          <w:rFonts w:cs="TimesNewRomanPSMT"/>
        </w:rPr>
        <w:t>, including significant improvements in Pruritus NRS, DLQI, and Sleep-loss score</w:t>
      </w:r>
      <w:r w:rsidR="00F516F7">
        <w:rPr>
          <w:rFonts w:cs="TimesNewRomanPSMT"/>
        </w:rPr>
        <w:t xml:space="preserve">. </w:t>
      </w:r>
      <w:r w:rsidRPr="00E079A6">
        <w:t>In Study KGAC, treatment with lebrikizumab resulted in statistically significant improvement compared to placebo in all major secondary endpoints in the induction period</w:t>
      </w:r>
      <w:r w:rsidRPr="00E079A6">
        <w:rPr>
          <w:rFonts w:cs="TimesNewRomanPSMT"/>
        </w:rPr>
        <w:t xml:space="preserve"> except for </w:t>
      </w:r>
      <w:r w:rsidRPr="00E079A6">
        <w:rPr>
          <w:i/>
          <w:iCs/>
        </w:rPr>
        <w:t>percentage of participants with a Pruritus NRS score of ≥ 4 points at baseline who achieved a ≥ 4-point reduction from baseline to Week 2</w:t>
      </w:r>
      <w:r w:rsidRPr="00E079A6">
        <w:t>, which favoured lebrikizumab but did not reach statistical significance</w:t>
      </w:r>
      <w:r w:rsidR="00F516F7">
        <w:t xml:space="preserve">. </w:t>
      </w:r>
      <w:r w:rsidRPr="00E079A6">
        <w:t xml:space="preserve">During the induction period, the proportion of participants requiring topical or systemic rescue therapy was lower in the lebrikizumab arm than the placebo arm. </w:t>
      </w:r>
    </w:p>
    <w:p w14:paraId="2D0A8B37" w14:textId="05F504E8" w:rsidR="007105E8" w:rsidRPr="00E079A6" w:rsidRDefault="007105E8" w:rsidP="007105E8">
      <w:r w:rsidRPr="00E079A6">
        <w:t>Subgroup analyses of pooled data from KGAB and KGAC showed a trend to greater treatment effect in participants &lt;60 kg and lesser treatment effect in participants ≥100 kg</w:t>
      </w:r>
      <w:r w:rsidR="00F516F7">
        <w:t xml:space="preserve">. </w:t>
      </w:r>
      <w:r w:rsidRPr="00E079A6">
        <w:t>The treatment effect was similar (numerically higher) in adolescents compared to adults.</w:t>
      </w:r>
    </w:p>
    <w:p w14:paraId="088B8B6F" w14:textId="05F819C8" w:rsidR="007105E8" w:rsidRPr="00E079A6" w:rsidRDefault="007105E8" w:rsidP="007105E8">
      <w:r w:rsidRPr="00E079A6">
        <w:rPr>
          <w:rFonts w:cs="TimesNewRomanPSMT"/>
        </w:rPr>
        <w:t>The FDA did not specify any major secondary endpoints for the maintenance blinded period, but the EMA specified four major secondary endpoints which were evaluated in lebrikizumab responders at Week 16 who were re-randomised to maintenance treatment with lebrikizumab 250 mg Q4W, 250 mg Q2W, or placebo (lebrikizumab withdrawal)</w:t>
      </w:r>
      <w:r w:rsidR="00F516F7">
        <w:rPr>
          <w:rFonts w:cs="TimesNewRomanPSMT"/>
        </w:rPr>
        <w:t xml:space="preserve">. </w:t>
      </w:r>
      <w:r w:rsidRPr="00E079A6">
        <w:t>In both studies, efficacy outcomes at Week 52 were similar in the two lebrikizumab arms, and numerically favoured the lebrikizumab arms compared to placebo</w:t>
      </w:r>
      <w:r w:rsidR="00F516F7">
        <w:t xml:space="preserve">. </w:t>
      </w:r>
      <w:r w:rsidRPr="00E079A6">
        <w:t>In the pooled analysis, nominal significance was seen for EASI-75 and IGO 0,1 at Week 52 for participants assigned to lebrikizumab 250 mg Q4W compared to placebo</w:t>
      </w:r>
      <w:r w:rsidR="00F516F7">
        <w:t xml:space="preserve">. </w:t>
      </w:r>
      <w:r w:rsidRPr="00E079A6">
        <w:t>The findings support maintenance dosing with lebrikizumab 250 mg Q4W</w:t>
      </w:r>
      <w:r w:rsidR="00F516F7">
        <w:t xml:space="preserve">. </w:t>
      </w:r>
    </w:p>
    <w:p w14:paraId="6C70DB9E" w14:textId="645C478C" w:rsidR="007105E8" w:rsidRPr="00E079A6" w:rsidRDefault="007105E8" w:rsidP="007105E8">
      <w:r w:rsidRPr="00E079A6">
        <w:t>Participants who did not achieve an adequate response to lebrikizumab in the induction period or who required topical or systemic rescue treatment during the induction period were assigned to an escape arm and received open-label lebrikizumab 250 mg Q2W during the maintenance period to Week 52</w:t>
      </w:r>
      <w:r w:rsidR="00F516F7">
        <w:t xml:space="preserve">. </w:t>
      </w:r>
      <w:r w:rsidRPr="00E079A6">
        <w:t>The proportion of participants in the escape population achieving IGO 0,1 and EASI-75 increased over this period, particularly during the first 8 weeks of escape treatment</w:t>
      </w:r>
      <w:r w:rsidR="00F516F7">
        <w:t xml:space="preserve">. </w:t>
      </w:r>
    </w:p>
    <w:p w14:paraId="40A62260" w14:textId="7B3C74E2" w:rsidR="007105E8" w:rsidRPr="00820A97" w:rsidRDefault="007105E8" w:rsidP="007105E8">
      <w:pPr>
        <w:rPr>
          <w:rFonts w:cs="TimesNewRomanPSMT"/>
        </w:rPr>
      </w:pPr>
      <w:r w:rsidRPr="00820A97">
        <w:rPr>
          <w:rFonts w:cs="TimesNewRomanPSMT"/>
        </w:rPr>
        <w:t>Study KGAD, the pivotal study of lebrikizumab in combination with TCS, demonstrated the superiority of lebrikizumab</w:t>
      </w:r>
      <w:r w:rsidR="00820A97">
        <w:rPr>
          <w:rFonts w:cs="TimesNewRomanPSMT"/>
        </w:rPr>
        <w:t xml:space="preserve"> </w:t>
      </w:r>
      <w:r w:rsidRPr="00820A97">
        <w:rPr>
          <w:rFonts w:cs="TimesNewRomanPSMT"/>
        </w:rPr>
        <w:t>+</w:t>
      </w:r>
      <w:r w:rsidR="00820A97">
        <w:rPr>
          <w:rFonts w:cs="TimesNewRomanPSMT"/>
        </w:rPr>
        <w:t xml:space="preserve"> </w:t>
      </w:r>
      <w:r w:rsidRPr="00820A97">
        <w:rPr>
          <w:rFonts w:cs="TimesNewRomanPSMT"/>
        </w:rPr>
        <w:t>TCS versus placebo</w:t>
      </w:r>
      <w:r w:rsidR="00820A97">
        <w:rPr>
          <w:rFonts w:cs="TimesNewRomanPSMT"/>
        </w:rPr>
        <w:t xml:space="preserve"> </w:t>
      </w:r>
      <w:r w:rsidRPr="00820A97">
        <w:rPr>
          <w:rFonts w:cs="TimesNewRomanPSMT"/>
        </w:rPr>
        <w:t>+</w:t>
      </w:r>
      <w:r w:rsidR="00820A97">
        <w:rPr>
          <w:rFonts w:cs="TimesNewRomanPSMT"/>
        </w:rPr>
        <w:t xml:space="preserve"> </w:t>
      </w:r>
      <w:r w:rsidRPr="00820A97">
        <w:rPr>
          <w:rFonts w:cs="TimesNewRomanPSMT"/>
        </w:rPr>
        <w:t>TCS for all primary and major secondary efficacy endpoints</w:t>
      </w:r>
      <w:r w:rsidR="00F516F7">
        <w:rPr>
          <w:rFonts w:cs="TimesNewRomanPSMT"/>
        </w:rPr>
        <w:t xml:space="preserve">. </w:t>
      </w:r>
      <w:r w:rsidRPr="00820A97">
        <w:rPr>
          <w:rFonts w:cs="TimesNewRomanPSMT"/>
        </w:rPr>
        <w:t>Treatment with lebrikizumab</w:t>
      </w:r>
      <w:r w:rsidR="00820A97">
        <w:rPr>
          <w:rFonts w:cs="TimesNewRomanPSMT"/>
        </w:rPr>
        <w:t xml:space="preserve"> </w:t>
      </w:r>
      <w:r w:rsidRPr="00820A97">
        <w:rPr>
          <w:rFonts w:cs="TimesNewRomanPSMT"/>
        </w:rPr>
        <w:t>+</w:t>
      </w:r>
      <w:r w:rsidR="00820A97">
        <w:rPr>
          <w:rFonts w:cs="TimesNewRomanPSMT"/>
        </w:rPr>
        <w:t xml:space="preserve"> </w:t>
      </w:r>
      <w:r w:rsidRPr="00820A97">
        <w:rPr>
          <w:rFonts w:cs="TimesNewRomanPSMT"/>
        </w:rPr>
        <w:t>TCS compared to placebo</w:t>
      </w:r>
      <w:r w:rsidR="00820A97">
        <w:rPr>
          <w:rFonts w:cs="TimesNewRomanPSMT"/>
        </w:rPr>
        <w:t xml:space="preserve"> </w:t>
      </w:r>
      <w:r w:rsidRPr="00820A97">
        <w:rPr>
          <w:rFonts w:cs="TimesNewRomanPSMT"/>
        </w:rPr>
        <w:t>+</w:t>
      </w:r>
      <w:r w:rsidR="00820A97">
        <w:rPr>
          <w:rFonts w:cs="TimesNewRomanPSMT"/>
        </w:rPr>
        <w:t xml:space="preserve"> </w:t>
      </w:r>
      <w:r w:rsidRPr="00820A97">
        <w:rPr>
          <w:rFonts w:cs="TimesNewRomanPSMT"/>
        </w:rPr>
        <w:t>TCS produced statistically significant and clinically meaningful improvements in the percentage of patients achieving IGA score of 0 or 1 with ≥ 2-point improvement from Baseline to Week 16 (EMA co-primary, FDA primary) and the percentage of patients achieving EASI-75 at Week 16 (EMA co-primary, FDA major secondary)</w:t>
      </w:r>
      <w:r w:rsidR="00F516F7">
        <w:rPr>
          <w:rFonts w:cs="TimesNewRomanPSMT"/>
        </w:rPr>
        <w:t xml:space="preserve">. </w:t>
      </w:r>
      <w:r w:rsidRPr="00820A97">
        <w:rPr>
          <w:rFonts w:cs="TimesNewRomanPSMT"/>
        </w:rPr>
        <w:t>There were statistically significant and clinically meaningful improvements in all major secondary endpoints, including EASI-90 at Week 16 and improvements from baseline in EASI, Pruritus NRS, DLQI, and Sleep-loss score at Week 16</w:t>
      </w:r>
      <w:r w:rsidR="00F516F7">
        <w:rPr>
          <w:rFonts w:cs="TimesNewRomanPSMT"/>
        </w:rPr>
        <w:t xml:space="preserve">. </w:t>
      </w:r>
      <w:r w:rsidRPr="00820A97">
        <w:t>The proportion of participants requiring topical or systemic rescue therapy was lower in the lebrikizumab</w:t>
      </w:r>
      <w:r w:rsidR="00820A97">
        <w:t xml:space="preserve"> </w:t>
      </w:r>
      <w:r w:rsidRPr="00820A97">
        <w:t>+</w:t>
      </w:r>
      <w:r w:rsidR="00820A97">
        <w:t xml:space="preserve"> </w:t>
      </w:r>
      <w:r w:rsidRPr="00820A97">
        <w:t>TCS arm than the placebo</w:t>
      </w:r>
      <w:r w:rsidR="00820A97">
        <w:t xml:space="preserve"> </w:t>
      </w:r>
      <w:r w:rsidRPr="00820A97">
        <w:t>+</w:t>
      </w:r>
      <w:r w:rsidR="00820A97">
        <w:t xml:space="preserve"> </w:t>
      </w:r>
      <w:r w:rsidRPr="00820A97">
        <w:t xml:space="preserve">TCS arm. </w:t>
      </w:r>
    </w:p>
    <w:p w14:paraId="40819EF5" w14:textId="3A47AE0F" w:rsidR="007105E8" w:rsidRPr="00E079A6" w:rsidRDefault="007105E8" w:rsidP="007105E8">
      <w:r w:rsidRPr="00E079A6">
        <w:t>Subgroup analyses at Week 16 were generally consistent with the overall population, with a similar treatment effect in adolescents and adults</w:t>
      </w:r>
      <w:r w:rsidR="00F516F7">
        <w:t xml:space="preserve">. </w:t>
      </w:r>
      <w:r w:rsidRPr="00E079A6">
        <w:t>In KGAD, a greater treatment effect on EASI-75 and EASI-90 was observed in males than females</w:t>
      </w:r>
      <w:r w:rsidR="00F516F7">
        <w:t xml:space="preserve">. </w:t>
      </w:r>
      <w:r w:rsidRPr="00E079A6">
        <w:t>This was not a consistent finding across the pivotal studies, as the monotherapy studies showed a trend to lower treatment effect on EASI-75 and EASI-90 in males than females</w:t>
      </w:r>
      <w:r w:rsidR="00F516F7">
        <w:t xml:space="preserve">. </w:t>
      </w:r>
      <w:r w:rsidRPr="00E079A6">
        <w:t xml:space="preserve"> </w:t>
      </w:r>
    </w:p>
    <w:p w14:paraId="47BBEDED" w14:textId="77777777" w:rsidR="007105E8" w:rsidRPr="00E079A6" w:rsidRDefault="007105E8" w:rsidP="007105E8">
      <w:pPr>
        <w:rPr>
          <w:i/>
          <w:color w:val="7295D2" w:themeColor="accent1" w:themeTint="BF"/>
        </w:rPr>
      </w:pPr>
      <w:r w:rsidRPr="00E079A6">
        <w:rPr>
          <w:rFonts w:cs="TimesNewRomanPSMT"/>
        </w:rPr>
        <w:t>In the ongoing study KGAA, interim efficacy findings for participants who were lebrikizumab responders at Week 16 in KGAD and were randomised to 250 mg Q4W or 250 mg Q2W in KGAA showed similar outcomes for IGA 0,1 and EASI-75 at Week 40 in the two treatment arms.</w:t>
      </w:r>
    </w:p>
    <w:p w14:paraId="0FA37D89" w14:textId="77777777" w:rsidR="007105E8" w:rsidRDefault="007105E8" w:rsidP="00D2553C">
      <w:pPr>
        <w:pStyle w:val="Heading5"/>
      </w:pPr>
      <w:r>
        <w:t>Safety</w:t>
      </w:r>
    </w:p>
    <w:p w14:paraId="0E139B7B" w14:textId="3E12A242" w:rsidR="007105E8" w:rsidRPr="00E079A6" w:rsidRDefault="007105E8" w:rsidP="007105E8">
      <w:pPr>
        <w:rPr>
          <w:rFonts w:cs="TimesNewRomanPSMT"/>
        </w:rPr>
      </w:pPr>
      <w:r w:rsidRPr="00E079A6">
        <w:rPr>
          <w:rFonts w:cs="TimesNewRomanPSMT"/>
        </w:rPr>
        <w:t>The safety database presented in the initial application included 1720 participants (including 372 adolescents) exposed to lebrikizumab at any dose</w:t>
      </w:r>
      <w:r w:rsidR="00F516F7">
        <w:rPr>
          <w:rFonts w:cs="TimesNewRomanPSMT"/>
        </w:rPr>
        <w:t xml:space="preserve">. </w:t>
      </w:r>
      <w:r w:rsidRPr="00E079A6">
        <w:rPr>
          <w:rFonts w:cs="TimesNewRomanPSMT"/>
        </w:rPr>
        <w:t>Of these 1720 participants, 891 (including 270 adolescents) were exposed to lebrikizumab for at least 1 year, 744 (including 246 adolescents) were exposed only to 250 mg Q2W for at least 1 year, and 132 (including 23 adolescents) were exposed to 250 mg Q2W induction followed by 250 mg Q4W for at least 1 year</w:t>
      </w:r>
      <w:r w:rsidR="00F516F7">
        <w:rPr>
          <w:rFonts w:cs="TimesNewRomanPSMT"/>
        </w:rPr>
        <w:t xml:space="preserve">. </w:t>
      </w:r>
      <w:r w:rsidRPr="00E079A6">
        <w:rPr>
          <w:rFonts w:cs="TimesNewRomanPSMT"/>
        </w:rPr>
        <w:t>Safety data from two supportive studies (KGAK and KGAL) submitted during the course of the evaluation were consistent with the main safety dataset.</w:t>
      </w:r>
    </w:p>
    <w:p w14:paraId="214085B1" w14:textId="51C28F5A" w:rsidR="007105E8" w:rsidRPr="00E079A6" w:rsidRDefault="007105E8" w:rsidP="007105E8">
      <w:r w:rsidRPr="00E079A6">
        <w:t>Throughout the AD clinical development program, treatment with lebrikizumab was generally well tolerated</w:t>
      </w:r>
      <w:r w:rsidR="00F516F7">
        <w:t xml:space="preserve">. </w:t>
      </w:r>
      <w:r w:rsidRPr="00E079A6">
        <w:t xml:space="preserve">In the placebo-controlled induction period, </w:t>
      </w:r>
      <w:r w:rsidRPr="00E079A6">
        <w:rPr>
          <w:rFonts w:eastAsia="SymbolMT" w:cs="TimesNewRomanPSMT"/>
        </w:rPr>
        <w:t xml:space="preserve">TEAEs and SAEs were reported more frequently in the </w:t>
      </w:r>
      <w:r w:rsidRPr="00E079A6">
        <w:t>placebo group than the lebrikizumab group, but treatment-related TEAEs and discontinuations due to AE were reported more frequently in the lebrikizumab group than placebo</w:t>
      </w:r>
      <w:r w:rsidR="00F516F7">
        <w:t xml:space="preserve">. </w:t>
      </w:r>
      <w:r w:rsidRPr="00E079A6">
        <w:rPr>
          <w:rFonts w:cs="TimesNewRomanPSMT"/>
        </w:rPr>
        <w:t>In the induction period</w:t>
      </w:r>
      <w:r w:rsidRPr="00E079A6">
        <w:rPr>
          <w:rFonts w:cs="TimesNewRomanPSMT"/>
          <w:i/>
          <w:iCs/>
        </w:rPr>
        <w:t xml:space="preserve">, </w:t>
      </w:r>
      <w:r w:rsidRPr="00E079A6">
        <w:rPr>
          <w:rFonts w:cs="TimesNewRomanPSMT"/>
        </w:rPr>
        <w:t xml:space="preserve">TEAEs reported more frequently in the lebrikizumab group than the placebo group included </w:t>
      </w:r>
      <w:r w:rsidRPr="00E079A6">
        <w:t xml:space="preserve">conjunctivitis, nasopharyngitis, headache, conjunctivitis allergic, dry eye, and rhinitis allergic </w:t>
      </w:r>
      <w:r w:rsidRPr="00E079A6">
        <w:rPr>
          <w:rFonts w:cs="TimesNewRomanPSMT"/>
        </w:rPr>
        <w:t>(</w:t>
      </w:r>
      <w:r w:rsidRPr="00E079A6">
        <w:rPr>
          <w:rFonts w:cs="TimesNewRomanPSMT"/>
          <w:i/>
          <w:iCs/>
        </w:rPr>
        <w:t xml:space="preserve">AD ALL PC Weeks 0-16 </w:t>
      </w:r>
      <w:r w:rsidRPr="00E079A6">
        <w:rPr>
          <w:rFonts w:cs="TimesNewRomanPSMT"/>
        </w:rPr>
        <w:t>analysis set)</w:t>
      </w:r>
      <w:r w:rsidR="00F516F7">
        <w:t xml:space="preserve">. </w:t>
      </w:r>
      <w:r w:rsidRPr="00E079A6">
        <w:t>TEAEs in the conjunctivitis, keratitis, ocular symptom, and dry eye clusters and blepharitis were reported more frequently in the lebrikizumab group than placebo</w:t>
      </w:r>
      <w:r w:rsidR="00F516F7">
        <w:t xml:space="preserve">. </w:t>
      </w:r>
      <w:r w:rsidRPr="00E079A6">
        <w:rPr>
          <w:rFonts w:cs="TimesNewRomanPSMT"/>
        </w:rPr>
        <w:t>In the maintenance period (</w:t>
      </w:r>
      <w:r w:rsidRPr="00E079A6">
        <w:rPr>
          <w:rFonts w:cs="TimesNewRomanPSMT"/>
          <w:i/>
          <w:iCs/>
        </w:rPr>
        <w:t xml:space="preserve">AD Mono PC Weeks 16-52 </w:t>
      </w:r>
      <w:r w:rsidRPr="00E079A6">
        <w:rPr>
          <w:rFonts w:cs="TimesNewRomanPSMT"/>
        </w:rPr>
        <w:t>analysis set), the TEAE IRs (events/100 PY) were generally comparable for the placebo (LEB withdrawal), LEB 250 mg Q2W, and LEB 250 mg Q4W groups</w:t>
      </w:r>
      <w:r w:rsidR="00F516F7">
        <w:rPr>
          <w:rFonts w:cs="TimesNewRomanPSMT"/>
        </w:rPr>
        <w:t xml:space="preserve">. </w:t>
      </w:r>
      <w:r w:rsidRPr="00E079A6">
        <w:rPr>
          <w:rFonts w:cs="TimesNewRomanPSMT"/>
        </w:rPr>
        <w:t>No clinically meaningful differences were observed in the safety profile between the LEB 250 mg Q2W and LEB 250 mg Q4W groups.</w:t>
      </w:r>
    </w:p>
    <w:p w14:paraId="4355A022" w14:textId="77777777" w:rsidR="007105E8" w:rsidRPr="00E079A6" w:rsidRDefault="007105E8" w:rsidP="007105E8">
      <w:r w:rsidRPr="00E079A6">
        <w:t xml:space="preserve">Adverse drug reactions identified in the clinical development program include conjunctivitis, conjunctivitis allergic, conjunctivitis bacterial, keratitis, herpes zoster, injection site reactions, and eosinophilia. </w:t>
      </w:r>
    </w:p>
    <w:p w14:paraId="46ED011B" w14:textId="77777777" w:rsidR="007105E8" w:rsidRPr="00E079A6" w:rsidRDefault="007105E8" w:rsidP="007105E8">
      <w:r w:rsidRPr="00E079A6">
        <w:t>The safety profile in adolescents was similar to adults and no additional safety concerns were identified.</w:t>
      </w:r>
    </w:p>
    <w:p w14:paraId="0D5050F6" w14:textId="312DC454" w:rsidR="007105E8" w:rsidRPr="00E079A6" w:rsidRDefault="007105E8" w:rsidP="007105E8">
      <w:r w:rsidRPr="00E079A6">
        <w:t>No clinically meaningful association between ADA status and hypersensitivity events or injection site reactions was identified</w:t>
      </w:r>
      <w:r w:rsidR="00F516F7">
        <w:t xml:space="preserve">. </w:t>
      </w:r>
      <w:r w:rsidRPr="00E079A6">
        <w:t>The safety evaluation did not identify concerns with hepatic, renal, or cardiac toxicity</w:t>
      </w:r>
      <w:r w:rsidR="00F516F7">
        <w:t xml:space="preserve">. </w:t>
      </w:r>
    </w:p>
    <w:p w14:paraId="5D3EB346" w14:textId="77777777" w:rsidR="007105E8" w:rsidRPr="008F0331" w:rsidRDefault="007105E8" w:rsidP="00D2553C">
      <w:pPr>
        <w:pStyle w:val="Heading5"/>
      </w:pPr>
      <w:r w:rsidRPr="008F0331">
        <w:t>Proposed Indication</w:t>
      </w:r>
    </w:p>
    <w:p w14:paraId="49707054" w14:textId="77777777" w:rsidR="007105E8" w:rsidRDefault="007105E8" w:rsidP="007105E8">
      <w:r>
        <w:t>The initially proposed indication was:</w:t>
      </w:r>
    </w:p>
    <w:p w14:paraId="79920F91" w14:textId="0A7C6EC4" w:rsidR="007105E8" w:rsidRPr="00D2553C" w:rsidRDefault="00D2553C" w:rsidP="007105E8">
      <w:pPr>
        <w:ind w:left="426"/>
        <w:rPr>
          <w:i/>
          <w:iCs/>
        </w:rPr>
      </w:pPr>
      <w:r>
        <w:rPr>
          <w:i/>
          <w:iCs/>
        </w:rPr>
        <w:t>Ebglyss</w:t>
      </w:r>
      <w:r w:rsidR="007105E8" w:rsidRPr="00D2553C">
        <w:rPr>
          <w:i/>
          <w:iCs/>
        </w:rPr>
        <w:t xml:space="preserve"> is indicated for the treatment of adult and adolescent patients (12 years of age and older) with moderate-to-severe atopic dermatitis (AD).</w:t>
      </w:r>
    </w:p>
    <w:p w14:paraId="736C31B2" w14:textId="77777777" w:rsidR="007105E8" w:rsidRPr="00F2600F" w:rsidRDefault="007105E8" w:rsidP="007105E8">
      <w:r w:rsidRPr="00F2600F">
        <w:t>In response to the clinical evaluation, the proposed indication was amended to:</w:t>
      </w:r>
    </w:p>
    <w:p w14:paraId="18BB7BF8" w14:textId="6246156B" w:rsidR="007105E8" w:rsidRPr="00D2553C" w:rsidRDefault="00D2553C" w:rsidP="007105E8">
      <w:pPr>
        <w:ind w:left="426"/>
        <w:rPr>
          <w:i/>
          <w:iCs/>
        </w:rPr>
      </w:pPr>
      <w:r>
        <w:rPr>
          <w:i/>
          <w:iCs/>
        </w:rPr>
        <w:t>Ebglyss</w:t>
      </w:r>
      <w:r w:rsidR="007105E8" w:rsidRPr="00D2553C">
        <w:rPr>
          <w:i/>
          <w:iCs/>
        </w:rPr>
        <w:t xml:space="preserve"> is indicated for the treatment of adult and adolescent patients (12 years of age and older) with moderate-to-severe atopic dermatitis (AD) who are candidates for systemic therapy.</w:t>
      </w:r>
    </w:p>
    <w:p w14:paraId="6B8F87C6" w14:textId="68E208F8" w:rsidR="007105E8" w:rsidRPr="004564F7" w:rsidRDefault="007105E8" w:rsidP="007105E8">
      <w:pPr>
        <w:rPr>
          <w:bCs/>
          <w:lang w:eastAsia="ja-JP"/>
        </w:rPr>
      </w:pPr>
      <w:r w:rsidRPr="004564F7">
        <w:rPr>
          <w:bCs/>
          <w:lang w:eastAsia="ja-JP"/>
        </w:rPr>
        <w:t>In the EU, the accepted indication specifies “</w:t>
      </w:r>
      <w:r w:rsidRPr="004564F7">
        <w:t xml:space="preserve">adolescents 12 years and older </w:t>
      </w:r>
      <w:r w:rsidRPr="004564F7">
        <w:rPr>
          <w:bCs/>
          <w:lang w:eastAsia="ja-JP"/>
        </w:rPr>
        <w:t>with a body weight of at least 40 kg”, reflecting the inclusion criteria of the pivotal studies</w:t>
      </w:r>
      <w:r w:rsidR="00F516F7">
        <w:rPr>
          <w:bCs/>
          <w:lang w:eastAsia="ja-JP"/>
        </w:rPr>
        <w:t xml:space="preserve">. </w:t>
      </w:r>
      <w:r w:rsidRPr="004564F7">
        <w:rPr>
          <w:bCs/>
          <w:lang w:eastAsia="ja-JP"/>
        </w:rPr>
        <w:t>In the Australian Product Information, minimum body weight in adolescents is specifically addressed in sections 4.2, 4.4, and 5.1</w:t>
      </w:r>
      <w:r w:rsidR="00F516F7">
        <w:rPr>
          <w:bCs/>
          <w:lang w:eastAsia="ja-JP"/>
        </w:rPr>
        <w:t xml:space="preserve">. </w:t>
      </w:r>
      <w:r w:rsidRPr="004564F7">
        <w:rPr>
          <w:bCs/>
          <w:lang w:eastAsia="ja-JP"/>
        </w:rPr>
        <w:t xml:space="preserve">The dosing guidance for lebrikizumab in adolescents is </w:t>
      </w:r>
      <w:r>
        <w:rPr>
          <w:bCs/>
          <w:lang w:eastAsia="ja-JP"/>
        </w:rPr>
        <w:t>for</w:t>
      </w:r>
      <w:r w:rsidRPr="004564F7">
        <w:rPr>
          <w:bCs/>
          <w:lang w:eastAsia="ja-JP"/>
        </w:rPr>
        <w:t xml:space="preserve"> patients 12 years of age and older who weigh at least 40 kg, and the precautions in </w:t>
      </w:r>
      <w:r w:rsidRPr="004564F7">
        <w:rPr>
          <w:bCs/>
          <w:i/>
          <w:iCs/>
          <w:lang w:eastAsia="ja-JP"/>
        </w:rPr>
        <w:t>Paediatric use</w:t>
      </w:r>
      <w:r w:rsidRPr="004564F7">
        <w:rPr>
          <w:bCs/>
          <w:lang w:eastAsia="ja-JP"/>
        </w:rPr>
        <w:t xml:space="preserve"> in section 4.4 advise that “</w:t>
      </w:r>
      <w:r w:rsidRPr="004564F7">
        <w:t xml:space="preserve">The safety and effectiveness of </w:t>
      </w:r>
      <w:r w:rsidR="00D2553C">
        <w:t>Ebglyss</w:t>
      </w:r>
      <w:r w:rsidRPr="004564F7">
        <w:t xml:space="preserve"> in paediatric subjects aged 12 years to less than 18 years who weigh less than 40 kg and paediatric subjects less than 12 years of age with moderate to severe atopic dermatitis have not been established.”</w:t>
      </w:r>
      <w:r w:rsidRPr="004564F7">
        <w:rPr>
          <w:bCs/>
          <w:lang w:eastAsia="ja-JP"/>
        </w:rPr>
        <w:t xml:space="preserve">  </w:t>
      </w:r>
      <w:r>
        <w:rPr>
          <w:bCs/>
          <w:lang w:eastAsia="ja-JP"/>
        </w:rPr>
        <w:t xml:space="preserve">The proposed indication for </w:t>
      </w:r>
      <w:r w:rsidR="00D2553C">
        <w:rPr>
          <w:bCs/>
          <w:lang w:eastAsia="ja-JP"/>
        </w:rPr>
        <w:t>Ebglyss</w:t>
      </w:r>
      <w:r>
        <w:rPr>
          <w:bCs/>
          <w:lang w:eastAsia="ja-JP"/>
        </w:rPr>
        <w:t xml:space="preserve"> is consistent with the DUPIXENT indications which specify age but not body weight</w:t>
      </w:r>
      <w:r w:rsidR="00F516F7">
        <w:rPr>
          <w:bCs/>
          <w:lang w:eastAsia="ja-JP"/>
        </w:rPr>
        <w:t xml:space="preserve">. </w:t>
      </w:r>
      <w:r w:rsidRPr="004564F7">
        <w:rPr>
          <w:bCs/>
          <w:lang w:eastAsia="ja-JP"/>
        </w:rPr>
        <w:t xml:space="preserve">I am of the view that the proposed indication is acceptable and that the proposed Product Information adequately addresses the lack of data informing dosing, efficacy, and safety in adolescent patients &lt;40 kg body weight. </w:t>
      </w:r>
    </w:p>
    <w:p w14:paraId="7C5896FC" w14:textId="77777777" w:rsidR="007105E8" w:rsidRPr="00240E49" w:rsidRDefault="007105E8" w:rsidP="007105E8">
      <w:pPr>
        <w:rPr>
          <w:bCs/>
          <w:color w:val="FF0000"/>
          <w:lang w:eastAsia="ja-JP"/>
        </w:rPr>
      </w:pPr>
      <w:r w:rsidRPr="004564F7">
        <w:rPr>
          <w:bCs/>
          <w:lang w:eastAsia="ja-JP"/>
        </w:rPr>
        <w:t xml:space="preserve">For consistency with other systemic AD therapies registered in Australia, </w:t>
      </w:r>
      <w:r>
        <w:rPr>
          <w:bCs/>
          <w:lang w:eastAsia="ja-JP"/>
        </w:rPr>
        <w:t xml:space="preserve">it would be preferable to remove </w:t>
      </w:r>
      <w:r w:rsidRPr="004564F7">
        <w:rPr>
          <w:bCs/>
          <w:lang w:eastAsia="ja-JP"/>
        </w:rPr>
        <w:t>the hyphenation of moderate-to-severe (i.e. moderate to severe).</w:t>
      </w:r>
    </w:p>
    <w:p w14:paraId="6DA53CA7" w14:textId="7AB8FB41" w:rsidR="007105E8" w:rsidRDefault="007105E8" w:rsidP="00D2553C">
      <w:pPr>
        <w:pStyle w:val="Heading5"/>
      </w:pPr>
      <w:r w:rsidRPr="008F0331">
        <w:t xml:space="preserve">Proposed </w:t>
      </w:r>
      <w:r w:rsidR="008B68FC">
        <w:t>d</w:t>
      </w:r>
      <w:r>
        <w:t>osing</w:t>
      </w:r>
    </w:p>
    <w:p w14:paraId="7714BD4A" w14:textId="77777777" w:rsidR="007105E8" w:rsidRDefault="007105E8" w:rsidP="007105E8">
      <w:r>
        <w:t>The proposed dosing guidance is:</w:t>
      </w:r>
    </w:p>
    <w:p w14:paraId="71AEAC00" w14:textId="258BD331" w:rsidR="007105E8" w:rsidRDefault="007105E8" w:rsidP="007105E8">
      <w:pPr>
        <w:ind w:left="426"/>
      </w:pPr>
      <w:r w:rsidRPr="00D2553C">
        <w:rPr>
          <w:b/>
          <w:bCs/>
        </w:rPr>
        <w:t xml:space="preserve">Adults and Adolescents (12 years of age and older who weigh at least 40 kg) </w:t>
      </w:r>
      <w:r>
        <w:t xml:space="preserve">Treatment with </w:t>
      </w:r>
      <w:r w:rsidR="00D2553C">
        <w:t>Ebglyss</w:t>
      </w:r>
      <w:r>
        <w:t xml:space="preserve"> should be initiated and supervised by a dermatologist or physician with expertise in management of atopic dermatitis. </w:t>
      </w:r>
      <w:r>
        <w:br/>
        <w:t xml:space="preserve">The recommended dose of lebrikizumab is an initial dose of 500 mg (two 250 mg injections) injected subcutaneously at Week 0 and Week 2, followed by 250 mg every two weeks until Week 16. For patients who achieve an adequate clinical response at Week 16, the maintenance dose is 250 mg every four weeks. </w:t>
      </w:r>
      <w:r>
        <w:br/>
        <w:t xml:space="preserve">Consideration should be given to discontinuing treatment in patients who have shown no clinical response after 16 weeks of treatment. </w:t>
      </w:r>
      <w:r>
        <w:br/>
        <w:t>For patients who have had a less than adequate clinical response at Week 16, consideration may be given to continuing lebrikizumab 250 mg every two weeks until an adequate clinical response is achieved. Patients achieving an adequate clinical response can then continue maintenance treatment with lebrikizumab 250 mg every four weeks. Lebrikizumab can be used with or without topical corticosteroids (TCSs) or topical calcineurin inhibitors (TCIs).</w:t>
      </w:r>
    </w:p>
    <w:p w14:paraId="55098066" w14:textId="77777777" w:rsidR="007105E8" w:rsidRPr="00BA1174" w:rsidRDefault="007105E8" w:rsidP="007105E8">
      <w:r>
        <w:t>Efficacy and safety findings from the three pivotal studies support the proposed dosing regimen.</w:t>
      </w:r>
    </w:p>
    <w:p w14:paraId="688FA165" w14:textId="77777777" w:rsidR="007105E8" w:rsidRDefault="007105E8" w:rsidP="00D2553C">
      <w:pPr>
        <w:pStyle w:val="Heading5"/>
        <w:rPr>
          <w:lang w:eastAsia="ja-JP"/>
        </w:rPr>
      </w:pPr>
      <w:r>
        <w:rPr>
          <w:lang w:eastAsia="ja-JP"/>
        </w:rPr>
        <w:t>Uncertainties and limitations of the data</w:t>
      </w:r>
    </w:p>
    <w:p w14:paraId="692F7F73" w14:textId="09D7DB68" w:rsidR="007105E8" w:rsidRPr="00E079A6" w:rsidRDefault="007105E8" w:rsidP="007105E8">
      <w:pPr>
        <w:rPr>
          <w:rFonts w:eastAsia="SymbolMT" w:cs="TimesNewRomanPSMT"/>
        </w:rPr>
      </w:pPr>
      <w:r w:rsidRPr="00E079A6">
        <w:rPr>
          <w:rFonts w:eastAsia="SymbolMT" w:cs="TimesNewRomanPSMT"/>
        </w:rPr>
        <w:t xml:space="preserve">PopPK and PK-PD simulations explored 250 mg </w:t>
      </w:r>
      <w:r w:rsidR="001A3B69">
        <w:rPr>
          <w:rFonts w:eastAsia="SymbolMT" w:cs="TimesNewRomanPSMT"/>
        </w:rPr>
        <w:t>QXW</w:t>
      </w:r>
      <w:r w:rsidRPr="00E079A6">
        <w:rPr>
          <w:rFonts w:eastAsia="SymbolMT" w:cs="TimesNewRomanPSMT"/>
        </w:rPr>
        <w:t xml:space="preserve"> as a maintenance dosing option for responders at Week 16, but the efficacy of </w:t>
      </w:r>
      <w:r w:rsidR="001A3B69">
        <w:rPr>
          <w:rFonts w:eastAsia="SymbolMT" w:cs="TimesNewRomanPSMT"/>
        </w:rPr>
        <w:t>QXW</w:t>
      </w:r>
      <w:r w:rsidRPr="00E079A6">
        <w:rPr>
          <w:rFonts w:eastAsia="SymbolMT" w:cs="TimesNewRomanPSMT"/>
        </w:rPr>
        <w:t xml:space="preserve"> maintenance dosing has not been evaluated in the clinical studies. </w:t>
      </w:r>
    </w:p>
    <w:p w14:paraId="5E393DDC" w14:textId="1D83BB17" w:rsidR="007105E8" w:rsidRPr="00E079A6" w:rsidRDefault="007105E8" w:rsidP="007105E8">
      <w:pPr>
        <w:rPr>
          <w:rFonts w:eastAsia="SymbolMT" w:cs="TimesNewRomanPSMT"/>
        </w:rPr>
      </w:pPr>
      <w:r w:rsidRPr="00E079A6">
        <w:rPr>
          <w:rFonts w:eastAsia="SymbolMT" w:cs="TimesNewRomanPSMT"/>
        </w:rPr>
        <w:t>Rare safety risks or those with long latency may not have been identified in the clinical studies</w:t>
      </w:r>
      <w:r w:rsidR="00F516F7">
        <w:rPr>
          <w:rFonts w:eastAsia="SymbolMT" w:cs="TimesNewRomanPSMT"/>
        </w:rPr>
        <w:t xml:space="preserve">. </w:t>
      </w:r>
      <w:r w:rsidRPr="00E079A6">
        <w:rPr>
          <w:rFonts w:eastAsia="SymbolMT" w:cs="TimesNewRomanPSMT"/>
        </w:rPr>
        <w:t>Long-term safety is listed as missing information in the ASA/RMP and is being assessed in the ongoing safety study KGAA.</w:t>
      </w:r>
    </w:p>
    <w:p w14:paraId="55070E04" w14:textId="48809B7D" w:rsidR="007105E8" w:rsidRPr="00E079A6" w:rsidRDefault="007105E8" w:rsidP="007105E8">
      <w:pPr>
        <w:rPr>
          <w:lang w:eastAsia="ja-JP"/>
        </w:rPr>
      </w:pPr>
      <w:r w:rsidRPr="00E079A6">
        <w:rPr>
          <w:rFonts w:eastAsia="SymbolMT" w:cs="TimesNewRomanPSMT"/>
        </w:rPr>
        <w:t>Lebrikizumab has not been studied in women who are pregnant or breastfeeding</w:t>
      </w:r>
      <w:r w:rsidR="00F516F7">
        <w:rPr>
          <w:rFonts w:eastAsia="SymbolMT" w:cs="TimesNewRomanPSMT"/>
        </w:rPr>
        <w:t xml:space="preserve">. </w:t>
      </w:r>
      <w:r w:rsidRPr="00E079A6">
        <w:rPr>
          <w:rFonts w:eastAsia="SymbolMT" w:cs="TimesNewRomanPSMT"/>
        </w:rPr>
        <w:t>Guidance for prescribers and patients regarding use in pregnancy and lactation should be consistent with the regulatory guideline</w:t>
      </w:r>
      <w:r w:rsidR="005B7DB8">
        <w:rPr>
          <w:rFonts w:eastAsia="SymbolMT" w:cs="TimesNewRomanPSMT"/>
        </w:rPr>
        <w:t xml:space="preserve">. </w:t>
      </w:r>
    </w:p>
    <w:p w14:paraId="6BA181D9" w14:textId="77777777" w:rsidR="007105E8" w:rsidRDefault="007105E8" w:rsidP="007105E8">
      <w:pPr>
        <w:pStyle w:val="Heading3"/>
      </w:pPr>
      <w:bookmarkStart w:id="95" w:name="_Toc180416245"/>
      <w:r>
        <w:t>Conclusions</w:t>
      </w:r>
      <w:bookmarkEnd w:id="95"/>
    </w:p>
    <w:p w14:paraId="2DFF4590" w14:textId="4064CA94" w:rsidR="007105E8" w:rsidRDefault="007105E8" w:rsidP="007105E8">
      <w:r>
        <w:t>All manufacturing and quality issues have been satisfactorily addressed</w:t>
      </w:r>
      <w:r w:rsidR="009F0054">
        <w:t>.</w:t>
      </w:r>
    </w:p>
    <w:p w14:paraId="351C7629" w14:textId="2C35847B" w:rsidR="007105E8" w:rsidRDefault="007105E8" w:rsidP="007105E8">
      <w:r>
        <w:t>The efficacy and safety of lebrikizumab in the proposed indication have been satisfactorily demonstrated</w:t>
      </w:r>
      <w:r w:rsidR="00F516F7">
        <w:t xml:space="preserve">. </w:t>
      </w:r>
      <w:r>
        <w:t>The proposed dosing guidance is consistent with the pivotal clinical trials but</w:t>
      </w:r>
      <w:r w:rsidR="009F0054">
        <w:t xml:space="preserve"> the delegate sought </w:t>
      </w:r>
      <w:r>
        <w:t>ACM’s perspective regarding dosing for patients who have an inadequate response to induction treatment.</w:t>
      </w:r>
    </w:p>
    <w:p w14:paraId="318CFABC" w14:textId="77777777" w:rsidR="00C22214" w:rsidRPr="00F73346" w:rsidRDefault="00C22214" w:rsidP="00C22214">
      <w:pPr>
        <w:pStyle w:val="Heading4"/>
      </w:pPr>
      <w:bookmarkStart w:id="96" w:name="_Toc98931936"/>
      <w:bookmarkStart w:id="97" w:name="_Toc180416246"/>
      <w:bookmarkStart w:id="98" w:name="_Toc247691532"/>
      <w:bookmarkStart w:id="99" w:name="_Toc314842516"/>
      <w:r w:rsidRPr="00F73346">
        <w:t>Advisory Committee considerations</w:t>
      </w:r>
      <w:bookmarkEnd w:id="96"/>
      <w:bookmarkEnd w:id="97"/>
    </w:p>
    <w:p w14:paraId="087BB9CB" w14:textId="4415027D" w:rsidR="00C22214" w:rsidRDefault="00C22214" w:rsidP="00C22214">
      <w:pPr>
        <w:rPr>
          <w:bCs/>
          <w:szCs w:val="22"/>
        </w:rPr>
      </w:pPr>
      <w:r w:rsidRPr="00BD5DBD">
        <w:rPr>
          <w:bCs/>
          <w:szCs w:val="22"/>
        </w:rPr>
        <w:t xml:space="preserve">The </w:t>
      </w:r>
      <w:hyperlink r:id="rId79"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r w:rsidR="005B7DB8">
        <w:rPr>
          <w:bCs/>
          <w:szCs w:val="22"/>
        </w:rPr>
        <w:t>:</w:t>
      </w:r>
    </w:p>
    <w:p w14:paraId="51B5E4D5" w14:textId="641386AB" w:rsidR="009F0054" w:rsidRPr="009F0054" w:rsidRDefault="009F0054" w:rsidP="005B7DB8">
      <w:pPr>
        <w:pStyle w:val="DelegatesQuestions"/>
        <w:numPr>
          <w:ilvl w:val="0"/>
          <w:numId w:val="0"/>
        </w:numPr>
      </w:pPr>
      <w:r w:rsidRPr="009F0054">
        <w:t>What is ACM’s view regarding the proposed dosing guidance for patients who have an</w:t>
      </w:r>
      <w:r w:rsidR="005B7DB8">
        <w:t xml:space="preserve"> </w:t>
      </w:r>
      <w:r w:rsidRPr="009F0054">
        <w:t xml:space="preserve">inadequate response to the 16-week induction regimen? </w:t>
      </w:r>
    </w:p>
    <w:p w14:paraId="4A1892C6" w14:textId="77777777" w:rsidR="009F0054" w:rsidRPr="009F0054" w:rsidRDefault="009F0054" w:rsidP="009F0054">
      <w:pPr>
        <w:rPr>
          <w:bCs/>
          <w:szCs w:val="22"/>
        </w:rPr>
      </w:pPr>
      <w:r w:rsidRPr="009F0054">
        <w:rPr>
          <w:bCs/>
          <w:szCs w:val="22"/>
        </w:rPr>
        <w:t xml:space="preserve">The ACM discussed the ongoing treatment of patients who have an inadequate response to the 16-week induction regimen. </w:t>
      </w:r>
    </w:p>
    <w:p w14:paraId="2BC39624" w14:textId="77777777" w:rsidR="009F0054" w:rsidRPr="009F0054" w:rsidRDefault="009F0054" w:rsidP="009F0054">
      <w:pPr>
        <w:rPr>
          <w:bCs/>
          <w:szCs w:val="22"/>
        </w:rPr>
      </w:pPr>
      <w:r w:rsidRPr="009F0054">
        <w:rPr>
          <w:bCs/>
          <w:szCs w:val="22"/>
        </w:rPr>
        <w:t xml:space="preserve">The ACM noted that simulations were conducted to compare 250 mg Q2W and Q4W dosing regimens for the maintenance period. For non-responders, EASI-75 response rates at Week 52 were numerically higher for Q2W compared to Q4W (41% versus 26%), but with substantial overlap in the 95% confidence intervals (CI). From those results, the ACM considered that 250 mg Q2W could be given to non-responders from Week 16 until adequate clinical response was achieved, giving prescribers flexibility for when to drop to Q4W maintenance treatment. </w:t>
      </w:r>
    </w:p>
    <w:p w14:paraId="09639F40" w14:textId="77777777" w:rsidR="009F0054" w:rsidRPr="009F0054" w:rsidRDefault="009F0054" w:rsidP="009F0054">
      <w:pPr>
        <w:rPr>
          <w:bCs/>
          <w:szCs w:val="22"/>
        </w:rPr>
      </w:pPr>
      <w:r w:rsidRPr="009F0054">
        <w:rPr>
          <w:bCs/>
          <w:szCs w:val="22"/>
        </w:rPr>
        <w:t xml:space="preserve">At the same time, the ACM noted that within the pivotal trials non-responders at Week 16 were given lebrikizumab 250 mg Q2W through the maintenance period. Within this non-responder cohort, the majority of responses occurred in the first 8 weeks of the maintenance period. However, some patients did not see a benefit until close to Week 52, while others continued to show no clinically adequate response. </w:t>
      </w:r>
    </w:p>
    <w:p w14:paraId="4DE10841" w14:textId="75832A42" w:rsidR="009F0054" w:rsidRPr="009F0054" w:rsidRDefault="009F0054" w:rsidP="009F0054">
      <w:pPr>
        <w:rPr>
          <w:bCs/>
          <w:szCs w:val="22"/>
        </w:rPr>
      </w:pPr>
      <w:r w:rsidRPr="009F0054">
        <w:rPr>
          <w:bCs/>
          <w:szCs w:val="22"/>
        </w:rPr>
        <w:t xml:space="preserve">Noting these results, the ACM was of the view that a statement could be included in the dosing and administration section of the PI, that consideration should be given to discontinuing treatment in patients who have shown inadequate clinical response after 24 weeks of Q2W dosing. The ACM also highlighted that patients are unlikely to continue with injections if no clinical benefit is seen. The ACM noted that </w:t>
      </w:r>
      <w:r w:rsidR="00D2553C">
        <w:rPr>
          <w:bCs/>
          <w:szCs w:val="22"/>
        </w:rPr>
        <w:t>Ebglyss</w:t>
      </w:r>
      <w:r w:rsidRPr="009F0054">
        <w:rPr>
          <w:bCs/>
          <w:szCs w:val="22"/>
        </w:rPr>
        <w:t xml:space="preserve"> will be initiated and supervised by a dermatologist or physician with expertise in the management of atopic dermatitis. Given the possible inter- and intra-observer error in measuring EASI scores the ACM also noted the importance of patient centred clinical decision making and providing flexibility for clinicians to appropriately manage the variability in the presentation of atopic dermatitis, patient factors and partial responses. </w:t>
      </w:r>
    </w:p>
    <w:p w14:paraId="4D0693AF" w14:textId="7AD7DD38" w:rsidR="009F0054" w:rsidRPr="009F0054" w:rsidRDefault="009F0054" w:rsidP="009F0054">
      <w:pPr>
        <w:rPr>
          <w:bCs/>
          <w:szCs w:val="22"/>
        </w:rPr>
      </w:pPr>
      <w:r w:rsidRPr="009F0054">
        <w:rPr>
          <w:bCs/>
          <w:szCs w:val="22"/>
        </w:rPr>
        <w:t>The ACM supported the following dosing guidance, with the addition of the statement</w:t>
      </w:r>
      <w:r w:rsidR="00D2553C">
        <w:rPr>
          <w:bCs/>
          <w:szCs w:val="22"/>
        </w:rPr>
        <w:t xml:space="preserve"> in bold</w:t>
      </w:r>
      <w:r w:rsidRPr="009F0054">
        <w:rPr>
          <w:bCs/>
          <w:szCs w:val="22"/>
        </w:rPr>
        <w:t xml:space="preserve">: </w:t>
      </w:r>
    </w:p>
    <w:p w14:paraId="105C73E6" w14:textId="77777777" w:rsidR="009F0054" w:rsidRPr="009F0054" w:rsidRDefault="009F0054" w:rsidP="00D2553C">
      <w:pPr>
        <w:ind w:left="720"/>
        <w:rPr>
          <w:bCs/>
          <w:i/>
          <w:iCs/>
          <w:szCs w:val="22"/>
        </w:rPr>
      </w:pPr>
      <w:r w:rsidRPr="009F0054">
        <w:rPr>
          <w:bCs/>
          <w:i/>
          <w:iCs/>
          <w:szCs w:val="22"/>
        </w:rPr>
        <w:t xml:space="preserve">Adults and Adolescents (12 years of age and older who weigh at least 40 kg) </w:t>
      </w:r>
    </w:p>
    <w:p w14:paraId="45D6F16E" w14:textId="77777777" w:rsidR="009F0054" w:rsidRPr="009F0054" w:rsidRDefault="009F0054" w:rsidP="00D2553C">
      <w:pPr>
        <w:ind w:left="720"/>
        <w:rPr>
          <w:bCs/>
          <w:i/>
          <w:iCs/>
          <w:szCs w:val="22"/>
        </w:rPr>
      </w:pPr>
      <w:r w:rsidRPr="009F0054">
        <w:rPr>
          <w:bCs/>
          <w:i/>
          <w:iCs/>
          <w:szCs w:val="22"/>
        </w:rPr>
        <w:t xml:space="preserve">The recommended dose of lebrikizumab is an initial dose of 500 mg (two 250 mg injections) injected subcutaneously at Week 0 and Week 2, followed by 250 mg every two weeks until Week 16. For patients who achieve an adequate clinical response at Week 16, the maintenance dose is 250 mg every four weeks. </w:t>
      </w:r>
    </w:p>
    <w:p w14:paraId="61F8EF9C" w14:textId="77777777" w:rsidR="009F0054" w:rsidRPr="00D2553C" w:rsidRDefault="009F0054" w:rsidP="00D2553C">
      <w:pPr>
        <w:ind w:left="720"/>
        <w:rPr>
          <w:bCs/>
          <w:i/>
          <w:iCs/>
          <w:szCs w:val="22"/>
        </w:rPr>
      </w:pPr>
      <w:r w:rsidRPr="009F0054">
        <w:rPr>
          <w:bCs/>
          <w:i/>
          <w:iCs/>
          <w:szCs w:val="22"/>
        </w:rPr>
        <w:t xml:space="preserve">Consideration should be given to discontinuing treatment in patients who have shown no clinical response after 16 weeks of treatment. </w:t>
      </w:r>
    </w:p>
    <w:p w14:paraId="7B90F2C8" w14:textId="0D181DE6" w:rsidR="009F0054" w:rsidRPr="009F0054" w:rsidRDefault="009F0054" w:rsidP="00D2553C">
      <w:pPr>
        <w:ind w:left="720"/>
        <w:rPr>
          <w:bCs/>
          <w:i/>
          <w:iCs/>
          <w:szCs w:val="22"/>
        </w:rPr>
      </w:pPr>
      <w:r w:rsidRPr="00D2553C">
        <w:rPr>
          <w:bCs/>
          <w:i/>
          <w:iCs/>
          <w:szCs w:val="22"/>
        </w:rPr>
        <w:t xml:space="preserve">For patients who have had a less than adequate clinical response at Week 16, consideration may be given to continuing lebrikizumab 250 mg every two weeks until an adequate clinical response is achieved. Patients achieving an adequate clinical response can then continue maintenance treatment with lebrikizumab 250 mg every four weeks. </w:t>
      </w:r>
      <w:r w:rsidRPr="00D2553C">
        <w:rPr>
          <w:b/>
          <w:i/>
          <w:iCs/>
          <w:szCs w:val="22"/>
        </w:rPr>
        <w:t>Consideration should be given to discontinuing treatment in patients who have shown inadequate clinical response after 24 weeks of Q2W dosing.</w:t>
      </w:r>
    </w:p>
    <w:p w14:paraId="5291EA2A" w14:textId="1168333D" w:rsidR="00C22214" w:rsidRDefault="009F0054" w:rsidP="00C22214">
      <w:pPr>
        <w:pStyle w:val="Heading5"/>
      </w:pPr>
      <w:r>
        <w:t xml:space="preserve">ACM </w:t>
      </w:r>
      <w:r w:rsidR="008B68FC">
        <w:t>c</w:t>
      </w:r>
      <w:r w:rsidR="00C22214" w:rsidRPr="00F73346">
        <w:t>onclusion</w:t>
      </w:r>
    </w:p>
    <w:p w14:paraId="66EAA43A" w14:textId="77777777" w:rsidR="009F0054" w:rsidRDefault="009F0054" w:rsidP="009F0054">
      <w:r>
        <w:t>The ACM considered this product to have an overall positive benefit-risk profile for the indication:</w:t>
      </w:r>
    </w:p>
    <w:p w14:paraId="3C89E3EB" w14:textId="452CA7A2" w:rsidR="009F0054" w:rsidRDefault="00D2553C" w:rsidP="009F0054">
      <w:pPr>
        <w:ind w:left="720"/>
        <w:rPr>
          <w:i/>
          <w:iCs/>
        </w:rPr>
      </w:pPr>
      <w:r>
        <w:rPr>
          <w:i/>
          <w:iCs/>
        </w:rPr>
        <w:t>Ebglyss</w:t>
      </w:r>
      <w:r w:rsidR="009F0054" w:rsidRPr="009F0054">
        <w:rPr>
          <w:i/>
          <w:iCs/>
        </w:rPr>
        <w:t xml:space="preserve"> is indicated for the treatment of adult and adolescent patients (12 years of age and older) with moderate to severe atopic dermatitis (AD) who are candidates for systemic therapy.</w:t>
      </w:r>
    </w:p>
    <w:p w14:paraId="76429E96" w14:textId="2FCAA861" w:rsidR="009F0054" w:rsidRPr="009F0054" w:rsidRDefault="009F0054" w:rsidP="009F0054">
      <w:pPr>
        <w:pStyle w:val="Heading2"/>
      </w:pPr>
      <w:bookmarkStart w:id="100" w:name="_Toc180416247"/>
      <w:r>
        <w:t>Outcome</w:t>
      </w:r>
      <w:bookmarkEnd w:id="100"/>
    </w:p>
    <w:bookmarkEnd w:id="98"/>
    <w:bookmarkEnd w:id="99"/>
    <w:p w14:paraId="4EF22939" w14:textId="33177F1D"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D2553C">
        <w:t>Ebglyss</w:t>
      </w:r>
      <w:r w:rsidRPr="0017005C">
        <w:t xml:space="preserve"> (</w:t>
      </w:r>
      <w:r w:rsidR="009F0054">
        <w:t>lebrikizumab</w:t>
      </w:r>
      <w:r w:rsidRPr="0017005C">
        <w:t>) for the following indication</w:t>
      </w:r>
      <w:r w:rsidR="009F0054">
        <w:t>:</w:t>
      </w:r>
    </w:p>
    <w:p w14:paraId="0655BFFD" w14:textId="74933332" w:rsidR="009F0054" w:rsidRPr="009F0054" w:rsidRDefault="00D2553C" w:rsidP="009F0054">
      <w:pPr>
        <w:ind w:left="720"/>
        <w:rPr>
          <w:i/>
          <w:iCs/>
        </w:rPr>
      </w:pPr>
      <w:r>
        <w:rPr>
          <w:i/>
          <w:iCs/>
        </w:rPr>
        <w:t>Ebglyss</w:t>
      </w:r>
      <w:r w:rsidR="009F0054" w:rsidRPr="009F0054">
        <w:rPr>
          <w:i/>
          <w:iCs/>
        </w:rPr>
        <w:t xml:space="preserve"> is indicated for the treatment of adult and adolescent patients (12 years of</w:t>
      </w:r>
      <w:r w:rsidR="009F0054">
        <w:rPr>
          <w:i/>
          <w:iCs/>
        </w:rPr>
        <w:t xml:space="preserve"> </w:t>
      </w:r>
      <w:r w:rsidR="009F0054" w:rsidRPr="009F0054">
        <w:rPr>
          <w:i/>
          <w:iCs/>
        </w:rPr>
        <w:t>age and older) with moderate to severe atopic dermatitis (AD) who are candidates for</w:t>
      </w:r>
      <w:r w:rsidR="009F0054">
        <w:rPr>
          <w:i/>
          <w:iCs/>
        </w:rPr>
        <w:t xml:space="preserve"> </w:t>
      </w:r>
      <w:r w:rsidR="009F0054" w:rsidRPr="009F0054">
        <w:rPr>
          <w:i/>
          <w:iCs/>
        </w:rPr>
        <w:t>systemic therapy.</w:t>
      </w:r>
    </w:p>
    <w:p w14:paraId="0D732DA4" w14:textId="77777777" w:rsidR="00854D98" w:rsidRPr="00D23139" w:rsidRDefault="00854D98" w:rsidP="00E4590E">
      <w:pPr>
        <w:pStyle w:val="Heading4"/>
      </w:pPr>
      <w:bookmarkStart w:id="101" w:name="_Toc103679301"/>
      <w:bookmarkStart w:id="102" w:name="_Toc180416248"/>
      <w:r w:rsidRPr="00D23139">
        <w:t>Specific conditions of registration applying to these goods</w:t>
      </w:r>
      <w:bookmarkEnd w:id="101"/>
      <w:bookmarkEnd w:id="102"/>
    </w:p>
    <w:p w14:paraId="4E08E847" w14:textId="0F5C7CBC" w:rsidR="0090054A" w:rsidRDefault="00D2553C" w:rsidP="008B68FC">
      <w:pPr>
        <w:rPr>
          <w:rFonts w:cs="Cambria"/>
          <w:szCs w:val="22"/>
        </w:rPr>
      </w:pPr>
      <w:r>
        <w:rPr>
          <w:rFonts w:cs="Cambria"/>
          <w:szCs w:val="22"/>
        </w:rPr>
        <w:t>Ebglyss</w:t>
      </w:r>
      <w:r w:rsidR="009F0054" w:rsidRPr="009F0054">
        <w:rPr>
          <w:rFonts w:cs="Cambria"/>
          <w:szCs w:val="22"/>
        </w:rPr>
        <w:t xml:space="preserve"> </w:t>
      </w:r>
      <w:r w:rsidR="0090054A">
        <w:rPr>
          <w:rFonts w:cs="Cambria"/>
          <w:szCs w:val="22"/>
        </w:rPr>
        <w:t xml:space="preserve">is to be included in the </w:t>
      </w:r>
      <w:hyperlink r:id="rId80" w:history="1">
        <w:r w:rsidR="0090054A">
          <w:rPr>
            <w:rStyle w:val="Hyperlink"/>
            <w:rFonts w:cs="Cambria"/>
            <w:szCs w:val="22"/>
          </w:rPr>
          <w:t>Black Triangle Scheme</w:t>
        </w:r>
      </w:hyperlink>
      <w:r w:rsidR="0090054A">
        <w:rPr>
          <w:rFonts w:cs="Cambria"/>
          <w:szCs w:val="22"/>
        </w:rPr>
        <w:t xml:space="preserve">. The PI and CMI for </w:t>
      </w:r>
      <w:r>
        <w:rPr>
          <w:rFonts w:cs="Cambria"/>
          <w:szCs w:val="22"/>
        </w:rPr>
        <w:t>Ebglyss</w:t>
      </w:r>
      <w:r w:rsidR="0090054A">
        <w:rPr>
          <w:rFonts w:cs="Cambria"/>
          <w:szCs w:val="22"/>
        </w:rPr>
        <w:t xml:space="preserve"> must include the black triangle symbol and mandatory accompanying text for five years. </w:t>
      </w:r>
      <w:r w:rsidR="0090054A" w:rsidRPr="00DE4B50">
        <w:rPr>
          <w:rFonts w:cs="Cambria"/>
          <w:szCs w:val="22"/>
        </w:rPr>
        <w:t xml:space="preserve">The Black Triangle Scheme identifies new prescription medicines with a black triangle on </w:t>
      </w:r>
      <w:r w:rsidR="0090054A">
        <w:rPr>
          <w:rFonts w:cs="Cambria"/>
          <w:szCs w:val="22"/>
        </w:rPr>
        <w:t>all associated</w:t>
      </w:r>
      <w:r w:rsidR="0090054A" w:rsidRPr="00DE4B50">
        <w:rPr>
          <w:rFonts w:cs="Cambria"/>
          <w:szCs w:val="22"/>
        </w:rPr>
        <w:t xml:space="preserve"> medicine information documents</w:t>
      </w:r>
      <w:r w:rsidR="0090054A">
        <w:rPr>
          <w:rFonts w:cs="Cambria"/>
          <w:szCs w:val="22"/>
        </w:rPr>
        <w:t xml:space="preserve"> and serves</w:t>
      </w:r>
      <w:r w:rsidR="0090054A" w:rsidRPr="00DE4B50">
        <w:rPr>
          <w:rFonts w:cs="Cambria"/>
          <w:szCs w:val="22"/>
        </w:rPr>
        <w:t xml:space="preserve"> </w:t>
      </w:r>
      <w:r w:rsidR="0090054A">
        <w:rPr>
          <w:rFonts w:cs="Cambria"/>
          <w:szCs w:val="22"/>
        </w:rPr>
        <w:t xml:space="preserve">as a </w:t>
      </w:r>
      <w:r w:rsidR="0090054A" w:rsidRPr="00DE4B50">
        <w:rPr>
          <w:rFonts w:cs="Cambria"/>
          <w:szCs w:val="22"/>
        </w:rPr>
        <w:t>visual reminder to encourage health practitioners and patients to </w:t>
      </w:r>
      <w:hyperlink r:id="rId81" w:tooltip="Report a problem or side effect" w:history="1">
        <w:r w:rsidR="0090054A">
          <w:rPr>
            <w:rStyle w:val="Hyperlink"/>
            <w:rFonts w:cs="Cambria"/>
            <w:szCs w:val="22"/>
          </w:rPr>
          <w:t>report a problem or side effect</w:t>
        </w:r>
      </w:hyperlink>
      <w:r w:rsidR="0090054A">
        <w:rPr>
          <w:rFonts w:cs="Cambria"/>
          <w:szCs w:val="22"/>
        </w:rPr>
        <w:t xml:space="preserve"> they have experienced with the medicine. </w:t>
      </w:r>
    </w:p>
    <w:p w14:paraId="563D3CB6" w14:textId="396747C4" w:rsidR="009F0054" w:rsidRPr="009F0054" w:rsidRDefault="009F0054" w:rsidP="008B68FC">
      <w:r w:rsidRPr="009F0054">
        <w:t xml:space="preserve">The </w:t>
      </w:r>
      <w:r w:rsidR="00D2553C">
        <w:t>Ebglyss</w:t>
      </w:r>
      <w:r w:rsidRPr="009F0054">
        <w:t xml:space="preserve"> Core-Risk Management Plan (RMP) (version 1.0, dated 2 September 2022,</w:t>
      </w:r>
      <w:r>
        <w:t xml:space="preserve"> </w:t>
      </w:r>
      <w:r w:rsidRPr="009F0054">
        <w:t>data lock point 06 July 2022), with Australian Specific Annex (version 2.0, dated</w:t>
      </w:r>
      <w:r>
        <w:t xml:space="preserve"> </w:t>
      </w:r>
      <w:r w:rsidRPr="009F0054">
        <w:t>14 November 2023), included with submission PM-2023-01192-1-1, and any</w:t>
      </w:r>
      <w:r>
        <w:t xml:space="preserve"> </w:t>
      </w:r>
      <w:r w:rsidRPr="009F0054">
        <w:t>subsequent revisions, as agreed with the TGA will be implemented in Australia.</w:t>
      </w:r>
      <w:r>
        <w:t xml:space="preserve"> </w:t>
      </w:r>
      <w:r w:rsidRPr="009F0054">
        <w:t>An obligatory component of risk management plans is routine pharmacovigilance.</w:t>
      </w:r>
      <w:r>
        <w:t xml:space="preserve"> </w:t>
      </w:r>
      <w:r w:rsidRPr="009F0054">
        <w:t>Routine pharmacovigilance includes the submission of periodic safety update</w:t>
      </w:r>
      <w:r>
        <w:t xml:space="preserve"> </w:t>
      </w:r>
      <w:r w:rsidRPr="009F0054">
        <w:t>reports (PSURs).</w:t>
      </w:r>
    </w:p>
    <w:p w14:paraId="64E4F4D9" w14:textId="77777777" w:rsidR="009F0054" w:rsidRDefault="009F0054" w:rsidP="008B68FC">
      <w:r w:rsidRPr="009F0054">
        <w:t>Unless agreed separately between the supplier who is the recipient of the approval and</w:t>
      </w:r>
      <w:r>
        <w:t xml:space="preserve"> </w:t>
      </w:r>
      <w:r w:rsidRPr="009F0054">
        <w:t>the TGA, the first report must be submitted to TGA no later than 15 calendar months</w:t>
      </w:r>
      <w:r>
        <w:t xml:space="preserve"> after the date of this approval letter. The subsequent reports must be submitted no less frequently than annually from the date of the first submitted report until the period covered by such reports is not less than three years from the date of this approval letter.</w:t>
      </w:r>
    </w:p>
    <w:p w14:paraId="171AF479" w14:textId="6917F7A6" w:rsidR="009F0054" w:rsidRDefault="009F0054" w:rsidP="008B68FC">
      <w:r>
        <w:t>The annual submission may be made up of two PSURs each covering six months. If the sponsor wishes, the six monthly reports may be submitted separately as they become available.</w:t>
      </w:r>
    </w:p>
    <w:p w14:paraId="35A768BD" w14:textId="3B2223C0" w:rsidR="009F0054" w:rsidRDefault="009F0054" w:rsidP="008B68FC">
      <w: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 The reports are to at least meet the requirements for PSURs as described in the European Medicines Agency’s Guideline on good pharmacovigilance practices (GVP) Module VII-periodic safety update report (Rev 1), Part VII.B Structures and processes.</w:t>
      </w:r>
    </w:p>
    <w:p w14:paraId="664A1253" w14:textId="205265CD" w:rsidR="009F0054" w:rsidRDefault="009F0054" w:rsidP="008B68FC">
      <w:r>
        <w:t>Note that submission of a PSUR does not constitute an application to vary the registration. Each report must have been prepared within ninety calendar days of the data lock point for that report.</w:t>
      </w:r>
    </w:p>
    <w:p w14:paraId="6EF28457" w14:textId="08430CD6" w:rsidR="009F0054" w:rsidRDefault="009F0054" w:rsidP="008B68FC">
      <w:r>
        <w:t xml:space="preserve">All batches of </w:t>
      </w:r>
      <w:r w:rsidR="00D2553C">
        <w:t>Ebglyss</w:t>
      </w:r>
      <w:r>
        <w:t xml:space="preserve"> lebrikizumab supplied in Australia must comply with the product details and specifications approved during evaluation and detailed in the Certified Product Details (CPD).</w:t>
      </w:r>
    </w:p>
    <w:p w14:paraId="0D0720CA" w14:textId="7BC7E45E" w:rsidR="009F0054" w:rsidRDefault="009F0054" w:rsidP="008B68FC">
      <w:r>
        <w:t xml:space="preserve">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w:t>
      </w:r>
      <w:hyperlink r:id="rId82" w:history="1">
        <w:r w:rsidR="008C1981" w:rsidRPr="00B523CC">
          <w:rPr>
            <w:rStyle w:val="Hyperlink"/>
          </w:rPr>
          <w:t>http://www.tga.gov.au/ws-labs-index</w:t>
        </w:r>
      </w:hyperlink>
      <w:r>
        <w:t xml:space="preserve"> and periodically in testing reports on the TGA website.</w:t>
      </w:r>
    </w:p>
    <w:p w14:paraId="76E657B2" w14:textId="135A9F63" w:rsidR="009F0054" w:rsidRDefault="009F0054" w:rsidP="008B68FC">
      <w:r>
        <w:t>The Certified Product Details (CPD), as described in Guidance 7: Certified Product Details of the Australian Regulatory Guidelines for Prescription Medicines (ARGPM),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451DC3FC" w14:textId="2D1EC6E2" w:rsidR="00C22214" w:rsidRDefault="00C22214" w:rsidP="008B68FC">
      <w:pPr>
        <w:pStyle w:val="Heading2"/>
      </w:pPr>
      <w:bookmarkStart w:id="103" w:name="_Toc103679303"/>
      <w:bookmarkStart w:id="104" w:name="_Toc180416249"/>
      <w:r>
        <w:t>Attachment 1. Product Information</w:t>
      </w:r>
      <w:bookmarkEnd w:id="103"/>
      <w:bookmarkEnd w:id="104"/>
    </w:p>
    <w:p w14:paraId="74F59983" w14:textId="10A5602C" w:rsidR="00675F81" w:rsidRPr="00BD5DBD" w:rsidRDefault="00675F81" w:rsidP="00675F81">
      <w:pPr>
        <w:rPr>
          <w:szCs w:val="22"/>
        </w:rPr>
      </w:pPr>
      <w:r w:rsidRPr="00BD5DBD">
        <w:rPr>
          <w:szCs w:val="22"/>
        </w:rPr>
        <w:t xml:space="preserve">The </w:t>
      </w:r>
      <w:hyperlink r:id="rId83" w:history="1">
        <w:r w:rsidRPr="00BD5DBD">
          <w:rPr>
            <w:rStyle w:val="Hyperlink"/>
            <w:szCs w:val="22"/>
          </w:rPr>
          <w:t>Product Information</w:t>
        </w:r>
      </w:hyperlink>
      <w:r w:rsidRPr="00BD5DBD">
        <w:rPr>
          <w:szCs w:val="22"/>
        </w:rPr>
        <w:t xml:space="preserve"> (</w:t>
      </w:r>
      <w:hyperlink r:id="rId84"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for</w:t>
      </w:r>
      <w:r w:rsidR="009F0054">
        <w:rPr>
          <w:szCs w:val="22"/>
        </w:rPr>
        <w:t xml:space="preserve"> </w:t>
      </w:r>
      <w:r w:rsidR="00D2553C">
        <w:t>Ebglyss</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85" w:history="1">
        <w:r w:rsidRPr="00BD5DBD">
          <w:rPr>
            <w:rStyle w:val="Hyperlink"/>
            <w:szCs w:val="22"/>
          </w:rPr>
          <w:t>Consumer Medicines Information</w:t>
        </w:r>
      </w:hyperlink>
      <w:r w:rsidRPr="00BD5DBD">
        <w:rPr>
          <w:szCs w:val="22"/>
        </w:rPr>
        <w:t xml:space="preserve"> (CMI), please refer to the TGA </w:t>
      </w:r>
      <w:hyperlink r:id="rId86" w:history="1">
        <w:r w:rsidRPr="00BD5DBD">
          <w:rPr>
            <w:rStyle w:val="Hyperlink"/>
            <w:szCs w:val="22"/>
          </w:rPr>
          <w:t>PI/CMI search facility.</w:t>
        </w:r>
      </w:hyperlink>
    </w:p>
    <w:p w14:paraId="53357BF3" w14:textId="276457B5" w:rsidR="00C22214" w:rsidRDefault="00C22214" w:rsidP="00C22214">
      <w:pPr>
        <w:rPr>
          <w:lang w:eastAsia="ja-JP"/>
        </w:rPr>
        <w:sectPr w:rsidR="00C22214" w:rsidSect="007452E8">
          <w:headerReference w:type="default" r:id="rId87"/>
          <w:footerReference w:type="default" r:id="rId8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4"/>
          <w:bookmarkEnd w:id="5"/>
          <w:p w14:paraId="7E090B86" w14:textId="77777777" w:rsidR="00F02AEC" w:rsidRPr="00215D48" w:rsidRDefault="00F02AEC" w:rsidP="007452E8">
            <w:pPr>
              <w:pStyle w:val="TGASignoff"/>
            </w:pPr>
            <w:r w:rsidRPr="00215D48">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89"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0C7ABC">
            <w:pPr>
              <w:pStyle w:val="Address"/>
              <w:jc w:val="center"/>
              <w:rPr>
                <w:rStyle w:val="Hyperlink"/>
                <w:b/>
                <w:color w:val="auto"/>
                <w:sz w:val="22"/>
              </w:rPr>
            </w:pPr>
            <w:hyperlink r:id="rId90"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4531D10C" w:rsidR="00F02AEC" w:rsidRPr="00215D48" w:rsidRDefault="00F02AEC" w:rsidP="007452E8">
            <w:pPr>
              <w:pStyle w:val="Address"/>
              <w:jc w:val="center"/>
            </w:pPr>
          </w:p>
        </w:tc>
      </w:tr>
    </w:tbl>
    <w:p w14:paraId="788B80FD" w14:textId="77777777" w:rsidR="007452E8" w:rsidRDefault="007452E8"/>
    <w:sectPr w:rsidR="007452E8" w:rsidSect="007452E8">
      <w:headerReference w:type="first" r:id="rId91"/>
      <w:footerReference w:type="first" r:id="rId9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C165F0" w14:textId="77777777" w:rsidR="003F48BD" w:rsidRDefault="003F48BD" w:rsidP="00F02AEC">
      <w:pPr>
        <w:spacing w:after="0" w:line="240" w:lineRule="auto"/>
      </w:pPr>
      <w:r>
        <w:separator/>
      </w:r>
    </w:p>
  </w:endnote>
  <w:endnote w:type="continuationSeparator" w:id="0">
    <w:p w14:paraId="57C648E6" w14:textId="77777777" w:rsidR="003F48BD" w:rsidRDefault="003F48BD"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SymbolMT">
    <w:altName w:val="PMingLiU"/>
    <w:panose1 w:val="00000000000000000000"/>
    <w:charset w:val="88"/>
    <w:family w:val="auto"/>
    <w:notTrueType/>
    <w:pitch w:val="default"/>
    <w:sig w:usb0="00000003" w:usb1="080F0000" w:usb2="00000010" w:usb3="00000000" w:csb0="0012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w:panose1 w:val="00000000000000000000"/>
    <w:charset w:val="00"/>
    <w:family w:val="roman"/>
    <w:notTrueType/>
    <w:pitch w:val="default"/>
    <w:sig w:usb0="00000083" w:usb1="08070000" w:usb2="00000010" w:usb3="00000000" w:csb0="00020009" w:csb1="00000000"/>
  </w:font>
  <w:font w:name="TeXGyrePagella-Regular">
    <w:altName w:val="Cambria"/>
    <w:panose1 w:val="00000000000000000000"/>
    <w:charset w:val="A1"/>
    <w:family w:val="roman"/>
    <w:notTrueType/>
    <w:pitch w:val="default"/>
    <w:sig w:usb0="00000081" w:usb1="00000000" w:usb2="00000000" w:usb3="00000000" w:csb0="00000008" w:csb1="00000000"/>
  </w:font>
  <w:font w:name="Arial-Bold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MR10">
    <w:altName w:val="Calibri"/>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8070000" w:usb2="00000010" w:usb3="00000000" w:csb0="00020001" w:csb1="00000000"/>
  </w:font>
  <w:font w:name="CourierNewPS-BoldMT">
    <w:altName w:val="Courier New"/>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55B419EB" w:rsidR="007452E8" w:rsidRPr="004A3084" w:rsidRDefault="002B0BED" w:rsidP="007452E8">
          <w:pPr>
            <w:pStyle w:val="Footer"/>
          </w:pPr>
          <w:r w:rsidRPr="002B0BED">
            <w:t xml:space="preserve">AusPAR - </w:t>
          </w:r>
          <w:r w:rsidR="00D2553C">
            <w:t>Ebglyss</w:t>
          </w:r>
          <w:r w:rsidRPr="002B0BED">
            <w:t xml:space="preserve"> - lebrikizumab - Eli Lilly Australia Pty Ltd - Type A - PM-2023-01192-1-1</w:t>
          </w:r>
          <w:r w:rsidR="007452E8">
            <w:br/>
          </w:r>
          <w:r w:rsidR="007452E8" w:rsidRPr="00487162">
            <w:t>Date of Finalisation</w:t>
          </w:r>
          <w:r w:rsidR="001A3B69">
            <w:t xml:space="preserve"> </w:t>
          </w:r>
          <w:r w:rsidR="001C0B7F">
            <w:t>8</w:t>
          </w:r>
          <w:r w:rsidR="001A3B69">
            <w:t xml:space="preserve"> October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0F1C8E" w14:textId="77777777" w:rsidR="003F48BD" w:rsidRDefault="003F48BD" w:rsidP="00F02AEC">
      <w:pPr>
        <w:spacing w:after="0" w:line="240" w:lineRule="auto"/>
      </w:pPr>
      <w:r>
        <w:separator/>
      </w:r>
    </w:p>
  </w:footnote>
  <w:footnote w:type="continuationSeparator" w:id="0">
    <w:p w14:paraId="3BC9B692" w14:textId="77777777" w:rsidR="003F48BD" w:rsidRDefault="003F48BD" w:rsidP="00F02AEC">
      <w:pPr>
        <w:spacing w:after="0" w:line="240" w:lineRule="auto"/>
      </w:pPr>
      <w:r>
        <w:continuationSeparator/>
      </w:r>
    </w:p>
  </w:footnote>
  <w:footnote w:id="1">
    <w:p w14:paraId="7FE667F5" w14:textId="77777777" w:rsidR="00EA1E8C" w:rsidRPr="008C1981" w:rsidRDefault="00EA1E8C" w:rsidP="00EA1E8C">
      <w:pPr>
        <w:pStyle w:val="FootnoteText"/>
      </w:pPr>
      <w:r w:rsidRPr="008C1981">
        <w:rPr>
          <w:rStyle w:val="FootnoteReference"/>
        </w:rPr>
        <w:footnoteRef/>
      </w:r>
      <w:r w:rsidRPr="008C1981">
        <w:t xml:space="preserve"> </w:t>
      </w:r>
      <w:r w:rsidRPr="008C1981">
        <w:rPr>
          <w:rFonts w:eastAsiaTheme="minorHAnsi" w:cs="Arial-BoldMT"/>
        </w:rPr>
        <w:t xml:space="preserve">Goh MSY, Yun JSW, Su JC. Management of atopic dermatitis: a narrative review. </w:t>
      </w:r>
      <w:r w:rsidRPr="008C1981">
        <w:rPr>
          <w:rFonts w:eastAsiaTheme="minorHAnsi" w:cs="Arial-BoldMT"/>
          <w:i/>
          <w:iCs/>
        </w:rPr>
        <w:t>Med J  Aust.</w:t>
      </w:r>
      <w:r w:rsidRPr="008C1981">
        <w:rPr>
          <w:rFonts w:eastAsiaTheme="minorHAnsi" w:cs="Arial-BoldMT"/>
        </w:rPr>
        <w:t xml:space="preserve"> 216 (11):587-593; 20  June 2022.</w:t>
      </w:r>
    </w:p>
  </w:footnote>
  <w:footnote w:id="2">
    <w:p w14:paraId="75329528" w14:textId="528D2ECD" w:rsidR="005B535E" w:rsidRDefault="005B535E">
      <w:pPr>
        <w:pStyle w:val="FootnoteText"/>
      </w:pPr>
      <w:r>
        <w:rPr>
          <w:rStyle w:val="FootnoteReference"/>
        </w:rPr>
        <w:footnoteRef/>
      </w:r>
      <w:r>
        <w:t xml:space="preserve"> </w:t>
      </w:r>
      <w:r w:rsidRPr="005B535E">
        <w:t>Napolitano M, di Vico F, Ruggiero A, Fabbrocini G, Patruno C. The hidden sentinel of the skin: An overview on the role of interleukin-13 in atopic dermatitis. Front Med (Lausanne). 2023 Apr 18;10:1165098. doi: 10.3389/fmed.2023.1165098. PMID: 37144036; PMCID: PMC10151557.</w:t>
      </w:r>
    </w:p>
  </w:footnote>
  <w:footnote w:id="3">
    <w:p w14:paraId="224CD836" w14:textId="3E3D94D5" w:rsidR="00500D68" w:rsidRDefault="00500D68">
      <w:pPr>
        <w:pStyle w:val="FootnoteText"/>
      </w:pPr>
      <w:r>
        <w:rPr>
          <w:rStyle w:val="FootnoteReference"/>
        </w:rPr>
        <w:footnoteRef/>
      </w:r>
      <w:r>
        <w:t xml:space="preserve"> </w:t>
      </w:r>
      <w:r w:rsidR="00AD0111" w:rsidRPr="00AD0111">
        <w:t xml:space="preserve"> </w:t>
      </w:r>
      <w:r w:rsidR="00A25E6E" w:rsidRPr="00A25E6E">
        <w:t>The ‘Delegate’ is the Delegate of the Secretary of the Department of Health and Aged Care who made the final decision to either include the new medicine/indication on the ARTG or reject the submission, under section 25 of the Therapeutic Goods Act</w:t>
      </w:r>
    </w:p>
  </w:footnote>
  <w:footnote w:id="4">
    <w:p w14:paraId="702512D8" w14:textId="41C90008" w:rsidR="007105E8" w:rsidRDefault="007105E8">
      <w:pPr>
        <w:pStyle w:val="FootnoteText"/>
      </w:pPr>
      <w:r>
        <w:rPr>
          <w:rStyle w:val="FootnoteReference"/>
        </w:rPr>
        <w:footnoteRef/>
      </w:r>
      <w:r>
        <w:t xml:space="preserve"> ICH</w:t>
      </w:r>
      <w:r w:rsidRPr="007105E8">
        <w:t xml:space="preserve"> harmonised tripartite guideline</w:t>
      </w:r>
      <w:r>
        <w:t xml:space="preserve"> </w:t>
      </w:r>
      <w:r w:rsidRPr="007105E8">
        <w:t xml:space="preserve">preclinical safety evaluation of biotechnology-derived pharmaceuticals s6(r1) 16 </w:t>
      </w:r>
      <w:r>
        <w:t>J</w:t>
      </w:r>
      <w:r w:rsidRPr="007105E8">
        <w:t>uly 1997</w:t>
      </w:r>
      <w:r>
        <w:t xml:space="preserve">, </w:t>
      </w:r>
      <w:r w:rsidRPr="007105E8">
        <w:t xml:space="preserve">addendum dated 12 </w:t>
      </w:r>
      <w:r>
        <w:t>J</w:t>
      </w:r>
      <w:r w:rsidRPr="007105E8">
        <w:t>une 2011</w:t>
      </w:r>
      <w:r>
        <w:t>. I</w:t>
      </w:r>
      <w:r w:rsidRPr="007105E8">
        <w:t xml:space="preserve">nternational </w:t>
      </w:r>
      <w:r>
        <w:t>C</w:t>
      </w:r>
      <w:r w:rsidRPr="007105E8">
        <w:t xml:space="preserve">onference on </w:t>
      </w:r>
      <w:r>
        <w:t>H</w:t>
      </w:r>
      <w:r w:rsidRPr="007105E8">
        <w:t xml:space="preserve">armonisation of technical requirements for registration of pharmaceuticals for human use </w:t>
      </w:r>
      <w:hyperlink r:id="rId1" w:history="1">
        <w:r w:rsidRPr="00D81EED">
          <w:rPr>
            <w:rStyle w:val="Hyperlink"/>
          </w:rPr>
          <w:t>https://database.ich.org/sites/default/files/S6_R1_Guideline_0.pdf</w:t>
        </w:r>
      </w:hyperlink>
      <w:r>
        <w:t xml:space="preserve"> </w:t>
      </w:r>
    </w:p>
  </w:footnote>
  <w:footnote w:id="5">
    <w:p w14:paraId="511CBF77" w14:textId="77777777" w:rsidR="007105E8" w:rsidRPr="008E5437" w:rsidRDefault="007105E8" w:rsidP="007105E8">
      <w:pPr>
        <w:pStyle w:val="FootnoteText"/>
        <w:rPr>
          <w:sz w:val="16"/>
          <w:szCs w:val="18"/>
        </w:rPr>
      </w:pPr>
      <w:r w:rsidRPr="008E5437">
        <w:rPr>
          <w:rStyle w:val="FootnoteReference"/>
          <w:sz w:val="16"/>
          <w:szCs w:val="18"/>
        </w:rPr>
        <w:footnoteRef/>
      </w:r>
      <w:r w:rsidRPr="008E5437">
        <w:rPr>
          <w:sz w:val="16"/>
          <w:szCs w:val="18"/>
        </w:rPr>
        <w:t xml:space="preserve"> A 5-point scale providing a global clinical assessment of severity ranging from 0 (clear) to 4 (severe).</w:t>
      </w:r>
    </w:p>
  </w:footnote>
  <w:footnote w:id="6">
    <w:p w14:paraId="56EA09E7" w14:textId="77777777" w:rsidR="007105E8" w:rsidRDefault="007105E8" w:rsidP="007105E8">
      <w:pPr>
        <w:pStyle w:val="FootnoteText"/>
      </w:pPr>
      <w:r>
        <w:rPr>
          <w:rStyle w:val="FootnoteReference"/>
        </w:rPr>
        <w:footnoteRef/>
      </w:r>
      <w:r>
        <w:t xml:space="preserve"> </w:t>
      </w:r>
      <w:r>
        <w:rPr>
          <w:rFonts w:asciiTheme="minorHAnsi" w:eastAsiaTheme="minorHAnsi" w:hAnsiTheme="minorHAnsi" w:cs="TimesNewRomanPSMT"/>
          <w:sz w:val="16"/>
          <w:szCs w:val="18"/>
        </w:rPr>
        <w:t>A</w:t>
      </w:r>
      <w:r w:rsidRPr="00986AF8">
        <w:rPr>
          <w:rFonts w:asciiTheme="minorHAnsi" w:eastAsiaTheme="minorHAnsi" w:hAnsiTheme="minorHAnsi" w:cs="TimesNewRomanPSMT"/>
          <w:sz w:val="16"/>
          <w:szCs w:val="18"/>
        </w:rPr>
        <w:t xml:space="preserve"> composite index </w:t>
      </w:r>
      <w:r>
        <w:rPr>
          <w:rFonts w:asciiTheme="minorHAnsi" w:eastAsiaTheme="minorHAnsi" w:hAnsiTheme="minorHAnsi" w:cs="TimesNewRomanPSMT"/>
          <w:sz w:val="16"/>
          <w:szCs w:val="18"/>
        </w:rPr>
        <w:t>measuring the severity of 4 clinical signs at 4 body regions (</w:t>
      </w:r>
      <w:r w:rsidRPr="00986AF8">
        <w:rPr>
          <w:rFonts w:asciiTheme="minorHAnsi" w:eastAsiaTheme="minorHAnsi" w:hAnsiTheme="minorHAnsi" w:cs="TimesNewRomanPSMT"/>
          <w:sz w:val="16"/>
          <w:szCs w:val="18"/>
        </w:rPr>
        <w:t>maximum score of 72, with higher values indicating more severe and/or extensive disease</w:t>
      </w:r>
      <w:r>
        <w:rPr>
          <w:rFonts w:asciiTheme="minorHAnsi" w:eastAsiaTheme="minorHAnsi" w:hAnsiTheme="minorHAnsi" w:cs="TimesNewRomanPSMT"/>
          <w:sz w:val="16"/>
          <w:szCs w:val="18"/>
        </w:rPr>
        <w:t>).</w:t>
      </w:r>
    </w:p>
  </w:footnote>
  <w:footnote w:id="7">
    <w:p w14:paraId="6B8ABC4E" w14:textId="77777777" w:rsidR="007105E8" w:rsidRPr="004224CD" w:rsidRDefault="007105E8" w:rsidP="007105E8">
      <w:pPr>
        <w:pStyle w:val="FootnoteText"/>
        <w:rPr>
          <w:sz w:val="16"/>
          <w:szCs w:val="18"/>
        </w:rPr>
      </w:pPr>
      <w:r w:rsidRPr="004224CD">
        <w:rPr>
          <w:rStyle w:val="FootnoteReference"/>
          <w:sz w:val="16"/>
          <w:szCs w:val="18"/>
        </w:rPr>
        <w:footnoteRef/>
      </w:r>
      <w:r w:rsidRPr="004224CD">
        <w:rPr>
          <w:sz w:val="16"/>
          <w:szCs w:val="18"/>
        </w:rPr>
        <w:t xml:space="preserve"> </w:t>
      </w:r>
      <w:r>
        <w:rPr>
          <w:sz w:val="16"/>
          <w:szCs w:val="18"/>
        </w:rPr>
        <w:t>P</w:t>
      </w:r>
      <w:r w:rsidRPr="004224CD">
        <w:rPr>
          <w:sz w:val="16"/>
          <w:szCs w:val="18"/>
        </w:rPr>
        <w:t xml:space="preserve">atient-reported scale </w:t>
      </w:r>
      <w:r>
        <w:rPr>
          <w:sz w:val="16"/>
          <w:szCs w:val="18"/>
        </w:rPr>
        <w:t xml:space="preserve">of itch severity </w:t>
      </w:r>
      <w:r w:rsidRPr="004224CD">
        <w:rPr>
          <w:sz w:val="16"/>
          <w:szCs w:val="18"/>
        </w:rPr>
        <w:t>from 0 to 10.</w:t>
      </w:r>
    </w:p>
  </w:footnote>
  <w:footnote w:id="8">
    <w:p w14:paraId="4466F0ED" w14:textId="77777777" w:rsidR="007105E8" w:rsidRPr="001528A3" w:rsidRDefault="007105E8" w:rsidP="007105E8">
      <w:pPr>
        <w:pStyle w:val="FootnoteText"/>
        <w:rPr>
          <w:sz w:val="16"/>
          <w:szCs w:val="18"/>
        </w:rPr>
      </w:pPr>
      <w:r w:rsidRPr="001528A3">
        <w:rPr>
          <w:rStyle w:val="FootnoteReference"/>
          <w:sz w:val="16"/>
          <w:szCs w:val="18"/>
        </w:rPr>
        <w:footnoteRef/>
      </w:r>
      <w:r w:rsidRPr="001528A3">
        <w:rPr>
          <w:sz w:val="16"/>
          <w:szCs w:val="18"/>
        </w:rPr>
        <w:t xml:space="preserve"> </w:t>
      </w:r>
      <w:r>
        <w:rPr>
          <w:sz w:val="16"/>
          <w:szCs w:val="18"/>
        </w:rPr>
        <w:t>Pa</w:t>
      </w:r>
      <w:r w:rsidRPr="001528A3">
        <w:rPr>
          <w:sz w:val="16"/>
          <w:szCs w:val="18"/>
        </w:rPr>
        <w:t>tient-reported, 10-ite</w:t>
      </w:r>
      <w:r>
        <w:rPr>
          <w:sz w:val="16"/>
          <w:szCs w:val="18"/>
        </w:rPr>
        <w:t>m</w:t>
      </w:r>
      <w:r w:rsidRPr="001528A3">
        <w:rPr>
          <w:sz w:val="16"/>
          <w:szCs w:val="18"/>
        </w:rPr>
        <w:t>, QoL questionnaire.</w:t>
      </w:r>
    </w:p>
  </w:footnote>
  <w:footnote w:id="9">
    <w:p w14:paraId="3C357FDA" w14:textId="77777777" w:rsidR="007105E8" w:rsidRPr="007D79DE" w:rsidRDefault="007105E8" w:rsidP="007105E8">
      <w:pPr>
        <w:pStyle w:val="FootnoteText"/>
        <w:rPr>
          <w:sz w:val="16"/>
          <w:szCs w:val="18"/>
        </w:rPr>
      </w:pPr>
      <w:r w:rsidRPr="007D79DE">
        <w:rPr>
          <w:rStyle w:val="FootnoteReference"/>
          <w:sz w:val="16"/>
          <w:szCs w:val="18"/>
        </w:rPr>
        <w:footnoteRef/>
      </w:r>
      <w:r w:rsidRPr="007D79DE">
        <w:rPr>
          <w:sz w:val="16"/>
          <w:szCs w:val="18"/>
        </w:rPr>
        <w:t xml:space="preserve"> Patient-reported 5-point scale of sleep loss</w:t>
      </w:r>
      <w:r>
        <w:rPr>
          <w:sz w:val="16"/>
          <w:szCs w:val="18"/>
        </w:rPr>
        <w:t>.</w:t>
      </w:r>
    </w:p>
  </w:footnote>
  <w:footnote w:id="10">
    <w:p w14:paraId="6B769A2C" w14:textId="77777777" w:rsidR="007105E8" w:rsidRPr="003A4BF4" w:rsidRDefault="007105E8" w:rsidP="007105E8">
      <w:pPr>
        <w:pStyle w:val="FootnoteText"/>
        <w:rPr>
          <w:sz w:val="16"/>
          <w:szCs w:val="18"/>
        </w:rPr>
      </w:pPr>
      <w:r w:rsidRPr="003A4BF4">
        <w:rPr>
          <w:rStyle w:val="FootnoteReference"/>
          <w:sz w:val="16"/>
          <w:szCs w:val="18"/>
        </w:rPr>
        <w:footnoteRef/>
      </w:r>
      <w:r w:rsidRPr="003A4BF4">
        <w:rPr>
          <w:sz w:val="16"/>
          <w:szCs w:val="18"/>
        </w:rPr>
        <w:t xml:space="preserve"> Patient-reported, 7-item scale of eczema symptom severity</w:t>
      </w:r>
      <w:r>
        <w:rPr>
          <w:sz w:val="16"/>
          <w:szCs w:val="18"/>
        </w:rPr>
        <w:t>.</w:t>
      </w:r>
    </w:p>
  </w:footnote>
  <w:footnote w:id="11">
    <w:p w14:paraId="40056ADE" w14:textId="77777777" w:rsidR="007105E8" w:rsidRPr="006B10FA" w:rsidRDefault="007105E8" w:rsidP="007105E8">
      <w:pPr>
        <w:pStyle w:val="FootnoteText"/>
      </w:pPr>
      <w:r w:rsidRPr="006B10FA">
        <w:rPr>
          <w:rStyle w:val="FootnoteReference"/>
        </w:rPr>
        <w:footnoteRef/>
      </w:r>
      <w:r w:rsidRPr="006B10FA">
        <w:t xml:space="preserve"> </w:t>
      </w:r>
      <w:r w:rsidRPr="006B10FA">
        <w:rPr>
          <w:rFonts w:eastAsiaTheme="minorHAnsi" w:cs="TimesNewRomanPSMT"/>
          <w:sz w:val="16"/>
          <w:szCs w:val="18"/>
        </w:rPr>
        <w:t xml:space="preserve">The protocol-defined Week 16 response criteria were EASI 75 or IGA 0 or 1 with a ≥ 2-point improvement from baseline.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0C7ABC"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5224A"/>
    <w:multiLevelType w:val="hybridMultilevel"/>
    <w:tmpl w:val="414C6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E51A7C"/>
    <w:multiLevelType w:val="hybridMultilevel"/>
    <w:tmpl w:val="67D48F1A"/>
    <w:lvl w:ilvl="0" w:tplc="F2F8CA2A">
      <w:numFmt w:val="bullet"/>
      <w:lvlText w:val="•"/>
      <w:lvlJc w:val="left"/>
      <w:pPr>
        <w:ind w:left="1080" w:hanging="720"/>
      </w:pPr>
      <w:rPr>
        <w:rFonts w:ascii="Cambria" w:eastAsia="SymbolMT" w:hAnsi="Cambria" w:cs="Symbo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7"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236FCE"/>
    <w:multiLevelType w:val="hybridMultilevel"/>
    <w:tmpl w:val="0E0C4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2EC572B8"/>
    <w:multiLevelType w:val="hybridMultilevel"/>
    <w:tmpl w:val="BB86A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BE2EDB"/>
    <w:multiLevelType w:val="hybridMultilevel"/>
    <w:tmpl w:val="6FC2D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190175E"/>
    <w:multiLevelType w:val="hybridMultilevel"/>
    <w:tmpl w:val="55F02E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295593"/>
    <w:multiLevelType w:val="hybridMultilevel"/>
    <w:tmpl w:val="5F549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902D0E"/>
    <w:multiLevelType w:val="hybridMultilevel"/>
    <w:tmpl w:val="318C5636"/>
    <w:lvl w:ilvl="0" w:tplc="C9AC57F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364F68"/>
    <w:multiLevelType w:val="hybridMultilevel"/>
    <w:tmpl w:val="1B865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7"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9"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2" w15:restartNumberingAfterBreak="0">
    <w:nsid w:val="5AD3156A"/>
    <w:multiLevelType w:val="hybridMultilevel"/>
    <w:tmpl w:val="75768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E1248D"/>
    <w:multiLevelType w:val="hybridMultilevel"/>
    <w:tmpl w:val="15560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67576E"/>
    <w:multiLevelType w:val="hybridMultilevel"/>
    <w:tmpl w:val="E0187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5"/>
  </w:num>
  <w:num w:numId="2" w16cid:durableId="1856573705">
    <w:abstractNumId w:val="2"/>
  </w:num>
  <w:num w:numId="3" w16cid:durableId="357703499">
    <w:abstractNumId w:val="4"/>
  </w:num>
  <w:num w:numId="4" w16cid:durableId="1869176708">
    <w:abstractNumId w:val="20"/>
  </w:num>
  <w:num w:numId="5" w16cid:durableId="1652950129">
    <w:abstractNumId w:val="9"/>
  </w:num>
  <w:num w:numId="6" w16cid:durableId="1053193207">
    <w:abstractNumId w:val="18"/>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9"/>
  </w:num>
  <w:num w:numId="9" w16cid:durableId="173421270">
    <w:abstractNumId w:val="3"/>
  </w:num>
  <w:num w:numId="10" w16cid:durableId="2108043357">
    <w:abstractNumId w:val="6"/>
  </w:num>
  <w:num w:numId="11" w16cid:durableId="1725904230">
    <w:abstractNumId w:val="16"/>
  </w:num>
  <w:num w:numId="12" w16cid:durableId="141579354">
    <w:abstractNumId w:val="21"/>
  </w:num>
  <w:num w:numId="13" w16cid:durableId="283735081">
    <w:abstractNumId w:val="25"/>
  </w:num>
  <w:num w:numId="14" w16cid:durableId="8457137">
    <w:abstractNumId w:val="13"/>
  </w:num>
  <w:num w:numId="15" w16cid:durableId="1846434600">
    <w:abstractNumId w:val="22"/>
  </w:num>
  <w:num w:numId="16" w16cid:durableId="2010448723">
    <w:abstractNumId w:val="10"/>
  </w:num>
  <w:num w:numId="17" w16cid:durableId="6948790">
    <w:abstractNumId w:val="23"/>
  </w:num>
  <w:num w:numId="18" w16cid:durableId="1638996621">
    <w:abstractNumId w:val="14"/>
  </w:num>
  <w:num w:numId="19" w16cid:durableId="390154354">
    <w:abstractNumId w:val="24"/>
  </w:num>
  <w:num w:numId="20" w16cid:durableId="407457806">
    <w:abstractNumId w:val="17"/>
  </w:num>
  <w:num w:numId="21" w16cid:durableId="1051541193">
    <w:abstractNumId w:val="11"/>
  </w:num>
  <w:num w:numId="22" w16cid:durableId="1220557761">
    <w:abstractNumId w:val="7"/>
  </w:num>
  <w:num w:numId="23" w16cid:durableId="280697323">
    <w:abstractNumId w:val="1"/>
  </w:num>
  <w:num w:numId="24" w16cid:durableId="906501982">
    <w:abstractNumId w:val="0"/>
  </w:num>
  <w:num w:numId="25" w16cid:durableId="1533499695">
    <w:abstractNumId w:val="12"/>
  </w:num>
  <w:num w:numId="26" w16cid:durableId="1695494444">
    <w:abstractNumId w:val="8"/>
  </w:num>
  <w:num w:numId="27" w16cid:durableId="1507536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1E0D"/>
    <w:rsid w:val="00004431"/>
    <w:rsid w:val="00005062"/>
    <w:rsid w:val="0001064C"/>
    <w:rsid w:val="0001384A"/>
    <w:rsid w:val="000243DD"/>
    <w:rsid w:val="00032A0F"/>
    <w:rsid w:val="00040D8D"/>
    <w:rsid w:val="00046423"/>
    <w:rsid w:val="0006104E"/>
    <w:rsid w:val="000640BD"/>
    <w:rsid w:val="00065839"/>
    <w:rsid w:val="00065FDF"/>
    <w:rsid w:val="00077844"/>
    <w:rsid w:val="00082832"/>
    <w:rsid w:val="00090510"/>
    <w:rsid w:val="0009070F"/>
    <w:rsid w:val="000917AE"/>
    <w:rsid w:val="000948B6"/>
    <w:rsid w:val="00094B81"/>
    <w:rsid w:val="000975AA"/>
    <w:rsid w:val="000A0C74"/>
    <w:rsid w:val="000A41D9"/>
    <w:rsid w:val="000B1BC5"/>
    <w:rsid w:val="000B65A3"/>
    <w:rsid w:val="000B6B15"/>
    <w:rsid w:val="000C25A7"/>
    <w:rsid w:val="000C6207"/>
    <w:rsid w:val="000C7ABC"/>
    <w:rsid w:val="000D78EC"/>
    <w:rsid w:val="000D7934"/>
    <w:rsid w:val="000E2597"/>
    <w:rsid w:val="000E4642"/>
    <w:rsid w:val="000E6746"/>
    <w:rsid w:val="000F44E8"/>
    <w:rsid w:val="000F5A96"/>
    <w:rsid w:val="000F7B51"/>
    <w:rsid w:val="00101BEE"/>
    <w:rsid w:val="00101CE6"/>
    <w:rsid w:val="00101FB1"/>
    <w:rsid w:val="0010558A"/>
    <w:rsid w:val="001101FF"/>
    <w:rsid w:val="00113F9F"/>
    <w:rsid w:val="001211BC"/>
    <w:rsid w:val="0012473C"/>
    <w:rsid w:val="00126DB2"/>
    <w:rsid w:val="00127959"/>
    <w:rsid w:val="00127A74"/>
    <w:rsid w:val="0013132F"/>
    <w:rsid w:val="0013306D"/>
    <w:rsid w:val="0013528C"/>
    <w:rsid w:val="001442A2"/>
    <w:rsid w:val="001468CA"/>
    <w:rsid w:val="001500A8"/>
    <w:rsid w:val="00155D85"/>
    <w:rsid w:val="001569E4"/>
    <w:rsid w:val="0016439C"/>
    <w:rsid w:val="00165D28"/>
    <w:rsid w:val="00166F04"/>
    <w:rsid w:val="0017005C"/>
    <w:rsid w:val="00170ADC"/>
    <w:rsid w:val="001757E5"/>
    <w:rsid w:val="00175CD8"/>
    <w:rsid w:val="0018055F"/>
    <w:rsid w:val="00182BD8"/>
    <w:rsid w:val="001A26EE"/>
    <w:rsid w:val="001A3B69"/>
    <w:rsid w:val="001A76F9"/>
    <w:rsid w:val="001B06FF"/>
    <w:rsid w:val="001B1703"/>
    <w:rsid w:val="001B32B7"/>
    <w:rsid w:val="001B4EE9"/>
    <w:rsid w:val="001C0B7F"/>
    <w:rsid w:val="001C1C2E"/>
    <w:rsid w:val="001C31A1"/>
    <w:rsid w:val="001C3FA2"/>
    <w:rsid w:val="001C5EE2"/>
    <w:rsid w:val="001D0077"/>
    <w:rsid w:val="001E407B"/>
    <w:rsid w:val="001E7FC6"/>
    <w:rsid w:val="001F2502"/>
    <w:rsid w:val="001F5B03"/>
    <w:rsid w:val="001F70A5"/>
    <w:rsid w:val="0020235D"/>
    <w:rsid w:val="00202ABA"/>
    <w:rsid w:val="0020369B"/>
    <w:rsid w:val="00207B4D"/>
    <w:rsid w:val="002117B1"/>
    <w:rsid w:val="00217CCE"/>
    <w:rsid w:val="002203B1"/>
    <w:rsid w:val="00226F39"/>
    <w:rsid w:val="002334AD"/>
    <w:rsid w:val="00241B60"/>
    <w:rsid w:val="0025785B"/>
    <w:rsid w:val="00257969"/>
    <w:rsid w:val="0027575B"/>
    <w:rsid w:val="00280048"/>
    <w:rsid w:val="0028489E"/>
    <w:rsid w:val="002848DE"/>
    <w:rsid w:val="00284E9F"/>
    <w:rsid w:val="00286237"/>
    <w:rsid w:val="0028794E"/>
    <w:rsid w:val="002A5841"/>
    <w:rsid w:val="002B0484"/>
    <w:rsid w:val="002B0BED"/>
    <w:rsid w:val="002B1EDF"/>
    <w:rsid w:val="002B2061"/>
    <w:rsid w:val="002C1232"/>
    <w:rsid w:val="002C1E44"/>
    <w:rsid w:val="002C5C92"/>
    <w:rsid w:val="002C5E29"/>
    <w:rsid w:val="002D0478"/>
    <w:rsid w:val="002D7127"/>
    <w:rsid w:val="002E378E"/>
    <w:rsid w:val="002E6278"/>
    <w:rsid w:val="002E65A0"/>
    <w:rsid w:val="002F599E"/>
    <w:rsid w:val="003008D8"/>
    <w:rsid w:val="00301D9A"/>
    <w:rsid w:val="00303959"/>
    <w:rsid w:val="00306E72"/>
    <w:rsid w:val="00312AC3"/>
    <w:rsid w:val="00314430"/>
    <w:rsid w:val="003163BC"/>
    <w:rsid w:val="0032351A"/>
    <w:rsid w:val="00324B33"/>
    <w:rsid w:val="00327488"/>
    <w:rsid w:val="00336FE1"/>
    <w:rsid w:val="00342D56"/>
    <w:rsid w:val="003456E7"/>
    <w:rsid w:val="00346EC2"/>
    <w:rsid w:val="003477F9"/>
    <w:rsid w:val="003479A4"/>
    <w:rsid w:val="0035444D"/>
    <w:rsid w:val="00356D62"/>
    <w:rsid w:val="003572E7"/>
    <w:rsid w:val="00363EE3"/>
    <w:rsid w:val="003735F3"/>
    <w:rsid w:val="00374729"/>
    <w:rsid w:val="00387298"/>
    <w:rsid w:val="00387631"/>
    <w:rsid w:val="00387984"/>
    <w:rsid w:val="00395140"/>
    <w:rsid w:val="003A2422"/>
    <w:rsid w:val="003B149C"/>
    <w:rsid w:val="003B6302"/>
    <w:rsid w:val="003C0FDB"/>
    <w:rsid w:val="003C1192"/>
    <w:rsid w:val="003C55E2"/>
    <w:rsid w:val="003C63D5"/>
    <w:rsid w:val="003C7AA8"/>
    <w:rsid w:val="003D71A1"/>
    <w:rsid w:val="003F48BD"/>
    <w:rsid w:val="003F5B65"/>
    <w:rsid w:val="00403785"/>
    <w:rsid w:val="0041688F"/>
    <w:rsid w:val="0042376F"/>
    <w:rsid w:val="004246B8"/>
    <w:rsid w:val="004248F1"/>
    <w:rsid w:val="00433318"/>
    <w:rsid w:val="00442A56"/>
    <w:rsid w:val="004444B0"/>
    <w:rsid w:val="0045060B"/>
    <w:rsid w:val="004626FF"/>
    <w:rsid w:val="004658FE"/>
    <w:rsid w:val="00470A52"/>
    <w:rsid w:val="00471BD5"/>
    <w:rsid w:val="00477C4E"/>
    <w:rsid w:val="00477F07"/>
    <w:rsid w:val="00481503"/>
    <w:rsid w:val="00481D12"/>
    <w:rsid w:val="004854A6"/>
    <w:rsid w:val="0048626B"/>
    <w:rsid w:val="00491A55"/>
    <w:rsid w:val="00494C3E"/>
    <w:rsid w:val="00496592"/>
    <w:rsid w:val="00497DF1"/>
    <w:rsid w:val="004A318E"/>
    <w:rsid w:val="004A57E8"/>
    <w:rsid w:val="004B3081"/>
    <w:rsid w:val="004B3EF2"/>
    <w:rsid w:val="004B4A09"/>
    <w:rsid w:val="004B53DF"/>
    <w:rsid w:val="004C41CE"/>
    <w:rsid w:val="004C631B"/>
    <w:rsid w:val="004D0829"/>
    <w:rsid w:val="004D1AE7"/>
    <w:rsid w:val="004D2F00"/>
    <w:rsid w:val="004D31D8"/>
    <w:rsid w:val="004D480D"/>
    <w:rsid w:val="004D5388"/>
    <w:rsid w:val="004E2269"/>
    <w:rsid w:val="004E7F16"/>
    <w:rsid w:val="004F18EC"/>
    <w:rsid w:val="004F4B65"/>
    <w:rsid w:val="00500D68"/>
    <w:rsid w:val="00524143"/>
    <w:rsid w:val="0053377D"/>
    <w:rsid w:val="00535DFE"/>
    <w:rsid w:val="005363DC"/>
    <w:rsid w:val="005373B5"/>
    <w:rsid w:val="00537AB7"/>
    <w:rsid w:val="0054669B"/>
    <w:rsid w:val="005610D1"/>
    <w:rsid w:val="00562F42"/>
    <w:rsid w:val="00565739"/>
    <w:rsid w:val="0056766D"/>
    <w:rsid w:val="00575215"/>
    <w:rsid w:val="0058575E"/>
    <w:rsid w:val="0058783C"/>
    <w:rsid w:val="005911AE"/>
    <w:rsid w:val="005926E2"/>
    <w:rsid w:val="0059313A"/>
    <w:rsid w:val="005A0B04"/>
    <w:rsid w:val="005A54EA"/>
    <w:rsid w:val="005B023F"/>
    <w:rsid w:val="005B02A2"/>
    <w:rsid w:val="005B1417"/>
    <w:rsid w:val="005B535E"/>
    <w:rsid w:val="005B69CF"/>
    <w:rsid w:val="005B7DB8"/>
    <w:rsid w:val="005C3F07"/>
    <w:rsid w:val="005C45DB"/>
    <w:rsid w:val="005C4B46"/>
    <w:rsid w:val="005C5DC5"/>
    <w:rsid w:val="005D2089"/>
    <w:rsid w:val="005D7514"/>
    <w:rsid w:val="005E0FC6"/>
    <w:rsid w:val="005E1A7B"/>
    <w:rsid w:val="005E231F"/>
    <w:rsid w:val="00602D6E"/>
    <w:rsid w:val="00605C05"/>
    <w:rsid w:val="00607840"/>
    <w:rsid w:val="00611351"/>
    <w:rsid w:val="0061217D"/>
    <w:rsid w:val="006277A1"/>
    <w:rsid w:val="00633BD7"/>
    <w:rsid w:val="00634580"/>
    <w:rsid w:val="00634884"/>
    <w:rsid w:val="006351D9"/>
    <w:rsid w:val="00637130"/>
    <w:rsid w:val="00637F0E"/>
    <w:rsid w:val="006423F2"/>
    <w:rsid w:val="00650234"/>
    <w:rsid w:val="0066044B"/>
    <w:rsid w:val="00660D9D"/>
    <w:rsid w:val="006630AA"/>
    <w:rsid w:val="00663544"/>
    <w:rsid w:val="00666539"/>
    <w:rsid w:val="00666911"/>
    <w:rsid w:val="00672AAF"/>
    <w:rsid w:val="00675F81"/>
    <w:rsid w:val="0067671A"/>
    <w:rsid w:val="0068143E"/>
    <w:rsid w:val="0068507D"/>
    <w:rsid w:val="00691AF2"/>
    <w:rsid w:val="00692B80"/>
    <w:rsid w:val="00692CCD"/>
    <w:rsid w:val="00692D51"/>
    <w:rsid w:val="00694DD7"/>
    <w:rsid w:val="0069636B"/>
    <w:rsid w:val="006A1762"/>
    <w:rsid w:val="006A1F0B"/>
    <w:rsid w:val="006A277A"/>
    <w:rsid w:val="006A33B1"/>
    <w:rsid w:val="006A5973"/>
    <w:rsid w:val="006B10FA"/>
    <w:rsid w:val="006B7126"/>
    <w:rsid w:val="006B7659"/>
    <w:rsid w:val="006C6B86"/>
    <w:rsid w:val="006D4553"/>
    <w:rsid w:val="006D4A35"/>
    <w:rsid w:val="006D6B44"/>
    <w:rsid w:val="006D6FD0"/>
    <w:rsid w:val="006E25D1"/>
    <w:rsid w:val="006E27FE"/>
    <w:rsid w:val="006E5360"/>
    <w:rsid w:val="00701110"/>
    <w:rsid w:val="00701E7E"/>
    <w:rsid w:val="00702E91"/>
    <w:rsid w:val="0070330F"/>
    <w:rsid w:val="00703624"/>
    <w:rsid w:val="007046ED"/>
    <w:rsid w:val="007072A1"/>
    <w:rsid w:val="007076FA"/>
    <w:rsid w:val="007105E8"/>
    <w:rsid w:val="00710BC5"/>
    <w:rsid w:val="007121CA"/>
    <w:rsid w:val="00715AAC"/>
    <w:rsid w:val="0072003B"/>
    <w:rsid w:val="00721059"/>
    <w:rsid w:val="007211E6"/>
    <w:rsid w:val="007220C4"/>
    <w:rsid w:val="00732361"/>
    <w:rsid w:val="007357B9"/>
    <w:rsid w:val="00741AB9"/>
    <w:rsid w:val="00742D03"/>
    <w:rsid w:val="00744216"/>
    <w:rsid w:val="007452E8"/>
    <w:rsid w:val="00746990"/>
    <w:rsid w:val="00747093"/>
    <w:rsid w:val="00750D70"/>
    <w:rsid w:val="007575D0"/>
    <w:rsid w:val="007662E0"/>
    <w:rsid w:val="00776E9C"/>
    <w:rsid w:val="007816D8"/>
    <w:rsid w:val="00784150"/>
    <w:rsid w:val="00784D94"/>
    <w:rsid w:val="00791016"/>
    <w:rsid w:val="00793272"/>
    <w:rsid w:val="0079499A"/>
    <w:rsid w:val="00794B64"/>
    <w:rsid w:val="007967C3"/>
    <w:rsid w:val="007A0A33"/>
    <w:rsid w:val="007B04DE"/>
    <w:rsid w:val="007B0AE6"/>
    <w:rsid w:val="007C0F0B"/>
    <w:rsid w:val="007C57BC"/>
    <w:rsid w:val="007D04CA"/>
    <w:rsid w:val="007D0A2B"/>
    <w:rsid w:val="007D12A1"/>
    <w:rsid w:val="007D40E5"/>
    <w:rsid w:val="007D4138"/>
    <w:rsid w:val="007E4178"/>
    <w:rsid w:val="007F0A77"/>
    <w:rsid w:val="007F1E37"/>
    <w:rsid w:val="007F50D3"/>
    <w:rsid w:val="007F6B1F"/>
    <w:rsid w:val="00804897"/>
    <w:rsid w:val="00820A97"/>
    <w:rsid w:val="008329DB"/>
    <w:rsid w:val="008361C5"/>
    <w:rsid w:val="0083628F"/>
    <w:rsid w:val="00837AB9"/>
    <w:rsid w:val="00850637"/>
    <w:rsid w:val="00850971"/>
    <w:rsid w:val="00851999"/>
    <w:rsid w:val="008547B2"/>
    <w:rsid w:val="00854D98"/>
    <w:rsid w:val="0085751E"/>
    <w:rsid w:val="00860B29"/>
    <w:rsid w:val="008622E8"/>
    <w:rsid w:val="008645EE"/>
    <w:rsid w:val="00865176"/>
    <w:rsid w:val="00870144"/>
    <w:rsid w:val="00873D7A"/>
    <w:rsid w:val="00877CB3"/>
    <w:rsid w:val="008804CF"/>
    <w:rsid w:val="00882D58"/>
    <w:rsid w:val="00882F19"/>
    <w:rsid w:val="00883D35"/>
    <w:rsid w:val="00884569"/>
    <w:rsid w:val="00887A51"/>
    <w:rsid w:val="00890D9B"/>
    <w:rsid w:val="00891C6C"/>
    <w:rsid w:val="00893CCD"/>
    <w:rsid w:val="008964B3"/>
    <w:rsid w:val="008B1CB5"/>
    <w:rsid w:val="008B68FC"/>
    <w:rsid w:val="008C1981"/>
    <w:rsid w:val="008C2D69"/>
    <w:rsid w:val="008C49C6"/>
    <w:rsid w:val="008C754C"/>
    <w:rsid w:val="008D2D75"/>
    <w:rsid w:val="008D56C9"/>
    <w:rsid w:val="008D6A54"/>
    <w:rsid w:val="008E2585"/>
    <w:rsid w:val="008E2D7A"/>
    <w:rsid w:val="008E4C7D"/>
    <w:rsid w:val="008F0FC6"/>
    <w:rsid w:val="008F3215"/>
    <w:rsid w:val="008F4A62"/>
    <w:rsid w:val="008F668B"/>
    <w:rsid w:val="008F7256"/>
    <w:rsid w:val="0090054A"/>
    <w:rsid w:val="009016C2"/>
    <w:rsid w:val="0090424C"/>
    <w:rsid w:val="009051B7"/>
    <w:rsid w:val="0090605E"/>
    <w:rsid w:val="009108CE"/>
    <w:rsid w:val="00912940"/>
    <w:rsid w:val="00915A9F"/>
    <w:rsid w:val="00930D58"/>
    <w:rsid w:val="00935AAA"/>
    <w:rsid w:val="0095031E"/>
    <w:rsid w:val="00954297"/>
    <w:rsid w:val="009551A0"/>
    <w:rsid w:val="00960A56"/>
    <w:rsid w:val="00966EF1"/>
    <w:rsid w:val="00967223"/>
    <w:rsid w:val="009751F7"/>
    <w:rsid w:val="0098350E"/>
    <w:rsid w:val="009935FC"/>
    <w:rsid w:val="0099404F"/>
    <w:rsid w:val="00996FA5"/>
    <w:rsid w:val="009B5662"/>
    <w:rsid w:val="009C2211"/>
    <w:rsid w:val="009C40E8"/>
    <w:rsid w:val="009C45C5"/>
    <w:rsid w:val="009E2845"/>
    <w:rsid w:val="009E6858"/>
    <w:rsid w:val="009E6F8C"/>
    <w:rsid w:val="009F0054"/>
    <w:rsid w:val="009F405F"/>
    <w:rsid w:val="00A01C3F"/>
    <w:rsid w:val="00A01C56"/>
    <w:rsid w:val="00A05E1A"/>
    <w:rsid w:val="00A202DD"/>
    <w:rsid w:val="00A25E6E"/>
    <w:rsid w:val="00A32C50"/>
    <w:rsid w:val="00A358E7"/>
    <w:rsid w:val="00A4380B"/>
    <w:rsid w:val="00A51A2D"/>
    <w:rsid w:val="00A5451A"/>
    <w:rsid w:val="00A5596B"/>
    <w:rsid w:val="00A63C07"/>
    <w:rsid w:val="00A63D9B"/>
    <w:rsid w:val="00A6545C"/>
    <w:rsid w:val="00A704DC"/>
    <w:rsid w:val="00A93DC6"/>
    <w:rsid w:val="00A9411A"/>
    <w:rsid w:val="00AA20F3"/>
    <w:rsid w:val="00AA4A4B"/>
    <w:rsid w:val="00AA6682"/>
    <w:rsid w:val="00AB0613"/>
    <w:rsid w:val="00AB7C5C"/>
    <w:rsid w:val="00AB7CBF"/>
    <w:rsid w:val="00AC7EC4"/>
    <w:rsid w:val="00AD0111"/>
    <w:rsid w:val="00AD421B"/>
    <w:rsid w:val="00AD4C72"/>
    <w:rsid w:val="00AD4CB7"/>
    <w:rsid w:val="00AD5451"/>
    <w:rsid w:val="00AE1947"/>
    <w:rsid w:val="00AE4680"/>
    <w:rsid w:val="00AF1C8B"/>
    <w:rsid w:val="00AF299B"/>
    <w:rsid w:val="00AF7E43"/>
    <w:rsid w:val="00B02AE0"/>
    <w:rsid w:val="00B05326"/>
    <w:rsid w:val="00B061C4"/>
    <w:rsid w:val="00B14545"/>
    <w:rsid w:val="00B14E60"/>
    <w:rsid w:val="00B17BA2"/>
    <w:rsid w:val="00B207E4"/>
    <w:rsid w:val="00B26DC3"/>
    <w:rsid w:val="00B30B9D"/>
    <w:rsid w:val="00B37FB4"/>
    <w:rsid w:val="00B44E68"/>
    <w:rsid w:val="00B4574D"/>
    <w:rsid w:val="00B468E1"/>
    <w:rsid w:val="00B46BC0"/>
    <w:rsid w:val="00B46DFB"/>
    <w:rsid w:val="00B47DBB"/>
    <w:rsid w:val="00B5141B"/>
    <w:rsid w:val="00B53679"/>
    <w:rsid w:val="00B544BB"/>
    <w:rsid w:val="00B55681"/>
    <w:rsid w:val="00B57AAD"/>
    <w:rsid w:val="00B612B2"/>
    <w:rsid w:val="00B62913"/>
    <w:rsid w:val="00B72B16"/>
    <w:rsid w:val="00B80408"/>
    <w:rsid w:val="00B80D2A"/>
    <w:rsid w:val="00B81397"/>
    <w:rsid w:val="00B925DB"/>
    <w:rsid w:val="00B967FF"/>
    <w:rsid w:val="00B974B9"/>
    <w:rsid w:val="00BA3F6D"/>
    <w:rsid w:val="00BA4BE6"/>
    <w:rsid w:val="00BA4FC0"/>
    <w:rsid w:val="00BA61E0"/>
    <w:rsid w:val="00BA7F7D"/>
    <w:rsid w:val="00BB1C14"/>
    <w:rsid w:val="00BB6847"/>
    <w:rsid w:val="00BB7F8F"/>
    <w:rsid w:val="00BC716A"/>
    <w:rsid w:val="00BD07DF"/>
    <w:rsid w:val="00BD26F4"/>
    <w:rsid w:val="00BD5DBD"/>
    <w:rsid w:val="00BD5DF6"/>
    <w:rsid w:val="00BE0041"/>
    <w:rsid w:val="00BE229E"/>
    <w:rsid w:val="00BE640F"/>
    <w:rsid w:val="00BF38F0"/>
    <w:rsid w:val="00BF4638"/>
    <w:rsid w:val="00C059D0"/>
    <w:rsid w:val="00C07551"/>
    <w:rsid w:val="00C1109F"/>
    <w:rsid w:val="00C12D65"/>
    <w:rsid w:val="00C133AB"/>
    <w:rsid w:val="00C20B56"/>
    <w:rsid w:val="00C22214"/>
    <w:rsid w:val="00C26F72"/>
    <w:rsid w:val="00C309A7"/>
    <w:rsid w:val="00C335AB"/>
    <w:rsid w:val="00C407AB"/>
    <w:rsid w:val="00C466C3"/>
    <w:rsid w:val="00C52B7B"/>
    <w:rsid w:val="00C547CD"/>
    <w:rsid w:val="00C570FF"/>
    <w:rsid w:val="00C57CEA"/>
    <w:rsid w:val="00C60FEC"/>
    <w:rsid w:val="00C6574E"/>
    <w:rsid w:val="00C707FD"/>
    <w:rsid w:val="00C74C6E"/>
    <w:rsid w:val="00C76DEB"/>
    <w:rsid w:val="00C816C6"/>
    <w:rsid w:val="00C863A7"/>
    <w:rsid w:val="00C912F4"/>
    <w:rsid w:val="00C9153D"/>
    <w:rsid w:val="00C9156F"/>
    <w:rsid w:val="00C9581A"/>
    <w:rsid w:val="00C97D29"/>
    <w:rsid w:val="00CB0550"/>
    <w:rsid w:val="00CB6813"/>
    <w:rsid w:val="00CC393D"/>
    <w:rsid w:val="00CC49CF"/>
    <w:rsid w:val="00CE1ABA"/>
    <w:rsid w:val="00CF53EB"/>
    <w:rsid w:val="00CF6A55"/>
    <w:rsid w:val="00CF6DC6"/>
    <w:rsid w:val="00CF6DCF"/>
    <w:rsid w:val="00CF7252"/>
    <w:rsid w:val="00D01DDB"/>
    <w:rsid w:val="00D078BE"/>
    <w:rsid w:val="00D13F8A"/>
    <w:rsid w:val="00D16F60"/>
    <w:rsid w:val="00D173E4"/>
    <w:rsid w:val="00D22981"/>
    <w:rsid w:val="00D2553C"/>
    <w:rsid w:val="00D3349B"/>
    <w:rsid w:val="00D424A8"/>
    <w:rsid w:val="00D6036F"/>
    <w:rsid w:val="00D62877"/>
    <w:rsid w:val="00D63760"/>
    <w:rsid w:val="00D6703F"/>
    <w:rsid w:val="00D67706"/>
    <w:rsid w:val="00D734EB"/>
    <w:rsid w:val="00D82713"/>
    <w:rsid w:val="00D86F00"/>
    <w:rsid w:val="00D916C9"/>
    <w:rsid w:val="00D918D5"/>
    <w:rsid w:val="00D94C8E"/>
    <w:rsid w:val="00DA48E1"/>
    <w:rsid w:val="00DB1372"/>
    <w:rsid w:val="00DB192C"/>
    <w:rsid w:val="00DB1CF3"/>
    <w:rsid w:val="00DB5425"/>
    <w:rsid w:val="00DB72A6"/>
    <w:rsid w:val="00DC6611"/>
    <w:rsid w:val="00DE1344"/>
    <w:rsid w:val="00DE17B7"/>
    <w:rsid w:val="00DE608A"/>
    <w:rsid w:val="00DF5BFE"/>
    <w:rsid w:val="00DF68FE"/>
    <w:rsid w:val="00DF71BE"/>
    <w:rsid w:val="00E0523F"/>
    <w:rsid w:val="00E079A6"/>
    <w:rsid w:val="00E10F26"/>
    <w:rsid w:val="00E22C04"/>
    <w:rsid w:val="00E23E50"/>
    <w:rsid w:val="00E26213"/>
    <w:rsid w:val="00E274DF"/>
    <w:rsid w:val="00E31A84"/>
    <w:rsid w:val="00E34D66"/>
    <w:rsid w:val="00E362C4"/>
    <w:rsid w:val="00E4590E"/>
    <w:rsid w:val="00E46CC2"/>
    <w:rsid w:val="00E47E0C"/>
    <w:rsid w:val="00E51813"/>
    <w:rsid w:val="00E52C0B"/>
    <w:rsid w:val="00E53D3F"/>
    <w:rsid w:val="00E5579B"/>
    <w:rsid w:val="00E57FF4"/>
    <w:rsid w:val="00E66F7F"/>
    <w:rsid w:val="00E679D1"/>
    <w:rsid w:val="00E67C1C"/>
    <w:rsid w:val="00E91F11"/>
    <w:rsid w:val="00E9706D"/>
    <w:rsid w:val="00EA1E8C"/>
    <w:rsid w:val="00EA328A"/>
    <w:rsid w:val="00EA3AF4"/>
    <w:rsid w:val="00EB0FDA"/>
    <w:rsid w:val="00EB765F"/>
    <w:rsid w:val="00EC0AC4"/>
    <w:rsid w:val="00EF3F0B"/>
    <w:rsid w:val="00EF5583"/>
    <w:rsid w:val="00F0289D"/>
    <w:rsid w:val="00F02AEC"/>
    <w:rsid w:val="00F07572"/>
    <w:rsid w:val="00F157FC"/>
    <w:rsid w:val="00F30AF3"/>
    <w:rsid w:val="00F376D5"/>
    <w:rsid w:val="00F40079"/>
    <w:rsid w:val="00F432DB"/>
    <w:rsid w:val="00F43CD1"/>
    <w:rsid w:val="00F45AE0"/>
    <w:rsid w:val="00F516F7"/>
    <w:rsid w:val="00F60CF2"/>
    <w:rsid w:val="00F657B4"/>
    <w:rsid w:val="00F705BD"/>
    <w:rsid w:val="00F7649F"/>
    <w:rsid w:val="00F766C4"/>
    <w:rsid w:val="00F8083B"/>
    <w:rsid w:val="00F840FB"/>
    <w:rsid w:val="00F865A7"/>
    <w:rsid w:val="00F92527"/>
    <w:rsid w:val="00F956CF"/>
    <w:rsid w:val="00FA0754"/>
    <w:rsid w:val="00FA1BC9"/>
    <w:rsid w:val="00FA49C3"/>
    <w:rsid w:val="00FB236E"/>
    <w:rsid w:val="00FB3F7B"/>
    <w:rsid w:val="00FB4C2A"/>
    <w:rsid w:val="00FB5A54"/>
    <w:rsid w:val="00FC2107"/>
    <w:rsid w:val="00FC48FE"/>
    <w:rsid w:val="00FC6F56"/>
    <w:rsid w:val="00FE087C"/>
    <w:rsid w:val="00FE79A0"/>
    <w:rsid w:val="00FF0939"/>
    <w:rsid w:val="00FF57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Heading2"/>
    <w:next w:val="Normal"/>
    <w:link w:val="Heading1Char"/>
    <w:qFormat/>
    <w:rsid w:val="007105E8"/>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qFormat/>
    <w:rsid w:val="007105E8"/>
    <w:pPr>
      <w:keepNext/>
      <w:spacing w:before="120" w:after="60" w:line="180" w:lineRule="atLeast"/>
      <w:outlineLvl w:val="6"/>
    </w:pPr>
    <w:rPr>
      <w:rFonts w:eastAsia="Times New Roman" w:cs="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qFormat/>
    <w:rsid w:val="00FC6F56"/>
    <w:pPr>
      <w:numPr>
        <w:numId w:val="2"/>
      </w:numPr>
    </w:pPr>
  </w:style>
  <w:style w:type="paragraph" w:customStyle="1" w:styleId="Numberbullet2">
    <w:name w:val="Number bullet 2"/>
    <w:basedOn w:val="ListBullet2"/>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CF53EB"/>
    <w:pPr>
      <w:keepNext/>
    </w:pPr>
    <w:rPr>
      <w:b/>
    </w:rPr>
  </w:style>
  <w:style w:type="paragraph" w:styleId="Caption">
    <w:name w:val="caption"/>
    <w:basedOn w:val="Normal"/>
    <w:next w:val="Normal"/>
    <w:link w:val="CaptionChar"/>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autoRedefine/>
    <w:uiPriority w:val="34"/>
    <w:qFormat/>
    <w:rsid w:val="00524143"/>
    <w:pPr>
      <w:spacing w:after="160"/>
      <w:ind w:left="1134"/>
      <w:contextualSpacing/>
    </w:pPr>
    <w:rPr>
      <w:rFonts w:cs="Times New Roman"/>
      <w:i/>
      <w:iCs/>
      <w:szCs w:val="24"/>
    </w:rPr>
  </w:style>
  <w:style w:type="character" w:customStyle="1" w:styleId="ListParagraphChar">
    <w:name w:val="List Paragraph Char"/>
    <w:basedOn w:val="DefaultParagraphFont"/>
    <w:link w:val="ListParagraph"/>
    <w:uiPriority w:val="34"/>
    <w:locked/>
    <w:rsid w:val="00524143"/>
    <w:rPr>
      <w:rFonts w:ascii="Cambria" w:hAnsi="Cambria" w:cs="Times New Roman"/>
      <w:i/>
      <w:iCs/>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Normalbold">
    <w:name w:val="Normal bold"/>
    <w:basedOn w:val="Normal"/>
    <w:next w:val="Normal"/>
    <w:qFormat/>
    <w:rsid w:val="007105E8"/>
    <w:pPr>
      <w:spacing w:line="252" w:lineRule="auto"/>
    </w:pPr>
    <w:rPr>
      <w:rFonts w:eastAsia="MS Mincho"/>
      <w:b/>
      <w:szCs w:val="22"/>
    </w:rPr>
  </w:style>
  <w:style w:type="character" w:customStyle="1" w:styleId="cf01">
    <w:name w:val="cf01"/>
    <w:basedOn w:val="DefaultParagraphFont"/>
    <w:rsid w:val="007105E8"/>
    <w:rPr>
      <w:rFonts w:ascii="Segoe UI" w:hAnsi="Segoe UI" w:cs="Segoe UI" w:hint="default"/>
      <w:sz w:val="18"/>
      <w:szCs w:val="18"/>
    </w:rPr>
  </w:style>
  <w:style w:type="character" w:customStyle="1" w:styleId="Heading1Char">
    <w:name w:val="Heading 1 Char"/>
    <w:basedOn w:val="DefaultParagraphFont"/>
    <w:link w:val="Heading1"/>
    <w:rsid w:val="007105E8"/>
    <w:rPr>
      <w:rFonts w:asciiTheme="majorHAnsi" w:eastAsia="Times New Roman" w:hAnsiTheme="majorHAnsi" w:cstheme="majorHAnsi"/>
      <w:b/>
      <w:bCs/>
      <w:sz w:val="64"/>
      <w:szCs w:val="64"/>
    </w:rPr>
  </w:style>
  <w:style w:type="character" w:customStyle="1" w:styleId="Heading7Char">
    <w:name w:val="Heading 7 Char"/>
    <w:basedOn w:val="DefaultParagraphFont"/>
    <w:link w:val="Heading7"/>
    <w:uiPriority w:val="9"/>
    <w:rsid w:val="007105E8"/>
    <w:rPr>
      <w:rFonts w:ascii="Cambria" w:eastAsia="Times New Roman" w:hAnsi="Cambria" w:cs="Times New Roman"/>
      <w:bCs/>
      <w:szCs w:val="24"/>
    </w:rPr>
  </w:style>
  <w:style w:type="paragraph" w:customStyle="1" w:styleId="AxisLabel">
    <w:name w:val="Axis Label"/>
    <w:basedOn w:val="Normal"/>
    <w:qFormat/>
    <w:rsid w:val="007105E8"/>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7105E8"/>
    <w:pPr>
      <w:spacing w:before="120" w:after="0" w:line="240" w:lineRule="auto"/>
    </w:pPr>
    <w:rPr>
      <w:rFonts w:ascii="Arial" w:eastAsia="Cambria" w:hAnsi="Arial" w:cs="Times New Roman"/>
      <w:sz w:val="16"/>
      <w:szCs w:val="22"/>
    </w:rPr>
  </w:style>
  <w:style w:type="paragraph" w:customStyle="1" w:styleId="Contents">
    <w:name w:val="Contents"/>
    <w:basedOn w:val="Normal"/>
    <w:rsid w:val="007105E8"/>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7105E8"/>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7105E8"/>
    <w:pPr>
      <w:spacing w:before="120" w:line="240" w:lineRule="atLeast"/>
    </w:pPr>
    <w:rPr>
      <w:rFonts w:eastAsia="Cambria" w:cs="Times New Roman"/>
      <w:sz w:val="14"/>
      <w:szCs w:val="22"/>
    </w:rPr>
  </w:style>
  <w:style w:type="table" w:styleId="LightShading-Accent2">
    <w:name w:val="Light Shading Accent 2"/>
    <w:basedOn w:val="TableNormal"/>
    <w:uiPriority w:val="60"/>
    <w:rsid w:val="007105E8"/>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7105E8"/>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7105E8"/>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7105E8"/>
    <w:rPr>
      <w:color w:val="808080"/>
    </w:rPr>
  </w:style>
  <w:style w:type="paragraph" w:customStyle="1" w:styleId="Reference">
    <w:name w:val="Reference"/>
    <w:basedOn w:val="Normal"/>
    <w:rsid w:val="007105E8"/>
    <w:pPr>
      <w:spacing w:before="40" w:after="0" w:line="180" w:lineRule="atLeast"/>
      <w:ind w:hanging="170"/>
    </w:pPr>
    <w:rPr>
      <w:rFonts w:eastAsia="Cambria" w:cs="Times New Roman"/>
      <w:sz w:val="19"/>
      <w:szCs w:val="22"/>
    </w:rPr>
  </w:style>
  <w:style w:type="paragraph" w:customStyle="1" w:styleId="Tabletext0">
    <w:name w:val="Table text"/>
    <w:basedOn w:val="Normal"/>
    <w:rsid w:val="007105E8"/>
    <w:pPr>
      <w:spacing w:before="120" w:line="240" w:lineRule="atLeast"/>
    </w:pPr>
    <w:rPr>
      <w:rFonts w:eastAsia="Cambria" w:cs="Times New Roman"/>
      <w:sz w:val="19"/>
      <w:szCs w:val="22"/>
    </w:rPr>
  </w:style>
  <w:style w:type="table" w:customStyle="1" w:styleId="TableTGAblack">
    <w:name w:val="Table TGA black"/>
    <w:basedOn w:val="TableNormal"/>
    <w:uiPriority w:val="99"/>
    <w:rsid w:val="007105E8"/>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7105E8"/>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7105E8"/>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7105E8"/>
    <w:pPr>
      <w:spacing w:before="120" w:line="240" w:lineRule="atLeast"/>
      <w:ind w:left="992" w:hanging="992"/>
    </w:pPr>
    <w:rPr>
      <w:rFonts w:eastAsia="Cambria" w:cs="Times New Roman"/>
      <w:szCs w:val="22"/>
    </w:rPr>
  </w:style>
  <w:style w:type="paragraph" w:styleId="EndnoteText">
    <w:name w:val="endnote text"/>
    <w:basedOn w:val="Normal"/>
    <w:link w:val="EndnoteTextChar"/>
    <w:uiPriority w:val="99"/>
    <w:semiHidden/>
    <w:unhideWhenUsed/>
    <w:rsid w:val="007105E8"/>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7105E8"/>
    <w:rPr>
      <w:rFonts w:ascii="Cambria" w:eastAsia="Cambria" w:hAnsi="Cambria" w:cs="Times New Roman"/>
    </w:rPr>
  </w:style>
  <w:style w:type="character" w:styleId="EndnoteReference">
    <w:name w:val="endnote reference"/>
    <w:basedOn w:val="DefaultParagraphFont"/>
    <w:uiPriority w:val="99"/>
    <w:semiHidden/>
    <w:unhideWhenUsed/>
    <w:rsid w:val="007105E8"/>
    <w:rPr>
      <w:vertAlign w:val="superscript"/>
    </w:rPr>
  </w:style>
  <w:style w:type="paragraph" w:customStyle="1" w:styleId="FigureCaption">
    <w:name w:val="Figure Caption"/>
    <w:basedOn w:val="Normal"/>
    <w:qFormat/>
    <w:rsid w:val="007105E8"/>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7105E8"/>
    <w:pPr>
      <w:spacing w:after="240"/>
    </w:pPr>
    <w:rPr>
      <w:sz w:val="17"/>
    </w:rPr>
  </w:style>
  <w:style w:type="table" w:customStyle="1" w:styleId="TableTGA2">
    <w:name w:val="Table TGA 2"/>
    <w:basedOn w:val="TableNormal"/>
    <w:uiPriority w:val="99"/>
    <w:rsid w:val="007105E8"/>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7105E8"/>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7105E8"/>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7105E8"/>
    <w:rPr>
      <w:rFonts w:ascii="Arial" w:hAnsi="Arial"/>
      <w:color w:val="002C47"/>
      <w:sz w:val="14"/>
    </w:rPr>
  </w:style>
  <w:style w:type="paragraph" w:customStyle="1" w:styleId="BodyCopy">
    <w:name w:val="Body Copy"/>
    <w:basedOn w:val="Normal"/>
    <w:qFormat/>
    <w:rsid w:val="007105E8"/>
    <w:pPr>
      <w:adjustRightInd w:val="0"/>
      <w:snapToGrid w:val="0"/>
      <w:spacing w:before="180" w:after="180" w:line="240" w:lineRule="atLeast"/>
    </w:pPr>
    <w:rPr>
      <w:rFonts w:eastAsia="MS Mincho" w:cs="Times New Roman"/>
      <w:lang w:eastAsia="ja-JP"/>
    </w:rPr>
  </w:style>
  <w:style w:type="paragraph" w:customStyle="1" w:styleId="Standard">
    <w:name w:val="Standard"/>
    <w:basedOn w:val="Normal"/>
    <w:link w:val="StandardChar"/>
    <w:qFormat/>
    <w:rsid w:val="007105E8"/>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7105E8"/>
    <w:rPr>
      <w:rFonts w:ascii="Cambria" w:eastAsia="Times New Roman" w:hAnsi="Cambria" w:cs="Times New Roman"/>
      <w:snapToGrid w:val="0"/>
      <w:kern w:val="16"/>
      <w:sz w:val="23"/>
      <w:szCs w:val="24"/>
    </w:rPr>
  </w:style>
  <w:style w:type="paragraph" w:customStyle="1" w:styleId="Bulletpoint">
    <w:name w:val="Bullet point"/>
    <w:basedOn w:val="Standard"/>
    <w:rsid w:val="007105E8"/>
    <w:pPr>
      <w:numPr>
        <w:numId w:val="20"/>
      </w:numPr>
      <w:tabs>
        <w:tab w:val="clear" w:pos="369"/>
        <w:tab w:val="left" w:pos="397"/>
        <w:tab w:val="num" w:pos="511"/>
      </w:tabs>
      <w:spacing w:after="180"/>
      <w:ind w:left="0" w:firstLine="0"/>
    </w:pPr>
    <w:rPr>
      <w:sz w:val="22"/>
    </w:rPr>
  </w:style>
  <w:style w:type="paragraph" w:customStyle="1" w:styleId="PISubsection">
    <w:name w:val="PI Subsection"/>
    <w:basedOn w:val="Standard"/>
    <w:next w:val="Standard"/>
    <w:rsid w:val="007105E8"/>
    <w:pPr>
      <w:keepNext/>
      <w:spacing w:after="120"/>
    </w:pPr>
    <w:rPr>
      <w:b/>
      <w:i/>
      <w:kern w:val="2"/>
      <w:sz w:val="22"/>
    </w:rPr>
  </w:style>
  <w:style w:type="character" w:customStyle="1" w:styleId="markedcontent">
    <w:name w:val="markedcontent"/>
    <w:basedOn w:val="DefaultParagraphFont"/>
    <w:rsid w:val="007105E8"/>
  </w:style>
  <w:style w:type="character" w:customStyle="1" w:styleId="CaptionChar">
    <w:name w:val="Caption Char"/>
    <w:basedOn w:val="DefaultParagraphFont"/>
    <w:link w:val="Caption"/>
    <w:uiPriority w:val="35"/>
    <w:rsid w:val="007105E8"/>
    <w:rPr>
      <w:rFonts w:ascii="Cambria" w:hAnsi="Cambria"/>
      <w:i/>
      <w:iCs/>
      <w:color w:val="44546A" w:themeColor="text2"/>
      <w:sz w:val="18"/>
      <w:szCs w:val="18"/>
    </w:rPr>
  </w:style>
  <w:style w:type="paragraph" w:customStyle="1" w:styleId="SectionHeading">
    <w:name w:val="Section Heading"/>
    <w:basedOn w:val="Standard"/>
    <w:next w:val="Standard"/>
    <w:link w:val="SectionHeadingCharChar"/>
    <w:rsid w:val="007105E8"/>
    <w:pPr>
      <w:keepNext/>
      <w:spacing w:after="180"/>
      <w:outlineLvl w:val="0"/>
    </w:pPr>
    <w:rPr>
      <w:b/>
      <w:caps/>
      <w:sz w:val="24"/>
    </w:rPr>
  </w:style>
  <w:style w:type="character" w:customStyle="1" w:styleId="SectionHeadingCharChar">
    <w:name w:val="Section Heading Char Char"/>
    <w:basedOn w:val="DefaultParagraphFont"/>
    <w:link w:val="SectionHeading"/>
    <w:rsid w:val="007105E8"/>
    <w:rPr>
      <w:rFonts w:ascii="Cambria" w:eastAsia="Times New Roman" w:hAnsi="Cambria" w:cs="Times New Roman"/>
      <w:b/>
      <w:caps/>
      <w:snapToGrid w:val="0"/>
      <w:kern w:val="16"/>
      <w:sz w:val="24"/>
      <w:szCs w:val="24"/>
    </w:rPr>
  </w:style>
  <w:style w:type="paragraph" w:customStyle="1" w:styleId="ReplaceMeText">
    <w:name w:val="Replace Me Text"/>
    <w:basedOn w:val="Normal"/>
    <w:next w:val="Normal"/>
    <w:link w:val="ReplaceMeTextChar"/>
    <w:qFormat/>
    <w:rsid w:val="007105E8"/>
    <w:pPr>
      <w:spacing w:line="240" w:lineRule="auto"/>
    </w:pPr>
    <w:rPr>
      <w:rFonts w:eastAsia="Times New Roman" w:cs="Times New Roman"/>
      <w:snapToGrid w:val="0"/>
      <w:color w:val="CC00FF"/>
    </w:rPr>
  </w:style>
  <w:style w:type="character" w:customStyle="1" w:styleId="ReplaceMeTextChar">
    <w:name w:val="Replace Me Text Char"/>
    <w:link w:val="ReplaceMeText"/>
    <w:rsid w:val="007105E8"/>
    <w:rPr>
      <w:rFonts w:ascii="Cambria" w:eastAsia="Times New Roman" w:hAnsi="Cambria" w:cs="Times New Roman"/>
      <w:snapToGrid w:val="0"/>
      <w:color w:val="CC00F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4524">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6939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6.png"/><Relationship Id="rId42" Type="http://schemas.microsoft.com/office/2007/relationships/hdphoto" Target="media/hdphoto5.wdp"/><Relationship Id="rId47" Type="http://schemas.openxmlformats.org/officeDocument/2006/relationships/image" Target="media/image26.png"/><Relationship Id="rId50" Type="http://schemas.openxmlformats.org/officeDocument/2006/relationships/image" Target="media/image28.png"/><Relationship Id="rId55" Type="http://schemas.microsoft.com/office/2007/relationships/hdphoto" Target="media/hdphoto9.wdp"/><Relationship Id="rId63" Type="http://schemas.openxmlformats.org/officeDocument/2006/relationships/image" Target="media/image38.png"/><Relationship Id="rId68" Type="http://schemas.microsoft.com/office/2007/relationships/hdphoto" Target="media/hdphoto13.wdp"/><Relationship Id="rId76" Type="http://schemas.openxmlformats.org/officeDocument/2006/relationships/image" Target="media/image47.png"/><Relationship Id="rId84" Type="http://schemas.openxmlformats.org/officeDocument/2006/relationships/hyperlink" Target="https://www.tga.gov.au/products/australian-register-therapeutic-goods-artg/product-information-one" TargetMode="External"/><Relationship Id="rId89" Type="http://schemas.openxmlformats.org/officeDocument/2006/relationships/hyperlink" Target="mailto:info@tga.gov.au" TargetMode="Externa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9" Type="http://schemas.microsoft.com/office/2007/relationships/hdphoto" Target="media/hdphoto2.wdp"/><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microsoft.com/office/2007/relationships/hdphoto" Target="media/hdphoto6.wdp"/><Relationship Id="rId53" Type="http://schemas.openxmlformats.org/officeDocument/2006/relationships/image" Target="media/image30.png"/><Relationship Id="rId58" Type="http://schemas.openxmlformats.org/officeDocument/2006/relationships/image" Target="media/image33.png"/><Relationship Id="rId66" Type="http://schemas.microsoft.com/office/2007/relationships/hdphoto" Target="media/hdphoto12.wdp"/><Relationship Id="rId74" Type="http://schemas.openxmlformats.org/officeDocument/2006/relationships/image" Target="media/image45.png"/><Relationship Id="rId79" Type="http://schemas.openxmlformats.org/officeDocument/2006/relationships/hyperlink" Target="https://www.tga.gov.au/committee/advisory-committee-medicines-acm" TargetMode="External"/><Relationship Id="rId87"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hyperlink" Target="http://www.tga.gov.au/ws-labs-index" TargetMode="External"/><Relationship Id="rId90" Type="http://schemas.openxmlformats.org/officeDocument/2006/relationships/hyperlink" Target="https://www.tga.gov.au" TargetMode="External"/><Relationship Id="rId19" Type="http://schemas.openxmlformats.org/officeDocument/2006/relationships/hyperlink" Target="https://www.tga.gov.au/how-we-regulate/supply-therapeutic-good-0/supply-prescription-medicine/application-process/prescription-medicines-registration-process" TargetMode="External"/><Relationship Id="rId14" Type="http://schemas.openxmlformats.org/officeDocument/2006/relationships/hyperlink" Target="file:///\\production.tga.gov.au\dfsroot\APPS\Apps\RES%20-%20Web%20Team\data\Websites\tga%20internet\admin\original%20documents\2024%2010\Janet\AusPAR\tga.copyright@tga.gov.au" TargetMode="External"/><Relationship Id="rId22" Type="http://schemas.openxmlformats.org/officeDocument/2006/relationships/image" Target="media/image7.png"/><Relationship Id="rId27" Type="http://schemas.microsoft.com/office/2007/relationships/hdphoto" Target="media/hdphoto1.wdp"/><Relationship Id="rId30" Type="http://schemas.openxmlformats.org/officeDocument/2006/relationships/image" Target="media/image13.png"/><Relationship Id="rId35" Type="http://schemas.microsoft.com/office/2007/relationships/hdphoto" Target="media/hdphoto4.wdp"/><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2.png"/><Relationship Id="rId64" Type="http://schemas.microsoft.com/office/2007/relationships/hdphoto" Target="media/hdphoto11.wdp"/><Relationship Id="rId69" Type="http://schemas.openxmlformats.org/officeDocument/2006/relationships/image" Target="media/image41.png"/><Relationship Id="rId77" Type="http://schemas.openxmlformats.org/officeDocument/2006/relationships/image" Target="media/image48.png"/><Relationship Id="rId8" Type="http://schemas.openxmlformats.org/officeDocument/2006/relationships/header" Target="header1.xml"/><Relationship Id="rId51" Type="http://schemas.microsoft.com/office/2007/relationships/hdphoto" Target="media/hdphoto8.wdp"/><Relationship Id="rId72" Type="http://schemas.openxmlformats.org/officeDocument/2006/relationships/image" Target="media/image44.png"/><Relationship Id="rId80" Type="http://schemas.openxmlformats.org/officeDocument/2006/relationships/hyperlink" Target="https://www.tga.gov.au/how-we-regulate/monitoring-safety-and-shortages/report-adverse-event-or-incident/report-adverse-events-medicines-and-biologicals/black-triangle-scheme" TargetMode="External"/><Relationship Id="rId85" Type="http://schemas.openxmlformats.org/officeDocument/2006/relationships/hyperlink" Target="https://www.tga.gov.au/products/australian-register-therapeutic-goods-artg/consumer-medicines-information-cmi"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4.png"/><Relationship Id="rId67" Type="http://schemas.openxmlformats.org/officeDocument/2006/relationships/image" Target="media/image40.png"/><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image" Target="media/image31.png"/><Relationship Id="rId62" Type="http://schemas.openxmlformats.org/officeDocument/2006/relationships/image" Target="media/image37.png"/><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hyperlink" Target="https://www.tga.gov.au/products/australian-register-therapeutic-goods-artg/product-information-one" TargetMode="External"/><Relationship Id="rId88" Type="http://schemas.openxmlformats.org/officeDocument/2006/relationships/footer" Target="footer3.xml"/><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black-triangle-scheme"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png"/><Relationship Id="rId49" Type="http://schemas.microsoft.com/office/2007/relationships/hdphoto" Target="media/hdphoto7.wdp"/><Relationship Id="rId57" Type="http://schemas.microsoft.com/office/2007/relationships/hdphoto" Target="media/hdphoto10.wdp"/><Relationship Id="rId10" Type="http://schemas.openxmlformats.org/officeDocument/2006/relationships/header" Target="header2.xml"/><Relationship Id="rId31" Type="http://schemas.microsoft.com/office/2007/relationships/hdphoto" Target="media/hdphoto3.wdp"/><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image" Target="media/image35.png"/><Relationship Id="rId65" Type="http://schemas.openxmlformats.org/officeDocument/2006/relationships/image" Target="media/image39.png"/><Relationship Id="rId73" Type="http://schemas.microsoft.com/office/2007/relationships/hdphoto" Target="media/hdphoto14.wdp"/><Relationship Id="rId78" Type="http://schemas.openxmlformats.org/officeDocument/2006/relationships/image" Target="media/image49.png"/><Relationship Id="rId81" Type="http://schemas.openxmlformats.org/officeDocument/2006/relationships/hyperlink" Target="https://www.tga.gov.au/safety/reporting-problems" TargetMode="External"/><Relationship Id="rId86" Type="http://schemas.openxmlformats.org/officeDocument/2006/relationships/hyperlink" Target="https://www.tga.gov.au/picmi-search-facility"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database.ich.org/sites/default/files/S6_R1_Guideline_0.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69</Pages>
  <Words>17633</Words>
  <Characters>100510</Characters>
  <Application>Microsoft Office Word</Application>
  <DocSecurity>0</DocSecurity>
  <Lines>837</Lines>
  <Paragraphs>235</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Australian public assessment report for</vt:lpstr>
      <vt:lpstr>    About the Therapeutic Goods Administration (TGA)</vt:lpstr>
      <vt:lpstr>    About AusPARs</vt:lpstr>
      <vt:lpstr>    Copyright</vt:lpstr>
      <vt:lpstr>    &lt;Contents</vt:lpstr>
      <vt:lpstr>        List of abbreviations</vt:lpstr>
      <vt:lpstr>    Ebglyss (lebrikizumab) submission</vt:lpstr>
      <vt:lpstr>        Ebglyss (lebrikizumab)</vt:lpstr>
      <vt:lpstr>        Atopic dermatitis</vt:lpstr>
      <vt:lpstr>        Current treatment options for atopic dermatitis</vt:lpstr>
      <vt:lpstr>        Clinical rationale for Ebglyss use in atopic dermatitis</vt:lpstr>
      <vt:lpstr>        Regulatory status</vt:lpstr>
      <vt:lpstr>    Registration timeline</vt:lpstr>
      <vt:lpstr>    Evaluation overview</vt:lpstr>
      <vt:lpstr>        Quality evaluation summary</vt:lpstr>
      <vt:lpstr>        Nonclinical (toxicology) evaluation summary</vt:lpstr>
      <vt:lpstr>        Clinical evaluation summary</vt:lpstr>
      <vt:lpstr>        Risk management plan evaluation summary</vt:lpstr>
      <vt:lpstr>    Risk-benefit analysis</vt:lpstr>
    </vt:vector>
  </TitlesOfParts>
  <Company>Department of Health and Aged Care</Company>
  <LinksUpToDate>false</LinksUpToDate>
  <CharactersWithSpaces>117908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Ebglyss</dc:title>
  <dc:subject>Prescription medicines</dc:subject>
  <dc:creator>Therapeutic Goods Administration</dc:creator>
  <cp:keywords/>
  <dc:description/>
  <cp:lastModifiedBy>THEODORATOS, Angelo</cp:lastModifiedBy>
  <cp:revision>5</cp:revision>
  <dcterms:created xsi:type="dcterms:W3CDTF">2024-10-21T04:14:00Z</dcterms:created>
  <dcterms:modified xsi:type="dcterms:W3CDTF">2024-10-21T23:30:00Z</dcterms:modified>
</cp:coreProperties>
</file>