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8FD87AB" w:rsidR="00F02AEC" w:rsidRPr="00215D48" w:rsidRDefault="00457050" w:rsidP="002B29B2">
            <w:pPr>
              <w:pStyle w:val="Title"/>
            </w:pPr>
            <w:r>
              <w:t>Notice of decision to amend</w:t>
            </w:r>
            <w:r w:rsidR="00A656E2">
              <w:t xml:space="preserve"> </w:t>
            </w:r>
            <w:r>
              <w:t>the current Poisons Standard</w:t>
            </w:r>
            <w:r w:rsidR="00E662D2">
              <w:t xml:space="preserve"> in relation to </w:t>
            </w:r>
            <w:r w:rsidR="00E04AB5">
              <w:t>animal blood products</w:t>
            </w:r>
          </w:p>
        </w:tc>
      </w:tr>
      <w:tr w:rsidR="00F02AEC" w:rsidRPr="00215D48" w14:paraId="5819680E" w14:textId="77777777" w:rsidTr="002B29B2">
        <w:trPr>
          <w:trHeight w:val="1916"/>
        </w:trPr>
        <w:tc>
          <w:tcPr>
            <w:tcW w:w="8720" w:type="dxa"/>
          </w:tcPr>
          <w:p w14:paraId="54DDB299" w14:textId="671DDF6B" w:rsidR="00F02AEC" w:rsidRPr="00215D48" w:rsidRDefault="00691A93" w:rsidP="00D1612F">
            <w:pPr>
              <w:pStyle w:val="Subtitle"/>
              <w:ind w:left="0"/>
            </w:pPr>
            <w:r>
              <w:t>13</w:t>
            </w:r>
            <w:r w:rsidR="005D310A">
              <w:t xml:space="preserve"> </w:t>
            </w:r>
            <w:r w:rsidR="00E04AB5">
              <w:t>September</w:t>
            </w:r>
            <w:r w:rsidR="005D310A">
              <w:t xml:space="preserve">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E04AB5">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A10D66" w:rsidRDefault="00F02AEC" w:rsidP="00DE78C9">
      <w:pPr>
        <w:rPr>
          <w:rFonts w:ascii="Arial" w:hAnsi="Arial" w:cs="Arial"/>
          <w:b/>
          <w:bCs/>
          <w:sz w:val="16"/>
          <w:szCs w:val="16"/>
        </w:rPr>
      </w:pPr>
      <w:r w:rsidRPr="00A10D66">
        <w:rPr>
          <w:rFonts w:ascii="Arial" w:hAnsi="Arial" w:cs="Arial"/>
          <w:b/>
          <w:bCs/>
          <w:sz w:val="16"/>
          <w:szCs w:val="16"/>
        </w:rPr>
        <w:lastRenderedPageBreak/>
        <w:t>Copyright</w:t>
      </w:r>
    </w:p>
    <w:p w14:paraId="633C282B" w14:textId="3047B97B" w:rsidR="00600C9D" w:rsidRDefault="00F02AEC" w:rsidP="00DE78C9">
      <w:pPr>
        <w:rPr>
          <w:rFonts w:ascii="Arial" w:hAnsi="Arial" w:cs="Arial"/>
          <w:sz w:val="16"/>
          <w:szCs w:val="16"/>
        </w:rPr>
      </w:pPr>
      <w:r w:rsidRPr="00A10D66">
        <w:rPr>
          <w:rFonts w:ascii="Arial" w:hAnsi="Arial" w:cs="Arial"/>
          <w:sz w:val="16"/>
          <w:szCs w:val="16"/>
        </w:rPr>
        <w:t>© Commonwealth of Australia 202</w:t>
      </w:r>
      <w:r w:rsidR="001264B5" w:rsidRPr="00A10D66">
        <w:rPr>
          <w:rFonts w:ascii="Arial" w:hAnsi="Arial" w:cs="Arial"/>
          <w:sz w:val="16"/>
          <w:szCs w:val="16"/>
        </w:rPr>
        <w:t>4</w:t>
      </w:r>
      <w:r w:rsidRPr="00A10D66">
        <w:rPr>
          <w:rFonts w:ascii="Arial" w:hAnsi="Arial" w:cs="Arial"/>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10D66">
        <w:rPr>
          <w:rFonts w:ascii="Arial" w:hAnsi="Arial" w:cs="Arial"/>
          <w:i/>
          <w:sz w:val="16"/>
          <w:szCs w:val="16"/>
        </w:rPr>
        <w:t>Copyright Act 1968</w:t>
      </w:r>
      <w:r w:rsidRPr="00A10D66">
        <w:rPr>
          <w:rFonts w:ascii="Arial" w:hAnsi="Arial" w:cs="Arial"/>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A700CE">
          <w:rPr>
            <w:rStyle w:val="Hyperlink"/>
            <w:rFonts w:cs="Arial"/>
            <w:sz w:val="16"/>
            <w:szCs w:val="16"/>
          </w:rPr>
          <w:t>tga.copyright@tga.gov.au</w:t>
        </w:r>
      </w:hyperlink>
      <w:r w:rsidRPr="00A10D66">
        <w:rPr>
          <w:rFonts w:ascii="Arial" w:hAnsi="Arial" w:cs="Arial"/>
          <w:sz w:val="16"/>
          <w:szCs w:val="16"/>
        </w:rPr>
        <w:t>.</w:t>
      </w:r>
    </w:p>
    <w:p w14:paraId="13CE33F5" w14:textId="77777777" w:rsidR="00600C9D" w:rsidRDefault="00600C9D" w:rsidP="00DE78C9">
      <w:pPr>
        <w:rPr>
          <w:rFonts w:ascii="Arial" w:hAnsi="Arial" w:cs="Arial"/>
          <w:sz w:val="16"/>
          <w:szCs w:val="16"/>
        </w:rPr>
      </w:pPr>
    </w:p>
    <w:p w14:paraId="4CB631A8" w14:textId="77777777" w:rsidR="00600C9D" w:rsidRPr="00600C9D" w:rsidRDefault="00600C9D" w:rsidP="00600C9D">
      <w:pPr>
        <w:rPr>
          <w:rFonts w:ascii="Arial" w:hAnsi="Arial" w:cstheme="minorHAnsi"/>
          <w:b/>
          <w:color w:val="auto"/>
          <w:sz w:val="16"/>
          <w:szCs w:val="16"/>
        </w:rPr>
      </w:pPr>
      <w:r w:rsidRPr="00600C9D">
        <w:rPr>
          <w:rFonts w:ascii="Arial" w:hAnsi="Arial" w:cstheme="minorHAnsi"/>
          <w:b/>
          <w:color w:val="auto"/>
          <w:sz w:val="16"/>
          <w:szCs w:val="16"/>
        </w:rPr>
        <w:t>Confidentiality</w:t>
      </w:r>
    </w:p>
    <w:p w14:paraId="049BE57B" w14:textId="77777777" w:rsidR="00600C9D" w:rsidRPr="00600C9D" w:rsidRDefault="00600C9D" w:rsidP="00600C9D">
      <w:pPr>
        <w:rPr>
          <w:rFonts w:ascii="Arial" w:hAnsi="Arial" w:cstheme="minorHAnsi"/>
          <w:color w:val="auto"/>
          <w:sz w:val="16"/>
          <w:szCs w:val="16"/>
        </w:rPr>
      </w:pPr>
      <w:r w:rsidRPr="00600C9D">
        <w:rPr>
          <w:rFonts w:ascii="Arial" w:hAnsi="Arial" w:cstheme="minorHAnsi"/>
          <w:color w:val="auto"/>
          <w:sz w:val="16"/>
          <w:szCs w:val="16"/>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1283DBD9" w14:textId="77777777" w:rsidR="00600C9D" w:rsidRPr="00DE78C9" w:rsidRDefault="00600C9D" w:rsidP="00DE78C9">
      <w:pPr>
        <w:rPr>
          <w:sz w:val="16"/>
          <w:szCs w:val="16"/>
        </w:rPr>
      </w:pPr>
    </w:p>
    <w:sdt>
      <w:sdtPr>
        <w:rPr>
          <w:rFonts w:ascii="Cambria" w:eastAsiaTheme="minorHAnsi" w:hAnsi="Cambria" w:cstheme="minorBidi"/>
          <w:b w:val="0"/>
          <w:color w:val="auto"/>
          <w:sz w:val="22"/>
        </w:rPr>
        <w:id w:val="21514769"/>
        <w:docPartObj>
          <w:docPartGallery w:val="Table of Contents"/>
          <w:docPartUnique/>
        </w:docPartObj>
      </w:sdtPr>
      <w:sdtEndPr>
        <w:rPr>
          <w:rFonts w:asciiTheme="minorHAnsi" w:hAnsiTheme="minorHAnsi"/>
          <w:color w:val="000000" w:themeColor="text1"/>
        </w:rPr>
      </w:sdtEndPr>
      <w:sdtContent>
        <w:p w14:paraId="495F5FE1" w14:textId="77777777" w:rsidR="00F02AEC" w:rsidRPr="00215D48" w:rsidRDefault="00F02AEC" w:rsidP="00967490">
          <w:pPr>
            <w:pStyle w:val="NonTOCheading2"/>
          </w:pPr>
          <w:r w:rsidRPr="00215D48">
            <w:t>Contents</w:t>
          </w:r>
        </w:p>
        <w:p w14:paraId="64B0FE4D" w14:textId="7D9E321C" w:rsidR="00ED738C" w:rsidRDefault="00F02AEC">
          <w:pPr>
            <w:pStyle w:val="TOC1"/>
            <w:rPr>
              <w:rFonts w:asciiTheme="minorHAnsi" w:eastAsiaTheme="minorEastAsia" w:hAnsiTheme="minorHAnsi" w:cstheme="minorBidi"/>
              <w:b w:val="0"/>
              <w:noProof/>
              <w:color w:val="auto"/>
              <w:kern w:val="2"/>
              <w:sz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6520055" w:history="1">
            <w:r w:rsidR="00ED738C" w:rsidRPr="00573ADA">
              <w:rPr>
                <w:rStyle w:val="Hyperlink"/>
                <w:noProof/>
              </w:rPr>
              <w:t xml:space="preserve">Notice of final decision made under Regulation 42ZCZU of the </w:t>
            </w:r>
            <w:r w:rsidR="00ED738C" w:rsidRPr="00573ADA">
              <w:rPr>
                <w:rStyle w:val="Hyperlink"/>
                <w:i/>
                <w:iCs/>
                <w:noProof/>
              </w:rPr>
              <w:t>Therapeutic Goods Regulations 1990</w:t>
            </w:r>
            <w:r w:rsidR="00ED738C">
              <w:rPr>
                <w:noProof/>
                <w:webHidden/>
              </w:rPr>
              <w:tab/>
            </w:r>
            <w:r w:rsidR="00ED738C">
              <w:rPr>
                <w:noProof/>
                <w:webHidden/>
              </w:rPr>
              <w:fldChar w:fldCharType="begin"/>
            </w:r>
            <w:r w:rsidR="00ED738C">
              <w:rPr>
                <w:noProof/>
                <w:webHidden/>
              </w:rPr>
              <w:instrText xml:space="preserve"> PAGEREF _Toc176520055 \h </w:instrText>
            </w:r>
            <w:r w:rsidR="00ED738C">
              <w:rPr>
                <w:noProof/>
                <w:webHidden/>
              </w:rPr>
            </w:r>
            <w:r w:rsidR="00ED738C">
              <w:rPr>
                <w:noProof/>
                <w:webHidden/>
              </w:rPr>
              <w:fldChar w:fldCharType="separate"/>
            </w:r>
            <w:r w:rsidR="00ED738C">
              <w:rPr>
                <w:noProof/>
                <w:webHidden/>
              </w:rPr>
              <w:t>4</w:t>
            </w:r>
            <w:r w:rsidR="00ED738C">
              <w:rPr>
                <w:noProof/>
                <w:webHidden/>
              </w:rPr>
              <w:fldChar w:fldCharType="end"/>
            </w:r>
          </w:hyperlink>
        </w:p>
        <w:p w14:paraId="7518A9A9" w14:textId="3A8E99F6" w:rsidR="00ED738C" w:rsidRDefault="00000000">
          <w:pPr>
            <w:pStyle w:val="TOC1"/>
            <w:rPr>
              <w:rFonts w:asciiTheme="minorHAnsi" w:eastAsiaTheme="minorEastAsia" w:hAnsiTheme="minorHAnsi" w:cstheme="minorBidi"/>
              <w:b w:val="0"/>
              <w:noProof/>
              <w:color w:val="auto"/>
              <w:kern w:val="2"/>
              <w:sz w:val="22"/>
              <w:lang w:eastAsia="en-AU"/>
              <w14:ligatures w14:val="standardContextual"/>
            </w:rPr>
          </w:pPr>
          <w:hyperlink w:anchor="_Toc176520056" w:history="1">
            <w:r w:rsidR="00ED738C" w:rsidRPr="00573ADA">
              <w:rPr>
                <w:rStyle w:val="Hyperlink"/>
                <w:noProof/>
              </w:rPr>
              <w:t>Final decision on proposed amendments to the current Poisons Standard</w:t>
            </w:r>
            <w:r w:rsidR="00ED738C">
              <w:rPr>
                <w:noProof/>
                <w:webHidden/>
              </w:rPr>
              <w:tab/>
            </w:r>
            <w:r w:rsidR="00ED738C">
              <w:rPr>
                <w:noProof/>
                <w:webHidden/>
              </w:rPr>
              <w:fldChar w:fldCharType="begin"/>
            </w:r>
            <w:r w:rsidR="00ED738C">
              <w:rPr>
                <w:noProof/>
                <w:webHidden/>
              </w:rPr>
              <w:instrText xml:space="preserve"> PAGEREF _Toc176520056 \h </w:instrText>
            </w:r>
            <w:r w:rsidR="00ED738C">
              <w:rPr>
                <w:noProof/>
                <w:webHidden/>
              </w:rPr>
            </w:r>
            <w:r w:rsidR="00ED738C">
              <w:rPr>
                <w:noProof/>
                <w:webHidden/>
              </w:rPr>
              <w:fldChar w:fldCharType="separate"/>
            </w:r>
            <w:r w:rsidR="00ED738C">
              <w:rPr>
                <w:noProof/>
                <w:webHidden/>
              </w:rPr>
              <w:t>5</w:t>
            </w:r>
            <w:r w:rsidR="00ED738C">
              <w:rPr>
                <w:noProof/>
                <w:webHidden/>
              </w:rPr>
              <w:fldChar w:fldCharType="end"/>
            </w:r>
          </w:hyperlink>
        </w:p>
        <w:p w14:paraId="4E31A27E" w14:textId="04464BAC" w:rsidR="00ED738C" w:rsidRDefault="00000000">
          <w:pPr>
            <w:pStyle w:val="TOC2"/>
            <w:rPr>
              <w:rFonts w:asciiTheme="minorHAnsi" w:eastAsiaTheme="minorEastAsia" w:hAnsiTheme="minorHAnsi" w:cstheme="minorBidi"/>
              <w:b w:val="0"/>
              <w:noProof/>
              <w:color w:val="auto"/>
              <w:kern w:val="2"/>
              <w:sz w:val="22"/>
              <w:lang w:eastAsia="en-AU"/>
              <w14:ligatures w14:val="standardContextual"/>
            </w:rPr>
          </w:pPr>
          <w:hyperlink w:anchor="_Toc176520057" w:history="1">
            <w:r w:rsidR="00ED738C" w:rsidRPr="00573ADA">
              <w:rPr>
                <w:rStyle w:val="Hyperlink"/>
                <w:noProof/>
              </w:rPr>
              <w:t>Final decision in relation to animal blood products</w:t>
            </w:r>
            <w:r w:rsidR="00ED738C">
              <w:rPr>
                <w:noProof/>
                <w:webHidden/>
              </w:rPr>
              <w:tab/>
            </w:r>
            <w:r w:rsidR="00ED738C">
              <w:rPr>
                <w:noProof/>
                <w:webHidden/>
              </w:rPr>
              <w:fldChar w:fldCharType="begin"/>
            </w:r>
            <w:r w:rsidR="00ED738C">
              <w:rPr>
                <w:noProof/>
                <w:webHidden/>
              </w:rPr>
              <w:instrText xml:space="preserve"> PAGEREF _Toc176520057 \h </w:instrText>
            </w:r>
            <w:r w:rsidR="00ED738C">
              <w:rPr>
                <w:noProof/>
                <w:webHidden/>
              </w:rPr>
            </w:r>
            <w:r w:rsidR="00ED738C">
              <w:rPr>
                <w:noProof/>
                <w:webHidden/>
              </w:rPr>
              <w:fldChar w:fldCharType="separate"/>
            </w:r>
            <w:r w:rsidR="00ED738C">
              <w:rPr>
                <w:noProof/>
                <w:webHidden/>
              </w:rPr>
              <w:t>5</w:t>
            </w:r>
            <w:r w:rsidR="00ED738C">
              <w:rPr>
                <w:noProof/>
                <w:webHidden/>
              </w:rPr>
              <w:fldChar w:fldCharType="end"/>
            </w:r>
          </w:hyperlink>
        </w:p>
        <w:p w14:paraId="61339D67" w14:textId="3E11BFEB" w:rsidR="00ED738C" w:rsidRDefault="00000000">
          <w:pPr>
            <w:pStyle w:val="TOC2"/>
            <w:rPr>
              <w:rFonts w:asciiTheme="minorHAnsi" w:eastAsiaTheme="minorEastAsia" w:hAnsiTheme="minorHAnsi" w:cstheme="minorBidi"/>
              <w:b w:val="0"/>
              <w:noProof/>
              <w:color w:val="auto"/>
              <w:kern w:val="2"/>
              <w:sz w:val="22"/>
              <w:lang w:eastAsia="en-AU"/>
              <w14:ligatures w14:val="standardContextual"/>
            </w:rPr>
          </w:pPr>
          <w:hyperlink w:anchor="_Toc176520058" w:history="1">
            <w:r w:rsidR="00ED738C" w:rsidRPr="00573ADA">
              <w:rPr>
                <w:rStyle w:val="Hyperlink"/>
                <w:noProof/>
              </w:rPr>
              <w:t>Materials considered</w:t>
            </w:r>
            <w:r w:rsidR="00ED738C">
              <w:rPr>
                <w:noProof/>
                <w:webHidden/>
              </w:rPr>
              <w:tab/>
            </w:r>
            <w:r w:rsidR="00ED738C">
              <w:rPr>
                <w:noProof/>
                <w:webHidden/>
              </w:rPr>
              <w:fldChar w:fldCharType="begin"/>
            </w:r>
            <w:r w:rsidR="00ED738C">
              <w:rPr>
                <w:noProof/>
                <w:webHidden/>
              </w:rPr>
              <w:instrText xml:space="preserve"> PAGEREF _Toc176520058 \h </w:instrText>
            </w:r>
            <w:r w:rsidR="00ED738C">
              <w:rPr>
                <w:noProof/>
                <w:webHidden/>
              </w:rPr>
            </w:r>
            <w:r w:rsidR="00ED738C">
              <w:rPr>
                <w:noProof/>
                <w:webHidden/>
              </w:rPr>
              <w:fldChar w:fldCharType="separate"/>
            </w:r>
            <w:r w:rsidR="00ED738C">
              <w:rPr>
                <w:noProof/>
                <w:webHidden/>
              </w:rPr>
              <w:t>6</w:t>
            </w:r>
            <w:r w:rsidR="00ED738C">
              <w:rPr>
                <w:noProof/>
                <w:webHidden/>
              </w:rPr>
              <w:fldChar w:fldCharType="end"/>
            </w:r>
          </w:hyperlink>
        </w:p>
        <w:p w14:paraId="142A6C43" w14:textId="17148FAE" w:rsidR="00ED738C" w:rsidRDefault="00000000">
          <w:pPr>
            <w:pStyle w:val="TOC2"/>
            <w:rPr>
              <w:rFonts w:asciiTheme="minorHAnsi" w:eastAsiaTheme="minorEastAsia" w:hAnsiTheme="minorHAnsi" w:cstheme="minorBidi"/>
              <w:b w:val="0"/>
              <w:noProof/>
              <w:color w:val="auto"/>
              <w:kern w:val="2"/>
              <w:sz w:val="22"/>
              <w:lang w:eastAsia="en-AU"/>
              <w14:ligatures w14:val="standardContextual"/>
            </w:rPr>
          </w:pPr>
          <w:hyperlink w:anchor="_Toc176520059" w:history="1">
            <w:r w:rsidR="00ED738C" w:rsidRPr="00573ADA">
              <w:rPr>
                <w:rStyle w:val="Hyperlink"/>
                <w:noProof/>
              </w:rPr>
              <w:t>Proposal</w:t>
            </w:r>
            <w:r w:rsidR="00ED738C">
              <w:rPr>
                <w:noProof/>
                <w:webHidden/>
              </w:rPr>
              <w:tab/>
            </w:r>
            <w:r w:rsidR="00ED738C">
              <w:rPr>
                <w:noProof/>
                <w:webHidden/>
              </w:rPr>
              <w:fldChar w:fldCharType="begin"/>
            </w:r>
            <w:r w:rsidR="00ED738C">
              <w:rPr>
                <w:noProof/>
                <w:webHidden/>
              </w:rPr>
              <w:instrText xml:space="preserve"> PAGEREF _Toc176520059 \h </w:instrText>
            </w:r>
            <w:r w:rsidR="00ED738C">
              <w:rPr>
                <w:noProof/>
                <w:webHidden/>
              </w:rPr>
            </w:r>
            <w:r w:rsidR="00ED738C">
              <w:rPr>
                <w:noProof/>
                <w:webHidden/>
              </w:rPr>
              <w:fldChar w:fldCharType="separate"/>
            </w:r>
            <w:r w:rsidR="00ED738C">
              <w:rPr>
                <w:noProof/>
                <w:webHidden/>
              </w:rPr>
              <w:t>6</w:t>
            </w:r>
            <w:r w:rsidR="00ED738C">
              <w:rPr>
                <w:noProof/>
                <w:webHidden/>
              </w:rPr>
              <w:fldChar w:fldCharType="end"/>
            </w:r>
          </w:hyperlink>
        </w:p>
        <w:p w14:paraId="3A87F2C6" w14:textId="299BDCF3" w:rsidR="00ED738C" w:rsidRDefault="00000000">
          <w:pPr>
            <w:pStyle w:val="TOC2"/>
            <w:rPr>
              <w:rFonts w:asciiTheme="minorHAnsi" w:eastAsiaTheme="minorEastAsia" w:hAnsiTheme="minorHAnsi" w:cstheme="minorBidi"/>
              <w:b w:val="0"/>
              <w:noProof/>
              <w:color w:val="auto"/>
              <w:kern w:val="2"/>
              <w:sz w:val="22"/>
              <w:lang w:eastAsia="en-AU"/>
              <w14:ligatures w14:val="standardContextual"/>
            </w:rPr>
          </w:pPr>
          <w:hyperlink w:anchor="_Toc176520060" w:history="1">
            <w:r w:rsidR="00ED738C" w:rsidRPr="00573ADA">
              <w:rPr>
                <w:rStyle w:val="Hyperlink"/>
                <w:noProof/>
              </w:rPr>
              <w:t>Reasons for the decision (including findings on material questions of fact)</w:t>
            </w:r>
            <w:r w:rsidR="00ED738C">
              <w:rPr>
                <w:noProof/>
                <w:webHidden/>
              </w:rPr>
              <w:tab/>
            </w:r>
            <w:r w:rsidR="00ED738C">
              <w:rPr>
                <w:noProof/>
                <w:webHidden/>
              </w:rPr>
              <w:fldChar w:fldCharType="begin"/>
            </w:r>
            <w:r w:rsidR="00ED738C">
              <w:rPr>
                <w:noProof/>
                <w:webHidden/>
              </w:rPr>
              <w:instrText xml:space="preserve"> PAGEREF _Toc176520060 \h </w:instrText>
            </w:r>
            <w:r w:rsidR="00ED738C">
              <w:rPr>
                <w:noProof/>
                <w:webHidden/>
              </w:rPr>
            </w:r>
            <w:r w:rsidR="00ED738C">
              <w:rPr>
                <w:noProof/>
                <w:webHidden/>
              </w:rPr>
              <w:fldChar w:fldCharType="separate"/>
            </w:r>
            <w:r w:rsidR="00ED738C">
              <w:rPr>
                <w:noProof/>
                <w:webHidden/>
              </w:rPr>
              <w:t>6</w:t>
            </w:r>
            <w:r w:rsidR="00ED738C">
              <w:rPr>
                <w:noProof/>
                <w:webHidden/>
              </w:rPr>
              <w:fldChar w:fldCharType="end"/>
            </w:r>
          </w:hyperlink>
        </w:p>
        <w:p w14:paraId="09B05728" w14:textId="0C7964C2"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6A3484A0" w:rsidR="00457050" w:rsidRPr="00BC2009" w:rsidRDefault="00457050" w:rsidP="00967490">
      <w:pPr>
        <w:pStyle w:val="Heading2"/>
      </w:pPr>
      <w:bookmarkStart w:id="0" w:name="_Toc97640261"/>
      <w:bookmarkStart w:id="1" w:name="_Toc176520055"/>
      <w:r w:rsidRPr="00597B50">
        <w:lastRenderedPageBreak/>
        <w:t>Notice of</w:t>
      </w:r>
      <w:r w:rsidR="00A656E2">
        <w:t xml:space="preserve"> final decision made under Regulation 42ZCZ</w:t>
      </w:r>
      <w:r w:rsidR="003F27A6">
        <w:t>U</w:t>
      </w:r>
      <w:r w:rsidR="00A656E2">
        <w:t xml:space="preserve"> of the </w:t>
      </w:r>
      <w:r w:rsidR="00A656E2" w:rsidRPr="00522B11">
        <w:rPr>
          <w:i/>
          <w:iCs/>
        </w:rPr>
        <w:t>Therapeutic Goods Regulations 1990</w:t>
      </w:r>
      <w:bookmarkEnd w:id="0"/>
      <w:bookmarkEnd w:id="1"/>
      <w:r w:rsidRPr="00597B50">
        <w:t xml:space="preserve"> </w:t>
      </w:r>
    </w:p>
    <w:p w14:paraId="22E9B0EB" w14:textId="33BD8AB5" w:rsidR="00A656E2" w:rsidRPr="00A656E2" w:rsidRDefault="00457050" w:rsidP="00A656E2">
      <w:pPr>
        <w:rPr>
          <w:rFonts w:ascii="Arial" w:hAnsi="Arial"/>
          <w:color w:val="auto"/>
          <w:sz w:val="20"/>
          <w:szCs w:val="20"/>
        </w:rPr>
      </w:pPr>
      <w:r w:rsidRPr="00E04AB5">
        <w:rPr>
          <w:rFonts w:ascii="Arial" w:hAnsi="Arial" w:cs="Arial"/>
          <w:sz w:val="20"/>
          <w:szCs w:val="20"/>
        </w:rPr>
        <w:t xml:space="preserve">This </w:t>
      </w:r>
      <w:r w:rsidR="00A656E2" w:rsidRPr="00A656E2">
        <w:rPr>
          <w:rFonts w:ascii="Arial" w:hAnsi="Arial"/>
          <w:color w:val="auto"/>
          <w:sz w:val="20"/>
          <w:szCs w:val="20"/>
        </w:rPr>
        <w:t xml:space="preserve">document constitutes a notice for the purposes of regulation 42ZCZX of the </w:t>
      </w:r>
      <w:r w:rsidR="00A656E2" w:rsidRPr="00A656E2">
        <w:rPr>
          <w:rFonts w:ascii="Arial" w:hAnsi="Arial"/>
          <w:i/>
          <w:iCs/>
          <w:color w:val="auto"/>
          <w:sz w:val="20"/>
          <w:szCs w:val="20"/>
        </w:rPr>
        <w:t>Therapeutic Goods Regulations 1990</w:t>
      </w:r>
      <w:r w:rsidR="00A656E2" w:rsidRPr="00A656E2">
        <w:rPr>
          <w:rFonts w:ascii="Arial" w:hAnsi="Arial"/>
          <w:color w:val="auto"/>
          <w:sz w:val="20"/>
          <w:szCs w:val="20"/>
        </w:rPr>
        <w:t xml:space="preserve"> (the </w:t>
      </w:r>
      <w:r w:rsidR="00A656E2" w:rsidRPr="00A656E2">
        <w:rPr>
          <w:rFonts w:ascii="Arial" w:hAnsi="Arial"/>
          <w:b/>
          <w:bCs/>
          <w:color w:val="auto"/>
          <w:sz w:val="20"/>
          <w:szCs w:val="20"/>
        </w:rPr>
        <w:t>Regulations</w:t>
      </w:r>
      <w:r w:rsidR="00A656E2" w:rsidRPr="00A656E2">
        <w:rPr>
          <w:rFonts w:ascii="Arial" w:hAnsi="Arial"/>
          <w:color w:val="auto"/>
          <w:sz w:val="20"/>
          <w:szCs w:val="20"/>
        </w:rPr>
        <w:t>). This notice sets out:</w:t>
      </w:r>
    </w:p>
    <w:p w14:paraId="5D00EFE8" w14:textId="2C518450" w:rsidR="00A656E2" w:rsidRPr="00E04AB5" w:rsidRDefault="00A656E2" w:rsidP="00A656E2">
      <w:pPr>
        <w:pStyle w:val="ListBullet"/>
        <w:numPr>
          <w:ilvl w:val="0"/>
          <w:numId w:val="18"/>
        </w:numPr>
      </w:pPr>
      <w:r>
        <w:t>An amended</w:t>
      </w:r>
      <w:r w:rsidRPr="00E0696E">
        <w:t xml:space="preserve"> final decision made by a delegate of </w:t>
      </w:r>
      <w:r w:rsidRPr="00532B1F">
        <w:t>the</w:t>
      </w:r>
      <w:r w:rsidRPr="00E0696E">
        <w:t xml:space="preserve"> Secretary of the Department of the Health and Aged Care (the </w:t>
      </w:r>
      <w:r w:rsidRPr="00E0696E">
        <w:rPr>
          <w:b/>
          <w:bCs/>
        </w:rPr>
        <w:t>Delegate)</w:t>
      </w:r>
      <w:r w:rsidRPr="00E0696E">
        <w:t xml:space="preserve"> under Regulation </w:t>
      </w:r>
      <w:r w:rsidR="003F27A6" w:rsidRPr="003F27A6">
        <w:t>42ZCZU</w:t>
      </w:r>
      <w:r w:rsidRPr="00E0696E">
        <w:t xml:space="preserve"> in relation to proposed amendments to the current Poisons Standard </w:t>
      </w:r>
      <w:r>
        <w:t xml:space="preserve">which were not </w:t>
      </w:r>
      <w:r w:rsidRPr="00E0696E">
        <w:t>referred to an expert advisory</w:t>
      </w:r>
      <w:r>
        <w:t xml:space="preserve"> committee</w:t>
      </w:r>
      <w:r>
        <w:rPr>
          <w:rStyle w:val="FootnoteReference"/>
        </w:rPr>
        <w:footnoteReference w:id="1"/>
      </w:r>
    </w:p>
    <w:p w14:paraId="1AA8F280" w14:textId="0480E763" w:rsidR="00457050" w:rsidRPr="00E04AB5" w:rsidRDefault="00457050" w:rsidP="00E04AB5">
      <w:pPr>
        <w:pStyle w:val="ListBullet"/>
        <w:numPr>
          <w:ilvl w:val="0"/>
          <w:numId w:val="18"/>
        </w:numPr>
      </w:pPr>
      <w:r w:rsidRPr="00E04AB5">
        <w:t>reasons for the decision</w:t>
      </w:r>
      <w:r w:rsidR="005A405C" w:rsidRPr="00E04AB5">
        <w:t>,</w:t>
      </w:r>
      <w:r w:rsidRPr="00E04AB5">
        <w:t xml:space="preserve"> and </w:t>
      </w:r>
    </w:p>
    <w:p w14:paraId="34BA2A76" w14:textId="730292C6" w:rsidR="00B560DA" w:rsidRDefault="00457050" w:rsidP="00E04AB5">
      <w:pPr>
        <w:pStyle w:val="ListBullet"/>
        <w:numPr>
          <w:ilvl w:val="0"/>
          <w:numId w:val="18"/>
        </w:numPr>
      </w:pPr>
      <w:r w:rsidRPr="00E04AB5">
        <w:t>the date of effect of the decision.</w:t>
      </w:r>
    </w:p>
    <w:p w14:paraId="5ABC5016" w14:textId="4E4DCAAD" w:rsidR="00A656E2" w:rsidRPr="003F27A6" w:rsidRDefault="00A656E2" w:rsidP="003F27A6">
      <w:pPr>
        <w:ind w:left="360"/>
        <w:rPr>
          <w:rFonts w:ascii="Arial" w:hAnsi="Arial" w:cs="Arial"/>
          <w:sz w:val="20"/>
          <w:szCs w:val="20"/>
        </w:rPr>
      </w:pPr>
      <w:r w:rsidRPr="00A656E2">
        <w:rPr>
          <w:rFonts w:ascii="Arial" w:hAnsi="Arial" w:cs="Arial"/>
          <w:sz w:val="20"/>
          <w:szCs w:val="20"/>
        </w:rPr>
        <w:t>The</w:t>
      </w:r>
      <w:r>
        <w:rPr>
          <w:rFonts w:ascii="Arial" w:hAnsi="Arial" w:cs="Arial"/>
          <w:sz w:val="20"/>
          <w:szCs w:val="20"/>
        </w:rPr>
        <w:t xml:space="preserve"> amended</w:t>
      </w:r>
      <w:r w:rsidRPr="00A656E2">
        <w:rPr>
          <w:rFonts w:ascii="Arial" w:hAnsi="Arial" w:cs="Arial"/>
          <w:sz w:val="20"/>
          <w:szCs w:val="20"/>
        </w:rPr>
        <w:t xml:space="preserve"> final decision follows</w:t>
      </w:r>
      <w:r w:rsidRPr="003F27A6">
        <w:rPr>
          <w:rFonts w:ascii="Arial" w:hAnsi="Arial" w:cs="Arial"/>
          <w:sz w:val="20"/>
          <w:szCs w:val="20"/>
        </w:rPr>
        <w:t xml:space="preserve"> a</w:t>
      </w:r>
      <w:r w:rsidR="003F27A6">
        <w:rPr>
          <w:rFonts w:ascii="Arial" w:hAnsi="Arial" w:cs="Arial"/>
          <w:sz w:val="20"/>
          <w:szCs w:val="20"/>
        </w:rPr>
        <w:t>n application</w:t>
      </w:r>
      <w:r w:rsidRPr="003F27A6">
        <w:rPr>
          <w:rFonts w:ascii="Arial" w:hAnsi="Arial" w:cs="Arial"/>
          <w:sz w:val="20"/>
          <w:szCs w:val="20"/>
        </w:rPr>
        <w:t xml:space="preserve"> to defer the implementation date for the amendment specified in the May 2024 Final Decision with regards to animal blood products to </w:t>
      </w:r>
      <w:r>
        <w:rPr>
          <w:rFonts w:ascii="Arial" w:hAnsi="Arial" w:cs="Arial"/>
          <w:sz w:val="20"/>
          <w:szCs w:val="20"/>
        </w:rPr>
        <w:br/>
      </w:r>
      <w:r w:rsidRPr="003F27A6">
        <w:rPr>
          <w:rFonts w:ascii="Arial" w:hAnsi="Arial" w:cs="Arial"/>
          <w:sz w:val="20"/>
          <w:szCs w:val="20"/>
        </w:rPr>
        <w:t>1 February 2025.</w:t>
      </w:r>
      <w:r w:rsidR="002805C4" w:rsidRPr="002805C4">
        <w:t xml:space="preserve"> </w:t>
      </w:r>
      <w:r w:rsidR="002805C4" w:rsidRPr="002805C4">
        <w:rPr>
          <w:rFonts w:ascii="Arial" w:hAnsi="Arial" w:cs="Arial"/>
          <w:sz w:val="20"/>
          <w:szCs w:val="20"/>
        </w:rPr>
        <w:t>In accordance with r 42ZCZX of the Regulations, this notice provides a publication of the Delegate’s decision, and the reasons for the decision.</w:t>
      </w:r>
    </w:p>
    <w:p w14:paraId="7119778F" w14:textId="77777777" w:rsidR="00A656E2" w:rsidRPr="00E04AB5" w:rsidRDefault="00A656E2" w:rsidP="003F27A6">
      <w:pPr>
        <w:pStyle w:val="ListBullet"/>
        <w:rPr>
          <w:rStyle w:val="BookTitle"/>
          <w:rFonts w:asciiTheme="minorHAnsi" w:eastAsiaTheme="minorHAnsi" w:hAnsiTheme="minorHAnsi" w:cstheme="minorBidi"/>
          <w:b w:val="0"/>
          <w:bCs w:val="0"/>
          <w:i w:val="0"/>
          <w:iCs w:val="0"/>
          <w:spacing w:val="0"/>
          <w:sz w:val="22"/>
          <w:szCs w:val="22"/>
        </w:rPr>
      </w:pPr>
    </w:p>
    <w:p w14:paraId="67DC0EBB" w14:textId="31FC3CED" w:rsidR="00457050" w:rsidRPr="00E04AB5" w:rsidRDefault="00831B56" w:rsidP="00E04AB5">
      <w:pPr>
        <w:pStyle w:val="ListBullet"/>
        <w:rPr>
          <w:rStyle w:val="BookTitle"/>
          <w:sz w:val="22"/>
          <w:szCs w:val="22"/>
        </w:rPr>
      </w:pPr>
      <w:r w:rsidRPr="00E04AB5">
        <w:rPr>
          <w:rStyle w:val="BookTitle"/>
          <w:sz w:val="22"/>
          <w:szCs w:val="22"/>
        </w:rPr>
        <w:t>Defined terms</w:t>
      </w:r>
    </w:p>
    <w:p w14:paraId="3518FC9A" w14:textId="27DEB5A0" w:rsidR="00831B56" w:rsidRPr="00E04AB5" w:rsidRDefault="00831B56" w:rsidP="00E04AB5">
      <w:pPr>
        <w:rPr>
          <w:rFonts w:ascii="Arial" w:hAnsi="Arial" w:cs="Arial"/>
          <w:sz w:val="20"/>
          <w:szCs w:val="20"/>
        </w:rPr>
      </w:pPr>
      <w:r w:rsidRPr="00E04AB5">
        <w:rPr>
          <w:rFonts w:ascii="Arial" w:hAnsi="Arial" w:cs="Arial"/>
          <w:sz w:val="20"/>
          <w:szCs w:val="20"/>
        </w:rPr>
        <w:t>In this notice</w:t>
      </w:r>
      <w:r w:rsidR="00E31503" w:rsidRPr="00E04AB5">
        <w:rPr>
          <w:rFonts w:ascii="Arial" w:hAnsi="Arial" w:cs="Arial"/>
          <w:sz w:val="20"/>
          <w:szCs w:val="20"/>
        </w:rPr>
        <w:t>,</w:t>
      </w:r>
      <w:r w:rsidRPr="00E04AB5">
        <w:rPr>
          <w:rFonts w:ascii="Arial" w:hAnsi="Arial" w:cs="Arial"/>
          <w:sz w:val="20"/>
          <w:szCs w:val="20"/>
        </w:rPr>
        <w:t xml:space="preserve"> the following terms are used in addition to those above:</w:t>
      </w:r>
    </w:p>
    <w:p w14:paraId="32F314C2" w14:textId="52172BFB" w:rsidR="00563169" w:rsidRPr="00E04AB5" w:rsidRDefault="00831B56" w:rsidP="00E04AB5">
      <w:pPr>
        <w:pStyle w:val="ListBullet"/>
        <w:numPr>
          <w:ilvl w:val="0"/>
          <w:numId w:val="21"/>
        </w:numPr>
      </w:pPr>
      <w:r w:rsidRPr="00E04AB5">
        <w:t xml:space="preserve">the Therapeutic Goods Act 1989 (Cth) (the </w:t>
      </w:r>
      <w:r w:rsidRPr="00E04AB5">
        <w:rPr>
          <w:b/>
          <w:bCs/>
        </w:rPr>
        <w:t>Act</w:t>
      </w:r>
      <w:r w:rsidRPr="00E04AB5">
        <w:t>)</w:t>
      </w:r>
    </w:p>
    <w:p w14:paraId="6BE33439" w14:textId="1DA3F47F" w:rsidR="00831B56" w:rsidRPr="00E04AB5" w:rsidRDefault="00563169" w:rsidP="00E04AB5">
      <w:pPr>
        <w:pStyle w:val="ListBullet"/>
        <w:numPr>
          <w:ilvl w:val="0"/>
          <w:numId w:val="21"/>
        </w:numPr>
      </w:pPr>
      <w:r w:rsidRPr="00E04AB5">
        <w:t xml:space="preserve">the Therapeutic Goods Regulations 1990 (the </w:t>
      </w:r>
      <w:r w:rsidRPr="00E04AB5">
        <w:rPr>
          <w:b/>
          <w:bCs/>
        </w:rPr>
        <w:t>Regulations</w:t>
      </w:r>
      <w:r w:rsidRPr="00E04AB5">
        <w:t>)</w:t>
      </w:r>
    </w:p>
    <w:p w14:paraId="6550B5E6" w14:textId="35E77E8F" w:rsidR="00831B56" w:rsidRPr="00E04AB5" w:rsidRDefault="00831B56" w:rsidP="00E04AB5">
      <w:pPr>
        <w:pStyle w:val="ListBullet"/>
        <w:numPr>
          <w:ilvl w:val="0"/>
          <w:numId w:val="21"/>
        </w:numPr>
      </w:pPr>
      <w:r w:rsidRPr="00E04AB5">
        <w:t xml:space="preserve">the </w:t>
      </w:r>
      <w:hyperlink r:id="rId12" w:history="1">
        <w:r w:rsidRPr="00E04AB5">
          <w:rPr>
            <w:rStyle w:val="Hyperlink"/>
          </w:rPr>
          <w:t>Scheduling Policy Framework</w:t>
        </w:r>
      </w:hyperlink>
      <w:r w:rsidRPr="00E04AB5">
        <w:t xml:space="preserve"> 2018 (the </w:t>
      </w:r>
      <w:r w:rsidRPr="00E04AB5">
        <w:rPr>
          <w:b/>
          <w:bCs/>
        </w:rPr>
        <w:t>SPF</w:t>
      </w:r>
      <w:r w:rsidRPr="00E04AB5">
        <w:t>)</w:t>
      </w:r>
    </w:p>
    <w:p w14:paraId="4CDC567B" w14:textId="2AB6B981" w:rsidR="00831B56" w:rsidRPr="00E04AB5" w:rsidRDefault="00831B56" w:rsidP="00DE4F63">
      <w:pPr>
        <w:pStyle w:val="ListBullet"/>
        <w:numPr>
          <w:ilvl w:val="0"/>
          <w:numId w:val="21"/>
        </w:numPr>
      </w:pPr>
      <w:r w:rsidRPr="00E04AB5">
        <w:t>the Scheduling handbook</w:t>
      </w:r>
      <w:r w:rsidR="00FC1EB4" w:rsidRPr="00E04AB5">
        <w:t>,</w:t>
      </w:r>
      <w:r w:rsidRPr="00E04AB5">
        <w:t xml:space="preserve"> </w:t>
      </w:r>
      <w:hyperlink r:id="rId13" w:history="1">
        <w:r w:rsidR="002805C4">
          <w:rPr>
            <w:rStyle w:val="Hyperlink"/>
          </w:rPr>
          <w:t>G</w:t>
        </w:r>
        <w:r w:rsidRPr="00E04AB5">
          <w:rPr>
            <w:rStyle w:val="Hyperlink"/>
          </w:rPr>
          <w:t>uidance for amending the Poisons Standard</w:t>
        </w:r>
      </w:hyperlink>
      <w:r w:rsidRPr="00E04AB5">
        <w:t xml:space="preserve"> (the </w:t>
      </w:r>
      <w:r w:rsidRPr="00E04AB5">
        <w:rPr>
          <w:b/>
          <w:bCs/>
        </w:rPr>
        <w:t>Handbook</w:t>
      </w:r>
      <w:r w:rsidR="00DE4F63">
        <w:t>)</w:t>
      </w:r>
    </w:p>
    <w:p w14:paraId="78D91CCD" w14:textId="22E92569" w:rsidR="00831B56" w:rsidRPr="00E04AB5" w:rsidRDefault="00831B56" w:rsidP="00E04AB5">
      <w:pPr>
        <w:pStyle w:val="ListBullet"/>
        <w:numPr>
          <w:ilvl w:val="0"/>
          <w:numId w:val="21"/>
        </w:numPr>
      </w:pPr>
      <w:r w:rsidRPr="00E04AB5">
        <w:t xml:space="preserve">the Therapeutic Goods Administration (the </w:t>
      </w:r>
      <w:r w:rsidRPr="00E04AB5">
        <w:rPr>
          <w:b/>
          <w:bCs/>
        </w:rPr>
        <w:t>TGA</w:t>
      </w:r>
      <w:r w:rsidRPr="00E04AB5">
        <w:t>)</w:t>
      </w:r>
    </w:p>
    <w:p w14:paraId="1ECB50B6" w14:textId="2F71499A" w:rsidR="00365FA4" w:rsidRPr="00E04AB5" w:rsidRDefault="00831B56" w:rsidP="00E04AB5">
      <w:pPr>
        <w:rPr>
          <w:rFonts w:ascii="Arial" w:hAnsi="Arial" w:cs="Arial"/>
          <w:i/>
          <w:iCs/>
          <w:sz w:val="20"/>
          <w:szCs w:val="20"/>
        </w:rPr>
      </w:pPr>
      <w:r w:rsidRPr="00E04AB5">
        <w:rPr>
          <w:rFonts w:ascii="Arial" w:hAnsi="Arial" w:cs="Arial"/>
          <w:i/>
          <w:iCs/>
          <w:sz w:val="20"/>
          <w:szCs w:val="20"/>
        </w:rPr>
        <w:t>Note: additional terms are also defined for individual decisions.</w:t>
      </w:r>
    </w:p>
    <w:p w14:paraId="2821685F" w14:textId="77777777" w:rsidR="00365FA4" w:rsidRDefault="00365FA4">
      <w:pPr>
        <w:rPr>
          <w:rFonts w:eastAsia="Cambria" w:cstheme="minorHAnsi"/>
          <w:sz w:val="20"/>
          <w:szCs w:val="20"/>
        </w:rPr>
      </w:pPr>
      <w:r>
        <w:rPr>
          <w:sz w:val="20"/>
          <w:szCs w:val="20"/>
        </w:rPr>
        <w:br w:type="page"/>
      </w:r>
    </w:p>
    <w:p w14:paraId="09B0C61B" w14:textId="3EF7602E" w:rsidR="00457050" w:rsidRPr="00BC2009" w:rsidRDefault="002805C4" w:rsidP="00967490">
      <w:pPr>
        <w:pStyle w:val="Heading2"/>
      </w:pPr>
      <w:bookmarkStart w:id="2" w:name="_Toc176520056"/>
      <w:r>
        <w:lastRenderedPageBreak/>
        <w:t>Final d</w:t>
      </w:r>
      <w:r w:rsidR="00457050" w:rsidRPr="00B41852">
        <w:t>ecision on proposed amendments to the current Poisons Standard</w:t>
      </w:r>
      <w:bookmarkEnd w:id="2"/>
      <w:r w:rsidR="00E25E09">
        <w:t xml:space="preserve"> </w:t>
      </w:r>
    </w:p>
    <w:p w14:paraId="216876C2" w14:textId="7EB0F52E" w:rsidR="001E5D5F" w:rsidRPr="006E40AB" w:rsidRDefault="002805C4" w:rsidP="006E40AB">
      <w:pPr>
        <w:pStyle w:val="Heading3"/>
      </w:pPr>
      <w:bookmarkStart w:id="3" w:name="_Toc97640267"/>
      <w:bookmarkStart w:id="4" w:name="_Toc176520057"/>
      <w:r>
        <w:t>Final d</w:t>
      </w:r>
      <w:r w:rsidR="006E40AB">
        <w:t>ecision in</w:t>
      </w:r>
      <w:r w:rsidR="00457050">
        <w:t xml:space="preserve"> relation to </w:t>
      </w:r>
      <w:bookmarkEnd w:id="3"/>
      <w:r w:rsidR="00E04AB5">
        <w:t>animal blood products</w:t>
      </w:r>
      <w:bookmarkEnd w:id="4"/>
      <w:r w:rsidR="001E5D5F" w:rsidRPr="00A700CE">
        <w:rPr>
          <w:rFonts w:cs="Arial"/>
          <w:i/>
          <w:iCs/>
          <w:sz w:val="20"/>
          <w:szCs w:val="20"/>
        </w:rPr>
        <w:t xml:space="preserve"> </w:t>
      </w:r>
    </w:p>
    <w:p w14:paraId="3FA0B676" w14:textId="7E697E70" w:rsidR="001E5D5F" w:rsidRDefault="000C0E8F" w:rsidP="001E5D5F">
      <w:pPr>
        <w:rPr>
          <w:rFonts w:ascii="Arial" w:hAnsi="Arial" w:cs="Arial"/>
          <w:sz w:val="20"/>
          <w:szCs w:val="20"/>
        </w:rPr>
      </w:pPr>
      <w:r w:rsidRPr="000C0E8F">
        <w:rPr>
          <w:rFonts w:ascii="Arial" w:hAnsi="Arial" w:cs="Arial"/>
          <w:sz w:val="20"/>
          <w:szCs w:val="20"/>
        </w:rPr>
        <w:t>Pursuant to r 42ZCZ</w:t>
      </w:r>
      <w:r w:rsidR="003F27A6">
        <w:rPr>
          <w:rFonts w:ascii="Arial" w:hAnsi="Arial" w:cs="Arial"/>
          <w:sz w:val="20"/>
          <w:szCs w:val="20"/>
        </w:rPr>
        <w:t>U</w:t>
      </w:r>
      <w:r w:rsidRPr="000C0E8F">
        <w:rPr>
          <w:rFonts w:ascii="Arial" w:hAnsi="Arial" w:cs="Arial"/>
          <w:sz w:val="20"/>
          <w:szCs w:val="20"/>
        </w:rPr>
        <w:t xml:space="preserve"> of the Regulations, the Delegate has made a final decision to amend the current Poisons Standard in relation to </w:t>
      </w:r>
      <w:r w:rsidR="006E40AB">
        <w:rPr>
          <w:rFonts w:ascii="Arial" w:hAnsi="Arial" w:cs="Arial"/>
          <w:sz w:val="20"/>
          <w:szCs w:val="20"/>
        </w:rPr>
        <w:t>animal blood products</w:t>
      </w:r>
      <w:r w:rsidR="001E5D5F" w:rsidRPr="00A700CE">
        <w:rPr>
          <w:rFonts w:ascii="Arial" w:hAnsi="Arial" w:cs="Arial"/>
          <w:sz w:val="20"/>
          <w:szCs w:val="20"/>
        </w:rPr>
        <w:t xml:space="preserve"> as follows:</w:t>
      </w:r>
      <w:r w:rsidR="001E5D5F" w:rsidRPr="00A700CE">
        <w:rPr>
          <w:rStyle w:val="FootnoteReference"/>
          <w:rFonts w:ascii="Arial" w:hAnsi="Arial" w:cs="Arial"/>
          <w:sz w:val="20"/>
          <w:szCs w:val="20"/>
        </w:rPr>
        <w:footnoteReference w:id="2"/>
      </w:r>
    </w:p>
    <w:p w14:paraId="76CBFD05" w14:textId="77777777" w:rsidR="006E40AB" w:rsidRPr="006E40AB" w:rsidRDefault="006E40AB" w:rsidP="006E40AB">
      <w:pPr>
        <w:spacing w:before="120" w:after="180" w:line="240" w:lineRule="atLeast"/>
        <w:ind w:left="425"/>
        <w:rPr>
          <w:rFonts w:ascii="Arial" w:eastAsia="Cambria" w:hAnsi="Arial" w:cs="Arial"/>
          <w:b/>
          <w:sz w:val="20"/>
          <w:szCs w:val="20"/>
        </w:rPr>
      </w:pPr>
      <w:r w:rsidRPr="006E40AB">
        <w:rPr>
          <w:rFonts w:ascii="Arial" w:eastAsia="Cambria" w:hAnsi="Arial" w:cs="Arial"/>
          <w:b/>
          <w:sz w:val="20"/>
          <w:szCs w:val="20"/>
        </w:rPr>
        <w:t>Schedule 4 – New Entry</w:t>
      </w:r>
    </w:p>
    <w:p w14:paraId="0AB6B144" w14:textId="77777777" w:rsidR="006E40AB" w:rsidRPr="006E40AB" w:rsidRDefault="006E40AB" w:rsidP="006E40AB">
      <w:pPr>
        <w:spacing w:before="120" w:after="180" w:line="240" w:lineRule="atLeast"/>
        <w:ind w:left="709"/>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ANIMAL BLOOD PRODUCTS for veterinary use including: </w:t>
      </w:r>
    </w:p>
    <w:p w14:paraId="1DBB2857" w14:textId="77777777" w:rsidR="006E40AB" w:rsidRPr="006E40AB" w:rsidRDefault="006E40AB" w:rsidP="006E40AB">
      <w:pPr>
        <w:numPr>
          <w:ilvl w:val="0"/>
          <w:numId w:val="22"/>
        </w:numPr>
        <w:shd w:val="clear" w:color="auto" w:fill="FFFFFF"/>
        <w:spacing w:before="120" w:after="180" w:line="240" w:lineRule="atLeast"/>
        <w:ind w:left="1276"/>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whole blood;</w:t>
      </w:r>
    </w:p>
    <w:p w14:paraId="300752A5" w14:textId="77777777" w:rsidR="006E40AB" w:rsidRPr="006E40AB" w:rsidRDefault="006E40AB" w:rsidP="006E40AB">
      <w:pPr>
        <w:numPr>
          <w:ilvl w:val="0"/>
          <w:numId w:val="22"/>
        </w:numPr>
        <w:shd w:val="clear" w:color="auto" w:fill="FFFFFF"/>
        <w:spacing w:before="120" w:after="180" w:line="240" w:lineRule="atLeast"/>
        <w:ind w:left="1278"/>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blood components including red cells, white cells, platelets, and plasma (including cryoprecipitate); and </w:t>
      </w:r>
    </w:p>
    <w:p w14:paraId="23FA50E5" w14:textId="77777777" w:rsidR="006E40AB" w:rsidRPr="006E40AB" w:rsidRDefault="006E40AB" w:rsidP="006E40AB">
      <w:pPr>
        <w:numPr>
          <w:ilvl w:val="0"/>
          <w:numId w:val="22"/>
        </w:numPr>
        <w:shd w:val="clear" w:color="auto" w:fill="FFFFFF"/>
        <w:spacing w:before="120" w:after="180" w:line="240" w:lineRule="atLeast"/>
        <w:ind w:left="1278"/>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the following plasma-derived therapeutic proteins; and their equivalent recombinant alternatives: </w:t>
      </w:r>
    </w:p>
    <w:p w14:paraId="54FE2992"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albumin; </w:t>
      </w:r>
    </w:p>
    <w:p w14:paraId="358DB1B6"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anticoagulation complex; </w:t>
      </w:r>
    </w:p>
    <w:p w14:paraId="17E76DA2"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C1 esterase inhibitors; </w:t>
      </w:r>
    </w:p>
    <w:p w14:paraId="2465A384"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clotting factors; </w:t>
      </w:r>
    </w:p>
    <w:p w14:paraId="6A3EB340"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fibrinogen; </w:t>
      </w:r>
    </w:p>
    <w:p w14:paraId="026F9637"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protein C; </w:t>
      </w:r>
    </w:p>
    <w:p w14:paraId="0DE2680B"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prothrombin complex concentrate (PCC); </w:t>
      </w:r>
    </w:p>
    <w:p w14:paraId="41BE19FB" w14:textId="7777777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thrombin;</w:t>
      </w:r>
    </w:p>
    <w:p w14:paraId="34F79491" w14:textId="0745C767" w:rsidR="006E40AB" w:rsidRPr="006E40AB" w:rsidRDefault="006E40AB" w:rsidP="006E40AB">
      <w:pPr>
        <w:numPr>
          <w:ilvl w:val="1"/>
          <w:numId w:val="22"/>
        </w:numPr>
        <w:shd w:val="clear" w:color="auto" w:fill="FFFFFF"/>
        <w:spacing w:before="120" w:after="180" w:line="240" w:lineRule="atLeast"/>
        <w:rPr>
          <w:rFonts w:ascii="Arial" w:eastAsia="Cambria" w:hAnsi="Arial" w:cs="Arial"/>
          <w:color w:val="00B050"/>
          <w:sz w:val="20"/>
          <w:szCs w:val="20"/>
          <w:u w:val="single"/>
          <w:lang w:eastAsia="en-AU"/>
        </w:rPr>
      </w:pPr>
      <w:r w:rsidRPr="006E40AB">
        <w:rPr>
          <w:rFonts w:ascii="Arial" w:eastAsia="Cambria" w:hAnsi="Arial" w:cs="Arial"/>
          <w:color w:val="00B050"/>
          <w:sz w:val="20"/>
          <w:szCs w:val="20"/>
          <w:u w:val="single"/>
          <w:lang w:eastAsia="en-AU"/>
        </w:rPr>
        <w:t>haemoglobin.</w:t>
      </w:r>
    </w:p>
    <w:p w14:paraId="6067131E" w14:textId="4A910FBF" w:rsidR="006E40AB" w:rsidRPr="006E40AB" w:rsidRDefault="006E40AB" w:rsidP="006E40AB">
      <w:pPr>
        <w:ind w:left="709" w:hanging="283"/>
        <w:rPr>
          <w:rFonts w:ascii="Arial" w:eastAsia="Cambria" w:hAnsi="Arial" w:cs="Arial"/>
          <w:b/>
          <w:sz w:val="20"/>
          <w:szCs w:val="20"/>
        </w:rPr>
      </w:pPr>
      <w:r w:rsidRPr="006E40AB">
        <w:rPr>
          <w:rFonts w:ascii="Arial" w:eastAsia="Cambria" w:hAnsi="Arial" w:cs="Arial"/>
          <w:b/>
          <w:sz w:val="20"/>
          <w:szCs w:val="20"/>
        </w:rPr>
        <w:t>Index – New Entry</w:t>
      </w:r>
    </w:p>
    <w:p w14:paraId="6D555ED5" w14:textId="77777777" w:rsidR="006E40AB" w:rsidRPr="006E40AB" w:rsidRDefault="006E40AB" w:rsidP="006E40AB">
      <w:pPr>
        <w:ind w:left="709"/>
        <w:rPr>
          <w:rFonts w:ascii="Arial" w:hAnsi="Arial" w:cs="Arial"/>
          <w:color w:val="00B050"/>
          <w:sz w:val="20"/>
          <w:szCs w:val="20"/>
          <w:u w:val="single"/>
        </w:rPr>
      </w:pPr>
      <w:r w:rsidRPr="006E40AB">
        <w:rPr>
          <w:rFonts w:ascii="Arial" w:hAnsi="Arial" w:cs="Arial"/>
          <w:color w:val="00B050"/>
          <w:sz w:val="20"/>
          <w:szCs w:val="20"/>
          <w:u w:val="single"/>
        </w:rPr>
        <w:t>ANIMAL BLOOD PRODUCTS</w:t>
      </w:r>
    </w:p>
    <w:p w14:paraId="0D7C5B6C" w14:textId="0F624736" w:rsidR="006E40AB" w:rsidRDefault="006E40AB" w:rsidP="006E40AB">
      <w:pPr>
        <w:ind w:left="709"/>
        <w:rPr>
          <w:rFonts w:ascii="Arial" w:hAnsi="Arial" w:cs="Arial"/>
          <w:color w:val="00B050"/>
          <w:sz w:val="20"/>
          <w:szCs w:val="20"/>
          <w:u w:val="single"/>
        </w:rPr>
      </w:pPr>
      <w:r w:rsidRPr="006E40AB">
        <w:rPr>
          <w:rFonts w:ascii="Arial" w:hAnsi="Arial" w:cs="Arial"/>
          <w:color w:val="00B050"/>
          <w:sz w:val="20"/>
          <w:szCs w:val="20"/>
          <w:u w:val="single"/>
        </w:rPr>
        <w:t>Schedule 4</w:t>
      </w:r>
    </w:p>
    <w:p w14:paraId="6537E117" w14:textId="0BC71200" w:rsidR="006E40AB" w:rsidRDefault="006E40AB" w:rsidP="006E40AB">
      <w:pPr>
        <w:ind w:left="709" w:hanging="283"/>
        <w:rPr>
          <w:rFonts w:ascii="Arial" w:hAnsi="Arial" w:cs="Arial"/>
          <w:b/>
          <w:bCs/>
          <w:i/>
          <w:iCs/>
          <w:color w:val="auto"/>
          <w:sz w:val="20"/>
          <w:szCs w:val="20"/>
        </w:rPr>
      </w:pPr>
      <w:r w:rsidRPr="006E40AB">
        <w:rPr>
          <w:rFonts w:ascii="Arial" w:hAnsi="Arial" w:cs="Arial"/>
          <w:b/>
          <w:bCs/>
          <w:i/>
          <w:iCs/>
          <w:color w:val="auto"/>
          <w:sz w:val="20"/>
          <w:szCs w:val="20"/>
        </w:rPr>
        <w:t>Implementation date</w:t>
      </w:r>
    </w:p>
    <w:p w14:paraId="36A10107" w14:textId="5BA15073" w:rsidR="006E40AB" w:rsidRDefault="006E40AB" w:rsidP="006E40AB">
      <w:pPr>
        <w:ind w:left="709" w:hanging="283"/>
        <w:rPr>
          <w:rFonts w:ascii="Arial" w:hAnsi="Arial" w:cs="Arial"/>
          <w:color w:val="auto"/>
          <w:sz w:val="20"/>
          <w:szCs w:val="20"/>
        </w:rPr>
      </w:pPr>
      <w:r>
        <w:rPr>
          <w:rFonts w:ascii="Arial" w:hAnsi="Arial" w:cs="Arial"/>
          <w:color w:val="auto"/>
          <w:sz w:val="20"/>
          <w:szCs w:val="20"/>
        </w:rPr>
        <w:t>1 February 2025</w:t>
      </w:r>
    </w:p>
    <w:p w14:paraId="41630491" w14:textId="77777777" w:rsidR="007D5ACD" w:rsidRDefault="007D5ACD" w:rsidP="007D5ACD">
      <w:pPr>
        <w:rPr>
          <w:rFonts w:ascii="Arial" w:hAnsi="Arial" w:cs="Arial"/>
          <w:color w:val="auto"/>
          <w:sz w:val="20"/>
          <w:szCs w:val="20"/>
        </w:rPr>
        <w:sectPr w:rsidR="007D5ACD" w:rsidSect="00AE7C6A">
          <w:headerReference w:type="default" r:id="rId14"/>
          <w:footerReference w:type="default" r:id="rId15"/>
          <w:pgSz w:w="11906" w:h="16838" w:code="9"/>
          <w:pgMar w:top="1134" w:right="1418" w:bottom="1361" w:left="1418" w:header="573" w:footer="567" w:gutter="0"/>
          <w:cols w:space="708"/>
          <w:docGrid w:linePitch="360"/>
        </w:sectPr>
      </w:pPr>
    </w:p>
    <w:p w14:paraId="6D85B22D" w14:textId="77777777" w:rsidR="007D5ACD" w:rsidRPr="00A700CE" w:rsidRDefault="007D5ACD" w:rsidP="007D5ACD">
      <w:pPr>
        <w:pStyle w:val="Heading3"/>
      </w:pPr>
      <w:bookmarkStart w:id="5" w:name="_Toc176520058"/>
      <w:r w:rsidRPr="00A700CE">
        <w:lastRenderedPageBreak/>
        <w:t>Materials considered</w:t>
      </w:r>
      <w:bookmarkEnd w:id="5"/>
      <w:r w:rsidRPr="00A700CE">
        <w:t xml:space="preserve"> </w:t>
      </w:r>
    </w:p>
    <w:p w14:paraId="3D1152F9" w14:textId="77777777" w:rsidR="007D5ACD" w:rsidRPr="00A700CE" w:rsidRDefault="007D5ACD" w:rsidP="007D5ACD">
      <w:pPr>
        <w:rPr>
          <w:rFonts w:ascii="Arial" w:hAnsi="Arial" w:cs="Arial"/>
          <w:sz w:val="20"/>
          <w:szCs w:val="20"/>
        </w:rPr>
      </w:pPr>
      <w:r w:rsidRPr="00A700CE">
        <w:rPr>
          <w:rFonts w:ascii="Arial" w:hAnsi="Arial" w:cs="Arial"/>
          <w:sz w:val="20"/>
          <w:szCs w:val="20"/>
        </w:rPr>
        <w:t>In making this decision, the Delegate considered the following material:</w:t>
      </w:r>
    </w:p>
    <w:p w14:paraId="5CA8E037" w14:textId="77777777" w:rsidR="007D5ACD" w:rsidRPr="005F3AC5" w:rsidRDefault="007D5ACD" w:rsidP="007D5ACD">
      <w:pPr>
        <w:pStyle w:val="ListBullet"/>
        <w:numPr>
          <w:ilvl w:val="0"/>
          <w:numId w:val="17"/>
        </w:numPr>
        <w:rPr>
          <w:b/>
          <w:bCs/>
        </w:rPr>
      </w:pPr>
      <w:r>
        <w:t xml:space="preserve">the Delegate’s </w:t>
      </w:r>
      <w:hyperlink r:id="rId16" w:history="1">
        <w:r w:rsidRPr="005F3AC5">
          <w:rPr>
            <w:rStyle w:val="Hyperlink"/>
          </w:rPr>
          <w:t>final decision</w:t>
        </w:r>
      </w:hyperlink>
      <w:r>
        <w:t xml:space="preserve"> dated 22 May 2024 (the </w:t>
      </w:r>
      <w:r w:rsidRPr="005F3AC5">
        <w:rPr>
          <w:b/>
          <w:bCs/>
        </w:rPr>
        <w:t>May 2024 Final Decision</w:t>
      </w:r>
      <w:r w:rsidRPr="005F3AC5">
        <w:t>)</w:t>
      </w:r>
      <w:r>
        <w:t xml:space="preserve"> to amend the current Poisons Standard with regards to animal blood products</w:t>
      </w:r>
    </w:p>
    <w:p w14:paraId="55AE7BF1" w14:textId="77777777" w:rsidR="007D5ACD" w:rsidRDefault="007D5ACD" w:rsidP="007D5ACD">
      <w:pPr>
        <w:pStyle w:val="ListBullet"/>
        <w:numPr>
          <w:ilvl w:val="0"/>
          <w:numId w:val="17"/>
        </w:numPr>
      </w:pPr>
      <w:r>
        <w:t>the request to amend the current Poisons Standard with respect to animal blood products as specified in the May 2024 Final Decision but to defer the implementation date</w:t>
      </w:r>
    </w:p>
    <w:p w14:paraId="21D59DDA" w14:textId="059EB1C0" w:rsidR="007D5ACD" w:rsidRDefault="007D5ACD" w:rsidP="007D5ACD">
      <w:pPr>
        <w:pStyle w:val="ListBullet"/>
        <w:numPr>
          <w:ilvl w:val="0"/>
          <w:numId w:val="17"/>
        </w:numPr>
      </w:pPr>
      <w:r w:rsidRPr="005A405C">
        <w:t xml:space="preserve">subsection 52E(1) of </w:t>
      </w:r>
      <w:r w:rsidRPr="005A405C">
        <w:rPr>
          <w:i/>
        </w:rPr>
        <w:t>the Therapeutic Goods Act 1989</w:t>
      </w:r>
      <w:r w:rsidR="001C4E34">
        <w:t xml:space="preserve"> </w:t>
      </w:r>
      <w:r w:rsidR="001C4E34" w:rsidRPr="002A208F">
        <w:t xml:space="preserve">(Cth) </w:t>
      </w:r>
      <w:r w:rsidR="001C4E34" w:rsidRPr="002A208F">
        <w:rPr>
          <w:iCs/>
        </w:rPr>
        <w:t xml:space="preserve">(the </w:t>
      </w:r>
      <w:r w:rsidR="001C4E34" w:rsidRPr="002A208F">
        <w:rPr>
          <w:b/>
          <w:bCs/>
          <w:iCs/>
        </w:rPr>
        <w:t>Act</w:t>
      </w:r>
      <w:r w:rsidR="001C4E34" w:rsidRPr="002A208F">
        <w:rPr>
          <w:iCs/>
        </w:rPr>
        <w:t>)</w:t>
      </w:r>
      <w:r w:rsidR="001C4E34" w:rsidRPr="002A208F">
        <w:t>,</w:t>
      </w:r>
      <w:r w:rsidR="001C4E34">
        <w:t xml:space="preserve"> </w:t>
      </w:r>
      <w:r w:rsidRPr="005A405C">
        <w:t xml:space="preserve">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 </w:t>
      </w:r>
    </w:p>
    <w:p w14:paraId="5C4641A3" w14:textId="77777777" w:rsidR="001C4E34" w:rsidRPr="002A208F" w:rsidRDefault="001C4E34" w:rsidP="001C4E34">
      <w:pPr>
        <w:pStyle w:val="ListBullet-dotick"/>
        <w:numPr>
          <w:ilvl w:val="0"/>
          <w:numId w:val="17"/>
        </w:numPr>
      </w:pPr>
      <w:r w:rsidRPr="002A208F">
        <w:t xml:space="preserve">the </w:t>
      </w:r>
      <w:hyperlink r:id="rId17" w:history="1">
        <w:r w:rsidRPr="00532B1F">
          <w:rPr>
            <w:rStyle w:val="Hyperlink"/>
          </w:rPr>
          <w:t>Scheduling Policy Framework</w:t>
        </w:r>
      </w:hyperlink>
      <w:r w:rsidRPr="00532B1F">
        <w:t xml:space="preserve"> </w:t>
      </w:r>
      <w:r w:rsidRPr="002A208F">
        <w:t xml:space="preserve">2018 (the </w:t>
      </w:r>
      <w:r w:rsidRPr="002A208F">
        <w:rPr>
          <w:b/>
          <w:bCs/>
        </w:rPr>
        <w:t>SPF</w:t>
      </w:r>
      <w:r w:rsidRPr="002A208F">
        <w:t>), and</w:t>
      </w:r>
    </w:p>
    <w:p w14:paraId="439CD05A" w14:textId="28E525C9" w:rsidR="001C4E34" w:rsidRPr="005A405C" w:rsidRDefault="001C4E34" w:rsidP="003F27A6">
      <w:pPr>
        <w:pStyle w:val="ListBullet-dotick"/>
        <w:numPr>
          <w:ilvl w:val="0"/>
          <w:numId w:val="17"/>
        </w:numPr>
      </w:pPr>
      <w:r w:rsidRPr="00532B1F">
        <w:t xml:space="preserve">the </w:t>
      </w:r>
      <w:hyperlink r:id="rId18" w:history="1">
        <w:r w:rsidRPr="00532B1F">
          <w:rPr>
            <w:rStyle w:val="Hyperlink"/>
          </w:rPr>
          <w:t>Scheduling handbook: Guidance for amending the Poisons Standard</w:t>
        </w:r>
      </w:hyperlink>
      <w:r w:rsidRPr="002A208F">
        <w:t xml:space="preserve"> (the </w:t>
      </w:r>
      <w:r w:rsidRPr="002A208F">
        <w:rPr>
          <w:b/>
          <w:bCs/>
        </w:rPr>
        <w:t>Handbook</w:t>
      </w:r>
      <w:r w:rsidRPr="002A208F">
        <w:t>).</w:t>
      </w:r>
    </w:p>
    <w:p w14:paraId="04564293" w14:textId="69B993A6" w:rsidR="006E40AB" w:rsidRDefault="006E40AB" w:rsidP="006E40AB">
      <w:pPr>
        <w:pStyle w:val="Heading3"/>
      </w:pPr>
      <w:bookmarkStart w:id="6" w:name="_Toc176520059"/>
      <w:r>
        <w:t>Proposal</w:t>
      </w:r>
      <w:bookmarkEnd w:id="6"/>
    </w:p>
    <w:p w14:paraId="3E98CDF2" w14:textId="1FCC3F05" w:rsidR="001C4E34" w:rsidRDefault="006E40AB" w:rsidP="001E5D5F">
      <w:pPr>
        <w:rPr>
          <w:rFonts w:ascii="Arial" w:hAnsi="Arial" w:cs="Arial"/>
          <w:sz w:val="20"/>
          <w:szCs w:val="20"/>
        </w:rPr>
      </w:pPr>
      <w:r>
        <w:rPr>
          <w:rFonts w:ascii="Arial" w:hAnsi="Arial" w:cs="Arial"/>
          <w:sz w:val="20"/>
          <w:szCs w:val="20"/>
        </w:rPr>
        <w:t>Currently a</w:t>
      </w:r>
      <w:r w:rsidRPr="00DE4F63">
        <w:rPr>
          <w:rFonts w:ascii="Arial" w:hAnsi="Arial" w:cs="Arial"/>
          <w:sz w:val="20"/>
          <w:szCs w:val="20"/>
        </w:rPr>
        <w:t>nimal blood products are not captured in the Poisons Standard</w:t>
      </w:r>
      <w:r>
        <w:rPr>
          <w:rFonts w:ascii="Arial" w:hAnsi="Arial" w:cs="Arial"/>
          <w:sz w:val="20"/>
          <w:szCs w:val="20"/>
        </w:rPr>
        <w:t xml:space="preserve">. In July 2023, the Delegate received a proposal to create a new entry in Schedule 4 of the Poisons Standard for animal blood products for veterinary use. </w:t>
      </w:r>
      <w:r w:rsidR="007D5ACD">
        <w:rPr>
          <w:rFonts w:ascii="Arial" w:hAnsi="Arial" w:cs="Arial"/>
          <w:sz w:val="20"/>
          <w:szCs w:val="20"/>
        </w:rPr>
        <w:br/>
      </w:r>
      <w:r w:rsidR="007D5ACD">
        <w:rPr>
          <w:rFonts w:ascii="Arial" w:hAnsi="Arial" w:cs="Arial"/>
          <w:sz w:val="20"/>
          <w:szCs w:val="20"/>
        </w:rPr>
        <w:br/>
      </w:r>
      <w:r>
        <w:rPr>
          <w:rFonts w:ascii="Arial" w:hAnsi="Arial" w:cs="Arial"/>
          <w:sz w:val="20"/>
          <w:szCs w:val="20"/>
        </w:rPr>
        <w:t xml:space="preserve">On 22 May 2024, after due consideration </w:t>
      </w:r>
      <w:r w:rsidRPr="005F3AC5">
        <w:rPr>
          <w:rFonts w:ascii="Arial" w:hAnsi="Arial" w:cs="Arial"/>
          <w:sz w:val="20"/>
          <w:szCs w:val="20"/>
        </w:rPr>
        <w:t>pursuant to the Act and the Regulations, the Delegate made a final decision</w:t>
      </w:r>
      <w:r w:rsidR="0095017D">
        <w:rPr>
          <w:rFonts w:ascii="Arial" w:hAnsi="Arial" w:cs="Arial"/>
          <w:sz w:val="20"/>
          <w:szCs w:val="20"/>
        </w:rPr>
        <w:t xml:space="preserve"> (the May 2024 Final Decision)</w:t>
      </w:r>
      <w:r w:rsidRPr="005F3AC5">
        <w:rPr>
          <w:rFonts w:ascii="Arial" w:hAnsi="Arial" w:cs="Arial"/>
          <w:sz w:val="20"/>
          <w:szCs w:val="20"/>
        </w:rPr>
        <w:t xml:space="preserve"> to amend the Poison</w:t>
      </w:r>
      <w:r w:rsidR="0095017D">
        <w:rPr>
          <w:rFonts w:ascii="Arial" w:hAnsi="Arial" w:cs="Arial"/>
          <w:sz w:val="20"/>
          <w:szCs w:val="20"/>
        </w:rPr>
        <w:t>s</w:t>
      </w:r>
      <w:r w:rsidRPr="005F3AC5">
        <w:rPr>
          <w:rFonts w:ascii="Arial" w:hAnsi="Arial" w:cs="Arial"/>
          <w:sz w:val="20"/>
          <w:szCs w:val="20"/>
        </w:rPr>
        <w:t xml:space="preserve"> Standard with regards to </w:t>
      </w:r>
      <w:r>
        <w:rPr>
          <w:rFonts w:ascii="Arial" w:hAnsi="Arial" w:cs="Arial"/>
          <w:sz w:val="20"/>
          <w:szCs w:val="20"/>
        </w:rPr>
        <w:t xml:space="preserve">animal blood products. The </w:t>
      </w:r>
      <w:r w:rsidR="007D5ACD">
        <w:rPr>
          <w:rFonts w:ascii="Arial" w:hAnsi="Arial" w:cs="Arial"/>
          <w:sz w:val="20"/>
          <w:szCs w:val="20"/>
        </w:rPr>
        <w:t>May 2024 Final Decisio</w:t>
      </w:r>
      <w:r w:rsidR="001C4E34">
        <w:rPr>
          <w:rFonts w:ascii="Arial" w:hAnsi="Arial" w:cs="Arial"/>
          <w:sz w:val="20"/>
          <w:szCs w:val="20"/>
        </w:rPr>
        <w:t xml:space="preserve">n was to: </w:t>
      </w:r>
    </w:p>
    <w:p w14:paraId="40325DD4" w14:textId="1B66ACF3" w:rsidR="001C4E34" w:rsidRPr="003F27A6" w:rsidRDefault="001C4E34" w:rsidP="001C4E34">
      <w:pPr>
        <w:pStyle w:val="ListParagraph"/>
        <w:numPr>
          <w:ilvl w:val="0"/>
          <w:numId w:val="24"/>
        </w:numPr>
        <w:rPr>
          <w:rFonts w:ascii="Arial" w:hAnsi="Arial" w:cs="Arial"/>
          <w:sz w:val="20"/>
          <w:szCs w:val="20"/>
        </w:rPr>
      </w:pPr>
      <w:r w:rsidRPr="003F27A6">
        <w:rPr>
          <w:rFonts w:ascii="Arial" w:hAnsi="Arial" w:cs="Arial"/>
          <w:sz w:val="20"/>
          <w:szCs w:val="20"/>
        </w:rPr>
        <w:t>create a new Schedule 4 entry for animal blood products for veterinary use</w:t>
      </w:r>
    </w:p>
    <w:p w14:paraId="77D41ABC" w14:textId="07C23C3D" w:rsidR="001C4E34" w:rsidRPr="003F27A6" w:rsidRDefault="001C4E34" w:rsidP="003F27A6">
      <w:pPr>
        <w:pStyle w:val="ListParagraph"/>
        <w:numPr>
          <w:ilvl w:val="0"/>
          <w:numId w:val="24"/>
        </w:numPr>
        <w:rPr>
          <w:rFonts w:ascii="Arial" w:hAnsi="Arial" w:cs="Arial"/>
          <w:sz w:val="20"/>
          <w:szCs w:val="20"/>
          <w:u w:val="single"/>
        </w:rPr>
      </w:pPr>
      <w:r w:rsidRPr="003F27A6">
        <w:rPr>
          <w:rFonts w:ascii="Arial" w:hAnsi="Arial" w:cs="Arial"/>
          <w:sz w:val="20"/>
          <w:szCs w:val="20"/>
        </w:rPr>
        <w:t xml:space="preserve">this includes capturing whole blood, </w:t>
      </w:r>
      <w:r w:rsidRPr="003F27A6">
        <w:rPr>
          <w:rFonts w:ascii="Arial" w:hAnsi="Arial" w:cs="Arial"/>
          <w:sz w:val="20"/>
          <w:szCs w:val="20"/>
          <w:u w:val="single"/>
        </w:rPr>
        <w:t xml:space="preserve">blood components and plasma-derived therapeutic proteins; and their equivalent recombinant alternatives: </w:t>
      </w:r>
    </w:p>
    <w:p w14:paraId="610FBB67" w14:textId="3DCC1DE9" w:rsidR="007D5ACD" w:rsidRPr="007D5ACD" w:rsidRDefault="001C4E34" w:rsidP="001E5D5F">
      <w:pPr>
        <w:rPr>
          <w:rFonts w:ascii="Arial" w:hAnsi="Arial" w:cs="Arial"/>
          <w:sz w:val="20"/>
          <w:szCs w:val="20"/>
        </w:rPr>
      </w:pPr>
      <w:r w:rsidRPr="001C4E34">
        <w:rPr>
          <w:rFonts w:ascii="Arial" w:hAnsi="Arial" w:cs="Arial"/>
          <w:sz w:val="20"/>
          <w:szCs w:val="20"/>
        </w:rPr>
        <w:t xml:space="preserve">The Delegate decided that the amendments will come into effect </w:t>
      </w:r>
      <w:r w:rsidR="007D5ACD" w:rsidRPr="001C4E34">
        <w:rPr>
          <w:rFonts w:ascii="Arial" w:hAnsi="Arial" w:cs="Arial"/>
          <w:sz w:val="20"/>
          <w:szCs w:val="20"/>
        </w:rPr>
        <w:t xml:space="preserve">on 1 October 2024. </w:t>
      </w:r>
      <w:r w:rsidR="007D5ACD" w:rsidRPr="001C4E34">
        <w:rPr>
          <w:rFonts w:ascii="Arial" w:hAnsi="Arial" w:cs="Arial"/>
          <w:sz w:val="20"/>
          <w:szCs w:val="20"/>
        </w:rPr>
        <w:br/>
      </w:r>
      <w:r w:rsidR="007D5ACD">
        <w:rPr>
          <w:rFonts w:ascii="Arial" w:hAnsi="Arial" w:cs="Arial"/>
          <w:sz w:val="20"/>
          <w:szCs w:val="20"/>
        </w:rPr>
        <w:br/>
        <w:t>On 14 August 2024, the Delegate received a</w:t>
      </w:r>
      <w:r w:rsidR="003F27A6">
        <w:rPr>
          <w:rFonts w:ascii="Arial" w:hAnsi="Arial" w:cs="Arial"/>
          <w:sz w:val="20"/>
          <w:szCs w:val="20"/>
        </w:rPr>
        <w:t>n application</w:t>
      </w:r>
      <w:r w:rsidR="007D5ACD">
        <w:rPr>
          <w:rFonts w:ascii="Arial" w:hAnsi="Arial" w:cs="Arial"/>
          <w:sz w:val="20"/>
          <w:szCs w:val="20"/>
        </w:rPr>
        <w:t xml:space="preserve"> </w:t>
      </w:r>
      <w:r w:rsidR="007D5ACD" w:rsidRPr="007D5ACD">
        <w:rPr>
          <w:rFonts w:ascii="Arial" w:hAnsi="Arial" w:cs="Arial"/>
          <w:sz w:val="20"/>
          <w:szCs w:val="20"/>
        </w:rPr>
        <w:t>to defer the implementation date for the amendment</w:t>
      </w:r>
      <w:r>
        <w:rPr>
          <w:rFonts w:ascii="Arial" w:hAnsi="Arial" w:cs="Arial"/>
          <w:sz w:val="20"/>
          <w:szCs w:val="20"/>
        </w:rPr>
        <w:t>s</w:t>
      </w:r>
      <w:r w:rsidR="007D5ACD" w:rsidRPr="007D5ACD">
        <w:rPr>
          <w:rFonts w:ascii="Arial" w:hAnsi="Arial" w:cs="Arial"/>
          <w:sz w:val="20"/>
          <w:szCs w:val="20"/>
        </w:rPr>
        <w:t xml:space="preserve"> specified in the </w:t>
      </w:r>
      <w:r w:rsidR="007D5ACD">
        <w:rPr>
          <w:rFonts w:ascii="Arial" w:hAnsi="Arial" w:cs="Arial"/>
          <w:sz w:val="20"/>
          <w:szCs w:val="20"/>
        </w:rPr>
        <w:t xml:space="preserve">May </w:t>
      </w:r>
      <w:r w:rsidR="007D5ACD" w:rsidRPr="007D5ACD">
        <w:rPr>
          <w:rFonts w:ascii="Arial" w:hAnsi="Arial" w:cs="Arial"/>
          <w:sz w:val="20"/>
          <w:szCs w:val="20"/>
        </w:rPr>
        <w:t>202</w:t>
      </w:r>
      <w:r w:rsidR="007D5ACD">
        <w:rPr>
          <w:rFonts w:ascii="Arial" w:hAnsi="Arial" w:cs="Arial"/>
          <w:sz w:val="20"/>
          <w:szCs w:val="20"/>
        </w:rPr>
        <w:t>4</w:t>
      </w:r>
      <w:r w:rsidR="007D5ACD" w:rsidRPr="007D5ACD">
        <w:rPr>
          <w:rFonts w:ascii="Arial" w:hAnsi="Arial" w:cs="Arial"/>
          <w:sz w:val="20"/>
          <w:szCs w:val="20"/>
        </w:rPr>
        <w:t xml:space="preserve"> Final Decision with regards to </w:t>
      </w:r>
      <w:r w:rsidR="007D5ACD">
        <w:rPr>
          <w:rFonts w:ascii="Arial" w:hAnsi="Arial" w:cs="Arial"/>
          <w:sz w:val="20"/>
          <w:szCs w:val="20"/>
        </w:rPr>
        <w:t xml:space="preserve">animal blood products </w:t>
      </w:r>
      <w:r w:rsidR="007D5ACD" w:rsidRPr="007D5ACD">
        <w:rPr>
          <w:rFonts w:ascii="Arial" w:hAnsi="Arial" w:cs="Arial"/>
          <w:sz w:val="20"/>
          <w:szCs w:val="20"/>
        </w:rPr>
        <w:t xml:space="preserve">to </w:t>
      </w:r>
      <w:r>
        <w:rPr>
          <w:rFonts w:ascii="Arial" w:hAnsi="Arial" w:cs="Arial"/>
          <w:sz w:val="20"/>
          <w:szCs w:val="20"/>
        </w:rPr>
        <w:br/>
      </w:r>
      <w:r w:rsidR="007D5ACD" w:rsidRPr="007D5ACD">
        <w:rPr>
          <w:rFonts w:ascii="Arial" w:hAnsi="Arial" w:cs="Arial"/>
          <w:sz w:val="20"/>
          <w:szCs w:val="20"/>
        </w:rPr>
        <w:t xml:space="preserve">1 </w:t>
      </w:r>
      <w:r w:rsidR="007D5ACD">
        <w:rPr>
          <w:rFonts w:ascii="Arial" w:hAnsi="Arial" w:cs="Arial"/>
          <w:sz w:val="20"/>
          <w:szCs w:val="20"/>
        </w:rPr>
        <w:t>February</w:t>
      </w:r>
      <w:r w:rsidR="007D5ACD" w:rsidRPr="007D5ACD">
        <w:rPr>
          <w:rFonts w:ascii="Arial" w:hAnsi="Arial" w:cs="Arial"/>
          <w:sz w:val="20"/>
          <w:szCs w:val="20"/>
        </w:rPr>
        <w:t xml:space="preserve"> 2025</w:t>
      </w:r>
      <w:r w:rsidR="007D5ACD">
        <w:rPr>
          <w:rFonts w:ascii="Arial" w:hAnsi="Arial" w:cs="Arial"/>
          <w:sz w:val="20"/>
          <w:szCs w:val="20"/>
        </w:rPr>
        <w:t>.</w:t>
      </w:r>
    </w:p>
    <w:p w14:paraId="44C14521" w14:textId="075849B1" w:rsidR="001E5D5F" w:rsidRPr="007D5ACD" w:rsidRDefault="001E5D5F" w:rsidP="007D5ACD">
      <w:pPr>
        <w:pStyle w:val="Heading3"/>
      </w:pPr>
      <w:bookmarkStart w:id="7" w:name="_Toc176520060"/>
      <w:r w:rsidRPr="007D5ACD">
        <w:t>Reasons for the decision (including findings on material questions of fact)</w:t>
      </w:r>
      <w:bookmarkEnd w:id="7"/>
    </w:p>
    <w:p w14:paraId="2E0A16B1" w14:textId="6E2049FD" w:rsidR="001C4E34" w:rsidRPr="001C4E34" w:rsidRDefault="001C4E34" w:rsidP="001C4E34">
      <w:pPr>
        <w:rPr>
          <w:rFonts w:ascii="Arial" w:hAnsi="Arial" w:cs="Arial"/>
          <w:color w:val="auto"/>
          <w:sz w:val="20"/>
          <w:szCs w:val="20"/>
        </w:rPr>
      </w:pPr>
      <w:r w:rsidRPr="001C4E34">
        <w:rPr>
          <w:rFonts w:ascii="Arial" w:hAnsi="Arial"/>
          <w:color w:val="auto"/>
          <w:sz w:val="20"/>
          <w:szCs w:val="20"/>
        </w:rPr>
        <w:t>Pursuant to regulation 42ZCZW of the Regulations,</w:t>
      </w:r>
      <w:r w:rsidRPr="001C4E34" w:rsidDel="00305E06">
        <w:rPr>
          <w:rFonts w:ascii="Arial" w:hAnsi="Arial" w:cs="Arial"/>
          <w:bCs/>
          <w:color w:val="0D0D0D" w:themeColor="text1" w:themeTint="F2"/>
          <w:sz w:val="20"/>
          <w:szCs w:val="20"/>
        </w:rPr>
        <w:t xml:space="preserve"> I have made a final decision to confirm my decision to </w:t>
      </w:r>
      <w:r w:rsidRPr="001C4E34">
        <w:rPr>
          <w:rFonts w:ascii="Arial" w:hAnsi="Arial" w:cs="Arial"/>
          <w:bCs/>
          <w:color w:val="0D0D0D" w:themeColor="text1" w:themeTint="F2"/>
          <w:sz w:val="20"/>
          <w:szCs w:val="20"/>
        </w:rPr>
        <w:t xml:space="preserve">amend </w:t>
      </w:r>
      <w:r w:rsidRPr="001C4E34">
        <w:rPr>
          <w:rFonts w:ascii="Arial" w:hAnsi="Arial"/>
          <w:color w:val="auto"/>
          <w:sz w:val="20"/>
          <w:szCs w:val="20"/>
        </w:rPr>
        <w:t xml:space="preserve">the Poisons Standard with regards to </w:t>
      </w:r>
      <w:r w:rsidR="002C4AD8">
        <w:rPr>
          <w:rFonts w:ascii="Arial" w:hAnsi="Arial"/>
          <w:color w:val="auto"/>
          <w:sz w:val="20"/>
          <w:szCs w:val="20"/>
        </w:rPr>
        <w:t>animal blood products</w:t>
      </w:r>
      <w:r w:rsidRPr="001C4E34">
        <w:rPr>
          <w:rFonts w:ascii="Arial" w:hAnsi="Arial"/>
          <w:color w:val="auto"/>
          <w:sz w:val="20"/>
          <w:szCs w:val="20"/>
        </w:rPr>
        <w:t xml:space="preserve"> as specified in the </w:t>
      </w:r>
      <w:r w:rsidR="002C4AD8">
        <w:rPr>
          <w:rFonts w:ascii="Arial" w:hAnsi="Arial"/>
          <w:color w:val="auto"/>
          <w:sz w:val="20"/>
          <w:szCs w:val="20"/>
        </w:rPr>
        <w:t xml:space="preserve">May </w:t>
      </w:r>
      <w:r w:rsidRPr="001C4E34">
        <w:rPr>
          <w:rFonts w:ascii="Arial" w:hAnsi="Arial"/>
          <w:color w:val="auto"/>
          <w:sz w:val="20"/>
          <w:szCs w:val="20"/>
        </w:rPr>
        <w:t>202</w:t>
      </w:r>
      <w:r w:rsidR="002C4AD8">
        <w:rPr>
          <w:rFonts w:ascii="Arial" w:hAnsi="Arial"/>
          <w:color w:val="auto"/>
          <w:sz w:val="20"/>
          <w:szCs w:val="20"/>
        </w:rPr>
        <w:t>4</w:t>
      </w:r>
      <w:r w:rsidRPr="001C4E34">
        <w:rPr>
          <w:rFonts w:ascii="Arial" w:hAnsi="Arial"/>
          <w:color w:val="auto"/>
          <w:sz w:val="20"/>
          <w:szCs w:val="20"/>
        </w:rPr>
        <w:t xml:space="preserve"> Final Decision </w:t>
      </w:r>
      <w:r w:rsidR="003F27A6">
        <w:rPr>
          <w:rFonts w:ascii="Arial" w:hAnsi="Arial"/>
          <w:color w:val="auto"/>
          <w:sz w:val="20"/>
          <w:szCs w:val="20"/>
        </w:rPr>
        <w:t xml:space="preserve">but </w:t>
      </w:r>
      <w:r w:rsidRPr="001C4E34">
        <w:rPr>
          <w:rFonts w:ascii="Arial" w:hAnsi="Arial"/>
          <w:color w:val="auto"/>
          <w:sz w:val="20"/>
          <w:szCs w:val="20"/>
        </w:rPr>
        <w:t>with a</w:t>
      </w:r>
      <w:r w:rsidR="003F27A6">
        <w:rPr>
          <w:rFonts w:ascii="Arial" w:hAnsi="Arial"/>
          <w:color w:val="auto"/>
          <w:sz w:val="20"/>
          <w:szCs w:val="20"/>
        </w:rPr>
        <w:t xml:space="preserve"> later</w:t>
      </w:r>
      <w:r w:rsidRPr="001C4E34">
        <w:rPr>
          <w:rFonts w:ascii="Arial" w:hAnsi="Arial"/>
          <w:color w:val="auto"/>
          <w:sz w:val="20"/>
          <w:szCs w:val="20"/>
        </w:rPr>
        <w:t xml:space="preserve"> implementation date of 1 February 2025.</w:t>
      </w:r>
      <w:r w:rsidRPr="001C4E34">
        <w:rPr>
          <w:rFonts w:ascii="Arial" w:hAnsi="Arial" w:cs="Arial"/>
          <w:color w:val="auto"/>
          <w:sz w:val="20"/>
          <w:szCs w:val="20"/>
        </w:rPr>
        <w:t xml:space="preserve"> </w:t>
      </w:r>
    </w:p>
    <w:p w14:paraId="6134E153" w14:textId="24197C2B" w:rsidR="007D5ACD" w:rsidRDefault="007D5ACD" w:rsidP="001E5D5F">
      <w:pPr>
        <w:spacing w:line="240" w:lineRule="auto"/>
        <w:textAlignment w:val="center"/>
        <w:rPr>
          <w:rFonts w:ascii="Arial" w:eastAsia="Times New Roman" w:hAnsi="Arial" w:cs="Arial"/>
          <w:sz w:val="20"/>
          <w:szCs w:val="20"/>
          <w:lang w:eastAsia="en-AU"/>
        </w:rPr>
      </w:pPr>
      <w:r w:rsidRPr="007D5ACD">
        <w:rPr>
          <w:rFonts w:ascii="Arial" w:eastAsia="Times New Roman" w:hAnsi="Arial" w:cs="Arial"/>
          <w:sz w:val="20"/>
          <w:szCs w:val="20"/>
          <w:lang w:eastAsia="en-AU"/>
        </w:rPr>
        <w:t xml:space="preserve">My </w:t>
      </w:r>
      <w:r>
        <w:rPr>
          <w:rFonts w:ascii="Arial" w:eastAsia="Times New Roman" w:hAnsi="Arial" w:cs="Arial"/>
          <w:sz w:val="20"/>
          <w:szCs w:val="20"/>
          <w:lang w:eastAsia="en-AU"/>
        </w:rPr>
        <w:t xml:space="preserve">May </w:t>
      </w:r>
      <w:r w:rsidRPr="007D5ACD">
        <w:rPr>
          <w:rFonts w:ascii="Arial" w:eastAsia="Times New Roman" w:hAnsi="Arial" w:cs="Arial"/>
          <w:sz w:val="20"/>
          <w:szCs w:val="20"/>
          <w:lang w:eastAsia="en-AU"/>
        </w:rPr>
        <w:t>202</w:t>
      </w:r>
      <w:r>
        <w:rPr>
          <w:rFonts w:ascii="Arial" w:eastAsia="Times New Roman" w:hAnsi="Arial" w:cs="Arial"/>
          <w:sz w:val="20"/>
          <w:szCs w:val="20"/>
          <w:lang w:eastAsia="en-AU"/>
        </w:rPr>
        <w:t>4</w:t>
      </w:r>
      <w:r w:rsidRPr="007D5ACD">
        <w:rPr>
          <w:rFonts w:ascii="Arial" w:eastAsia="Times New Roman" w:hAnsi="Arial" w:cs="Arial"/>
          <w:sz w:val="20"/>
          <w:szCs w:val="20"/>
          <w:lang w:eastAsia="en-AU"/>
        </w:rPr>
        <w:t xml:space="preserve"> Final Decision agreed with the advice of the Advisory Committee on Chemicals Scheduling (ACCS 3</w:t>
      </w:r>
      <w:r w:rsidR="00A82BD7">
        <w:rPr>
          <w:rFonts w:ascii="Arial" w:eastAsia="Times New Roman" w:hAnsi="Arial" w:cs="Arial"/>
          <w:sz w:val="20"/>
          <w:szCs w:val="20"/>
          <w:lang w:eastAsia="en-AU"/>
        </w:rPr>
        <w:t>7</w:t>
      </w:r>
      <w:r w:rsidRPr="007D5ACD">
        <w:rPr>
          <w:rFonts w:ascii="Arial" w:eastAsia="Times New Roman" w:hAnsi="Arial" w:cs="Arial"/>
          <w:sz w:val="20"/>
          <w:szCs w:val="20"/>
          <w:lang w:eastAsia="en-AU"/>
        </w:rPr>
        <w:t xml:space="preserve">, </w:t>
      </w:r>
      <w:r w:rsidR="00A82BD7">
        <w:rPr>
          <w:rFonts w:ascii="Arial" w:eastAsia="Times New Roman" w:hAnsi="Arial" w:cs="Arial"/>
          <w:sz w:val="20"/>
          <w:szCs w:val="20"/>
          <w:lang w:eastAsia="en-AU"/>
        </w:rPr>
        <w:t>November</w:t>
      </w:r>
      <w:r w:rsidRPr="007D5ACD">
        <w:rPr>
          <w:rFonts w:ascii="Arial" w:eastAsia="Times New Roman" w:hAnsi="Arial" w:cs="Arial"/>
          <w:sz w:val="20"/>
          <w:szCs w:val="20"/>
          <w:lang w:eastAsia="en-AU"/>
        </w:rPr>
        <w:t xml:space="preserve"> 2023). Further, I did not receive </w:t>
      </w:r>
      <w:r w:rsidR="00A82BD7">
        <w:rPr>
          <w:rFonts w:ascii="Arial" w:eastAsia="Times New Roman" w:hAnsi="Arial" w:cs="Arial"/>
          <w:sz w:val="20"/>
          <w:szCs w:val="20"/>
          <w:lang w:eastAsia="en-AU"/>
        </w:rPr>
        <w:t>reasons for any</w:t>
      </w:r>
      <w:r w:rsidRPr="007D5ACD">
        <w:rPr>
          <w:rFonts w:ascii="Arial" w:eastAsia="Times New Roman" w:hAnsi="Arial" w:cs="Arial"/>
          <w:sz w:val="20"/>
          <w:szCs w:val="20"/>
          <w:lang w:eastAsia="en-AU"/>
        </w:rPr>
        <w:t xml:space="preserve"> opposi</w:t>
      </w:r>
      <w:r w:rsidR="00A82BD7">
        <w:rPr>
          <w:rFonts w:ascii="Arial" w:eastAsia="Times New Roman" w:hAnsi="Arial" w:cs="Arial"/>
          <w:sz w:val="20"/>
          <w:szCs w:val="20"/>
          <w:lang w:eastAsia="en-AU"/>
        </w:rPr>
        <w:t>tion to</w:t>
      </w:r>
      <w:r w:rsidRPr="007D5ACD">
        <w:rPr>
          <w:rFonts w:ascii="Arial" w:eastAsia="Times New Roman" w:hAnsi="Arial" w:cs="Arial"/>
          <w:sz w:val="20"/>
          <w:szCs w:val="20"/>
          <w:lang w:eastAsia="en-AU"/>
        </w:rPr>
        <w:t xml:space="preserve"> the proposal or my interim decision to </w:t>
      </w:r>
      <w:r w:rsidR="00A82BD7">
        <w:rPr>
          <w:rFonts w:ascii="Arial" w:eastAsia="Times New Roman" w:hAnsi="Arial" w:cs="Arial"/>
          <w:sz w:val="20"/>
          <w:szCs w:val="20"/>
          <w:lang w:eastAsia="en-AU"/>
        </w:rPr>
        <w:t xml:space="preserve">create a new entry in Schedule 4 for animal blood products </w:t>
      </w:r>
      <w:r w:rsidRPr="007D5ACD">
        <w:rPr>
          <w:rFonts w:ascii="Arial" w:eastAsia="Times New Roman" w:hAnsi="Arial" w:cs="Arial"/>
          <w:sz w:val="20"/>
          <w:szCs w:val="20"/>
          <w:lang w:eastAsia="en-AU"/>
        </w:rPr>
        <w:t>(including the implementation date) during the two rounds of public consultation.</w:t>
      </w:r>
    </w:p>
    <w:p w14:paraId="3467710D" w14:textId="7E410215" w:rsidR="00613930" w:rsidRDefault="00613930" w:rsidP="001E5D5F">
      <w:pPr>
        <w:spacing w:line="240" w:lineRule="auto"/>
        <w:textAlignment w:val="center"/>
        <w:rPr>
          <w:rFonts w:ascii="Arial" w:eastAsia="Times New Roman" w:hAnsi="Arial" w:cs="Arial"/>
          <w:sz w:val="20"/>
          <w:szCs w:val="20"/>
          <w:lang w:eastAsia="en-AU"/>
        </w:rPr>
      </w:pPr>
      <w:r>
        <w:rPr>
          <w:rFonts w:ascii="Arial" w:eastAsia="Times New Roman" w:hAnsi="Arial" w:cs="Arial"/>
          <w:sz w:val="20"/>
          <w:szCs w:val="20"/>
          <w:lang w:eastAsia="en-AU"/>
        </w:rPr>
        <w:t xml:space="preserve">In August 2024, an industry stakeholder voiced concerns regarding the implementation date of </w:t>
      </w:r>
      <w:r w:rsidR="002C4AD8">
        <w:rPr>
          <w:rFonts w:ascii="Arial" w:eastAsia="Times New Roman" w:hAnsi="Arial" w:cs="Arial"/>
          <w:sz w:val="20"/>
          <w:szCs w:val="20"/>
          <w:lang w:eastAsia="en-AU"/>
        </w:rPr>
        <w:br/>
      </w:r>
      <w:r>
        <w:rPr>
          <w:rFonts w:ascii="Arial" w:eastAsia="Times New Roman" w:hAnsi="Arial" w:cs="Arial"/>
          <w:sz w:val="20"/>
          <w:szCs w:val="20"/>
          <w:lang w:eastAsia="en-AU"/>
        </w:rPr>
        <w:t xml:space="preserve">1 October 2024 </w:t>
      </w:r>
      <w:r w:rsidR="001D4691">
        <w:rPr>
          <w:rFonts w:ascii="Arial" w:eastAsia="Times New Roman" w:hAnsi="Arial" w:cs="Arial"/>
          <w:sz w:val="20"/>
          <w:szCs w:val="20"/>
          <w:lang w:eastAsia="en-AU"/>
        </w:rPr>
        <w:t>for</w:t>
      </w:r>
      <w:r>
        <w:rPr>
          <w:rFonts w:ascii="Arial" w:eastAsia="Times New Roman" w:hAnsi="Arial" w:cs="Arial"/>
          <w:sz w:val="20"/>
          <w:szCs w:val="20"/>
          <w:lang w:eastAsia="en-AU"/>
        </w:rPr>
        <w:t xml:space="preserve"> a new entry in Schedule 4 for animal blood products</w:t>
      </w:r>
      <w:r w:rsidR="003F27A6">
        <w:rPr>
          <w:rFonts w:ascii="Arial" w:eastAsia="Times New Roman" w:hAnsi="Arial" w:cs="Arial"/>
          <w:sz w:val="20"/>
          <w:szCs w:val="20"/>
          <w:lang w:eastAsia="en-AU"/>
        </w:rPr>
        <w:t>, after which it sought a deferral of</w:t>
      </w:r>
      <w:r>
        <w:rPr>
          <w:rFonts w:ascii="Arial" w:eastAsia="Times New Roman" w:hAnsi="Arial" w:cs="Arial"/>
          <w:sz w:val="20"/>
          <w:szCs w:val="20"/>
          <w:lang w:eastAsia="en-AU"/>
        </w:rPr>
        <w:t xml:space="preserve"> the implementation date.</w:t>
      </w:r>
      <w:r w:rsidR="00617A79">
        <w:rPr>
          <w:rFonts w:ascii="Arial" w:eastAsia="Times New Roman" w:hAnsi="Arial" w:cs="Arial"/>
          <w:sz w:val="20"/>
          <w:szCs w:val="20"/>
          <w:lang w:eastAsia="en-AU"/>
        </w:rPr>
        <w:t xml:space="preserve"> The key issue raised by the stakeholder is products have already been prepared to meet the seasonal demand of blood products supplied throughout the </w:t>
      </w:r>
      <w:r w:rsidR="00617A79" w:rsidRPr="00617A79">
        <w:rPr>
          <w:rFonts w:ascii="Arial" w:eastAsia="Times New Roman" w:hAnsi="Arial" w:cs="Arial"/>
          <w:sz w:val="20"/>
          <w:szCs w:val="20"/>
          <w:lang w:eastAsia="en-AU"/>
        </w:rPr>
        <w:t xml:space="preserve">standardised equine foaling season of the </w:t>
      </w:r>
      <w:r w:rsidR="00617A79">
        <w:rPr>
          <w:rFonts w:ascii="Arial" w:eastAsia="Times New Roman" w:hAnsi="Arial" w:cs="Arial"/>
          <w:sz w:val="20"/>
          <w:szCs w:val="20"/>
          <w:lang w:eastAsia="en-AU"/>
        </w:rPr>
        <w:t>s</w:t>
      </w:r>
      <w:r w:rsidR="00617A79" w:rsidRPr="00617A79">
        <w:rPr>
          <w:rFonts w:ascii="Arial" w:eastAsia="Times New Roman" w:hAnsi="Arial" w:cs="Arial"/>
          <w:sz w:val="20"/>
          <w:szCs w:val="20"/>
          <w:lang w:eastAsia="en-AU"/>
        </w:rPr>
        <w:t xml:space="preserve">outhern </w:t>
      </w:r>
      <w:r w:rsidR="00617A79">
        <w:rPr>
          <w:rFonts w:ascii="Arial" w:eastAsia="Times New Roman" w:hAnsi="Arial" w:cs="Arial"/>
          <w:sz w:val="20"/>
          <w:szCs w:val="20"/>
          <w:lang w:eastAsia="en-AU"/>
        </w:rPr>
        <w:t>h</w:t>
      </w:r>
      <w:r w:rsidR="00617A79" w:rsidRPr="00617A79">
        <w:rPr>
          <w:rFonts w:ascii="Arial" w:eastAsia="Times New Roman" w:hAnsi="Arial" w:cs="Arial"/>
          <w:sz w:val="20"/>
          <w:szCs w:val="20"/>
          <w:lang w:eastAsia="en-AU"/>
        </w:rPr>
        <w:t>emisphere</w:t>
      </w:r>
      <w:r w:rsidR="00154E3F">
        <w:rPr>
          <w:rFonts w:ascii="Arial" w:eastAsia="Times New Roman" w:hAnsi="Arial" w:cs="Arial"/>
          <w:sz w:val="20"/>
          <w:szCs w:val="20"/>
          <w:lang w:eastAsia="en-AU"/>
        </w:rPr>
        <w:t xml:space="preserve">, which starts on 1 August and concludes </w:t>
      </w:r>
      <w:r w:rsidR="003F27A6">
        <w:rPr>
          <w:rFonts w:ascii="Arial" w:eastAsia="Times New Roman" w:hAnsi="Arial" w:cs="Arial"/>
          <w:sz w:val="20"/>
          <w:szCs w:val="20"/>
          <w:lang w:eastAsia="en-AU"/>
        </w:rPr>
        <w:lastRenderedPageBreak/>
        <w:t>31 </w:t>
      </w:r>
      <w:r w:rsidR="00154E3F">
        <w:rPr>
          <w:rFonts w:ascii="Arial" w:eastAsia="Times New Roman" w:hAnsi="Arial" w:cs="Arial"/>
          <w:sz w:val="20"/>
          <w:szCs w:val="20"/>
          <w:lang w:eastAsia="en-AU"/>
        </w:rPr>
        <w:t>December each year. The animal blood products are designed to support the immune system of neonat</w:t>
      </w:r>
      <w:r w:rsidR="001D4691">
        <w:rPr>
          <w:rFonts w:ascii="Arial" w:eastAsia="Times New Roman" w:hAnsi="Arial" w:cs="Arial"/>
          <w:sz w:val="20"/>
          <w:szCs w:val="20"/>
          <w:lang w:eastAsia="en-AU"/>
        </w:rPr>
        <w:t>al foals</w:t>
      </w:r>
      <w:r w:rsidR="00154E3F">
        <w:rPr>
          <w:rFonts w:ascii="Arial" w:eastAsia="Times New Roman" w:hAnsi="Arial" w:cs="Arial"/>
          <w:sz w:val="20"/>
          <w:szCs w:val="20"/>
          <w:lang w:eastAsia="en-AU"/>
        </w:rPr>
        <w:t>.</w:t>
      </w:r>
    </w:p>
    <w:p w14:paraId="4FF3504B" w14:textId="4117E201" w:rsidR="003F27A6" w:rsidRDefault="003F27A6" w:rsidP="003F27A6">
      <w:pPr>
        <w:spacing w:line="240" w:lineRule="auto"/>
        <w:textAlignment w:val="center"/>
        <w:rPr>
          <w:rFonts w:ascii="Arial" w:eastAsia="Times New Roman" w:hAnsi="Arial" w:cs="Arial"/>
          <w:sz w:val="20"/>
          <w:szCs w:val="20"/>
          <w:lang w:eastAsia="en-AU"/>
        </w:rPr>
      </w:pPr>
      <w:r>
        <w:rPr>
          <w:rFonts w:ascii="Arial" w:eastAsia="Times New Roman" w:hAnsi="Arial" w:cs="Arial"/>
          <w:sz w:val="20"/>
          <w:szCs w:val="20"/>
          <w:lang w:eastAsia="en-AU"/>
        </w:rPr>
        <w:t xml:space="preserve">The highest volumes for </w:t>
      </w:r>
      <w:r w:rsidRPr="003F27A6">
        <w:rPr>
          <w:rFonts w:ascii="Arial" w:eastAsia="Times New Roman" w:hAnsi="Arial" w:cs="Arial"/>
          <w:sz w:val="20"/>
          <w:szCs w:val="20"/>
          <w:lang w:eastAsia="en-AU"/>
        </w:rPr>
        <w:t>suppl</w:t>
      </w:r>
      <w:r>
        <w:rPr>
          <w:rFonts w:ascii="Arial" w:eastAsia="Times New Roman" w:hAnsi="Arial" w:cs="Arial"/>
          <w:sz w:val="20"/>
          <w:szCs w:val="20"/>
          <w:lang w:eastAsia="en-AU"/>
        </w:rPr>
        <w:t>y</w:t>
      </w:r>
      <w:r w:rsidRPr="003F27A6">
        <w:rPr>
          <w:rFonts w:ascii="Arial" w:eastAsia="Times New Roman" w:hAnsi="Arial" w:cs="Arial"/>
          <w:sz w:val="20"/>
          <w:szCs w:val="20"/>
          <w:lang w:eastAsia="en-AU"/>
        </w:rPr>
        <w:t>, purchase and</w:t>
      </w:r>
      <w:r>
        <w:rPr>
          <w:rFonts w:ascii="Arial" w:eastAsia="Times New Roman" w:hAnsi="Arial" w:cs="Arial"/>
          <w:sz w:val="20"/>
          <w:szCs w:val="20"/>
          <w:lang w:eastAsia="en-AU"/>
        </w:rPr>
        <w:t xml:space="preserve"> use of animal blood products are between August and December, </w:t>
      </w:r>
      <w:r w:rsidRPr="003F27A6">
        <w:rPr>
          <w:rFonts w:ascii="Arial" w:eastAsia="Times New Roman" w:hAnsi="Arial" w:cs="Arial"/>
          <w:sz w:val="20"/>
          <w:szCs w:val="20"/>
          <w:lang w:eastAsia="en-AU"/>
        </w:rPr>
        <w:t xml:space="preserve">and the </w:t>
      </w:r>
      <w:r>
        <w:rPr>
          <w:rFonts w:ascii="Arial" w:eastAsia="Times New Roman" w:hAnsi="Arial" w:cs="Arial"/>
          <w:sz w:val="20"/>
          <w:szCs w:val="20"/>
          <w:lang w:eastAsia="en-AU"/>
        </w:rPr>
        <w:t xml:space="preserve">original </w:t>
      </w:r>
      <w:r w:rsidRPr="003F27A6">
        <w:rPr>
          <w:rFonts w:ascii="Arial" w:eastAsia="Times New Roman" w:hAnsi="Arial" w:cs="Arial"/>
          <w:sz w:val="20"/>
          <w:szCs w:val="20"/>
          <w:lang w:eastAsia="en-AU"/>
        </w:rPr>
        <w:t xml:space="preserve">implementation date of 1 </w:t>
      </w:r>
      <w:r>
        <w:rPr>
          <w:rFonts w:ascii="Arial" w:eastAsia="Times New Roman" w:hAnsi="Arial" w:cs="Arial"/>
          <w:sz w:val="20"/>
          <w:szCs w:val="20"/>
          <w:lang w:eastAsia="en-AU"/>
        </w:rPr>
        <w:t>October</w:t>
      </w:r>
      <w:r w:rsidRPr="003F27A6">
        <w:rPr>
          <w:rFonts w:ascii="Arial" w:eastAsia="Times New Roman" w:hAnsi="Arial" w:cs="Arial"/>
          <w:sz w:val="20"/>
          <w:szCs w:val="20"/>
          <w:lang w:eastAsia="en-AU"/>
        </w:rPr>
        <w:t xml:space="preserve"> 2024 falls in the middle of the</w:t>
      </w:r>
      <w:r>
        <w:rPr>
          <w:rFonts w:ascii="Arial" w:eastAsia="Times New Roman" w:hAnsi="Arial" w:cs="Arial"/>
          <w:sz w:val="20"/>
          <w:szCs w:val="20"/>
          <w:lang w:eastAsia="en-AU"/>
        </w:rPr>
        <w:t xml:space="preserve"> </w:t>
      </w:r>
      <w:r w:rsidRPr="003F27A6">
        <w:rPr>
          <w:rFonts w:ascii="Arial" w:eastAsia="Times New Roman" w:hAnsi="Arial" w:cs="Arial"/>
          <w:sz w:val="20"/>
          <w:szCs w:val="20"/>
          <w:lang w:eastAsia="en-AU"/>
        </w:rPr>
        <w:t>peak use period.</w:t>
      </w:r>
    </w:p>
    <w:p w14:paraId="4E742E2E" w14:textId="2050E11D" w:rsidR="003F27A6" w:rsidRDefault="003F27A6" w:rsidP="003F27A6">
      <w:pPr>
        <w:spacing w:line="240" w:lineRule="auto"/>
        <w:textAlignment w:val="center"/>
        <w:rPr>
          <w:rFonts w:ascii="Arial" w:eastAsia="Times New Roman" w:hAnsi="Arial" w:cs="Arial"/>
          <w:sz w:val="20"/>
          <w:szCs w:val="20"/>
          <w:lang w:eastAsia="en-AU"/>
        </w:rPr>
      </w:pPr>
      <w:r>
        <w:rPr>
          <w:rFonts w:ascii="Arial" w:eastAsia="Times New Roman" w:hAnsi="Arial" w:cs="Arial"/>
          <w:sz w:val="20"/>
          <w:szCs w:val="20"/>
          <w:lang w:eastAsia="en-AU"/>
        </w:rPr>
        <w:t>The stakeholder provided information that the distribution of animal blood products throughout this foaling season is expected to experience substantial interruptions if the implementation date of the May 2024 Final Decision is not deferred due to the logistical requirements around repacking and relabelling.</w:t>
      </w:r>
    </w:p>
    <w:p w14:paraId="580C0A83" w14:textId="6C75EBD1" w:rsidR="003F27A6" w:rsidRDefault="003F27A6" w:rsidP="003F27A6">
      <w:pPr>
        <w:spacing w:line="240" w:lineRule="auto"/>
        <w:textAlignment w:val="center"/>
        <w:rPr>
          <w:rFonts w:ascii="Arial" w:eastAsia="Times New Roman" w:hAnsi="Arial" w:cs="Arial"/>
          <w:sz w:val="20"/>
          <w:szCs w:val="20"/>
          <w:lang w:eastAsia="en-AU"/>
        </w:rPr>
      </w:pPr>
      <w:r>
        <w:rPr>
          <w:rFonts w:ascii="Arial" w:eastAsia="Times New Roman" w:hAnsi="Arial" w:cs="Arial"/>
          <w:sz w:val="20"/>
          <w:szCs w:val="20"/>
          <w:lang w:eastAsia="en-AU"/>
        </w:rPr>
        <w:t xml:space="preserve">In addition, deferring the implementation date to 1 February 2025 would be during a time of low product demand, substantially simplifying the implementation of the new scheduling requirements. </w:t>
      </w:r>
    </w:p>
    <w:p w14:paraId="748ED98F" w14:textId="6672D18A" w:rsidR="00613930" w:rsidRDefault="00655F24" w:rsidP="001E5D5F">
      <w:pPr>
        <w:spacing w:line="240" w:lineRule="auto"/>
        <w:textAlignment w:val="center"/>
        <w:rPr>
          <w:rFonts w:ascii="Arial" w:eastAsia="Times New Roman" w:hAnsi="Arial" w:cs="Arial"/>
          <w:sz w:val="20"/>
          <w:szCs w:val="20"/>
          <w:lang w:eastAsia="en-AU"/>
        </w:rPr>
      </w:pPr>
      <w:r>
        <w:rPr>
          <w:rFonts w:ascii="Arial" w:eastAsia="Times New Roman" w:hAnsi="Arial" w:cs="Arial"/>
          <w:sz w:val="20"/>
          <w:szCs w:val="20"/>
          <w:lang w:eastAsia="en-AU"/>
        </w:rPr>
        <w:t>The</w:t>
      </w:r>
      <w:r w:rsidR="003F27A6">
        <w:rPr>
          <w:rFonts w:ascii="Arial" w:eastAsia="Times New Roman" w:hAnsi="Arial" w:cs="Arial"/>
          <w:sz w:val="20"/>
          <w:szCs w:val="20"/>
          <w:lang w:eastAsia="en-AU"/>
        </w:rPr>
        <w:t>re was no</w:t>
      </w:r>
      <w:r w:rsidR="00613930" w:rsidRPr="00613930">
        <w:rPr>
          <w:rFonts w:ascii="Arial" w:eastAsia="Times New Roman" w:hAnsi="Arial" w:cs="Arial"/>
          <w:sz w:val="20"/>
          <w:szCs w:val="20"/>
          <w:lang w:eastAsia="en-AU"/>
        </w:rPr>
        <w:t xml:space="preserve"> objection to the </w:t>
      </w:r>
      <w:r w:rsidR="00613930">
        <w:rPr>
          <w:rFonts w:ascii="Arial" w:eastAsia="Times New Roman" w:hAnsi="Arial" w:cs="Arial"/>
          <w:sz w:val="20"/>
          <w:szCs w:val="20"/>
          <w:lang w:eastAsia="en-AU"/>
        </w:rPr>
        <w:t xml:space="preserve">May </w:t>
      </w:r>
      <w:r w:rsidR="00613930" w:rsidRPr="00613930">
        <w:rPr>
          <w:rFonts w:ascii="Arial" w:eastAsia="Times New Roman" w:hAnsi="Arial" w:cs="Arial"/>
          <w:sz w:val="20"/>
          <w:szCs w:val="20"/>
          <w:lang w:eastAsia="en-AU"/>
        </w:rPr>
        <w:t>202</w:t>
      </w:r>
      <w:r w:rsidR="00613930">
        <w:rPr>
          <w:rFonts w:ascii="Arial" w:eastAsia="Times New Roman" w:hAnsi="Arial" w:cs="Arial"/>
          <w:sz w:val="20"/>
          <w:szCs w:val="20"/>
          <w:lang w:eastAsia="en-AU"/>
        </w:rPr>
        <w:t>4</w:t>
      </w:r>
      <w:r w:rsidR="00613930" w:rsidRPr="00613930">
        <w:rPr>
          <w:rFonts w:ascii="Arial" w:eastAsia="Times New Roman" w:hAnsi="Arial" w:cs="Arial"/>
          <w:sz w:val="20"/>
          <w:szCs w:val="20"/>
          <w:lang w:eastAsia="en-AU"/>
        </w:rPr>
        <w:t xml:space="preserve"> Final Decision to </w:t>
      </w:r>
      <w:r w:rsidR="00613930">
        <w:rPr>
          <w:rFonts w:ascii="Arial" w:eastAsia="Times New Roman" w:hAnsi="Arial" w:cs="Arial"/>
          <w:sz w:val="20"/>
          <w:szCs w:val="20"/>
          <w:lang w:eastAsia="en-AU"/>
        </w:rPr>
        <w:t xml:space="preserve">create a new entry in Schedule 4 for animal </w:t>
      </w:r>
      <w:r>
        <w:rPr>
          <w:rFonts w:ascii="Arial" w:eastAsia="Times New Roman" w:hAnsi="Arial" w:cs="Arial"/>
          <w:sz w:val="20"/>
          <w:szCs w:val="20"/>
          <w:lang w:eastAsia="en-AU"/>
        </w:rPr>
        <w:t xml:space="preserve">blood </w:t>
      </w:r>
      <w:r w:rsidR="00613930">
        <w:rPr>
          <w:rFonts w:ascii="Arial" w:eastAsia="Times New Roman" w:hAnsi="Arial" w:cs="Arial"/>
          <w:sz w:val="20"/>
          <w:szCs w:val="20"/>
          <w:lang w:eastAsia="en-AU"/>
        </w:rPr>
        <w:t>products</w:t>
      </w:r>
      <w:r w:rsidR="00613930" w:rsidRPr="00613930">
        <w:rPr>
          <w:rFonts w:ascii="Arial" w:eastAsia="Times New Roman" w:hAnsi="Arial" w:cs="Arial"/>
          <w:sz w:val="20"/>
          <w:szCs w:val="20"/>
          <w:lang w:eastAsia="en-AU"/>
        </w:rPr>
        <w:t xml:space="preserve"> and only sought to defer the implementation date of that decision. Therefore, I </w:t>
      </w:r>
      <w:r w:rsidR="003F27A6">
        <w:rPr>
          <w:rFonts w:ascii="Arial" w:eastAsia="Times New Roman" w:hAnsi="Arial" w:cs="Arial"/>
          <w:sz w:val="20"/>
          <w:szCs w:val="20"/>
          <w:lang w:eastAsia="en-AU"/>
        </w:rPr>
        <w:t xml:space="preserve">have </w:t>
      </w:r>
      <w:r w:rsidR="00613930" w:rsidRPr="00613930">
        <w:rPr>
          <w:rFonts w:ascii="Arial" w:eastAsia="Times New Roman" w:hAnsi="Arial" w:cs="Arial"/>
          <w:sz w:val="20"/>
          <w:szCs w:val="20"/>
          <w:lang w:eastAsia="en-AU"/>
        </w:rPr>
        <w:t xml:space="preserve">decided not to refer </w:t>
      </w:r>
      <w:r w:rsidR="00CB1690">
        <w:rPr>
          <w:rFonts w:ascii="Arial" w:eastAsia="Times New Roman" w:hAnsi="Arial" w:cs="Arial"/>
          <w:sz w:val="20"/>
          <w:szCs w:val="20"/>
          <w:lang w:eastAsia="en-AU"/>
        </w:rPr>
        <w:t>the matter</w:t>
      </w:r>
      <w:r w:rsidR="00613930" w:rsidRPr="00613930">
        <w:rPr>
          <w:rFonts w:ascii="Arial" w:eastAsia="Times New Roman" w:hAnsi="Arial" w:cs="Arial"/>
          <w:sz w:val="20"/>
          <w:szCs w:val="20"/>
          <w:lang w:eastAsia="en-AU"/>
        </w:rPr>
        <w:t xml:space="preserve"> to an expert advisory committee.</w:t>
      </w:r>
    </w:p>
    <w:p w14:paraId="3DFCF6E2" w14:textId="12AF4870" w:rsidR="002C4AD8" w:rsidRDefault="00CB1690" w:rsidP="001E5D5F">
      <w:pPr>
        <w:spacing w:line="240" w:lineRule="auto"/>
        <w:textAlignment w:val="center"/>
        <w:rPr>
          <w:rFonts w:ascii="Arial" w:eastAsia="Times New Roman" w:hAnsi="Arial" w:cs="Arial"/>
          <w:sz w:val="20"/>
          <w:szCs w:val="20"/>
          <w:lang w:eastAsia="en-AU"/>
        </w:rPr>
      </w:pPr>
      <w:r w:rsidRPr="00CB1690">
        <w:rPr>
          <w:rFonts w:ascii="Arial" w:eastAsia="Times New Roman" w:hAnsi="Arial" w:cs="Arial"/>
          <w:sz w:val="20"/>
          <w:szCs w:val="20"/>
          <w:lang w:eastAsia="en-AU"/>
        </w:rPr>
        <w:t>While it is irregular to alter any final decision to amend the Poisons Standard after it has been published, I recognise</w:t>
      </w:r>
      <w:r w:rsidR="0095017D">
        <w:rPr>
          <w:rFonts w:ascii="Arial" w:eastAsia="Times New Roman" w:hAnsi="Arial" w:cs="Arial"/>
          <w:sz w:val="20"/>
          <w:szCs w:val="20"/>
          <w:lang w:eastAsia="en-AU"/>
        </w:rPr>
        <w:t xml:space="preserve"> the consequences </w:t>
      </w:r>
      <w:r w:rsidR="002C4AD8">
        <w:rPr>
          <w:rFonts w:ascii="Arial" w:eastAsia="Times New Roman" w:hAnsi="Arial" w:cs="Arial"/>
          <w:sz w:val="20"/>
          <w:szCs w:val="20"/>
          <w:lang w:eastAsia="en-AU"/>
        </w:rPr>
        <w:t xml:space="preserve">to industry </w:t>
      </w:r>
      <w:r w:rsidR="0095017D">
        <w:rPr>
          <w:rFonts w:ascii="Arial" w:eastAsia="Times New Roman" w:hAnsi="Arial" w:cs="Arial"/>
          <w:sz w:val="20"/>
          <w:szCs w:val="20"/>
          <w:lang w:eastAsia="en-AU"/>
        </w:rPr>
        <w:t xml:space="preserve">of </w:t>
      </w:r>
      <w:r w:rsidRPr="00CB1690">
        <w:rPr>
          <w:rFonts w:ascii="Arial" w:eastAsia="Times New Roman" w:hAnsi="Arial" w:cs="Arial"/>
          <w:sz w:val="20"/>
          <w:szCs w:val="20"/>
          <w:lang w:eastAsia="en-AU"/>
        </w:rPr>
        <w:t xml:space="preserve">the </w:t>
      </w:r>
      <w:r>
        <w:rPr>
          <w:rFonts w:ascii="Arial" w:eastAsia="Times New Roman" w:hAnsi="Arial" w:cs="Arial"/>
          <w:sz w:val="20"/>
          <w:szCs w:val="20"/>
          <w:lang w:eastAsia="en-AU"/>
        </w:rPr>
        <w:t xml:space="preserve">May </w:t>
      </w:r>
      <w:r w:rsidRPr="00CB1690">
        <w:rPr>
          <w:rFonts w:ascii="Arial" w:eastAsia="Times New Roman" w:hAnsi="Arial" w:cs="Arial"/>
          <w:sz w:val="20"/>
          <w:szCs w:val="20"/>
          <w:lang w:eastAsia="en-AU"/>
        </w:rPr>
        <w:t>202</w:t>
      </w:r>
      <w:r>
        <w:rPr>
          <w:rFonts w:ascii="Arial" w:eastAsia="Times New Roman" w:hAnsi="Arial" w:cs="Arial"/>
          <w:sz w:val="20"/>
          <w:szCs w:val="20"/>
          <w:lang w:eastAsia="en-AU"/>
        </w:rPr>
        <w:t>4</w:t>
      </w:r>
      <w:r w:rsidRPr="00CB1690">
        <w:rPr>
          <w:rFonts w:ascii="Arial" w:eastAsia="Times New Roman" w:hAnsi="Arial" w:cs="Arial"/>
          <w:sz w:val="20"/>
          <w:szCs w:val="20"/>
          <w:lang w:eastAsia="en-AU"/>
        </w:rPr>
        <w:t xml:space="preserve"> Final Decision and its original implementation date of 1 </w:t>
      </w:r>
      <w:r>
        <w:rPr>
          <w:rFonts w:ascii="Arial" w:eastAsia="Times New Roman" w:hAnsi="Arial" w:cs="Arial"/>
          <w:sz w:val="20"/>
          <w:szCs w:val="20"/>
          <w:lang w:eastAsia="en-AU"/>
        </w:rPr>
        <w:t xml:space="preserve">October </w:t>
      </w:r>
      <w:r w:rsidRPr="00CB1690">
        <w:rPr>
          <w:rFonts w:ascii="Arial" w:eastAsia="Times New Roman" w:hAnsi="Arial" w:cs="Arial"/>
          <w:sz w:val="20"/>
          <w:szCs w:val="20"/>
          <w:lang w:eastAsia="en-AU"/>
        </w:rPr>
        <w:t xml:space="preserve">2024 </w:t>
      </w:r>
      <w:r w:rsidR="0095017D">
        <w:rPr>
          <w:rFonts w:ascii="Arial" w:eastAsia="Times New Roman" w:hAnsi="Arial" w:cs="Arial"/>
          <w:sz w:val="20"/>
          <w:szCs w:val="20"/>
          <w:lang w:eastAsia="en-AU"/>
        </w:rPr>
        <w:t xml:space="preserve">should it </w:t>
      </w:r>
      <w:r w:rsidRPr="00CB1690">
        <w:rPr>
          <w:rFonts w:ascii="Arial" w:eastAsia="Times New Roman" w:hAnsi="Arial" w:cs="Arial"/>
          <w:sz w:val="20"/>
          <w:szCs w:val="20"/>
          <w:lang w:eastAsia="en-AU"/>
        </w:rPr>
        <w:t xml:space="preserve">be allowed to </w:t>
      </w:r>
      <w:r w:rsidR="00600C9D" w:rsidRPr="00CB1690">
        <w:rPr>
          <w:rFonts w:ascii="Arial" w:eastAsia="Times New Roman" w:hAnsi="Arial" w:cs="Arial"/>
          <w:sz w:val="20"/>
          <w:szCs w:val="20"/>
          <w:lang w:eastAsia="en-AU"/>
        </w:rPr>
        <w:t>stand.</w:t>
      </w:r>
      <w:r w:rsidR="00600C9D" w:rsidRPr="002C4AD8">
        <w:rPr>
          <w:rFonts w:ascii="Arial" w:eastAsia="Times New Roman" w:hAnsi="Arial" w:cs="Arial"/>
          <w:sz w:val="20"/>
          <w:szCs w:val="20"/>
          <w:lang w:eastAsia="en-AU"/>
        </w:rPr>
        <w:t xml:space="preserve"> While</w:t>
      </w:r>
      <w:r w:rsidR="002C4AD8" w:rsidRPr="002C4AD8">
        <w:rPr>
          <w:rFonts w:ascii="Arial" w:eastAsia="Times New Roman" w:hAnsi="Arial" w:cs="Arial"/>
          <w:sz w:val="20"/>
          <w:szCs w:val="20"/>
          <w:lang w:eastAsia="en-AU"/>
        </w:rPr>
        <w:t xml:space="preserve"> there are no changes from the </w:t>
      </w:r>
      <w:r w:rsidR="002C4AD8">
        <w:rPr>
          <w:rFonts w:ascii="Arial" w:eastAsia="Times New Roman" w:hAnsi="Arial" w:cs="Arial"/>
          <w:sz w:val="20"/>
          <w:szCs w:val="20"/>
          <w:lang w:eastAsia="en-AU"/>
        </w:rPr>
        <w:t xml:space="preserve">May </w:t>
      </w:r>
      <w:r w:rsidR="002C4AD8" w:rsidRPr="002C4AD8">
        <w:rPr>
          <w:rFonts w:ascii="Arial" w:eastAsia="Times New Roman" w:hAnsi="Arial" w:cs="Arial"/>
          <w:sz w:val="20"/>
          <w:szCs w:val="20"/>
          <w:lang w:eastAsia="en-AU"/>
        </w:rPr>
        <w:t>202</w:t>
      </w:r>
      <w:r w:rsidR="002C4AD8">
        <w:rPr>
          <w:rFonts w:ascii="Arial" w:eastAsia="Times New Roman" w:hAnsi="Arial" w:cs="Arial"/>
          <w:sz w:val="20"/>
          <w:szCs w:val="20"/>
          <w:lang w:eastAsia="en-AU"/>
        </w:rPr>
        <w:t>4</w:t>
      </w:r>
      <w:r w:rsidR="002C4AD8" w:rsidRPr="002C4AD8">
        <w:rPr>
          <w:rFonts w:ascii="Arial" w:eastAsia="Times New Roman" w:hAnsi="Arial" w:cs="Arial"/>
          <w:sz w:val="20"/>
          <w:szCs w:val="20"/>
          <w:lang w:eastAsia="en-AU"/>
        </w:rPr>
        <w:t xml:space="preserve"> Final Decision with regards to the amendments to the entry for</w:t>
      </w:r>
      <w:r w:rsidR="002C4AD8">
        <w:rPr>
          <w:rFonts w:ascii="Arial" w:eastAsia="Times New Roman" w:hAnsi="Arial" w:cs="Arial"/>
          <w:sz w:val="20"/>
          <w:szCs w:val="20"/>
          <w:lang w:eastAsia="en-AU"/>
        </w:rPr>
        <w:t xml:space="preserve"> animal blood products</w:t>
      </w:r>
      <w:r w:rsidR="002C4AD8" w:rsidRPr="002C4AD8">
        <w:rPr>
          <w:rFonts w:ascii="Arial" w:eastAsia="Times New Roman" w:hAnsi="Arial" w:cs="Arial"/>
          <w:sz w:val="20"/>
          <w:szCs w:val="20"/>
          <w:lang w:eastAsia="en-AU"/>
        </w:rPr>
        <w:t>, the implementation date of 1 </w:t>
      </w:r>
      <w:r w:rsidR="002C4AD8">
        <w:rPr>
          <w:rFonts w:ascii="Arial" w:eastAsia="Times New Roman" w:hAnsi="Arial" w:cs="Arial"/>
          <w:sz w:val="20"/>
          <w:szCs w:val="20"/>
          <w:lang w:eastAsia="en-AU"/>
        </w:rPr>
        <w:t>October</w:t>
      </w:r>
      <w:r w:rsidR="002C4AD8" w:rsidRPr="002C4AD8">
        <w:rPr>
          <w:rFonts w:ascii="Arial" w:eastAsia="Times New Roman" w:hAnsi="Arial" w:cs="Arial"/>
          <w:sz w:val="20"/>
          <w:szCs w:val="20"/>
          <w:lang w:eastAsia="en-AU"/>
        </w:rPr>
        <w:t xml:space="preserve"> 2024 will be superseded and deferred to </w:t>
      </w:r>
      <w:r w:rsidR="002C4AD8" w:rsidRPr="002C4AD8">
        <w:rPr>
          <w:rFonts w:ascii="Arial" w:eastAsia="Times New Roman" w:hAnsi="Arial" w:cs="Arial"/>
          <w:b/>
          <w:bCs/>
          <w:sz w:val="20"/>
          <w:szCs w:val="20"/>
          <w:lang w:eastAsia="en-AU"/>
        </w:rPr>
        <w:t>1 February 2025</w:t>
      </w:r>
      <w:r w:rsidR="002C4AD8">
        <w:rPr>
          <w:rFonts w:ascii="Arial" w:eastAsia="Times New Roman" w:hAnsi="Arial" w:cs="Arial"/>
          <w:b/>
          <w:bCs/>
          <w:sz w:val="20"/>
          <w:szCs w:val="20"/>
          <w:lang w:eastAsia="en-AU"/>
        </w:rPr>
        <w:t>.</w:t>
      </w:r>
    </w:p>
    <w:p w14:paraId="7C52E10A" w14:textId="20C9BFBC" w:rsidR="00CB1690" w:rsidRPr="00B560DA" w:rsidRDefault="00CB1690" w:rsidP="001E5D5F">
      <w:pPr>
        <w:spacing w:line="240" w:lineRule="auto"/>
        <w:textAlignment w:val="center"/>
        <w:rPr>
          <w:rFonts w:ascii="Arial" w:eastAsia="Times New Roman" w:hAnsi="Arial" w:cs="Arial"/>
          <w:sz w:val="20"/>
          <w:szCs w:val="20"/>
          <w:lang w:eastAsia="en-AU"/>
        </w:rPr>
      </w:pPr>
      <w:r w:rsidRPr="00CB1690">
        <w:rPr>
          <w:rFonts w:ascii="Arial" w:eastAsia="Times New Roman" w:hAnsi="Arial" w:cs="Arial"/>
          <w:sz w:val="20"/>
          <w:szCs w:val="20"/>
          <w:lang w:eastAsia="en-AU"/>
        </w:rPr>
        <w:t>I also encourage all stakeholders affected by scheduling decisions to engage with the public consultations conducted as part of the scheduling of medicines and chemicals. While every effort is made by the decision maker to independently acquire information that inform scheduling decisions, feedback from stakeholders, peak bodies and the wider community is crucial to the decision-making process.</w:t>
      </w:r>
    </w:p>
    <w:p w14:paraId="73477D03" w14:textId="77777777" w:rsidR="00A10D66" w:rsidRPr="00A700CE" w:rsidRDefault="00A10D66" w:rsidP="001E5D5F">
      <w:pPr>
        <w:spacing w:line="240" w:lineRule="auto"/>
        <w:textAlignment w:val="center"/>
        <w:rPr>
          <w:rFonts w:ascii="Arial" w:eastAsia="Times New Roman" w:hAnsi="Arial" w:cs="Arial"/>
          <w:sz w:val="20"/>
          <w:szCs w:val="20"/>
          <w:lang w:eastAsia="en-AU"/>
        </w:rPr>
      </w:pPr>
    </w:p>
    <w:p w14:paraId="1C7DEDBF" w14:textId="6D860409" w:rsidR="000D7942" w:rsidRPr="00215D48" w:rsidRDefault="000D7942" w:rsidP="00967490">
      <w:pPr>
        <w:sectPr w:rsidR="000D7942" w:rsidRPr="00215D48" w:rsidSect="00AE7C6A">
          <w:pgSz w:w="11906" w:h="16838" w:code="9"/>
          <w:pgMar w:top="1134" w:right="1418" w:bottom="1361" w:left="1418" w:header="573" w:footer="567" w:gutter="0"/>
          <w:cols w:space="708"/>
          <w:docGrid w:linePitch="360"/>
        </w:sectPr>
      </w:pPr>
      <w:r>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19"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000000" w:rsidP="00300CBB">
            <w:pPr>
              <w:pStyle w:val="Address"/>
              <w:jc w:val="center"/>
              <w:rPr>
                <w:rStyle w:val="Hyperlink"/>
                <w:b/>
                <w:color w:val="auto"/>
                <w:sz w:val="22"/>
              </w:rPr>
            </w:pPr>
            <w:hyperlink r:id="rId20"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C227AB" w:rsidRDefault="00C227AB" w:rsidP="00967490"/>
    <w:sectPr w:rsidR="00C227AB" w:rsidSect="00AE7C6A">
      <w:headerReference w:type="first" r:id="rId21"/>
      <w:footerReference w:type="first" r:id="rId2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0203" w14:textId="77777777" w:rsidR="00C84778" w:rsidRDefault="00C84778" w:rsidP="00967490">
      <w:r>
        <w:separator/>
      </w:r>
    </w:p>
    <w:p w14:paraId="338DF3F9" w14:textId="77777777" w:rsidR="00C84778" w:rsidRDefault="00C84778" w:rsidP="00967490"/>
    <w:p w14:paraId="67D56ADA" w14:textId="77777777" w:rsidR="00C84778" w:rsidRDefault="00C84778" w:rsidP="00967490"/>
  </w:endnote>
  <w:endnote w:type="continuationSeparator" w:id="0">
    <w:p w14:paraId="691C0AF2" w14:textId="77777777" w:rsidR="00C84778" w:rsidRDefault="00C84778" w:rsidP="00967490">
      <w:r>
        <w:continuationSeparator/>
      </w:r>
    </w:p>
    <w:p w14:paraId="73DCE0A5" w14:textId="77777777" w:rsidR="00C84778" w:rsidRDefault="00C84778" w:rsidP="00967490"/>
    <w:p w14:paraId="7BA31379" w14:textId="77777777" w:rsidR="00C84778" w:rsidRDefault="00C84778"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1D4691">
                <w:fldChar w:fldCharType="begin"/>
              </w:r>
              <w:r w:rsidR="001D4691">
                <w:instrText xml:space="preserve"> NUMPAGES  </w:instrText>
              </w:r>
              <w:r w:rsidR="001D4691">
                <w:fldChar w:fldCharType="separate"/>
              </w:r>
              <w:r>
                <w:rPr>
                  <w:noProof/>
                </w:rPr>
                <w:t>2</w:t>
              </w:r>
              <w:r w:rsidR="001D4691">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1133"/>
    </w:tblGrid>
    <w:tr w:rsidR="00F02AEC" w:rsidRPr="00DE78C9" w14:paraId="26871269" w14:textId="77777777" w:rsidTr="00A10D66">
      <w:trPr>
        <w:trHeight w:val="423"/>
      </w:trPr>
      <w:tc>
        <w:tcPr>
          <w:tcW w:w="8080" w:type="dxa"/>
          <w:tcBorders>
            <w:top w:val="single" w:sz="4" w:space="0" w:color="auto"/>
          </w:tcBorders>
        </w:tcPr>
        <w:p w14:paraId="5FF3321B" w14:textId="5CED4B20" w:rsidR="00F02AEC" w:rsidRPr="00A10D66" w:rsidRDefault="00E662D2" w:rsidP="00DE78C9">
          <w:pPr>
            <w:ind w:left="-110"/>
            <w:rPr>
              <w:rFonts w:ascii="Arial" w:hAnsi="Arial" w:cs="Arial"/>
              <w:sz w:val="16"/>
              <w:szCs w:val="16"/>
            </w:rPr>
          </w:pPr>
          <w:r w:rsidRPr="00A10D66">
            <w:rPr>
              <w:rFonts w:ascii="Arial" w:hAnsi="Arial" w:cs="Arial"/>
              <w:sz w:val="16"/>
              <w:szCs w:val="16"/>
            </w:rPr>
            <w:t>Notice of decision to amen</w:t>
          </w:r>
          <w:r w:rsidR="002805C4">
            <w:rPr>
              <w:rFonts w:ascii="Arial" w:hAnsi="Arial" w:cs="Arial"/>
              <w:sz w:val="16"/>
              <w:szCs w:val="16"/>
            </w:rPr>
            <w:t>d</w:t>
          </w:r>
          <w:r w:rsidRPr="00A10D66">
            <w:rPr>
              <w:rFonts w:ascii="Arial" w:hAnsi="Arial" w:cs="Arial"/>
              <w:sz w:val="16"/>
              <w:szCs w:val="16"/>
            </w:rPr>
            <w:t xml:space="preserve"> the current Poisons Standard in relation to </w:t>
          </w:r>
          <w:r w:rsidR="00E04AB5">
            <w:rPr>
              <w:rFonts w:ascii="Arial" w:hAnsi="Arial" w:cs="Arial"/>
              <w:sz w:val="16"/>
              <w:szCs w:val="16"/>
            </w:rPr>
            <w:t>animal blood products</w:t>
          </w:r>
          <w:r w:rsidRPr="00A10D66">
            <w:rPr>
              <w:rFonts w:ascii="Arial" w:hAnsi="Arial" w:cs="Arial"/>
              <w:sz w:val="16"/>
              <w:szCs w:val="16"/>
            </w:rPr>
            <w:t xml:space="preserve">, </w:t>
          </w:r>
          <w:r w:rsidR="00E04AB5">
            <w:rPr>
              <w:rFonts w:ascii="Arial" w:hAnsi="Arial" w:cs="Arial"/>
              <w:sz w:val="16"/>
              <w:szCs w:val="16"/>
            </w:rPr>
            <w:t>September</w:t>
          </w:r>
          <w:r w:rsidRPr="00A10D66">
            <w:rPr>
              <w:rFonts w:ascii="Arial" w:hAnsi="Arial" w:cs="Arial"/>
              <w:sz w:val="16"/>
              <w:szCs w:val="16"/>
            </w:rPr>
            <w:t xml:space="preserve"> 2024</w:t>
          </w:r>
        </w:p>
      </w:tc>
      <w:tc>
        <w:tcPr>
          <w:tcW w:w="1133" w:type="dxa"/>
          <w:tcBorders>
            <w:top w:val="single" w:sz="4" w:space="0" w:color="auto"/>
          </w:tcBorders>
        </w:tcPr>
        <w:sdt>
          <w:sdtPr>
            <w:rPr>
              <w:rFonts w:cstheme="minorHAnsi"/>
              <w:sz w:val="18"/>
              <w:szCs w:val="18"/>
            </w:rPr>
            <w:id w:val="11571659"/>
            <w:docPartObj>
              <w:docPartGallery w:val="Page Numbers (Top of Page)"/>
              <w:docPartUnique/>
            </w:docPartObj>
          </w:sdt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A10D66">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EBDA" w14:textId="77777777" w:rsidR="00C227AB" w:rsidRPr="008E3C43" w:rsidRDefault="00C227A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67292" w14:textId="77777777" w:rsidR="00C84778" w:rsidRDefault="00C84778" w:rsidP="00967490">
      <w:r>
        <w:separator/>
      </w:r>
    </w:p>
  </w:footnote>
  <w:footnote w:type="continuationSeparator" w:id="0">
    <w:p w14:paraId="61EB3187" w14:textId="77777777" w:rsidR="00C84778" w:rsidRDefault="00C84778" w:rsidP="00967490">
      <w:r>
        <w:continuationSeparator/>
      </w:r>
    </w:p>
    <w:p w14:paraId="16D7EC99" w14:textId="77777777" w:rsidR="00C84778" w:rsidRDefault="00C84778" w:rsidP="00967490"/>
    <w:p w14:paraId="749C7A47" w14:textId="77777777" w:rsidR="00C84778" w:rsidRDefault="00C84778" w:rsidP="00967490"/>
  </w:footnote>
  <w:footnote w:id="1">
    <w:p w14:paraId="0A773267" w14:textId="6090B126" w:rsidR="00A656E2" w:rsidRDefault="00A656E2">
      <w:pPr>
        <w:pStyle w:val="FootnoteText"/>
      </w:pPr>
      <w:r>
        <w:rPr>
          <w:rStyle w:val="FootnoteReference"/>
        </w:rPr>
        <w:footnoteRef/>
      </w:r>
      <w:r>
        <w:t xml:space="preserve"> </w:t>
      </w:r>
      <w:r w:rsidRPr="009421DD">
        <w:rPr>
          <w:rFonts w:asciiTheme="minorHAnsi" w:hAnsiTheme="minorHAnsi" w:cstheme="minorHAnsi"/>
          <w:sz w:val="18"/>
          <w:szCs w:val="18"/>
        </w:rPr>
        <w:t xml:space="preserve">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2">
    <w:p w14:paraId="29C9899F" w14:textId="77777777" w:rsidR="001E5D5F" w:rsidRDefault="001E5D5F" w:rsidP="001E5D5F">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D080" w14:textId="77777777" w:rsidR="00C227AB" w:rsidRPr="00FE501F" w:rsidRDefault="00C227A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921D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736516"/>
    <w:multiLevelType w:val="hybridMultilevel"/>
    <w:tmpl w:val="8A461EFE"/>
    <w:lvl w:ilvl="0" w:tplc="502880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601B2"/>
    <w:multiLevelType w:val="hybridMultilevel"/>
    <w:tmpl w:val="E2208BB8"/>
    <w:lvl w:ilvl="0" w:tplc="96EAFA5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5F057B9"/>
    <w:multiLevelType w:val="hybridMultilevel"/>
    <w:tmpl w:val="15B8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D3E5AAC"/>
    <w:multiLevelType w:val="hybridMultilevel"/>
    <w:tmpl w:val="6632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D3ADF"/>
    <w:multiLevelType w:val="hybridMultilevel"/>
    <w:tmpl w:val="627A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BC0891"/>
    <w:multiLevelType w:val="hybridMultilevel"/>
    <w:tmpl w:val="B0F89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4FAB1631"/>
    <w:multiLevelType w:val="hybridMultilevel"/>
    <w:tmpl w:val="AFFCE16E"/>
    <w:lvl w:ilvl="0" w:tplc="C97629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65288B"/>
    <w:multiLevelType w:val="hybridMultilevel"/>
    <w:tmpl w:val="6CBCFEFE"/>
    <w:lvl w:ilvl="0" w:tplc="DA6C15F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136FC6"/>
    <w:multiLevelType w:val="hybridMultilevel"/>
    <w:tmpl w:val="B2B0B088"/>
    <w:lvl w:ilvl="0" w:tplc="F6940F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C12510"/>
    <w:multiLevelType w:val="hybridMultilevel"/>
    <w:tmpl w:val="74824250"/>
    <w:lvl w:ilvl="0" w:tplc="4BDA66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7373C7"/>
    <w:multiLevelType w:val="hybridMultilevel"/>
    <w:tmpl w:val="1F045FEE"/>
    <w:lvl w:ilvl="0" w:tplc="AFF2810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112B2E"/>
    <w:multiLevelType w:val="hybridMultilevel"/>
    <w:tmpl w:val="4978F218"/>
    <w:lvl w:ilvl="0" w:tplc="44026F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7"/>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4"/>
  </w:num>
  <w:num w:numId="3" w16cid:durableId="1248614696">
    <w:abstractNumId w:val="6"/>
  </w:num>
  <w:num w:numId="4" w16cid:durableId="297951965">
    <w:abstractNumId w:val="16"/>
  </w:num>
  <w:num w:numId="5" w16cid:durableId="1535191726">
    <w:abstractNumId w:val="10"/>
  </w:num>
  <w:num w:numId="6" w16cid:durableId="224069918">
    <w:abstractNumId w:val="14"/>
  </w:num>
  <w:num w:numId="7" w16cid:durableId="1150249122">
    <w:abstractNumId w:val="8"/>
  </w:num>
  <w:num w:numId="8" w16cid:durableId="233053789">
    <w:abstractNumId w:val="1"/>
  </w:num>
  <w:num w:numId="9" w16cid:durableId="1393187700">
    <w:abstractNumId w:val="0"/>
  </w:num>
  <w:num w:numId="10" w16cid:durableId="91820601">
    <w:abstractNumId w:val="7"/>
  </w:num>
  <w:num w:numId="11" w16cid:durableId="1223715709">
    <w:abstractNumId w:val="19"/>
  </w:num>
  <w:num w:numId="12" w16cid:durableId="1085152714">
    <w:abstractNumId w:val="17"/>
  </w:num>
  <w:num w:numId="13" w16cid:durableId="252320647">
    <w:abstractNumId w:val="20"/>
  </w:num>
  <w:num w:numId="14" w16cid:durableId="530261457">
    <w:abstractNumId w:val="21"/>
  </w:num>
  <w:num w:numId="15" w16cid:durableId="128208994">
    <w:abstractNumId w:val="2"/>
  </w:num>
  <w:num w:numId="16" w16cid:durableId="1267544943">
    <w:abstractNumId w:val="18"/>
  </w:num>
  <w:num w:numId="17" w16cid:durableId="591672100">
    <w:abstractNumId w:val="12"/>
  </w:num>
  <w:num w:numId="18" w16cid:durableId="1680886372">
    <w:abstractNumId w:val="5"/>
  </w:num>
  <w:num w:numId="19" w16cid:durableId="923339381">
    <w:abstractNumId w:val="15"/>
  </w:num>
  <w:num w:numId="20" w16cid:durableId="335890048">
    <w:abstractNumId w:val="17"/>
    <w:lvlOverride w:ilvl="0">
      <w:startOverride w:val="1"/>
    </w:lvlOverride>
  </w:num>
  <w:num w:numId="21" w16cid:durableId="1217594278">
    <w:abstractNumId w:val="13"/>
  </w:num>
  <w:num w:numId="22" w16cid:durableId="191186244">
    <w:abstractNumId w:val="9"/>
  </w:num>
  <w:num w:numId="23" w16cid:durableId="464785685">
    <w:abstractNumId w:val="3"/>
  </w:num>
  <w:num w:numId="24" w16cid:durableId="1861164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7A50"/>
    <w:rsid w:val="0004645C"/>
    <w:rsid w:val="0006118B"/>
    <w:rsid w:val="00075B7B"/>
    <w:rsid w:val="00094B81"/>
    <w:rsid w:val="000B210B"/>
    <w:rsid w:val="000C0E8F"/>
    <w:rsid w:val="000D7942"/>
    <w:rsid w:val="000E2D35"/>
    <w:rsid w:val="000E4AC9"/>
    <w:rsid w:val="0012473C"/>
    <w:rsid w:val="001264B5"/>
    <w:rsid w:val="00142086"/>
    <w:rsid w:val="00154E3F"/>
    <w:rsid w:val="00175CD8"/>
    <w:rsid w:val="001C1DAC"/>
    <w:rsid w:val="001C4E34"/>
    <w:rsid w:val="001D4691"/>
    <w:rsid w:val="001E5D5F"/>
    <w:rsid w:val="0020170D"/>
    <w:rsid w:val="00236E07"/>
    <w:rsid w:val="002805C4"/>
    <w:rsid w:val="002C4AD8"/>
    <w:rsid w:val="002D5943"/>
    <w:rsid w:val="002E6187"/>
    <w:rsid w:val="002F1853"/>
    <w:rsid w:val="002F7B50"/>
    <w:rsid w:val="003008D8"/>
    <w:rsid w:val="00300CBB"/>
    <w:rsid w:val="00305DF9"/>
    <w:rsid w:val="00320D31"/>
    <w:rsid w:val="00321B93"/>
    <w:rsid w:val="00324626"/>
    <w:rsid w:val="0035444D"/>
    <w:rsid w:val="00365FA4"/>
    <w:rsid w:val="00390C18"/>
    <w:rsid w:val="003C2229"/>
    <w:rsid w:val="003D73F6"/>
    <w:rsid w:val="003D796F"/>
    <w:rsid w:val="003E1AC5"/>
    <w:rsid w:val="003F27A6"/>
    <w:rsid w:val="003F5E43"/>
    <w:rsid w:val="004246B8"/>
    <w:rsid w:val="00457050"/>
    <w:rsid w:val="0046510A"/>
    <w:rsid w:val="00490390"/>
    <w:rsid w:val="004A321D"/>
    <w:rsid w:val="004D06D7"/>
    <w:rsid w:val="00556253"/>
    <w:rsid w:val="00563169"/>
    <w:rsid w:val="005761D5"/>
    <w:rsid w:val="005828C9"/>
    <w:rsid w:val="00582F6D"/>
    <w:rsid w:val="0058575E"/>
    <w:rsid w:val="00595FA2"/>
    <w:rsid w:val="005A405C"/>
    <w:rsid w:val="005C65E7"/>
    <w:rsid w:val="005C6712"/>
    <w:rsid w:val="005D310A"/>
    <w:rsid w:val="005E3E9A"/>
    <w:rsid w:val="005F3AC5"/>
    <w:rsid w:val="00600C9D"/>
    <w:rsid w:val="006119D9"/>
    <w:rsid w:val="00613930"/>
    <w:rsid w:val="00616F06"/>
    <w:rsid w:val="00617A79"/>
    <w:rsid w:val="006301B3"/>
    <w:rsid w:val="00655F24"/>
    <w:rsid w:val="00691A93"/>
    <w:rsid w:val="006A1F0B"/>
    <w:rsid w:val="006E40AB"/>
    <w:rsid w:val="00746990"/>
    <w:rsid w:val="0075008A"/>
    <w:rsid w:val="00750DD7"/>
    <w:rsid w:val="00757379"/>
    <w:rsid w:val="00757E6A"/>
    <w:rsid w:val="007D5ACD"/>
    <w:rsid w:val="007F0A77"/>
    <w:rsid w:val="008146EC"/>
    <w:rsid w:val="00831B56"/>
    <w:rsid w:val="008329DB"/>
    <w:rsid w:val="008C70B4"/>
    <w:rsid w:val="008E755E"/>
    <w:rsid w:val="00930D58"/>
    <w:rsid w:val="009321C7"/>
    <w:rsid w:val="0094694D"/>
    <w:rsid w:val="0095017D"/>
    <w:rsid w:val="00967490"/>
    <w:rsid w:val="00982700"/>
    <w:rsid w:val="00987F94"/>
    <w:rsid w:val="009A4603"/>
    <w:rsid w:val="009A62A2"/>
    <w:rsid w:val="009E7E17"/>
    <w:rsid w:val="009F7132"/>
    <w:rsid w:val="00A00118"/>
    <w:rsid w:val="00A10D66"/>
    <w:rsid w:val="00A52A67"/>
    <w:rsid w:val="00A656E2"/>
    <w:rsid w:val="00A700CE"/>
    <w:rsid w:val="00A82BD7"/>
    <w:rsid w:val="00A85C2B"/>
    <w:rsid w:val="00AA12EC"/>
    <w:rsid w:val="00AA702D"/>
    <w:rsid w:val="00AB7CBF"/>
    <w:rsid w:val="00AD0520"/>
    <w:rsid w:val="00B026EA"/>
    <w:rsid w:val="00B167C2"/>
    <w:rsid w:val="00B44A71"/>
    <w:rsid w:val="00B46BC0"/>
    <w:rsid w:val="00B560DA"/>
    <w:rsid w:val="00B70E4A"/>
    <w:rsid w:val="00B7418E"/>
    <w:rsid w:val="00B7503C"/>
    <w:rsid w:val="00BB34CD"/>
    <w:rsid w:val="00BE0386"/>
    <w:rsid w:val="00C11767"/>
    <w:rsid w:val="00C227AB"/>
    <w:rsid w:val="00C80A2D"/>
    <w:rsid w:val="00C84778"/>
    <w:rsid w:val="00C90D75"/>
    <w:rsid w:val="00CB0550"/>
    <w:rsid w:val="00CB1690"/>
    <w:rsid w:val="00D06005"/>
    <w:rsid w:val="00D078BE"/>
    <w:rsid w:val="00D13F8A"/>
    <w:rsid w:val="00D15E47"/>
    <w:rsid w:val="00D1612F"/>
    <w:rsid w:val="00D23693"/>
    <w:rsid w:val="00D66865"/>
    <w:rsid w:val="00D7587E"/>
    <w:rsid w:val="00D918D5"/>
    <w:rsid w:val="00D93EB0"/>
    <w:rsid w:val="00DE4F63"/>
    <w:rsid w:val="00DE78C9"/>
    <w:rsid w:val="00E04AB5"/>
    <w:rsid w:val="00E13061"/>
    <w:rsid w:val="00E14BFC"/>
    <w:rsid w:val="00E25E09"/>
    <w:rsid w:val="00E31503"/>
    <w:rsid w:val="00E32201"/>
    <w:rsid w:val="00E370AC"/>
    <w:rsid w:val="00E42057"/>
    <w:rsid w:val="00E46184"/>
    <w:rsid w:val="00E53D3F"/>
    <w:rsid w:val="00E662D2"/>
    <w:rsid w:val="00E70A86"/>
    <w:rsid w:val="00ED738C"/>
    <w:rsid w:val="00F02AEC"/>
    <w:rsid w:val="00F4479D"/>
    <w:rsid w:val="00FA49C3"/>
    <w:rsid w:val="00FB0E87"/>
    <w:rsid w:val="00FC1EB4"/>
    <w:rsid w:val="00FD2F8C"/>
    <w:rsid w:val="00FE2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C9"/>
    <w:rPr>
      <w:color w:val="000000" w:themeColor="text1"/>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E04AB5"/>
    <w:pPr>
      <w:spacing w:before="120" w:after="180" w:line="240" w:lineRule="atLeast"/>
    </w:pPr>
    <w:rPr>
      <w:rFonts w:ascii="Arial" w:eastAsia="Cambria" w:hAnsi="Arial" w:cs="Arial"/>
      <w:sz w:val="20"/>
      <w:szCs w:val="20"/>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ascii="Arial" w:eastAsia="Cambria" w:hAnsi="Arial"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ascii="Arial" w:eastAsia="Cambria" w:hAnsi="Arial"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ascii="Arial" w:eastAsia="Cambria" w:hAnsi="Arial"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autoRedefine/>
    <w:uiPriority w:val="34"/>
    <w:qFormat/>
    <w:rsid w:val="00617A79"/>
    <w:pPr>
      <w:numPr>
        <w:numId w:val="23"/>
      </w:numPr>
      <w:spacing w:before="120" w:line="240" w:lineRule="auto"/>
      <w:textAlignment w:val="center"/>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1E5D5F"/>
    <w:pPr>
      <w:spacing w:after="0" w:line="240" w:lineRule="auto"/>
    </w:pPr>
    <w:rPr>
      <w:rFonts w:ascii="Cambria" w:eastAsia="Cambria" w:hAnsi="Cambria" w:cs="Times New Roman"/>
      <w:color w:val="000000"/>
      <w:kern w:val="2"/>
      <w:sz w:val="22"/>
      <w:szCs w:val="21"/>
      <w:lang w:eastAsia="en-AU"/>
      <w14:ligatures w14:val="standardContextual"/>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6301B3"/>
    <w:pPr>
      <w:spacing w:after="0" w:line="240" w:lineRule="auto"/>
    </w:pPr>
    <w:rPr>
      <w:color w:val="000000" w:themeColor="text1"/>
      <w:sz w:val="22"/>
      <w:szCs w:val="22"/>
    </w:rPr>
  </w:style>
  <w:style w:type="paragraph" w:customStyle="1" w:styleId="Default">
    <w:name w:val="Default"/>
    <w:rsid w:val="00617A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publication/ahmac-scheduling-policy-framework-medicines-and-chemicals" TargetMode="External"/><Relationship Id="rId2" Type="http://schemas.openxmlformats.org/officeDocument/2006/relationships/numbering" Target="numbering.xml"/><Relationship Id="rId16" Type="http://schemas.openxmlformats.org/officeDocument/2006/relationships/hyperlink" Target="https://www.tga.gov.au/sites/default/files/2024-05/notice-final-decisions-amend-not-amend-current-poisons-standard-november-2023.pdf" TargetMode="Externa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TotalTime>
  <Pages>8</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Notice of decision to amend (or not amend) the current Poisons Standard in relation to nicotine</vt:lpstr>
    </vt:vector>
  </TitlesOfParts>
  <Company>Department of Health and Aged Care</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decision to amend the current Poisons Standard in relation to animal blood products</dc:title>
  <dc:subject/>
  <dc:creator>Therapeutic Goods Administration</dc:creator>
  <cp:keywords/>
  <dc:description/>
  <cp:lastModifiedBy>PITKIN, Brendan</cp:lastModifiedBy>
  <cp:revision>4</cp:revision>
  <dcterms:created xsi:type="dcterms:W3CDTF">2024-09-12T23:32:00Z</dcterms:created>
  <dcterms:modified xsi:type="dcterms:W3CDTF">2024-09-12T23:38:00Z</dcterms:modified>
</cp:coreProperties>
</file>