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F02AEC" w:rsidRPr="00215D48" w14:paraId="08AE1D54" w14:textId="77777777" w:rsidTr="00C24AD6">
        <w:trPr>
          <w:trHeight w:val="1558"/>
        </w:trPr>
        <w:tc>
          <w:tcPr>
            <w:tcW w:w="9062" w:type="dxa"/>
          </w:tcPr>
          <w:p w14:paraId="2538A211" w14:textId="6BE262CA" w:rsidR="00F02AEC" w:rsidRPr="00215D48" w:rsidRDefault="00346EC2" w:rsidP="007452E8">
            <w:pPr>
              <w:pStyle w:val="Title"/>
            </w:pPr>
            <w:r w:rsidRPr="00346EC2">
              <w:t xml:space="preserve">Australian Public Assessment Report for </w:t>
            </w:r>
            <w:r w:rsidR="00C87187">
              <w:t>Wegovy</w:t>
            </w:r>
          </w:p>
        </w:tc>
      </w:tr>
      <w:tr w:rsidR="00F02AEC" w:rsidRPr="00215D48" w14:paraId="318A40A3" w14:textId="77777777" w:rsidTr="00C24AD6">
        <w:trPr>
          <w:trHeight w:val="995"/>
        </w:trPr>
        <w:tc>
          <w:tcPr>
            <w:tcW w:w="9062" w:type="dxa"/>
          </w:tcPr>
          <w:p w14:paraId="1AA7C701" w14:textId="51AAB91F" w:rsidR="00F02AEC" w:rsidRPr="00215D48" w:rsidRDefault="00346EC2" w:rsidP="007452E8">
            <w:pPr>
              <w:pStyle w:val="Subtitle"/>
              <w:ind w:left="0"/>
            </w:pPr>
            <w:r w:rsidRPr="00346EC2">
              <w:t xml:space="preserve">Active ingredient: </w:t>
            </w:r>
            <w:r w:rsidR="009E2978">
              <w:t>S</w:t>
            </w:r>
            <w:r w:rsidR="00C24AD6" w:rsidRPr="00C24AD6">
              <w:t>emaglutide</w:t>
            </w:r>
          </w:p>
        </w:tc>
      </w:tr>
      <w:tr w:rsidR="00346EC2" w:rsidRPr="00215D48" w14:paraId="362CCAE4" w14:textId="77777777" w:rsidTr="00C24AD6">
        <w:trPr>
          <w:trHeight w:val="1916"/>
        </w:trPr>
        <w:tc>
          <w:tcPr>
            <w:tcW w:w="9062" w:type="dxa"/>
          </w:tcPr>
          <w:p w14:paraId="709C45C0" w14:textId="0C39EC4D" w:rsidR="00346EC2" w:rsidRPr="00215D48" w:rsidRDefault="0041507C" w:rsidP="007452E8">
            <w:pPr>
              <w:pStyle w:val="Subtitle"/>
              <w:ind w:left="0"/>
            </w:pPr>
            <w:r>
              <w:t>Sponsor</w:t>
            </w:r>
            <w:r w:rsidR="00346EC2" w:rsidRPr="00346EC2">
              <w:t>:</w:t>
            </w:r>
            <w:r w:rsidR="00C24AD6">
              <w:t xml:space="preserve"> </w:t>
            </w:r>
            <w:r w:rsidR="00C24AD6" w:rsidRPr="00C24AD6">
              <w:t>Novo Nordisk Pharmaceuticals Pty Ltd</w:t>
            </w:r>
          </w:p>
        </w:tc>
      </w:tr>
      <w:tr w:rsidR="00F02AEC" w:rsidRPr="00215D48" w14:paraId="37F2AA1F" w14:textId="77777777" w:rsidTr="00C24AD6">
        <w:trPr>
          <w:trHeight w:val="437"/>
        </w:trPr>
        <w:tc>
          <w:tcPr>
            <w:tcW w:w="9062" w:type="dxa"/>
          </w:tcPr>
          <w:p w14:paraId="1FDE8DCD" w14:textId="0E6B8B08" w:rsidR="00F02AEC" w:rsidRPr="00215D48" w:rsidRDefault="00C24AD6" w:rsidP="007452E8">
            <w:pPr>
              <w:pStyle w:val="Date"/>
            </w:pPr>
            <w:r>
              <w:t>July</w:t>
            </w:r>
            <w:r w:rsidR="00F02AEC" w:rsidRPr="00215D48">
              <w:t xml:space="preserve"> </w:t>
            </w:r>
            <w:r>
              <w:t>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005FC09D" w:rsidR="00175CD8" w:rsidRPr="00346EC2" w:rsidRDefault="00F02AEC" w:rsidP="00346EC2">
      <w:pPr>
        <w:pStyle w:val="LegalCopy"/>
        <w:rPr>
          <w:rFonts w:cs="Arial"/>
        </w:rPr>
      </w:pPr>
      <w:r w:rsidRPr="00215D48">
        <w:rPr>
          <w:rFonts w:cs="Arial"/>
        </w:rPr>
        <w:t>© Commonwealth of Australia 20</w:t>
      </w:r>
      <w:r>
        <w:rPr>
          <w:rFonts w:cs="Arial"/>
        </w:rPr>
        <w:t>2</w:t>
      </w:r>
      <w:r w:rsidR="00C90965">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46D08F82" w14:textId="2A6E694E" w:rsidR="00154524" w:rsidRDefault="00F02AEC">
          <w:pPr>
            <w:pStyle w:val="TOC2"/>
            <w:rPr>
              <w:rFonts w:asciiTheme="minorHAnsi" w:eastAsiaTheme="minorEastAsia" w:hAnsiTheme="minorHAnsi" w:cstheme="minorBidi"/>
              <w:b w:val="0"/>
              <w:noProof/>
              <w:color w:val="auto"/>
              <w:kern w:val="2"/>
              <w:sz w:val="22"/>
              <w:szCs w:val="22"/>
              <w:lang w:eastAsia="en-AU"/>
              <w14:ligatures w14:val="standardContextual"/>
            </w:rPr>
          </w:pPr>
          <w:r w:rsidRPr="00215D48">
            <w:rPr>
              <w:sz w:val="32"/>
            </w:rPr>
            <w:fldChar w:fldCharType="begin"/>
          </w:r>
          <w:r w:rsidRPr="00215D48">
            <w:instrText xml:space="preserve"> TOC \h \z \u \t "Heading 2,1,Heading 3,2,Heading 4,3" </w:instrText>
          </w:r>
          <w:r w:rsidRPr="00215D48">
            <w:rPr>
              <w:sz w:val="32"/>
            </w:rPr>
            <w:fldChar w:fldCharType="separate"/>
          </w:r>
          <w:hyperlink w:anchor="_Toc176423048" w:history="1">
            <w:r w:rsidR="00154524" w:rsidRPr="00A310E4">
              <w:rPr>
                <w:rStyle w:val="Hyperlink"/>
                <w:noProof/>
              </w:rPr>
              <w:t>List of abbreviations</w:t>
            </w:r>
            <w:r w:rsidR="00154524">
              <w:rPr>
                <w:noProof/>
                <w:webHidden/>
              </w:rPr>
              <w:tab/>
            </w:r>
            <w:r w:rsidR="00154524">
              <w:rPr>
                <w:noProof/>
                <w:webHidden/>
              </w:rPr>
              <w:fldChar w:fldCharType="begin"/>
            </w:r>
            <w:r w:rsidR="00154524">
              <w:rPr>
                <w:noProof/>
                <w:webHidden/>
              </w:rPr>
              <w:instrText xml:space="preserve"> PAGEREF _Toc176423048 \h </w:instrText>
            </w:r>
            <w:r w:rsidR="00154524">
              <w:rPr>
                <w:noProof/>
                <w:webHidden/>
              </w:rPr>
            </w:r>
            <w:r w:rsidR="00154524">
              <w:rPr>
                <w:noProof/>
                <w:webHidden/>
              </w:rPr>
              <w:fldChar w:fldCharType="separate"/>
            </w:r>
            <w:r w:rsidR="00367A8D">
              <w:rPr>
                <w:noProof/>
                <w:webHidden/>
              </w:rPr>
              <w:t>4</w:t>
            </w:r>
            <w:r w:rsidR="00154524">
              <w:rPr>
                <w:noProof/>
                <w:webHidden/>
              </w:rPr>
              <w:fldChar w:fldCharType="end"/>
            </w:r>
          </w:hyperlink>
        </w:p>
        <w:p w14:paraId="4A1E516E" w14:textId="4119D541" w:rsidR="00154524" w:rsidRDefault="00367A8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6423049" w:history="1">
            <w:r w:rsidR="00154524" w:rsidRPr="00A310E4">
              <w:rPr>
                <w:rStyle w:val="Hyperlink"/>
                <w:noProof/>
              </w:rPr>
              <w:t>Wegovy (Semaglutide) submission</w:t>
            </w:r>
            <w:r w:rsidR="00154524">
              <w:rPr>
                <w:noProof/>
                <w:webHidden/>
              </w:rPr>
              <w:tab/>
            </w:r>
            <w:r w:rsidR="00154524">
              <w:rPr>
                <w:noProof/>
                <w:webHidden/>
              </w:rPr>
              <w:fldChar w:fldCharType="begin"/>
            </w:r>
            <w:r w:rsidR="00154524">
              <w:rPr>
                <w:noProof/>
                <w:webHidden/>
              </w:rPr>
              <w:instrText xml:space="preserve"> PAGEREF _Toc176423049 \h </w:instrText>
            </w:r>
            <w:r w:rsidR="00154524">
              <w:rPr>
                <w:noProof/>
                <w:webHidden/>
              </w:rPr>
            </w:r>
            <w:r w:rsidR="00154524">
              <w:rPr>
                <w:noProof/>
                <w:webHidden/>
              </w:rPr>
              <w:fldChar w:fldCharType="separate"/>
            </w:r>
            <w:r>
              <w:rPr>
                <w:noProof/>
                <w:webHidden/>
              </w:rPr>
              <w:t>5</w:t>
            </w:r>
            <w:r w:rsidR="00154524">
              <w:rPr>
                <w:noProof/>
                <w:webHidden/>
              </w:rPr>
              <w:fldChar w:fldCharType="end"/>
            </w:r>
          </w:hyperlink>
        </w:p>
        <w:p w14:paraId="0826D5B0" w14:textId="680CA2E3" w:rsidR="00154524" w:rsidRDefault="00367A8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423050" w:history="1">
            <w:r w:rsidR="00154524" w:rsidRPr="00A310E4">
              <w:rPr>
                <w:rStyle w:val="Hyperlink"/>
                <w:noProof/>
              </w:rPr>
              <w:t>Wegovy (semaglutide) – proposed indication</w:t>
            </w:r>
            <w:r w:rsidR="00154524">
              <w:rPr>
                <w:noProof/>
                <w:webHidden/>
              </w:rPr>
              <w:tab/>
            </w:r>
            <w:r w:rsidR="00154524">
              <w:rPr>
                <w:noProof/>
                <w:webHidden/>
              </w:rPr>
              <w:fldChar w:fldCharType="begin"/>
            </w:r>
            <w:r w:rsidR="00154524">
              <w:rPr>
                <w:noProof/>
                <w:webHidden/>
              </w:rPr>
              <w:instrText xml:space="preserve"> PAGEREF _Toc176423050 \h </w:instrText>
            </w:r>
            <w:r w:rsidR="00154524">
              <w:rPr>
                <w:noProof/>
                <w:webHidden/>
              </w:rPr>
            </w:r>
            <w:r w:rsidR="00154524">
              <w:rPr>
                <w:noProof/>
                <w:webHidden/>
              </w:rPr>
              <w:fldChar w:fldCharType="separate"/>
            </w:r>
            <w:r>
              <w:rPr>
                <w:noProof/>
                <w:webHidden/>
              </w:rPr>
              <w:t>7</w:t>
            </w:r>
            <w:r w:rsidR="00154524">
              <w:rPr>
                <w:noProof/>
                <w:webHidden/>
              </w:rPr>
              <w:fldChar w:fldCharType="end"/>
            </w:r>
          </w:hyperlink>
        </w:p>
        <w:p w14:paraId="54E0638E" w14:textId="56E853DB" w:rsidR="00154524" w:rsidRDefault="00367A8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423051" w:history="1">
            <w:r w:rsidR="00154524" w:rsidRPr="00A310E4">
              <w:rPr>
                <w:rStyle w:val="Hyperlink"/>
                <w:noProof/>
              </w:rPr>
              <w:t>Obesity</w:t>
            </w:r>
            <w:r w:rsidR="00154524">
              <w:rPr>
                <w:noProof/>
                <w:webHidden/>
              </w:rPr>
              <w:tab/>
            </w:r>
            <w:r w:rsidR="00154524">
              <w:rPr>
                <w:noProof/>
                <w:webHidden/>
              </w:rPr>
              <w:fldChar w:fldCharType="begin"/>
            </w:r>
            <w:r w:rsidR="00154524">
              <w:rPr>
                <w:noProof/>
                <w:webHidden/>
              </w:rPr>
              <w:instrText xml:space="preserve"> PAGEREF _Toc176423051 \h </w:instrText>
            </w:r>
            <w:r w:rsidR="00154524">
              <w:rPr>
                <w:noProof/>
                <w:webHidden/>
              </w:rPr>
            </w:r>
            <w:r w:rsidR="00154524">
              <w:rPr>
                <w:noProof/>
                <w:webHidden/>
              </w:rPr>
              <w:fldChar w:fldCharType="separate"/>
            </w:r>
            <w:r>
              <w:rPr>
                <w:noProof/>
                <w:webHidden/>
              </w:rPr>
              <w:t>7</w:t>
            </w:r>
            <w:r w:rsidR="00154524">
              <w:rPr>
                <w:noProof/>
                <w:webHidden/>
              </w:rPr>
              <w:fldChar w:fldCharType="end"/>
            </w:r>
          </w:hyperlink>
        </w:p>
        <w:p w14:paraId="3F581547" w14:textId="727D30F0" w:rsidR="00154524" w:rsidRDefault="00367A8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423052" w:history="1">
            <w:r w:rsidR="00154524" w:rsidRPr="00A310E4">
              <w:rPr>
                <w:rStyle w:val="Hyperlink"/>
                <w:noProof/>
              </w:rPr>
              <w:t>Current treatment options for obesity</w:t>
            </w:r>
            <w:r w:rsidR="00154524">
              <w:rPr>
                <w:noProof/>
                <w:webHidden/>
              </w:rPr>
              <w:tab/>
            </w:r>
            <w:r w:rsidR="00154524">
              <w:rPr>
                <w:noProof/>
                <w:webHidden/>
              </w:rPr>
              <w:fldChar w:fldCharType="begin"/>
            </w:r>
            <w:r w:rsidR="00154524">
              <w:rPr>
                <w:noProof/>
                <w:webHidden/>
              </w:rPr>
              <w:instrText xml:space="preserve"> PAGEREF _Toc176423052 \h </w:instrText>
            </w:r>
            <w:r w:rsidR="00154524">
              <w:rPr>
                <w:noProof/>
                <w:webHidden/>
              </w:rPr>
            </w:r>
            <w:r w:rsidR="00154524">
              <w:rPr>
                <w:noProof/>
                <w:webHidden/>
              </w:rPr>
              <w:fldChar w:fldCharType="separate"/>
            </w:r>
            <w:r>
              <w:rPr>
                <w:noProof/>
                <w:webHidden/>
              </w:rPr>
              <w:t>8</w:t>
            </w:r>
            <w:r w:rsidR="00154524">
              <w:rPr>
                <w:noProof/>
                <w:webHidden/>
              </w:rPr>
              <w:fldChar w:fldCharType="end"/>
            </w:r>
          </w:hyperlink>
        </w:p>
        <w:p w14:paraId="313524B4" w14:textId="5EB7F6C4" w:rsidR="00154524" w:rsidRDefault="00367A8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423053" w:history="1">
            <w:r w:rsidR="00154524" w:rsidRPr="00A310E4">
              <w:rPr>
                <w:rStyle w:val="Hyperlink"/>
                <w:noProof/>
              </w:rPr>
              <w:t>Clinical rationale for Wegovy use in obesity</w:t>
            </w:r>
            <w:r w:rsidR="00154524">
              <w:rPr>
                <w:noProof/>
                <w:webHidden/>
              </w:rPr>
              <w:tab/>
            </w:r>
            <w:r w:rsidR="00154524">
              <w:rPr>
                <w:noProof/>
                <w:webHidden/>
              </w:rPr>
              <w:fldChar w:fldCharType="begin"/>
            </w:r>
            <w:r w:rsidR="00154524">
              <w:rPr>
                <w:noProof/>
                <w:webHidden/>
              </w:rPr>
              <w:instrText xml:space="preserve"> PAGEREF _Toc176423053 \h </w:instrText>
            </w:r>
            <w:r w:rsidR="00154524">
              <w:rPr>
                <w:noProof/>
                <w:webHidden/>
              </w:rPr>
            </w:r>
            <w:r w:rsidR="00154524">
              <w:rPr>
                <w:noProof/>
                <w:webHidden/>
              </w:rPr>
              <w:fldChar w:fldCharType="separate"/>
            </w:r>
            <w:r>
              <w:rPr>
                <w:noProof/>
                <w:webHidden/>
              </w:rPr>
              <w:t>9</w:t>
            </w:r>
            <w:r w:rsidR="00154524">
              <w:rPr>
                <w:noProof/>
                <w:webHidden/>
              </w:rPr>
              <w:fldChar w:fldCharType="end"/>
            </w:r>
          </w:hyperlink>
        </w:p>
        <w:p w14:paraId="5ECDD40C" w14:textId="76A175E6" w:rsidR="00154524" w:rsidRDefault="00367A8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423054" w:history="1">
            <w:r w:rsidR="00154524" w:rsidRPr="00A310E4">
              <w:rPr>
                <w:rStyle w:val="Hyperlink"/>
                <w:noProof/>
              </w:rPr>
              <w:t>Regulatory status</w:t>
            </w:r>
            <w:r w:rsidR="00154524">
              <w:rPr>
                <w:noProof/>
                <w:webHidden/>
              </w:rPr>
              <w:tab/>
            </w:r>
            <w:r w:rsidR="00154524">
              <w:rPr>
                <w:noProof/>
                <w:webHidden/>
              </w:rPr>
              <w:fldChar w:fldCharType="begin"/>
            </w:r>
            <w:r w:rsidR="00154524">
              <w:rPr>
                <w:noProof/>
                <w:webHidden/>
              </w:rPr>
              <w:instrText xml:space="preserve"> PAGEREF _Toc176423054 \h </w:instrText>
            </w:r>
            <w:r w:rsidR="00154524">
              <w:rPr>
                <w:noProof/>
                <w:webHidden/>
              </w:rPr>
            </w:r>
            <w:r w:rsidR="00154524">
              <w:rPr>
                <w:noProof/>
                <w:webHidden/>
              </w:rPr>
              <w:fldChar w:fldCharType="separate"/>
            </w:r>
            <w:r>
              <w:rPr>
                <w:noProof/>
                <w:webHidden/>
              </w:rPr>
              <w:t>9</w:t>
            </w:r>
            <w:r w:rsidR="00154524">
              <w:rPr>
                <w:noProof/>
                <w:webHidden/>
              </w:rPr>
              <w:fldChar w:fldCharType="end"/>
            </w:r>
          </w:hyperlink>
        </w:p>
        <w:p w14:paraId="194CB537" w14:textId="2857F1BF" w:rsidR="00154524" w:rsidRDefault="00367A8D">
          <w:pPr>
            <w:pStyle w:val="TOC3"/>
            <w:rPr>
              <w:rFonts w:asciiTheme="minorHAnsi" w:eastAsiaTheme="minorEastAsia" w:hAnsiTheme="minorHAnsi" w:cstheme="minorBidi"/>
              <w:b w:val="0"/>
              <w:noProof/>
              <w:color w:val="auto"/>
              <w:kern w:val="2"/>
              <w:szCs w:val="22"/>
              <w:lang w:eastAsia="en-AU"/>
              <w14:ligatures w14:val="standardContextual"/>
            </w:rPr>
          </w:pPr>
          <w:hyperlink w:anchor="_Toc176423055" w:history="1">
            <w:r w:rsidR="00154524" w:rsidRPr="00A310E4">
              <w:rPr>
                <w:rStyle w:val="Hyperlink"/>
                <w:noProof/>
              </w:rPr>
              <w:t>Australian regulatory status</w:t>
            </w:r>
            <w:r w:rsidR="00154524">
              <w:rPr>
                <w:noProof/>
                <w:webHidden/>
              </w:rPr>
              <w:tab/>
            </w:r>
            <w:r w:rsidR="00154524">
              <w:rPr>
                <w:noProof/>
                <w:webHidden/>
              </w:rPr>
              <w:fldChar w:fldCharType="begin"/>
            </w:r>
            <w:r w:rsidR="00154524">
              <w:rPr>
                <w:noProof/>
                <w:webHidden/>
              </w:rPr>
              <w:instrText xml:space="preserve"> PAGEREF _Toc176423055 \h </w:instrText>
            </w:r>
            <w:r w:rsidR="00154524">
              <w:rPr>
                <w:noProof/>
                <w:webHidden/>
              </w:rPr>
            </w:r>
            <w:r w:rsidR="00154524">
              <w:rPr>
                <w:noProof/>
                <w:webHidden/>
              </w:rPr>
              <w:fldChar w:fldCharType="separate"/>
            </w:r>
            <w:r>
              <w:rPr>
                <w:noProof/>
                <w:webHidden/>
              </w:rPr>
              <w:t>9</w:t>
            </w:r>
            <w:r w:rsidR="00154524">
              <w:rPr>
                <w:noProof/>
                <w:webHidden/>
              </w:rPr>
              <w:fldChar w:fldCharType="end"/>
            </w:r>
          </w:hyperlink>
        </w:p>
        <w:p w14:paraId="2ED0C531" w14:textId="09AB5588" w:rsidR="00154524" w:rsidRDefault="00367A8D">
          <w:pPr>
            <w:pStyle w:val="TOC3"/>
            <w:rPr>
              <w:rFonts w:asciiTheme="minorHAnsi" w:eastAsiaTheme="minorEastAsia" w:hAnsiTheme="minorHAnsi" w:cstheme="minorBidi"/>
              <w:b w:val="0"/>
              <w:noProof/>
              <w:color w:val="auto"/>
              <w:kern w:val="2"/>
              <w:szCs w:val="22"/>
              <w:lang w:eastAsia="en-AU"/>
              <w14:ligatures w14:val="standardContextual"/>
            </w:rPr>
          </w:pPr>
          <w:hyperlink w:anchor="_Toc176423056" w:history="1">
            <w:r w:rsidR="00154524" w:rsidRPr="00A310E4">
              <w:rPr>
                <w:rStyle w:val="Hyperlink"/>
                <w:noProof/>
              </w:rPr>
              <w:t>International regulatory status</w:t>
            </w:r>
            <w:r w:rsidR="00154524">
              <w:rPr>
                <w:noProof/>
                <w:webHidden/>
              </w:rPr>
              <w:tab/>
            </w:r>
            <w:r w:rsidR="00154524">
              <w:rPr>
                <w:noProof/>
                <w:webHidden/>
              </w:rPr>
              <w:fldChar w:fldCharType="begin"/>
            </w:r>
            <w:r w:rsidR="00154524">
              <w:rPr>
                <w:noProof/>
                <w:webHidden/>
              </w:rPr>
              <w:instrText xml:space="preserve"> PAGEREF _Toc176423056 \h </w:instrText>
            </w:r>
            <w:r w:rsidR="00154524">
              <w:rPr>
                <w:noProof/>
                <w:webHidden/>
              </w:rPr>
            </w:r>
            <w:r w:rsidR="00154524">
              <w:rPr>
                <w:noProof/>
                <w:webHidden/>
              </w:rPr>
              <w:fldChar w:fldCharType="separate"/>
            </w:r>
            <w:r>
              <w:rPr>
                <w:noProof/>
                <w:webHidden/>
              </w:rPr>
              <w:t>9</w:t>
            </w:r>
            <w:r w:rsidR="00154524">
              <w:rPr>
                <w:noProof/>
                <w:webHidden/>
              </w:rPr>
              <w:fldChar w:fldCharType="end"/>
            </w:r>
          </w:hyperlink>
        </w:p>
        <w:p w14:paraId="1A29A3D9" w14:textId="5F3B133B" w:rsidR="00154524" w:rsidRDefault="00367A8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423057" w:history="1">
            <w:r w:rsidR="00154524" w:rsidRPr="00A310E4">
              <w:rPr>
                <w:rStyle w:val="Hyperlink"/>
                <w:noProof/>
              </w:rPr>
              <w:t>Registration timeline</w:t>
            </w:r>
            <w:r w:rsidR="00154524">
              <w:rPr>
                <w:noProof/>
                <w:webHidden/>
              </w:rPr>
              <w:tab/>
            </w:r>
            <w:r w:rsidR="00154524">
              <w:rPr>
                <w:noProof/>
                <w:webHidden/>
              </w:rPr>
              <w:fldChar w:fldCharType="begin"/>
            </w:r>
            <w:r w:rsidR="00154524">
              <w:rPr>
                <w:noProof/>
                <w:webHidden/>
              </w:rPr>
              <w:instrText xml:space="preserve"> PAGEREF _Toc176423057 \h </w:instrText>
            </w:r>
            <w:r w:rsidR="00154524">
              <w:rPr>
                <w:noProof/>
                <w:webHidden/>
              </w:rPr>
            </w:r>
            <w:r w:rsidR="00154524">
              <w:rPr>
                <w:noProof/>
                <w:webHidden/>
              </w:rPr>
              <w:fldChar w:fldCharType="separate"/>
            </w:r>
            <w:r>
              <w:rPr>
                <w:noProof/>
                <w:webHidden/>
              </w:rPr>
              <w:t>10</w:t>
            </w:r>
            <w:r w:rsidR="00154524">
              <w:rPr>
                <w:noProof/>
                <w:webHidden/>
              </w:rPr>
              <w:fldChar w:fldCharType="end"/>
            </w:r>
          </w:hyperlink>
        </w:p>
        <w:p w14:paraId="4A7F7467" w14:textId="39D2A52A" w:rsidR="00154524" w:rsidRDefault="00367A8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6423058" w:history="1">
            <w:r w:rsidR="00154524" w:rsidRPr="00A310E4">
              <w:rPr>
                <w:rStyle w:val="Hyperlink"/>
                <w:noProof/>
              </w:rPr>
              <w:t>Evaluation overview</w:t>
            </w:r>
            <w:r w:rsidR="00154524">
              <w:rPr>
                <w:noProof/>
                <w:webHidden/>
              </w:rPr>
              <w:tab/>
            </w:r>
            <w:r w:rsidR="00154524">
              <w:rPr>
                <w:noProof/>
                <w:webHidden/>
              </w:rPr>
              <w:fldChar w:fldCharType="begin"/>
            </w:r>
            <w:r w:rsidR="00154524">
              <w:rPr>
                <w:noProof/>
                <w:webHidden/>
              </w:rPr>
              <w:instrText xml:space="preserve"> PAGEREF _Toc176423058 \h </w:instrText>
            </w:r>
            <w:r w:rsidR="00154524">
              <w:rPr>
                <w:noProof/>
                <w:webHidden/>
              </w:rPr>
            </w:r>
            <w:r w:rsidR="00154524">
              <w:rPr>
                <w:noProof/>
                <w:webHidden/>
              </w:rPr>
              <w:fldChar w:fldCharType="separate"/>
            </w:r>
            <w:r>
              <w:rPr>
                <w:noProof/>
                <w:webHidden/>
              </w:rPr>
              <w:t>10</w:t>
            </w:r>
            <w:r w:rsidR="00154524">
              <w:rPr>
                <w:noProof/>
                <w:webHidden/>
              </w:rPr>
              <w:fldChar w:fldCharType="end"/>
            </w:r>
          </w:hyperlink>
        </w:p>
        <w:p w14:paraId="16A17294" w14:textId="4A2577E1" w:rsidR="00154524" w:rsidRDefault="00367A8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423059" w:history="1">
            <w:r w:rsidR="00154524" w:rsidRPr="00A310E4">
              <w:rPr>
                <w:rStyle w:val="Hyperlink"/>
                <w:noProof/>
              </w:rPr>
              <w:t>Quality evaluation summary</w:t>
            </w:r>
            <w:r w:rsidR="00154524">
              <w:rPr>
                <w:noProof/>
                <w:webHidden/>
              </w:rPr>
              <w:tab/>
            </w:r>
            <w:r w:rsidR="00154524">
              <w:rPr>
                <w:noProof/>
                <w:webHidden/>
              </w:rPr>
              <w:fldChar w:fldCharType="begin"/>
            </w:r>
            <w:r w:rsidR="00154524">
              <w:rPr>
                <w:noProof/>
                <w:webHidden/>
              </w:rPr>
              <w:instrText xml:space="preserve"> PAGEREF _Toc176423059 \h </w:instrText>
            </w:r>
            <w:r w:rsidR="00154524">
              <w:rPr>
                <w:noProof/>
                <w:webHidden/>
              </w:rPr>
            </w:r>
            <w:r w:rsidR="00154524">
              <w:rPr>
                <w:noProof/>
                <w:webHidden/>
              </w:rPr>
              <w:fldChar w:fldCharType="separate"/>
            </w:r>
            <w:r>
              <w:rPr>
                <w:noProof/>
                <w:webHidden/>
              </w:rPr>
              <w:t>10</w:t>
            </w:r>
            <w:r w:rsidR="00154524">
              <w:rPr>
                <w:noProof/>
                <w:webHidden/>
              </w:rPr>
              <w:fldChar w:fldCharType="end"/>
            </w:r>
          </w:hyperlink>
        </w:p>
        <w:p w14:paraId="4AB56577" w14:textId="0EB3919D" w:rsidR="00154524" w:rsidRDefault="00367A8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423060" w:history="1">
            <w:r w:rsidR="00154524" w:rsidRPr="00A310E4">
              <w:rPr>
                <w:rStyle w:val="Hyperlink"/>
                <w:noProof/>
              </w:rPr>
              <w:t>Nonclinical (toxicology) evaluation summary</w:t>
            </w:r>
            <w:r w:rsidR="00154524">
              <w:rPr>
                <w:noProof/>
                <w:webHidden/>
              </w:rPr>
              <w:tab/>
            </w:r>
            <w:r w:rsidR="00154524">
              <w:rPr>
                <w:noProof/>
                <w:webHidden/>
              </w:rPr>
              <w:fldChar w:fldCharType="begin"/>
            </w:r>
            <w:r w:rsidR="00154524">
              <w:rPr>
                <w:noProof/>
                <w:webHidden/>
              </w:rPr>
              <w:instrText xml:space="preserve"> PAGEREF _Toc176423060 \h </w:instrText>
            </w:r>
            <w:r w:rsidR="00154524">
              <w:rPr>
                <w:noProof/>
                <w:webHidden/>
              </w:rPr>
            </w:r>
            <w:r w:rsidR="00154524">
              <w:rPr>
                <w:noProof/>
                <w:webHidden/>
              </w:rPr>
              <w:fldChar w:fldCharType="separate"/>
            </w:r>
            <w:r>
              <w:rPr>
                <w:noProof/>
                <w:webHidden/>
              </w:rPr>
              <w:t>11</w:t>
            </w:r>
            <w:r w:rsidR="00154524">
              <w:rPr>
                <w:noProof/>
                <w:webHidden/>
              </w:rPr>
              <w:fldChar w:fldCharType="end"/>
            </w:r>
          </w:hyperlink>
        </w:p>
        <w:p w14:paraId="2C026DEF" w14:textId="22ECA9E7" w:rsidR="00154524" w:rsidRDefault="00367A8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423061" w:history="1">
            <w:r w:rsidR="00154524" w:rsidRPr="00A310E4">
              <w:rPr>
                <w:rStyle w:val="Hyperlink"/>
                <w:noProof/>
              </w:rPr>
              <w:t>Clinical evaluation summary</w:t>
            </w:r>
            <w:r w:rsidR="00154524">
              <w:rPr>
                <w:noProof/>
                <w:webHidden/>
              </w:rPr>
              <w:tab/>
            </w:r>
            <w:r w:rsidR="00154524">
              <w:rPr>
                <w:noProof/>
                <w:webHidden/>
              </w:rPr>
              <w:fldChar w:fldCharType="begin"/>
            </w:r>
            <w:r w:rsidR="00154524">
              <w:rPr>
                <w:noProof/>
                <w:webHidden/>
              </w:rPr>
              <w:instrText xml:space="preserve"> PAGEREF _Toc176423061 \h </w:instrText>
            </w:r>
            <w:r w:rsidR="00154524">
              <w:rPr>
                <w:noProof/>
                <w:webHidden/>
              </w:rPr>
            </w:r>
            <w:r w:rsidR="00154524">
              <w:rPr>
                <w:noProof/>
                <w:webHidden/>
              </w:rPr>
              <w:fldChar w:fldCharType="separate"/>
            </w:r>
            <w:r>
              <w:rPr>
                <w:noProof/>
                <w:webHidden/>
              </w:rPr>
              <w:t>11</w:t>
            </w:r>
            <w:r w:rsidR="00154524">
              <w:rPr>
                <w:noProof/>
                <w:webHidden/>
              </w:rPr>
              <w:fldChar w:fldCharType="end"/>
            </w:r>
          </w:hyperlink>
        </w:p>
        <w:p w14:paraId="74402C48" w14:textId="40ADE6E9" w:rsidR="00154524" w:rsidRDefault="00367A8D">
          <w:pPr>
            <w:pStyle w:val="TOC3"/>
            <w:rPr>
              <w:rFonts w:asciiTheme="minorHAnsi" w:eastAsiaTheme="minorEastAsia" w:hAnsiTheme="minorHAnsi" w:cstheme="minorBidi"/>
              <w:b w:val="0"/>
              <w:noProof/>
              <w:color w:val="auto"/>
              <w:kern w:val="2"/>
              <w:szCs w:val="22"/>
              <w:lang w:eastAsia="en-AU"/>
              <w14:ligatures w14:val="standardContextual"/>
            </w:rPr>
          </w:pPr>
          <w:hyperlink w:anchor="_Toc176423062" w:history="1">
            <w:r w:rsidR="00154524" w:rsidRPr="00A310E4">
              <w:rPr>
                <w:rStyle w:val="Hyperlink"/>
                <w:noProof/>
              </w:rPr>
              <w:t>Summary of clinical studies</w:t>
            </w:r>
            <w:r w:rsidR="00154524">
              <w:rPr>
                <w:noProof/>
                <w:webHidden/>
              </w:rPr>
              <w:tab/>
            </w:r>
            <w:r w:rsidR="00154524">
              <w:rPr>
                <w:noProof/>
                <w:webHidden/>
              </w:rPr>
              <w:fldChar w:fldCharType="begin"/>
            </w:r>
            <w:r w:rsidR="00154524">
              <w:rPr>
                <w:noProof/>
                <w:webHidden/>
              </w:rPr>
              <w:instrText xml:space="preserve"> PAGEREF _Toc176423062 \h </w:instrText>
            </w:r>
            <w:r w:rsidR="00154524">
              <w:rPr>
                <w:noProof/>
                <w:webHidden/>
              </w:rPr>
            </w:r>
            <w:r w:rsidR="00154524">
              <w:rPr>
                <w:noProof/>
                <w:webHidden/>
              </w:rPr>
              <w:fldChar w:fldCharType="separate"/>
            </w:r>
            <w:r>
              <w:rPr>
                <w:noProof/>
                <w:webHidden/>
              </w:rPr>
              <w:t>11</w:t>
            </w:r>
            <w:r w:rsidR="00154524">
              <w:rPr>
                <w:noProof/>
                <w:webHidden/>
              </w:rPr>
              <w:fldChar w:fldCharType="end"/>
            </w:r>
          </w:hyperlink>
        </w:p>
        <w:p w14:paraId="5CEFCAC7" w14:textId="5753B771" w:rsidR="00154524" w:rsidRDefault="00367A8D">
          <w:pPr>
            <w:pStyle w:val="TOC3"/>
            <w:rPr>
              <w:rFonts w:asciiTheme="minorHAnsi" w:eastAsiaTheme="minorEastAsia" w:hAnsiTheme="minorHAnsi" w:cstheme="minorBidi"/>
              <w:b w:val="0"/>
              <w:noProof/>
              <w:color w:val="auto"/>
              <w:kern w:val="2"/>
              <w:szCs w:val="22"/>
              <w:lang w:eastAsia="en-AU"/>
              <w14:ligatures w14:val="standardContextual"/>
            </w:rPr>
          </w:pPr>
          <w:hyperlink w:anchor="_Toc176423063" w:history="1">
            <w:r w:rsidR="00154524" w:rsidRPr="00A310E4">
              <w:rPr>
                <w:rStyle w:val="Hyperlink"/>
                <w:noProof/>
              </w:rPr>
              <w:t>Pharmacology</w:t>
            </w:r>
            <w:r w:rsidR="00154524">
              <w:rPr>
                <w:noProof/>
                <w:webHidden/>
              </w:rPr>
              <w:tab/>
            </w:r>
            <w:r w:rsidR="00154524">
              <w:rPr>
                <w:noProof/>
                <w:webHidden/>
              </w:rPr>
              <w:fldChar w:fldCharType="begin"/>
            </w:r>
            <w:r w:rsidR="00154524">
              <w:rPr>
                <w:noProof/>
                <w:webHidden/>
              </w:rPr>
              <w:instrText xml:space="preserve"> PAGEREF _Toc176423063 \h </w:instrText>
            </w:r>
            <w:r w:rsidR="00154524">
              <w:rPr>
                <w:noProof/>
                <w:webHidden/>
              </w:rPr>
            </w:r>
            <w:r w:rsidR="00154524">
              <w:rPr>
                <w:noProof/>
                <w:webHidden/>
              </w:rPr>
              <w:fldChar w:fldCharType="separate"/>
            </w:r>
            <w:r>
              <w:rPr>
                <w:noProof/>
                <w:webHidden/>
              </w:rPr>
              <w:t>12</w:t>
            </w:r>
            <w:r w:rsidR="00154524">
              <w:rPr>
                <w:noProof/>
                <w:webHidden/>
              </w:rPr>
              <w:fldChar w:fldCharType="end"/>
            </w:r>
          </w:hyperlink>
        </w:p>
        <w:p w14:paraId="7643219C" w14:textId="4BD36D7A" w:rsidR="00154524" w:rsidRDefault="00367A8D">
          <w:pPr>
            <w:pStyle w:val="TOC3"/>
            <w:rPr>
              <w:rFonts w:asciiTheme="minorHAnsi" w:eastAsiaTheme="minorEastAsia" w:hAnsiTheme="minorHAnsi" w:cstheme="minorBidi"/>
              <w:b w:val="0"/>
              <w:noProof/>
              <w:color w:val="auto"/>
              <w:kern w:val="2"/>
              <w:szCs w:val="22"/>
              <w:lang w:eastAsia="en-AU"/>
              <w14:ligatures w14:val="standardContextual"/>
            </w:rPr>
          </w:pPr>
          <w:hyperlink w:anchor="_Toc176423064" w:history="1">
            <w:r w:rsidR="00154524" w:rsidRPr="00A310E4">
              <w:rPr>
                <w:rStyle w:val="Hyperlink"/>
                <w:noProof/>
              </w:rPr>
              <w:t>Efficacy</w:t>
            </w:r>
            <w:r w:rsidR="00154524">
              <w:rPr>
                <w:noProof/>
                <w:webHidden/>
              </w:rPr>
              <w:tab/>
            </w:r>
            <w:r w:rsidR="00154524">
              <w:rPr>
                <w:noProof/>
                <w:webHidden/>
              </w:rPr>
              <w:fldChar w:fldCharType="begin"/>
            </w:r>
            <w:r w:rsidR="00154524">
              <w:rPr>
                <w:noProof/>
                <w:webHidden/>
              </w:rPr>
              <w:instrText xml:space="preserve"> PAGEREF _Toc176423064 \h </w:instrText>
            </w:r>
            <w:r w:rsidR="00154524">
              <w:rPr>
                <w:noProof/>
                <w:webHidden/>
              </w:rPr>
            </w:r>
            <w:r w:rsidR="00154524">
              <w:rPr>
                <w:noProof/>
                <w:webHidden/>
              </w:rPr>
              <w:fldChar w:fldCharType="separate"/>
            </w:r>
            <w:r>
              <w:rPr>
                <w:noProof/>
                <w:webHidden/>
              </w:rPr>
              <w:t>15</w:t>
            </w:r>
            <w:r w:rsidR="00154524">
              <w:rPr>
                <w:noProof/>
                <w:webHidden/>
              </w:rPr>
              <w:fldChar w:fldCharType="end"/>
            </w:r>
          </w:hyperlink>
        </w:p>
        <w:p w14:paraId="086D5E67" w14:textId="0A3DCAAC" w:rsidR="00154524" w:rsidRDefault="00367A8D">
          <w:pPr>
            <w:pStyle w:val="TOC3"/>
            <w:rPr>
              <w:rFonts w:asciiTheme="minorHAnsi" w:eastAsiaTheme="minorEastAsia" w:hAnsiTheme="minorHAnsi" w:cstheme="minorBidi"/>
              <w:b w:val="0"/>
              <w:noProof/>
              <w:color w:val="auto"/>
              <w:kern w:val="2"/>
              <w:szCs w:val="22"/>
              <w:lang w:eastAsia="en-AU"/>
              <w14:ligatures w14:val="standardContextual"/>
            </w:rPr>
          </w:pPr>
          <w:hyperlink w:anchor="_Toc176423065" w:history="1">
            <w:r w:rsidR="00154524" w:rsidRPr="00A310E4">
              <w:rPr>
                <w:rStyle w:val="Hyperlink"/>
                <w:noProof/>
              </w:rPr>
              <w:t>Safety</w:t>
            </w:r>
            <w:r w:rsidR="00154524">
              <w:rPr>
                <w:noProof/>
                <w:webHidden/>
              </w:rPr>
              <w:tab/>
            </w:r>
            <w:r w:rsidR="00154524">
              <w:rPr>
                <w:noProof/>
                <w:webHidden/>
              </w:rPr>
              <w:fldChar w:fldCharType="begin"/>
            </w:r>
            <w:r w:rsidR="00154524">
              <w:rPr>
                <w:noProof/>
                <w:webHidden/>
              </w:rPr>
              <w:instrText xml:space="preserve"> PAGEREF _Toc176423065 \h </w:instrText>
            </w:r>
            <w:r w:rsidR="00154524">
              <w:rPr>
                <w:noProof/>
                <w:webHidden/>
              </w:rPr>
            </w:r>
            <w:r w:rsidR="00154524">
              <w:rPr>
                <w:noProof/>
                <w:webHidden/>
              </w:rPr>
              <w:fldChar w:fldCharType="separate"/>
            </w:r>
            <w:r>
              <w:rPr>
                <w:noProof/>
                <w:webHidden/>
              </w:rPr>
              <w:t>18</w:t>
            </w:r>
            <w:r w:rsidR="00154524">
              <w:rPr>
                <w:noProof/>
                <w:webHidden/>
              </w:rPr>
              <w:fldChar w:fldCharType="end"/>
            </w:r>
          </w:hyperlink>
        </w:p>
        <w:p w14:paraId="66CB4B4A" w14:textId="0ABC1594" w:rsidR="00154524" w:rsidRDefault="00367A8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423066" w:history="1">
            <w:r w:rsidR="00154524" w:rsidRPr="00A310E4">
              <w:rPr>
                <w:rStyle w:val="Hyperlink"/>
                <w:noProof/>
                <w:lang w:eastAsia="en-AU"/>
              </w:rPr>
              <w:t>Risk management plan evaluation summary</w:t>
            </w:r>
            <w:r w:rsidR="00154524">
              <w:rPr>
                <w:noProof/>
                <w:webHidden/>
              </w:rPr>
              <w:tab/>
            </w:r>
            <w:r w:rsidR="00154524">
              <w:rPr>
                <w:noProof/>
                <w:webHidden/>
              </w:rPr>
              <w:fldChar w:fldCharType="begin"/>
            </w:r>
            <w:r w:rsidR="00154524">
              <w:rPr>
                <w:noProof/>
                <w:webHidden/>
              </w:rPr>
              <w:instrText xml:space="preserve"> PAGEREF _Toc176423066 \h </w:instrText>
            </w:r>
            <w:r w:rsidR="00154524">
              <w:rPr>
                <w:noProof/>
                <w:webHidden/>
              </w:rPr>
            </w:r>
            <w:r w:rsidR="00154524">
              <w:rPr>
                <w:noProof/>
                <w:webHidden/>
              </w:rPr>
              <w:fldChar w:fldCharType="separate"/>
            </w:r>
            <w:r>
              <w:rPr>
                <w:noProof/>
                <w:webHidden/>
              </w:rPr>
              <w:t>25</w:t>
            </w:r>
            <w:r w:rsidR="00154524">
              <w:rPr>
                <w:noProof/>
                <w:webHidden/>
              </w:rPr>
              <w:fldChar w:fldCharType="end"/>
            </w:r>
          </w:hyperlink>
        </w:p>
        <w:p w14:paraId="201446BA" w14:textId="1B6EB281" w:rsidR="00154524" w:rsidRDefault="00367A8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6423067" w:history="1">
            <w:r w:rsidR="00154524" w:rsidRPr="00A310E4">
              <w:rPr>
                <w:rStyle w:val="Hyperlink"/>
                <w:noProof/>
              </w:rPr>
              <w:t>Risk-benefit analysis</w:t>
            </w:r>
            <w:r w:rsidR="00154524">
              <w:rPr>
                <w:noProof/>
                <w:webHidden/>
              </w:rPr>
              <w:tab/>
            </w:r>
            <w:r w:rsidR="00154524">
              <w:rPr>
                <w:noProof/>
                <w:webHidden/>
              </w:rPr>
              <w:fldChar w:fldCharType="begin"/>
            </w:r>
            <w:r w:rsidR="00154524">
              <w:rPr>
                <w:noProof/>
                <w:webHidden/>
              </w:rPr>
              <w:instrText xml:space="preserve"> PAGEREF _Toc176423067 \h </w:instrText>
            </w:r>
            <w:r w:rsidR="00154524">
              <w:rPr>
                <w:noProof/>
                <w:webHidden/>
              </w:rPr>
            </w:r>
            <w:r w:rsidR="00154524">
              <w:rPr>
                <w:noProof/>
                <w:webHidden/>
              </w:rPr>
              <w:fldChar w:fldCharType="separate"/>
            </w:r>
            <w:r>
              <w:rPr>
                <w:noProof/>
                <w:webHidden/>
              </w:rPr>
              <w:t>26</w:t>
            </w:r>
            <w:r w:rsidR="00154524">
              <w:rPr>
                <w:noProof/>
                <w:webHidden/>
              </w:rPr>
              <w:fldChar w:fldCharType="end"/>
            </w:r>
          </w:hyperlink>
        </w:p>
        <w:p w14:paraId="44EA162D" w14:textId="4A3A6E84" w:rsidR="00154524" w:rsidRDefault="00367A8D">
          <w:pPr>
            <w:pStyle w:val="TOC3"/>
            <w:rPr>
              <w:rFonts w:asciiTheme="minorHAnsi" w:eastAsiaTheme="minorEastAsia" w:hAnsiTheme="minorHAnsi" w:cstheme="minorBidi"/>
              <w:b w:val="0"/>
              <w:noProof/>
              <w:color w:val="auto"/>
              <w:kern w:val="2"/>
              <w:szCs w:val="22"/>
              <w:lang w:eastAsia="en-AU"/>
              <w14:ligatures w14:val="standardContextual"/>
            </w:rPr>
          </w:pPr>
          <w:hyperlink w:anchor="_Toc176423068" w:history="1">
            <w:r w:rsidR="00154524" w:rsidRPr="00A310E4">
              <w:rPr>
                <w:rStyle w:val="Hyperlink"/>
                <w:noProof/>
              </w:rPr>
              <w:t>Pharmacology and formulations</w:t>
            </w:r>
            <w:r w:rsidR="00154524">
              <w:rPr>
                <w:noProof/>
                <w:webHidden/>
              </w:rPr>
              <w:tab/>
            </w:r>
            <w:r w:rsidR="00154524">
              <w:rPr>
                <w:noProof/>
                <w:webHidden/>
              </w:rPr>
              <w:fldChar w:fldCharType="begin"/>
            </w:r>
            <w:r w:rsidR="00154524">
              <w:rPr>
                <w:noProof/>
                <w:webHidden/>
              </w:rPr>
              <w:instrText xml:space="preserve"> PAGEREF _Toc176423068 \h </w:instrText>
            </w:r>
            <w:r w:rsidR="00154524">
              <w:rPr>
                <w:noProof/>
                <w:webHidden/>
              </w:rPr>
            </w:r>
            <w:r w:rsidR="00154524">
              <w:rPr>
                <w:noProof/>
                <w:webHidden/>
              </w:rPr>
              <w:fldChar w:fldCharType="separate"/>
            </w:r>
            <w:r>
              <w:rPr>
                <w:noProof/>
                <w:webHidden/>
              </w:rPr>
              <w:t>26</w:t>
            </w:r>
            <w:r w:rsidR="00154524">
              <w:rPr>
                <w:noProof/>
                <w:webHidden/>
              </w:rPr>
              <w:fldChar w:fldCharType="end"/>
            </w:r>
          </w:hyperlink>
        </w:p>
        <w:p w14:paraId="6361968F" w14:textId="4B7ADE73" w:rsidR="00154524" w:rsidRDefault="00367A8D">
          <w:pPr>
            <w:pStyle w:val="TOC3"/>
            <w:rPr>
              <w:rFonts w:asciiTheme="minorHAnsi" w:eastAsiaTheme="minorEastAsia" w:hAnsiTheme="minorHAnsi" w:cstheme="minorBidi"/>
              <w:b w:val="0"/>
              <w:noProof/>
              <w:color w:val="auto"/>
              <w:kern w:val="2"/>
              <w:szCs w:val="22"/>
              <w:lang w:eastAsia="en-AU"/>
              <w14:ligatures w14:val="standardContextual"/>
            </w:rPr>
          </w:pPr>
          <w:hyperlink w:anchor="_Toc176423069" w:history="1">
            <w:r w:rsidR="00154524" w:rsidRPr="00A310E4">
              <w:rPr>
                <w:rStyle w:val="Hyperlink"/>
                <w:noProof/>
              </w:rPr>
              <w:t>Efficacy</w:t>
            </w:r>
            <w:r w:rsidR="00154524">
              <w:rPr>
                <w:noProof/>
                <w:webHidden/>
              </w:rPr>
              <w:tab/>
            </w:r>
            <w:r w:rsidR="00154524">
              <w:rPr>
                <w:noProof/>
                <w:webHidden/>
              </w:rPr>
              <w:fldChar w:fldCharType="begin"/>
            </w:r>
            <w:r w:rsidR="00154524">
              <w:rPr>
                <w:noProof/>
                <w:webHidden/>
              </w:rPr>
              <w:instrText xml:space="preserve"> PAGEREF _Toc176423069 \h </w:instrText>
            </w:r>
            <w:r w:rsidR="00154524">
              <w:rPr>
                <w:noProof/>
                <w:webHidden/>
              </w:rPr>
            </w:r>
            <w:r w:rsidR="00154524">
              <w:rPr>
                <w:noProof/>
                <w:webHidden/>
              </w:rPr>
              <w:fldChar w:fldCharType="separate"/>
            </w:r>
            <w:r>
              <w:rPr>
                <w:noProof/>
                <w:webHidden/>
              </w:rPr>
              <w:t>27</w:t>
            </w:r>
            <w:r w:rsidR="00154524">
              <w:rPr>
                <w:noProof/>
                <w:webHidden/>
              </w:rPr>
              <w:fldChar w:fldCharType="end"/>
            </w:r>
          </w:hyperlink>
        </w:p>
        <w:p w14:paraId="31D9E077" w14:textId="09183C5B" w:rsidR="00154524" w:rsidRDefault="00367A8D">
          <w:pPr>
            <w:pStyle w:val="TOC3"/>
            <w:rPr>
              <w:rFonts w:asciiTheme="minorHAnsi" w:eastAsiaTheme="minorEastAsia" w:hAnsiTheme="minorHAnsi" w:cstheme="minorBidi"/>
              <w:b w:val="0"/>
              <w:noProof/>
              <w:color w:val="auto"/>
              <w:kern w:val="2"/>
              <w:szCs w:val="22"/>
              <w:lang w:eastAsia="en-AU"/>
              <w14:ligatures w14:val="standardContextual"/>
            </w:rPr>
          </w:pPr>
          <w:hyperlink w:anchor="_Toc176423070" w:history="1">
            <w:r w:rsidR="00154524" w:rsidRPr="00A310E4">
              <w:rPr>
                <w:rStyle w:val="Hyperlink"/>
                <w:noProof/>
              </w:rPr>
              <w:t>Safety</w:t>
            </w:r>
            <w:r w:rsidR="00154524">
              <w:rPr>
                <w:noProof/>
                <w:webHidden/>
              </w:rPr>
              <w:tab/>
            </w:r>
            <w:r w:rsidR="00154524">
              <w:rPr>
                <w:noProof/>
                <w:webHidden/>
              </w:rPr>
              <w:fldChar w:fldCharType="begin"/>
            </w:r>
            <w:r w:rsidR="00154524">
              <w:rPr>
                <w:noProof/>
                <w:webHidden/>
              </w:rPr>
              <w:instrText xml:space="preserve"> PAGEREF _Toc176423070 \h </w:instrText>
            </w:r>
            <w:r w:rsidR="00154524">
              <w:rPr>
                <w:noProof/>
                <w:webHidden/>
              </w:rPr>
            </w:r>
            <w:r w:rsidR="00154524">
              <w:rPr>
                <w:noProof/>
                <w:webHidden/>
              </w:rPr>
              <w:fldChar w:fldCharType="separate"/>
            </w:r>
            <w:r>
              <w:rPr>
                <w:noProof/>
                <w:webHidden/>
              </w:rPr>
              <w:t>29</w:t>
            </w:r>
            <w:r w:rsidR="00154524">
              <w:rPr>
                <w:noProof/>
                <w:webHidden/>
              </w:rPr>
              <w:fldChar w:fldCharType="end"/>
            </w:r>
          </w:hyperlink>
        </w:p>
        <w:p w14:paraId="0E84FA05" w14:textId="2A594177" w:rsidR="00154524" w:rsidRDefault="00367A8D">
          <w:pPr>
            <w:pStyle w:val="TOC3"/>
            <w:rPr>
              <w:rFonts w:asciiTheme="minorHAnsi" w:eastAsiaTheme="minorEastAsia" w:hAnsiTheme="minorHAnsi" w:cstheme="minorBidi"/>
              <w:b w:val="0"/>
              <w:noProof/>
              <w:color w:val="auto"/>
              <w:kern w:val="2"/>
              <w:szCs w:val="22"/>
              <w:lang w:eastAsia="en-AU"/>
              <w14:ligatures w14:val="standardContextual"/>
            </w:rPr>
          </w:pPr>
          <w:hyperlink w:anchor="_Toc176423071" w:history="1">
            <w:r w:rsidR="00154524" w:rsidRPr="00A310E4">
              <w:rPr>
                <w:rStyle w:val="Hyperlink"/>
                <w:noProof/>
              </w:rPr>
              <w:t>Conclusion and remaining issues</w:t>
            </w:r>
            <w:r w:rsidR="00154524">
              <w:rPr>
                <w:noProof/>
                <w:webHidden/>
              </w:rPr>
              <w:tab/>
            </w:r>
            <w:r w:rsidR="00154524">
              <w:rPr>
                <w:noProof/>
                <w:webHidden/>
              </w:rPr>
              <w:fldChar w:fldCharType="begin"/>
            </w:r>
            <w:r w:rsidR="00154524">
              <w:rPr>
                <w:noProof/>
                <w:webHidden/>
              </w:rPr>
              <w:instrText xml:space="preserve"> PAGEREF _Toc176423071 \h </w:instrText>
            </w:r>
            <w:r w:rsidR="00154524">
              <w:rPr>
                <w:noProof/>
                <w:webHidden/>
              </w:rPr>
            </w:r>
            <w:r w:rsidR="00154524">
              <w:rPr>
                <w:noProof/>
                <w:webHidden/>
              </w:rPr>
              <w:fldChar w:fldCharType="separate"/>
            </w:r>
            <w:r>
              <w:rPr>
                <w:noProof/>
                <w:webHidden/>
              </w:rPr>
              <w:t>30</w:t>
            </w:r>
            <w:r w:rsidR="00154524">
              <w:rPr>
                <w:noProof/>
                <w:webHidden/>
              </w:rPr>
              <w:fldChar w:fldCharType="end"/>
            </w:r>
          </w:hyperlink>
        </w:p>
        <w:p w14:paraId="1E783B8E" w14:textId="27939377" w:rsidR="00154524" w:rsidRDefault="00367A8D">
          <w:pPr>
            <w:pStyle w:val="TOC3"/>
            <w:rPr>
              <w:rFonts w:asciiTheme="minorHAnsi" w:eastAsiaTheme="minorEastAsia" w:hAnsiTheme="minorHAnsi" w:cstheme="minorBidi"/>
              <w:b w:val="0"/>
              <w:noProof/>
              <w:color w:val="auto"/>
              <w:kern w:val="2"/>
              <w:szCs w:val="22"/>
              <w:lang w:eastAsia="en-AU"/>
              <w14:ligatures w14:val="standardContextual"/>
            </w:rPr>
          </w:pPr>
          <w:hyperlink w:anchor="_Toc176423072" w:history="1">
            <w:r w:rsidR="00154524" w:rsidRPr="00A310E4">
              <w:rPr>
                <w:rStyle w:val="Hyperlink"/>
                <w:noProof/>
              </w:rPr>
              <w:t>Advisory Committee on Medicines considerations</w:t>
            </w:r>
            <w:r w:rsidR="00154524">
              <w:rPr>
                <w:noProof/>
                <w:webHidden/>
              </w:rPr>
              <w:tab/>
            </w:r>
            <w:r w:rsidR="00154524">
              <w:rPr>
                <w:noProof/>
                <w:webHidden/>
              </w:rPr>
              <w:fldChar w:fldCharType="begin"/>
            </w:r>
            <w:r w:rsidR="00154524">
              <w:rPr>
                <w:noProof/>
                <w:webHidden/>
              </w:rPr>
              <w:instrText xml:space="preserve"> PAGEREF _Toc176423072 \h </w:instrText>
            </w:r>
            <w:r w:rsidR="00154524">
              <w:rPr>
                <w:noProof/>
                <w:webHidden/>
              </w:rPr>
            </w:r>
            <w:r w:rsidR="00154524">
              <w:rPr>
                <w:noProof/>
                <w:webHidden/>
              </w:rPr>
              <w:fldChar w:fldCharType="separate"/>
            </w:r>
            <w:r>
              <w:rPr>
                <w:noProof/>
                <w:webHidden/>
              </w:rPr>
              <w:t>30</w:t>
            </w:r>
            <w:r w:rsidR="00154524">
              <w:rPr>
                <w:noProof/>
                <w:webHidden/>
              </w:rPr>
              <w:fldChar w:fldCharType="end"/>
            </w:r>
          </w:hyperlink>
        </w:p>
        <w:p w14:paraId="059170BC" w14:textId="347DDA44" w:rsidR="00154524" w:rsidRDefault="00367A8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6423073" w:history="1">
            <w:r w:rsidR="00154524" w:rsidRPr="00A310E4">
              <w:rPr>
                <w:rStyle w:val="Hyperlink"/>
                <w:noProof/>
              </w:rPr>
              <w:t>Outcome</w:t>
            </w:r>
            <w:r w:rsidR="00154524">
              <w:rPr>
                <w:noProof/>
                <w:webHidden/>
              </w:rPr>
              <w:tab/>
            </w:r>
            <w:r w:rsidR="00154524">
              <w:rPr>
                <w:noProof/>
                <w:webHidden/>
              </w:rPr>
              <w:fldChar w:fldCharType="begin"/>
            </w:r>
            <w:r w:rsidR="00154524">
              <w:rPr>
                <w:noProof/>
                <w:webHidden/>
              </w:rPr>
              <w:instrText xml:space="preserve"> PAGEREF _Toc176423073 \h </w:instrText>
            </w:r>
            <w:r w:rsidR="00154524">
              <w:rPr>
                <w:noProof/>
                <w:webHidden/>
              </w:rPr>
            </w:r>
            <w:r w:rsidR="00154524">
              <w:rPr>
                <w:noProof/>
                <w:webHidden/>
              </w:rPr>
              <w:fldChar w:fldCharType="separate"/>
            </w:r>
            <w:r>
              <w:rPr>
                <w:noProof/>
                <w:webHidden/>
              </w:rPr>
              <w:t>31</w:t>
            </w:r>
            <w:r w:rsidR="00154524">
              <w:rPr>
                <w:noProof/>
                <w:webHidden/>
              </w:rPr>
              <w:fldChar w:fldCharType="end"/>
            </w:r>
          </w:hyperlink>
        </w:p>
        <w:p w14:paraId="379E8DFA" w14:textId="2490743D" w:rsidR="00154524" w:rsidRDefault="00367A8D">
          <w:pPr>
            <w:pStyle w:val="TOC3"/>
            <w:rPr>
              <w:rFonts w:asciiTheme="minorHAnsi" w:eastAsiaTheme="minorEastAsia" w:hAnsiTheme="minorHAnsi" w:cstheme="minorBidi"/>
              <w:b w:val="0"/>
              <w:noProof/>
              <w:color w:val="auto"/>
              <w:kern w:val="2"/>
              <w:szCs w:val="22"/>
              <w:lang w:eastAsia="en-AU"/>
              <w14:ligatures w14:val="standardContextual"/>
            </w:rPr>
          </w:pPr>
          <w:hyperlink w:anchor="_Toc176423074" w:history="1">
            <w:r w:rsidR="00154524" w:rsidRPr="00A310E4">
              <w:rPr>
                <w:rStyle w:val="Hyperlink"/>
                <w:noProof/>
              </w:rPr>
              <w:t>Specific conditions of registration applying to these goods</w:t>
            </w:r>
            <w:r w:rsidR="00154524">
              <w:rPr>
                <w:noProof/>
                <w:webHidden/>
              </w:rPr>
              <w:tab/>
            </w:r>
            <w:r w:rsidR="00154524">
              <w:rPr>
                <w:noProof/>
                <w:webHidden/>
              </w:rPr>
              <w:fldChar w:fldCharType="begin"/>
            </w:r>
            <w:r w:rsidR="00154524">
              <w:rPr>
                <w:noProof/>
                <w:webHidden/>
              </w:rPr>
              <w:instrText xml:space="preserve"> PAGEREF _Toc176423074 \h </w:instrText>
            </w:r>
            <w:r w:rsidR="00154524">
              <w:rPr>
                <w:noProof/>
                <w:webHidden/>
              </w:rPr>
            </w:r>
            <w:r w:rsidR="00154524">
              <w:rPr>
                <w:noProof/>
                <w:webHidden/>
              </w:rPr>
              <w:fldChar w:fldCharType="separate"/>
            </w:r>
            <w:r>
              <w:rPr>
                <w:noProof/>
                <w:webHidden/>
              </w:rPr>
              <w:t>31</w:t>
            </w:r>
            <w:r w:rsidR="00154524">
              <w:rPr>
                <w:noProof/>
                <w:webHidden/>
              </w:rPr>
              <w:fldChar w:fldCharType="end"/>
            </w:r>
          </w:hyperlink>
        </w:p>
        <w:p w14:paraId="58B973B4" w14:textId="1B1DFF13" w:rsidR="00154524" w:rsidRDefault="00367A8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6423075" w:history="1">
            <w:r w:rsidR="00154524" w:rsidRPr="00A310E4">
              <w:rPr>
                <w:rStyle w:val="Hyperlink"/>
                <w:noProof/>
              </w:rPr>
              <w:t>Attachment 1. Product Information</w:t>
            </w:r>
            <w:r w:rsidR="00154524">
              <w:rPr>
                <w:noProof/>
                <w:webHidden/>
              </w:rPr>
              <w:tab/>
            </w:r>
            <w:r w:rsidR="00154524">
              <w:rPr>
                <w:noProof/>
                <w:webHidden/>
              </w:rPr>
              <w:fldChar w:fldCharType="begin"/>
            </w:r>
            <w:r w:rsidR="00154524">
              <w:rPr>
                <w:noProof/>
                <w:webHidden/>
              </w:rPr>
              <w:instrText xml:space="preserve"> PAGEREF _Toc176423075 \h </w:instrText>
            </w:r>
            <w:r w:rsidR="00154524">
              <w:rPr>
                <w:noProof/>
                <w:webHidden/>
              </w:rPr>
            </w:r>
            <w:r w:rsidR="00154524">
              <w:rPr>
                <w:noProof/>
                <w:webHidden/>
              </w:rPr>
              <w:fldChar w:fldCharType="separate"/>
            </w:r>
            <w:r>
              <w:rPr>
                <w:noProof/>
                <w:webHidden/>
              </w:rPr>
              <w:t>31</w:t>
            </w:r>
            <w:r w:rsidR="00154524">
              <w:rPr>
                <w:noProof/>
                <w:webHidden/>
              </w:rPr>
              <w:fldChar w:fldCharType="end"/>
            </w:r>
          </w:hyperlink>
        </w:p>
        <w:p w14:paraId="5D98AFF5" w14:textId="6FEEE72F" w:rsidR="00154524" w:rsidRDefault="00367A8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6423076" w:history="1">
            <w:r w:rsidR="00154524" w:rsidRPr="00A310E4">
              <w:rPr>
                <w:rStyle w:val="Hyperlink"/>
                <w:noProof/>
              </w:rPr>
              <w:t>Appendix</w:t>
            </w:r>
            <w:r w:rsidR="00154524">
              <w:rPr>
                <w:noProof/>
                <w:webHidden/>
              </w:rPr>
              <w:tab/>
            </w:r>
            <w:r w:rsidR="00154524">
              <w:rPr>
                <w:noProof/>
                <w:webHidden/>
              </w:rPr>
              <w:fldChar w:fldCharType="begin"/>
            </w:r>
            <w:r w:rsidR="00154524">
              <w:rPr>
                <w:noProof/>
                <w:webHidden/>
              </w:rPr>
              <w:instrText xml:space="preserve"> PAGEREF _Toc176423076 \h </w:instrText>
            </w:r>
            <w:r w:rsidR="00154524">
              <w:rPr>
                <w:noProof/>
                <w:webHidden/>
              </w:rPr>
            </w:r>
            <w:r w:rsidR="00154524">
              <w:rPr>
                <w:noProof/>
                <w:webHidden/>
              </w:rPr>
              <w:fldChar w:fldCharType="separate"/>
            </w:r>
            <w:r>
              <w:rPr>
                <w:noProof/>
                <w:webHidden/>
              </w:rPr>
              <w:t>32</w:t>
            </w:r>
            <w:r w:rsidR="00154524">
              <w:rPr>
                <w:noProof/>
                <w:webHidden/>
              </w:rPr>
              <w:fldChar w:fldCharType="end"/>
            </w:r>
          </w:hyperlink>
        </w:p>
        <w:p w14:paraId="77659F2D" w14:textId="45A3359A"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58578454" w14:textId="6E6C1A7A" w:rsidR="00324B33" w:rsidRDefault="00324B33" w:rsidP="000630D5">
      <w:pPr>
        <w:pStyle w:val="Heading3"/>
      </w:pPr>
      <w:bookmarkStart w:id="0" w:name="_Toc98931917"/>
      <w:bookmarkStart w:id="1" w:name="_Toc103679287"/>
      <w:bookmarkStart w:id="2" w:name="_Toc176423048"/>
      <w:bookmarkStart w:id="3" w:name="_Toc323739589"/>
      <w:bookmarkStart w:id="4" w:name="_Toc356305216"/>
      <w:r>
        <w:lastRenderedPageBreak/>
        <w:t>List of abbreviations</w:t>
      </w:r>
      <w:bookmarkEnd w:id="0"/>
      <w:bookmarkEnd w:id="1"/>
      <w:bookmarkEnd w:id="2"/>
    </w:p>
    <w:tbl>
      <w:tblPr>
        <w:tblStyle w:val="TableTGAblue2023"/>
        <w:tblW w:w="0" w:type="auto"/>
        <w:tblLook w:val="04A0" w:firstRow="1" w:lastRow="0" w:firstColumn="1" w:lastColumn="0" w:noHBand="0" w:noVBand="1"/>
      </w:tblPr>
      <w:tblGrid>
        <w:gridCol w:w="2174"/>
        <w:gridCol w:w="6886"/>
      </w:tblGrid>
      <w:tr w:rsidR="00686331" w14:paraId="145E2153" w14:textId="77777777" w:rsidTr="00686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8BB4846" w14:textId="77777777" w:rsidR="00686331" w:rsidRDefault="00686331" w:rsidP="00475E53">
            <w:r>
              <w:t>Abbreviation</w:t>
            </w:r>
          </w:p>
        </w:tc>
        <w:tc>
          <w:tcPr>
            <w:tcW w:w="6886" w:type="dxa"/>
          </w:tcPr>
          <w:p w14:paraId="23D097D9" w14:textId="77777777" w:rsidR="00686331" w:rsidRDefault="00686331" w:rsidP="00475E53">
            <w:pPr>
              <w:cnfStyle w:val="100000000000" w:firstRow="1" w:lastRow="0" w:firstColumn="0" w:lastColumn="0" w:oddVBand="0" w:evenVBand="0" w:oddHBand="0" w:evenHBand="0" w:firstRowFirstColumn="0" w:firstRowLastColumn="0" w:lastRowFirstColumn="0" w:lastRowLastColumn="0"/>
            </w:pPr>
            <w:r>
              <w:t>Meaning</w:t>
            </w:r>
          </w:p>
        </w:tc>
      </w:tr>
      <w:tr w:rsidR="00686331" w14:paraId="1704575B" w14:textId="77777777" w:rsidTr="00686331">
        <w:tc>
          <w:tcPr>
            <w:cnfStyle w:val="001000000000" w:firstRow="0" w:lastRow="0" w:firstColumn="1" w:lastColumn="0" w:oddVBand="0" w:evenVBand="0" w:oddHBand="0" w:evenHBand="0" w:firstRowFirstColumn="0" w:firstRowLastColumn="0" w:lastRowFirstColumn="0" w:lastRowLastColumn="0"/>
            <w:tcW w:w="2174" w:type="dxa"/>
          </w:tcPr>
          <w:p w14:paraId="30935461" w14:textId="77777777" w:rsidR="00686331" w:rsidRDefault="00686331" w:rsidP="00686331">
            <w:r>
              <w:t>AE</w:t>
            </w:r>
          </w:p>
        </w:tc>
        <w:tc>
          <w:tcPr>
            <w:tcW w:w="6886" w:type="dxa"/>
          </w:tcPr>
          <w:p w14:paraId="1F18D732" w14:textId="77777777" w:rsidR="00686331" w:rsidRDefault="00686331" w:rsidP="00686331">
            <w:pPr>
              <w:cnfStyle w:val="000000000000" w:firstRow="0" w:lastRow="0" w:firstColumn="0" w:lastColumn="0" w:oddVBand="0" w:evenVBand="0" w:oddHBand="0" w:evenHBand="0" w:firstRowFirstColumn="0" w:firstRowLastColumn="0" w:lastRowFirstColumn="0" w:lastRowLastColumn="0"/>
            </w:pPr>
            <w:r>
              <w:t>Adverse event</w:t>
            </w:r>
          </w:p>
        </w:tc>
      </w:tr>
      <w:tr w:rsidR="00686331" w14:paraId="04980AA8" w14:textId="77777777" w:rsidTr="00686331">
        <w:tc>
          <w:tcPr>
            <w:cnfStyle w:val="001000000000" w:firstRow="0" w:lastRow="0" w:firstColumn="1" w:lastColumn="0" w:oddVBand="0" w:evenVBand="0" w:oddHBand="0" w:evenHBand="0" w:firstRowFirstColumn="0" w:firstRowLastColumn="0" w:lastRowFirstColumn="0" w:lastRowLastColumn="0"/>
            <w:tcW w:w="2174" w:type="dxa"/>
          </w:tcPr>
          <w:p w14:paraId="6248A9EA" w14:textId="6AE3F9D5" w:rsidR="00686331" w:rsidRDefault="00686331" w:rsidP="00686331">
            <w:r w:rsidRPr="00D01DDB">
              <w:rPr>
                <w:szCs w:val="22"/>
              </w:rPr>
              <w:t>ARTG</w:t>
            </w:r>
          </w:p>
        </w:tc>
        <w:tc>
          <w:tcPr>
            <w:tcW w:w="6886" w:type="dxa"/>
          </w:tcPr>
          <w:p w14:paraId="18AB7444" w14:textId="46F455A4" w:rsidR="00686331" w:rsidRDefault="00686331" w:rsidP="00686331">
            <w:pPr>
              <w:cnfStyle w:val="000000000000" w:firstRow="0" w:lastRow="0" w:firstColumn="0" w:lastColumn="0" w:oddVBand="0" w:evenVBand="0" w:oddHBand="0" w:evenHBand="0" w:firstRowFirstColumn="0" w:firstRowLastColumn="0" w:lastRowFirstColumn="0" w:lastRowLastColumn="0"/>
            </w:pPr>
            <w:r w:rsidRPr="00D01DDB">
              <w:rPr>
                <w:szCs w:val="22"/>
              </w:rPr>
              <w:t>Australian Register of Therapeutic Goods</w:t>
            </w:r>
          </w:p>
        </w:tc>
      </w:tr>
      <w:tr w:rsidR="00686331" w14:paraId="0FF2A87F" w14:textId="77777777" w:rsidTr="00686331">
        <w:tc>
          <w:tcPr>
            <w:cnfStyle w:val="001000000000" w:firstRow="0" w:lastRow="0" w:firstColumn="1" w:lastColumn="0" w:oddVBand="0" w:evenVBand="0" w:oddHBand="0" w:evenHBand="0" w:firstRowFirstColumn="0" w:firstRowLastColumn="0" w:lastRowFirstColumn="0" w:lastRowLastColumn="0"/>
            <w:tcW w:w="2174" w:type="dxa"/>
          </w:tcPr>
          <w:p w14:paraId="759EF3D1" w14:textId="77777777" w:rsidR="00686331" w:rsidRDefault="00686331" w:rsidP="00686331">
            <w:r>
              <w:t>AUC</w:t>
            </w:r>
          </w:p>
        </w:tc>
        <w:tc>
          <w:tcPr>
            <w:tcW w:w="6886" w:type="dxa"/>
          </w:tcPr>
          <w:p w14:paraId="6DFCA27E" w14:textId="77777777" w:rsidR="00686331" w:rsidRDefault="00686331" w:rsidP="00686331">
            <w:pPr>
              <w:cnfStyle w:val="000000000000" w:firstRow="0" w:lastRow="0" w:firstColumn="0" w:lastColumn="0" w:oddVBand="0" w:evenVBand="0" w:oddHBand="0" w:evenHBand="0" w:firstRowFirstColumn="0" w:firstRowLastColumn="0" w:lastRowFirstColumn="0" w:lastRowLastColumn="0"/>
            </w:pPr>
            <w:r>
              <w:t>Area under the curve</w:t>
            </w:r>
          </w:p>
        </w:tc>
      </w:tr>
      <w:tr w:rsidR="00686331" w14:paraId="04992CCF" w14:textId="77777777" w:rsidTr="00686331">
        <w:tc>
          <w:tcPr>
            <w:cnfStyle w:val="001000000000" w:firstRow="0" w:lastRow="0" w:firstColumn="1" w:lastColumn="0" w:oddVBand="0" w:evenVBand="0" w:oddHBand="0" w:evenHBand="0" w:firstRowFirstColumn="0" w:firstRowLastColumn="0" w:lastRowFirstColumn="0" w:lastRowLastColumn="0"/>
            <w:tcW w:w="2174" w:type="dxa"/>
          </w:tcPr>
          <w:p w14:paraId="6B36D931" w14:textId="77777777" w:rsidR="00686331" w:rsidRDefault="00686331" w:rsidP="00686331">
            <w:r>
              <w:t>BMI</w:t>
            </w:r>
          </w:p>
        </w:tc>
        <w:tc>
          <w:tcPr>
            <w:tcW w:w="6886" w:type="dxa"/>
          </w:tcPr>
          <w:p w14:paraId="32370A76" w14:textId="77777777" w:rsidR="00686331" w:rsidRDefault="00686331" w:rsidP="00686331">
            <w:pPr>
              <w:cnfStyle w:val="000000000000" w:firstRow="0" w:lastRow="0" w:firstColumn="0" w:lastColumn="0" w:oddVBand="0" w:evenVBand="0" w:oddHBand="0" w:evenHBand="0" w:firstRowFirstColumn="0" w:firstRowLastColumn="0" w:lastRowFirstColumn="0" w:lastRowLastColumn="0"/>
            </w:pPr>
            <w:r>
              <w:t>Body mass index</w:t>
            </w:r>
          </w:p>
        </w:tc>
      </w:tr>
      <w:tr w:rsidR="00686331" w14:paraId="73C9483E" w14:textId="77777777" w:rsidTr="008226AF">
        <w:trPr>
          <w:trHeight w:val="440"/>
        </w:trPr>
        <w:tc>
          <w:tcPr>
            <w:cnfStyle w:val="001000000000" w:firstRow="0" w:lastRow="0" w:firstColumn="1" w:lastColumn="0" w:oddVBand="0" w:evenVBand="0" w:oddHBand="0" w:evenHBand="0" w:firstRowFirstColumn="0" w:firstRowLastColumn="0" w:lastRowFirstColumn="0" w:lastRowLastColumn="0"/>
            <w:tcW w:w="2174" w:type="dxa"/>
          </w:tcPr>
          <w:p w14:paraId="64468DCC" w14:textId="77777777" w:rsidR="00686331" w:rsidRDefault="00686331" w:rsidP="00686331">
            <w:r>
              <w:t>CI</w:t>
            </w:r>
          </w:p>
        </w:tc>
        <w:tc>
          <w:tcPr>
            <w:tcW w:w="6886" w:type="dxa"/>
          </w:tcPr>
          <w:p w14:paraId="01BABBF5" w14:textId="77777777" w:rsidR="00686331" w:rsidRDefault="00686331" w:rsidP="00686331">
            <w:pPr>
              <w:cnfStyle w:val="000000000000" w:firstRow="0" w:lastRow="0" w:firstColumn="0" w:lastColumn="0" w:oddVBand="0" w:evenVBand="0" w:oddHBand="0" w:evenHBand="0" w:firstRowFirstColumn="0" w:firstRowLastColumn="0" w:lastRowFirstColumn="0" w:lastRowLastColumn="0"/>
            </w:pPr>
            <w:r>
              <w:t>Confidence interval</w:t>
            </w:r>
          </w:p>
        </w:tc>
      </w:tr>
      <w:tr w:rsidR="00686331" w14:paraId="3F34FB3B" w14:textId="77777777" w:rsidTr="00686331">
        <w:tc>
          <w:tcPr>
            <w:cnfStyle w:val="001000000000" w:firstRow="0" w:lastRow="0" w:firstColumn="1" w:lastColumn="0" w:oddVBand="0" w:evenVBand="0" w:oddHBand="0" w:evenHBand="0" w:firstRowFirstColumn="0" w:firstRowLastColumn="0" w:lastRowFirstColumn="0" w:lastRowLastColumn="0"/>
            <w:tcW w:w="2174" w:type="dxa"/>
          </w:tcPr>
          <w:p w14:paraId="5E6304D1" w14:textId="77777777" w:rsidR="00686331" w:rsidRDefault="00686331" w:rsidP="00686331">
            <w:r>
              <w:t>CL/F</w:t>
            </w:r>
          </w:p>
        </w:tc>
        <w:tc>
          <w:tcPr>
            <w:tcW w:w="6886" w:type="dxa"/>
          </w:tcPr>
          <w:p w14:paraId="17BCC096" w14:textId="77777777" w:rsidR="00686331" w:rsidRDefault="00686331" w:rsidP="00686331">
            <w:pPr>
              <w:cnfStyle w:val="000000000000" w:firstRow="0" w:lastRow="0" w:firstColumn="0" w:lastColumn="0" w:oddVBand="0" w:evenVBand="0" w:oddHBand="0" w:evenHBand="0" w:firstRowFirstColumn="0" w:firstRowLastColumn="0" w:lastRowFirstColumn="0" w:lastRowLastColumn="0"/>
            </w:pPr>
            <w:r>
              <w:t>Apparent clearance</w:t>
            </w:r>
          </w:p>
        </w:tc>
      </w:tr>
      <w:tr w:rsidR="00686331" w14:paraId="774B157B" w14:textId="77777777" w:rsidTr="00686331">
        <w:tc>
          <w:tcPr>
            <w:cnfStyle w:val="001000000000" w:firstRow="0" w:lastRow="0" w:firstColumn="1" w:lastColumn="0" w:oddVBand="0" w:evenVBand="0" w:oddHBand="0" w:evenHBand="0" w:firstRowFirstColumn="0" w:firstRowLastColumn="0" w:lastRowFirstColumn="0" w:lastRowLastColumn="0"/>
            <w:tcW w:w="2174" w:type="dxa"/>
          </w:tcPr>
          <w:p w14:paraId="6E96DDDF" w14:textId="77777777" w:rsidR="00686331" w:rsidRDefault="00686331" w:rsidP="00686331">
            <w:proofErr w:type="spellStart"/>
            <w:r>
              <w:t>C</w:t>
            </w:r>
            <w:r w:rsidRPr="00FC6DB9">
              <w:rPr>
                <w:vertAlign w:val="subscript"/>
              </w:rPr>
              <w:t>max</w:t>
            </w:r>
            <w:proofErr w:type="spellEnd"/>
          </w:p>
        </w:tc>
        <w:tc>
          <w:tcPr>
            <w:tcW w:w="6886" w:type="dxa"/>
          </w:tcPr>
          <w:p w14:paraId="2CCAB33E" w14:textId="77777777" w:rsidR="00686331" w:rsidRDefault="00686331" w:rsidP="00686331">
            <w:pPr>
              <w:cnfStyle w:val="000000000000" w:firstRow="0" w:lastRow="0" w:firstColumn="0" w:lastColumn="0" w:oddVBand="0" w:evenVBand="0" w:oddHBand="0" w:evenHBand="0" w:firstRowFirstColumn="0" w:firstRowLastColumn="0" w:lastRowFirstColumn="0" w:lastRowLastColumn="0"/>
            </w:pPr>
            <w:r>
              <w:t>Maximum concentration</w:t>
            </w:r>
          </w:p>
        </w:tc>
      </w:tr>
      <w:tr w:rsidR="00686331" w14:paraId="6CF40F3C" w14:textId="77777777" w:rsidTr="00686331">
        <w:tc>
          <w:tcPr>
            <w:cnfStyle w:val="001000000000" w:firstRow="0" w:lastRow="0" w:firstColumn="1" w:lastColumn="0" w:oddVBand="0" w:evenVBand="0" w:oddHBand="0" w:evenHBand="0" w:firstRowFirstColumn="0" w:firstRowLastColumn="0" w:lastRowFirstColumn="0" w:lastRowLastColumn="0"/>
            <w:tcW w:w="2174" w:type="dxa"/>
          </w:tcPr>
          <w:p w14:paraId="1ECC4906" w14:textId="77777777" w:rsidR="00686331" w:rsidRDefault="00686331" w:rsidP="00686331">
            <w:r>
              <w:t>DEXA</w:t>
            </w:r>
          </w:p>
        </w:tc>
        <w:tc>
          <w:tcPr>
            <w:tcW w:w="6886" w:type="dxa"/>
          </w:tcPr>
          <w:p w14:paraId="1E1A2B19" w14:textId="77777777" w:rsidR="00686331" w:rsidRDefault="00686331" w:rsidP="00686331">
            <w:pPr>
              <w:cnfStyle w:val="000000000000" w:firstRow="0" w:lastRow="0" w:firstColumn="0" w:lastColumn="0" w:oddVBand="0" w:evenVBand="0" w:oddHBand="0" w:evenHBand="0" w:firstRowFirstColumn="0" w:firstRowLastColumn="0" w:lastRowFirstColumn="0" w:lastRowLastColumn="0"/>
            </w:pPr>
            <w:r>
              <w:t>Dual-energy X-ray absorptiometry</w:t>
            </w:r>
          </w:p>
        </w:tc>
      </w:tr>
      <w:tr w:rsidR="00686331" w14:paraId="505861A9" w14:textId="77777777" w:rsidTr="00686331">
        <w:tc>
          <w:tcPr>
            <w:cnfStyle w:val="001000000000" w:firstRow="0" w:lastRow="0" w:firstColumn="1" w:lastColumn="0" w:oddVBand="0" w:evenVBand="0" w:oddHBand="0" w:evenHBand="0" w:firstRowFirstColumn="0" w:firstRowLastColumn="0" w:lastRowFirstColumn="0" w:lastRowLastColumn="0"/>
            <w:tcW w:w="2174" w:type="dxa"/>
          </w:tcPr>
          <w:p w14:paraId="48D382E5" w14:textId="77777777" w:rsidR="00686331" w:rsidRDefault="00686331" w:rsidP="00686331">
            <w:r>
              <w:t>DXA</w:t>
            </w:r>
          </w:p>
        </w:tc>
        <w:tc>
          <w:tcPr>
            <w:tcW w:w="6886" w:type="dxa"/>
          </w:tcPr>
          <w:p w14:paraId="75517091" w14:textId="77777777" w:rsidR="00686331" w:rsidRDefault="00686331" w:rsidP="00686331">
            <w:pPr>
              <w:cnfStyle w:val="000000000000" w:firstRow="0" w:lastRow="0" w:firstColumn="0" w:lastColumn="0" w:oddVBand="0" w:evenVBand="0" w:oddHBand="0" w:evenHBand="0" w:firstRowFirstColumn="0" w:firstRowLastColumn="0" w:lastRowFirstColumn="0" w:lastRowLastColumn="0"/>
            </w:pPr>
            <w:r>
              <w:t>DEXA analysis set</w:t>
            </w:r>
          </w:p>
        </w:tc>
      </w:tr>
      <w:tr w:rsidR="00686331" w14:paraId="32B83564" w14:textId="77777777" w:rsidTr="00686331">
        <w:tc>
          <w:tcPr>
            <w:cnfStyle w:val="001000000000" w:firstRow="0" w:lastRow="0" w:firstColumn="1" w:lastColumn="0" w:oddVBand="0" w:evenVBand="0" w:oddHBand="0" w:evenHBand="0" w:firstRowFirstColumn="0" w:firstRowLastColumn="0" w:lastRowFirstColumn="0" w:lastRowLastColumn="0"/>
            <w:tcW w:w="2174" w:type="dxa"/>
          </w:tcPr>
          <w:p w14:paraId="0714FDE1" w14:textId="77777777" w:rsidR="00686331" w:rsidRDefault="00686331" w:rsidP="00686331">
            <w:r>
              <w:t>GLP-1</w:t>
            </w:r>
          </w:p>
        </w:tc>
        <w:tc>
          <w:tcPr>
            <w:tcW w:w="6886" w:type="dxa"/>
          </w:tcPr>
          <w:p w14:paraId="4B5C65BF" w14:textId="77777777" w:rsidR="00686331" w:rsidRDefault="00686331" w:rsidP="00686331">
            <w:pPr>
              <w:cnfStyle w:val="000000000000" w:firstRow="0" w:lastRow="0" w:firstColumn="0" w:lastColumn="0" w:oddVBand="0" w:evenVBand="0" w:oddHBand="0" w:evenHBand="0" w:firstRowFirstColumn="0" w:firstRowLastColumn="0" w:lastRowFirstColumn="0" w:lastRowLastColumn="0"/>
            </w:pPr>
            <w:r>
              <w:t>Glucagon-like peptide-1</w:t>
            </w:r>
          </w:p>
        </w:tc>
      </w:tr>
      <w:tr w:rsidR="00686331" w14:paraId="25FC0CF2" w14:textId="77777777" w:rsidTr="00686331">
        <w:tc>
          <w:tcPr>
            <w:cnfStyle w:val="001000000000" w:firstRow="0" w:lastRow="0" w:firstColumn="1" w:lastColumn="0" w:oddVBand="0" w:evenVBand="0" w:oddHBand="0" w:evenHBand="0" w:firstRowFirstColumn="0" w:firstRowLastColumn="0" w:lastRowFirstColumn="0" w:lastRowLastColumn="0"/>
            <w:tcW w:w="2174" w:type="dxa"/>
          </w:tcPr>
          <w:p w14:paraId="5FE51179" w14:textId="77777777" w:rsidR="00686331" w:rsidRDefault="00686331" w:rsidP="00686331">
            <w:r>
              <w:t>GLP-1 RA</w:t>
            </w:r>
          </w:p>
        </w:tc>
        <w:tc>
          <w:tcPr>
            <w:tcW w:w="6886" w:type="dxa"/>
          </w:tcPr>
          <w:p w14:paraId="71DC281E" w14:textId="77777777" w:rsidR="00686331" w:rsidRDefault="00686331" w:rsidP="00686331">
            <w:pPr>
              <w:cnfStyle w:val="000000000000" w:firstRow="0" w:lastRow="0" w:firstColumn="0" w:lastColumn="0" w:oddVBand="0" w:evenVBand="0" w:oddHBand="0" w:evenHBand="0" w:firstRowFirstColumn="0" w:firstRowLastColumn="0" w:lastRowFirstColumn="0" w:lastRowLastColumn="0"/>
            </w:pPr>
            <w:r>
              <w:t>Glucagon-like peptide-1 receptor antagonist</w:t>
            </w:r>
          </w:p>
        </w:tc>
      </w:tr>
      <w:tr w:rsidR="00686331" w14:paraId="5875688E" w14:textId="77777777" w:rsidTr="00686331">
        <w:tc>
          <w:tcPr>
            <w:cnfStyle w:val="001000000000" w:firstRow="0" w:lastRow="0" w:firstColumn="1" w:lastColumn="0" w:oddVBand="0" w:evenVBand="0" w:oddHBand="0" w:evenHBand="0" w:firstRowFirstColumn="0" w:firstRowLastColumn="0" w:lastRowFirstColumn="0" w:lastRowLastColumn="0"/>
            <w:tcW w:w="2174" w:type="dxa"/>
          </w:tcPr>
          <w:p w14:paraId="727F7FE8" w14:textId="77777777" w:rsidR="00686331" w:rsidRDefault="00686331" w:rsidP="00686331">
            <w:r>
              <w:t>HDL</w:t>
            </w:r>
          </w:p>
        </w:tc>
        <w:tc>
          <w:tcPr>
            <w:tcW w:w="6886" w:type="dxa"/>
          </w:tcPr>
          <w:p w14:paraId="205ADA4C" w14:textId="77777777" w:rsidR="00686331" w:rsidRDefault="00686331" w:rsidP="00686331">
            <w:pPr>
              <w:cnfStyle w:val="000000000000" w:firstRow="0" w:lastRow="0" w:firstColumn="0" w:lastColumn="0" w:oddVBand="0" w:evenVBand="0" w:oddHBand="0" w:evenHBand="0" w:firstRowFirstColumn="0" w:firstRowLastColumn="0" w:lastRowFirstColumn="0" w:lastRowLastColumn="0"/>
            </w:pPr>
            <w:r>
              <w:t>High-density lipoprotein</w:t>
            </w:r>
          </w:p>
        </w:tc>
      </w:tr>
      <w:tr w:rsidR="00686331" w14:paraId="6EC97294" w14:textId="77777777" w:rsidTr="00686331">
        <w:tc>
          <w:tcPr>
            <w:cnfStyle w:val="001000000000" w:firstRow="0" w:lastRow="0" w:firstColumn="1" w:lastColumn="0" w:oddVBand="0" w:evenVBand="0" w:oddHBand="0" w:evenHBand="0" w:firstRowFirstColumn="0" w:firstRowLastColumn="0" w:lastRowFirstColumn="0" w:lastRowLastColumn="0"/>
            <w:tcW w:w="2174" w:type="dxa"/>
          </w:tcPr>
          <w:p w14:paraId="362C3E33" w14:textId="77777777" w:rsidR="00686331" w:rsidRDefault="00686331" w:rsidP="00686331">
            <w:r>
              <w:t>LDL</w:t>
            </w:r>
          </w:p>
        </w:tc>
        <w:tc>
          <w:tcPr>
            <w:tcW w:w="6886" w:type="dxa"/>
          </w:tcPr>
          <w:p w14:paraId="5A5AF72D" w14:textId="77777777" w:rsidR="00686331" w:rsidRDefault="00686331" w:rsidP="00686331">
            <w:pPr>
              <w:cnfStyle w:val="000000000000" w:firstRow="0" w:lastRow="0" w:firstColumn="0" w:lastColumn="0" w:oddVBand="0" w:evenVBand="0" w:oddHBand="0" w:evenHBand="0" w:firstRowFirstColumn="0" w:firstRowLastColumn="0" w:lastRowFirstColumn="0" w:lastRowLastColumn="0"/>
            </w:pPr>
            <w:r>
              <w:t>Low-density lipoprotein</w:t>
            </w:r>
          </w:p>
        </w:tc>
      </w:tr>
      <w:tr w:rsidR="00686331" w14:paraId="341A065B" w14:textId="77777777" w:rsidTr="00686331">
        <w:tc>
          <w:tcPr>
            <w:cnfStyle w:val="001000000000" w:firstRow="0" w:lastRow="0" w:firstColumn="1" w:lastColumn="0" w:oddVBand="0" w:evenVBand="0" w:oddHBand="0" w:evenHBand="0" w:firstRowFirstColumn="0" w:firstRowLastColumn="0" w:lastRowFirstColumn="0" w:lastRowLastColumn="0"/>
            <w:tcW w:w="2174" w:type="dxa"/>
          </w:tcPr>
          <w:p w14:paraId="766E11C5" w14:textId="77777777" w:rsidR="00686331" w:rsidRDefault="00686331" w:rsidP="00686331">
            <w:r>
              <w:t>PK</w:t>
            </w:r>
          </w:p>
        </w:tc>
        <w:tc>
          <w:tcPr>
            <w:tcW w:w="6886" w:type="dxa"/>
          </w:tcPr>
          <w:p w14:paraId="77AC9D43" w14:textId="77777777" w:rsidR="00686331" w:rsidRDefault="00686331" w:rsidP="00686331">
            <w:pPr>
              <w:cnfStyle w:val="000000000000" w:firstRow="0" w:lastRow="0" w:firstColumn="0" w:lastColumn="0" w:oddVBand="0" w:evenVBand="0" w:oddHBand="0" w:evenHBand="0" w:firstRowFirstColumn="0" w:firstRowLastColumn="0" w:lastRowFirstColumn="0" w:lastRowLastColumn="0"/>
            </w:pPr>
            <w:r>
              <w:t>Pharmacokinetics</w:t>
            </w:r>
          </w:p>
        </w:tc>
      </w:tr>
      <w:tr w:rsidR="00686331" w14:paraId="773CD76B" w14:textId="77777777" w:rsidTr="00686331">
        <w:tc>
          <w:tcPr>
            <w:cnfStyle w:val="001000000000" w:firstRow="0" w:lastRow="0" w:firstColumn="1" w:lastColumn="0" w:oddVBand="0" w:evenVBand="0" w:oddHBand="0" w:evenHBand="0" w:firstRowFirstColumn="0" w:firstRowLastColumn="0" w:lastRowFirstColumn="0" w:lastRowLastColumn="0"/>
            <w:tcW w:w="2174" w:type="dxa"/>
          </w:tcPr>
          <w:p w14:paraId="38C9C268" w14:textId="18B49D12" w:rsidR="00686331" w:rsidRDefault="00686331" w:rsidP="00686331">
            <w:r w:rsidRPr="00D01DDB">
              <w:rPr>
                <w:szCs w:val="22"/>
              </w:rPr>
              <w:t>RMP</w:t>
            </w:r>
          </w:p>
        </w:tc>
        <w:tc>
          <w:tcPr>
            <w:tcW w:w="6886" w:type="dxa"/>
          </w:tcPr>
          <w:p w14:paraId="2F33F4A3" w14:textId="63FA7BC0" w:rsidR="00686331" w:rsidRDefault="00686331" w:rsidP="00686331">
            <w:pPr>
              <w:cnfStyle w:val="000000000000" w:firstRow="0" w:lastRow="0" w:firstColumn="0" w:lastColumn="0" w:oddVBand="0" w:evenVBand="0" w:oddHBand="0" w:evenHBand="0" w:firstRowFirstColumn="0" w:firstRowLastColumn="0" w:lastRowFirstColumn="0" w:lastRowLastColumn="0"/>
            </w:pPr>
            <w:r w:rsidRPr="00D01DDB">
              <w:rPr>
                <w:szCs w:val="22"/>
              </w:rPr>
              <w:t>Risk management plan</w:t>
            </w:r>
          </w:p>
        </w:tc>
      </w:tr>
      <w:tr w:rsidR="00686331" w14:paraId="4B3F1A7B" w14:textId="77777777" w:rsidTr="00686331">
        <w:tc>
          <w:tcPr>
            <w:cnfStyle w:val="001000000000" w:firstRow="0" w:lastRow="0" w:firstColumn="1" w:lastColumn="0" w:oddVBand="0" w:evenVBand="0" w:oddHBand="0" w:evenHBand="0" w:firstRowFirstColumn="0" w:firstRowLastColumn="0" w:lastRowFirstColumn="0" w:lastRowLastColumn="0"/>
            <w:tcW w:w="2174" w:type="dxa"/>
          </w:tcPr>
          <w:p w14:paraId="218854D7" w14:textId="77777777" w:rsidR="00686331" w:rsidRDefault="00686331" w:rsidP="00686331">
            <w:r>
              <w:t>SAE</w:t>
            </w:r>
          </w:p>
        </w:tc>
        <w:tc>
          <w:tcPr>
            <w:tcW w:w="6886" w:type="dxa"/>
          </w:tcPr>
          <w:p w14:paraId="062B6E9C" w14:textId="77777777" w:rsidR="00686331" w:rsidRDefault="00686331" w:rsidP="00686331">
            <w:pPr>
              <w:cnfStyle w:val="000000000000" w:firstRow="0" w:lastRow="0" w:firstColumn="0" w:lastColumn="0" w:oddVBand="0" w:evenVBand="0" w:oddHBand="0" w:evenHBand="0" w:firstRowFirstColumn="0" w:firstRowLastColumn="0" w:lastRowFirstColumn="0" w:lastRowLastColumn="0"/>
            </w:pPr>
            <w:r>
              <w:t>Serious adverse event</w:t>
            </w:r>
          </w:p>
        </w:tc>
      </w:tr>
      <w:tr w:rsidR="00686331" w14:paraId="5D0B7752" w14:textId="77777777" w:rsidTr="00686331">
        <w:tc>
          <w:tcPr>
            <w:cnfStyle w:val="001000000000" w:firstRow="0" w:lastRow="0" w:firstColumn="1" w:lastColumn="0" w:oddVBand="0" w:evenVBand="0" w:oddHBand="0" w:evenHBand="0" w:firstRowFirstColumn="0" w:firstRowLastColumn="0" w:lastRowFirstColumn="0" w:lastRowLastColumn="0"/>
            <w:tcW w:w="2174" w:type="dxa"/>
          </w:tcPr>
          <w:p w14:paraId="120C55EE" w14:textId="77777777" w:rsidR="00686331" w:rsidRDefault="00686331" w:rsidP="00686331">
            <w:r>
              <w:t>SBP</w:t>
            </w:r>
          </w:p>
        </w:tc>
        <w:tc>
          <w:tcPr>
            <w:tcW w:w="6886" w:type="dxa"/>
          </w:tcPr>
          <w:p w14:paraId="7E494C92" w14:textId="77777777" w:rsidR="00686331" w:rsidRDefault="00686331" w:rsidP="00686331">
            <w:pPr>
              <w:cnfStyle w:val="000000000000" w:firstRow="0" w:lastRow="0" w:firstColumn="0" w:lastColumn="0" w:oddVBand="0" w:evenVBand="0" w:oddHBand="0" w:evenHBand="0" w:firstRowFirstColumn="0" w:firstRowLastColumn="0" w:lastRowFirstColumn="0" w:lastRowLastColumn="0"/>
            </w:pPr>
            <w:r>
              <w:t>Systolic blood pressure</w:t>
            </w:r>
          </w:p>
        </w:tc>
      </w:tr>
      <w:tr w:rsidR="00686331" w14:paraId="4CA7D7CA" w14:textId="77777777" w:rsidTr="00686331">
        <w:tc>
          <w:tcPr>
            <w:cnfStyle w:val="001000000000" w:firstRow="0" w:lastRow="0" w:firstColumn="1" w:lastColumn="0" w:oddVBand="0" w:evenVBand="0" w:oddHBand="0" w:evenHBand="0" w:firstRowFirstColumn="0" w:firstRowLastColumn="0" w:lastRowFirstColumn="0" w:lastRowLastColumn="0"/>
            <w:tcW w:w="2174" w:type="dxa"/>
          </w:tcPr>
          <w:p w14:paraId="19875CD8" w14:textId="77777777" w:rsidR="00686331" w:rsidRDefault="00686331" w:rsidP="00686331">
            <w:r>
              <w:t>STEP</w:t>
            </w:r>
          </w:p>
        </w:tc>
        <w:tc>
          <w:tcPr>
            <w:tcW w:w="6886" w:type="dxa"/>
          </w:tcPr>
          <w:p w14:paraId="7901946B" w14:textId="77777777" w:rsidR="00686331" w:rsidRDefault="00686331" w:rsidP="00686331">
            <w:pPr>
              <w:cnfStyle w:val="000000000000" w:firstRow="0" w:lastRow="0" w:firstColumn="0" w:lastColumn="0" w:oddVBand="0" w:evenVBand="0" w:oddHBand="0" w:evenHBand="0" w:firstRowFirstColumn="0" w:firstRowLastColumn="0" w:lastRowFirstColumn="0" w:lastRowLastColumn="0"/>
            </w:pPr>
            <w:r>
              <w:t>Semaglutide Treatment Effect in People with obesity</w:t>
            </w:r>
          </w:p>
        </w:tc>
      </w:tr>
      <w:tr w:rsidR="00686331" w14:paraId="7F185AFF" w14:textId="77777777" w:rsidTr="00686331">
        <w:tc>
          <w:tcPr>
            <w:cnfStyle w:val="001000000000" w:firstRow="0" w:lastRow="0" w:firstColumn="1" w:lastColumn="0" w:oddVBand="0" w:evenVBand="0" w:oddHBand="0" w:evenHBand="0" w:firstRowFirstColumn="0" w:firstRowLastColumn="0" w:lastRowFirstColumn="0" w:lastRowLastColumn="0"/>
            <w:tcW w:w="2174" w:type="dxa"/>
          </w:tcPr>
          <w:p w14:paraId="67264E61" w14:textId="77777777" w:rsidR="00686331" w:rsidRDefault="00686331" w:rsidP="00686331">
            <w:r>
              <w:t>T2DM</w:t>
            </w:r>
          </w:p>
        </w:tc>
        <w:tc>
          <w:tcPr>
            <w:tcW w:w="6886" w:type="dxa"/>
          </w:tcPr>
          <w:p w14:paraId="4399D1F4" w14:textId="77777777" w:rsidR="00686331" w:rsidRDefault="00686331" w:rsidP="00686331">
            <w:pPr>
              <w:cnfStyle w:val="000000000000" w:firstRow="0" w:lastRow="0" w:firstColumn="0" w:lastColumn="0" w:oddVBand="0" w:evenVBand="0" w:oddHBand="0" w:evenHBand="0" w:firstRowFirstColumn="0" w:firstRowLastColumn="0" w:lastRowFirstColumn="0" w:lastRowLastColumn="0"/>
            </w:pPr>
            <w:r>
              <w:t>Type 2 diabetes mellitus</w:t>
            </w:r>
          </w:p>
        </w:tc>
      </w:tr>
      <w:tr w:rsidR="00686331" w14:paraId="4F65A267" w14:textId="77777777" w:rsidTr="00686331">
        <w:tc>
          <w:tcPr>
            <w:cnfStyle w:val="001000000000" w:firstRow="0" w:lastRow="0" w:firstColumn="1" w:lastColumn="0" w:oddVBand="0" w:evenVBand="0" w:oddHBand="0" w:evenHBand="0" w:firstRowFirstColumn="0" w:firstRowLastColumn="0" w:lastRowFirstColumn="0" w:lastRowLastColumn="0"/>
            <w:tcW w:w="2174" w:type="dxa"/>
          </w:tcPr>
          <w:p w14:paraId="6467F546" w14:textId="77777777" w:rsidR="00686331" w:rsidRDefault="00686331" w:rsidP="00686331">
            <w:r>
              <w:t>t</w:t>
            </w:r>
            <w:r w:rsidRPr="00742347">
              <w:rPr>
                <w:vertAlign w:val="subscript"/>
              </w:rPr>
              <w:t>½</w:t>
            </w:r>
          </w:p>
        </w:tc>
        <w:tc>
          <w:tcPr>
            <w:tcW w:w="6886" w:type="dxa"/>
          </w:tcPr>
          <w:p w14:paraId="03397C63" w14:textId="77777777" w:rsidR="00686331" w:rsidRDefault="00686331" w:rsidP="00686331">
            <w:pPr>
              <w:cnfStyle w:val="000000000000" w:firstRow="0" w:lastRow="0" w:firstColumn="0" w:lastColumn="0" w:oddVBand="0" w:evenVBand="0" w:oddHBand="0" w:evenHBand="0" w:firstRowFirstColumn="0" w:firstRowLastColumn="0" w:lastRowFirstColumn="0" w:lastRowLastColumn="0"/>
            </w:pPr>
            <w:r>
              <w:t>Terminal half-life</w:t>
            </w:r>
          </w:p>
        </w:tc>
      </w:tr>
      <w:tr w:rsidR="00686331" w14:paraId="76111A2E" w14:textId="77777777" w:rsidTr="00686331">
        <w:tc>
          <w:tcPr>
            <w:cnfStyle w:val="001000000000" w:firstRow="0" w:lastRow="0" w:firstColumn="1" w:lastColumn="0" w:oddVBand="0" w:evenVBand="0" w:oddHBand="0" w:evenHBand="0" w:firstRowFirstColumn="0" w:firstRowLastColumn="0" w:lastRowFirstColumn="0" w:lastRowLastColumn="0"/>
            <w:tcW w:w="2174" w:type="dxa"/>
          </w:tcPr>
          <w:p w14:paraId="09142B5B" w14:textId="77777777" w:rsidR="00686331" w:rsidRDefault="00686331" w:rsidP="00686331">
            <w:r>
              <w:t>TEAE</w:t>
            </w:r>
          </w:p>
        </w:tc>
        <w:tc>
          <w:tcPr>
            <w:tcW w:w="6886" w:type="dxa"/>
          </w:tcPr>
          <w:p w14:paraId="65CFF5AF" w14:textId="77777777" w:rsidR="00686331" w:rsidRDefault="00686331" w:rsidP="00686331">
            <w:pPr>
              <w:cnfStyle w:val="000000000000" w:firstRow="0" w:lastRow="0" w:firstColumn="0" w:lastColumn="0" w:oddVBand="0" w:evenVBand="0" w:oddHBand="0" w:evenHBand="0" w:firstRowFirstColumn="0" w:firstRowLastColumn="0" w:lastRowFirstColumn="0" w:lastRowLastColumn="0"/>
            </w:pPr>
            <w:r>
              <w:t>Treatment-emergent adverse event</w:t>
            </w:r>
          </w:p>
        </w:tc>
      </w:tr>
      <w:tr w:rsidR="00686331" w14:paraId="3304C9DD" w14:textId="77777777" w:rsidTr="00686331">
        <w:tc>
          <w:tcPr>
            <w:cnfStyle w:val="001000000000" w:firstRow="0" w:lastRow="0" w:firstColumn="1" w:lastColumn="0" w:oddVBand="0" w:evenVBand="0" w:oddHBand="0" w:evenHBand="0" w:firstRowFirstColumn="0" w:firstRowLastColumn="0" w:lastRowFirstColumn="0" w:lastRowLastColumn="0"/>
            <w:tcW w:w="2174" w:type="dxa"/>
          </w:tcPr>
          <w:p w14:paraId="0263D08B" w14:textId="77777777" w:rsidR="00686331" w:rsidRDefault="00686331" w:rsidP="00686331">
            <w:proofErr w:type="spellStart"/>
            <w:r>
              <w:t>T</w:t>
            </w:r>
            <w:r w:rsidRPr="00742347">
              <w:rPr>
                <w:vertAlign w:val="subscript"/>
              </w:rPr>
              <w:t>max</w:t>
            </w:r>
            <w:proofErr w:type="spellEnd"/>
            <w:r>
              <w:t xml:space="preserve"> </w:t>
            </w:r>
          </w:p>
        </w:tc>
        <w:tc>
          <w:tcPr>
            <w:tcW w:w="6886" w:type="dxa"/>
          </w:tcPr>
          <w:p w14:paraId="4A442323" w14:textId="77777777" w:rsidR="00686331" w:rsidRDefault="00686331" w:rsidP="00686331">
            <w:pPr>
              <w:cnfStyle w:val="000000000000" w:firstRow="0" w:lastRow="0" w:firstColumn="0" w:lastColumn="0" w:oddVBand="0" w:evenVBand="0" w:oddHBand="0" w:evenHBand="0" w:firstRowFirstColumn="0" w:firstRowLastColumn="0" w:lastRowFirstColumn="0" w:lastRowLastColumn="0"/>
            </w:pPr>
            <w:r>
              <w:t>Time to maximum concentration</w:t>
            </w:r>
          </w:p>
        </w:tc>
      </w:tr>
      <w:tr w:rsidR="00686331" w14:paraId="6271E625" w14:textId="77777777" w:rsidTr="00686331">
        <w:tc>
          <w:tcPr>
            <w:cnfStyle w:val="001000000000" w:firstRow="0" w:lastRow="0" w:firstColumn="1" w:lastColumn="0" w:oddVBand="0" w:evenVBand="0" w:oddHBand="0" w:evenHBand="0" w:firstRowFirstColumn="0" w:firstRowLastColumn="0" w:lastRowFirstColumn="0" w:lastRowLastColumn="0"/>
            <w:tcW w:w="2174" w:type="dxa"/>
          </w:tcPr>
          <w:p w14:paraId="1072FFDE" w14:textId="77777777" w:rsidR="00686331" w:rsidRDefault="00686331" w:rsidP="00686331">
            <w:proofErr w:type="spellStart"/>
            <w:r>
              <w:t>V</w:t>
            </w:r>
            <w:r w:rsidRPr="00742347">
              <w:rPr>
                <w:vertAlign w:val="subscript"/>
              </w:rPr>
              <w:t>ss</w:t>
            </w:r>
            <w:proofErr w:type="spellEnd"/>
            <w:r>
              <w:t>/F</w:t>
            </w:r>
          </w:p>
        </w:tc>
        <w:tc>
          <w:tcPr>
            <w:tcW w:w="6886" w:type="dxa"/>
          </w:tcPr>
          <w:p w14:paraId="26CEB13B" w14:textId="77777777" w:rsidR="00686331" w:rsidRDefault="00686331" w:rsidP="00686331">
            <w:pPr>
              <w:cnfStyle w:val="000000000000" w:firstRow="0" w:lastRow="0" w:firstColumn="0" w:lastColumn="0" w:oddVBand="0" w:evenVBand="0" w:oddHBand="0" w:evenHBand="0" w:firstRowFirstColumn="0" w:firstRowLastColumn="0" w:lastRowFirstColumn="0" w:lastRowLastColumn="0"/>
            </w:pPr>
            <w:r>
              <w:t>Apparent volume of distribution at steady state</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48809DDA" w:rsidR="00324B33" w:rsidRDefault="00995206" w:rsidP="00324B33">
      <w:pPr>
        <w:pStyle w:val="Heading2"/>
      </w:pPr>
      <w:bookmarkStart w:id="5" w:name="_Toc103679288"/>
      <w:bookmarkStart w:id="6" w:name="_Toc176423049"/>
      <w:r w:rsidRPr="00995206">
        <w:lastRenderedPageBreak/>
        <w:t xml:space="preserve">Wegovy </w:t>
      </w:r>
      <w:r>
        <w:t>(</w:t>
      </w:r>
      <w:bookmarkEnd w:id="5"/>
      <w:r w:rsidRPr="00995206">
        <w:t>Semaglutide</w:t>
      </w:r>
      <w:r>
        <w:t>) submission</w:t>
      </w:r>
      <w:bookmarkEnd w:id="6"/>
    </w:p>
    <w:tbl>
      <w:tblPr>
        <w:tblW w:w="5000" w:type="pct"/>
        <w:tblLook w:val="01E0" w:firstRow="1" w:lastRow="1" w:firstColumn="1" w:lastColumn="1" w:noHBand="0" w:noVBand="0"/>
      </w:tblPr>
      <w:tblGrid>
        <w:gridCol w:w="3401"/>
        <w:gridCol w:w="5669"/>
      </w:tblGrid>
      <w:tr w:rsidR="00324B33" w:rsidRPr="00BD5DBD" w14:paraId="77D11C95" w14:textId="77777777" w:rsidTr="009E2978">
        <w:tc>
          <w:tcPr>
            <w:tcW w:w="1875" w:type="pct"/>
          </w:tcPr>
          <w:p w14:paraId="3816B37C" w14:textId="77777777" w:rsidR="00995206" w:rsidRDefault="00995206" w:rsidP="007452E8">
            <w:pPr>
              <w:rPr>
                <w:i/>
                <w:szCs w:val="22"/>
              </w:rPr>
            </w:pPr>
          </w:p>
          <w:p w14:paraId="10E57D62" w14:textId="3EBB7224" w:rsidR="00324B33" w:rsidRPr="00BD5DBD" w:rsidRDefault="00324B33" w:rsidP="007452E8">
            <w:pPr>
              <w:rPr>
                <w:i/>
                <w:szCs w:val="22"/>
              </w:rPr>
            </w:pPr>
            <w:r w:rsidRPr="00BD5DBD">
              <w:rPr>
                <w:i/>
                <w:szCs w:val="22"/>
              </w:rPr>
              <w:t>Type of submission:</w:t>
            </w:r>
          </w:p>
        </w:tc>
        <w:tc>
          <w:tcPr>
            <w:tcW w:w="3125" w:type="pct"/>
          </w:tcPr>
          <w:p w14:paraId="4A4162A8" w14:textId="77777777" w:rsidR="00995206" w:rsidRDefault="00995206" w:rsidP="007452E8">
            <w:pPr>
              <w:rPr>
                <w:szCs w:val="22"/>
              </w:rPr>
            </w:pPr>
          </w:p>
          <w:p w14:paraId="4F07C303" w14:textId="314F4CC8" w:rsidR="00324B33" w:rsidRPr="00BD5DBD" w:rsidRDefault="00C24AD6" w:rsidP="007452E8">
            <w:pPr>
              <w:rPr>
                <w:szCs w:val="22"/>
              </w:rPr>
            </w:pPr>
            <w:r>
              <w:rPr>
                <w:szCs w:val="22"/>
              </w:rPr>
              <w:t>Extension of indications</w:t>
            </w:r>
          </w:p>
        </w:tc>
      </w:tr>
      <w:tr w:rsidR="00324B33" w:rsidRPr="00BD5DBD" w14:paraId="13482B61" w14:textId="77777777" w:rsidTr="009E2978">
        <w:tc>
          <w:tcPr>
            <w:tcW w:w="1875" w:type="pct"/>
          </w:tcPr>
          <w:p w14:paraId="2C427FCF" w14:textId="20FE0B0B" w:rsidR="00324B33" w:rsidRPr="00BD5DBD" w:rsidRDefault="00324B33" w:rsidP="007452E8">
            <w:pPr>
              <w:rPr>
                <w:i/>
                <w:szCs w:val="22"/>
              </w:rPr>
            </w:pPr>
            <w:r w:rsidRPr="00BD5DBD">
              <w:rPr>
                <w:i/>
                <w:szCs w:val="22"/>
              </w:rPr>
              <w:t>Product name:</w:t>
            </w:r>
          </w:p>
        </w:tc>
        <w:tc>
          <w:tcPr>
            <w:tcW w:w="3125" w:type="pct"/>
          </w:tcPr>
          <w:p w14:paraId="0E2DEF76" w14:textId="582D121A" w:rsidR="00324B33" w:rsidRPr="00BD5DBD" w:rsidRDefault="00C87187" w:rsidP="007452E8">
            <w:pPr>
              <w:rPr>
                <w:szCs w:val="22"/>
              </w:rPr>
            </w:pPr>
            <w:r>
              <w:rPr>
                <w:szCs w:val="22"/>
              </w:rPr>
              <w:t>Wegovy</w:t>
            </w:r>
          </w:p>
        </w:tc>
      </w:tr>
      <w:tr w:rsidR="00324B33" w:rsidRPr="00BD5DBD" w14:paraId="01255B5B" w14:textId="77777777" w:rsidTr="009E2978">
        <w:tc>
          <w:tcPr>
            <w:tcW w:w="1875" w:type="pct"/>
          </w:tcPr>
          <w:p w14:paraId="52B4F3D7" w14:textId="13DB0BFD" w:rsidR="00324B33" w:rsidRPr="00BD5DBD" w:rsidRDefault="00324B33" w:rsidP="007452E8">
            <w:pPr>
              <w:rPr>
                <w:i/>
                <w:szCs w:val="22"/>
              </w:rPr>
            </w:pPr>
            <w:r w:rsidRPr="00BD5DBD">
              <w:rPr>
                <w:i/>
                <w:szCs w:val="22"/>
              </w:rPr>
              <w:t>Active ingredient:</w:t>
            </w:r>
          </w:p>
        </w:tc>
        <w:tc>
          <w:tcPr>
            <w:tcW w:w="3125" w:type="pct"/>
          </w:tcPr>
          <w:p w14:paraId="02FB6383" w14:textId="5DE4F6A2" w:rsidR="00324B33" w:rsidRPr="00BD5DBD" w:rsidRDefault="00C24AD6" w:rsidP="007452E8">
            <w:pPr>
              <w:rPr>
                <w:szCs w:val="22"/>
              </w:rPr>
            </w:pPr>
            <w:r>
              <w:rPr>
                <w:szCs w:val="22"/>
              </w:rPr>
              <w:t>Semaglutide</w:t>
            </w:r>
          </w:p>
        </w:tc>
      </w:tr>
      <w:tr w:rsidR="00324B33" w:rsidRPr="00BD5DBD" w14:paraId="219A281B" w14:textId="77777777" w:rsidTr="009E2978">
        <w:tc>
          <w:tcPr>
            <w:tcW w:w="1875" w:type="pct"/>
          </w:tcPr>
          <w:p w14:paraId="112E5F78" w14:textId="77777777" w:rsidR="00324B33" w:rsidRPr="00BD5DBD" w:rsidRDefault="00324B33" w:rsidP="007452E8">
            <w:pPr>
              <w:rPr>
                <w:i/>
                <w:szCs w:val="22"/>
              </w:rPr>
            </w:pPr>
            <w:r w:rsidRPr="00BD5DBD">
              <w:rPr>
                <w:i/>
                <w:szCs w:val="22"/>
              </w:rPr>
              <w:t>Decision:</w:t>
            </w:r>
          </w:p>
        </w:tc>
        <w:tc>
          <w:tcPr>
            <w:tcW w:w="3125" w:type="pct"/>
          </w:tcPr>
          <w:p w14:paraId="3B114BEA" w14:textId="315615B7" w:rsidR="00001032" w:rsidRPr="00BD5DBD" w:rsidRDefault="00324B33" w:rsidP="00001032">
            <w:pPr>
              <w:rPr>
                <w:szCs w:val="22"/>
              </w:rPr>
            </w:pPr>
            <w:r w:rsidRPr="00BD5DBD">
              <w:rPr>
                <w:szCs w:val="22"/>
              </w:rPr>
              <w:t>Approved</w:t>
            </w:r>
          </w:p>
        </w:tc>
      </w:tr>
      <w:tr w:rsidR="00001032" w:rsidRPr="00BD5DBD" w14:paraId="32B72632" w14:textId="77777777" w:rsidTr="009E2978">
        <w:tc>
          <w:tcPr>
            <w:tcW w:w="1875" w:type="pct"/>
          </w:tcPr>
          <w:p w14:paraId="332A5CD5" w14:textId="69784332" w:rsidR="00001032" w:rsidRPr="00BD5DBD" w:rsidRDefault="00001032" w:rsidP="00001032">
            <w:r w:rsidRPr="00BD5DBD">
              <w:rPr>
                <w:i/>
                <w:szCs w:val="22"/>
              </w:rPr>
              <w:t>Approved therapeutic use for the current submission:</w:t>
            </w:r>
          </w:p>
        </w:tc>
        <w:tc>
          <w:tcPr>
            <w:tcW w:w="3125" w:type="pct"/>
          </w:tcPr>
          <w:p w14:paraId="0D6FDF03" w14:textId="77777777" w:rsidR="00001032" w:rsidRPr="00783D49" w:rsidRDefault="00001032" w:rsidP="00001032">
            <w:pPr>
              <w:rPr>
                <w:szCs w:val="22"/>
              </w:rPr>
            </w:pPr>
            <w:r>
              <w:rPr>
                <w:i/>
                <w:iCs/>
                <w:szCs w:val="22"/>
              </w:rPr>
              <w:t>Wegovy</w:t>
            </w:r>
            <w:r w:rsidRPr="00783D49">
              <w:rPr>
                <w:i/>
                <w:iCs/>
                <w:szCs w:val="22"/>
              </w:rPr>
              <w:t xml:space="preserve"> is indicated as an adjunct to a reduced-energy diet and increased physical activity for chronic weight management (including weight loss and weight maintenance) in adults with an initial Body Mass Index (BMI) of</w:t>
            </w:r>
            <w:r>
              <w:rPr>
                <w:i/>
                <w:iCs/>
                <w:szCs w:val="22"/>
              </w:rPr>
              <w:t>:</w:t>
            </w:r>
          </w:p>
          <w:p w14:paraId="17CB297E" w14:textId="77777777" w:rsidR="00001032" w:rsidRPr="00783D49" w:rsidRDefault="00001032" w:rsidP="00001032">
            <w:pPr>
              <w:ind w:left="996"/>
              <w:rPr>
                <w:szCs w:val="22"/>
              </w:rPr>
            </w:pPr>
            <w:r w:rsidRPr="00783D49">
              <w:rPr>
                <w:i/>
                <w:iCs/>
                <w:szCs w:val="22"/>
              </w:rPr>
              <w:t>• ≥30 kg/m</w:t>
            </w:r>
            <w:r w:rsidRPr="00783D49">
              <w:rPr>
                <w:i/>
                <w:iCs/>
                <w:szCs w:val="22"/>
                <w:vertAlign w:val="superscript"/>
              </w:rPr>
              <w:t>2</w:t>
            </w:r>
            <w:r w:rsidRPr="00783D49">
              <w:rPr>
                <w:i/>
                <w:iCs/>
                <w:szCs w:val="22"/>
              </w:rPr>
              <w:t xml:space="preserve"> (obesity), or </w:t>
            </w:r>
          </w:p>
          <w:p w14:paraId="7B381CD6" w14:textId="6803917A" w:rsidR="00001032" w:rsidRPr="00BD5DBD" w:rsidRDefault="00001032" w:rsidP="00001032">
            <w:pPr>
              <w:ind w:left="996"/>
              <w:rPr>
                <w:szCs w:val="22"/>
              </w:rPr>
            </w:pPr>
            <w:r w:rsidRPr="00783D49">
              <w:rPr>
                <w:i/>
                <w:iCs/>
                <w:szCs w:val="22"/>
              </w:rPr>
              <w:t>• ≥27 kg/m</w:t>
            </w:r>
            <w:r w:rsidRPr="00783D49">
              <w:rPr>
                <w:i/>
                <w:iCs/>
                <w:szCs w:val="22"/>
                <w:vertAlign w:val="superscript"/>
              </w:rPr>
              <w:t>2</w:t>
            </w:r>
            <w:r w:rsidRPr="00783D49">
              <w:rPr>
                <w:i/>
                <w:iCs/>
                <w:szCs w:val="22"/>
              </w:rPr>
              <w:t xml:space="preserve"> to &lt;30 kg/m</w:t>
            </w:r>
            <w:r w:rsidRPr="00783D49">
              <w:rPr>
                <w:i/>
                <w:iCs/>
                <w:szCs w:val="22"/>
                <w:vertAlign w:val="superscript"/>
              </w:rPr>
              <w:t>2</w:t>
            </w:r>
            <w:r w:rsidRPr="00783D49">
              <w:rPr>
                <w:i/>
                <w:iCs/>
                <w:szCs w:val="22"/>
              </w:rPr>
              <w:t xml:space="preserve"> (overweight) in the presence of at least one weight-related comorbidity (see Section 5.1</w:t>
            </w:r>
            <w:r>
              <w:rPr>
                <w:i/>
                <w:iCs/>
                <w:szCs w:val="22"/>
              </w:rPr>
              <w:t xml:space="preserve"> of the Product Information document:</w:t>
            </w:r>
            <w:r w:rsidRPr="00783D49">
              <w:rPr>
                <w:i/>
                <w:iCs/>
                <w:szCs w:val="22"/>
              </w:rPr>
              <w:t xml:space="preserve"> Pharmacodynamic Properties – Clinical trials).’</w:t>
            </w:r>
          </w:p>
        </w:tc>
      </w:tr>
      <w:tr w:rsidR="00001032" w:rsidRPr="00BD5DBD" w14:paraId="60A25F5A" w14:textId="77777777" w:rsidTr="009E2978">
        <w:tc>
          <w:tcPr>
            <w:tcW w:w="1875" w:type="pct"/>
          </w:tcPr>
          <w:p w14:paraId="5C5E4CBA" w14:textId="77777777" w:rsidR="00001032" w:rsidRPr="00BD5DBD" w:rsidRDefault="00001032" w:rsidP="00001032">
            <w:pPr>
              <w:rPr>
                <w:i/>
                <w:szCs w:val="22"/>
              </w:rPr>
            </w:pPr>
            <w:r w:rsidRPr="00BD5DBD">
              <w:rPr>
                <w:i/>
                <w:szCs w:val="22"/>
              </w:rPr>
              <w:t>Date of entry onto ARTG:</w:t>
            </w:r>
          </w:p>
        </w:tc>
        <w:tc>
          <w:tcPr>
            <w:tcW w:w="3125" w:type="pct"/>
          </w:tcPr>
          <w:p w14:paraId="28B270E9" w14:textId="4E956518" w:rsidR="00001032" w:rsidRPr="00BD5DBD" w:rsidRDefault="00001032" w:rsidP="00001032">
            <w:pPr>
              <w:rPr>
                <w:szCs w:val="22"/>
              </w:rPr>
            </w:pPr>
            <w:r>
              <w:rPr>
                <w:szCs w:val="22"/>
              </w:rPr>
              <w:t>1 September 2022</w:t>
            </w:r>
          </w:p>
        </w:tc>
      </w:tr>
      <w:tr w:rsidR="00001032" w:rsidRPr="00BD5DBD" w14:paraId="547E08D7" w14:textId="77777777" w:rsidTr="009E2978">
        <w:tc>
          <w:tcPr>
            <w:tcW w:w="1875" w:type="pct"/>
          </w:tcPr>
          <w:p w14:paraId="5030EF30" w14:textId="3B8E8EFE" w:rsidR="00001032" w:rsidRPr="00BD5DBD" w:rsidRDefault="00001032" w:rsidP="00001032">
            <w:pPr>
              <w:rPr>
                <w:i/>
                <w:szCs w:val="22"/>
              </w:rPr>
            </w:pPr>
            <w:r w:rsidRPr="00BD5DBD">
              <w:rPr>
                <w:i/>
                <w:szCs w:val="22"/>
              </w:rPr>
              <w:t>ARTG numbe</w:t>
            </w:r>
            <w:r>
              <w:rPr>
                <w:i/>
                <w:szCs w:val="22"/>
              </w:rPr>
              <w:t>rs</w:t>
            </w:r>
            <w:r w:rsidRPr="00BD5DBD">
              <w:rPr>
                <w:i/>
                <w:szCs w:val="22"/>
              </w:rPr>
              <w:t>:</w:t>
            </w:r>
          </w:p>
        </w:tc>
        <w:tc>
          <w:tcPr>
            <w:tcW w:w="3125" w:type="pct"/>
          </w:tcPr>
          <w:p w14:paraId="0054E912" w14:textId="50264F3C" w:rsidR="00001032" w:rsidRPr="00BD5DBD" w:rsidRDefault="00367A8D" w:rsidP="00001032">
            <w:pPr>
              <w:rPr>
                <w:szCs w:val="22"/>
              </w:rPr>
            </w:pPr>
            <w:hyperlink r:id="rId15" w:history="1">
              <w:r w:rsidR="00001032">
                <w:rPr>
                  <w:rStyle w:val="Hyperlink"/>
                  <w:szCs w:val="22"/>
                </w:rPr>
                <w:t xml:space="preserve">356286 </w:t>
              </w:r>
            </w:hyperlink>
            <w:r w:rsidR="00001032">
              <w:rPr>
                <w:szCs w:val="22"/>
              </w:rPr>
              <w:t xml:space="preserve">, </w:t>
            </w:r>
            <w:hyperlink r:id="rId16" w:history="1">
              <w:r w:rsidR="00001032">
                <w:rPr>
                  <w:rStyle w:val="Hyperlink"/>
                  <w:szCs w:val="22"/>
                </w:rPr>
                <w:t>356285</w:t>
              </w:r>
            </w:hyperlink>
            <w:r w:rsidR="00001032">
              <w:rPr>
                <w:szCs w:val="22"/>
              </w:rPr>
              <w:t xml:space="preserve">, </w:t>
            </w:r>
            <w:hyperlink r:id="rId17" w:history="1">
              <w:r w:rsidR="00001032">
                <w:rPr>
                  <w:rStyle w:val="Hyperlink"/>
                  <w:szCs w:val="22"/>
                </w:rPr>
                <w:t>356288</w:t>
              </w:r>
            </w:hyperlink>
            <w:r w:rsidR="00001032">
              <w:rPr>
                <w:szCs w:val="22"/>
              </w:rPr>
              <w:t xml:space="preserve">, , </w:t>
            </w:r>
            <w:hyperlink r:id="rId18" w:history="1">
              <w:r w:rsidR="00001032">
                <w:rPr>
                  <w:rStyle w:val="Hyperlink"/>
                  <w:szCs w:val="22"/>
                </w:rPr>
                <w:t>356270</w:t>
              </w:r>
            </w:hyperlink>
            <w:r w:rsidR="00001032">
              <w:rPr>
                <w:szCs w:val="22"/>
              </w:rPr>
              <w:t xml:space="preserve">, </w:t>
            </w:r>
            <w:hyperlink r:id="rId19" w:history="1">
              <w:r w:rsidR="00001032">
                <w:rPr>
                  <w:rStyle w:val="Hyperlink"/>
                  <w:szCs w:val="22"/>
                </w:rPr>
                <w:t>356287</w:t>
              </w:r>
            </w:hyperlink>
            <w:r w:rsidR="00001032">
              <w:rPr>
                <w:szCs w:val="22"/>
              </w:rPr>
              <w:t xml:space="preserve">   </w:t>
            </w:r>
          </w:p>
        </w:tc>
      </w:tr>
      <w:tr w:rsidR="00001032" w:rsidRPr="00BD5DBD" w14:paraId="7618393F" w14:textId="77777777" w:rsidTr="009E2978">
        <w:tc>
          <w:tcPr>
            <w:tcW w:w="1875" w:type="pct"/>
          </w:tcPr>
          <w:p w14:paraId="02260DE2" w14:textId="246F6757" w:rsidR="00001032" w:rsidRPr="00BD5DBD" w:rsidRDefault="00001032" w:rsidP="00001032">
            <w:pPr>
              <w:rPr>
                <w:i/>
                <w:szCs w:val="22"/>
              </w:rPr>
            </w:pPr>
            <w:r w:rsidRPr="00BD5DBD">
              <w:rPr>
                <w:rFonts w:ascii="Wingdings 3" w:hAnsi="Wingdings 3"/>
                <w:szCs w:val="22"/>
                <w:lang w:eastAsia="en-AU"/>
              </w:rPr>
              <w:t></w:t>
            </w:r>
            <w:hyperlink r:id="rId20" w:history="1">
              <w:r w:rsidRPr="00BD5DBD">
                <w:rPr>
                  <w:rStyle w:val="Hyperlink"/>
                  <w:i/>
                  <w:szCs w:val="22"/>
                </w:rPr>
                <w:t>Black Triangle Scheme</w:t>
              </w:r>
            </w:hyperlink>
          </w:p>
        </w:tc>
        <w:tc>
          <w:tcPr>
            <w:tcW w:w="3125" w:type="pct"/>
          </w:tcPr>
          <w:p w14:paraId="6FF3C6A2" w14:textId="1DE64B5D" w:rsidR="00001032" w:rsidRPr="00BD5DBD" w:rsidRDefault="00001032" w:rsidP="00001032">
            <w:pPr>
              <w:rPr>
                <w:szCs w:val="22"/>
              </w:rPr>
            </w:pPr>
            <w:r w:rsidRPr="00BD5DBD">
              <w:rPr>
                <w:szCs w:val="22"/>
              </w:rPr>
              <w:t>Yes</w:t>
            </w:r>
          </w:p>
        </w:tc>
      </w:tr>
      <w:tr w:rsidR="00001032" w:rsidRPr="00BD5DBD" w14:paraId="179E09FE" w14:textId="77777777" w:rsidTr="009E2978">
        <w:tc>
          <w:tcPr>
            <w:tcW w:w="1875" w:type="pct"/>
          </w:tcPr>
          <w:p w14:paraId="1A592498" w14:textId="53D03394" w:rsidR="00001032" w:rsidRPr="00BD5DBD" w:rsidRDefault="00001032" w:rsidP="00001032">
            <w:pPr>
              <w:rPr>
                <w:i/>
                <w:szCs w:val="22"/>
              </w:rPr>
            </w:pPr>
            <w:r>
              <w:rPr>
                <w:i/>
                <w:szCs w:val="22"/>
              </w:rPr>
              <w:t>Sponsor</w:t>
            </w:r>
            <w:r w:rsidRPr="00BD5DBD">
              <w:rPr>
                <w:i/>
                <w:szCs w:val="22"/>
              </w:rPr>
              <w:t xml:space="preserve">’s </w:t>
            </w:r>
            <w:r>
              <w:rPr>
                <w:i/>
                <w:szCs w:val="22"/>
              </w:rPr>
              <w:t>details</w:t>
            </w:r>
            <w:r w:rsidRPr="00BD5DBD">
              <w:rPr>
                <w:i/>
                <w:szCs w:val="22"/>
              </w:rPr>
              <w:t>:</w:t>
            </w:r>
          </w:p>
        </w:tc>
        <w:tc>
          <w:tcPr>
            <w:tcW w:w="3125" w:type="pct"/>
          </w:tcPr>
          <w:p w14:paraId="68DD94B0" w14:textId="2ADF50E9" w:rsidR="00001032" w:rsidRPr="00BD5DBD" w:rsidRDefault="00001032" w:rsidP="00001032">
            <w:pPr>
              <w:rPr>
                <w:szCs w:val="22"/>
              </w:rPr>
            </w:pPr>
            <w:r w:rsidRPr="00291791">
              <w:rPr>
                <w:szCs w:val="22"/>
              </w:rPr>
              <w:t>Novo Nordisk Pharmaceuticals Pty Limited Level 10, 118 Mount Street,</w:t>
            </w:r>
            <w:r>
              <w:rPr>
                <w:szCs w:val="22"/>
              </w:rPr>
              <w:t xml:space="preserve"> </w:t>
            </w:r>
            <w:r w:rsidRPr="00291791">
              <w:rPr>
                <w:szCs w:val="22"/>
              </w:rPr>
              <w:t>North Sydney, NSW 2060,</w:t>
            </w:r>
            <w:r>
              <w:rPr>
                <w:szCs w:val="22"/>
              </w:rPr>
              <w:t xml:space="preserve"> </w:t>
            </w:r>
            <w:r w:rsidRPr="00291791">
              <w:rPr>
                <w:szCs w:val="22"/>
              </w:rPr>
              <w:t>Australia.</w:t>
            </w:r>
          </w:p>
        </w:tc>
      </w:tr>
      <w:tr w:rsidR="00001032" w:rsidRPr="00BD5DBD" w14:paraId="5322B989" w14:textId="77777777" w:rsidTr="009E2978">
        <w:tc>
          <w:tcPr>
            <w:tcW w:w="1875" w:type="pct"/>
          </w:tcPr>
          <w:p w14:paraId="24F217E3" w14:textId="5D2877C3" w:rsidR="00001032" w:rsidRPr="00BD5DBD" w:rsidRDefault="00001032" w:rsidP="00001032">
            <w:pPr>
              <w:rPr>
                <w:i/>
                <w:szCs w:val="22"/>
              </w:rPr>
            </w:pPr>
            <w:r w:rsidRPr="00BD5DBD">
              <w:rPr>
                <w:i/>
                <w:szCs w:val="22"/>
              </w:rPr>
              <w:t>Dose form:</w:t>
            </w:r>
          </w:p>
        </w:tc>
        <w:tc>
          <w:tcPr>
            <w:tcW w:w="3125" w:type="pct"/>
          </w:tcPr>
          <w:p w14:paraId="768B254C" w14:textId="44C4B310" w:rsidR="00001032" w:rsidRPr="00BD5DBD" w:rsidRDefault="00001032" w:rsidP="00001032">
            <w:pPr>
              <w:rPr>
                <w:szCs w:val="22"/>
              </w:rPr>
            </w:pPr>
            <w:r w:rsidRPr="00291791">
              <w:rPr>
                <w:szCs w:val="22"/>
              </w:rPr>
              <w:t>Clear and colourless isotonic solution</w:t>
            </w:r>
            <w:r>
              <w:rPr>
                <w:szCs w:val="22"/>
              </w:rPr>
              <w:t xml:space="preserve"> (</w:t>
            </w:r>
            <w:r w:rsidRPr="00291791">
              <w:rPr>
                <w:szCs w:val="22"/>
              </w:rPr>
              <w:t>pH=7.4</w:t>
            </w:r>
            <w:r>
              <w:rPr>
                <w:szCs w:val="22"/>
              </w:rPr>
              <w:t xml:space="preserve">) </w:t>
            </w:r>
            <w:r w:rsidRPr="00291791">
              <w:rPr>
                <w:szCs w:val="22"/>
              </w:rPr>
              <w:t>for injection in pre-filled pen</w:t>
            </w:r>
            <w:r>
              <w:rPr>
                <w:szCs w:val="22"/>
              </w:rPr>
              <w:t xml:space="preserve">. </w:t>
            </w:r>
          </w:p>
        </w:tc>
      </w:tr>
      <w:tr w:rsidR="00001032" w:rsidRPr="00BD5DBD" w14:paraId="115243E6" w14:textId="77777777" w:rsidTr="009E2978">
        <w:tc>
          <w:tcPr>
            <w:tcW w:w="1875" w:type="pct"/>
          </w:tcPr>
          <w:p w14:paraId="7634B062" w14:textId="4643A49E" w:rsidR="00001032" w:rsidRPr="00BD5DBD" w:rsidRDefault="00001032" w:rsidP="00001032">
            <w:pPr>
              <w:rPr>
                <w:i/>
                <w:szCs w:val="22"/>
              </w:rPr>
            </w:pPr>
            <w:r w:rsidRPr="00BD5DBD">
              <w:rPr>
                <w:i/>
                <w:szCs w:val="22"/>
              </w:rPr>
              <w:t>Strength:</w:t>
            </w:r>
          </w:p>
        </w:tc>
        <w:tc>
          <w:tcPr>
            <w:tcW w:w="3125" w:type="pct"/>
          </w:tcPr>
          <w:p w14:paraId="270FF432" w14:textId="77777777" w:rsidR="00001032" w:rsidRPr="00291791" w:rsidRDefault="00001032" w:rsidP="00001032">
            <w:pPr>
              <w:rPr>
                <w:szCs w:val="22"/>
              </w:rPr>
            </w:pPr>
            <w:r w:rsidRPr="00291791">
              <w:rPr>
                <w:szCs w:val="22"/>
              </w:rPr>
              <w:t xml:space="preserve">0.25 mg dose pen: One mL of solution contains 0.5 mg of semaglutide. One pre-filled pen contains 0.25 mg semaglutide in 0.5 </w:t>
            </w:r>
            <w:proofErr w:type="gramStart"/>
            <w:r w:rsidRPr="00291791">
              <w:rPr>
                <w:szCs w:val="22"/>
              </w:rPr>
              <w:t>mL</w:t>
            </w:r>
            <w:proofErr w:type="gramEnd"/>
            <w:r w:rsidRPr="00291791">
              <w:rPr>
                <w:szCs w:val="22"/>
              </w:rPr>
              <w:t xml:space="preserve"> </w:t>
            </w:r>
          </w:p>
          <w:p w14:paraId="70013F86" w14:textId="77A60DBE" w:rsidR="00001032" w:rsidRPr="00291791" w:rsidRDefault="00001032" w:rsidP="00001032">
            <w:pPr>
              <w:rPr>
                <w:szCs w:val="22"/>
              </w:rPr>
            </w:pPr>
            <w:r w:rsidRPr="00291791">
              <w:rPr>
                <w:szCs w:val="22"/>
              </w:rPr>
              <w:t xml:space="preserve">0.5 mg dose pen: One mL of solution contains 1 mg of semaglutide. One pre-filled pen contains 0.5 mg semaglutide in 0.5 </w:t>
            </w:r>
            <w:proofErr w:type="gramStart"/>
            <w:r w:rsidRPr="00291791">
              <w:rPr>
                <w:szCs w:val="22"/>
              </w:rPr>
              <w:t>mL</w:t>
            </w:r>
            <w:proofErr w:type="gramEnd"/>
            <w:r w:rsidRPr="00291791">
              <w:rPr>
                <w:szCs w:val="22"/>
              </w:rPr>
              <w:t xml:space="preserve"> </w:t>
            </w:r>
          </w:p>
          <w:p w14:paraId="7AEEE0F3" w14:textId="77777777" w:rsidR="00001032" w:rsidRPr="00291791" w:rsidRDefault="00001032" w:rsidP="00001032">
            <w:pPr>
              <w:rPr>
                <w:szCs w:val="22"/>
              </w:rPr>
            </w:pPr>
            <w:r w:rsidRPr="00291791">
              <w:rPr>
                <w:szCs w:val="22"/>
              </w:rPr>
              <w:t xml:space="preserve">1 mg dose pen: One mL of solution contains 2 mg of semaglutide. One pre-filled pen contains 1.0 mg semaglutide in 0.5 </w:t>
            </w:r>
            <w:proofErr w:type="gramStart"/>
            <w:r w:rsidRPr="00291791">
              <w:rPr>
                <w:szCs w:val="22"/>
              </w:rPr>
              <w:t>mL</w:t>
            </w:r>
            <w:proofErr w:type="gramEnd"/>
            <w:r w:rsidRPr="00291791">
              <w:rPr>
                <w:szCs w:val="22"/>
              </w:rPr>
              <w:t xml:space="preserve"> </w:t>
            </w:r>
          </w:p>
          <w:p w14:paraId="3938D26C" w14:textId="77777777" w:rsidR="00001032" w:rsidRPr="00291791" w:rsidRDefault="00001032" w:rsidP="00001032">
            <w:pPr>
              <w:rPr>
                <w:szCs w:val="22"/>
              </w:rPr>
            </w:pPr>
            <w:r w:rsidRPr="00291791">
              <w:rPr>
                <w:szCs w:val="22"/>
              </w:rPr>
              <w:t xml:space="preserve">1.7 mg dose pen: One mL of solution contains 2.27 mg of semaglutide. One pre-filled pen contains 1.7 mg semaglutide in 0.75 </w:t>
            </w:r>
            <w:proofErr w:type="gramStart"/>
            <w:r w:rsidRPr="00291791">
              <w:rPr>
                <w:szCs w:val="22"/>
              </w:rPr>
              <w:t>mL</w:t>
            </w:r>
            <w:proofErr w:type="gramEnd"/>
            <w:r w:rsidRPr="00291791">
              <w:rPr>
                <w:szCs w:val="22"/>
              </w:rPr>
              <w:t xml:space="preserve"> </w:t>
            </w:r>
          </w:p>
          <w:p w14:paraId="5E5F83DB" w14:textId="618A0957" w:rsidR="00001032" w:rsidRPr="00BD5DBD" w:rsidRDefault="00001032" w:rsidP="00001032">
            <w:pPr>
              <w:rPr>
                <w:szCs w:val="22"/>
              </w:rPr>
            </w:pPr>
            <w:r w:rsidRPr="00291791">
              <w:rPr>
                <w:szCs w:val="22"/>
              </w:rPr>
              <w:t>2.4 mg dose pen: One mL of solution contains 3.2 mg of semaglutide. One pre-filled pen contains 2.4 mg of semaglutide in 0.75 mL</w:t>
            </w:r>
          </w:p>
        </w:tc>
      </w:tr>
      <w:tr w:rsidR="00001032" w:rsidRPr="00BD5DBD" w14:paraId="34B07BA6" w14:textId="77777777" w:rsidTr="009E2978">
        <w:tc>
          <w:tcPr>
            <w:tcW w:w="1875" w:type="pct"/>
          </w:tcPr>
          <w:p w14:paraId="1C039224" w14:textId="5594BFC7" w:rsidR="00001032" w:rsidRPr="00BD5DBD" w:rsidRDefault="00001032" w:rsidP="00001032">
            <w:pPr>
              <w:rPr>
                <w:i/>
                <w:szCs w:val="22"/>
              </w:rPr>
            </w:pPr>
            <w:r w:rsidRPr="00BD5DBD">
              <w:rPr>
                <w:i/>
                <w:szCs w:val="22"/>
              </w:rPr>
              <w:t>Container:</w:t>
            </w:r>
          </w:p>
        </w:tc>
        <w:tc>
          <w:tcPr>
            <w:tcW w:w="3125" w:type="pct"/>
          </w:tcPr>
          <w:p w14:paraId="500A42C6" w14:textId="5339BF23" w:rsidR="00001032" w:rsidRPr="00BD5DBD" w:rsidRDefault="00001032" w:rsidP="00001032">
            <w:pPr>
              <w:rPr>
                <w:szCs w:val="22"/>
              </w:rPr>
            </w:pPr>
            <w:r w:rsidRPr="00783D49">
              <w:rPr>
                <w:szCs w:val="22"/>
              </w:rPr>
              <w:t xml:space="preserve">The primary packaging contains a 1 ml glass syringe (Type I glass) with attached stainless-steel needle, rigid </w:t>
            </w:r>
            <w:r w:rsidRPr="00783D49">
              <w:rPr>
                <w:szCs w:val="22"/>
              </w:rPr>
              <w:lastRenderedPageBreak/>
              <w:t>needle shield (Type II/polyisoprene) and a rubber plunger (Type I/</w:t>
            </w:r>
            <w:proofErr w:type="spellStart"/>
            <w:r w:rsidRPr="00783D49">
              <w:rPr>
                <w:szCs w:val="22"/>
              </w:rPr>
              <w:t>chlorobutyl</w:t>
            </w:r>
            <w:proofErr w:type="spellEnd"/>
            <w:r w:rsidRPr="00783D49">
              <w:rPr>
                <w:szCs w:val="22"/>
              </w:rPr>
              <w:t>).</w:t>
            </w:r>
          </w:p>
        </w:tc>
      </w:tr>
      <w:tr w:rsidR="00001032" w:rsidRPr="00BD5DBD" w14:paraId="176B6773" w14:textId="77777777" w:rsidTr="009E2978">
        <w:tc>
          <w:tcPr>
            <w:tcW w:w="1875" w:type="pct"/>
          </w:tcPr>
          <w:p w14:paraId="71846159" w14:textId="1845DE9D" w:rsidR="00001032" w:rsidRPr="00BD5DBD" w:rsidRDefault="00001032" w:rsidP="00001032">
            <w:pPr>
              <w:rPr>
                <w:i/>
                <w:szCs w:val="22"/>
              </w:rPr>
            </w:pPr>
            <w:r w:rsidRPr="00BD5DBD">
              <w:rPr>
                <w:i/>
                <w:szCs w:val="22"/>
              </w:rPr>
              <w:lastRenderedPageBreak/>
              <w:t>Pack size:</w:t>
            </w:r>
          </w:p>
        </w:tc>
        <w:tc>
          <w:tcPr>
            <w:tcW w:w="3125" w:type="pct"/>
          </w:tcPr>
          <w:p w14:paraId="7E978F8F" w14:textId="77EC3690" w:rsidR="00001032" w:rsidRPr="00BD5DBD" w:rsidRDefault="00001032" w:rsidP="00001032">
            <w:pPr>
              <w:rPr>
                <w:szCs w:val="22"/>
              </w:rPr>
            </w:pPr>
            <w:r>
              <w:rPr>
                <w:szCs w:val="22"/>
              </w:rPr>
              <w:t xml:space="preserve">For all strengths, </w:t>
            </w:r>
            <w:r w:rsidRPr="00783D49">
              <w:rPr>
                <w:szCs w:val="22"/>
              </w:rPr>
              <w:t>2 or 4 pre-filled pens</w:t>
            </w:r>
            <w:r>
              <w:rPr>
                <w:szCs w:val="22"/>
              </w:rPr>
              <w:t xml:space="preserve"> per pack.</w:t>
            </w:r>
          </w:p>
        </w:tc>
      </w:tr>
      <w:tr w:rsidR="00324B33" w:rsidRPr="00BD5DBD" w14:paraId="5AFDEED3" w14:textId="77777777" w:rsidTr="009E2978">
        <w:tc>
          <w:tcPr>
            <w:tcW w:w="1875" w:type="pct"/>
          </w:tcPr>
          <w:p w14:paraId="03884BD1" w14:textId="6A8C8BD8" w:rsidR="00324B33" w:rsidRPr="00BD5DBD" w:rsidRDefault="00324B33" w:rsidP="007452E8">
            <w:pPr>
              <w:rPr>
                <w:i/>
                <w:szCs w:val="22"/>
              </w:rPr>
            </w:pPr>
            <w:r w:rsidRPr="00BD5DBD">
              <w:rPr>
                <w:i/>
                <w:szCs w:val="22"/>
              </w:rPr>
              <w:t>Route of administration:</w:t>
            </w:r>
          </w:p>
        </w:tc>
        <w:tc>
          <w:tcPr>
            <w:tcW w:w="3125" w:type="pct"/>
          </w:tcPr>
          <w:p w14:paraId="1ED1357E" w14:textId="0A027BC8" w:rsidR="00324B33" w:rsidRPr="00BD5DBD" w:rsidRDefault="00C87187" w:rsidP="007452E8">
            <w:pPr>
              <w:rPr>
                <w:szCs w:val="22"/>
              </w:rPr>
            </w:pPr>
            <w:r>
              <w:rPr>
                <w:szCs w:val="22"/>
              </w:rPr>
              <w:t>Wegovy</w:t>
            </w:r>
            <w:r w:rsidR="00783D49" w:rsidRPr="00783D49">
              <w:rPr>
                <w:szCs w:val="22"/>
              </w:rPr>
              <w:t xml:space="preserve"> is to be injected subcutaneously in the abdomen, in the thigh or in the upper arm.</w:t>
            </w:r>
          </w:p>
        </w:tc>
      </w:tr>
      <w:tr w:rsidR="00324B33" w:rsidRPr="00BD5DBD" w14:paraId="70D7E9FA" w14:textId="77777777" w:rsidTr="009E2978">
        <w:tc>
          <w:tcPr>
            <w:tcW w:w="1875" w:type="pct"/>
          </w:tcPr>
          <w:p w14:paraId="5ABFFC80" w14:textId="77777777" w:rsidR="00324B33" w:rsidRPr="00BD5DBD" w:rsidRDefault="00324B33" w:rsidP="007452E8">
            <w:pPr>
              <w:rPr>
                <w:i/>
                <w:szCs w:val="22"/>
              </w:rPr>
            </w:pPr>
            <w:r w:rsidRPr="00BD5DBD">
              <w:rPr>
                <w:i/>
                <w:szCs w:val="22"/>
              </w:rPr>
              <w:t>Dosage:</w:t>
            </w:r>
          </w:p>
        </w:tc>
        <w:tc>
          <w:tcPr>
            <w:tcW w:w="3125" w:type="pct"/>
          </w:tcPr>
          <w:p w14:paraId="4BD4ECF7" w14:textId="33D9FBF1" w:rsidR="00666911" w:rsidRDefault="00783D49" w:rsidP="007452E8">
            <w:pPr>
              <w:rPr>
                <w:szCs w:val="22"/>
              </w:rPr>
            </w:pPr>
            <w:r w:rsidRPr="00783D49">
              <w:rPr>
                <w:szCs w:val="22"/>
              </w:rPr>
              <w:t>The maintenance dose of 2.4 mg once-weekly is reached by starting with a dose of 0.25 mg</w:t>
            </w:r>
            <w:r>
              <w:rPr>
                <w:szCs w:val="22"/>
              </w:rPr>
              <w:t xml:space="preserve"> (Table 1):</w:t>
            </w:r>
          </w:p>
          <w:p w14:paraId="31101D24" w14:textId="44B69AB4" w:rsidR="00783D49" w:rsidRDefault="00783D49" w:rsidP="00783D49">
            <w:pPr>
              <w:pStyle w:val="TableTitle"/>
            </w:pPr>
            <w:r>
              <w:t xml:space="preserve">Table 1. </w:t>
            </w:r>
            <w:r w:rsidR="00C87187">
              <w:t>Wegovy</w:t>
            </w:r>
            <w:r>
              <w:t xml:space="preserve"> dose escalation schedule</w:t>
            </w:r>
          </w:p>
          <w:p w14:paraId="0611A95C" w14:textId="2F82D25D" w:rsidR="00783D49" w:rsidRDefault="00783D49" w:rsidP="007452E8">
            <w:pPr>
              <w:rPr>
                <w:szCs w:val="22"/>
              </w:rPr>
            </w:pPr>
            <w:r>
              <w:rPr>
                <w:noProof/>
              </w:rPr>
              <w:drawing>
                <wp:inline distT="0" distB="0" distL="0" distR="0" wp14:anchorId="48CD08C2" wp14:editId="35D2EAB7">
                  <wp:extent cx="2914650" cy="1287331"/>
                  <wp:effectExtent l="0" t="0" r="0" b="8255"/>
                  <wp:docPr id="1451279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79671" name=""/>
                          <pic:cNvPicPr/>
                        </pic:nvPicPr>
                        <pic:blipFill>
                          <a:blip r:embed="rId21"/>
                          <a:stretch>
                            <a:fillRect/>
                          </a:stretch>
                        </pic:blipFill>
                        <pic:spPr>
                          <a:xfrm>
                            <a:off x="0" y="0"/>
                            <a:ext cx="2927578" cy="1293041"/>
                          </a:xfrm>
                          <a:prstGeom prst="rect">
                            <a:avLst/>
                          </a:prstGeom>
                        </pic:spPr>
                      </pic:pic>
                    </a:graphicData>
                  </a:graphic>
                </wp:inline>
              </w:drawing>
            </w:r>
          </w:p>
          <w:p w14:paraId="3D0B2D5C" w14:textId="02521FC1"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 xml:space="preserve">refer to the </w:t>
            </w:r>
            <w:hyperlink r:id="rId22" w:history="1">
              <w:r w:rsidR="009A2B8A" w:rsidRPr="009A2B8A">
                <w:rPr>
                  <w:rStyle w:val="Hyperlink"/>
                  <w:szCs w:val="22"/>
                </w:rPr>
                <w:t>Product Information</w:t>
              </w:r>
            </w:hyperlink>
            <w:r w:rsidR="009A2B8A">
              <w:rPr>
                <w:szCs w:val="22"/>
              </w:rPr>
              <w:t xml:space="preserve">. </w:t>
            </w:r>
          </w:p>
        </w:tc>
      </w:tr>
      <w:tr w:rsidR="0017005C" w:rsidRPr="00BD5DBD" w14:paraId="7B7BB6AE" w14:textId="77777777" w:rsidTr="009E2978">
        <w:tc>
          <w:tcPr>
            <w:tcW w:w="1875" w:type="pct"/>
          </w:tcPr>
          <w:p w14:paraId="3A76AFF7" w14:textId="7C436DD9" w:rsidR="0017005C" w:rsidRPr="00F8083B" w:rsidRDefault="0070330F" w:rsidP="0017005C">
            <w:r w:rsidRPr="00BD5DBD">
              <w:rPr>
                <w:i/>
                <w:szCs w:val="22"/>
              </w:rPr>
              <w:t>Pregnancy category:</w:t>
            </w:r>
          </w:p>
        </w:tc>
        <w:tc>
          <w:tcPr>
            <w:tcW w:w="3125" w:type="pct"/>
          </w:tcPr>
          <w:p w14:paraId="7AF9DA6D" w14:textId="555E4B52" w:rsidR="0070330F" w:rsidRPr="00D3093A" w:rsidRDefault="00783D49" w:rsidP="007967C3">
            <w:pPr>
              <w:rPr>
                <w:b/>
                <w:bCs/>
              </w:rPr>
            </w:pPr>
            <w:r w:rsidRPr="00D3093A">
              <w:rPr>
                <w:b/>
                <w:bCs/>
              </w:rPr>
              <w:t>D</w:t>
            </w:r>
          </w:p>
          <w:p w14:paraId="477ED08F" w14:textId="6F41D986" w:rsidR="00783D49" w:rsidRPr="007967C3" w:rsidRDefault="00783D49" w:rsidP="007967C3">
            <w:r w:rsidRPr="00783D49">
              <w:t>Semaglutide should not be used during pregnancy. Women of childbearing potential are recommended to use contraception when treated with semaglutide. If a patient wishes to become pregnant, or pregnancy occurs, semaglutide should be discontinued. Semaglutide should be discontinued at least 2 months before a planned pregnancy due to the long half-life</w:t>
            </w:r>
            <w:r>
              <w:t>.</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23"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4"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2E6C0A07" w14:textId="77777777" w:rsidR="00EE31B2" w:rsidRDefault="00EE31B2" w:rsidP="00C14445">
      <w:bookmarkStart w:id="7" w:name="_Toc247691503"/>
      <w:bookmarkStart w:id="8" w:name="_Toc314842484"/>
      <w:bookmarkStart w:id="9" w:name="_Toc103679290"/>
    </w:p>
    <w:p w14:paraId="2982404C" w14:textId="77777777" w:rsidR="00EE31B2" w:rsidRDefault="00EE31B2">
      <w:pPr>
        <w:rPr>
          <w:rFonts w:ascii="Arial" w:eastAsia="Times New Roman" w:hAnsi="Arial" w:cs="Times New Roman"/>
          <w:b/>
          <w:bCs/>
          <w:color w:val="001871"/>
          <w:sz w:val="32"/>
          <w:szCs w:val="32"/>
        </w:rPr>
      </w:pPr>
      <w:r>
        <w:br w:type="page"/>
      </w:r>
    </w:p>
    <w:p w14:paraId="51F2479F" w14:textId="62832BA8" w:rsidR="00324B33" w:rsidRDefault="00995206" w:rsidP="00324B33">
      <w:pPr>
        <w:pStyle w:val="Heading3"/>
      </w:pPr>
      <w:bookmarkStart w:id="10" w:name="_Toc176423050"/>
      <w:bookmarkEnd w:id="7"/>
      <w:bookmarkEnd w:id="8"/>
      <w:bookmarkEnd w:id="9"/>
      <w:r>
        <w:lastRenderedPageBreak/>
        <w:t xml:space="preserve">Wegovy </w:t>
      </w:r>
      <w:r w:rsidRPr="00065839">
        <w:t>(</w:t>
      </w:r>
      <w:r>
        <w:t>semaglutide</w:t>
      </w:r>
      <w:r w:rsidRPr="00065839">
        <w:t>)</w:t>
      </w:r>
      <w:r>
        <w:t xml:space="preserve"> – proposed indication</w:t>
      </w:r>
      <w:bookmarkEnd w:id="10"/>
    </w:p>
    <w:p w14:paraId="59BF31D1" w14:textId="0D2680A2" w:rsidR="001500A8" w:rsidRDefault="00324B33" w:rsidP="00065839">
      <w:r w:rsidRPr="00065839">
        <w:t xml:space="preserve">This AusPAR describes the submission by </w:t>
      </w:r>
      <w:r w:rsidR="00783D49" w:rsidRPr="00783D49">
        <w:t>Novo Nordisk Pharmaceuticals Pty Limited</w:t>
      </w:r>
      <w:r w:rsidRPr="00065839">
        <w:t xml:space="preserve"> (the </w:t>
      </w:r>
      <w:r w:rsidR="0041507C">
        <w:t>Sponsor</w:t>
      </w:r>
      <w:r w:rsidRPr="00065839">
        <w:t xml:space="preserve">) to register </w:t>
      </w:r>
      <w:r w:rsidR="00C87187">
        <w:t>Wegovy</w:t>
      </w:r>
      <w:r w:rsidR="00783D49">
        <w:t xml:space="preserve"> </w:t>
      </w:r>
      <w:r w:rsidRPr="00065839">
        <w:t>(</w:t>
      </w:r>
      <w:r w:rsidR="00783D49">
        <w:t>semaglutide</w:t>
      </w:r>
      <w:r w:rsidRPr="00065839">
        <w:t>)</w:t>
      </w:r>
      <w:r w:rsidR="00783D49">
        <w:t xml:space="preserve"> </w:t>
      </w:r>
      <w:r w:rsidRPr="00065839">
        <w:t>for the following proposed</w:t>
      </w:r>
      <w:r w:rsidR="00783D49">
        <w:t xml:space="preserve"> </w:t>
      </w:r>
      <w:r w:rsidRPr="00065839">
        <w:t>extension of indications:</w:t>
      </w:r>
      <w:r w:rsidR="00D63760" w:rsidRPr="00065839">
        <w:rPr>
          <w:vertAlign w:val="superscript"/>
        </w:rPr>
        <w:footnoteReference w:id="1"/>
      </w:r>
    </w:p>
    <w:p w14:paraId="58C65484" w14:textId="641F30D8" w:rsidR="00BB3CAD" w:rsidRPr="00D00CB3" w:rsidRDefault="00C87187" w:rsidP="00D00CB3">
      <w:pPr>
        <w:tabs>
          <w:tab w:val="left" w:pos="7380"/>
        </w:tabs>
        <w:ind w:left="900" w:right="1690"/>
        <w:rPr>
          <w:i/>
          <w:iCs/>
        </w:rPr>
      </w:pPr>
      <w:r>
        <w:rPr>
          <w:i/>
          <w:iCs/>
        </w:rPr>
        <w:t>Wegovy</w:t>
      </w:r>
      <w:r w:rsidR="00BB3CAD" w:rsidRPr="00D00CB3">
        <w:rPr>
          <w:i/>
          <w:iCs/>
        </w:rPr>
        <w:t xml:space="preserve"> is indicated as an adjunct to a reduced-energy diet and increased physical activity for chronic weight management (including weight loss and weight maintenance) in adults with an initial Body Mass Index (BMI) of</w:t>
      </w:r>
      <w:r w:rsidR="00995206">
        <w:rPr>
          <w:i/>
          <w:iCs/>
        </w:rPr>
        <w:t>:</w:t>
      </w:r>
    </w:p>
    <w:p w14:paraId="4BA5292A" w14:textId="77777777" w:rsidR="00BB3CAD" w:rsidRPr="00D00CB3" w:rsidRDefault="00BB3CAD" w:rsidP="00D00CB3">
      <w:pPr>
        <w:tabs>
          <w:tab w:val="left" w:pos="7380"/>
        </w:tabs>
        <w:ind w:left="900" w:right="1690"/>
        <w:rPr>
          <w:i/>
          <w:iCs/>
        </w:rPr>
      </w:pPr>
      <w:r w:rsidRPr="00D00CB3">
        <w:rPr>
          <w:i/>
          <w:iCs/>
        </w:rPr>
        <w:t>• ≥30 kg/m</w:t>
      </w:r>
      <w:r w:rsidRPr="00995206">
        <w:rPr>
          <w:i/>
          <w:iCs/>
          <w:vertAlign w:val="superscript"/>
        </w:rPr>
        <w:t>2</w:t>
      </w:r>
      <w:r w:rsidRPr="00D00CB3">
        <w:rPr>
          <w:i/>
          <w:iCs/>
        </w:rPr>
        <w:t xml:space="preserve"> (obesity), or </w:t>
      </w:r>
    </w:p>
    <w:p w14:paraId="681CF376" w14:textId="333BB557" w:rsidR="00BB3CAD" w:rsidRPr="00D00CB3" w:rsidRDefault="00BB3CAD" w:rsidP="00D00CB3">
      <w:pPr>
        <w:tabs>
          <w:tab w:val="left" w:pos="7380"/>
        </w:tabs>
        <w:ind w:left="900" w:right="1690"/>
        <w:rPr>
          <w:i/>
          <w:iCs/>
        </w:rPr>
      </w:pPr>
      <w:r w:rsidRPr="00D00CB3">
        <w:rPr>
          <w:i/>
          <w:iCs/>
        </w:rPr>
        <w:t>• ≥27 kg/m</w:t>
      </w:r>
      <w:r w:rsidRPr="00995206">
        <w:rPr>
          <w:i/>
          <w:iCs/>
          <w:vertAlign w:val="superscript"/>
        </w:rPr>
        <w:t>2</w:t>
      </w:r>
      <w:r w:rsidRPr="00D00CB3">
        <w:rPr>
          <w:i/>
          <w:iCs/>
        </w:rPr>
        <w:t xml:space="preserve"> to &lt;30 kg/m</w:t>
      </w:r>
      <w:r w:rsidRPr="00995206">
        <w:rPr>
          <w:i/>
          <w:iCs/>
          <w:vertAlign w:val="superscript"/>
        </w:rPr>
        <w:t>2</w:t>
      </w:r>
      <w:r w:rsidRPr="00D00CB3">
        <w:rPr>
          <w:i/>
          <w:iCs/>
        </w:rPr>
        <w:t xml:space="preserve"> (overweight) in the presence of at least one weight-related comorbidity (see Section 5.1 of the Product Information document: Pharmacodynamic Properties – Clinical trials).</w:t>
      </w:r>
    </w:p>
    <w:p w14:paraId="60392636" w14:textId="191A5D32" w:rsidR="00BB3CAD" w:rsidRPr="00BB3CAD" w:rsidRDefault="00BB3CAD" w:rsidP="00BB3CAD">
      <w:pPr>
        <w:ind w:right="-20"/>
      </w:pPr>
      <w:r w:rsidRPr="00BB3CAD">
        <w:t xml:space="preserve">This is a Category 1, Type C (extension of indication) application for </w:t>
      </w:r>
      <w:r w:rsidR="00C87187">
        <w:t>Wegovy</w:t>
      </w:r>
      <w:r w:rsidR="006738D4">
        <w:t xml:space="preserve"> </w:t>
      </w:r>
      <w:r w:rsidRPr="00BB3CAD">
        <w:t>(semaglutide) 0.25 mg (0.5 mg/mL), 0.5 mg (1.0 mg/mL), 1.0 mg (2.0 mg/mL), 1.7 mg (2.27 mg/mL) and 2.4 mg (3.2 mg/mL), solution for injection, single use prefilled pen with pre-assembled needle.</w:t>
      </w:r>
    </w:p>
    <w:p w14:paraId="0B7BCA19" w14:textId="04BAA21A" w:rsidR="00BB3CAD" w:rsidRPr="00BB3CAD" w:rsidRDefault="00BB3CAD" w:rsidP="00BB3CAD">
      <w:pPr>
        <w:ind w:right="-20"/>
      </w:pPr>
      <w:r w:rsidRPr="00BB3CAD">
        <w:t>The application is to extend the indications for semaglutide to include management of obesity. The new indication is intended to be registered with a new trade name (</w:t>
      </w:r>
      <w:r w:rsidR="00C87187">
        <w:t>Wegovy</w:t>
      </w:r>
      <w:r w:rsidRPr="00BB3CAD">
        <w:t>), new strengths and a new dosage delivery system (a single use prefilled pen with pre-assembled needle).</w:t>
      </w:r>
    </w:p>
    <w:p w14:paraId="1E63A2AE" w14:textId="4BADD8BB" w:rsidR="00CB6813" w:rsidRDefault="00995206" w:rsidP="006C23CA">
      <w:pPr>
        <w:pStyle w:val="Heading3"/>
      </w:pPr>
      <w:bookmarkStart w:id="11" w:name="_Toc176423051"/>
      <w:bookmarkStart w:id="12" w:name="_Toc314842485"/>
      <w:bookmarkStart w:id="13" w:name="_Toc247691504"/>
      <w:r>
        <w:t>Obesity</w:t>
      </w:r>
      <w:bookmarkEnd w:id="11"/>
    </w:p>
    <w:p w14:paraId="7A88D11F" w14:textId="7723DBA7" w:rsidR="00BB3CAD" w:rsidRPr="00BB3CAD" w:rsidRDefault="00BB3CAD" w:rsidP="00BB3CAD">
      <w:r w:rsidRPr="00BB3CAD">
        <w:t xml:space="preserve">Obesity is a common condition with high associated morbidity and mortality. Body </w:t>
      </w:r>
      <w:r w:rsidR="00995206">
        <w:t>m</w:t>
      </w:r>
      <w:r w:rsidRPr="00BB3CAD">
        <w:t xml:space="preserve">ass </w:t>
      </w:r>
      <w:r w:rsidR="00995206">
        <w:t>i</w:t>
      </w:r>
      <w:r w:rsidRPr="00BB3CAD">
        <w:t>ndex (BMI) is used as a surrogate measure of being overweight and obese:</w:t>
      </w:r>
    </w:p>
    <w:p w14:paraId="6DCB9815" w14:textId="77777777" w:rsidR="00BB3CAD" w:rsidRPr="00BB3CAD" w:rsidRDefault="00BB3CAD" w:rsidP="009E2978">
      <w:pPr>
        <w:pStyle w:val="ListBullet"/>
      </w:pPr>
      <w:r w:rsidRPr="00BB3CAD">
        <w:t>25.0 to 29.9 kg/m</w:t>
      </w:r>
      <w:r w:rsidRPr="00BB3CAD">
        <w:rPr>
          <w:vertAlign w:val="superscript"/>
        </w:rPr>
        <w:t>2</w:t>
      </w:r>
      <w:r w:rsidRPr="00BB3CAD">
        <w:t xml:space="preserve"> is classified as overweight but not </w:t>
      </w:r>
      <w:proofErr w:type="gramStart"/>
      <w:r w:rsidRPr="00BB3CAD">
        <w:t>obese</w:t>
      </w:r>
      <w:proofErr w:type="gramEnd"/>
    </w:p>
    <w:p w14:paraId="3696475B" w14:textId="77777777" w:rsidR="00BB3CAD" w:rsidRPr="00BB3CAD" w:rsidRDefault="00BB3CAD" w:rsidP="009E2978">
      <w:pPr>
        <w:pStyle w:val="ListBullet"/>
      </w:pPr>
      <w:r w:rsidRPr="00BB3CAD">
        <w:t>≥30.0 kg/m</w:t>
      </w:r>
      <w:r w:rsidRPr="00BB3CAD">
        <w:rPr>
          <w:vertAlign w:val="superscript"/>
        </w:rPr>
        <w:t>2</w:t>
      </w:r>
      <w:r w:rsidRPr="00BB3CAD">
        <w:t xml:space="preserve"> is classified as obese. </w:t>
      </w:r>
    </w:p>
    <w:p w14:paraId="3E3C2CED" w14:textId="77777777" w:rsidR="00BB3CAD" w:rsidRPr="00BB3CAD" w:rsidRDefault="00BB3CAD" w:rsidP="009E2978">
      <w:pPr>
        <w:pStyle w:val="ListBullet"/>
      </w:pPr>
      <w:r w:rsidRPr="00BB3CAD">
        <w:t>&gt;35.0 kg/m</w:t>
      </w:r>
      <w:r w:rsidRPr="00BB3CAD">
        <w:rPr>
          <w:vertAlign w:val="superscript"/>
        </w:rPr>
        <w:t>2</w:t>
      </w:r>
      <w:r w:rsidRPr="00BB3CAD">
        <w:t xml:space="preserve"> is classified as severely obese.</w:t>
      </w:r>
    </w:p>
    <w:p w14:paraId="2BA6C11A" w14:textId="77777777" w:rsidR="00201E87" w:rsidRDefault="00201E87" w:rsidP="00201E87">
      <w:pPr>
        <w:rPr>
          <w:lang w:eastAsia="ja-JP"/>
        </w:rPr>
      </w:pPr>
      <w:r>
        <w:rPr>
          <w:lang w:eastAsia="ja-JP"/>
        </w:rPr>
        <w:t>These definitions of obesity and overweight align with the World Health Organisation definitions.</w:t>
      </w:r>
    </w:p>
    <w:p w14:paraId="374AD132" w14:textId="77777777" w:rsidR="00201E87" w:rsidRDefault="00201E87" w:rsidP="00201E87">
      <w:pPr>
        <w:rPr>
          <w:lang w:eastAsia="ja-JP"/>
        </w:rPr>
      </w:pPr>
      <w:r>
        <w:rPr>
          <w:lang w:eastAsia="ja-JP"/>
        </w:rPr>
        <w:t>BMI is a composite measure of weight and height:</w:t>
      </w:r>
    </w:p>
    <w:p w14:paraId="4C484155" w14:textId="77777777" w:rsidR="00201E87" w:rsidRDefault="00201E87" w:rsidP="00201E87">
      <w:pPr>
        <w:rPr>
          <w:lang w:eastAsia="ja-JP"/>
        </w:rPr>
      </w:pPr>
      <m:oMathPara>
        <m:oMath>
          <m:r>
            <w:rPr>
              <w:rFonts w:ascii="Cambria Math" w:hAnsi="Cambria Math"/>
              <w:lang w:eastAsia="ja-JP"/>
            </w:rPr>
            <m:t>BMI=</m:t>
          </m:r>
          <m:f>
            <m:fPr>
              <m:ctrlPr>
                <w:rPr>
                  <w:rFonts w:ascii="Cambria Math" w:hAnsi="Cambria Math"/>
                  <w:i/>
                  <w:lang w:eastAsia="ja-JP"/>
                </w:rPr>
              </m:ctrlPr>
            </m:fPr>
            <m:num>
              <m:r>
                <w:rPr>
                  <w:rFonts w:ascii="Cambria Math" w:hAnsi="Cambria Math"/>
                  <w:lang w:eastAsia="ja-JP"/>
                </w:rPr>
                <m:t>body weight (kg)</m:t>
              </m:r>
            </m:num>
            <m:den>
              <m:sSup>
                <m:sSupPr>
                  <m:ctrlPr>
                    <w:rPr>
                      <w:rFonts w:ascii="Cambria Math" w:hAnsi="Cambria Math"/>
                      <w:i/>
                      <w:lang w:eastAsia="ja-JP"/>
                    </w:rPr>
                  </m:ctrlPr>
                </m:sSupPr>
                <m:e>
                  <m:r>
                    <w:rPr>
                      <w:rFonts w:ascii="Cambria Math" w:hAnsi="Cambria Math"/>
                      <w:lang w:eastAsia="ja-JP"/>
                    </w:rPr>
                    <m:t xml:space="preserve">(height </m:t>
                  </m:r>
                  <m:d>
                    <m:dPr>
                      <m:begChr m:val="["/>
                      <m:endChr m:val="]"/>
                      <m:ctrlPr>
                        <w:rPr>
                          <w:rFonts w:ascii="Cambria Math" w:hAnsi="Cambria Math"/>
                          <w:i/>
                          <w:lang w:eastAsia="ja-JP"/>
                        </w:rPr>
                      </m:ctrlPr>
                    </m:dPr>
                    <m:e>
                      <m:r>
                        <w:rPr>
                          <w:rFonts w:ascii="Cambria Math" w:hAnsi="Cambria Math"/>
                          <w:lang w:eastAsia="ja-JP"/>
                        </w:rPr>
                        <m:t>cm</m:t>
                      </m:r>
                    </m:e>
                  </m:d>
                  <m:r>
                    <w:rPr>
                      <w:rFonts w:ascii="Cambria Math" w:hAnsi="Cambria Math"/>
                      <w:lang w:eastAsia="ja-JP"/>
                    </w:rPr>
                    <m:t>)</m:t>
                  </m:r>
                </m:e>
                <m:sup>
                  <m:r>
                    <w:rPr>
                      <w:rFonts w:ascii="Cambria Math" w:hAnsi="Cambria Math"/>
                      <w:lang w:eastAsia="ja-JP"/>
                    </w:rPr>
                    <m:t>2</m:t>
                  </m:r>
                </m:sup>
              </m:sSup>
            </m:den>
          </m:f>
        </m:oMath>
      </m:oMathPara>
    </w:p>
    <w:p w14:paraId="0AFF2F60" w14:textId="77777777" w:rsidR="00201E87" w:rsidRDefault="00201E87" w:rsidP="00201E87">
      <w:pPr>
        <w:rPr>
          <w:lang w:eastAsia="ja-JP"/>
        </w:rPr>
      </w:pPr>
      <w:r>
        <w:rPr>
          <w:lang w:eastAsia="ja-JP"/>
        </w:rPr>
        <w:t>Hence, this measure is not a direct measure of adiposity, but is a surrogate measure.  Hence, these definitions may not apply to a highly muscled individual or to children and adolescents.  Interpretation of BMI may vary between ethnic groups.  Waist circumference in adults may be a better measure of adiposity and a better measure of obesity-related morbidity.</w:t>
      </w:r>
    </w:p>
    <w:p w14:paraId="7AC93303" w14:textId="59F53081" w:rsidR="00201E87" w:rsidRDefault="00201E87" w:rsidP="00201E87">
      <w:pPr>
        <w:rPr>
          <w:rFonts w:ascii="Open Sans" w:hAnsi="Open Sans" w:cs="Open Sans"/>
          <w:color w:val="45494B"/>
        </w:rPr>
      </w:pPr>
      <w:r w:rsidRPr="00A8003C">
        <w:t>The A</w:t>
      </w:r>
      <w:r>
        <w:t>ustralian Institute of Health and Welfare</w:t>
      </w:r>
      <w:r>
        <w:rPr>
          <w:rStyle w:val="FootnoteReference"/>
        </w:rPr>
        <w:footnoteReference w:id="2"/>
      </w:r>
      <w:r>
        <w:t xml:space="preserve"> </w:t>
      </w:r>
      <w:r w:rsidRPr="00A8003C">
        <w:t>reports that in 2017–18, an estimated 2 in 3 (67%) Australians aged 18 and over were overweight or obese</w:t>
      </w:r>
      <w:r>
        <w:t>,</w:t>
      </w:r>
      <w:r w:rsidRPr="00A8003C">
        <w:t xml:space="preserve"> 36% were overweight but not obese, and 31% were obese.  This equates to approximately 12.5 million adults in Australia.  The prevalence of overweight and obesity was higher in males (75% compared to 60% in females) </w:t>
      </w:r>
      <w:proofErr w:type="gramStart"/>
      <w:r w:rsidRPr="00A8003C">
        <w:t>and also</w:t>
      </w:r>
      <w:proofErr w:type="gramEnd"/>
      <w:r w:rsidRPr="00A8003C">
        <w:t xml:space="preserve"> the prevalence of obesity was higher in males (33% compared to 30% in females</w:t>
      </w:r>
      <w:r w:rsidRPr="008C319C">
        <w:t xml:space="preserve">).  </w:t>
      </w:r>
      <w:r w:rsidRPr="008C319C">
        <w:lastRenderedPageBreak/>
        <w:t>Obesity is more prevalent in older age groups: 16% of adults aged 18–24 compared with 41% of adults aged 65</w:t>
      </w:r>
      <w:r>
        <w:t xml:space="preserve"> to </w:t>
      </w:r>
      <w:r w:rsidRPr="008C319C">
        <w:t>74</w:t>
      </w:r>
      <w:r>
        <w:t xml:space="preserve"> years</w:t>
      </w:r>
      <w:r w:rsidRPr="008C319C">
        <w:t>.</w:t>
      </w:r>
    </w:p>
    <w:p w14:paraId="13B702B0" w14:textId="184DD8E5" w:rsidR="00201E87" w:rsidRDefault="00201E87" w:rsidP="00201E87">
      <w:pPr>
        <w:rPr>
          <w:lang w:eastAsia="ja-JP"/>
        </w:rPr>
      </w:pPr>
      <w:r>
        <w:rPr>
          <w:lang w:eastAsia="ja-JP"/>
        </w:rPr>
        <w:t xml:space="preserve">Obesity is associated with increased prevalence of cardiovascular disease, hypertension, type 2 diabetes mellitus (T2DM) and metabolic syndrome, non-alcoholic fatty liver disease, cholelithiasis, cancer, sleep apnoea, osteoarthritis and reduced psychosocial function. Overall, obesity is associated with increased mortality, increased </w:t>
      </w:r>
      <w:proofErr w:type="gramStart"/>
      <w:r>
        <w:rPr>
          <w:lang w:eastAsia="ja-JP"/>
        </w:rPr>
        <w:t>morbidity</w:t>
      </w:r>
      <w:proofErr w:type="gramEnd"/>
      <w:r>
        <w:rPr>
          <w:lang w:eastAsia="ja-JP"/>
        </w:rPr>
        <w:t xml:space="preserve"> and decreased quality of life.</w:t>
      </w:r>
      <w:r>
        <w:rPr>
          <w:rStyle w:val="FootnoteReference"/>
          <w:lang w:eastAsia="ja-JP"/>
        </w:rPr>
        <w:footnoteReference w:id="3"/>
      </w:r>
    </w:p>
    <w:p w14:paraId="2827DB76" w14:textId="47704BDE" w:rsidR="002E6AF9" w:rsidRDefault="00201E87">
      <w:pPr>
        <w:rPr>
          <w:rFonts w:ascii="Arial" w:eastAsia="Cambria" w:hAnsi="Arial" w:cs="Times New Roman"/>
          <w:b/>
          <w:bCs/>
          <w:color w:val="001871"/>
          <w:sz w:val="28"/>
          <w:szCs w:val="26"/>
        </w:rPr>
      </w:pPr>
      <w:r>
        <w:t>I</w:t>
      </w:r>
      <w:r w:rsidRPr="001C455E">
        <w:t xml:space="preserve">t </w:t>
      </w:r>
      <w:r>
        <w:t>has been</w:t>
      </w:r>
      <w:r w:rsidRPr="001C455E">
        <w:t xml:space="preserve"> estimated that</w:t>
      </w:r>
      <w:r>
        <w:t xml:space="preserve"> in 2015</w:t>
      </w:r>
      <w:r w:rsidRPr="001C455E">
        <w:t xml:space="preserve"> high BMI accounted for 4.0 million deaths globally, representing 7.1% of deaths from any cause, and 120 million disability-adjusted life-years, representing</w:t>
      </w:r>
      <w:r>
        <w:t xml:space="preserve"> </w:t>
      </w:r>
      <w:r w:rsidRPr="001C455E">
        <w:t>4.9% of disability adjusted life-years.</w:t>
      </w:r>
      <w:r>
        <w:t xml:space="preserve"> </w:t>
      </w:r>
      <w:r w:rsidRPr="001C455E">
        <w:t>More than two thirds of deaths related to high BMI were</w:t>
      </w:r>
      <w:r>
        <w:t xml:space="preserve"> </w:t>
      </w:r>
      <w:r w:rsidRPr="001C455E">
        <w:t>due to cardiovascular disease.</w:t>
      </w:r>
      <w:r>
        <w:rPr>
          <w:rStyle w:val="FootnoteReference"/>
        </w:rPr>
        <w:footnoteReference w:id="4"/>
      </w:r>
    </w:p>
    <w:p w14:paraId="255E083A" w14:textId="5F06D033" w:rsidR="00CB6813" w:rsidRDefault="00CB6813" w:rsidP="006C23CA">
      <w:pPr>
        <w:pStyle w:val="Heading3"/>
      </w:pPr>
      <w:bookmarkStart w:id="14" w:name="_Toc176423052"/>
      <w:r>
        <w:t>Current treatment options</w:t>
      </w:r>
      <w:r w:rsidR="006C23CA">
        <w:t xml:space="preserve"> for obesity</w:t>
      </w:r>
      <w:bookmarkEnd w:id="14"/>
    </w:p>
    <w:p w14:paraId="0649C8EA" w14:textId="77777777" w:rsidR="00BB3CAD" w:rsidRPr="00BB3CAD" w:rsidRDefault="00BB3CAD" w:rsidP="009E2978">
      <w:pPr>
        <w:pStyle w:val="ListBullet"/>
      </w:pPr>
      <w:r w:rsidRPr="00BB3CAD">
        <w:rPr>
          <w:b/>
          <w:bCs/>
        </w:rPr>
        <w:t>Lifestyle modification:</w:t>
      </w:r>
      <w:r w:rsidRPr="00BB3CAD">
        <w:t xml:space="preserve"> diet and exercise with or without psychological support</w:t>
      </w:r>
    </w:p>
    <w:p w14:paraId="57AD6703" w14:textId="52006E92" w:rsidR="00BB3CAD" w:rsidRPr="00BB3CAD" w:rsidRDefault="00BB3CAD" w:rsidP="009E2978">
      <w:pPr>
        <w:pStyle w:val="ListBullet"/>
        <w:rPr>
          <w:b/>
          <w:bCs/>
        </w:rPr>
      </w:pPr>
      <w:r w:rsidRPr="00BB3CAD">
        <w:rPr>
          <w:b/>
          <w:bCs/>
        </w:rPr>
        <w:t>Pharmacological treatments:</w:t>
      </w:r>
    </w:p>
    <w:p w14:paraId="3255CC29" w14:textId="77777777" w:rsidR="00BB3CAD" w:rsidRPr="00BB3CAD" w:rsidRDefault="00BB3CAD" w:rsidP="009E2978">
      <w:pPr>
        <w:pStyle w:val="ListBullet2"/>
      </w:pPr>
      <w:r w:rsidRPr="00BB3CAD">
        <w:t>Orlistat: a selective inhibitor of pancreatic lipase, resulting in decreased absorption of fat. Orlistat is a Schedule 3 drug in Australia and is available over the counter.</w:t>
      </w:r>
    </w:p>
    <w:p w14:paraId="20861438" w14:textId="77777777" w:rsidR="00BB3CAD" w:rsidRPr="00BB3CAD" w:rsidRDefault="00BB3CAD" w:rsidP="009E2978">
      <w:pPr>
        <w:pStyle w:val="ListBullet2"/>
      </w:pPr>
      <w:r w:rsidRPr="00BB3CAD">
        <w:t>Liraglutide: a GLP-1 agonist</w:t>
      </w:r>
    </w:p>
    <w:p w14:paraId="52C25B38" w14:textId="77777777" w:rsidR="00BB3CAD" w:rsidRPr="00BB3CAD" w:rsidRDefault="00BB3CAD" w:rsidP="009E2978">
      <w:pPr>
        <w:pStyle w:val="ListBullet2"/>
      </w:pPr>
      <w:r w:rsidRPr="00BB3CAD">
        <w:t xml:space="preserve">Phentermine: sympathomimetic agent with anorectic actions.  </w:t>
      </w:r>
    </w:p>
    <w:p w14:paraId="05325A00" w14:textId="46B30B7D" w:rsidR="00BB3CAD" w:rsidRDefault="00BB3CAD" w:rsidP="009E2978">
      <w:pPr>
        <w:pStyle w:val="ListBullet2"/>
      </w:pPr>
      <w:r w:rsidRPr="00BB3CAD">
        <w:t>Naltrexone/bupropion is approved for the following indication in Australia:</w:t>
      </w:r>
      <w:r w:rsidR="00995206">
        <w:t xml:space="preserve"> </w:t>
      </w:r>
    </w:p>
    <w:p w14:paraId="6F6E9B54" w14:textId="510B7F79" w:rsidR="00995206" w:rsidRDefault="00995206" w:rsidP="00995206">
      <w:pPr>
        <w:pStyle w:val="Indication"/>
        <w:ind w:left="2160"/>
      </w:pPr>
      <w:proofErr w:type="gramStart"/>
      <w:r>
        <w:t>“”</w:t>
      </w:r>
      <w:proofErr w:type="spellStart"/>
      <w:r>
        <w:t>Contrave</w:t>
      </w:r>
      <w:proofErr w:type="spellEnd"/>
      <w:proofErr w:type="gramEnd"/>
      <w:r>
        <w:t xml:space="preserve"> (naltrexone/bupropion) is indicated, as an adjunct to a reduced-calorie diet and increased physical activity, for the management of weight in adult patients (≥18 years) with an initial BMI of:</w:t>
      </w:r>
    </w:p>
    <w:p w14:paraId="0149E0DA" w14:textId="4ABD2820" w:rsidR="00995206" w:rsidRDefault="00995206" w:rsidP="00995206">
      <w:pPr>
        <w:pStyle w:val="Indication"/>
        <w:tabs>
          <w:tab w:val="left" w:pos="2790"/>
        </w:tabs>
        <w:ind w:left="2970"/>
      </w:pPr>
      <w:r>
        <w:t>≥ 30 kg/m</w:t>
      </w:r>
      <w:r w:rsidRPr="00995206">
        <w:rPr>
          <w:vertAlign w:val="superscript"/>
        </w:rPr>
        <w:t>2</w:t>
      </w:r>
      <w:r>
        <w:t xml:space="preserve"> (obese) or</w:t>
      </w:r>
    </w:p>
    <w:p w14:paraId="0A43BE13" w14:textId="3EE37F71" w:rsidR="00995206" w:rsidRDefault="00995206" w:rsidP="00995206">
      <w:pPr>
        <w:pStyle w:val="Indication"/>
        <w:tabs>
          <w:tab w:val="left" w:pos="2790"/>
        </w:tabs>
        <w:ind w:left="2970"/>
      </w:pPr>
      <w:r>
        <w:t>≥ 27 kg/m</w:t>
      </w:r>
      <w:r w:rsidRPr="00995206">
        <w:rPr>
          <w:vertAlign w:val="superscript"/>
        </w:rPr>
        <w:t>2</w:t>
      </w:r>
      <w:r>
        <w:t xml:space="preserve"> to &lt; 30 kg/m</w:t>
      </w:r>
      <w:r w:rsidRPr="00995206">
        <w:rPr>
          <w:vertAlign w:val="superscript"/>
        </w:rPr>
        <w:t>2</w:t>
      </w:r>
      <w:r>
        <w:t xml:space="preserve"> (overweight) in the presence of one or more weight-related comorbidities (e.g., type 2 diabetes, dyslipidaemia, or controlled hypertension).</w:t>
      </w:r>
    </w:p>
    <w:p w14:paraId="0D60016A" w14:textId="14EAFA4D" w:rsidR="00995206" w:rsidRPr="00BB3CAD" w:rsidRDefault="00995206" w:rsidP="00995206">
      <w:pPr>
        <w:pStyle w:val="Indication"/>
        <w:ind w:left="2160"/>
      </w:pPr>
      <w:r>
        <w:t xml:space="preserve">Treatment with </w:t>
      </w:r>
      <w:proofErr w:type="spellStart"/>
      <w:r>
        <w:t>Contrave</w:t>
      </w:r>
      <w:proofErr w:type="spellEnd"/>
      <w:r>
        <w:t xml:space="preserve"> should be discontinued after 16 weeks if patients have not lost at least 5% of their initial body weight.”</w:t>
      </w:r>
    </w:p>
    <w:p w14:paraId="77B35FA1" w14:textId="77777777" w:rsidR="00BB3CAD" w:rsidRPr="00BB3CAD" w:rsidRDefault="00BB3CAD" w:rsidP="009E2978">
      <w:pPr>
        <w:pStyle w:val="ListBullet"/>
      </w:pPr>
      <w:r w:rsidRPr="00BB3CAD">
        <w:t>Pharmacological treatments not approved in Australia:</w:t>
      </w:r>
    </w:p>
    <w:p w14:paraId="37689515" w14:textId="77777777" w:rsidR="00BB3CAD" w:rsidRPr="00BB3CAD" w:rsidRDefault="00BB3CAD" w:rsidP="009E2978">
      <w:pPr>
        <w:pStyle w:val="ListBullet2"/>
      </w:pPr>
      <w:r w:rsidRPr="00BB3CAD">
        <w:t>Phentermine/topiramate: is approved in the US for weight control. Topiramate is associated with weight loss due to an unknown mechanism (approved in the US).</w:t>
      </w:r>
    </w:p>
    <w:p w14:paraId="422C0831" w14:textId="77777777" w:rsidR="00BB3CAD" w:rsidRPr="00BB3CAD" w:rsidRDefault="00BB3CAD" w:rsidP="009E2978">
      <w:pPr>
        <w:pStyle w:val="ListBullet2"/>
      </w:pPr>
      <w:proofErr w:type="spellStart"/>
      <w:r w:rsidRPr="00BB3CAD">
        <w:t>Lorcaserin</w:t>
      </w:r>
      <w:proofErr w:type="spellEnd"/>
      <w:r w:rsidRPr="00BB3CAD">
        <w:t>: an appetite suppressant through activation of hypothalamic 5-HT</w:t>
      </w:r>
      <w:r w:rsidRPr="00BB3CAD">
        <w:rPr>
          <w:vertAlign w:val="superscript"/>
        </w:rPr>
        <w:t>2C</w:t>
      </w:r>
      <w:r w:rsidRPr="00BB3CAD">
        <w:t xml:space="preserve"> receptors (approved in the US).</w:t>
      </w:r>
    </w:p>
    <w:p w14:paraId="4C2206DB" w14:textId="61C84DC8" w:rsidR="00BB3CAD" w:rsidRPr="00BB3CAD" w:rsidRDefault="00BB3CAD" w:rsidP="009E2978">
      <w:pPr>
        <w:pStyle w:val="ListBullet"/>
      </w:pPr>
      <w:r w:rsidRPr="00BB3CAD">
        <w:rPr>
          <w:b/>
          <w:bCs/>
        </w:rPr>
        <w:t xml:space="preserve">Bariatric surgery: </w:t>
      </w:r>
      <w:r w:rsidRPr="00BB3CAD">
        <w:t>usually reserved for patients with severe obesity with considerable peri-operative and post-operative morbidity.</w:t>
      </w:r>
    </w:p>
    <w:p w14:paraId="37C47E09" w14:textId="40B2592D" w:rsidR="00CB6813" w:rsidRDefault="00CB6813" w:rsidP="006C23CA">
      <w:pPr>
        <w:pStyle w:val="Heading3"/>
      </w:pPr>
      <w:bookmarkStart w:id="15" w:name="_Toc176423053"/>
      <w:r>
        <w:lastRenderedPageBreak/>
        <w:t>C</w:t>
      </w:r>
      <w:r w:rsidRPr="00DE1344">
        <w:t>linical rational</w:t>
      </w:r>
      <w:r w:rsidR="0025785B">
        <w:t>e</w:t>
      </w:r>
      <w:r w:rsidR="006C23CA">
        <w:t xml:space="preserve"> for Wegovy use in </w:t>
      </w:r>
      <w:proofErr w:type="gramStart"/>
      <w:r w:rsidR="006C23CA">
        <w:t>obesity</w:t>
      </w:r>
      <w:bookmarkEnd w:id="15"/>
      <w:proofErr w:type="gramEnd"/>
    </w:p>
    <w:p w14:paraId="2DE7A6AC" w14:textId="37C24296" w:rsidR="00BB3CAD" w:rsidRPr="00BB3CAD" w:rsidRDefault="00BB3CAD" w:rsidP="00BB3CAD">
      <w:r w:rsidRPr="00BB3CAD">
        <w:t>Semaglutide is a glucagon-like peptide-1 receptor agonist (GLP-1 RA) with a 94% homology to human GLP-1. Both native GLP-1 and GLP-1 RAs reduce body weight by lowering energy intake via inducing feelings of satiety and fullness, and lowering feelings of hunger.</w:t>
      </w:r>
    </w:p>
    <w:p w14:paraId="0D615854" w14:textId="77777777" w:rsidR="00324B33" w:rsidRPr="003F31A2" w:rsidRDefault="00324B33" w:rsidP="00324B33">
      <w:pPr>
        <w:pStyle w:val="Heading3"/>
      </w:pPr>
      <w:bookmarkStart w:id="16" w:name="_Toc103679291"/>
      <w:bookmarkStart w:id="17" w:name="_Toc176423054"/>
      <w:r>
        <w:t>Regulatory status</w:t>
      </w:r>
      <w:bookmarkEnd w:id="12"/>
      <w:bookmarkEnd w:id="13"/>
      <w:bookmarkEnd w:id="16"/>
      <w:bookmarkEnd w:id="17"/>
    </w:p>
    <w:p w14:paraId="72C889D6" w14:textId="7E200950" w:rsidR="0017005C" w:rsidRDefault="0017005C" w:rsidP="00741AB9">
      <w:pPr>
        <w:pStyle w:val="Heading4"/>
      </w:pPr>
      <w:bookmarkStart w:id="18" w:name="_Toc176423055"/>
      <w:r w:rsidRPr="00BD5DBD">
        <w:t>Australian regulatory</w:t>
      </w:r>
      <w:r>
        <w:t xml:space="preserve"> sta</w:t>
      </w:r>
      <w:r w:rsidR="0025785B">
        <w:t>t</w:t>
      </w:r>
      <w:r>
        <w:t>us</w:t>
      </w:r>
      <w:bookmarkEnd w:id="18"/>
    </w:p>
    <w:p w14:paraId="49CBC1F5" w14:textId="1E26A413" w:rsidR="00BB3CAD" w:rsidRPr="00BB3CAD" w:rsidRDefault="002015E0" w:rsidP="00BB3CAD">
      <w:pPr>
        <w:rPr>
          <w:lang w:val="en-US"/>
        </w:rPr>
      </w:pPr>
      <w:r>
        <w:rPr>
          <w:lang w:val="en-US"/>
        </w:rPr>
        <w:t>Ozempic</w:t>
      </w:r>
      <w:r w:rsidR="00BB3CAD" w:rsidRPr="00BB3CAD">
        <w:rPr>
          <w:lang w:val="en-US"/>
        </w:rPr>
        <w:t xml:space="preserve"> (semaglutide) solution for injection (intended for subcutaneous administration) was approved in Australia on 28 August 2019 for the identical indication of:</w:t>
      </w:r>
    </w:p>
    <w:p w14:paraId="28DCB4F6" w14:textId="5146D4A1" w:rsidR="00BB3CAD" w:rsidRPr="00BB3CAD" w:rsidRDefault="002015E0" w:rsidP="00BB3CAD">
      <w:pPr>
        <w:rPr>
          <w:i/>
          <w:iCs/>
          <w:lang w:val="en-US"/>
        </w:rPr>
      </w:pPr>
      <w:r>
        <w:rPr>
          <w:i/>
          <w:iCs/>
          <w:lang w:val="en-US"/>
        </w:rPr>
        <w:t>Ozempic</w:t>
      </w:r>
      <w:r w:rsidR="00BB3CAD" w:rsidRPr="00BB3CAD">
        <w:rPr>
          <w:i/>
          <w:iCs/>
          <w:lang w:val="en-US"/>
        </w:rPr>
        <w:t xml:space="preserve"> is indicated for the treatment of adults with insufficiently controlled type 2 diabetes mellitus as an adjunct to diet and exercise: </w:t>
      </w:r>
    </w:p>
    <w:p w14:paraId="36171CDB" w14:textId="77777777" w:rsidR="00BB3CAD" w:rsidRPr="009E2978" w:rsidRDefault="00BB3CAD" w:rsidP="009E2978">
      <w:pPr>
        <w:pStyle w:val="ListBullet"/>
        <w:rPr>
          <w:i/>
          <w:iCs/>
          <w:lang w:val="en-US"/>
        </w:rPr>
      </w:pPr>
      <w:r w:rsidRPr="009E2978">
        <w:rPr>
          <w:i/>
          <w:iCs/>
          <w:lang w:val="en-US"/>
        </w:rPr>
        <w:t xml:space="preserve">as monotherapy when metformin is not tolerated or contraindicated. </w:t>
      </w:r>
    </w:p>
    <w:p w14:paraId="2FBACF15" w14:textId="77777777" w:rsidR="00BB3CAD" w:rsidRPr="009E2978" w:rsidRDefault="00BB3CAD" w:rsidP="009E2978">
      <w:pPr>
        <w:pStyle w:val="ListBullet"/>
        <w:rPr>
          <w:i/>
          <w:iCs/>
          <w:lang w:val="en-US"/>
        </w:rPr>
      </w:pPr>
      <w:r w:rsidRPr="009E2978">
        <w:rPr>
          <w:i/>
          <w:iCs/>
          <w:lang w:val="en-US"/>
        </w:rPr>
        <w:t>in addition to other medicinal products for the treatment of type 2 diabetes.</w:t>
      </w:r>
    </w:p>
    <w:p w14:paraId="2CA72415" w14:textId="265476E1" w:rsidR="00BB3CAD" w:rsidRPr="00BB3CAD" w:rsidRDefault="00BB3CAD" w:rsidP="00BB3CAD">
      <w:proofErr w:type="spellStart"/>
      <w:r>
        <w:t>Rybelsus</w:t>
      </w:r>
      <w:proofErr w:type="spellEnd"/>
      <w:r w:rsidRPr="00BB3CAD">
        <w:t xml:space="preserve"> (in its semaglutide (</w:t>
      </w:r>
      <w:proofErr w:type="spellStart"/>
      <w:r w:rsidRPr="00BB3CAD">
        <w:t>rys</w:t>
      </w:r>
      <w:proofErr w:type="spellEnd"/>
      <w:r w:rsidRPr="00BB3CAD">
        <w:t xml:space="preserve">) tablet form for oral administration) </w:t>
      </w:r>
      <w:r>
        <w:t>was approved</w:t>
      </w:r>
      <w:r w:rsidRPr="00BB3CAD">
        <w:t xml:space="preserve"> </w:t>
      </w:r>
      <w:r>
        <w:t xml:space="preserve">in Australia on 22 October 2022 </w:t>
      </w:r>
      <w:r w:rsidRPr="00BB3CAD">
        <w:t xml:space="preserve">for </w:t>
      </w:r>
      <w:r>
        <w:t xml:space="preserve">the </w:t>
      </w:r>
      <w:r w:rsidRPr="00BB3CAD">
        <w:t>management of Type 2 diabetes.</w:t>
      </w:r>
    </w:p>
    <w:p w14:paraId="12A6D0E7" w14:textId="00112DF0" w:rsidR="006738D4" w:rsidRDefault="00BB3CAD">
      <w:pPr>
        <w:rPr>
          <w:rFonts w:ascii="Arial" w:eastAsia="Cambria" w:hAnsi="Arial" w:cs="Times New Roman"/>
          <w:b/>
          <w:bCs/>
          <w:color w:val="001871"/>
          <w:sz w:val="28"/>
          <w:szCs w:val="26"/>
        </w:rPr>
      </w:pPr>
      <w:r w:rsidRPr="00BB3CAD">
        <w:t xml:space="preserve">A comparison of </w:t>
      </w:r>
      <w:r w:rsidR="00C87187">
        <w:t>Wegovy</w:t>
      </w:r>
      <w:r w:rsidRPr="00BB3CAD">
        <w:t xml:space="preserve"> with the currently registered </w:t>
      </w:r>
      <w:r w:rsidR="002015E0">
        <w:t>Ozempic</w:t>
      </w:r>
      <w:r w:rsidRPr="00BB3CAD">
        <w:t xml:space="preserve"> solution is shown in </w:t>
      </w:r>
      <w:r w:rsidRPr="00BB3CAD">
        <w:fldChar w:fldCharType="begin"/>
      </w:r>
      <w:r w:rsidRPr="00BB3CAD">
        <w:instrText xml:space="preserve"> REF _Ref92181620 \h </w:instrText>
      </w:r>
      <w:r w:rsidRPr="00BB3CAD">
        <w:fldChar w:fldCharType="separate"/>
      </w:r>
      <w:r w:rsidR="00367A8D">
        <w:rPr>
          <w:b/>
          <w:bCs/>
          <w:lang w:val="en-US"/>
        </w:rPr>
        <w:t>Error! Reference source not found.</w:t>
      </w:r>
      <w:r w:rsidRPr="00BB3CAD">
        <w:fldChar w:fldCharType="end"/>
      </w:r>
      <w:r w:rsidRPr="00BB3CAD">
        <w:t xml:space="preserve">. </w:t>
      </w:r>
      <w:r>
        <w:t>The d</w:t>
      </w:r>
      <w:r w:rsidRPr="00BB3CAD">
        <w:t xml:space="preserve">ifferences in the composition of the new formulation </w:t>
      </w:r>
      <w:r w:rsidRPr="00BB3CAD">
        <w:rPr>
          <w:i/>
        </w:rPr>
        <w:t>cf.</w:t>
      </w:r>
      <w:r w:rsidRPr="00BB3CAD">
        <w:t xml:space="preserve"> the old formulation includes the use of sodium chloride as a tonicity agent instead of propylene glycol, and the removal of phenol (preservative).</w:t>
      </w:r>
    </w:p>
    <w:p w14:paraId="546C1031" w14:textId="2DBEFAC3" w:rsidR="0017005C" w:rsidRDefault="005C17A6" w:rsidP="0017005C">
      <w:pPr>
        <w:pStyle w:val="Heading4"/>
      </w:pPr>
      <w:bookmarkStart w:id="19" w:name="_Toc176423056"/>
      <w:r>
        <w:t>International</w:t>
      </w:r>
      <w:r w:rsidR="0017005C" w:rsidRPr="00BD5DBD">
        <w:t xml:space="preserve"> regulatory</w:t>
      </w:r>
      <w:r w:rsidR="0017005C">
        <w:t xml:space="preserve"> status</w:t>
      </w:r>
      <w:bookmarkEnd w:id="19"/>
    </w:p>
    <w:p w14:paraId="5C57711C" w14:textId="4F5E732A" w:rsidR="00B31ABE" w:rsidRPr="00B31ABE" w:rsidRDefault="00B31ABE" w:rsidP="00CA1DD9">
      <w:pPr>
        <w:pStyle w:val="Heading5"/>
      </w:pPr>
      <w:r w:rsidRPr="00B31ABE">
        <w:t>EMA</w:t>
      </w:r>
      <w:r w:rsidR="00412D6F">
        <w:t xml:space="preserve"> (Europe)</w:t>
      </w:r>
    </w:p>
    <w:p w14:paraId="2283E3F9" w14:textId="2F3CDF2B" w:rsidR="00B31ABE" w:rsidRPr="00B31ABE" w:rsidRDefault="00B31ABE" w:rsidP="006053D3">
      <w:pPr>
        <w:rPr>
          <w:b/>
          <w:bCs/>
          <w:i/>
          <w:iCs/>
        </w:rPr>
      </w:pPr>
      <w:r w:rsidRPr="00B31ABE">
        <w:rPr>
          <w:b/>
          <w:bCs/>
          <w:i/>
          <w:iCs/>
        </w:rPr>
        <w:t>Adults</w:t>
      </w:r>
    </w:p>
    <w:p w14:paraId="0AD8F0A4" w14:textId="2A56CDD3" w:rsidR="006053D3" w:rsidRDefault="00C87187" w:rsidP="006053D3">
      <w:r>
        <w:t>Wegovy</w:t>
      </w:r>
      <w:r w:rsidR="006053D3">
        <w:t xml:space="preserve"> is indicated as an adjunct to a reduced-calorie diet and increased physical activity for weight management, including weight loss and weight maintenance, in adults with an initial BMI of</w:t>
      </w:r>
      <w:r w:rsidR="00995206">
        <w:t>:</w:t>
      </w:r>
    </w:p>
    <w:p w14:paraId="3F946DB0" w14:textId="241E73BF" w:rsidR="006053D3" w:rsidRDefault="006053D3" w:rsidP="00995206">
      <w:pPr>
        <w:ind w:left="810"/>
      </w:pPr>
      <w:r>
        <w:t>≥30 kg/m</w:t>
      </w:r>
      <w:r w:rsidRPr="006053D3">
        <w:rPr>
          <w:vertAlign w:val="superscript"/>
        </w:rPr>
        <w:t xml:space="preserve">2 </w:t>
      </w:r>
      <w:r>
        <w:t>(obesity), or</w:t>
      </w:r>
    </w:p>
    <w:p w14:paraId="3D5D5587" w14:textId="797063AE" w:rsidR="006053D3" w:rsidRDefault="006053D3" w:rsidP="00995206">
      <w:pPr>
        <w:ind w:left="810"/>
      </w:pPr>
      <w:r>
        <w:t>≥27 kg/m</w:t>
      </w:r>
      <w:proofErr w:type="gramStart"/>
      <w:r w:rsidRPr="006053D3">
        <w:rPr>
          <w:vertAlign w:val="superscript"/>
        </w:rPr>
        <w:t xml:space="preserve">2 </w:t>
      </w:r>
      <w:r w:rsidR="006C23CA">
        <w:rPr>
          <w:vertAlign w:val="superscript"/>
        </w:rPr>
        <w:t xml:space="preserve"> </w:t>
      </w:r>
      <w:r>
        <w:t>to</w:t>
      </w:r>
      <w:proofErr w:type="gramEnd"/>
      <w:r>
        <w:t xml:space="preserve"> &lt;30 kg/m</w:t>
      </w:r>
      <w:r w:rsidRPr="006053D3">
        <w:rPr>
          <w:vertAlign w:val="superscript"/>
        </w:rPr>
        <w:t>2</w:t>
      </w:r>
      <w:r>
        <w:t xml:space="preserve"> (overweight) in the presence of at least one weight-related comorbidity e.g. </w:t>
      </w:r>
      <w:proofErr w:type="spellStart"/>
      <w:r>
        <w:t>dysglycaemia</w:t>
      </w:r>
      <w:proofErr w:type="spellEnd"/>
      <w:r>
        <w:t xml:space="preserve"> (prediabetes or type 2 diabetes mellitus), hypertension, dyslipidaemia, obstructive sleep apnoea or cardiovascular disease.</w:t>
      </w:r>
    </w:p>
    <w:p w14:paraId="40A6FA01" w14:textId="07E3686F" w:rsidR="006053D3" w:rsidRPr="00B31ABE" w:rsidRDefault="006053D3" w:rsidP="006053D3">
      <w:pPr>
        <w:rPr>
          <w:b/>
          <w:bCs/>
          <w:i/>
          <w:iCs/>
        </w:rPr>
      </w:pPr>
      <w:r w:rsidRPr="00B31ABE">
        <w:rPr>
          <w:b/>
          <w:bCs/>
          <w:i/>
          <w:iCs/>
        </w:rPr>
        <w:t>Adolescents (&gt;12 years)</w:t>
      </w:r>
    </w:p>
    <w:p w14:paraId="5F5F3F93" w14:textId="4320F841" w:rsidR="006053D3" w:rsidRDefault="00C87187" w:rsidP="006053D3">
      <w:r>
        <w:t>Wegovy</w:t>
      </w:r>
      <w:r w:rsidR="006053D3">
        <w:t xml:space="preserve"> is indicated as an adjunct to a reduced-calorie diet and increased physical activity for weight</w:t>
      </w:r>
      <w:r w:rsidR="00B31ABE">
        <w:t xml:space="preserve"> </w:t>
      </w:r>
      <w:r w:rsidR="006053D3">
        <w:t>management in adolescents ages 12 years and above with</w:t>
      </w:r>
      <w:r w:rsidR="00B31ABE">
        <w:t xml:space="preserve"> </w:t>
      </w:r>
      <w:r w:rsidR="006053D3">
        <w:t>obesity</w:t>
      </w:r>
      <w:r w:rsidR="00B31ABE">
        <w:t xml:space="preserve"> (</w:t>
      </w:r>
      <w:r w:rsidR="00B31ABE" w:rsidRPr="00B31ABE">
        <w:t>BMI ~5th percentile) as defined on sex- and age-specific BMI growth charts</w:t>
      </w:r>
      <w:r w:rsidR="00B31ABE">
        <w:t xml:space="preserve">) </w:t>
      </w:r>
      <w:r w:rsidR="006053D3">
        <w:t>body weight above 60 kg.</w:t>
      </w:r>
    </w:p>
    <w:p w14:paraId="5A0E6C16" w14:textId="617B3E04" w:rsidR="006053D3" w:rsidRDefault="006053D3" w:rsidP="006053D3">
      <w:r>
        <w:t>Trea</w:t>
      </w:r>
      <w:r w:rsidR="00B31ABE">
        <w:t>t</w:t>
      </w:r>
      <w:r w:rsidR="00CA1DD9">
        <w:t>m</w:t>
      </w:r>
      <w:r>
        <w:t xml:space="preserve">ent with </w:t>
      </w:r>
      <w:r w:rsidR="00C87187">
        <w:t>Wegovy</w:t>
      </w:r>
      <w:r>
        <w:t xml:space="preserve"> should be discontinued and re-evaluated if adolescent patients have not</w:t>
      </w:r>
      <w:r w:rsidR="00CA1DD9">
        <w:t xml:space="preserve"> </w:t>
      </w:r>
      <w:r>
        <w:t>reduced their BMI by at least 5% after 12 weeks on the 2.4 mg or maximum tolerated dose.</w:t>
      </w:r>
    </w:p>
    <w:p w14:paraId="49D1EA9A" w14:textId="04DD27CA" w:rsidR="00CA1DD9" w:rsidRDefault="00CA1DD9" w:rsidP="00CA1DD9">
      <w:pPr>
        <w:pStyle w:val="Heading5"/>
      </w:pPr>
      <w:r>
        <w:t>FDA</w:t>
      </w:r>
      <w:r w:rsidR="00412D6F">
        <w:t xml:space="preserve"> (USA)</w:t>
      </w:r>
    </w:p>
    <w:p w14:paraId="66CCC7FB" w14:textId="34D4C0BE" w:rsidR="0090592F" w:rsidRDefault="00C87187" w:rsidP="0090592F">
      <w:r>
        <w:t>Wegovy</w:t>
      </w:r>
      <w:r w:rsidR="0090592F">
        <w:t xml:space="preserve"> is indicated as an adjunct to a reduced calorie diet and increased physical activity for chronic weight management in</w:t>
      </w:r>
    </w:p>
    <w:p w14:paraId="5920E3E4" w14:textId="433A762F" w:rsidR="0090592F" w:rsidRDefault="0090592F" w:rsidP="0090592F">
      <w:r>
        <w:lastRenderedPageBreak/>
        <w:t>adults with an initial BMI of:</w:t>
      </w:r>
    </w:p>
    <w:p w14:paraId="5DD37765" w14:textId="64E5B996" w:rsidR="0090592F" w:rsidRPr="0090592F" w:rsidRDefault="0090592F" w:rsidP="009E2978">
      <w:pPr>
        <w:pStyle w:val="ListBullet"/>
      </w:pPr>
      <w:r w:rsidRPr="0090592F">
        <w:t>30 kg/m</w:t>
      </w:r>
      <w:r w:rsidRPr="00995206">
        <w:rPr>
          <w:vertAlign w:val="superscript"/>
        </w:rPr>
        <w:t>2</w:t>
      </w:r>
      <w:r w:rsidRPr="0090592F">
        <w:t xml:space="preserve"> or greater (obesity) or</w:t>
      </w:r>
    </w:p>
    <w:p w14:paraId="3115515E" w14:textId="23F4FE33" w:rsidR="0090592F" w:rsidRPr="0090592F" w:rsidRDefault="0090592F" w:rsidP="009E2978">
      <w:pPr>
        <w:pStyle w:val="ListBullet"/>
      </w:pPr>
      <w:r w:rsidRPr="0090592F">
        <w:t>27 kg/m</w:t>
      </w:r>
      <w:r w:rsidRPr="00995206">
        <w:rPr>
          <w:vertAlign w:val="superscript"/>
        </w:rPr>
        <w:t>2</w:t>
      </w:r>
      <w:r w:rsidRPr="0090592F">
        <w:t xml:space="preserve"> or greater </w:t>
      </w:r>
      <w:proofErr w:type="gramStart"/>
      <w:r w:rsidRPr="0090592F">
        <w:t>( overweight</w:t>
      </w:r>
      <w:proofErr w:type="gramEnd"/>
      <w:r w:rsidRPr="0090592F">
        <w:t xml:space="preserve">) in the presence of at least one weight-related comorbid condition ( e.g., hypertension, type 2 diabetes mellitus, or </w:t>
      </w:r>
      <w:r w:rsidR="000630D5" w:rsidRPr="0090592F">
        <w:t>dyslipidaemia</w:t>
      </w:r>
      <w:r w:rsidRPr="0090592F">
        <w:t>)</w:t>
      </w:r>
    </w:p>
    <w:p w14:paraId="06F1F5C3" w14:textId="67672704" w:rsidR="0090592F" w:rsidRPr="0090592F" w:rsidRDefault="0090592F" w:rsidP="0090592F">
      <w:r>
        <w:t>paediatric patients aged 12 years and older with an initial BMI at the 95th percentile or greater standardized for age and sex (obesity)</w:t>
      </w:r>
    </w:p>
    <w:p w14:paraId="6D92589C" w14:textId="09786CEF" w:rsidR="00324B33" w:rsidRDefault="00324B33" w:rsidP="00A02383">
      <w:pPr>
        <w:pStyle w:val="Heading3"/>
      </w:pPr>
      <w:bookmarkStart w:id="20" w:name="_Toc504480011"/>
      <w:bookmarkStart w:id="21" w:name="_Toc103679293"/>
      <w:bookmarkStart w:id="22" w:name="_Toc176423057"/>
      <w:r>
        <w:t>Registration timeline</w:t>
      </w:r>
      <w:bookmarkEnd w:id="20"/>
      <w:bookmarkEnd w:id="21"/>
      <w:bookmarkEnd w:id="22"/>
    </w:p>
    <w:p w14:paraId="6BB76942" w14:textId="49C62989" w:rsidR="00477C4E" w:rsidRDefault="00477C4E" w:rsidP="00324B33">
      <w:pPr>
        <w:rPr>
          <w:szCs w:val="22"/>
        </w:rPr>
      </w:pPr>
      <w:bookmarkStart w:id="23" w:name="_Hlk172015931"/>
      <w:r w:rsidRPr="00BD5DBD">
        <w:rPr>
          <w:szCs w:val="22"/>
        </w:rPr>
        <w:t xml:space="preserve">This submission was evaluated under the </w:t>
      </w:r>
      <w:hyperlink r:id="rId25" w:history="1">
        <w:r w:rsidRPr="00BD5DBD">
          <w:rPr>
            <w:rStyle w:val="Hyperlink"/>
            <w:szCs w:val="22"/>
          </w:rPr>
          <w:t>standard prescription medicines registration process</w:t>
        </w:r>
      </w:hyperlink>
      <w:r w:rsidRPr="00BD5DBD">
        <w:rPr>
          <w:szCs w:val="22"/>
        </w:rPr>
        <w:t>.</w:t>
      </w:r>
      <w:bookmarkEnd w:id="23"/>
    </w:p>
    <w:p w14:paraId="35BBE43D" w14:textId="4DC7BC43" w:rsidR="00A97328" w:rsidRPr="00BD5DBD" w:rsidRDefault="00A97328" w:rsidP="00324B33">
      <w:pPr>
        <w:rPr>
          <w:szCs w:val="22"/>
        </w:rPr>
      </w:pPr>
      <w:r>
        <w:rPr>
          <w:szCs w:val="22"/>
        </w:rPr>
        <w:t>T</w:t>
      </w:r>
      <w:r w:rsidRPr="00A97328">
        <w:rPr>
          <w:szCs w:val="22"/>
        </w:rPr>
        <w:t xml:space="preserve">able </w:t>
      </w:r>
      <w:r>
        <w:rPr>
          <w:szCs w:val="22"/>
        </w:rPr>
        <w:t xml:space="preserve">2 </w:t>
      </w:r>
      <w:r w:rsidRPr="00A97328">
        <w:rPr>
          <w:szCs w:val="22"/>
        </w:rPr>
        <w:t>captures the key steps and dates for this submission.</w:t>
      </w:r>
    </w:p>
    <w:p w14:paraId="44628C5F" w14:textId="4A6AC998" w:rsidR="00324B33" w:rsidRDefault="00324B33" w:rsidP="002C1232">
      <w:pPr>
        <w:pStyle w:val="TableTitle"/>
      </w:pPr>
      <w:r w:rsidRPr="002C1232">
        <w:t xml:space="preserve">Table </w:t>
      </w:r>
      <w:r>
        <w:fldChar w:fldCharType="begin"/>
      </w:r>
      <w:r>
        <w:instrText xml:space="preserve"> SEQ Table \* ARABIC </w:instrText>
      </w:r>
      <w:r>
        <w:fldChar w:fldCharType="separate"/>
      </w:r>
      <w:r w:rsidR="00367A8D">
        <w:rPr>
          <w:noProof/>
        </w:rPr>
        <w:t>1</w:t>
      </w:r>
      <w:r>
        <w:fldChar w:fldCharType="end"/>
      </w:r>
      <w:r w:rsidRPr="002C1232">
        <w:t>:</w:t>
      </w:r>
      <w:bookmarkStart w:id="24" w:name="_Hlk172015897"/>
      <w:r w:rsidRPr="002C1232">
        <w:t xml:space="preserve"> </w:t>
      </w:r>
      <w:r w:rsidR="00BA166A" w:rsidRPr="00BA166A">
        <w:t xml:space="preserve">Registration timeline for </w:t>
      </w:r>
      <w:r w:rsidR="00C87187">
        <w:t>Wegovy</w:t>
      </w:r>
      <w:r w:rsidR="00BA166A" w:rsidRPr="00BA166A">
        <w:t xml:space="preserve"> (submission no.</w:t>
      </w:r>
      <w:r w:rsidR="00A97328">
        <w:t xml:space="preserve"> </w:t>
      </w:r>
      <w:r w:rsidR="00A97328" w:rsidRPr="00A97328">
        <w:t>PM-2021-00612-1-5</w:t>
      </w:r>
      <w:r w:rsidR="00BA166A" w:rsidRPr="00BA166A">
        <w:t>)</w:t>
      </w:r>
      <w:r w:rsidR="00BA166A">
        <w:t xml:space="preserve"> – Key Dates.</w:t>
      </w:r>
    </w:p>
    <w:tbl>
      <w:tblPr>
        <w:tblStyle w:val="TableTGAblue2023"/>
        <w:tblW w:w="8642" w:type="dxa"/>
        <w:tblLook w:val="04A0" w:firstRow="1" w:lastRow="0" w:firstColumn="1" w:lastColumn="0" w:noHBand="0" w:noVBand="1"/>
      </w:tblPr>
      <w:tblGrid>
        <w:gridCol w:w="6091"/>
        <w:gridCol w:w="2551"/>
      </w:tblGrid>
      <w:tr w:rsidR="00324B33" w:rsidRPr="00D01DDB" w14:paraId="6C59BE9C" w14:textId="77777777" w:rsidTr="009E2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bookmarkEnd w:id="24"/>
          <w:p w14:paraId="16D80E78" w14:textId="3EC0CCAF" w:rsidR="00324B33" w:rsidRPr="00D01DDB" w:rsidRDefault="00324B33" w:rsidP="00324B33">
            <w:pPr>
              <w:rPr>
                <w:szCs w:val="22"/>
              </w:rPr>
            </w:pPr>
            <w:r w:rsidRPr="00D01DDB">
              <w:rPr>
                <w:szCs w:val="22"/>
              </w:rPr>
              <w:t>Description</w:t>
            </w:r>
          </w:p>
        </w:tc>
        <w:tc>
          <w:tcPr>
            <w:tcW w:w="2551"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9E2978">
        <w:tc>
          <w:tcPr>
            <w:cnfStyle w:val="001000000000" w:firstRow="0" w:lastRow="0" w:firstColumn="1" w:lastColumn="0" w:oddVBand="0" w:evenVBand="0" w:oddHBand="0" w:evenHBand="0" w:firstRowFirstColumn="0" w:firstRowLastColumn="0" w:lastRowFirstColumn="0" w:lastRowLastColumn="0"/>
            <w:tcW w:w="6091" w:type="dxa"/>
          </w:tcPr>
          <w:p w14:paraId="759D2A12" w14:textId="0D705F83" w:rsidR="00324B33" w:rsidRPr="00E679D1" w:rsidRDefault="00324B33" w:rsidP="00E679D1">
            <w:r w:rsidRPr="00E679D1">
              <w:t>Submission dossier accepted and first round evaluation commenced</w:t>
            </w:r>
          </w:p>
        </w:tc>
        <w:tc>
          <w:tcPr>
            <w:tcW w:w="2551" w:type="dxa"/>
          </w:tcPr>
          <w:p w14:paraId="2963D9D8" w14:textId="53DE0ECD" w:rsidR="00324B33" w:rsidRPr="00D01DDB" w:rsidRDefault="00F20E2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March 2021</w:t>
            </w:r>
          </w:p>
        </w:tc>
      </w:tr>
      <w:tr w:rsidR="00324B33" w:rsidRPr="00D01DDB" w14:paraId="53437815" w14:textId="77777777" w:rsidTr="009E2978">
        <w:tc>
          <w:tcPr>
            <w:cnfStyle w:val="001000000000" w:firstRow="0" w:lastRow="0" w:firstColumn="1" w:lastColumn="0" w:oddVBand="0" w:evenVBand="0" w:oddHBand="0" w:evenHBand="0" w:firstRowFirstColumn="0" w:firstRowLastColumn="0" w:lastRowFirstColumn="0" w:lastRowLastColumn="0"/>
            <w:tcW w:w="6091" w:type="dxa"/>
          </w:tcPr>
          <w:p w14:paraId="4C037D4E" w14:textId="2B0CE255" w:rsidR="00324B33" w:rsidRPr="00E679D1" w:rsidRDefault="00324B33" w:rsidP="00E679D1">
            <w:r w:rsidRPr="00E679D1">
              <w:t>First round evaluation completed</w:t>
            </w:r>
          </w:p>
        </w:tc>
        <w:tc>
          <w:tcPr>
            <w:tcW w:w="2551" w:type="dxa"/>
          </w:tcPr>
          <w:p w14:paraId="3CEAFAAB" w14:textId="65B6C901" w:rsidR="00324B33" w:rsidRPr="00D01DDB" w:rsidRDefault="00883E3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August 2021</w:t>
            </w:r>
          </w:p>
        </w:tc>
      </w:tr>
      <w:tr w:rsidR="00324B33" w:rsidRPr="00D01DDB" w14:paraId="767E33A4" w14:textId="77777777" w:rsidTr="009E2978">
        <w:tc>
          <w:tcPr>
            <w:cnfStyle w:val="001000000000" w:firstRow="0" w:lastRow="0" w:firstColumn="1" w:lastColumn="0" w:oddVBand="0" w:evenVBand="0" w:oddHBand="0" w:evenHBand="0" w:firstRowFirstColumn="0" w:firstRowLastColumn="0" w:lastRowFirstColumn="0" w:lastRowLastColumn="0"/>
            <w:tcW w:w="6091" w:type="dxa"/>
          </w:tcPr>
          <w:p w14:paraId="4AFC5B50" w14:textId="2BCC6A3E" w:rsidR="00324B33" w:rsidRPr="00E679D1" w:rsidRDefault="00324B33" w:rsidP="00E679D1">
            <w:r w:rsidRPr="00E679D1">
              <w:t>Second round evaluation completed</w:t>
            </w:r>
          </w:p>
        </w:tc>
        <w:tc>
          <w:tcPr>
            <w:tcW w:w="2551" w:type="dxa"/>
          </w:tcPr>
          <w:p w14:paraId="4E47DF62" w14:textId="0816466A" w:rsidR="00324B33" w:rsidRPr="00D01DDB" w:rsidRDefault="000F140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27 October 2021</w:t>
            </w:r>
          </w:p>
        </w:tc>
      </w:tr>
      <w:tr w:rsidR="00324B33" w:rsidRPr="00D01DDB" w14:paraId="302FCB45" w14:textId="77777777" w:rsidTr="009E2978">
        <w:tc>
          <w:tcPr>
            <w:cnfStyle w:val="001000000000" w:firstRow="0" w:lastRow="0" w:firstColumn="1" w:lastColumn="0" w:oddVBand="0" w:evenVBand="0" w:oddHBand="0" w:evenHBand="0" w:firstRowFirstColumn="0" w:firstRowLastColumn="0" w:lastRowFirstColumn="0" w:lastRowLastColumn="0"/>
            <w:tcW w:w="6091" w:type="dxa"/>
          </w:tcPr>
          <w:p w14:paraId="716E9DC1" w14:textId="1B38A6B6" w:rsidR="00324B33" w:rsidRPr="00D01DDB" w:rsidRDefault="0041507C" w:rsidP="00324B33">
            <w:pPr>
              <w:rPr>
                <w:szCs w:val="22"/>
              </w:rPr>
            </w:pPr>
            <w:r>
              <w:rPr>
                <w:szCs w:val="22"/>
              </w:rPr>
              <w:t>Delegate</w:t>
            </w:r>
            <w:r w:rsidR="00324B33" w:rsidRPr="00D01DDB">
              <w:rPr>
                <w:szCs w:val="22"/>
              </w:rPr>
              <w:t>’s</w:t>
            </w:r>
            <w:r w:rsidR="00500D68">
              <w:rPr>
                <w:rStyle w:val="FootnoteReference"/>
                <w:szCs w:val="22"/>
              </w:rPr>
              <w:footnoteReference w:id="5"/>
            </w:r>
            <w:r w:rsidR="00324B33" w:rsidRPr="00D01DDB">
              <w:rPr>
                <w:szCs w:val="22"/>
              </w:rPr>
              <w:t xml:space="preserve"> Overall benefit-risk assessment </w:t>
            </w:r>
            <w:r w:rsidR="00324B33" w:rsidRPr="000F1405">
              <w:rPr>
                <w:color w:val="auto"/>
                <w:szCs w:val="22"/>
              </w:rPr>
              <w:t>and request for Advisory Committee advice</w:t>
            </w:r>
          </w:p>
        </w:tc>
        <w:tc>
          <w:tcPr>
            <w:tcW w:w="2551" w:type="dxa"/>
          </w:tcPr>
          <w:p w14:paraId="3BA6EF79" w14:textId="5A0B111C" w:rsidR="00324B33" w:rsidRPr="00D01DDB" w:rsidRDefault="00F1423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4 January 2022</w:t>
            </w:r>
          </w:p>
        </w:tc>
      </w:tr>
      <w:tr w:rsidR="00324B33" w:rsidRPr="00D01DDB" w14:paraId="5832EBC8" w14:textId="77777777" w:rsidTr="009E2978">
        <w:tc>
          <w:tcPr>
            <w:cnfStyle w:val="001000000000" w:firstRow="0" w:lastRow="0" w:firstColumn="1" w:lastColumn="0" w:oddVBand="0" w:evenVBand="0" w:oddHBand="0" w:evenHBand="0" w:firstRowFirstColumn="0" w:firstRowLastColumn="0" w:lastRowFirstColumn="0" w:lastRowLastColumn="0"/>
            <w:tcW w:w="6091" w:type="dxa"/>
          </w:tcPr>
          <w:p w14:paraId="720592DE" w14:textId="6D6FA877" w:rsidR="00324B33" w:rsidRPr="00E679D1" w:rsidRDefault="0041507C" w:rsidP="00E679D1">
            <w:r>
              <w:t>Sponsor</w:t>
            </w:r>
            <w:r w:rsidR="00324B33" w:rsidRPr="00E679D1">
              <w:t>’s pre-Advisory Committee response</w:t>
            </w:r>
          </w:p>
        </w:tc>
        <w:tc>
          <w:tcPr>
            <w:tcW w:w="2551" w:type="dxa"/>
          </w:tcPr>
          <w:p w14:paraId="5AE04841" w14:textId="078F7F02" w:rsidR="00324B33" w:rsidRPr="00D01DDB" w:rsidRDefault="00B24F5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17 January 2022</w:t>
            </w:r>
          </w:p>
        </w:tc>
      </w:tr>
      <w:tr w:rsidR="00324B33" w:rsidRPr="00D01DDB" w14:paraId="5754F7AC" w14:textId="77777777" w:rsidTr="009E2978">
        <w:tc>
          <w:tcPr>
            <w:cnfStyle w:val="001000000000" w:firstRow="0" w:lastRow="0" w:firstColumn="1" w:lastColumn="0" w:oddVBand="0" w:evenVBand="0" w:oddHBand="0" w:evenHBand="0" w:firstRowFirstColumn="0" w:firstRowLastColumn="0" w:lastRowFirstColumn="0" w:lastRowLastColumn="0"/>
            <w:tcW w:w="6091" w:type="dxa"/>
          </w:tcPr>
          <w:p w14:paraId="789DE187" w14:textId="123446EE" w:rsidR="00324B33" w:rsidRPr="00E679D1" w:rsidRDefault="00324B33" w:rsidP="00E679D1">
            <w:r w:rsidRPr="00E679D1">
              <w:t>Advisory Committee meeting</w:t>
            </w:r>
          </w:p>
        </w:tc>
        <w:tc>
          <w:tcPr>
            <w:tcW w:w="2551" w:type="dxa"/>
          </w:tcPr>
          <w:p w14:paraId="5BE1EDE7" w14:textId="0ED40A21" w:rsidR="00324B33" w:rsidRPr="00D01DDB" w:rsidRDefault="00B24F5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 February 2022</w:t>
            </w:r>
          </w:p>
        </w:tc>
      </w:tr>
      <w:tr w:rsidR="00324B33" w:rsidRPr="00D01DDB" w14:paraId="6E5D32FE" w14:textId="77777777" w:rsidTr="009E2978">
        <w:tc>
          <w:tcPr>
            <w:cnfStyle w:val="001000000000" w:firstRow="0" w:lastRow="0" w:firstColumn="1" w:lastColumn="0" w:oddVBand="0" w:evenVBand="0" w:oddHBand="0" w:evenHBand="0" w:firstRowFirstColumn="0" w:firstRowLastColumn="0" w:lastRowFirstColumn="0" w:lastRowLastColumn="0"/>
            <w:tcW w:w="6091" w:type="dxa"/>
          </w:tcPr>
          <w:p w14:paraId="4E95C44C" w14:textId="7A91C710" w:rsidR="00324B33" w:rsidRPr="00E679D1" w:rsidRDefault="00324B33" w:rsidP="00E679D1">
            <w:r w:rsidRPr="00E679D1">
              <w:t>Registration decision (Outcome)</w:t>
            </w:r>
          </w:p>
        </w:tc>
        <w:tc>
          <w:tcPr>
            <w:tcW w:w="2551" w:type="dxa"/>
          </w:tcPr>
          <w:p w14:paraId="62987ABD" w14:textId="57E64441" w:rsidR="00324B33" w:rsidRPr="00D01DDB" w:rsidRDefault="00040221" w:rsidP="00324B33">
            <w:pPr>
              <w:cnfStyle w:val="000000000000" w:firstRow="0" w:lastRow="0" w:firstColumn="0" w:lastColumn="0" w:oddVBand="0" w:evenVBand="0" w:oddHBand="0" w:evenHBand="0" w:firstRowFirstColumn="0" w:firstRowLastColumn="0" w:lastRowFirstColumn="0" w:lastRowLastColumn="0"/>
              <w:rPr>
                <w:szCs w:val="22"/>
              </w:rPr>
            </w:pPr>
            <w:r w:rsidRPr="00040221">
              <w:rPr>
                <w:szCs w:val="22"/>
              </w:rPr>
              <w:t>25 March 2022</w:t>
            </w:r>
          </w:p>
        </w:tc>
      </w:tr>
      <w:tr w:rsidR="00324B33" w:rsidRPr="00D01DDB" w14:paraId="6DDCDDA4" w14:textId="77777777" w:rsidTr="009E2978">
        <w:tc>
          <w:tcPr>
            <w:cnfStyle w:val="001000000000" w:firstRow="0" w:lastRow="0" w:firstColumn="1" w:lastColumn="0" w:oddVBand="0" w:evenVBand="0" w:oddHBand="0" w:evenHBand="0" w:firstRowFirstColumn="0" w:firstRowLastColumn="0" w:lastRowFirstColumn="0" w:lastRowLastColumn="0"/>
            <w:tcW w:w="6091" w:type="dxa"/>
          </w:tcPr>
          <w:p w14:paraId="192FD19D" w14:textId="3612A2E7" w:rsidR="00324B33" w:rsidRPr="00E679D1" w:rsidRDefault="0013132F" w:rsidP="00E679D1">
            <w:r w:rsidRPr="00E679D1">
              <w:t xml:space="preserve">Administrative activities and registration </w:t>
            </w:r>
            <w:r w:rsidR="005C4B46" w:rsidRPr="00E679D1">
              <w:t xml:space="preserve">in </w:t>
            </w:r>
            <w:r w:rsidRPr="00E679D1">
              <w:t>the ARTG completed</w:t>
            </w:r>
          </w:p>
        </w:tc>
        <w:tc>
          <w:tcPr>
            <w:tcW w:w="2551" w:type="dxa"/>
          </w:tcPr>
          <w:p w14:paraId="5A8923FD" w14:textId="1A74EF6A" w:rsidR="00324B33" w:rsidRPr="00D01DDB" w:rsidRDefault="00040221" w:rsidP="00324B33">
            <w:pPr>
              <w:cnfStyle w:val="000000000000" w:firstRow="0" w:lastRow="0" w:firstColumn="0" w:lastColumn="0" w:oddVBand="0" w:evenVBand="0" w:oddHBand="0" w:evenHBand="0" w:firstRowFirstColumn="0" w:firstRowLastColumn="0" w:lastRowFirstColumn="0" w:lastRowLastColumn="0"/>
              <w:rPr>
                <w:szCs w:val="22"/>
              </w:rPr>
            </w:pPr>
            <w:r w:rsidRPr="00040221">
              <w:rPr>
                <w:szCs w:val="22"/>
              </w:rPr>
              <w:t>1 September 2022</w:t>
            </w:r>
          </w:p>
        </w:tc>
      </w:tr>
      <w:tr w:rsidR="00324B33" w:rsidRPr="00D01DDB" w14:paraId="56D922E2" w14:textId="77777777" w:rsidTr="009E2978">
        <w:tc>
          <w:tcPr>
            <w:cnfStyle w:val="001000000000" w:firstRow="0" w:lastRow="0" w:firstColumn="1" w:lastColumn="0" w:oddVBand="0" w:evenVBand="0" w:oddHBand="0" w:evenHBand="0" w:firstRowFirstColumn="0" w:firstRowLastColumn="0" w:lastRowFirstColumn="0" w:lastRowLastColumn="0"/>
            <w:tcW w:w="6091" w:type="dxa"/>
          </w:tcPr>
          <w:p w14:paraId="787FD8DD" w14:textId="0E0CF97F" w:rsidR="00324B33" w:rsidRPr="00E679D1" w:rsidRDefault="00324B33" w:rsidP="00E679D1">
            <w:r w:rsidRPr="00E679D1">
              <w:t>Number of working days from submission dossier acceptance to registration decision*</w:t>
            </w:r>
          </w:p>
        </w:tc>
        <w:tc>
          <w:tcPr>
            <w:tcW w:w="2551" w:type="dxa"/>
          </w:tcPr>
          <w:p w14:paraId="5BAF9FA1" w14:textId="2AE70EF1" w:rsidR="00324B33" w:rsidRPr="00D01DDB" w:rsidRDefault="00D7325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365</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6CD2AC75" w:rsidR="00C22214" w:rsidRPr="00792A32" w:rsidRDefault="00E7591C" w:rsidP="00C22214">
      <w:pPr>
        <w:pStyle w:val="Heading2"/>
      </w:pPr>
      <w:bookmarkStart w:id="25" w:name="_Toc196046504"/>
      <w:bookmarkStart w:id="26" w:name="_Toc247691527"/>
      <w:bookmarkStart w:id="27" w:name="_Toc314842510"/>
      <w:bookmarkStart w:id="28" w:name="_Toc103679294"/>
      <w:bookmarkStart w:id="29" w:name="_Toc176423058"/>
      <w:r w:rsidRPr="00E7591C">
        <w:t>Evaluation overview</w:t>
      </w:r>
      <w:bookmarkEnd w:id="25"/>
      <w:bookmarkEnd w:id="26"/>
      <w:bookmarkEnd w:id="27"/>
      <w:bookmarkEnd w:id="28"/>
      <w:bookmarkEnd w:id="29"/>
    </w:p>
    <w:p w14:paraId="0C853065" w14:textId="6CF56582" w:rsidR="002468FF" w:rsidRPr="00CB565E" w:rsidRDefault="002468FF" w:rsidP="00CB565E">
      <w:pPr>
        <w:pStyle w:val="Heading3"/>
      </w:pPr>
      <w:bookmarkStart w:id="30" w:name="_Toc103679295"/>
      <w:bookmarkStart w:id="31" w:name="_Toc171360063"/>
      <w:bookmarkStart w:id="32" w:name="_Toc176423059"/>
      <w:r w:rsidRPr="00CB565E">
        <w:t>Quality</w:t>
      </w:r>
      <w:bookmarkEnd w:id="30"/>
      <w:r w:rsidRPr="00CB565E">
        <w:t xml:space="preserve"> </w:t>
      </w:r>
      <w:r w:rsidR="009E2978" w:rsidRPr="00CB565E">
        <w:t>evaluation summary</w:t>
      </w:r>
      <w:bookmarkEnd w:id="31"/>
      <w:bookmarkEnd w:id="32"/>
    </w:p>
    <w:p w14:paraId="574445F8" w14:textId="49FF2F88" w:rsidR="004F3072" w:rsidRDefault="00E66DBA" w:rsidP="00F142AE">
      <w:r w:rsidRPr="00E66DBA">
        <w:t>The active ingredient</w:t>
      </w:r>
      <w:r w:rsidR="00A02383">
        <w:t xml:space="preserve"> in Wegovy</w:t>
      </w:r>
      <w:r w:rsidRPr="00E66DBA">
        <w:t xml:space="preserve"> (semaglutide) </w:t>
      </w:r>
      <w:r w:rsidR="00457D41">
        <w:t>was</w:t>
      </w:r>
      <w:r w:rsidRPr="00E66DBA">
        <w:t xml:space="preserve"> approved by the TGA</w:t>
      </w:r>
      <w:r w:rsidR="00A02383">
        <w:rPr>
          <w:rStyle w:val="FootnoteReference"/>
        </w:rPr>
        <w:footnoteReference w:id="6"/>
      </w:r>
      <w:r w:rsidRPr="00E66DBA">
        <w:t xml:space="preserve"> and </w:t>
      </w:r>
      <w:r w:rsidR="00A02383">
        <w:t xml:space="preserve">is the active ingredient in </w:t>
      </w:r>
      <w:r w:rsidR="002015E0">
        <w:t>Ozempic</w:t>
      </w:r>
      <w:r w:rsidR="00457D41">
        <w:t xml:space="preserve">, which is manufactured by the same </w:t>
      </w:r>
      <w:r w:rsidR="0041507C">
        <w:t>Sponsor</w:t>
      </w:r>
      <w:r w:rsidR="00457D41">
        <w:t xml:space="preserve">. </w:t>
      </w:r>
      <w:r w:rsidRPr="00E66DBA">
        <w:t xml:space="preserve">The drug substance (DS) </w:t>
      </w:r>
      <w:r w:rsidR="004F3072" w:rsidRPr="004F3072">
        <w:t xml:space="preserve">manufacturing process </w:t>
      </w:r>
      <w:r w:rsidRPr="00E66DBA">
        <w:t xml:space="preserve">remains unchanged for </w:t>
      </w:r>
      <w:r w:rsidR="00C87187">
        <w:t>Wegovy</w:t>
      </w:r>
      <w:r w:rsidRPr="00E66DBA">
        <w:t xml:space="preserve">. The </w:t>
      </w:r>
      <w:r w:rsidR="0041507C">
        <w:t>Sponsor</w:t>
      </w:r>
      <w:r w:rsidRPr="00E66DBA">
        <w:t xml:space="preserve"> </w:t>
      </w:r>
      <w:r w:rsidR="001727D9">
        <w:t>did</w:t>
      </w:r>
      <w:r w:rsidRPr="00E66DBA">
        <w:t xml:space="preserve"> not provid</w:t>
      </w:r>
      <w:r w:rsidR="001727D9">
        <w:t>e</w:t>
      </w:r>
      <w:r w:rsidRPr="00E66DBA">
        <w:t xml:space="preserve"> a DS </w:t>
      </w:r>
      <w:r w:rsidRPr="00E66DBA">
        <w:lastRenderedPageBreak/>
        <w:t>package and instead refer</w:t>
      </w:r>
      <w:r w:rsidR="001727D9">
        <w:t>red</w:t>
      </w:r>
      <w:r w:rsidRPr="00E66DBA">
        <w:t xml:space="preserve"> to </w:t>
      </w:r>
      <w:r w:rsidR="002015E0">
        <w:t>Ozempic</w:t>
      </w:r>
      <w:r w:rsidRPr="00E66DBA">
        <w:t xml:space="preserve"> for the </w:t>
      </w:r>
      <w:r w:rsidR="001727D9">
        <w:t>details regarding DS manufacture. This quality evaluation foc</w:t>
      </w:r>
      <w:r w:rsidR="00F142AE">
        <w:t>used only on the drug product (DP)</w:t>
      </w:r>
      <w:r w:rsidR="004F3072">
        <w:t>.</w:t>
      </w:r>
      <w:r w:rsidR="00945B5F">
        <w:t xml:space="preserve"> </w:t>
      </w:r>
    </w:p>
    <w:p w14:paraId="1B96AAF4" w14:textId="4D8524B1" w:rsidR="00C562D1" w:rsidRDefault="00F11219" w:rsidP="00C562D1">
      <w:r>
        <w:t xml:space="preserve">The </w:t>
      </w:r>
      <w:r w:rsidR="00C87187">
        <w:t>Wegovy</w:t>
      </w:r>
      <w:r>
        <w:t xml:space="preserve"> DP</w:t>
      </w:r>
      <w:r w:rsidRPr="00F11219">
        <w:t xml:space="preserve"> manufacturing process is divided into formulation, </w:t>
      </w:r>
      <w:proofErr w:type="gramStart"/>
      <w:r w:rsidRPr="00F11219">
        <w:t>filling</w:t>
      </w:r>
      <w:proofErr w:type="gramEnd"/>
      <w:r w:rsidRPr="00F11219">
        <w:t xml:space="preserve"> and inspection.</w:t>
      </w:r>
      <w:r w:rsidR="00982DF7">
        <w:t xml:space="preserve"> </w:t>
      </w:r>
      <w:r w:rsidR="00C562D1" w:rsidRPr="00C562D1">
        <w:t xml:space="preserve">All manufacturing steps </w:t>
      </w:r>
      <w:r w:rsidR="00C562D1">
        <w:t>were</w:t>
      </w:r>
      <w:r w:rsidR="00C562D1" w:rsidRPr="00C562D1">
        <w:t xml:space="preserve"> validated.</w:t>
      </w:r>
    </w:p>
    <w:p w14:paraId="6671FA8A" w14:textId="24434F6A" w:rsidR="00C562D1" w:rsidRDefault="00A42914" w:rsidP="00C562D1">
      <w:r>
        <w:t xml:space="preserve">For all DP strengths, the specifications </w:t>
      </w:r>
      <w:r w:rsidR="00AA3F2E">
        <w:t>(covering physicochemical properties, potency</w:t>
      </w:r>
      <w:r w:rsidR="005F1C83">
        <w:t xml:space="preserve"> and </w:t>
      </w:r>
      <w:r w:rsidR="00AA3F2E">
        <w:t>purity</w:t>
      </w:r>
      <w:r w:rsidR="005F1C83">
        <w:t xml:space="preserve">) were </w:t>
      </w:r>
      <w:proofErr w:type="gramStart"/>
      <w:r w:rsidR="005F1C83">
        <w:t>acceptable</w:t>
      </w:r>
      <w:proofErr w:type="gramEnd"/>
      <w:r w:rsidR="005F1C83">
        <w:t xml:space="preserve"> and all analytical procedures </w:t>
      </w:r>
      <w:r w:rsidR="00685B4F">
        <w:t xml:space="preserve">related to specification assessment were validated. </w:t>
      </w:r>
    </w:p>
    <w:p w14:paraId="4E06FB68" w14:textId="657FE142" w:rsidR="00685B4F" w:rsidRDefault="002B4042" w:rsidP="002B4042">
      <w:r>
        <w:t>Stability data were generated under stressed and real-time conditions to characterise the stability profile of the product. Photostability data indicate the DP is not photostable. The real time stability data support a shelf life of 2 years when stored at 2-8°C. In-use stability data support the in-use stability of 28 days when stored below 30</w:t>
      </w:r>
      <w:r w:rsidRPr="002B4042">
        <w:t>°</w:t>
      </w:r>
      <w:r>
        <w:t>C.</w:t>
      </w:r>
    </w:p>
    <w:p w14:paraId="62EB4F5F" w14:textId="4770A5E8" w:rsidR="0027246A" w:rsidRPr="00C562D1" w:rsidRDefault="0011631D" w:rsidP="002B4042">
      <w:r w:rsidRPr="0011631D">
        <w:t xml:space="preserve">There </w:t>
      </w:r>
      <w:r>
        <w:t>were no</w:t>
      </w:r>
      <w:r w:rsidRPr="0011631D">
        <w:t xml:space="preserve"> objections to the registration of </w:t>
      </w:r>
      <w:r>
        <w:t>the DP</w:t>
      </w:r>
      <w:r w:rsidRPr="0011631D">
        <w:t xml:space="preserve"> </w:t>
      </w:r>
      <w:r w:rsidR="002043E8">
        <w:t>with respect to</w:t>
      </w:r>
      <w:r w:rsidRPr="0011631D">
        <w:t xml:space="preserve"> sterility, endotoxin</w:t>
      </w:r>
      <w:r w:rsidR="002043E8">
        <w:t xml:space="preserve"> contamination</w:t>
      </w:r>
      <w:r w:rsidRPr="0011631D">
        <w:t>, container safety</w:t>
      </w:r>
      <w:r w:rsidR="002043E8">
        <w:t>/compat</w:t>
      </w:r>
      <w:r w:rsidR="0027246A">
        <w:t>i</w:t>
      </w:r>
      <w:r w:rsidR="002043E8">
        <w:t>bility</w:t>
      </w:r>
      <w:r w:rsidRPr="0011631D">
        <w:t xml:space="preserve"> and viral safety</w:t>
      </w:r>
      <w:r w:rsidR="002043E8">
        <w:t>-</w:t>
      </w:r>
      <w:r w:rsidRPr="0011631D">
        <w:t>related aspects.</w:t>
      </w:r>
    </w:p>
    <w:p w14:paraId="57C15974" w14:textId="5C18F9E7" w:rsidR="00527640" w:rsidRPr="00836E67" w:rsidRDefault="00527640" w:rsidP="00527640">
      <w:pPr>
        <w:tabs>
          <w:tab w:val="right" w:pos="9070"/>
        </w:tabs>
      </w:pPr>
      <w:bookmarkStart w:id="33" w:name="_Hlk172033842"/>
      <w:r w:rsidRPr="00836E67">
        <w:t>The Product Information (PI) document is finalised from quality perspective.</w:t>
      </w:r>
    </w:p>
    <w:p w14:paraId="2F919E8B" w14:textId="47ED4D81" w:rsidR="00527640" w:rsidRPr="00836E67" w:rsidRDefault="00527640" w:rsidP="00527640">
      <w:pPr>
        <w:tabs>
          <w:tab w:val="right" w:pos="9070"/>
        </w:tabs>
      </w:pPr>
      <w:r w:rsidRPr="00836E67">
        <w:t>The Product Labelling has been finalised and complies with the applicable requirements of Therapeutic Goods Order 91.</w:t>
      </w:r>
    </w:p>
    <w:p w14:paraId="6F701165" w14:textId="547B693C" w:rsidR="00F35B36" w:rsidRPr="00836E67" w:rsidRDefault="00F35B36" w:rsidP="00F35B36">
      <w:pPr>
        <w:tabs>
          <w:tab w:val="right" w:pos="9070"/>
        </w:tabs>
      </w:pPr>
      <w:r w:rsidRPr="00836E67">
        <w:t xml:space="preserve">The quality information submitted by the </w:t>
      </w:r>
      <w:r w:rsidR="0041507C">
        <w:t>Sponsor</w:t>
      </w:r>
      <w:r w:rsidRPr="00836E67">
        <w:t xml:space="preserve"> supported the registration of </w:t>
      </w:r>
      <w:r w:rsidR="00C87187">
        <w:t>Wegovy</w:t>
      </w:r>
      <w:r w:rsidR="00836E67">
        <w:t>.</w:t>
      </w:r>
    </w:p>
    <w:p w14:paraId="2BE90AAE" w14:textId="0D18D163" w:rsidR="00C22214" w:rsidRDefault="002468FF" w:rsidP="00C22214">
      <w:pPr>
        <w:pStyle w:val="Heading3"/>
      </w:pPr>
      <w:bookmarkStart w:id="34" w:name="_Toc314842512"/>
      <w:bookmarkStart w:id="35" w:name="_Toc103679296"/>
      <w:bookmarkStart w:id="36" w:name="_Toc171360064"/>
      <w:bookmarkStart w:id="37" w:name="_Toc176423060"/>
      <w:bookmarkEnd w:id="33"/>
      <w:r w:rsidRPr="00C62F7B">
        <w:t>Nonclinical</w:t>
      </w:r>
      <w:bookmarkEnd w:id="34"/>
      <w:bookmarkEnd w:id="35"/>
      <w:r w:rsidRPr="00C62F7B">
        <w:t xml:space="preserve"> (</w:t>
      </w:r>
      <w:r w:rsidR="009E2978" w:rsidRPr="00C62F7B">
        <w:t>toxicology) evaluation summary</w:t>
      </w:r>
      <w:bookmarkEnd w:id="36"/>
      <w:bookmarkEnd w:id="37"/>
    </w:p>
    <w:p w14:paraId="1753D512" w14:textId="3B2B0CE4" w:rsidR="007579ED" w:rsidRPr="007579ED" w:rsidRDefault="007579ED" w:rsidP="007579ED">
      <w:r w:rsidRPr="007579ED">
        <w:t xml:space="preserve">The submitted </w:t>
      </w:r>
      <w:r>
        <w:t xml:space="preserve">nonclinical </w:t>
      </w:r>
      <w:r w:rsidRPr="007579ED">
        <w:t>dossier was generally acceptable. No major deficiencies were identified.</w:t>
      </w:r>
    </w:p>
    <w:p w14:paraId="0621BF00" w14:textId="77777777" w:rsidR="007579ED" w:rsidRPr="007579ED" w:rsidRDefault="007579ED" w:rsidP="007579ED">
      <w:r w:rsidRPr="007579ED">
        <w:t>Two primary pharmacology studies were submitted. Semaglutide is a GLP-1 receptor agonist, which is a physiological regulator of appetite and caloric intake. The GLP-1 receptor is present in several areas of the brain involved in appetite regulation. Animal studies showed that semaglutide distributed to and activated neurons in brain regions involved in regulation of food intake, and therefore support the new indication.</w:t>
      </w:r>
    </w:p>
    <w:p w14:paraId="57A923F6" w14:textId="78858997" w:rsidR="007579ED" w:rsidRPr="007579ED" w:rsidRDefault="007579ED" w:rsidP="007579ED">
      <w:r w:rsidRPr="007579ED">
        <w:t xml:space="preserve">There are no new safety concerns associated with the higher systemic exposures expected with the higher strength formulation of semaglutide (as </w:t>
      </w:r>
      <w:r w:rsidR="00C87187">
        <w:t>Wegovy</w:t>
      </w:r>
      <w:r w:rsidRPr="007579ED">
        <w:t xml:space="preserve">), and </w:t>
      </w:r>
      <w:r w:rsidR="00B07AA4" w:rsidRPr="007579ED">
        <w:t>overall,</w:t>
      </w:r>
      <w:r w:rsidRPr="007579ED">
        <w:t xml:space="preserve"> no nonclinical objections to registration. </w:t>
      </w:r>
    </w:p>
    <w:p w14:paraId="0AEA31CB" w14:textId="27911A47" w:rsidR="002468FF" w:rsidRDefault="002468FF" w:rsidP="002468FF">
      <w:pPr>
        <w:pStyle w:val="Heading3"/>
      </w:pPr>
      <w:bookmarkStart w:id="38" w:name="_Toc171360065"/>
      <w:bookmarkStart w:id="39" w:name="_Toc176423061"/>
      <w:bookmarkStart w:id="40" w:name="_Toc98931928"/>
      <w:r w:rsidRPr="00C62F7B">
        <w:t xml:space="preserve">Clinical </w:t>
      </w:r>
      <w:r w:rsidR="009E2978" w:rsidRPr="00C62F7B">
        <w:t>evaluation summary</w:t>
      </w:r>
      <w:bookmarkEnd w:id="38"/>
      <w:bookmarkEnd w:id="39"/>
    </w:p>
    <w:p w14:paraId="32B0DEDA" w14:textId="77777777" w:rsidR="00C22214" w:rsidRPr="00433318" w:rsidRDefault="00C22214" w:rsidP="00433318">
      <w:pPr>
        <w:pStyle w:val="Heading4"/>
      </w:pPr>
      <w:bookmarkStart w:id="41" w:name="_Toc176423062"/>
      <w:r>
        <w:t>Summary of clinical studies</w:t>
      </w:r>
      <w:bookmarkEnd w:id="40"/>
      <w:bookmarkEnd w:id="41"/>
    </w:p>
    <w:p w14:paraId="3F2A9E2C" w14:textId="2741256F" w:rsidR="00E5300C" w:rsidRPr="00E5300C" w:rsidRDefault="00E5300C" w:rsidP="00E5300C">
      <w:r w:rsidRPr="00E5300C">
        <w:t xml:space="preserve">The </w:t>
      </w:r>
      <w:r w:rsidR="0041507C">
        <w:t>Sponsor</w:t>
      </w:r>
      <w:r w:rsidRPr="00E5300C">
        <w:t xml:space="preserve"> submitted the following studies (that had not previously been submitted to the TGA</w:t>
      </w:r>
      <w:r w:rsidR="00AD17EF">
        <w:t xml:space="preserve"> as part of other semaglutide submiss</w:t>
      </w:r>
      <w:r w:rsidR="002E6AF9">
        <w:t>i</w:t>
      </w:r>
      <w:r w:rsidR="00AD17EF">
        <w:t>ons</w:t>
      </w:r>
      <w:r w:rsidRPr="00E5300C">
        <w:t>) for evaluation:</w:t>
      </w:r>
    </w:p>
    <w:p w14:paraId="6102C46A" w14:textId="01E1A70E" w:rsidR="00E5300C" w:rsidRPr="00E5300C" w:rsidRDefault="00E5300C" w:rsidP="009E2978">
      <w:pPr>
        <w:pStyle w:val="ListBullet"/>
      </w:pPr>
      <w:r w:rsidRPr="00E5300C">
        <w:t>3 clinical pharmacology trials (2 of which were bioequivalence trials): Studies NN9536-4590, NN9535-4588, and NN9536-4455</w:t>
      </w:r>
    </w:p>
    <w:p w14:paraId="42360CD2" w14:textId="77777777" w:rsidR="00E5300C" w:rsidRPr="00E5300C" w:rsidRDefault="00E5300C" w:rsidP="009E2978">
      <w:pPr>
        <w:pStyle w:val="ListBullet"/>
      </w:pPr>
      <w:r w:rsidRPr="00E5300C">
        <w:t>1 Phase 2 dose-finding trial: Study NN9536-4153</w:t>
      </w:r>
    </w:p>
    <w:p w14:paraId="2E96A6DD" w14:textId="77777777" w:rsidR="00E5300C" w:rsidRPr="00E5300C" w:rsidRDefault="00E5300C" w:rsidP="009E2978">
      <w:pPr>
        <w:pStyle w:val="ListBullet"/>
      </w:pPr>
      <w:r w:rsidRPr="00E5300C">
        <w:t>2 PKPD modelling reports (based on Phase 2 data, and STEP 1 and 2 studies)</w:t>
      </w:r>
    </w:p>
    <w:p w14:paraId="648C2634" w14:textId="77777777" w:rsidR="00E5300C" w:rsidRPr="00E5300C" w:rsidRDefault="00E5300C" w:rsidP="009E2978">
      <w:pPr>
        <w:pStyle w:val="ListBullet"/>
      </w:pPr>
      <w:r w:rsidRPr="00E5300C">
        <w:t>4 Phase 3a therapeutic confirmatory trials (STEP trials): Studies NN9536-4373 (STEP 1), NN9536-4374 (STEP 2), NN9536-4375 (STEP 3), and NN9536-4376 (STEP 4)</w:t>
      </w:r>
    </w:p>
    <w:p w14:paraId="1231A32B" w14:textId="77777777" w:rsidR="002468FF" w:rsidRPr="002468FF" w:rsidRDefault="002468FF" w:rsidP="002468FF">
      <w:pPr>
        <w:pStyle w:val="Heading4"/>
        <w:rPr>
          <w:i/>
        </w:rPr>
      </w:pPr>
      <w:bookmarkStart w:id="42" w:name="_Toc171360066"/>
      <w:bookmarkStart w:id="43" w:name="_Toc176423063"/>
      <w:bookmarkStart w:id="44" w:name="_Hlk171360744"/>
      <w:r w:rsidRPr="002468FF">
        <w:lastRenderedPageBreak/>
        <w:t>Pharmacology</w:t>
      </w:r>
      <w:bookmarkEnd w:id="42"/>
      <w:bookmarkEnd w:id="43"/>
    </w:p>
    <w:p w14:paraId="4DEF8D9E" w14:textId="154D75CD" w:rsidR="002468FF" w:rsidRDefault="002468FF" w:rsidP="002468FF">
      <w:pPr>
        <w:pStyle w:val="Heading5"/>
        <w:rPr>
          <w:rFonts w:eastAsia="Cambria"/>
        </w:rPr>
      </w:pPr>
      <w:r w:rsidRPr="002468FF">
        <w:rPr>
          <w:rFonts w:eastAsia="Cambria"/>
        </w:rPr>
        <w:t>Pharmacokinetics</w:t>
      </w:r>
      <w:bookmarkEnd w:id="44"/>
    </w:p>
    <w:p w14:paraId="5CA6EDA0" w14:textId="2E65A4E3" w:rsidR="00F55350" w:rsidRPr="00F55350" w:rsidRDefault="00C87187" w:rsidP="00F55350">
      <w:bookmarkStart w:id="45" w:name="_Toc272414619"/>
      <w:bookmarkStart w:id="46" w:name="_Toc290888468"/>
      <w:bookmarkStart w:id="47" w:name="_Toc416353664"/>
      <w:r>
        <w:t>Wegovy</w:t>
      </w:r>
      <w:r w:rsidR="00F55350" w:rsidRPr="00F55350">
        <w:t xml:space="preserve"> (semaglutide) is intended for subcutaneous administration. Semaglutide formulation D with the single-dose pen-injector (DV3396) appears to be the formulation intended for marketing. The pharmacokinetic studies were performed in populations typical of those intended for marketing in Australia.</w:t>
      </w:r>
    </w:p>
    <w:p w14:paraId="0AF70518" w14:textId="77777777" w:rsidR="00F55350" w:rsidRPr="00F55350" w:rsidRDefault="00F55350" w:rsidP="00B9693E">
      <w:pPr>
        <w:pStyle w:val="Heading6"/>
      </w:pPr>
      <w:r w:rsidRPr="00F55350">
        <w:t>Absorption</w:t>
      </w:r>
      <w:bookmarkEnd w:id="45"/>
      <w:bookmarkEnd w:id="46"/>
      <w:bookmarkEnd w:id="47"/>
    </w:p>
    <w:p w14:paraId="418B27C2" w14:textId="77777777" w:rsidR="00F55350" w:rsidRPr="00F55350" w:rsidRDefault="00F55350" w:rsidP="00F55350">
      <w:r w:rsidRPr="00F55350">
        <w:t>Absolute bioavailability was 89% (NN9535-3687).</w:t>
      </w:r>
    </w:p>
    <w:p w14:paraId="1281269B" w14:textId="77777777" w:rsidR="00F55350" w:rsidRPr="00F55350" w:rsidRDefault="00F55350" w:rsidP="00F55350">
      <w:r w:rsidRPr="00F55350">
        <w:t xml:space="preserve">Mean </w:t>
      </w:r>
      <w:proofErr w:type="spellStart"/>
      <w:r w:rsidRPr="00F55350">
        <w:t>T</w:t>
      </w:r>
      <w:r w:rsidRPr="00F55350">
        <w:rPr>
          <w:vertAlign w:val="subscript"/>
        </w:rPr>
        <w:t>max</w:t>
      </w:r>
      <w:proofErr w:type="spellEnd"/>
      <w:r w:rsidRPr="00F55350">
        <w:t xml:space="preserve"> (SD) was 21.3 (14.90) h for formulation D and 64.5 (16.84) h for Formulation B (NN9535-4588). In NN9536-4590, median (range) </w:t>
      </w:r>
      <w:proofErr w:type="spellStart"/>
      <w:r w:rsidRPr="00F55350">
        <w:t>Tmax</w:t>
      </w:r>
      <w:proofErr w:type="spellEnd"/>
      <w:r w:rsidRPr="00F55350">
        <w:t xml:space="preserve"> was 24 (3 to 48) h for Formulation D.</w:t>
      </w:r>
    </w:p>
    <w:p w14:paraId="7FB2B5B6" w14:textId="77777777" w:rsidR="00F55350" w:rsidRPr="00F55350" w:rsidRDefault="00F55350" w:rsidP="00B9693E">
      <w:pPr>
        <w:pStyle w:val="Heading6"/>
      </w:pPr>
      <w:r w:rsidRPr="00F55350">
        <w:t>Distribution</w:t>
      </w:r>
    </w:p>
    <w:p w14:paraId="05F20A2C" w14:textId="77777777" w:rsidR="00F55350" w:rsidRPr="002015E0" w:rsidRDefault="00F55350" w:rsidP="00F55350">
      <w:r w:rsidRPr="00F55350">
        <w:t xml:space="preserve">A volume of distribution of 9.8 L indicates limited tissue distribution for semaglutide. The unbound fraction assessed with </w:t>
      </w:r>
      <w:r w:rsidRPr="00F55350">
        <w:rPr>
          <w:i/>
          <w:iCs/>
        </w:rPr>
        <w:t>in vitro</w:t>
      </w:r>
      <w:r w:rsidRPr="00F55350">
        <w:t xml:space="preserve"> assay was less than 0.5% for all subjects (NN9535-3651). The geometric mean (CV%) </w:t>
      </w:r>
      <w:proofErr w:type="spellStart"/>
      <w:r w:rsidRPr="00F55350">
        <w:t>Vss</w:t>
      </w:r>
      <w:proofErr w:type="spellEnd"/>
      <w:r w:rsidRPr="00F55350">
        <w:t>/F was 9.8 (23.4) L (Formulation D in NN9536-4590).</w:t>
      </w:r>
    </w:p>
    <w:p w14:paraId="40EF7876" w14:textId="77777777" w:rsidR="005B12A9" w:rsidRPr="005B12A9" w:rsidRDefault="005B12A9" w:rsidP="00B9693E">
      <w:pPr>
        <w:pStyle w:val="Heading6"/>
      </w:pPr>
      <w:bookmarkStart w:id="48" w:name="_Toc272414622"/>
      <w:bookmarkStart w:id="49" w:name="_Toc290888471"/>
      <w:bookmarkStart w:id="50" w:name="_Toc416353667"/>
      <w:r w:rsidRPr="005B12A9">
        <w:t>Metabolism</w:t>
      </w:r>
      <w:bookmarkEnd w:id="48"/>
      <w:bookmarkEnd w:id="49"/>
      <w:bookmarkEnd w:id="50"/>
    </w:p>
    <w:p w14:paraId="3DED1B89" w14:textId="2B225692" w:rsidR="005B12A9" w:rsidRPr="005B12A9" w:rsidRDefault="005B12A9" w:rsidP="005B12A9">
      <w:r w:rsidRPr="005B12A9">
        <w:t xml:space="preserve">Prior to elimination, semaglutide is extensively metabolised to multiple metabolites that appear to be inactive. Semaglutide is a </w:t>
      </w:r>
      <w:r w:rsidR="00B9693E" w:rsidRPr="005B12A9">
        <w:t>peptide and</w:t>
      </w:r>
      <w:r w:rsidRPr="005B12A9">
        <w:t xml:space="preserve"> would be expected to have similar metabolism to other endogenous and exogenous peptides.</w:t>
      </w:r>
    </w:p>
    <w:p w14:paraId="4C463A59" w14:textId="77777777" w:rsidR="005B12A9" w:rsidRPr="005B12A9" w:rsidRDefault="005B12A9" w:rsidP="005B12A9">
      <w:r w:rsidRPr="005B12A9">
        <w:t>In plasma, semaglutide was the primary component circulating at all timepoints. 6 metabolites were detected in plasma, each accounting for 0.4</w:t>
      </w:r>
      <w:r w:rsidRPr="005B12A9">
        <w:rPr>
          <w:rFonts w:hint="eastAsia"/>
        </w:rPr>
        <w:t>−</w:t>
      </w:r>
      <w:r w:rsidRPr="005B12A9">
        <w:t xml:space="preserve">7.7% of the semaglutide-related material based on AUC. In urine, 22 components were detected in urine and 7 minor metabolites in faeces. </w:t>
      </w:r>
    </w:p>
    <w:p w14:paraId="3D395188" w14:textId="77777777" w:rsidR="005B12A9" w:rsidRPr="005B12A9" w:rsidRDefault="005B12A9" w:rsidP="00B9693E">
      <w:pPr>
        <w:pStyle w:val="Heading6"/>
      </w:pPr>
      <w:bookmarkStart w:id="51" w:name="_Toc241374289"/>
      <w:bookmarkStart w:id="52" w:name="_Toc272414623"/>
      <w:bookmarkStart w:id="53" w:name="_Toc290888472"/>
      <w:bookmarkStart w:id="54" w:name="_Toc416353668"/>
      <w:r w:rsidRPr="005B12A9">
        <w:t>E</w:t>
      </w:r>
      <w:bookmarkEnd w:id="51"/>
      <w:r w:rsidRPr="005B12A9">
        <w:t>xcretion</w:t>
      </w:r>
      <w:bookmarkEnd w:id="52"/>
      <w:bookmarkEnd w:id="53"/>
      <w:bookmarkEnd w:id="54"/>
    </w:p>
    <w:p w14:paraId="5AF9A925" w14:textId="77777777" w:rsidR="005B12A9" w:rsidRPr="005B12A9" w:rsidRDefault="005B12A9" w:rsidP="005B12A9">
      <w:r w:rsidRPr="005B12A9">
        <w:t>The CV% for CL/F was 20.7, indicating inter-individual variability to be typical for a peptide drug.</w:t>
      </w:r>
    </w:p>
    <w:p w14:paraId="36DAC902" w14:textId="77777777" w:rsidR="005B12A9" w:rsidRPr="005B12A9" w:rsidRDefault="005B12A9" w:rsidP="005B12A9">
      <w:r w:rsidRPr="005B12A9">
        <w:t>3.1% of semaglutide was excreted unchanged in urine. The total recovery (measured as the total excretion) of [</w:t>
      </w:r>
      <w:r w:rsidRPr="005B12A9">
        <w:rPr>
          <w:vertAlign w:val="subscript"/>
        </w:rPr>
        <w:t>3</w:t>
      </w:r>
      <w:r w:rsidRPr="005B12A9">
        <w:t xml:space="preserve">H]-semaglutide related material was 75.1% of the administered dose: 53.0% in urine, 18.6% in faeces and 3.2% in expired air (NN9535-3789). </w:t>
      </w:r>
    </w:p>
    <w:p w14:paraId="025E2008" w14:textId="77777777" w:rsidR="005B12A9" w:rsidRPr="005B12A9" w:rsidRDefault="005B12A9" w:rsidP="005B12A9">
      <w:r w:rsidRPr="005B12A9">
        <w:t xml:space="preserve">CL, t½, </w:t>
      </w:r>
      <w:proofErr w:type="spellStart"/>
      <w:r w:rsidRPr="005B12A9">
        <w:t>Tmax</w:t>
      </w:r>
      <w:proofErr w:type="spellEnd"/>
      <w:r w:rsidRPr="005B12A9">
        <w:t xml:space="preserve"> and </w:t>
      </w:r>
      <w:proofErr w:type="spellStart"/>
      <w:r w:rsidRPr="005B12A9">
        <w:t>Vss</w:t>
      </w:r>
      <w:proofErr w:type="spellEnd"/>
      <w:r w:rsidRPr="005B12A9">
        <w:t xml:space="preserve"> were similar for both B and D formulations at the 2.4 mg dose level (NN9536-4590). For Formulation D, geometric mean (CV%) CL/F was 0.040 (22.6) L/h, t½ was 155 (9.8) h, and </w:t>
      </w:r>
      <w:proofErr w:type="spellStart"/>
      <w:r w:rsidRPr="005B12A9">
        <w:t>Vss</w:t>
      </w:r>
      <w:proofErr w:type="spellEnd"/>
      <w:r w:rsidRPr="005B12A9">
        <w:t xml:space="preserve">/F was 9.8 (23.4) L. Median (range) </w:t>
      </w:r>
      <w:proofErr w:type="spellStart"/>
      <w:r w:rsidRPr="005B12A9">
        <w:t>T</w:t>
      </w:r>
      <w:r w:rsidRPr="005B12A9">
        <w:rPr>
          <w:vertAlign w:val="subscript"/>
        </w:rPr>
        <w:t>max</w:t>
      </w:r>
      <w:proofErr w:type="spellEnd"/>
      <w:r w:rsidRPr="005B12A9">
        <w:t xml:space="preserve"> was 24 (3 to 48) h. </w:t>
      </w:r>
    </w:p>
    <w:p w14:paraId="6FFF7F43" w14:textId="77777777" w:rsidR="005B12A9" w:rsidRPr="005B12A9" w:rsidRDefault="005B12A9" w:rsidP="005B12A9">
      <w:r w:rsidRPr="005B12A9">
        <w:t xml:space="preserve">The geometric mean terminal t½ of </w:t>
      </w:r>
      <w:proofErr w:type="spellStart"/>
      <w:r w:rsidRPr="005B12A9">
        <w:t>s.c.</w:t>
      </w:r>
      <w:proofErr w:type="spellEnd"/>
      <w:r w:rsidRPr="005B12A9">
        <w:t xml:space="preserve"> semaglutide (range 143</w:t>
      </w:r>
      <w:r w:rsidRPr="005B12A9">
        <w:rPr>
          <w:rFonts w:hint="eastAsia"/>
        </w:rPr>
        <w:t>−</w:t>
      </w:r>
      <w:r w:rsidRPr="005B12A9">
        <w:t xml:space="preserve">152 hours) and </w:t>
      </w:r>
      <w:proofErr w:type="spellStart"/>
      <w:r w:rsidRPr="005B12A9">
        <w:t>i.v.</w:t>
      </w:r>
      <w:proofErr w:type="spellEnd"/>
      <w:r w:rsidRPr="005B12A9">
        <w:t xml:space="preserve"> semaglutide were comparable (137 hours) (NN9535-3687).</w:t>
      </w:r>
    </w:p>
    <w:p w14:paraId="37C21B90" w14:textId="77777777" w:rsidR="005B12A9" w:rsidRPr="005B12A9" w:rsidRDefault="005B12A9" w:rsidP="00B9693E">
      <w:pPr>
        <w:pStyle w:val="Heading6"/>
      </w:pPr>
      <w:r w:rsidRPr="005B12A9">
        <w:t>Bioequivalence</w:t>
      </w:r>
    </w:p>
    <w:p w14:paraId="2CA83536" w14:textId="77777777" w:rsidR="005B12A9" w:rsidRPr="005B12A9" w:rsidRDefault="005B12A9" w:rsidP="005B12A9">
      <w:r w:rsidRPr="005B12A9">
        <w:t>At a dose of 0.8 mg semaglutide, equivalence between semaglutide 1 mg/mL, 3 mg/mL and 10 mg/mL was demonstrated for AUC</w:t>
      </w:r>
      <w:r w:rsidRPr="005B12A9">
        <w:rPr>
          <w:vertAlign w:val="subscript"/>
        </w:rPr>
        <w:t>0−∞</w:t>
      </w:r>
      <w:r w:rsidRPr="005B12A9">
        <w:t xml:space="preserve">. but not for </w:t>
      </w:r>
      <w:proofErr w:type="spellStart"/>
      <w:r w:rsidRPr="005B12A9">
        <w:t>C</w:t>
      </w:r>
      <w:r w:rsidRPr="005B12A9">
        <w:rPr>
          <w:vertAlign w:val="subscript"/>
        </w:rPr>
        <w:t>max</w:t>
      </w:r>
      <w:proofErr w:type="spellEnd"/>
      <w:r w:rsidRPr="005B12A9">
        <w:t>.</w:t>
      </w:r>
    </w:p>
    <w:p w14:paraId="4C0E208C" w14:textId="77777777" w:rsidR="005B12A9" w:rsidRPr="005B12A9" w:rsidRDefault="005B12A9" w:rsidP="005B12A9">
      <w:r w:rsidRPr="005B12A9">
        <w:rPr>
          <w:b/>
          <w:bCs/>
        </w:rPr>
        <w:t>Synthetic vs. recombinant</w:t>
      </w:r>
      <w:r w:rsidRPr="005B12A9">
        <w:t xml:space="preserve">: Bioequivalence has been demonstrated between synthetic semaglutide and recombinant semaglutide at a concentration of 1.34 mg/mL and dose of 0.5 mg (NN9535-4010). </w:t>
      </w:r>
    </w:p>
    <w:p w14:paraId="55038315" w14:textId="77777777" w:rsidR="005B12A9" w:rsidRPr="005B12A9" w:rsidRDefault="005B12A9" w:rsidP="005B12A9">
      <w:r w:rsidRPr="005B12A9">
        <w:rPr>
          <w:b/>
          <w:bCs/>
        </w:rPr>
        <w:lastRenderedPageBreak/>
        <w:t>Formulation B and D</w:t>
      </w:r>
      <w:r w:rsidRPr="005B12A9">
        <w:t>: Study NN9536-4590 compared the semaglutide Formulation D with the DV3396 pen-injector with Formulation B with the PDS290 pen-injector. The two formulations were:</w:t>
      </w:r>
    </w:p>
    <w:p w14:paraId="02C8AFDF" w14:textId="77777777" w:rsidR="005B12A9" w:rsidRPr="005B12A9" w:rsidRDefault="005B12A9" w:rsidP="009E2978">
      <w:pPr>
        <w:pStyle w:val="ListBullet"/>
      </w:pPr>
      <w:r w:rsidRPr="005B12A9">
        <w:t xml:space="preserve">bioequivalent at the 2.4 mg dose level for AUC but not for </w:t>
      </w:r>
      <w:proofErr w:type="spellStart"/>
      <w:r w:rsidRPr="005B12A9">
        <w:t>C</w:t>
      </w:r>
      <w:r w:rsidRPr="005B12A9">
        <w:rPr>
          <w:vertAlign w:val="subscript"/>
        </w:rPr>
        <w:t>max</w:t>
      </w:r>
      <w:proofErr w:type="spellEnd"/>
      <w:r w:rsidRPr="005B12A9">
        <w:t>. The ratio (90% CI) Formulation D/B for AUC</w:t>
      </w:r>
      <w:r w:rsidRPr="005B12A9">
        <w:rPr>
          <w:vertAlign w:val="subscript"/>
        </w:rPr>
        <w:t>0-168h</w:t>
      </w:r>
      <w:r w:rsidRPr="005B12A9">
        <w:t xml:space="preserve"> was 1.0539 (1.0003 to 1.1104).  The ratio (90% CI) Formulation D/B for </w:t>
      </w:r>
      <w:proofErr w:type="spellStart"/>
      <w:r w:rsidRPr="005B12A9">
        <w:t>C</w:t>
      </w:r>
      <w:r w:rsidRPr="005B12A9">
        <w:rPr>
          <w:vertAlign w:val="subscript"/>
        </w:rPr>
        <w:t>max</w:t>
      </w:r>
      <w:proofErr w:type="spellEnd"/>
      <w:r w:rsidRPr="005B12A9">
        <w:t xml:space="preserve"> was 1.1556 (1.0800 to 1.2365). The Formulation D resulted in slightly higher exposure.</w:t>
      </w:r>
    </w:p>
    <w:p w14:paraId="680FBF6C" w14:textId="77777777" w:rsidR="005B12A9" w:rsidRPr="005B12A9" w:rsidRDefault="005B12A9" w:rsidP="009E2978">
      <w:pPr>
        <w:pStyle w:val="ListBullet"/>
      </w:pPr>
      <w:r w:rsidRPr="005B12A9">
        <w:t xml:space="preserve">bioequivalent at the 1 mg dose level for AUC and </w:t>
      </w:r>
      <w:proofErr w:type="spellStart"/>
      <w:r w:rsidRPr="005B12A9">
        <w:t>C</w:t>
      </w:r>
      <w:r w:rsidRPr="005B12A9">
        <w:rPr>
          <w:vertAlign w:val="subscript"/>
        </w:rPr>
        <w:t>max</w:t>
      </w:r>
      <w:proofErr w:type="spellEnd"/>
      <w:r w:rsidRPr="005B12A9">
        <w:t>, but Formulation D also resulted in slightly higher exposure.</w:t>
      </w:r>
    </w:p>
    <w:p w14:paraId="3F2F8208" w14:textId="77777777" w:rsidR="005B12A9" w:rsidRPr="005B12A9" w:rsidRDefault="005B12A9" w:rsidP="005B12A9">
      <w:r w:rsidRPr="005B12A9">
        <w:t>Similar results were found in Study NN9535-4588.</w:t>
      </w:r>
    </w:p>
    <w:p w14:paraId="1C9C37B0" w14:textId="77777777" w:rsidR="005B12A9" w:rsidRPr="005B12A9" w:rsidRDefault="005B12A9" w:rsidP="00B9693E">
      <w:pPr>
        <w:pStyle w:val="Heading6"/>
      </w:pPr>
      <w:r w:rsidRPr="005B12A9">
        <w:t xml:space="preserve">Dose </w:t>
      </w:r>
      <w:proofErr w:type="gramStart"/>
      <w:r w:rsidRPr="005B12A9">
        <w:t>proportionality</w:t>
      </w:r>
      <w:proofErr w:type="gramEnd"/>
    </w:p>
    <w:p w14:paraId="3011190E" w14:textId="77777777" w:rsidR="005B12A9" w:rsidRPr="005B12A9" w:rsidRDefault="005B12A9" w:rsidP="005B12A9">
      <w:r w:rsidRPr="005B12A9">
        <w:t xml:space="preserve">There was dose proportionality between the 1 mg and 2.4 mg dose levels: ratio (95% CI) (2.4 mg/1 mg) was 2.57 (2.49 to 2.65) for AUC and 2.57 (2.42 to 2.73) for </w:t>
      </w:r>
      <w:proofErr w:type="spellStart"/>
      <w:r w:rsidRPr="005B12A9">
        <w:t>C</w:t>
      </w:r>
      <w:r w:rsidRPr="005B12A9">
        <w:rPr>
          <w:vertAlign w:val="subscript"/>
        </w:rPr>
        <w:t>max</w:t>
      </w:r>
      <w:proofErr w:type="spellEnd"/>
      <w:r w:rsidRPr="005B12A9">
        <w:t xml:space="preserve"> (NN9536-4590).</w:t>
      </w:r>
    </w:p>
    <w:p w14:paraId="1AFAF7D1" w14:textId="46FB6BB9" w:rsidR="005B12A9" w:rsidRPr="005B12A9" w:rsidRDefault="005B12A9" w:rsidP="005B12A9">
      <w:r w:rsidRPr="005B12A9">
        <w:t xml:space="preserve">The </w:t>
      </w:r>
      <w:r w:rsidR="0041507C" w:rsidRPr="002015E0">
        <w:t>Sponsor</w:t>
      </w:r>
      <w:r w:rsidRPr="005B12A9">
        <w:t xml:space="preserve"> has examined dose-proportionality for the intended dose range in the titration phase. This indicates dose-proportionality for overall exposure (AUC) but not for peak exposure (</w:t>
      </w:r>
      <w:proofErr w:type="spellStart"/>
      <w:r w:rsidRPr="005B12A9">
        <w:t>C</w:t>
      </w:r>
      <w:r w:rsidRPr="005B12A9">
        <w:rPr>
          <w:vertAlign w:val="subscript"/>
        </w:rPr>
        <w:t>max</w:t>
      </w:r>
      <w:proofErr w:type="spellEnd"/>
      <w:r w:rsidRPr="005B12A9">
        <w:t>). However, this would not be expected to result in any differences in effect during the titration phase.</w:t>
      </w:r>
    </w:p>
    <w:p w14:paraId="1E2C2BE6" w14:textId="77777777" w:rsidR="00116A2A" w:rsidRPr="00116A2A" w:rsidRDefault="00116A2A" w:rsidP="00B9693E">
      <w:pPr>
        <w:pStyle w:val="Heading6"/>
      </w:pPr>
      <w:bookmarkStart w:id="55" w:name="_Toc241374293"/>
      <w:bookmarkStart w:id="56" w:name="_Toc272414626"/>
      <w:bookmarkStart w:id="57" w:name="_Toc290888475"/>
      <w:bookmarkStart w:id="58" w:name="_Toc416353671"/>
      <w:bookmarkStart w:id="59" w:name="_Toc421005246"/>
      <w:bookmarkStart w:id="60" w:name="_Toc432079128"/>
      <w:bookmarkStart w:id="61" w:name="_Toc432080701"/>
      <w:r w:rsidRPr="00116A2A">
        <w:t>Pharmacokinetics in special populations</w:t>
      </w:r>
      <w:bookmarkStart w:id="62" w:name="_Toc272414628"/>
      <w:bookmarkStart w:id="63" w:name="_Toc290888477"/>
      <w:bookmarkStart w:id="64" w:name="_Toc416353673"/>
      <w:bookmarkEnd w:id="55"/>
      <w:bookmarkEnd w:id="56"/>
      <w:bookmarkEnd w:id="57"/>
      <w:bookmarkEnd w:id="58"/>
      <w:bookmarkEnd w:id="59"/>
      <w:bookmarkEnd w:id="60"/>
      <w:bookmarkEnd w:id="61"/>
    </w:p>
    <w:p w14:paraId="1F9CC71C" w14:textId="77777777" w:rsidR="00116A2A" w:rsidRPr="00116A2A" w:rsidRDefault="00116A2A" w:rsidP="00116A2A">
      <w:r w:rsidRPr="00116A2A">
        <w:t>Pharmacokinetic properties and exposure of semaglutide was not affected by hepatic impairment (NN9535-3651).</w:t>
      </w:r>
      <w:bookmarkStart w:id="65" w:name="_Toc272414629"/>
      <w:bookmarkStart w:id="66" w:name="_Toc290888478"/>
      <w:bookmarkStart w:id="67" w:name="_Toc416353674"/>
      <w:bookmarkEnd w:id="62"/>
      <w:bookmarkEnd w:id="63"/>
      <w:bookmarkEnd w:id="64"/>
    </w:p>
    <w:p w14:paraId="5C8F4B9F" w14:textId="77777777" w:rsidR="00116A2A" w:rsidRPr="00116A2A" w:rsidRDefault="00116A2A" w:rsidP="00116A2A">
      <w:r w:rsidRPr="00116A2A">
        <w:t>For subjects with impaired renal function, the ‘no-effect’ criterion was met for all renal impairment groups, except for the severe renal impairment group (AUC</w:t>
      </w:r>
      <w:r w:rsidRPr="00116A2A">
        <w:rPr>
          <w:vertAlign w:val="subscript"/>
        </w:rPr>
        <w:t>0-</w:t>
      </w:r>
      <w:r w:rsidRPr="00116A2A">
        <w:rPr>
          <w:rFonts w:hint="eastAsia"/>
          <w:vertAlign w:val="subscript"/>
        </w:rPr>
        <w:t>∞</w:t>
      </w:r>
      <w:r w:rsidRPr="00116A2A">
        <w:t xml:space="preserve"> approx. 22% higher) (NN9535-3616). Based on these results, a dose adjustment of semaglutide may not be warranted in subjects with renal impairment.</w:t>
      </w:r>
    </w:p>
    <w:bookmarkEnd w:id="65"/>
    <w:bookmarkEnd w:id="66"/>
    <w:bookmarkEnd w:id="67"/>
    <w:p w14:paraId="0054F36C" w14:textId="77777777" w:rsidR="00116A2A" w:rsidRPr="00116A2A" w:rsidRDefault="00116A2A" w:rsidP="00116A2A">
      <w:r w:rsidRPr="00116A2A">
        <w:t>There were no differences in PK properties between Caucasian and Japanese subjects with comparable steady state exposure and maximum concentration (NN9535-3633).</w:t>
      </w:r>
    </w:p>
    <w:p w14:paraId="560B35D9" w14:textId="77777777" w:rsidR="00116A2A" w:rsidRPr="00116A2A" w:rsidRDefault="00116A2A" w:rsidP="00B9693E">
      <w:pPr>
        <w:pStyle w:val="Heading6"/>
      </w:pPr>
      <w:r w:rsidRPr="00116A2A">
        <w:t>Drug-drug interactions (DDIs)</w:t>
      </w:r>
    </w:p>
    <w:p w14:paraId="071DA7D8" w14:textId="77777777" w:rsidR="00116A2A" w:rsidRPr="00116A2A" w:rsidRDefault="00116A2A" w:rsidP="00116A2A">
      <w:r w:rsidRPr="00116A2A">
        <w:t xml:space="preserve">Semaglutide did not have a clinically significant effect on exposure to </w:t>
      </w:r>
      <w:proofErr w:type="spellStart"/>
      <w:r w:rsidRPr="00116A2A">
        <w:t>ethinylestradiol</w:t>
      </w:r>
      <w:proofErr w:type="spellEnd"/>
      <w:r w:rsidRPr="00116A2A">
        <w:t xml:space="preserve"> (11% increase) and levonorgestrel (20% increase) (NN9535-3819).</w:t>
      </w:r>
    </w:p>
    <w:p w14:paraId="17BCBB73" w14:textId="77777777" w:rsidR="00116A2A" w:rsidRPr="00116A2A" w:rsidRDefault="00116A2A" w:rsidP="00116A2A">
      <w:r w:rsidRPr="00116A2A">
        <w:t>Semaglutide had no significant effect on exposure to digoxin, metformin, warfarin, or atorvastatin (NN9535-3817 and NN9535-3818).</w:t>
      </w:r>
    </w:p>
    <w:p w14:paraId="3E6FE42C" w14:textId="77777777" w:rsidR="00116A2A" w:rsidRPr="00116A2A" w:rsidRDefault="00116A2A" w:rsidP="00B9693E">
      <w:pPr>
        <w:pStyle w:val="Heading5"/>
      </w:pPr>
      <w:r w:rsidRPr="00116A2A">
        <w:t>Population PK data (</w:t>
      </w:r>
      <w:proofErr w:type="spellStart"/>
      <w:r w:rsidRPr="00116A2A">
        <w:t>popPK</w:t>
      </w:r>
      <w:proofErr w:type="spellEnd"/>
      <w:r w:rsidRPr="00116A2A">
        <w:t>)</w:t>
      </w:r>
    </w:p>
    <w:p w14:paraId="65914B11" w14:textId="77777777" w:rsidR="00116A2A" w:rsidRPr="00116A2A" w:rsidRDefault="00116A2A" w:rsidP="00116A2A">
      <w:pPr>
        <w:rPr>
          <w:bCs/>
          <w:i/>
        </w:rPr>
      </w:pPr>
      <w:r w:rsidRPr="00116A2A">
        <w:rPr>
          <w:bCs/>
          <w:i/>
        </w:rPr>
        <w:t>Modelling Report for Data from Phase 2 Study NN9536-4153</w:t>
      </w:r>
    </w:p>
    <w:p w14:paraId="11F9B846" w14:textId="7BD9BA59" w:rsidR="00116A2A" w:rsidRPr="00116A2A" w:rsidRDefault="00116A2A" w:rsidP="00116A2A">
      <w:r w:rsidRPr="00116A2A">
        <w:t>The covariate analysis indicated body weight was the most important covariate influencing exposure</w:t>
      </w:r>
      <w:r w:rsidR="00FB0C0B">
        <w:t xml:space="preserve"> (Figure</w:t>
      </w:r>
      <w:r w:rsidR="004B3C87">
        <w:t xml:space="preserve"> 7 </w:t>
      </w:r>
      <w:r w:rsidR="004B3C87" w:rsidRPr="004B3C87">
        <w:t>Appendix</w:t>
      </w:r>
      <w:r w:rsidR="004B3C87">
        <w:t>)</w:t>
      </w:r>
      <w:r w:rsidRPr="00116A2A">
        <w:t>. The concentration response relationship was described by the model (</w:t>
      </w:r>
      <w:r w:rsidR="00787733">
        <w:t xml:space="preserve">Figure </w:t>
      </w:r>
      <w:r w:rsidR="004B3C87">
        <w:t>8</w:t>
      </w:r>
      <w:r w:rsidR="00FA554F">
        <w:t>, Appendix</w:t>
      </w:r>
      <w:r w:rsidRPr="00116A2A">
        <w:t xml:space="preserve">). </w:t>
      </w:r>
    </w:p>
    <w:p w14:paraId="341F1AE4" w14:textId="749CF1E0" w:rsidR="00116A2A" w:rsidRPr="00116A2A" w:rsidRDefault="00116A2A" w:rsidP="00B9693E">
      <w:pPr>
        <w:pStyle w:val="Heading6"/>
      </w:pPr>
      <w:r w:rsidRPr="00116A2A">
        <w:t xml:space="preserve">Modelling </w:t>
      </w:r>
      <w:r w:rsidR="009E2978" w:rsidRPr="00116A2A">
        <w:t xml:space="preserve">report for data from </w:t>
      </w:r>
      <w:r w:rsidRPr="00116A2A">
        <w:t>Phase 3a STEP 1 and STEP 2 studies</w:t>
      </w:r>
    </w:p>
    <w:p w14:paraId="28575EEB" w14:textId="48D355C3" w:rsidR="00116A2A" w:rsidRPr="00116A2A" w:rsidRDefault="00116A2A" w:rsidP="00116A2A">
      <w:r w:rsidRPr="00116A2A">
        <w:t>For a typical participant, CL/F was estimated as 0.0475 L/h and V/F as 12.4 L. Dose proportionality was demonstrated in the dose range 0.25 to 2.4 mg. Interindividual variability in CL/F in the final model was 18.7%. Body weight had a significant effect on exposure (</w:t>
      </w:r>
      <w:r w:rsidR="00746C75">
        <w:t>Table 3</w:t>
      </w:r>
      <w:r w:rsidRPr="00116A2A">
        <w:t xml:space="preserve">). The presence of antibodies did not affect the PK of semaglutide.  </w:t>
      </w:r>
    </w:p>
    <w:p w14:paraId="04E81929" w14:textId="54A80474" w:rsidR="005B12A9" w:rsidRDefault="00B9693E" w:rsidP="00B9693E">
      <w:pPr>
        <w:pStyle w:val="TableTitle"/>
      </w:pPr>
      <w:r w:rsidRPr="00B9693E">
        <w:lastRenderedPageBreak/>
        <w:t xml:space="preserve">Table </w:t>
      </w:r>
      <w:r w:rsidR="00746C75">
        <w:t>3</w:t>
      </w:r>
      <w:r w:rsidRPr="00B9693E">
        <w:t xml:space="preserve">. </w:t>
      </w:r>
      <w:proofErr w:type="spellStart"/>
      <w:r w:rsidRPr="00B9693E">
        <w:t>PopPK</w:t>
      </w:r>
      <w:proofErr w:type="spellEnd"/>
      <w:r w:rsidRPr="00B9693E">
        <w:t xml:space="preserve"> modelling based on Phase 3a STEP 1 and STEP 2 studies. Forest plot of covariate effects for semaglutide exposure.</w:t>
      </w:r>
    </w:p>
    <w:p w14:paraId="73196778" w14:textId="4F0DF803" w:rsidR="00746C75" w:rsidRPr="00F55350" w:rsidRDefault="00196A3C" w:rsidP="009E2978">
      <w:r>
        <w:rPr>
          <w:noProof/>
        </w:rPr>
        <w:drawing>
          <wp:inline distT="0" distB="0" distL="0" distR="0" wp14:anchorId="65F06FB7" wp14:editId="305DA366">
            <wp:extent cx="7496186" cy="3261847"/>
            <wp:effectExtent l="2858" t="0" r="0" b="0"/>
            <wp:docPr id="486969914"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69914" name="Picture 1" descr="A close-up of a graph&#10;&#10;Description automatically generated"/>
                    <pic:cNvPicPr/>
                  </pic:nvPicPr>
                  <pic:blipFill rotWithShape="1">
                    <a:blip r:embed="rId26"/>
                    <a:srcRect b="3101"/>
                    <a:stretch/>
                  </pic:blipFill>
                  <pic:spPr bwMode="auto">
                    <a:xfrm rot="16200000">
                      <a:off x="0" y="0"/>
                      <a:ext cx="7529429" cy="3276312"/>
                    </a:xfrm>
                    <a:prstGeom prst="rect">
                      <a:avLst/>
                    </a:prstGeom>
                    <a:ln>
                      <a:noFill/>
                    </a:ln>
                    <a:extLst>
                      <a:ext uri="{53640926-AAD7-44D8-BBD7-CCE9431645EC}">
                        <a14:shadowObscured xmlns:a14="http://schemas.microsoft.com/office/drawing/2010/main"/>
                      </a:ext>
                    </a:extLst>
                  </pic:spPr>
                </pic:pic>
              </a:graphicData>
            </a:graphic>
          </wp:inline>
        </w:drawing>
      </w:r>
    </w:p>
    <w:p w14:paraId="0DCF16B6" w14:textId="099EDE9C" w:rsidR="00F55350" w:rsidRPr="00F55350" w:rsidRDefault="008128EF" w:rsidP="008128EF">
      <w:pPr>
        <w:pStyle w:val="TableDescription"/>
      </w:pPr>
      <w:r w:rsidRPr="008128EF">
        <w:t>Data are steady-state dose-normalised average semaglutide exposures relative to a reference subject profile (non-</w:t>
      </w:r>
      <w:r>
        <w:t xml:space="preserve"> </w:t>
      </w:r>
      <w:r w:rsidRPr="008128EF">
        <w:t xml:space="preserve">Hispanic or Latino, </w:t>
      </w:r>
      <w:proofErr w:type="spellStart"/>
      <w:r w:rsidRPr="008128EF">
        <w:t>normoglycaemic</w:t>
      </w:r>
      <w:proofErr w:type="spellEnd"/>
      <w:r w:rsidRPr="008128EF">
        <w:t xml:space="preserve"> (STEP 1) white female aged 18-&lt;65 years, with a body weight of 110 kg and</w:t>
      </w:r>
      <w:r>
        <w:t xml:space="preserve"> </w:t>
      </w:r>
      <w:r w:rsidRPr="008128EF">
        <w:t>normal renal function, who injected in the abdomen). The forest plot and the column to the right show means and 90%</w:t>
      </w:r>
      <w:r>
        <w:t xml:space="preserve"> </w:t>
      </w:r>
      <w:r w:rsidRPr="008128EF">
        <w:t>CI for the relative exposures. Body weight test categories (74 and 143 kg) represent the 5% and 95% percentiles,</w:t>
      </w:r>
      <w:r>
        <w:t xml:space="preserve"> </w:t>
      </w:r>
      <w:r w:rsidRPr="008128EF">
        <w:t>respectively in the data set. There were 1 subject with severe renal impairment included in the moderate group. Vertical</w:t>
      </w:r>
      <w:r>
        <w:t xml:space="preserve"> </w:t>
      </w:r>
      <w:r w:rsidRPr="008128EF">
        <w:t>dotted lines indicate the acceptance interval for bioequivalence (0.80;1.25).</w:t>
      </w:r>
    </w:p>
    <w:p w14:paraId="35821C0B" w14:textId="77777777" w:rsidR="002468FF" w:rsidRDefault="002468FF" w:rsidP="007E6B49">
      <w:pPr>
        <w:pStyle w:val="Heading5"/>
      </w:pPr>
      <w:r w:rsidRPr="00AA53F4">
        <w:lastRenderedPageBreak/>
        <w:t>Pharmacodynamics</w:t>
      </w:r>
    </w:p>
    <w:p w14:paraId="725AF947" w14:textId="435C92DD" w:rsidR="00C0214D" w:rsidRDefault="00C0214D" w:rsidP="00C0214D">
      <w:r>
        <w:t xml:space="preserve">The pharmacodynamics of </w:t>
      </w:r>
      <w:r w:rsidR="00C87187">
        <w:t>Wegovy</w:t>
      </w:r>
      <w:r>
        <w:t xml:space="preserve"> (semaglutide) have been adequately characterised.  Semaglutide has a dose-dependent effect on weight loss. Semaglutide decreases appetite, decrease food intake and decreased food cravings. An Emax relationship between concentration and the proportion of responders has been demonstrated.</w:t>
      </w:r>
    </w:p>
    <w:p w14:paraId="271A1DF1" w14:textId="69805ADD" w:rsidR="00C0214D" w:rsidRDefault="00C0214D" w:rsidP="00C0214D">
      <w:r>
        <w:t>Semaglutide has a beneficial effect on pancreatic β-cell function. The improvement in glycaemic and weight control has been previously documents in patients with T2DM.</w:t>
      </w:r>
    </w:p>
    <w:p w14:paraId="274D9846" w14:textId="2FFB77D9" w:rsidR="00C0214D" w:rsidRPr="00C0214D" w:rsidRDefault="00C0214D" w:rsidP="00C0214D">
      <w:r>
        <w:t>Semaglutide did not have adverse effects on gastric emptying or cardiac repolarisation.</w:t>
      </w:r>
    </w:p>
    <w:p w14:paraId="253F5319" w14:textId="153F840F" w:rsidR="002468FF" w:rsidRDefault="002468FF" w:rsidP="002468FF">
      <w:pPr>
        <w:pStyle w:val="Heading4"/>
      </w:pPr>
      <w:bookmarkStart w:id="68" w:name="_Toc176423064"/>
      <w:r w:rsidRPr="002468FF">
        <w:t>Efficacy</w:t>
      </w:r>
      <w:bookmarkEnd w:id="68"/>
    </w:p>
    <w:p w14:paraId="1DC9A4DD" w14:textId="55EE3ECA" w:rsidR="005D0A1C" w:rsidRDefault="007E6B49">
      <w:pPr>
        <w:rPr>
          <w:b/>
        </w:rPr>
      </w:pPr>
      <w:r w:rsidRPr="007E6B49">
        <w:t xml:space="preserve">There were 4 pivotal Phase 3a efficacy studies: NN9536-4373 (STEP 1), NN9536-4374 (STEP 2), NN9536-4375 (STEP 3), and NN9536-4376 (STEP 4). </w:t>
      </w:r>
      <w:r w:rsidR="00F77293">
        <w:t>Figure</w:t>
      </w:r>
      <w:r w:rsidR="00286F34">
        <w:t xml:space="preserve"> </w:t>
      </w:r>
      <w:r w:rsidR="008054B8">
        <w:t>1</w:t>
      </w:r>
      <w:r w:rsidR="00F77293">
        <w:t xml:space="preserve"> provides an overview of the STEP efficacy trials. </w:t>
      </w:r>
    </w:p>
    <w:p w14:paraId="24FA306F" w14:textId="2E96FA55" w:rsidR="00F77293" w:rsidRDefault="00F77293" w:rsidP="005D0A1C">
      <w:pPr>
        <w:pStyle w:val="FigureTitle"/>
      </w:pPr>
      <w:r>
        <w:t xml:space="preserve">Figure </w:t>
      </w:r>
      <w:r w:rsidR="008054B8">
        <w:t>1</w:t>
      </w:r>
      <w:r>
        <w:t xml:space="preserve">. </w:t>
      </w:r>
      <w:r w:rsidR="005D0A1C" w:rsidRPr="005D0A1C">
        <w:t>Trial design overview – phase 3a trials</w:t>
      </w:r>
    </w:p>
    <w:p w14:paraId="03DAF574" w14:textId="77777777" w:rsidR="002C79C6" w:rsidRPr="007E6B49" w:rsidRDefault="002C79C6" w:rsidP="007E6B49">
      <w:r>
        <w:rPr>
          <w:noProof/>
        </w:rPr>
        <w:drawing>
          <wp:inline distT="0" distB="0" distL="0" distR="0" wp14:anchorId="3E3E5BB0" wp14:editId="70B06478">
            <wp:extent cx="5759450" cy="5326380"/>
            <wp:effectExtent l="0" t="0" r="0" b="7620"/>
            <wp:docPr id="157573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3600" name=""/>
                    <pic:cNvPicPr/>
                  </pic:nvPicPr>
                  <pic:blipFill>
                    <a:blip r:embed="rId27"/>
                    <a:stretch>
                      <a:fillRect/>
                    </a:stretch>
                  </pic:blipFill>
                  <pic:spPr>
                    <a:xfrm>
                      <a:off x="0" y="0"/>
                      <a:ext cx="5759450" cy="5326380"/>
                    </a:xfrm>
                    <a:prstGeom prst="rect">
                      <a:avLst/>
                    </a:prstGeom>
                  </pic:spPr>
                </pic:pic>
              </a:graphicData>
            </a:graphic>
          </wp:inline>
        </w:drawing>
      </w:r>
    </w:p>
    <w:p w14:paraId="31BA8100" w14:textId="77777777" w:rsidR="00F56877" w:rsidRDefault="00F56877" w:rsidP="00F56877">
      <w:r>
        <w:t xml:space="preserve">The primary objective of STEP 1–4 was to compare the effect of semaglutide </w:t>
      </w:r>
      <w:proofErr w:type="spellStart"/>
      <w:r>
        <w:t>s.c.</w:t>
      </w:r>
      <w:proofErr w:type="spellEnd"/>
      <w:r>
        <w:t xml:space="preserve"> 2.4 mg once weekly versus placebo in overweight or obese subjects (with T2D in STEP 2 only) on body </w:t>
      </w:r>
      <w:r>
        <w:lastRenderedPageBreak/>
        <w:t>weight, either as an adjunct to a reduced-calorie diet and increased physical activity (STEP 1, 2 and 4) or to IBT (STEP 3).</w:t>
      </w:r>
    </w:p>
    <w:p w14:paraId="665FEE52" w14:textId="5AF3A501" w:rsidR="005D0A1C" w:rsidRDefault="00F56877" w:rsidP="00F56877">
      <w:r>
        <w:t xml:space="preserve">The main secondary objectives of STEP 1–4 </w:t>
      </w:r>
      <w:proofErr w:type="gramStart"/>
      <w:r>
        <w:t>were</w:t>
      </w:r>
      <w:proofErr w:type="gramEnd"/>
      <w:r>
        <w:t xml:space="preserve"> to compare the effect of semaglutide </w:t>
      </w:r>
      <w:proofErr w:type="spellStart"/>
      <w:r>
        <w:t>s.c.</w:t>
      </w:r>
      <w:proofErr w:type="spellEnd"/>
      <w:r>
        <w:t xml:space="preserve"> 2.4 mg once weekly on other factors related to body weight, cardiovascular risk factors, glucose metabolism, and clinical outcome assessments including patient-reported outcomes.</w:t>
      </w:r>
    </w:p>
    <w:p w14:paraId="1F472D1C" w14:textId="608D7D44" w:rsidR="003345A1" w:rsidRDefault="003345A1" w:rsidP="003345A1">
      <w:pPr>
        <w:pStyle w:val="Heading5"/>
      </w:pPr>
      <w:r w:rsidRPr="003345A1">
        <w:t>Pivotal STEP trials (Pivotal STEP 1, 2, 3, and 4)</w:t>
      </w:r>
    </w:p>
    <w:p w14:paraId="4C3F3B4D" w14:textId="7C3F2B39" w:rsidR="00A01A8D" w:rsidRDefault="00A01A8D" w:rsidP="00A01A8D">
      <w:pPr>
        <w:pStyle w:val="Heading6"/>
      </w:pPr>
      <w:r w:rsidRPr="00A01A8D">
        <w:t>Design</w:t>
      </w:r>
    </w:p>
    <w:p w14:paraId="43C5FE6B" w14:textId="77777777" w:rsidR="004A2A23" w:rsidRPr="004A2A23" w:rsidRDefault="004A2A23" w:rsidP="004A2A23">
      <w:r w:rsidRPr="004A2A23">
        <w:t>The pivotal STEP trials (STEP 1, 2, 3, and 4) were Phase 3a, randomised, double-blind, multi-centre, parallel-group, controlled studies to assess the efficacy and safety of semaglutide. 4585 adult subjects were randomised in STEP 1–4: 2652 to semaglutide 2.4 mg, 1530 to placebo, and 403 to semaglutide 1.0 mg.</w:t>
      </w:r>
    </w:p>
    <w:p w14:paraId="1DBE1F6C" w14:textId="77777777" w:rsidR="004A2A23" w:rsidRDefault="004A2A23" w:rsidP="004A2A23">
      <w:r w:rsidRPr="004A2A23">
        <w:t xml:space="preserve">STEP 1, 3, and 4 were two-armed trials with 2:1 randomisation (semaglutide 2.4 </w:t>
      </w:r>
      <w:proofErr w:type="gramStart"/>
      <w:r w:rsidRPr="004A2A23">
        <w:t>mg :</w:t>
      </w:r>
      <w:proofErr w:type="gramEnd"/>
      <w:r w:rsidRPr="004A2A23">
        <w:t xml:space="preserve"> placebo) and STEP 2 was a 3-arm, double-blind, double-dummy trial with 1:1:1 randomisation (semaglutide 1.0 mg : semaglutide 2.4 mg : placebo). Dose escalation occurred in STEP 1‒3, but not in STEP 4.</w:t>
      </w:r>
    </w:p>
    <w:p w14:paraId="480A6B16" w14:textId="7E230794" w:rsidR="00336018" w:rsidRPr="00336018" w:rsidRDefault="00336018" w:rsidP="00336018">
      <w:r w:rsidRPr="00336018">
        <w:t xml:space="preserve">The primary endpoint was the identical in all 4 phase 3a trials: change from baseline to week 68 in body weight (%). Furthermore, STEP 1–3 included a co-primary endpoint: subjects achieving (y/n) ≥5% body weight reduction at week 68. An overview of endpoints is </w:t>
      </w:r>
      <w:r w:rsidR="00B93274">
        <w:t>shown in</w:t>
      </w:r>
      <w:r w:rsidRPr="00336018">
        <w:t xml:space="preserve"> </w:t>
      </w:r>
      <w:r w:rsidRPr="00336018">
        <w:fldChar w:fldCharType="begin"/>
      </w:r>
      <w:r w:rsidRPr="00336018">
        <w:instrText xml:space="preserve"> REF _Ref86768111 \h  \* MERGEFORMAT </w:instrText>
      </w:r>
      <w:r w:rsidRPr="00336018">
        <w:fldChar w:fldCharType="separate"/>
      </w:r>
      <w:r w:rsidR="00367A8D" w:rsidRPr="000B5B90">
        <w:t>Table</w:t>
      </w:r>
      <w:r w:rsidRPr="00336018">
        <w:fldChar w:fldCharType="end"/>
      </w:r>
      <w:r w:rsidR="00B93274">
        <w:t>1</w:t>
      </w:r>
      <w:r w:rsidR="00E741B1">
        <w:t>0</w:t>
      </w:r>
      <w:r w:rsidR="00FC413D">
        <w:t xml:space="preserve"> (</w:t>
      </w:r>
      <w:r w:rsidR="00FC413D" w:rsidRPr="00FC413D">
        <w:t>Appendix</w:t>
      </w:r>
      <w:r w:rsidR="00FC413D">
        <w:t>)</w:t>
      </w:r>
      <w:r w:rsidRPr="00336018">
        <w:t>.</w:t>
      </w:r>
    </w:p>
    <w:p w14:paraId="52BAFBC4" w14:textId="237C4745" w:rsidR="00336018" w:rsidRPr="00336018" w:rsidRDefault="00336018" w:rsidP="00336018">
      <w:r w:rsidRPr="00336018">
        <w:t xml:space="preserve">Trial population and study design are summarised in </w:t>
      </w:r>
      <w:r w:rsidRPr="00336018">
        <w:fldChar w:fldCharType="begin"/>
      </w:r>
      <w:r w:rsidRPr="00336018">
        <w:instrText xml:space="preserve"> REF _Ref80778553 \h  \* MERGEFORMAT </w:instrText>
      </w:r>
      <w:r w:rsidRPr="00336018">
        <w:fldChar w:fldCharType="separate"/>
      </w:r>
      <w:r w:rsidR="00367A8D">
        <w:rPr>
          <w:b/>
          <w:bCs/>
          <w:lang w:val="en-US"/>
        </w:rPr>
        <w:t>Error! Reference source not found.</w:t>
      </w:r>
      <w:r w:rsidRPr="00336018">
        <w:fldChar w:fldCharType="end"/>
      </w:r>
      <w:r w:rsidR="008054B8">
        <w:t xml:space="preserve"> 1</w:t>
      </w:r>
      <w:r w:rsidRPr="00336018">
        <w:t xml:space="preserve">. Inclusion criteria and key exclusion criteria are summarised in </w:t>
      </w:r>
      <w:r w:rsidRPr="00336018">
        <w:fldChar w:fldCharType="begin"/>
      </w:r>
      <w:r w:rsidRPr="00336018">
        <w:instrText xml:space="preserve"> REF _Ref80784312 \h  \* MERGEFORMAT </w:instrText>
      </w:r>
      <w:r w:rsidRPr="00336018">
        <w:fldChar w:fldCharType="separate"/>
      </w:r>
      <w:r w:rsidR="00367A8D" w:rsidRPr="00367A8D">
        <w:t xml:space="preserve">Table </w:t>
      </w:r>
      <w:r w:rsidRPr="00336018">
        <w:fldChar w:fldCharType="end"/>
      </w:r>
      <w:r w:rsidR="006506C2">
        <w:t>1</w:t>
      </w:r>
      <w:r w:rsidR="003C5CFA">
        <w:t>1</w:t>
      </w:r>
      <w:r w:rsidR="002B125C">
        <w:t xml:space="preserve"> (</w:t>
      </w:r>
      <w:r w:rsidR="002B125C" w:rsidRPr="002B125C">
        <w:t>Appendix</w:t>
      </w:r>
      <w:r w:rsidR="002B125C">
        <w:t>)</w:t>
      </w:r>
      <w:r w:rsidRPr="00336018">
        <w:t xml:space="preserve">, and </w:t>
      </w:r>
      <w:r w:rsidRPr="00336018">
        <w:fldChar w:fldCharType="begin"/>
      </w:r>
      <w:r w:rsidRPr="00336018">
        <w:instrText xml:space="preserve"> REF _Ref90369957 \h  \* MERGEFORMAT </w:instrText>
      </w:r>
      <w:r w:rsidRPr="00336018">
        <w:fldChar w:fldCharType="separate"/>
      </w:r>
      <w:r w:rsidR="00367A8D" w:rsidRPr="00367A8D">
        <w:t xml:space="preserve">Table </w:t>
      </w:r>
      <w:r w:rsidRPr="00336018">
        <w:fldChar w:fldCharType="end"/>
      </w:r>
      <w:r w:rsidR="006506C2">
        <w:t>1</w:t>
      </w:r>
      <w:r w:rsidR="003C5CFA">
        <w:t>2</w:t>
      </w:r>
      <w:r w:rsidR="002B125C">
        <w:t xml:space="preserve"> (</w:t>
      </w:r>
      <w:r w:rsidR="002B125C" w:rsidRPr="002B125C">
        <w:t>Appendix</w:t>
      </w:r>
      <w:r w:rsidR="002B125C">
        <w:t>)</w:t>
      </w:r>
      <w:r w:rsidRPr="00336018">
        <w:t>, respectively.</w:t>
      </w:r>
    </w:p>
    <w:p w14:paraId="2DB7E9E6" w14:textId="77777777" w:rsidR="00367A8D" w:rsidRDefault="00336018" w:rsidP="000B5B90">
      <w:pPr>
        <w:autoSpaceDE w:val="0"/>
        <w:autoSpaceDN w:val="0"/>
        <w:adjustRightInd w:val="0"/>
        <w:spacing w:after="0"/>
        <w:rPr>
          <w:b/>
        </w:rPr>
      </w:pPr>
      <w:r w:rsidRPr="00336018">
        <w:t>Subject disposition, baseline demographic characteristics, and co-morbidities at screening are summarised in</w:t>
      </w:r>
      <w:r w:rsidR="0032043C">
        <w:t xml:space="preserve"> Table 1</w:t>
      </w:r>
      <w:r w:rsidR="003C5CFA">
        <w:t>3</w:t>
      </w:r>
      <w:r w:rsidR="00FC413D">
        <w:t xml:space="preserve"> (</w:t>
      </w:r>
      <w:r w:rsidR="00FC413D" w:rsidRPr="00FC413D">
        <w:t>Appendix</w:t>
      </w:r>
      <w:r w:rsidR="00FC413D">
        <w:t>)</w:t>
      </w:r>
      <w:r w:rsidRPr="00336018">
        <w:t xml:space="preserve">, </w:t>
      </w:r>
      <w:r w:rsidRPr="00336018">
        <w:fldChar w:fldCharType="begin"/>
      </w:r>
      <w:r w:rsidRPr="00336018">
        <w:instrText xml:space="preserve"> REF _Ref92206280 \h </w:instrText>
      </w:r>
      <w:r w:rsidRPr="00336018">
        <w:fldChar w:fldCharType="separate"/>
      </w:r>
    </w:p>
    <w:p w14:paraId="6A5960B2" w14:textId="02DD47F7" w:rsidR="00336018" w:rsidRPr="00336018" w:rsidRDefault="00367A8D" w:rsidP="00336018">
      <w:r w:rsidRPr="000B5B90">
        <w:rPr>
          <w:b/>
        </w:rPr>
        <w:t>Table</w:t>
      </w:r>
      <w:r w:rsidR="00336018" w:rsidRPr="00336018">
        <w:fldChar w:fldCharType="end"/>
      </w:r>
      <w:r w:rsidR="003C5CFA">
        <w:t>4</w:t>
      </w:r>
      <w:r w:rsidR="00FC413D">
        <w:t xml:space="preserve"> (</w:t>
      </w:r>
      <w:r w:rsidR="00FC413D" w:rsidRPr="00FC413D">
        <w:t>Appendix</w:t>
      </w:r>
      <w:r w:rsidR="00FC413D">
        <w:t>)</w:t>
      </w:r>
      <w:r w:rsidR="00336018" w:rsidRPr="00336018">
        <w:t xml:space="preserve">, and </w:t>
      </w:r>
      <w:r w:rsidR="00087531">
        <w:t>Table 1</w:t>
      </w:r>
      <w:r w:rsidR="003C5CFA">
        <w:t>5</w:t>
      </w:r>
      <w:r w:rsidR="00FC413D">
        <w:t xml:space="preserve"> (</w:t>
      </w:r>
      <w:r w:rsidR="00FC413D" w:rsidRPr="00FC413D">
        <w:t>Appendix</w:t>
      </w:r>
      <w:r w:rsidR="00FC413D">
        <w:t>)</w:t>
      </w:r>
      <w:r w:rsidR="00336018" w:rsidRPr="00336018">
        <w:t>, respectively.</w:t>
      </w:r>
    </w:p>
    <w:p w14:paraId="01DF8C59" w14:textId="77777777" w:rsidR="00336018" w:rsidRPr="00336018" w:rsidRDefault="00336018" w:rsidP="00336018">
      <w:r w:rsidRPr="00336018">
        <w:t xml:space="preserve">Treatment effects were estimated using a treatment policy </w:t>
      </w:r>
      <w:proofErr w:type="spellStart"/>
      <w:r w:rsidRPr="00336018">
        <w:t>estimand</w:t>
      </w:r>
      <w:proofErr w:type="spellEnd"/>
      <w:r w:rsidRPr="00336018">
        <w:t xml:space="preserve"> method (primary </w:t>
      </w:r>
      <w:proofErr w:type="spellStart"/>
      <w:r w:rsidRPr="00336018">
        <w:t>estimand</w:t>
      </w:r>
      <w:proofErr w:type="spellEnd"/>
      <w:r w:rsidRPr="00336018">
        <w:t xml:space="preserve">; disregarding product adherence or use of other anti-obesity therapies), and a hypothetical </w:t>
      </w:r>
      <w:proofErr w:type="spellStart"/>
      <w:r w:rsidRPr="00336018">
        <w:t>estimand</w:t>
      </w:r>
      <w:proofErr w:type="spellEnd"/>
      <w:r w:rsidRPr="00336018">
        <w:t xml:space="preserve"> method (without the potentially confounding effects of discontinuation or use of other anti-obesity therapies).  The analyses of the confirmatory endpoints were controlled for multiplicity only for the treatment policy </w:t>
      </w:r>
      <w:proofErr w:type="spellStart"/>
      <w:r w:rsidRPr="00336018">
        <w:t>estimand</w:t>
      </w:r>
      <w:proofErr w:type="spellEnd"/>
      <w:r w:rsidRPr="00336018">
        <w:t xml:space="preserve">, and all superiority claims were based on conclusions from the treatment policy </w:t>
      </w:r>
      <w:proofErr w:type="spellStart"/>
      <w:r w:rsidRPr="00336018">
        <w:t>estimand</w:t>
      </w:r>
      <w:proofErr w:type="spellEnd"/>
      <w:r w:rsidRPr="00336018">
        <w:t>.</w:t>
      </w:r>
    </w:p>
    <w:p w14:paraId="7817D339" w14:textId="77777777" w:rsidR="00336018" w:rsidRPr="00336018" w:rsidRDefault="00336018" w:rsidP="0040350C">
      <w:pPr>
        <w:pStyle w:val="Heading5"/>
      </w:pPr>
      <w:r w:rsidRPr="00336018">
        <w:t>Magnitude of the treatment effect and its clinical significance</w:t>
      </w:r>
    </w:p>
    <w:p w14:paraId="79990F80" w14:textId="77777777" w:rsidR="00367A8D" w:rsidRDefault="00336018">
      <w:pPr>
        <w:rPr>
          <w:b/>
        </w:rPr>
      </w:pPr>
      <w:r w:rsidRPr="00336018">
        <w:t xml:space="preserve">An overview of primary endpoint results is </w:t>
      </w:r>
      <w:r w:rsidR="00846590">
        <w:t xml:space="preserve">shown in </w:t>
      </w:r>
      <w:r w:rsidRPr="00336018">
        <w:fldChar w:fldCharType="begin"/>
      </w:r>
      <w:r w:rsidRPr="00336018">
        <w:instrText xml:space="preserve"> REF _Ref90550761 \h </w:instrText>
      </w:r>
      <w:r w:rsidRPr="00336018">
        <w:fldChar w:fldCharType="separate"/>
      </w:r>
    </w:p>
    <w:p w14:paraId="450F27F2" w14:textId="684258D2" w:rsidR="00336018" w:rsidRPr="00336018" w:rsidRDefault="00367A8D" w:rsidP="00336018">
      <w:r w:rsidRPr="00BB3F2E">
        <w:t xml:space="preserve">Table </w:t>
      </w:r>
      <w:r w:rsidR="00336018" w:rsidRPr="00336018">
        <w:fldChar w:fldCharType="end"/>
      </w:r>
      <w:r w:rsidR="00336018" w:rsidRPr="00336018">
        <w:t xml:space="preserve">. The treatment effect was well </w:t>
      </w:r>
      <w:proofErr w:type="gramStart"/>
      <w:r w:rsidR="00336018" w:rsidRPr="00336018">
        <w:t>in excess of</w:t>
      </w:r>
      <w:proofErr w:type="gramEnd"/>
      <w:r w:rsidR="00336018" w:rsidRPr="00336018">
        <w:t xml:space="preserve"> a clinically significant 5% weight loss. The effect size was consistent across the four studies.  The effect persisted in a patient group undergoing IBT.</w:t>
      </w:r>
    </w:p>
    <w:p w14:paraId="717C5198" w14:textId="3F759059" w:rsidR="00336018" w:rsidRPr="00336018" w:rsidRDefault="00336018" w:rsidP="00336018">
      <w:pPr>
        <w:rPr>
          <w:b/>
          <w:bCs/>
        </w:rPr>
      </w:pPr>
      <w:r w:rsidRPr="00336018">
        <w:rPr>
          <w:b/>
          <w:bCs/>
        </w:rPr>
        <w:t>STEP 1 (NN9536-4373) (patients without diabetes) main findings (</w:t>
      </w:r>
      <w:r w:rsidR="005C6428">
        <w:rPr>
          <w:b/>
          <w:bCs/>
        </w:rPr>
        <w:t>Table 1</w:t>
      </w:r>
      <w:r w:rsidR="003C5CFA">
        <w:rPr>
          <w:b/>
          <w:bCs/>
        </w:rPr>
        <w:t>6</w:t>
      </w:r>
      <w:r w:rsidR="00450D08">
        <w:rPr>
          <w:b/>
          <w:bCs/>
        </w:rPr>
        <w:t xml:space="preserve">, </w:t>
      </w:r>
      <w:r w:rsidR="00450D08" w:rsidRPr="00450D08">
        <w:rPr>
          <w:b/>
          <w:bCs/>
        </w:rPr>
        <w:t>Appendix</w:t>
      </w:r>
      <w:r w:rsidRPr="00336018">
        <w:rPr>
          <w:b/>
          <w:bCs/>
        </w:rPr>
        <w:t>):</w:t>
      </w:r>
    </w:p>
    <w:p w14:paraId="49531686" w14:textId="77777777" w:rsidR="00336018" w:rsidRPr="00336018" w:rsidRDefault="00336018" w:rsidP="00336018">
      <w:r w:rsidRPr="00336018">
        <w:t xml:space="preserve">The mean (SD) change in body weight (%) from baseline to Week 68 was -15.1 (10.1) % for semaglutide and -2.8 (6.5) % for placebo; treatment difference (95% CI), semaglutide – placebo, -12.44 (-13.37 to -11.51) %, p &lt;0.0001.  </w:t>
      </w:r>
    </w:p>
    <w:p w14:paraId="1393F883" w14:textId="77777777" w:rsidR="00336018" w:rsidRPr="00336018" w:rsidRDefault="00336018" w:rsidP="00336018">
      <w:r w:rsidRPr="00336018">
        <w:t xml:space="preserve">Semaglutide at a dose of 2.4 mg weekly resulted in a sustained and clinically significant loss of weight over a one-year period. This was matched by clinically significant decreases in waist circumference and BMI. There were improvements in cardiovascular endpoints: lipid profile, </w:t>
      </w:r>
      <w:r w:rsidRPr="00336018">
        <w:lastRenderedPageBreak/>
        <w:t>surrogate markers (</w:t>
      </w:r>
      <w:proofErr w:type="spellStart"/>
      <w:r w:rsidRPr="00336018">
        <w:t>hsCRP</w:t>
      </w:r>
      <w:proofErr w:type="spellEnd"/>
      <w:r w:rsidRPr="00336018">
        <w:t xml:space="preserve"> and PAI-I) and in blood pressure. There were improvements in glycaemic control. There were significant improvements in quality of life and physical functioning. There were improvements in fatty liver index.</w:t>
      </w:r>
    </w:p>
    <w:p w14:paraId="2EB1674C" w14:textId="77777777" w:rsidR="00336018" w:rsidRPr="00336018" w:rsidRDefault="00336018" w:rsidP="00336018">
      <w:r w:rsidRPr="00336018">
        <w:t>The DEXA sub-study demonstrated that the losses in weight, waist circumference and BMI were due to a decrease in adipose, and not to loss of another body component (such as water or muscle).</w:t>
      </w:r>
    </w:p>
    <w:p w14:paraId="66D4A0CE" w14:textId="4E04F174" w:rsidR="00336018" w:rsidRPr="00336018" w:rsidRDefault="00336018" w:rsidP="00336018">
      <w:pPr>
        <w:rPr>
          <w:b/>
          <w:bCs/>
        </w:rPr>
      </w:pPr>
      <w:r w:rsidRPr="00336018">
        <w:rPr>
          <w:b/>
          <w:bCs/>
        </w:rPr>
        <w:t>STEP 2 (NN9536-4374) (patients with T2DM) main findings (</w:t>
      </w:r>
      <w:r w:rsidRPr="00336018">
        <w:rPr>
          <w:b/>
          <w:bCs/>
        </w:rPr>
        <w:fldChar w:fldCharType="begin"/>
      </w:r>
      <w:r w:rsidRPr="00336018">
        <w:rPr>
          <w:b/>
          <w:bCs/>
        </w:rPr>
        <w:instrText xml:space="preserve"> REF _Ref92206477 \h  \* MERGEFORMAT </w:instrText>
      </w:r>
      <w:r w:rsidRPr="00336018">
        <w:rPr>
          <w:b/>
          <w:bCs/>
        </w:rPr>
      </w:r>
      <w:r w:rsidRPr="00336018">
        <w:rPr>
          <w:b/>
          <w:bCs/>
        </w:rPr>
        <w:fldChar w:fldCharType="separate"/>
      </w:r>
      <w:r w:rsidR="00367A8D" w:rsidRPr="00367A8D">
        <w:rPr>
          <w:b/>
          <w:bCs/>
        </w:rPr>
        <w:t>Table</w:t>
      </w:r>
      <w:r w:rsidRPr="00336018">
        <w:fldChar w:fldCharType="end"/>
      </w:r>
      <w:r w:rsidR="003C5CFA">
        <w:rPr>
          <w:b/>
          <w:bCs/>
        </w:rPr>
        <w:t>7</w:t>
      </w:r>
      <w:r w:rsidR="00450D08">
        <w:rPr>
          <w:b/>
          <w:bCs/>
        </w:rPr>
        <w:t xml:space="preserve">, </w:t>
      </w:r>
      <w:r w:rsidR="00450D08" w:rsidRPr="00450D08">
        <w:rPr>
          <w:b/>
          <w:bCs/>
        </w:rPr>
        <w:t>Appendix</w:t>
      </w:r>
      <w:r w:rsidRPr="00336018">
        <w:rPr>
          <w:b/>
          <w:bCs/>
        </w:rPr>
        <w:t>):</w:t>
      </w:r>
    </w:p>
    <w:p w14:paraId="0629E2A5" w14:textId="77777777" w:rsidR="00336018" w:rsidRPr="00336018" w:rsidRDefault="00336018" w:rsidP="00336018">
      <w:r w:rsidRPr="00336018">
        <w:t>In patients with T2DM, the mean (SD) change in body weight (%) from baseline to Week 68 was -7.2 (6.6) % for semaglutide 1.0 mg, -9.9 (8.0) % for semaglutide 2.4 mg and -3.3 (5.5) % for placebo; estimated treatment difference (95% CI), semaglutide 2.4 mg – placebo, -6.21 (-7.28 to -5.15) %, p &lt;0.0001; and semaglutide 2.4 mg – semaglutide 1.0 mg, -2.65 (-3.66 to -1.64) %, p &lt;0.0001.</w:t>
      </w:r>
    </w:p>
    <w:p w14:paraId="0FE88553" w14:textId="77777777" w:rsidR="00336018" w:rsidRPr="00336018" w:rsidRDefault="00336018" w:rsidP="00336018">
      <w:r w:rsidRPr="00336018">
        <w:t>Semaglutide at a dose of 2.4 mg weekly resulted in a sustained and clinically significant loss of weight over a one-year period compared with both placebo and semaglutide 1.0 mg groups.  This was matched by clinically significant decreases in waist circumference and BMI. There were improvements in cardiovascular endpoints: lipid profile, surrogate markers (</w:t>
      </w:r>
      <w:proofErr w:type="spellStart"/>
      <w:r w:rsidRPr="00336018">
        <w:t>hsCRP</w:t>
      </w:r>
      <w:proofErr w:type="spellEnd"/>
      <w:r w:rsidRPr="00336018">
        <w:t xml:space="preserve"> and PAI-I) and in blood pressure in both semaglutide groups.  There were improvements in glycaemic control in both semaglutide groups, with no significant differences between the dose levels.  There were significant improvements in quality of life and physical functioning, that were greater in the semaglutide 2.4 mg group compared with both semaglutide 1.0 mg and placebo.  </w:t>
      </w:r>
    </w:p>
    <w:p w14:paraId="664F6929" w14:textId="700265C1" w:rsidR="00336018" w:rsidRPr="00336018" w:rsidRDefault="00336018" w:rsidP="00336018">
      <w:pPr>
        <w:rPr>
          <w:b/>
          <w:bCs/>
        </w:rPr>
      </w:pPr>
      <w:r w:rsidRPr="00336018">
        <w:rPr>
          <w:b/>
          <w:bCs/>
        </w:rPr>
        <w:t>STEP 3 (NN9536-4375) (patients without diabetes with IBT background treatment) main findings (</w:t>
      </w:r>
      <w:r w:rsidR="009A556A">
        <w:rPr>
          <w:b/>
          <w:bCs/>
        </w:rPr>
        <w:t>Table 1</w:t>
      </w:r>
      <w:r w:rsidR="003C5CFA">
        <w:rPr>
          <w:b/>
          <w:bCs/>
        </w:rPr>
        <w:t>8</w:t>
      </w:r>
      <w:r w:rsidR="00450D08">
        <w:rPr>
          <w:b/>
          <w:bCs/>
        </w:rPr>
        <w:t xml:space="preserve">, </w:t>
      </w:r>
      <w:r w:rsidR="00450D08" w:rsidRPr="00450D08">
        <w:rPr>
          <w:b/>
          <w:bCs/>
        </w:rPr>
        <w:t>Appendix</w:t>
      </w:r>
      <w:r w:rsidRPr="00336018">
        <w:rPr>
          <w:b/>
          <w:bCs/>
        </w:rPr>
        <w:t>):</w:t>
      </w:r>
    </w:p>
    <w:p w14:paraId="61EC7327" w14:textId="77777777" w:rsidR="00BB3F2E" w:rsidRPr="00BB3F2E" w:rsidRDefault="00BB3F2E" w:rsidP="00BB3F2E">
      <w:r w:rsidRPr="00BB3F2E">
        <w:t xml:space="preserve">With background treatment with IBT, the mean (SD) change in body weight from baseline to Week 68 was -16.5 (10.1) % for semaglutide and -5.8 (7.7) % for placebo; treatment difference (95% CI), semaglutide – placebo, -10.27 (-11.97 to -8.57) %, p &lt;0.0001.  </w:t>
      </w:r>
    </w:p>
    <w:p w14:paraId="470A85F8" w14:textId="77777777" w:rsidR="00BB3F2E" w:rsidRPr="00BB3F2E" w:rsidRDefault="00BB3F2E" w:rsidP="00BB3F2E">
      <w:r w:rsidRPr="00BB3F2E">
        <w:t>The background treatments included those in the proposed indication: diet and exercise.  However, an additional background treatment was IBT.</w:t>
      </w:r>
    </w:p>
    <w:p w14:paraId="79C25D06" w14:textId="77777777" w:rsidR="00BB3F2E" w:rsidRPr="00BB3F2E" w:rsidRDefault="00BB3F2E" w:rsidP="00BB3F2E">
      <w:r w:rsidRPr="00BB3F2E">
        <w:t>Semaglutide at a dose of 2.4 mg weekly resulted in a sustained and clinically significant loss of weight over a one-year period in patients who were also having IBT. This was matched by clinically significant decreases in waist circumference and BMI. There were improvements in cardiovascular endpoints: lipid profile, surrogate markers (</w:t>
      </w:r>
      <w:proofErr w:type="spellStart"/>
      <w:r w:rsidRPr="00BB3F2E">
        <w:t>hsCRP</w:t>
      </w:r>
      <w:proofErr w:type="spellEnd"/>
      <w:r w:rsidRPr="00BB3F2E">
        <w:t xml:space="preserve"> and PAI-I) and in blood pressure. There were improvements in glycaemic control.  </w:t>
      </w:r>
    </w:p>
    <w:p w14:paraId="30779888" w14:textId="77777777" w:rsidR="00BB3F2E" w:rsidRPr="00BB3F2E" w:rsidRDefault="00BB3F2E" w:rsidP="00BB3F2E">
      <w:r w:rsidRPr="00BB3F2E">
        <w:t>However, there were improvements in quality of life and physical functioning in both treatment groups, with no significant differences between the treatment groups.</w:t>
      </w:r>
    </w:p>
    <w:p w14:paraId="77235BDD" w14:textId="5D45AEA8" w:rsidR="00BB3F2E" w:rsidRPr="00BB3F2E" w:rsidRDefault="00BB3F2E" w:rsidP="00BB3F2E">
      <w:pPr>
        <w:rPr>
          <w:b/>
          <w:bCs/>
        </w:rPr>
      </w:pPr>
      <w:r w:rsidRPr="00BB3F2E">
        <w:rPr>
          <w:b/>
          <w:bCs/>
        </w:rPr>
        <w:t>STEP 4 (NN9536-4376) main findings (</w:t>
      </w:r>
      <w:r w:rsidRPr="00BB3F2E">
        <w:rPr>
          <w:b/>
          <w:bCs/>
        </w:rPr>
        <w:fldChar w:fldCharType="begin"/>
      </w:r>
      <w:r w:rsidRPr="00BB3F2E">
        <w:rPr>
          <w:b/>
          <w:bCs/>
        </w:rPr>
        <w:instrText xml:space="preserve"> REF _Ref92206503 \h  \* MERGEFORMAT </w:instrText>
      </w:r>
      <w:r w:rsidRPr="00BB3F2E">
        <w:rPr>
          <w:b/>
          <w:bCs/>
        </w:rPr>
      </w:r>
      <w:r w:rsidRPr="00BB3F2E">
        <w:rPr>
          <w:b/>
          <w:bCs/>
        </w:rPr>
        <w:fldChar w:fldCharType="separate"/>
      </w:r>
      <w:r w:rsidR="00367A8D" w:rsidRPr="00367A8D">
        <w:rPr>
          <w:b/>
          <w:bCs/>
        </w:rPr>
        <w:t>Table</w:t>
      </w:r>
      <w:r w:rsidRPr="00BB3F2E">
        <w:fldChar w:fldCharType="end"/>
      </w:r>
      <w:r w:rsidR="00450D08">
        <w:rPr>
          <w:b/>
          <w:bCs/>
        </w:rPr>
        <w:t>19, Appendix</w:t>
      </w:r>
      <w:r w:rsidRPr="00BB3F2E">
        <w:rPr>
          <w:b/>
          <w:bCs/>
        </w:rPr>
        <w:t>):</w:t>
      </w:r>
    </w:p>
    <w:p w14:paraId="228831E9" w14:textId="77777777" w:rsidR="00BB3F2E" w:rsidRPr="00BB3F2E" w:rsidRDefault="00BB3F2E" w:rsidP="00BB3F2E">
      <w:r w:rsidRPr="00BB3F2E">
        <w:t xml:space="preserve">The mean (SD) change in body weight from Week 20 to Week 68 was -8.8 (7.8) % for semaglutide and 6.1 (7.7) % for placebo; treatment difference (95% CI), semaglutide – placebo, -14.75 (-16.00 to -13.50) %, p &lt;0.0001.  </w:t>
      </w:r>
    </w:p>
    <w:p w14:paraId="5DEF7E9A" w14:textId="77777777" w:rsidR="00BB3F2E" w:rsidRPr="00BB3F2E" w:rsidRDefault="00BB3F2E" w:rsidP="00BB3F2E">
      <w:r w:rsidRPr="00BB3F2E">
        <w:t>Semaglutide at a dose of 2.4 mg weekly resulted in a sustained and clinically significant loss of weight over a one-year period. This was matched by clinically significant decreases in waist circumference and BMI. There were improvements in cardiovascular endpoints: lipid profile, surrogate markers (</w:t>
      </w:r>
      <w:proofErr w:type="spellStart"/>
      <w:r w:rsidRPr="00BB3F2E">
        <w:t>hsCRP</w:t>
      </w:r>
      <w:proofErr w:type="spellEnd"/>
      <w:r w:rsidRPr="00BB3F2E">
        <w:t xml:space="preserve"> and PAI-I) and in blood pressure. There were improvements in glycaemic control.  There were significant improvements in quality of life and physical functioning.</w:t>
      </w:r>
    </w:p>
    <w:p w14:paraId="4D4FCC07" w14:textId="0008980B" w:rsidR="008A3C17" w:rsidRDefault="00BB3F2E">
      <w:pPr>
        <w:rPr>
          <w:b/>
        </w:rPr>
      </w:pPr>
      <w:r w:rsidRPr="00BB3F2E">
        <w:lastRenderedPageBreak/>
        <w:t>There were significant improvements in the semaglutide group both for the randomisation phase, and the treatment period. However, the placebo group had loss of benefit following the titration phase. The initial gains in this group were lost over the remainder of the study. This indicates that the benefits that occur during treatment may be lost after treatment is ceased.  Semaglutide is likely to be a long-term treatment for obesity.</w:t>
      </w:r>
      <w:bookmarkStart w:id="69" w:name="_Ref90550761"/>
    </w:p>
    <w:p w14:paraId="5F8A16C9" w14:textId="16D1EE54" w:rsidR="00BB3F2E" w:rsidRDefault="00BB3F2E" w:rsidP="009E2978">
      <w:pPr>
        <w:pStyle w:val="TableTitle"/>
      </w:pPr>
      <w:r w:rsidRPr="00BB3F2E">
        <w:t xml:space="preserve">Table </w:t>
      </w:r>
      <w:bookmarkEnd w:id="69"/>
      <w:r w:rsidR="00CA1BB0">
        <w:t>4</w:t>
      </w:r>
      <w:r w:rsidRPr="00BB3F2E">
        <w:t>. Pivotal STEP trials. Inclusion criteria. Primary endpoint results.</w:t>
      </w:r>
    </w:p>
    <w:p w14:paraId="5BF56B26" w14:textId="56DFAC42" w:rsidR="0007429B" w:rsidRPr="00BB3F2E" w:rsidRDefault="00201E87" w:rsidP="00BB3F2E">
      <w:pPr>
        <w:rPr>
          <w:b/>
        </w:rPr>
      </w:pPr>
      <w:r>
        <w:rPr>
          <w:b/>
          <w:noProof/>
        </w:rPr>
        <w:drawing>
          <wp:inline distT="0" distB="0" distL="0" distR="0" wp14:anchorId="07A935FE" wp14:editId="3F801772">
            <wp:extent cx="5706110" cy="3182620"/>
            <wp:effectExtent l="0" t="0" r="8890" b="0"/>
            <wp:docPr id="1116042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06110" cy="3182620"/>
                    </a:xfrm>
                    <a:prstGeom prst="rect">
                      <a:avLst/>
                    </a:prstGeom>
                    <a:noFill/>
                  </pic:spPr>
                </pic:pic>
              </a:graphicData>
            </a:graphic>
          </wp:inline>
        </w:drawing>
      </w:r>
    </w:p>
    <w:p w14:paraId="334621BA" w14:textId="5BC66D67" w:rsidR="002468FF" w:rsidRDefault="002468FF" w:rsidP="0041507C">
      <w:pPr>
        <w:pStyle w:val="Heading4"/>
      </w:pPr>
      <w:bookmarkStart w:id="70" w:name="_Toc176423065"/>
      <w:r w:rsidRPr="002468FF">
        <w:t>Safety</w:t>
      </w:r>
      <w:bookmarkEnd w:id="70"/>
    </w:p>
    <w:p w14:paraId="66E4BFD5" w14:textId="77777777" w:rsidR="00EA7E00" w:rsidRPr="00EA7E00" w:rsidRDefault="00EA7E00" w:rsidP="00EA7E00">
      <w:pPr>
        <w:pStyle w:val="Heading5"/>
      </w:pPr>
      <w:r w:rsidRPr="00EA7E00">
        <w:t>Summary of safety</w:t>
      </w:r>
    </w:p>
    <w:p w14:paraId="70A03268" w14:textId="77777777" w:rsidR="00EA7E00" w:rsidRPr="00EA7E00" w:rsidRDefault="00EA7E00" w:rsidP="00EA7E00">
      <w:pPr>
        <w:pStyle w:val="Heading6"/>
      </w:pPr>
      <w:r w:rsidRPr="00EA7E00">
        <w:t>Exposure</w:t>
      </w:r>
    </w:p>
    <w:p w14:paraId="2874D822" w14:textId="77777777" w:rsidR="00CA1BB0" w:rsidRPr="00EA7E00" w:rsidRDefault="00CA1BB0" w:rsidP="00CA1BB0">
      <w:bookmarkStart w:id="71" w:name="_Ref91075983"/>
      <w:r w:rsidRPr="00EA7E00">
        <w:t xml:space="preserve">14,520 patients (7,432 males and 6,721 females) in 21 trials were exposed in all Phase 3 clinical trials (oral and </w:t>
      </w:r>
      <w:proofErr w:type="spellStart"/>
      <w:r w:rsidRPr="00EA7E00">
        <w:t>s.c.</w:t>
      </w:r>
      <w:proofErr w:type="spellEnd"/>
      <w:r w:rsidRPr="00EA7E00">
        <w:t xml:space="preserve"> semaglutide for T2D; and semaglutide </w:t>
      </w:r>
      <w:proofErr w:type="spellStart"/>
      <w:r w:rsidRPr="00EA7E00">
        <w:t>s.c.</w:t>
      </w:r>
      <w:proofErr w:type="spellEnd"/>
      <w:r w:rsidRPr="00EA7E00">
        <w:t xml:space="preserve"> 2.4 mg for weight management) 9.925 patients were exposed for ≥12 months and 1,266 for ≥24 months.</w:t>
      </w:r>
    </w:p>
    <w:p w14:paraId="259467F2" w14:textId="507DADC3" w:rsidR="00CA1BB0" w:rsidRPr="00EA7E00" w:rsidRDefault="00CA1BB0" w:rsidP="00CA1BB0">
      <w:r w:rsidRPr="00EA7E00">
        <w:t>In completed Phase 3a trials for weight management (STEP 1–4), 402 patients have been exposed to semaglutide 1.0 mg and 3,018 to 2.4 mg. Exposure to semaglutide 1.0 mg was 361 patients for 12 months and semaglutide 2.4 mg was 2.389 patients for 12 months (</w:t>
      </w:r>
      <w:r w:rsidRPr="00EA7E00">
        <w:fldChar w:fldCharType="begin"/>
      </w:r>
      <w:r w:rsidRPr="00EA7E00">
        <w:instrText xml:space="preserve"> REF _Ref91075983 \h </w:instrText>
      </w:r>
      <w:r w:rsidRPr="00EA7E00">
        <w:fldChar w:fldCharType="separate"/>
      </w:r>
      <w:r w:rsidR="00367A8D">
        <w:rPr>
          <w:b/>
          <w:bCs/>
          <w:lang w:val="en-US"/>
        </w:rPr>
        <w:t>Error! Not a valid bookmark self-reference.</w:t>
      </w:r>
      <w:r w:rsidRPr="00EA7E00">
        <w:fldChar w:fldCharType="end"/>
      </w:r>
      <w:r w:rsidRPr="00EA7E00">
        <w:t>). There were 930 males and 2,123 females. There were 311 patients aged 65 to 74 years, 27 aged 75 to 84 years and one aged ≥85 years. There were 2,234 White patients, 410 Asian and 283 Black/African American.</w:t>
      </w:r>
    </w:p>
    <w:p w14:paraId="49646F5A" w14:textId="77777777" w:rsidR="00CA1BB0" w:rsidRPr="00EA7E00" w:rsidRDefault="00CA1BB0" w:rsidP="00CA1BB0">
      <w:r w:rsidRPr="00EA7E00">
        <w:t xml:space="preserve">Additionally, the </w:t>
      </w:r>
      <w:r>
        <w:t>Sponsor</w:t>
      </w:r>
      <w:r w:rsidRPr="00EA7E00">
        <w:t xml:space="preserve"> referred to 7 supportive trials from the </w:t>
      </w:r>
      <w:r>
        <w:t>Ozempic</w:t>
      </w:r>
      <w:r w:rsidRPr="00EA7E00">
        <w:t xml:space="preserve"> program (including the SUSTAIN 6 CVOT) and the clinical pharmacology trials investigating drug-drug interactions, populations with renal or hepatic impairment, and potential impact on cardiac electrophysiology (QTc).</w:t>
      </w:r>
    </w:p>
    <w:p w14:paraId="4842EA62" w14:textId="6F11655C" w:rsidR="00EA7E00" w:rsidRDefault="00EA7E00" w:rsidP="009E2978">
      <w:pPr>
        <w:pStyle w:val="TableTitle"/>
      </w:pPr>
      <w:r w:rsidRPr="00EA7E00">
        <w:lastRenderedPageBreak/>
        <w:t xml:space="preserve">Table </w:t>
      </w:r>
      <w:bookmarkEnd w:id="71"/>
      <w:r w:rsidR="00CA1BB0">
        <w:t>5</w:t>
      </w:r>
      <w:r w:rsidRPr="00EA7E00">
        <w:t xml:space="preserve">. Pivotal STEP trials. Summary of exposure to semaglutide </w:t>
      </w:r>
      <w:proofErr w:type="spellStart"/>
      <w:r w:rsidRPr="00EA7E00">
        <w:t>s.c.</w:t>
      </w:r>
      <w:proofErr w:type="spellEnd"/>
      <w:r w:rsidRPr="00EA7E00">
        <w:t xml:space="preserve"> 2.4 mg for weight management.</w:t>
      </w:r>
    </w:p>
    <w:p w14:paraId="7CF327F4" w14:textId="23633DF6" w:rsidR="00813D02" w:rsidRDefault="00813D02" w:rsidP="00EA7E00">
      <w:pPr>
        <w:rPr>
          <w:b/>
        </w:rPr>
      </w:pPr>
      <w:r>
        <w:rPr>
          <w:b/>
          <w:noProof/>
        </w:rPr>
        <w:drawing>
          <wp:inline distT="0" distB="0" distL="0" distR="0" wp14:anchorId="16C2E2EC" wp14:editId="384ED598">
            <wp:extent cx="5706110" cy="663786"/>
            <wp:effectExtent l="0" t="0" r="0" b="3175"/>
            <wp:docPr id="85577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40000"/>
                              </a14:imgEffect>
                            </a14:imgLayer>
                          </a14:imgProps>
                        </a:ext>
                        <a:ext uri="{28A0092B-C50C-407E-A947-70E740481C1C}">
                          <a14:useLocalDpi xmlns:a14="http://schemas.microsoft.com/office/drawing/2010/main" val="0"/>
                        </a:ext>
                      </a:extLst>
                    </a:blip>
                    <a:srcRect b="33630"/>
                    <a:stretch/>
                  </pic:blipFill>
                  <pic:spPr bwMode="auto">
                    <a:xfrm>
                      <a:off x="0" y="0"/>
                      <a:ext cx="5706110" cy="663786"/>
                    </a:xfrm>
                    <a:prstGeom prst="rect">
                      <a:avLst/>
                    </a:prstGeom>
                    <a:noFill/>
                    <a:ln>
                      <a:noFill/>
                    </a:ln>
                    <a:extLst>
                      <a:ext uri="{53640926-AAD7-44D8-BBD7-CCE9431645EC}">
                        <a14:shadowObscured xmlns:a14="http://schemas.microsoft.com/office/drawing/2010/main"/>
                      </a:ext>
                    </a:extLst>
                  </pic:spPr>
                </pic:pic>
              </a:graphicData>
            </a:graphic>
          </wp:inline>
        </w:drawing>
      </w:r>
    </w:p>
    <w:p w14:paraId="38711C07" w14:textId="3C518015" w:rsidR="00F13E3D" w:rsidRDefault="00F13E3D" w:rsidP="004925F4">
      <w:pPr>
        <w:pStyle w:val="TableDescription"/>
      </w:pPr>
    </w:p>
    <w:p w14:paraId="470A9491" w14:textId="4E67280B" w:rsidR="00F13E3D" w:rsidRDefault="00CF2982" w:rsidP="009E2978">
      <w:r>
        <w:rPr>
          <w:noProof/>
        </w:rPr>
        <w:drawing>
          <wp:inline distT="0" distB="0" distL="0" distR="0" wp14:anchorId="22ED7FB4" wp14:editId="63DDE40A">
            <wp:extent cx="5766991" cy="1842347"/>
            <wp:effectExtent l="0" t="0" r="5715" b="5715"/>
            <wp:docPr id="16739200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40000"/>
                              </a14:imgEffect>
                            </a14:imgLayer>
                          </a14:imgProps>
                        </a:ext>
                        <a:ext uri="{28A0092B-C50C-407E-A947-70E740481C1C}">
                          <a14:useLocalDpi xmlns:a14="http://schemas.microsoft.com/office/drawing/2010/main" val="0"/>
                        </a:ext>
                      </a:extLst>
                    </a:blip>
                    <a:srcRect l="1257" b="15740"/>
                    <a:stretch/>
                  </pic:blipFill>
                  <pic:spPr bwMode="auto">
                    <a:xfrm>
                      <a:off x="0" y="0"/>
                      <a:ext cx="5785875" cy="1848380"/>
                    </a:xfrm>
                    <a:prstGeom prst="rect">
                      <a:avLst/>
                    </a:prstGeom>
                    <a:noFill/>
                    <a:ln>
                      <a:noFill/>
                    </a:ln>
                    <a:extLst>
                      <a:ext uri="{53640926-AAD7-44D8-BBD7-CCE9431645EC}">
                        <a14:shadowObscured xmlns:a14="http://schemas.microsoft.com/office/drawing/2010/main"/>
                      </a:ext>
                    </a:extLst>
                  </pic:spPr>
                </pic:pic>
              </a:graphicData>
            </a:graphic>
          </wp:inline>
        </w:drawing>
      </w:r>
    </w:p>
    <w:p w14:paraId="20B253FF" w14:textId="7BF251C5" w:rsidR="00467CBF" w:rsidRPr="00EA7E00" w:rsidRDefault="00467CBF" w:rsidP="004925F4">
      <w:pPr>
        <w:pStyle w:val="TableDescription"/>
      </w:pPr>
      <w:proofErr w:type="spellStart"/>
      <w:r>
        <w:t>Abbr</w:t>
      </w:r>
      <w:proofErr w:type="spellEnd"/>
      <w:r>
        <w:t>: N=number of subje</w:t>
      </w:r>
      <w:r w:rsidR="004925F4">
        <w:t>c</w:t>
      </w:r>
      <w:r>
        <w:t>ts</w:t>
      </w:r>
      <w:r w:rsidR="004925F4">
        <w:t>;</w:t>
      </w:r>
      <w:r>
        <w:t xml:space="preserve"> </w:t>
      </w:r>
      <w:proofErr w:type="spellStart"/>
      <w:r>
        <w:t>s.c</w:t>
      </w:r>
      <w:r w:rsidR="004925F4">
        <w:t>.</w:t>
      </w:r>
      <w:proofErr w:type="spellEnd"/>
      <w:r w:rsidR="004925F4">
        <w:t xml:space="preserve"> = subcutaneous(-</w:t>
      </w:r>
      <w:proofErr w:type="spellStart"/>
      <w:r w:rsidR="004925F4">
        <w:t>ly</w:t>
      </w:r>
      <w:proofErr w:type="spellEnd"/>
      <w:r w:rsidR="004925F4">
        <w:t xml:space="preserve">); SYE=subject-years of exposure. </w:t>
      </w:r>
    </w:p>
    <w:p w14:paraId="2AE13FC4" w14:textId="3DE56886" w:rsidR="00EA7E00" w:rsidRDefault="00F41A2F" w:rsidP="00F41A2F">
      <w:pPr>
        <w:pStyle w:val="Heading6"/>
      </w:pPr>
      <w:r w:rsidRPr="00F41A2F">
        <w:t>Adverse event overview</w:t>
      </w:r>
    </w:p>
    <w:p w14:paraId="2AE0E8B6" w14:textId="5FEBC8A8" w:rsidR="002222D2" w:rsidRDefault="002222D2" w:rsidP="002222D2">
      <w:r>
        <w:t>Adverse events presented early in treatment (Figure 2). There were increased rates of gastrointestinal disorders and neurological disorders with semaglutide in comparison with placebo (</w:t>
      </w:r>
      <w:r w:rsidR="006D4A8B">
        <w:t xml:space="preserve">Figure </w:t>
      </w:r>
      <w:r w:rsidR="009F19BB">
        <w:t>3</w:t>
      </w:r>
      <w:r>
        <w:t xml:space="preserve">). The gastrointestinal adverse events that occurred more frequently with semaglutide compared to placebo </w:t>
      </w:r>
      <w:r w:rsidR="00B07AA4">
        <w:t>were</w:t>
      </w:r>
      <w:r>
        <w:t xml:space="preserve"> nausea, diarrhoea, vomiting, constipation, abdominal pain, decreased appetite, dyspepsia, </w:t>
      </w:r>
      <w:proofErr w:type="gramStart"/>
      <w:r>
        <w:t>eructation</w:t>
      </w:r>
      <w:proofErr w:type="gramEnd"/>
      <w:r>
        <w:t xml:space="preserve"> and abdominal distension. The neurological disorders that occurred more commonly with semaglutide were headache, </w:t>
      </w:r>
      <w:proofErr w:type="gramStart"/>
      <w:r>
        <w:t>fatigue</w:t>
      </w:r>
      <w:proofErr w:type="gramEnd"/>
      <w:r>
        <w:t xml:space="preserve"> and dizziness. Other AEs that were reported more frequently with semaglutide were alopecia (3.3% patients compared to 1.4% with placebo) and migraine (2.1% patients compared to 1.3% with placebo). In Study NN9536-4153, the Phase II dose-finding study, gastrointestinal adverse effects (vomiting, </w:t>
      </w:r>
      <w:proofErr w:type="gramStart"/>
      <w:r>
        <w:t>diarrhoea</w:t>
      </w:r>
      <w:proofErr w:type="gramEnd"/>
      <w:r>
        <w:t xml:space="preserve"> and constipation) were dose-related.</w:t>
      </w:r>
    </w:p>
    <w:p w14:paraId="340706B9" w14:textId="114C6437" w:rsidR="002222D2" w:rsidRDefault="002222D2" w:rsidP="002222D2">
      <w:r>
        <w:t>Injection site reactions occurred at a similar frequency with semaglutide 2.4 mg in comparison with placebo.</w:t>
      </w:r>
    </w:p>
    <w:p w14:paraId="680A53B9" w14:textId="77777777" w:rsidR="000B2B03" w:rsidRDefault="000B2B03">
      <w:pPr>
        <w:rPr>
          <w:b/>
        </w:rPr>
      </w:pPr>
      <w:r>
        <w:br w:type="page"/>
      </w:r>
    </w:p>
    <w:p w14:paraId="14BA8AF6" w14:textId="4414ABA9" w:rsidR="0099783C" w:rsidRDefault="0099783C" w:rsidP="0099783C">
      <w:pPr>
        <w:pStyle w:val="FigureTitle"/>
      </w:pPr>
      <w:r w:rsidRPr="0099783C">
        <w:lastRenderedPageBreak/>
        <w:t xml:space="preserve">Figure </w:t>
      </w:r>
      <w:r>
        <w:t>2</w:t>
      </w:r>
      <w:r w:rsidRPr="0099783C">
        <w:t>. Pivotal STEP 1-3 trials (pooled data). Time to onset of first or to onset of any event.</w:t>
      </w:r>
    </w:p>
    <w:p w14:paraId="1679F95D" w14:textId="5A3092B6" w:rsidR="00045019" w:rsidRPr="002222D2" w:rsidRDefault="00F17C2C" w:rsidP="002222D2">
      <w:r>
        <w:rPr>
          <w:noProof/>
        </w:rPr>
        <w:drawing>
          <wp:inline distT="0" distB="0" distL="0" distR="0" wp14:anchorId="2C63EBF8" wp14:editId="1B5313FD">
            <wp:extent cx="8359574" cy="5312410"/>
            <wp:effectExtent l="0" t="635" r="3175" b="3175"/>
            <wp:docPr id="13473827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8369774" cy="5318892"/>
                    </a:xfrm>
                    <a:prstGeom prst="rect">
                      <a:avLst/>
                    </a:prstGeom>
                    <a:noFill/>
                  </pic:spPr>
                </pic:pic>
              </a:graphicData>
            </a:graphic>
          </wp:inline>
        </w:drawing>
      </w:r>
    </w:p>
    <w:p w14:paraId="067CBCA3" w14:textId="77777777" w:rsidR="0099783C" w:rsidRDefault="0099783C" w:rsidP="002468FF"/>
    <w:p w14:paraId="08E865DD" w14:textId="00A69CE7" w:rsidR="001A4BF2" w:rsidRDefault="009F19BB" w:rsidP="009F19BB">
      <w:pPr>
        <w:pStyle w:val="FigureTitle"/>
      </w:pPr>
      <w:r>
        <w:lastRenderedPageBreak/>
        <w:t>Figure 3</w:t>
      </w:r>
      <w:r w:rsidR="00914295" w:rsidRPr="00914295">
        <w:t>. Pivotal STEP trials (pooled data). On-treatment AEs in ≥5% of subjects.</w:t>
      </w:r>
      <w:bookmarkStart w:id="72" w:name="_Toc314842514"/>
    </w:p>
    <w:p w14:paraId="36FC778E" w14:textId="6ACBCC9C" w:rsidR="001A4BF2" w:rsidRDefault="00396B5B" w:rsidP="00686331">
      <w:r>
        <w:rPr>
          <w:noProof/>
        </w:rPr>
        <w:drawing>
          <wp:inline distT="0" distB="0" distL="0" distR="0" wp14:anchorId="57A96478" wp14:editId="2207181C">
            <wp:extent cx="5738095" cy="6759787"/>
            <wp:effectExtent l="0" t="0" r="0" b="3175"/>
            <wp:docPr id="718610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l="4374"/>
                    <a:stretch/>
                  </pic:blipFill>
                  <pic:spPr bwMode="auto">
                    <a:xfrm>
                      <a:off x="0" y="0"/>
                      <a:ext cx="5744155" cy="6766926"/>
                    </a:xfrm>
                    <a:prstGeom prst="rect">
                      <a:avLst/>
                    </a:prstGeom>
                    <a:noFill/>
                    <a:ln>
                      <a:noFill/>
                    </a:ln>
                    <a:extLst>
                      <a:ext uri="{53640926-AAD7-44D8-BBD7-CCE9431645EC}">
                        <a14:shadowObscured xmlns:a14="http://schemas.microsoft.com/office/drawing/2010/main"/>
                      </a:ext>
                    </a:extLst>
                  </pic:spPr>
                </pic:pic>
              </a:graphicData>
            </a:graphic>
          </wp:inline>
        </w:drawing>
      </w:r>
    </w:p>
    <w:p w14:paraId="1B3086E4" w14:textId="77777777" w:rsidR="0067434F" w:rsidRDefault="0067434F" w:rsidP="0067434F">
      <w:pPr>
        <w:pStyle w:val="Heading6"/>
      </w:pPr>
      <w:r>
        <w:t>Deaths</w:t>
      </w:r>
    </w:p>
    <w:p w14:paraId="2FB39466" w14:textId="77777777" w:rsidR="0067434F" w:rsidRDefault="0067434F" w:rsidP="0067434F">
      <w:r>
        <w:t>8 deaths were reported in the completed clinical trials: 7 deaths in the STEP trials and 1 death in the phase 2 trial 4153. There were no deaths in the clinical pharmacology trials.</w:t>
      </w:r>
    </w:p>
    <w:p w14:paraId="5D8F5506" w14:textId="1750D00B" w:rsidR="001A4BF2" w:rsidRDefault="0067434F" w:rsidP="0067434F">
      <w:r>
        <w:t>In the phase 3a pool, there was no difference between semaglutide 2.4 mg and placebo in proportion of subjects who died (3 subjects [0.1%] in the semaglutide 2.4 mg group and 3 subjects [0.2%] in the placebo group). There was one death at the semaglutide 1.0 mg dose level (undetermined cause of death). There was one death in the 0.4 mg fast escalation group in Study NN9536-4153 (malignancy). There were three deaths under placebo treatment, all due to malignancy.</w:t>
      </w:r>
    </w:p>
    <w:p w14:paraId="4C6121D0" w14:textId="77777777" w:rsidR="00CC7872" w:rsidRDefault="00CC7872" w:rsidP="00CC7872">
      <w:pPr>
        <w:pStyle w:val="Heading6"/>
      </w:pPr>
      <w:r>
        <w:lastRenderedPageBreak/>
        <w:t>Serious adverse events</w:t>
      </w:r>
    </w:p>
    <w:p w14:paraId="455AF8A9" w14:textId="77777777" w:rsidR="00CC7872" w:rsidRDefault="00CC7872" w:rsidP="00CC7872">
      <w:r>
        <w:t>The rate of SAEs was increased relative to placebo. SAEs were reported in 9.3% with semaglutide and in 6.4% with placebo. The rate of SAEs was 10.5/100 person-year with semaglutide and 6.8/100 person-year with placebo. Hepatobiliary SAEs were reported at a rate of 1.2/100 person-year with semaglutide and 0.2/100 person-year with placebo. Gastrointestinal SAEs were reported at a rate of 1.1/100 person-year with semaglutide and 0.6/100 person-year with placebo.</w:t>
      </w:r>
    </w:p>
    <w:p w14:paraId="4E024BE7" w14:textId="77777777" w:rsidR="00CC7872" w:rsidRDefault="00CC7872" w:rsidP="00CC7872">
      <w:pPr>
        <w:pStyle w:val="Heading6"/>
      </w:pPr>
      <w:r>
        <w:t>Discontinuations</w:t>
      </w:r>
    </w:p>
    <w:p w14:paraId="4926B4F5" w14:textId="77777777" w:rsidR="00CC7872" w:rsidRDefault="00CC7872" w:rsidP="00CC7872">
      <w:r>
        <w:t>In the Phase 3a pool, more patients discontinued due to AEs in the semaglutide groups compared to placebo: 149 (5.7%) patients in the semaglutide group and 47 (3.0%) for placebo. This was primarily due to gastrointestinal disorders: nausea, vomiting, diarrhoea, upper abdominal pain, and constipation.</w:t>
      </w:r>
    </w:p>
    <w:p w14:paraId="6CF90540" w14:textId="77777777" w:rsidR="00CC7872" w:rsidRDefault="00CC7872" w:rsidP="00CC7872">
      <w:pPr>
        <w:pStyle w:val="Heading6"/>
      </w:pPr>
      <w:r>
        <w:t>Adverse events of special interest</w:t>
      </w:r>
    </w:p>
    <w:p w14:paraId="7006A80E" w14:textId="344A0F16" w:rsidR="0067434F" w:rsidRDefault="00CC7872" w:rsidP="00CC7872">
      <w:r>
        <w:t>GI AEs: In the dose escalation group (STEP 1–3: dose-escalation regimen with 4-week increments to reach the 2.4 mg maintenance dose to improve tolerability), GI AEs were reported for 72.9% of subjects on semaglutide 2.4 mg compared to 47.1% of subjects on placebo. The GI AE incidence was highest during the initial 20 weeks of treatment (covering the dose-escalation period</w:t>
      </w:r>
      <w:r w:rsidR="002418AB">
        <w:t>) and</w:t>
      </w:r>
      <w:r>
        <w:t xml:space="preserve"> tapered off subsequently (Figure </w:t>
      </w:r>
      <w:r w:rsidR="00F17C2C">
        <w:t>4</w:t>
      </w:r>
      <w:r>
        <w:t>).</w:t>
      </w:r>
    </w:p>
    <w:p w14:paraId="07029046" w14:textId="77777777" w:rsidR="000B2B03" w:rsidRDefault="000B2B03">
      <w:pPr>
        <w:rPr>
          <w:b/>
        </w:rPr>
      </w:pPr>
      <w:r>
        <w:br w:type="page"/>
      </w:r>
    </w:p>
    <w:p w14:paraId="168C4D63" w14:textId="378F1417" w:rsidR="00EB05DE" w:rsidRDefault="00EB05DE" w:rsidP="00EB05DE">
      <w:pPr>
        <w:pStyle w:val="FigureTitle"/>
      </w:pPr>
      <w:r w:rsidRPr="00EB05DE">
        <w:lastRenderedPageBreak/>
        <w:t xml:space="preserve">Figure </w:t>
      </w:r>
      <w:r w:rsidR="00F17C2C">
        <w:t>4</w:t>
      </w:r>
      <w:r w:rsidRPr="00EB05DE">
        <w:t>. Pivotal STEP 1-3 trials (pooled data). Time to onset of first or to onset of any GI event.</w:t>
      </w:r>
    </w:p>
    <w:p w14:paraId="796D8A9A" w14:textId="0623EB0D" w:rsidR="002418AB" w:rsidRDefault="00A02383" w:rsidP="00CC7872">
      <w:r>
        <w:rPr>
          <w:noProof/>
        </w:rPr>
        <w:drawing>
          <wp:inline distT="0" distB="0" distL="0" distR="0" wp14:anchorId="100B28D0" wp14:editId="53C66B5C">
            <wp:extent cx="8180909" cy="5292863"/>
            <wp:effectExtent l="0" t="3810" r="6985" b="6985"/>
            <wp:docPr id="1314663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8412" r="5099"/>
                    <a:stretch/>
                  </pic:blipFill>
                  <pic:spPr bwMode="auto">
                    <a:xfrm rot="16200000">
                      <a:off x="0" y="0"/>
                      <a:ext cx="8218466" cy="5317162"/>
                    </a:xfrm>
                    <a:prstGeom prst="rect">
                      <a:avLst/>
                    </a:prstGeom>
                    <a:noFill/>
                    <a:ln>
                      <a:noFill/>
                    </a:ln>
                    <a:extLst>
                      <a:ext uri="{53640926-AAD7-44D8-BBD7-CCE9431645EC}">
                        <a14:shadowObscured xmlns:a14="http://schemas.microsoft.com/office/drawing/2010/main"/>
                      </a:ext>
                    </a:extLst>
                  </pic:spPr>
                </pic:pic>
              </a:graphicData>
            </a:graphic>
          </wp:inline>
        </w:drawing>
      </w:r>
    </w:p>
    <w:p w14:paraId="5FC58CC7" w14:textId="77777777" w:rsidR="00342CF2" w:rsidRDefault="00342CF2" w:rsidP="00342CF2">
      <w:r w:rsidRPr="00342CF2">
        <w:rPr>
          <w:b/>
          <w:bCs/>
        </w:rPr>
        <w:lastRenderedPageBreak/>
        <w:t>Hepatobiliary AEs</w:t>
      </w:r>
      <w:r>
        <w:t xml:space="preserve">: Hepatobiliary disorders were more frequent with semaglutide 2.4 mg, but elevation of transaminases was not more frequent, and no patients fulfilled the criteria of Hy’s law. There were few reports of pancreatitis: four in the semaglutide groups and one for placebo.  </w:t>
      </w:r>
    </w:p>
    <w:p w14:paraId="38B69E50" w14:textId="77777777" w:rsidR="00342CF2" w:rsidRDefault="00342CF2" w:rsidP="00342CF2">
      <w:r>
        <w:t xml:space="preserve">In the phase 3a pool, there were more events of gallbladder-related disorders with semaglutide 2.4 mg than with placebo (2.5% vs 1.6%). Most of the events were cholelithiasis (1.6% vs 1.1% for semaglutide 2.4 mg vs placebo) or related complications. The increased risk may be at least partly explained by the larger weight loss. </w:t>
      </w:r>
    </w:p>
    <w:p w14:paraId="097E9860" w14:textId="50E42BBE" w:rsidR="00342CF2" w:rsidRDefault="00342CF2" w:rsidP="00342CF2">
      <w:r w:rsidRPr="00342CF2">
        <w:rPr>
          <w:b/>
          <w:bCs/>
        </w:rPr>
        <w:t>Renal AEs</w:t>
      </w:r>
      <w:r>
        <w:t>: The rate of renal dysfunction was not increased with semaglutide 2.4 mg. Plasma calcitonin concentrations were not increased by semaglutide 2.4 mg.</w:t>
      </w:r>
    </w:p>
    <w:p w14:paraId="7290F6F5" w14:textId="77777777" w:rsidR="000D7D70" w:rsidRDefault="000D7D70" w:rsidP="000D7D70">
      <w:r w:rsidRPr="000D7D70">
        <w:rPr>
          <w:b/>
          <w:bCs/>
        </w:rPr>
        <w:t>Haematological AEs</w:t>
      </w:r>
      <w:r>
        <w:t>: Haematology AEs occurred at similar rates to placebo.</w:t>
      </w:r>
    </w:p>
    <w:p w14:paraId="3E5F197A" w14:textId="77777777" w:rsidR="000D7D70" w:rsidRDefault="000D7D70" w:rsidP="000D7D70">
      <w:r w:rsidRPr="000D7D70">
        <w:rPr>
          <w:b/>
          <w:bCs/>
        </w:rPr>
        <w:t>CV AEs</w:t>
      </w:r>
      <w:r>
        <w:t>: Cardiovascular AEs were less frequent with semaglutide than placebo. This supports the improvement in surrogate measures of cardiovascular risk in the pivotal studies. In the pivotal studies, mean pulse rate increased by 2 to 5 bpm, but there was a significant decrease in SBP relative to placebo in the semaglutide groups.</w:t>
      </w:r>
    </w:p>
    <w:p w14:paraId="61613C8D" w14:textId="77777777" w:rsidR="000D7D70" w:rsidRDefault="000D7D70" w:rsidP="000D7D70">
      <w:r w:rsidRPr="000D7D70">
        <w:rPr>
          <w:b/>
          <w:bCs/>
        </w:rPr>
        <w:t>Immunogenicity</w:t>
      </w:r>
      <w:r>
        <w:t xml:space="preserve">: In the clinical studies semaglutide 2.4 mg had low immunogenicity. In the two Phase 3 studies that tested for anti-semaglutide antibodies, there were 50 (2.9%) patients with treatment induced anti-semaglutide antibodies; none were neutralising and 28 (1.6%) had antibodies that cross-reacted with GLP-1. The rate of allergic AEs was </w:t>
      </w:r>
      <w:proofErr w:type="gramStart"/>
      <w:r>
        <w:t>similar to</w:t>
      </w:r>
      <w:proofErr w:type="gramEnd"/>
      <w:r>
        <w:t xml:space="preserve"> the placebo group.</w:t>
      </w:r>
    </w:p>
    <w:p w14:paraId="6A5CE841" w14:textId="77777777" w:rsidR="000D7D70" w:rsidRDefault="000D7D70" w:rsidP="000D7D70">
      <w:r w:rsidRPr="000D7D70">
        <w:rPr>
          <w:b/>
          <w:bCs/>
        </w:rPr>
        <w:t>Neoplasia</w:t>
      </w:r>
      <w:r>
        <w:t>: The rates of neoplasia were similar for semaglutide 2.4 mg and placebo.</w:t>
      </w:r>
    </w:p>
    <w:p w14:paraId="0946E932" w14:textId="77777777" w:rsidR="000D7D70" w:rsidRDefault="000D7D70" w:rsidP="000D7D70">
      <w:r w:rsidRPr="000D7D70">
        <w:rPr>
          <w:b/>
          <w:bCs/>
        </w:rPr>
        <w:t>Hypoglycaemia</w:t>
      </w:r>
      <w:r>
        <w:t>: Hypoglycaemia was infrequent and was not identified as a safety concern in this population.</w:t>
      </w:r>
    </w:p>
    <w:p w14:paraId="006CE601" w14:textId="77777777" w:rsidR="000D7D70" w:rsidRDefault="000D7D70" w:rsidP="000D7D70">
      <w:r w:rsidRPr="000D7D70">
        <w:rPr>
          <w:b/>
          <w:bCs/>
        </w:rPr>
        <w:t>Mental</w:t>
      </w:r>
      <w:r>
        <w:t xml:space="preserve"> </w:t>
      </w:r>
      <w:r w:rsidRPr="000D7D70">
        <w:rPr>
          <w:b/>
          <w:bCs/>
        </w:rPr>
        <w:t>health</w:t>
      </w:r>
      <w:r>
        <w:t>: Mental health scores and suicidality did not differ significantly between semaglutide 2.4 mg and placebo.</w:t>
      </w:r>
    </w:p>
    <w:p w14:paraId="6CC068BC" w14:textId="77777777" w:rsidR="000D7D70" w:rsidRDefault="000D7D70" w:rsidP="000D7D70">
      <w:r w:rsidRPr="000D7D70">
        <w:rPr>
          <w:b/>
          <w:bCs/>
        </w:rPr>
        <w:t>Misuse</w:t>
      </w:r>
      <w:r>
        <w:t xml:space="preserve">: Misuse of semaglutide was addressed in the clinical studies, but only in the group of patients included in the indication. The potential for misuse in other patient groups, such as eating disorders and athletes, has not been addressed in the data. </w:t>
      </w:r>
    </w:p>
    <w:p w14:paraId="2C7EF33A" w14:textId="77777777" w:rsidR="000D7D70" w:rsidRDefault="000D7D70" w:rsidP="000D7D70">
      <w:r w:rsidRPr="000D7D70">
        <w:rPr>
          <w:b/>
          <w:bCs/>
        </w:rPr>
        <w:t>Diabetic</w:t>
      </w:r>
      <w:r>
        <w:t xml:space="preserve"> </w:t>
      </w:r>
      <w:r w:rsidRPr="000D7D70">
        <w:rPr>
          <w:b/>
          <w:bCs/>
        </w:rPr>
        <w:t>retinopathy</w:t>
      </w:r>
      <w:r>
        <w:t>: In Study NN9536-4374, diabetic retinopathy was reported in 25 (6.2%) patients in the semaglutide 1 mg group, 28 (6.9%) in the semaglutide 2.4 mg and 17 (4.2%) in the placebo.</w:t>
      </w:r>
    </w:p>
    <w:p w14:paraId="1D45D1E9" w14:textId="77777777" w:rsidR="000D7D70" w:rsidRDefault="000D7D70" w:rsidP="000D7D70">
      <w:r>
        <w:t>In the phase 3a without T2D group, there were no PT diabetic retinopathy events reported.</w:t>
      </w:r>
    </w:p>
    <w:p w14:paraId="1A92A952" w14:textId="77777777" w:rsidR="000D7D70" w:rsidRDefault="000D7D70" w:rsidP="000D7D70">
      <w:r w:rsidRPr="000D7D70">
        <w:rPr>
          <w:b/>
          <w:bCs/>
        </w:rPr>
        <w:t>Subgroups</w:t>
      </w:r>
      <w:r>
        <w:t>: The safety of semaglutide 2.4 mg was evaluated in subgroups of subjects defined based on: intrinsic factors (sex, baseline age, race, ethnic origin, baseline body weight, baseline BMI, baseline renal function [phase 3a pool], and baseline glycaemic status [phase 3a without T2D group]), extrinsic factors (region [phase 3a pool]; anti-diabetic background medication [phase 3a with T2D trial]), and weight loss category (≥20% vs &lt;20%).The evaluation did not reveal any new safety concerns or markedly different AE profiles for any subgroups.</w:t>
      </w:r>
    </w:p>
    <w:p w14:paraId="077661D2" w14:textId="77777777" w:rsidR="000D7D70" w:rsidRDefault="000D7D70" w:rsidP="000D7D70">
      <w:r w:rsidRPr="000D7D70">
        <w:rPr>
          <w:b/>
          <w:bCs/>
        </w:rPr>
        <w:t>Pregnancy and lactation</w:t>
      </w:r>
      <w:r>
        <w:t xml:space="preserve">: 37 pregnancies were reported in the weight management trials: 29 with semaglutide (24 in the phase 3a pool) and 8 with placebo. In all cases, the subject was exposed to trial product for a short time (or not exposed at all) until the pregnancy was discovered and trial product discontinued. One child of a female subject exposed to semaglutide was born with a congenital anomaly of the external ear. Spontaneous abortions were reported in 6 of 29 (21%) pregnancies in the semaglutide 2.4 mg group. In the placebo group, 2 of 8 (25%) pregnancies resulted in a spontaneous abortion or a stillbirth. None of the elective abortions </w:t>
      </w:r>
      <w:r>
        <w:lastRenderedPageBreak/>
        <w:t>were due to congenital anomalies. There were few AEs related to fertility without significant differences between groups. No AEs related to lactation were reported.</w:t>
      </w:r>
    </w:p>
    <w:p w14:paraId="63935D26" w14:textId="7D33743F" w:rsidR="000D7D70" w:rsidRDefault="002015E0" w:rsidP="000D7D70">
      <w:r>
        <w:t>OZEMPIC</w:t>
      </w:r>
      <w:r w:rsidR="000D7D70">
        <w:t xml:space="preserve"> currently has pregnancy category D. This is also proposed for </w:t>
      </w:r>
      <w:r w:rsidR="00C87187">
        <w:t>Wegovy</w:t>
      </w:r>
      <w:r w:rsidR="000D7D70">
        <w:t>.</w:t>
      </w:r>
    </w:p>
    <w:p w14:paraId="27696CEC" w14:textId="77777777" w:rsidR="000D7D70" w:rsidRDefault="000D7D70" w:rsidP="000D7D70">
      <w:pPr>
        <w:pStyle w:val="Heading6"/>
      </w:pPr>
      <w:r>
        <w:t>Post-market experience</w:t>
      </w:r>
    </w:p>
    <w:p w14:paraId="28E587F1" w14:textId="128465B7" w:rsidR="00342CF2" w:rsidRDefault="000D7D70" w:rsidP="000D7D70">
      <w:r>
        <w:t>No data available.</w:t>
      </w:r>
    </w:p>
    <w:p w14:paraId="2858B006" w14:textId="3F0DA13F" w:rsidR="00C22214" w:rsidRDefault="005F45DE" w:rsidP="00E7591C">
      <w:pPr>
        <w:pStyle w:val="Heading3"/>
        <w:rPr>
          <w:lang w:eastAsia="en-AU"/>
        </w:rPr>
      </w:pPr>
      <w:bookmarkStart w:id="73" w:name="_Toc176423066"/>
      <w:bookmarkEnd w:id="72"/>
      <w:r w:rsidRPr="005F45DE">
        <w:rPr>
          <w:lang w:eastAsia="en-AU"/>
        </w:rPr>
        <w:t xml:space="preserve">Risk </w:t>
      </w:r>
      <w:r w:rsidR="009E2978" w:rsidRPr="005F45DE">
        <w:rPr>
          <w:lang w:eastAsia="en-AU"/>
        </w:rPr>
        <w:t xml:space="preserve">management plan evaluation </w:t>
      </w:r>
      <w:proofErr w:type="gramStart"/>
      <w:r w:rsidR="009E2978" w:rsidRPr="005F45DE">
        <w:rPr>
          <w:lang w:eastAsia="en-AU"/>
        </w:rPr>
        <w:t>summary</w:t>
      </w:r>
      <w:bookmarkEnd w:id="73"/>
      <w:proofErr w:type="gramEnd"/>
    </w:p>
    <w:p w14:paraId="4C319530" w14:textId="77777777" w:rsidR="00F07C11" w:rsidRPr="00F07C11" w:rsidRDefault="00F07C11" w:rsidP="00F07C11">
      <w:pPr>
        <w:rPr>
          <w:lang w:eastAsia="en-AU"/>
        </w:rPr>
      </w:pPr>
      <w:r w:rsidRPr="00F07C11">
        <w:rPr>
          <w:lang w:eastAsia="en-AU"/>
        </w:rPr>
        <w:t>A Risk Management Plan was not requested for this submission. The rationale given by the RMP Evaluation section included:</w:t>
      </w:r>
    </w:p>
    <w:p w14:paraId="2535210A" w14:textId="77777777" w:rsidR="00F07C11" w:rsidRPr="00F07C11" w:rsidRDefault="00F07C11" w:rsidP="009E2978">
      <w:pPr>
        <w:pStyle w:val="ListBullet"/>
        <w:rPr>
          <w:lang w:eastAsia="en-AU"/>
        </w:rPr>
      </w:pPr>
      <w:r w:rsidRPr="00F07C11">
        <w:rPr>
          <w:lang w:eastAsia="en-AU"/>
        </w:rPr>
        <w:t>No significantly different target population from an RMP perspective.</w:t>
      </w:r>
    </w:p>
    <w:p w14:paraId="024144DE" w14:textId="2EE73227" w:rsidR="00F07C11" w:rsidRPr="00F07C11" w:rsidRDefault="00F07C11" w:rsidP="009E2978">
      <w:pPr>
        <w:pStyle w:val="ListBullet"/>
        <w:rPr>
          <w:lang w:eastAsia="en-AU"/>
        </w:rPr>
      </w:pPr>
      <w:r w:rsidRPr="00F07C11">
        <w:rPr>
          <w:lang w:eastAsia="en-AU"/>
        </w:rPr>
        <w:t>Semaglutide is currently approved for use in Type 2 diabetes (</w:t>
      </w:r>
      <w:r w:rsidR="002015E0">
        <w:rPr>
          <w:lang w:eastAsia="en-AU"/>
        </w:rPr>
        <w:t>Ozempic</w:t>
      </w:r>
      <w:r w:rsidRPr="00F07C11">
        <w:rPr>
          <w:lang w:eastAsia="en-AU"/>
        </w:rPr>
        <w:t>) as a once weekly SC injection.</w:t>
      </w:r>
    </w:p>
    <w:p w14:paraId="1CFBB006" w14:textId="093284B6" w:rsidR="00F07C11" w:rsidRPr="00F07C11" w:rsidRDefault="00F07C11" w:rsidP="009E2978">
      <w:pPr>
        <w:pStyle w:val="ListBullet"/>
        <w:rPr>
          <w:lang w:eastAsia="en-AU"/>
        </w:rPr>
      </w:pPr>
      <w:r w:rsidRPr="00F07C11">
        <w:rPr>
          <w:lang w:eastAsia="en-AU"/>
        </w:rPr>
        <w:t xml:space="preserve">There are currently no additional risk minimisation activities in place for </w:t>
      </w:r>
      <w:r w:rsidR="002015E0">
        <w:rPr>
          <w:lang w:eastAsia="en-AU"/>
        </w:rPr>
        <w:t>Ozempic</w:t>
      </w:r>
      <w:r w:rsidRPr="00F07C11">
        <w:rPr>
          <w:lang w:eastAsia="en-AU"/>
        </w:rPr>
        <w:t>.</w:t>
      </w:r>
    </w:p>
    <w:p w14:paraId="7E9C9292" w14:textId="77777777" w:rsidR="00F07C11" w:rsidRPr="00F07C11" w:rsidRDefault="00F07C11" w:rsidP="009E2978">
      <w:pPr>
        <w:pStyle w:val="ListBullet"/>
        <w:rPr>
          <w:lang w:eastAsia="en-AU"/>
        </w:rPr>
      </w:pPr>
      <w:r w:rsidRPr="00F07C11">
        <w:rPr>
          <w:lang w:eastAsia="en-AU"/>
        </w:rPr>
        <w:t>Although there is a change in presentation and the inclusion of new strengths, this product is intended to be approved under a new name, with its own PI and CMI so the risk of medication error in relation to other strengths of semaglutide on the market could be expected to be minimal.</w:t>
      </w:r>
    </w:p>
    <w:p w14:paraId="57AFEB51" w14:textId="1E49569F" w:rsidR="00F07C11" w:rsidRPr="00F07C11" w:rsidRDefault="00F07C11" w:rsidP="00F07C11">
      <w:pPr>
        <w:rPr>
          <w:lang w:eastAsia="en-AU"/>
        </w:rPr>
      </w:pPr>
      <w:r w:rsidRPr="00F07C11">
        <w:rPr>
          <w:lang w:eastAsia="en-AU"/>
        </w:rPr>
        <w:t xml:space="preserve">However, in the dossier for </w:t>
      </w:r>
      <w:r w:rsidR="00C87187">
        <w:rPr>
          <w:lang w:eastAsia="en-AU"/>
        </w:rPr>
        <w:t>Wegovy</w:t>
      </w:r>
      <w:r w:rsidRPr="00F07C11">
        <w:rPr>
          <w:lang w:eastAsia="en-AU"/>
        </w:rPr>
        <w:t xml:space="preserve">, the </w:t>
      </w:r>
      <w:r w:rsidR="0041507C">
        <w:rPr>
          <w:lang w:eastAsia="en-AU"/>
        </w:rPr>
        <w:t>Sponsor</w:t>
      </w:r>
      <w:r w:rsidRPr="00F07C11">
        <w:rPr>
          <w:lang w:eastAsia="en-AU"/>
        </w:rPr>
        <w:t xml:space="preserve"> submitted EU-RMP version 5.0 (26 November 2020; DLP 31 May 2018 (semaglutide </w:t>
      </w:r>
      <w:proofErr w:type="spellStart"/>
      <w:r w:rsidR="00B07AA4" w:rsidRPr="00F07C11">
        <w:rPr>
          <w:lang w:eastAsia="en-AU"/>
        </w:rPr>
        <w:t>s.c.</w:t>
      </w:r>
      <w:proofErr w:type="spellEnd"/>
      <w:r w:rsidRPr="00F07C11">
        <w:rPr>
          <w:lang w:eastAsia="en-AU"/>
        </w:rPr>
        <w:t xml:space="preserve">), 2 November 2018 (oral semaglutide), and 28 Oct 2020 (semaglutide </w:t>
      </w:r>
      <w:proofErr w:type="spellStart"/>
      <w:r w:rsidRPr="00F07C11">
        <w:rPr>
          <w:lang w:eastAsia="en-AU"/>
        </w:rPr>
        <w:t>s.c.</w:t>
      </w:r>
      <w:proofErr w:type="spellEnd"/>
      <w:r w:rsidRPr="00F07C11">
        <w:rPr>
          <w:lang w:eastAsia="en-AU"/>
        </w:rPr>
        <w:t xml:space="preserve"> 2.4 mg for weight management)) and ASA version 0.1 (28 August 2020) in support of this application.</w:t>
      </w:r>
    </w:p>
    <w:p w14:paraId="12E35B12" w14:textId="6943A04D" w:rsidR="00F07C11" w:rsidRPr="00F07C11" w:rsidRDefault="00F07C11" w:rsidP="00F07C11">
      <w:pPr>
        <w:rPr>
          <w:lang w:eastAsia="en-AU"/>
        </w:rPr>
      </w:pPr>
      <w:r w:rsidRPr="00F07C11">
        <w:rPr>
          <w:lang w:eastAsia="en-AU"/>
        </w:rPr>
        <w:t xml:space="preserve">It is noted that the ASA version 0.1 appears to be only an annex to semaglutide </w:t>
      </w:r>
      <w:proofErr w:type="spellStart"/>
      <w:r w:rsidRPr="00F07C11">
        <w:rPr>
          <w:lang w:eastAsia="en-AU"/>
        </w:rPr>
        <w:t>s.c.</w:t>
      </w:r>
      <w:proofErr w:type="spellEnd"/>
      <w:r w:rsidRPr="00F07C11">
        <w:rPr>
          <w:lang w:eastAsia="en-AU"/>
        </w:rPr>
        <w:t xml:space="preserve"> 2.4 mg for weight management (WYGOVY, but not for </w:t>
      </w:r>
      <w:r w:rsidR="002015E0">
        <w:rPr>
          <w:lang w:eastAsia="en-AU"/>
        </w:rPr>
        <w:t>OZEMPIC</w:t>
      </w:r>
      <w:r w:rsidRPr="00F07C11">
        <w:rPr>
          <w:lang w:eastAsia="en-AU"/>
        </w:rPr>
        <w:t xml:space="preserve"> or RYBELSUS).</w:t>
      </w:r>
    </w:p>
    <w:p w14:paraId="37297072" w14:textId="43D3DA77" w:rsidR="00F07C11" w:rsidRPr="00F07C11" w:rsidRDefault="00F07C11" w:rsidP="00F07C11">
      <w:pPr>
        <w:rPr>
          <w:lang w:eastAsia="en-AU"/>
        </w:rPr>
      </w:pPr>
      <w:r w:rsidRPr="00F07C11">
        <w:rPr>
          <w:lang w:eastAsia="en-AU"/>
        </w:rPr>
        <w:t xml:space="preserve">The </w:t>
      </w:r>
      <w:r w:rsidR="0041507C">
        <w:rPr>
          <w:lang w:eastAsia="en-AU"/>
        </w:rPr>
        <w:t>Sponsor</w:t>
      </w:r>
      <w:r w:rsidRPr="00F07C11">
        <w:rPr>
          <w:lang w:eastAsia="en-AU"/>
        </w:rPr>
        <w:t xml:space="preserve"> proposes Pregnancy Category D.</w:t>
      </w:r>
    </w:p>
    <w:p w14:paraId="4BCB9403" w14:textId="50F6128A" w:rsidR="00F07C11" w:rsidRPr="00F07C11" w:rsidRDefault="00F07C11" w:rsidP="00F07C11">
      <w:pPr>
        <w:rPr>
          <w:lang w:eastAsia="en-AU"/>
        </w:rPr>
      </w:pPr>
      <w:r w:rsidRPr="00F07C11">
        <w:rPr>
          <w:lang w:eastAsia="en-AU"/>
        </w:rPr>
        <w:t xml:space="preserve">The </w:t>
      </w:r>
      <w:r w:rsidR="0041507C">
        <w:rPr>
          <w:lang w:eastAsia="en-AU"/>
        </w:rPr>
        <w:t>Sponsor</w:t>
      </w:r>
      <w:r w:rsidRPr="00F07C11">
        <w:rPr>
          <w:lang w:eastAsia="en-AU"/>
        </w:rPr>
        <w:t xml:space="preserve"> proposes inclusion in the Black Triangle Scheme (as per PI).</w:t>
      </w:r>
    </w:p>
    <w:p w14:paraId="26848850" w14:textId="1D346EE7" w:rsidR="00F07C11" w:rsidRDefault="00F07C11" w:rsidP="00F07C11">
      <w:pPr>
        <w:rPr>
          <w:lang w:eastAsia="en-AU"/>
        </w:rPr>
      </w:pPr>
      <w:r w:rsidRPr="00F07C11">
        <w:rPr>
          <w:lang w:eastAsia="en-AU"/>
        </w:rPr>
        <w:t xml:space="preserve">The proposed summary of safety concerns and their associated risk monitoring and mitigation strategies are summarised </w:t>
      </w:r>
      <w:r w:rsidR="00386174">
        <w:rPr>
          <w:lang w:eastAsia="en-AU"/>
        </w:rPr>
        <w:t xml:space="preserve">in </w:t>
      </w:r>
      <w:r w:rsidR="00386174" w:rsidRPr="00386174">
        <w:rPr>
          <w:lang w:eastAsia="en-AU"/>
        </w:rPr>
        <w:t>Table 6</w:t>
      </w:r>
      <w:r w:rsidRPr="00F07C11">
        <w:rPr>
          <w:lang w:eastAsia="en-AU"/>
        </w:rPr>
        <w:t>:</w:t>
      </w:r>
    </w:p>
    <w:p w14:paraId="3BA66655" w14:textId="153731FD" w:rsidR="00386174" w:rsidRPr="00F07C11" w:rsidRDefault="00386174" w:rsidP="00386174">
      <w:pPr>
        <w:pStyle w:val="TableTitle"/>
        <w:rPr>
          <w:lang w:eastAsia="en-AU"/>
        </w:rPr>
      </w:pPr>
      <w:r>
        <w:rPr>
          <w:lang w:eastAsia="en-AU"/>
        </w:rPr>
        <w:t xml:space="preserve">Table 6. </w:t>
      </w:r>
      <w:r w:rsidRPr="00386174">
        <w:rPr>
          <w:lang w:eastAsia="en-AU"/>
        </w:rPr>
        <w:t>Summary of safety concerns and missing information</w:t>
      </w:r>
    </w:p>
    <w:tbl>
      <w:tblPr>
        <w:tblStyle w:val="TableGrid"/>
        <w:tblW w:w="9440" w:type="dxa"/>
        <w:jc w:val="center"/>
        <w:tblBorders>
          <w:top w:val="single" w:sz="8" w:space="0" w:color="auto"/>
          <w:left w:val="single" w:sz="8" w:space="0" w:color="auto"/>
          <w:bottom w:val="single" w:sz="8" w:space="0" w:color="auto"/>
          <w:right w:val="single" w:sz="8" w:space="0" w:color="auto"/>
        </w:tblBorders>
        <w:tblLayout w:type="fixed"/>
        <w:tblCellMar>
          <w:left w:w="85" w:type="dxa"/>
          <w:right w:w="85" w:type="dxa"/>
        </w:tblCellMar>
        <w:tblLook w:val="04A0" w:firstRow="1" w:lastRow="0" w:firstColumn="1" w:lastColumn="0" w:noHBand="0" w:noVBand="1"/>
      </w:tblPr>
      <w:tblGrid>
        <w:gridCol w:w="2065"/>
        <w:gridCol w:w="2875"/>
        <w:gridCol w:w="990"/>
        <w:gridCol w:w="1260"/>
        <w:gridCol w:w="990"/>
        <w:gridCol w:w="1260"/>
      </w:tblGrid>
      <w:tr w:rsidR="00F07C11" w:rsidRPr="00F07C11" w14:paraId="6EB6CE6C" w14:textId="77777777" w:rsidTr="00B1440F">
        <w:trPr>
          <w:trHeight w:val="131"/>
          <w:jc w:val="center"/>
        </w:trPr>
        <w:tc>
          <w:tcPr>
            <w:tcW w:w="4940" w:type="dxa"/>
            <w:gridSpan w:val="2"/>
            <w:vMerge w:val="restart"/>
            <w:tcBorders>
              <w:top w:val="single" w:sz="8" w:space="0" w:color="auto"/>
              <w:bottom w:val="single" w:sz="4" w:space="0" w:color="auto"/>
              <w:right w:val="single" w:sz="4" w:space="0" w:color="auto"/>
            </w:tcBorders>
            <w:shd w:val="clear" w:color="auto" w:fill="DEEAF6" w:themeFill="accent5" w:themeFillTint="33"/>
          </w:tcPr>
          <w:p w14:paraId="456E2174" w14:textId="77777777" w:rsidR="00F07C11" w:rsidRPr="00B1440F" w:rsidRDefault="00F07C11" w:rsidP="00F07C11">
            <w:pPr>
              <w:spacing w:after="120" w:line="259" w:lineRule="auto"/>
              <w:rPr>
                <w:rFonts w:eastAsiaTheme="minorHAnsi" w:cstheme="minorBidi"/>
                <w:b/>
                <w:color w:val="002060"/>
                <w:szCs w:val="20"/>
              </w:rPr>
            </w:pPr>
            <w:r w:rsidRPr="00B1440F">
              <w:rPr>
                <w:rFonts w:eastAsiaTheme="minorHAnsi" w:cstheme="minorBidi"/>
                <w:b/>
                <w:color w:val="002060"/>
                <w:szCs w:val="20"/>
              </w:rPr>
              <w:t>Summary of safety concerns</w:t>
            </w:r>
          </w:p>
        </w:tc>
        <w:tc>
          <w:tcPr>
            <w:tcW w:w="2250" w:type="dxa"/>
            <w:gridSpan w:val="2"/>
            <w:tcBorders>
              <w:top w:val="single" w:sz="8" w:space="0" w:color="auto"/>
              <w:left w:val="single" w:sz="4" w:space="0" w:color="auto"/>
              <w:bottom w:val="single" w:sz="4" w:space="0" w:color="auto"/>
            </w:tcBorders>
            <w:shd w:val="clear" w:color="auto" w:fill="DEEAF6" w:themeFill="accent5" w:themeFillTint="33"/>
          </w:tcPr>
          <w:p w14:paraId="2D06486B" w14:textId="77777777" w:rsidR="00F07C11" w:rsidRPr="00B1440F" w:rsidRDefault="00F07C11" w:rsidP="00F07C11">
            <w:pPr>
              <w:spacing w:after="120" w:line="259" w:lineRule="auto"/>
              <w:rPr>
                <w:rFonts w:eastAsiaTheme="minorHAnsi" w:cstheme="minorBidi"/>
                <w:b/>
                <w:color w:val="002060"/>
                <w:szCs w:val="20"/>
              </w:rPr>
            </w:pPr>
            <w:r w:rsidRPr="00B1440F">
              <w:rPr>
                <w:rFonts w:eastAsiaTheme="minorHAnsi" w:cstheme="minorBidi"/>
                <w:b/>
                <w:color w:val="002060"/>
                <w:szCs w:val="20"/>
              </w:rPr>
              <w:t>Pharmacovigilance</w:t>
            </w:r>
          </w:p>
        </w:tc>
        <w:tc>
          <w:tcPr>
            <w:tcW w:w="2250" w:type="dxa"/>
            <w:gridSpan w:val="2"/>
            <w:tcBorders>
              <w:top w:val="single" w:sz="8" w:space="0" w:color="auto"/>
              <w:left w:val="single" w:sz="4" w:space="0" w:color="auto"/>
              <w:bottom w:val="single" w:sz="4" w:space="0" w:color="auto"/>
            </w:tcBorders>
            <w:shd w:val="clear" w:color="auto" w:fill="DEEAF6" w:themeFill="accent5" w:themeFillTint="33"/>
          </w:tcPr>
          <w:p w14:paraId="6514EC36" w14:textId="77777777" w:rsidR="00F07C11" w:rsidRPr="00B1440F" w:rsidRDefault="00F07C11" w:rsidP="00F07C11">
            <w:pPr>
              <w:spacing w:after="120" w:line="259" w:lineRule="auto"/>
              <w:rPr>
                <w:rFonts w:eastAsiaTheme="minorHAnsi" w:cstheme="minorBidi"/>
                <w:b/>
                <w:color w:val="002060"/>
                <w:szCs w:val="20"/>
              </w:rPr>
            </w:pPr>
            <w:r w:rsidRPr="00B1440F">
              <w:rPr>
                <w:rFonts w:eastAsiaTheme="minorHAnsi" w:cstheme="minorBidi"/>
                <w:b/>
                <w:color w:val="002060"/>
                <w:szCs w:val="20"/>
              </w:rPr>
              <w:t>Risk Minimisation</w:t>
            </w:r>
          </w:p>
        </w:tc>
      </w:tr>
      <w:tr w:rsidR="00F07C11" w:rsidRPr="00F07C11" w14:paraId="5E9A4B92" w14:textId="77777777" w:rsidTr="00B1440F">
        <w:trPr>
          <w:trHeight w:val="150"/>
          <w:jc w:val="center"/>
        </w:trPr>
        <w:tc>
          <w:tcPr>
            <w:tcW w:w="4940" w:type="dxa"/>
            <w:gridSpan w:val="2"/>
            <w:vMerge/>
            <w:tcBorders>
              <w:top w:val="single" w:sz="4" w:space="0" w:color="auto"/>
              <w:bottom w:val="single" w:sz="8" w:space="0" w:color="auto"/>
              <w:right w:val="single" w:sz="4" w:space="0" w:color="auto"/>
            </w:tcBorders>
            <w:shd w:val="clear" w:color="auto" w:fill="DEEAF6" w:themeFill="accent5" w:themeFillTint="33"/>
          </w:tcPr>
          <w:p w14:paraId="7619FA45" w14:textId="77777777" w:rsidR="00F07C11" w:rsidRPr="00B1440F" w:rsidRDefault="00F07C11" w:rsidP="00F07C11">
            <w:pPr>
              <w:spacing w:after="120" w:line="259" w:lineRule="auto"/>
              <w:rPr>
                <w:rFonts w:eastAsiaTheme="minorHAnsi" w:cstheme="minorBidi"/>
                <w:b/>
                <w:color w:val="002060"/>
                <w:szCs w:val="20"/>
              </w:rPr>
            </w:pPr>
          </w:p>
        </w:tc>
        <w:tc>
          <w:tcPr>
            <w:tcW w:w="990" w:type="dxa"/>
            <w:tcBorders>
              <w:top w:val="single" w:sz="4" w:space="0" w:color="auto"/>
              <w:left w:val="single" w:sz="4" w:space="0" w:color="auto"/>
              <w:bottom w:val="single" w:sz="8" w:space="0" w:color="auto"/>
              <w:right w:val="dotted" w:sz="2" w:space="0" w:color="auto"/>
            </w:tcBorders>
            <w:shd w:val="clear" w:color="auto" w:fill="DEEAF6" w:themeFill="accent5" w:themeFillTint="33"/>
          </w:tcPr>
          <w:p w14:paraId="5DA31EC7" w14:textId="77777777" w:rsidR="00F07C11" w:rsidRPr="00B1440F" w:rsidRDefault="00F07C11" w:rsidP="00F07C11">
            <w:pPr>
              <w:spacing w:after="120" w:line="259" w:lineRule="auto"/>
              <w:rPr>
                <w:rFonts w:eastAsiaTheme="minorHAnsi" w:cstheme="minorBidi"/>
                <w:b/>
                <w:color w:val="002060"/>
                <w:szCs w:val="20"/>
              </w:rPr>
            </w:pPr>
            <w:r w:rsidRPr="00B1440F">
              <w:rPr>
                <w:rFonts w:eastAsiaTheme="minorHAnsi" w:cstheme="minorBidi"/>
                <w:b/>
                <w:color w:val="002060"/>
                <w:szCs w:val="20"/>
              </w:rPr>
              <w:t>Routine</w:t>
            </w:r>
          </w:p>
        </w:tc>
        <w:tc>
          <w:tcPr>
            <w:tcW w:w="1260" w:type="dxa"/>
            <w:tcBorders>
              <w:top w:val="single" w:sz="4" w:space="0" w:color="auto"/>
              <w:left w:val="dotted" w:sz="2" w:space="0" w:color="auto"/>
              <w:bottom w:val="single" w:sz="8" w:space="0" w:color="auto"/>
            </w:tcBorders>
            <w:shd w:val="clear" w:color="auto" w:fill="DEEAF6" w:themeFill="accent5" w:themeFillTint="33"/>
          </w:tcPr>
          <w:p w14:paraId="55E09FEB" w14:textId="77777777" w:rsidR="00F07C11" w:rsidRPr="00B1440F" w:rsidRDefault="00F07C11" w:rsidP="00F07C11">
            <w:pPr>
              <w:spacing w:after="120" w:line="259" w:lineRule="auto"/>
              <w:rPr>
                <w:rFonts w:eastAsiaTheme="minorHAnsi" w:cstheme="minorBidi"/>
                <w:b/>
                <w:color w:val="002060"/>
                <w:szCs w:val="20"/>
              </w:rPr>
            </w:pPr>
            <w:r w:rsidRPr="00B1440F">
              <w:rPr>
                <w:rFonts w:eastAsiaTheme="minorHAnsi" w:cstheme="minorBidi"/>
                <w:b/>
                <w:color w:val="002060"/>
                <w:szCs w:val="20"/>
              </w:rPr>
              <w:t>Additional</w:t>
            </w:r>
          </w:p>
        </w:tc>
        <w:tc>
          <w:tcPr>
            <w:tcW w:w="990" w:type="dxa"/>
            <w:tcBorders>
              <w:top w:val="single" w:sz="4" w:space="0" w:color="auto"/>
              <w:left w:val="single" w:sz="4" w:space="0" w:color="auto"/>
              <w:bottom w:val="single" w:sz="8" w:space="0" w:color="auto"/>
              <w:right w:val="dotted" w:sz="2" w:space="0" w:color="auto"/>
            </w:tcBorders>
            <w:shd w:val="clear" w:color="auto" w:fill="DEEAF6" w:themeFill="accent5" w:themeFillTint="33"/>
          </w:tcPr>
          <w:p w14:paraId="2563DC3B" w14:textId="77777777" w:rsidR="00F07C11" w:rsidRPr="00B1440F" w:rsidRDefault="00F07C11" w:rsidP="00F07C11">
            <w:pPr>
              <w:spacing w:after="120" w:line="259" w:lineRule="auto"/>
              <w:rPr>
                <w:rFonts w:eastAsiaTheme="minorHAnsi" w:cstheme="minorBidi"/>
                <w:b/>
                <w:color w:val="002060"/>
                <w:szCs w:val="20"/>
              </w:rPr>
            </w:pPr>
            <w:r w:rsidRPr="00B1440F">
              <w:rPr>
                <w:rFonts w:eastAsiaTheme="minorHAnsi" w:cstheme="minorBidi"/>
                <w:b/>
                <w:color w:val="002060"/>
                <w:szCs w:val="20"/>
              </w:rPr>
              <w:t>Routine</w:t>
            </w:r>
          </w:p>
        </w:tc>
        <w:tc>
          <w:tcPr>
            <w:tcW w:w="1260" w:type="dxa"/>
            <w:tcBorders>
              <w:top w:val="single" w:sz="4" w:space="0" w:color="auto"/>
              <w:left w:val="dotted" w:sz="2" w:space="0" w:color="auto"/>
              <w:bottom w:val="single" w:sz="8" w:space="0" w:color="auto"/>
            </w:tcBorders>
            <w:shd w:val="clear" w:color="auto" w:fill="DEEAF6" w:themeFill="accent5" w:themeFillTint="33"/>
          </w:tcPr>
          <w:p w14:paraId="03047F75" w14:textId="77777777" w:rsidR="00F07C11" w:rsidRPr="00B1440F" w:rsidRDefault="00F07C11" w:rsidP="00F07C11">
            <w:pPr>
              <w:spacing w:after="120" w:line="259" w:lineRule="auto"/>
              <w:rPr>
                <w:rFonts w:eastAsiaTheme="minorHAnsi" w:cstheme="minorBidi"/>
                <w:b/>
                <w:color w:val="002060"/>
                <w:szCs w:val="20"/>
              </w:rPr>
            </w:pPr>
            <w:r w:rsidRPr="00B1440F">
              <w:rPr>
                <w:rFonts w:eastAsiaTheme="minorHAnsi" w:cstheme="minorBidi"/>
                <w:b/>
                <w:color w:val="002060"/>
                <w:szCs w:val="20"/>
              </w:rPr>
              <w:t>Additional</w:t>
            </w:r>
          </w:p>
        </w:tc>
      </w:tr>
      <w:tr w:rsidR="00F07C11" w:rsidRPr="00F07C11" w14:paraId="522FB630" w14:textId="77777777" w:rsidTr="00B1440F">
        <w:trPr>
          <w:trHeight w:val="137"/>
          <w:jc w:val="center"/>
        </w:trPr>
        <w:tc>
          <w:tcPr>
            <w:tcW w:w="2065" w:type="dxa"/>
            <w:tcBorders>
              <w:top w:val="single" w:sz="8" w:space="0" w:color="auto"/>
            </w:tcBorders>
          </w:tcPr>
          <w:p w14:paraId="6052165A" w14:textId="77777777" w:rsidR="00F07C11" w:rsidRPr="00F07C11" w:rsidRDefault="00F07C11" w:rsidP="00F07C11">
            <w:pPr>
              <w:spacing w:after="120" w:line="259" w:lineRule="auto"/>
              <w:rPr>
                <w:rFonts w:eastAsiaTheme="minorHAnsi" w:cstheme="minorBidi"/>
                <w:b/>
                <w:szCs w:val="20"/>
              </w:rPr>
            </w:pPr>
            <w:r w:rsidRPr="00F07C11">
              <w:rPr>
                <w:rFonts w:eastAsiaTheme="minorHAnsi" w:cstheme="minorBidi"/>
                <w:b/>
                <w:szCs w:val="20"/>
              </w:rPr>
              <w:t>Important identified risks</w:t>
            </w:r>
          </w:p>
        </w:tc>
        <w:tc>
          <w:tcPr>
            <w:tcW w:w="2875" w:type="dxa"/>
            <w:tcBorders>
              <w:top w:val="single" w:sz="8" w:space="0" w:color="auto"/>
              <w:bottom w:val="dotted" w:sz="2" w:space="0" w:color="auto"/>
              <w:right w:val="single" w:sz="4" w:space="0" w:color="auto"/>
            </w:tcBorders>
          </w:tcPr>
          <w:p w14:paraId="48306445"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t xml:space="preserve">Diabetic retinopathy complications </w:t>
            </w:r>
          </w:p>
        </w:tc>
        <w:tc>
          <w:tcPr>
            <w:tcW w:w="990" w:type="dxa"/>
            <w:tcBorders>
              <w:top w:val="single" w:sz="8" w:space="0" w:color="auto"/>
              <w:left w:val="single" w:sz="4" w:space="0" w:color="auto"/>
              <w:bottom w:val="dotted" w:sz="2" w:space="0" w:color="auto"/>
              <w:right w:val="dotted" w:sz="2" w:space="0" w:color="auto"/>
            </w:tcBorders>
            <w:vAlign w:val="center"/>
          </w:tcPr>
          <w:p w14:paraId="03838249"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sym w:font="Wingdings" w:char="F0FC"/>
            </w:r>
          </w:p>
        </w:tc>
        <w:tc>
          <w:tcPr>
            <w:tcW w:w="1260" w:type="dxa"/>
            <w:tcBorders>
              <w:top w:val="single" w:sz="8" w:space="0" w:color="auto"/>
              <w:left w:val="dotted" w:sz="2" w:space="0" w:color="auto"/>
              <w:bottom w:val="dotted" w:sz="2" w:space="0" w:color="auto"/>
            </w:tcBorders>
            <w:vAlign w:val="center"/>
          </w:tcPr>
          <w:p w14:paraId="6729EE7A"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sym w:font="Wingdings" w:char="F0FC"/>
            </w:r>
          </w:p>
        </w:tc>
        <w:tc>
          <w:tcPr>
            <w:tcW w:w="990" w:type="dxa"/>
            <w:tcBorders>
              <w:top w:val="single" w:sz="8" w:space="0" w:color="auto"/>
              <w:left w:val="single" w:sz="4" w:space="0" w:color="auto"/>
              <w:bottom w:val="dotted" w:sz="2" w:space="0" w:color="auto"/>
              <w:right w:val="dotted" w:sz="2" w:space="0" w:color="auto"/>
            </w:tcBorders>
            <w:vAlign w:val="center"/>
          </w:tcPr>
          <w:p w14:paraId="4EAEB4DB"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sym w:font="Wingdings" w:char="F0FC"/>
            </w:r>
          </w:p>
        </w:tc>
        <w:tc>
          <w:tcPr>
            <w:tcW w:w="1260" w:type="dxa"/>
            <w:tcBorders>
              <w:top w:val="single" w:sz="8" w:space="0" w:color="auto"/>
              <w:left w:val="dotted" w:sz="2" w:space="0" w:color="auto"/>
              <w:bottom w:val="dotted" w:sz="2" w:space="0" w:color="auto"/>
            </w:tcBorders>
            <w:vAlign w:val="center"/>
          </w:tcPr>
          <w:p w14:paraId="1F5D1D09"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t>–</w:t>
            </w:r>
          </w:p>
        </w:tc>
      </w:tr>
      <w:tr w:rsidR="00F07C11" w:rsidRPr="00F07C11" w14:paraId="365D32FB" w14:textId="77777777" w:rsidTr="00B1440F">
        <w:trPr>
          <w:trHeight w:val="159"/>
          <w:jc w:val="center"/>
        </w:trPr>
        <w:tc>
          <w:tcPr>
            <w:tcW w:w="2065" w:type="dxa"/>
            <w:vMerge w:val="restart"/>
          </w:tcPr>
          <w:p w14:paraId="0B6D3A10" w14:textId="77777777" w:rsidR="00F07C11" w:rsidRPr="00F07C11" w:rsidRDefault="00F07C11" w:rsidP="00F07C11">
            <w:pPr>
              <w:spacing w:after="120" w:line="259" w:lineRule="auto"/>
              <w:rPr>
                <w:rFonts w:eastAsiaTheme="minorHAnsi" w:cstheme="minorBidi"/>
                <w:b/>
                <w:szCs w:val="20"/>
              </w:rPr>
            </w:pPr>
            <w:r w:rsidRPr="00F07C11">
              <w:rPr>
                <w:rFonts w:eastAsiaTheme="minorHAnsi" w:cstheme="minorBidi"/>
                <w:b/>
                <w:szCs w:val="20"/>
              </w:rPr>
              <w:t>Important potential risks</w:t>
            </w:r>
          </w:p>
        </w:tc>
        <w:tc>
          <w:tcPr>
            <w:tcW w:w="2875" w:type="dxa"/>
            <w:tcBorders>
              <w:bottom w:val="dotted" w:sz="2" w:space="0" w:color="auto"/>
              <w:right w:val="single" w:sz="4" w:space="0" w:color="auto"/>
            </w:tcBorders>
          </w:tcPr>
          <w:p w14:paraId="78593D7E" w14:textId="77777777" w:rsidR="00F07C11" w:rsidRPr="00A231E4" w:rsidRDefault="00F07C11" w:rsidP="00F07C11">
            <w:pPr>
              <w:spacing w:after="120" w:line="259" w:lineRule="auto"/>
              <w:rPr>
                <w:rFonts w:eastAsiaTheme="minorHAnsi" w:cstheme="minorBidi"/>
                <w:szCs w:val="20"/>
                <w:lang w:val="fr-FR"/>
              </w:rPr>
            </w:pPr>
            <w:proofErr w:type="spellStart"/>
            <w:r w:rsidRPr="00A231E4">
              <w:rPr>
                <w:rFonts w:eastAsiaTheme="minorHAnsi" w:cstheme="minorBidi"/>
                <w:szCs w:val="20"/>
                <w:lang w:val="fr-FR"/>
              </w:rPr>
              <w:t>Neoplasms</w:t>
            </w:r>
            <w:proofErr w:type="spellEnd"/>
            <w:r w:rsidRPr="00A231E4">
              <w:rPr>
                <w:rFonts w:eastAsiaTheme="minorHAnsi" w:cstheme="minorBidi"/>
                <w:szCs w:val="20"/>
                <w:lang w:val="fr-FR"/>
              </w:rPr>
              <w:t xml:space="preserve"> (</w:t>
            </w:r>
            <w:proofErr w:type="spellStart"/>
            <w:r w:rsidRPr="00A231E4">
              <w:rPr>
                <w:rFonts w:eastAsiaTheme="minorHAnsi" w:cstheme="minorBidi"/>
                <w:szCs w:val="20"/>
                <w:lang w:val="fr-FR"/>
              </w:rPr>
              <w:t>malignant</w:t>
            </w:r>
            <w:proofErr w:type="spellEnd"/>
            <w:r w:rsidRPr="00A231E4">
              <w:rPr>
                <w:rFonts w:eastAsiaTheme="minorHAnsi" w:cstheme="minorBidi"/>
                <w:szCs w:val="20"/>
                <w:lang w:val="fr-FR"/>
              </w:rPr>
              <w:t xml:space="preserve"> and non-</w:t>
            </w:r>
            <w:proofErr w:type="spellStart"/>
            <w:r w:rsidRPr="00A231E4">
              <w:rPr>
                <w:rFonts w:eastAsiaTheme="minorHAnsi" w:cstheme="minorBidi"/>
                <w:szCs w:val="20"/>
                <w:lang w:val="fr-FR"/>
              </w:rPr>
              <w:t>malignant</w:t>
            </w:r>
            <w:proofErr w:type="spellEnd"/>
            <w:r w:rsidRPr="00A231E4">
              <w:rPr>
                <w:rFonts w:eastAsiaTheme="minorHAnsi" w:cstheme="minorBidi"/>
                <w:szCs w:val="20"/>
                <w:lang w:val="fr-FR"/>
              </w:rPr>
              <w:t>)</w:t>
            </w:r>
          </w:p>
        </w:tc>
        <w:tc>
          <w:tcPr>
            <w:tcW w:w="990" w:type="dxa"/>
            <w:tcBorders>
              <w:left w:val="single" w:sz="4" w:space="0" w:color="auto"/>
              <w:bottom w:val="dotted" w:sz="2" w:space="0" w:color="auto"/>
              <w:right w:val="dotted" w:sz="2" w:space="0" w:color="auto"/>
            </w:tcBorders>
            <w:vAlign w:val="center"/>
          </w:tcPr>
          <w:p w14:paraId="12990822"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sym w:font="Wingdings" w:char="F0FC"/>
            </w:r>
          </w:p>
        </w:tc>
        <w:tc>
          <w:tcPr>
            <w:tcW w:w="1260" w:type="dxa"/>
            <w:tcBorders>
              <w:left w:val="dotted" w:sz="2" w:space="0" w:color="auto"/>
              <w:bottom w:val="dotted" w:sz="2" w:space="0" w:color="auto"/>
            </w:tcBorders>
            <w:vAlign w:val="center"/>
          </w:tcPr>
          <w:p w14:paraId="13D9AF7C"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sym w:font="Wingdings" w:char="F0FC"/>
            </w:r>
          </w:p>
        </w:tc>
        <w:tc>
          <w:tcPr>
            <w:tcW w:w="990" w:type="dxa"/>
            <w:tcBorders>
              <w:left w:val="single" w:sz="4" w:space="0" w:color="auto"/>
              <w:bottom w:val="dotted" w:sz="2" w:space="0" w:color="auto"/>
              <w:right w:val="dotted" w:sz="2" w:space="0" w:color="auto"/>
            </w:tcBorders>
            <w:vAlign w:val="center"/>
          </w:tcPr>
          <w:p w14:paraId="212DE531"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t>–</w:t>
            </w:r>
          </w:p>
        </w:tc>
        <w:tc>
          <w:tcPr>
            <w:tcW w:w="1260" w:type="dxa"/>
            <w:tcBorders>
              <w:left w:val="dotted" w:sz="2" w:space="0" w:color="auto"/>
              <w:bottom w:val="dotted" w:sz="2" w:space="0" w:color="auto"/>
            </w:tcBorders>
            <w:vAlign w:val="center"/>
          </w:tcPr>
          <w:p w14:paraId="78BE44AA"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t>–</w:t>
            </w:r>
          </w:p>
        </w:tc>
      </w:tr>
      <w:tr w:rsidR="00F07C11" w:rsidRPr="00F07C11" w14:paraId="0D079EBF" w14:textId="77777777" w:rsidTr="00B1440F">
        <w:trPr>
          <w:trHeight w:val="122"/>
          <w:jc w:val="center"/>
        </w:trPr>
        <w:tc>
          <w:tcPr>
            <w:tcW w:w="2065" w:type="dxa"/>
            <w:vMerge/>
          </w:tcPr>
          <w:p w14:paraId="30799F86" w14:textId="77777777" w:rsidR="00F07C11" w:rsidRPr="00F07C11" w:rsidRDefault="00F07C11" w:rsidP="00F07C11">
            <w:pPr>
              <w:spacing w:after="120" w:line="259" w:lineRule="auto"/>
              <w:rPr>
                <w:rFonts w:eastAsiaTheme="minorHAnsi" w:cstheme="minorBidi"/>
                <w:b/>
                <w:szCs w:val="20"/>
              </w:rPr>
            </w:pPr>
          </w:p>
        </w:tc>
        <w:tc>
          <w:tcPr>
            <w:tcW w:w="2875" w:type="dxa"/>
            <w:tcBorders>
              <w:top w:val="dotted" w:sz="2" w:space="0" w:color="auto"/>
              <w:bottom w:val="dotted" w:sz="2" w:space="0" w:color="auto"/>
              <w:right w:val="single" w:sz="4" w:space="0" w:color="auto"/>
            </w:tcBorders>
          </w:tcPr>
          <w:p w14:paraId="44E9B770"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t xml:space="preserve">Pancreatic cancer </w:t>
            </w:r>
          </w:p>
        </w:tc>
        <w:tc>
          <w:tcPr>
            <w:tcW w:w="990" w:type="dxa"/>
            <w:tcBorders>
              <w:top w:val="dotted" w:sz="2" w:space="0" w:color="auto"/>
              <w:left w:val="single" w:sz="4" w:space="0" w:color="auto"/>
              <w:bottom w:val="dotted" w:sz="2" w:space="0" w:color="auto"/>
              <w:right w:val="dotted" w:sz="2" w:space="0" w:color="auto"/>
            </w:tcBorders>
            <w:vAlign w:val="center"/>
          </w:tcPr>
          <w:p w14:paraId="552F22C5"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sym w:font="Wingdings" w:char="F0FC"/>
            </w:r>
          </w:p>
        </w:tc>
        <w:tc>
          <w:tcPr>
            <w:tcW w:w="1260" w:type="dxa"/>
            <w:tcBorders>
              <w:top w:val="dotted" w:sz="2" w:space="0" w:color="auto"/>
              <w:left w:val="dotted" w:sz="2" w:space="0" w:color="auto"/>
              <w:bottom w:val="dotted" w:sz="2" w:space="0" w:color="auto"/>
            </w:tcBorders>
            <w:vAlign w:val="center"/>
          </w:tcPr>
          <w:p w14:paraId="0C55CCAA"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sym w:font="Wingdings" w:char="F0FC"/>
            </w:r>
          </w:p>
        </w:tc>
        <w:tc>
          <w:tcPr>
            <w:tcW w:w="990" w:type="dxa"/>
            <w:tcBorders>
              <w:top w:val="dotted" w:sz="2" w:space="0" w:color="auto"/>
              <w:left w:val="single" w:sz="4" w:space="0" w:color="auto"/>
              <w:bottom w:val="dotted" w:sz="2" w:space="0" w:color="auto"/>
              <w:right w:val="dotted" w:sz="2" w:space="0" w:color="auto"/>
            </w:tcBorders>
            <w:vAlign w:val="center"/>
          </w:tcPr>
          <w:p w14:paraId="52995B37"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sym w:font="Wingdings" w:char="F0FC"/>
            </w:r>
          </w:p>
        </w:tc>
        <w:tc>
          <w:tcPr>
            <w:tcW w:w="1260" w:type="dxa"/>
            <w:tcBorders>
              <w:top w:val="dotted" w:sz="2" w:space="0" w:color="auto"/>
              <w:left w:val="dotted" w:sz="2" w:space="0" w:color="auto"/>
              <w:bottom w:val="dotted" w:sz="2" w:space="0" w:color="auto"/>
            </w:tcBorders>
            <w:vAlign w:val="center"/>
          </w:tcPr>
          <w:p w14:paraId="604D356E"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t>–</w:t>
            </w:r>
          </w:p>
        </w:tc>
      </w:tr>
      <w:tr w:rsidR="00F07C11" w:rsidRPr="00F07C11" w14:paraId="19B74071" w14:textId="77777777" w:rsidTr="00B1440F">
        <w:trPr>
          <w:trHeight w:val="112"/>
          <w:jc w:val="center"/>
        </w:trPr>
        <w:tc>
          <w:tcPr>
            <w:tcW w:w="2065" w:type="dxa"/>
            <w:vMerge/>
          </w:tcPr>
          <w:p w14:paraId="7861BA6F" w14:textId="77777777" w:rsidR="00F07C11" w:rsidRPr="00F07C11" w:rsidRDefault="00F07C11" w:rsidP="00F07C11">
            <w:pPr>
              <w:spacing w:after="120" w:line="259" w:lineRule="auto"/>
              <w:rPr>
                <w:rFonts w:eastAsiaTheme="minorHAnsi" w:cstheme="minorBidi"/>
                <w:b/>
                <w:szCs w:val="20"/>
              </w:rPr>
            </w:pPr>
          </w:p>
        </w:tc>
        <w:tc>
          <w:tcPr>
            <w:tcW w:w="2875" w:type="dxa"/>
            <w:tcBorders>
              <w:top w:val="dotted" w:sz="2" w:space="0" w:color="auto"/>
              <w:bottom w:val="dotted" w:sz="2" w:space="0" w:color="auto"/>
              <w:right w:val="single" w:sz="4" w:space="0" w:color="auto"/>
            </w:tcBorders>
          </w:tcPr>
          <w:p w14:paraId="583A253D"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t xml:space="preserve">Medullary thyroid cancer </w:t>
            </w:r>
          </w:p>
        </w:tc>
        <w:tc>
          <w:tcPr>
            <w:tcW w:w="990" w:type="dxa"/>
            <w:tcBorders>
              <w:top w:val="dotted" w:sz="2" w:space="0" w:color="auto"/>
              <w:left w:val="single" w:sz="4" w:space="0" w:color="auto"/>
              <w:bottom w:val="dotted" w:sz="2" w:space="0" w:color="auto"/>
              <w:right w:val="dotted" w:sz="2" w:space="0" w:color="auto"/>
            </w:tcBorders>
            <w:vAlign w:val="center"/>
          </w:tcPr>
          <w:p w14:paraId="49B38B2C"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sym w:font="Wingdings" w:char="F0FC"/>
            </w:r>
          </w:p>
        </w:tc>
        <w:tc>
          <w:tcPr>
            <w:tcW w:w="1260" w:type="dxa"/>
            <w:tcBorders>
              <w:top w:val="dotted" w:sz="2" w:space="0" w:color="auto"/>
              <w:left w:val="dotted" w:sz="2" w:space="0" w:color="auto"/>
              <w:bottom w:val="dotted" w:sz="2" w:space="0" w:color="auto"/>
            </w:tcBorders>
            <w:vAlign w:val="center"/>
          </w:tcPr>
          <w:p w14:paraId="07EEF40D"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sym w:font="Wingdings" w:char="F0FC"/>
            </w:r>
          </w:p>
        </w:tc>
        <w:tc>
          <w:tcPr>
            <w:tcW w:w="990" w:type="dxa"/>
            <w:tcBorders>
              <w:top w:val="dotted" w:sz="2" w:space="0" w:color="auto"/>
              <w:left w:val="single" w:sz="4" w:space="0" w:color="auto"/>
              <w:bottom w:val="dotted" w:sz="2" w:space="0" w:color="auto"/>
              <w:right w:val="dotted" w:sz="2" w:space="0" w:color="auto"/>
            </w:tcBorders>
            <w:vAlign w:val="center"/>
          </w:tcPr>
          <w:p w14:paraId="75153AC3"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sym w:font="Wingdings" w:char="F0FC"/>
            </w:r>
          </w:p>
        </w:tc>
        <w:tc>
          <w:tcPr>
            <w:tcW w:w="1260" w:type="dxa"/>
            <w:tcBorders>
              <w:top w:val="dotted" w:sz="2" w:space="0" w:color="auto"/>
              <w:left w:val="dotted" w:sz="2" w:space="0" w:color="auto"/>
              <w:bottom w:val="dotted" w:sz="2" w:space="0" w:color="auto"/>
            </w:tcBorders>
            <w:vAlign w:val="center"/>
          </w:tcPr>
          <w:p w14:paraId="4A7C32D7"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t>–</w:t>
            </w:r>
          </w:p>
        </w:tc>
      </w:tr>
      <w:tr w:rsidR="00F07C11" w:rsidRPr="00F07C11" w14:paraId="54244DA5" w14:textId="77777777" w:rsidTr="00B1440F">
        <w:trPr>
          <w:trHeight w:val="178"/>
          <w:jc w:val="center"/>
        </w:trPr>
        <w:tc>
          <w:tcPr>
            <w:tcW w:w="2065" w:type="dxa"/>
            <w:vMerge w:val="restart"/>
          </w:tcPr>
          <w:p w14:paraId="262FFCD4" w14:textId="77777777" w:rsidR="00F07C11" w:rsidRPr="00F07C11" w:rsidRDefault="00F07C11" w:rsidP="00F07C11">
            <w:pPr>
              <w:spacing w:after="120" w:line="259" w:lineRule="auto"/>
              <w:rPr>
                <w:rFonts w:eastAsiaTheme="minorHAnsi" w:cstheme="minorBidi"/>
                <w:b/>
                <w:szCs w:val="20"/>
              </w:rPr>
            </w:pPr>
            <w:r w:rsidRPr="00F07C11">
              <w:rPr>
                <w:rFonts w:eastAsiaTheme="minorHAnsi" w:cstheme="minorBidi"/>
                <w:b/>
                <w:szCs w:val="20"/>
              </w:rPr>
              <w:t>Missing information</w:t>
            </w:r>
          </w:p>
        </w:tc>
        <w:tc>
          <w:tcPr>
            <w:tcW w:w="2875" w:type="dxa"/>
            <w:tcBorders>
              <w:top w:val="single" w:sz="4" w:space="0" w:color="auto"/>
              <w:bottom w:val="single" w:sz="4" w:space="0" w:color="auto"/>
              <w:right w:val="single" w:sz="4" w:space="0" w:color="auto"/>
            </w:tcBorders>
          </w:tcPr>
          <w:p w14:paraId="1A031953"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t>Pregnancy and lactation</w:t>
            </w:r>
          </w:p>
        </w:tc>
        <w:tc>
          <w:tcPr>
            <w:tcW w:w="990" w:type="dxa"/>
            <w:tcBorders>
              <w:top w:val="single" w:sz="4" w:space="0" w:color="auto"/>
              <w:left w:val="single" w:sz="4" w:space="0" w:color="auto"/>
              <w:bottom w:val="single" w:sz="4" w:space="0" w:color="auto"/>
              <w:right w:val="dotted" w:sz="2" w:space="0" w:color="auto"/>
            </w:tcBorders>
            <w:vAlign w:val="center"/>
          </w:tcPr>
          <w:p w14:paraId="03EF437F"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sym w:font="Wingdings" w:char="F0FC"/>
            </w:r>
          </w:p>
        </w:tc>
        <w:tc>
          <w:tcPr>
            <w:tcW w:w="1260" w:type="dxa"/>
            <w:tcBorders>
              <w:top w:val="single" w:sz="4" w:space="0" w:color="auto"/>
              <w:left w:val="dotted" w:sz="2" w:space="0" w:color="auto"/>
              <w:bottom w:val="single" w:sz="4" w:space="0" w:color="auto"/>
            </w:tcBorders>
            <w:vAlign w:val="center"/>
          </w:tcPr>
          <w:p w14:paraId="0CFD1769"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t>–</w:t>
            </w:r>
          </w:p>
        </w:tc>
        <w:tc>
          <w:tcPr>
            <w:tcW w:w="990" w:type="dxa"/>
            <w:tcBorders>
              <w:top w:val="single" w:sz="4" w:space="0" w:color="auto"/>
              <w:left w:val="single" w:sz="4" w:space="0" w:color="auto"/>
              <w:bottom w:val="single" w:sz="4" w:space="0" w:color="auto"/>
              <w:right w:val="dotted" w:sz="2" w:space="0" w:color="auto"/>
            </w:tcBorders>
            <w:vAlign w:val="center"/>
          </w:tcPr>
          <w:p w14:paraId="6477DA6E"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sym w:font="Wingdings" w:char="F0FC"/>
            </w:r>
          </w:p>
        </w:tc>
        <w:tc>
          <w:tcPr>
            <w:tcW w:w="1260" w:type="dxa"/>
            <w:tcBorders>
              <w:top w:val="single" w:sz="4" w:space="0" w:color="auto"/>
              <w:left w:val="dotted" w:sz="2" w:space="0" w:color="auto"/>
              <w:bottom w:val="single" w:sz="4" w:space="0" w:color="auto"/>
            </w:tcBorders>
            <w:vAlign w:val="center"/>
          </w:tcPr>
          <w:p w14:paraId="65038C25"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t>–</w:t>
            </w:r>
          </w:p>
        </w:tc>
      </w:tr>
      <w:tr w:rsidR="00F07C11" w:rsidRPr="00F07C11" w14:paraId="7E29349F" w14:textId="77777777" w:rsidTr="00B1440F">
        <w:trPr>
          <w:trHeight w:val="178"/>
          <w:jc w:val="center"/>
        </w:trPr>
        <w:tc>
          <w:tcPr>
            <w:tcW w:w="2065" w:type="dxa"/>
            <w:vMerge/>
          </w:tcPr>
          <w:p w14:paraId="0FC3837E" w14:textId="77777777" w:rsidR="00F07C11" w:rsidRPr="00F07C11" w:rsidRDefault="00F07C11" w:rsidP="00F07C11">
            <w:pPr>
              <w:spacing w:after="120" w:line="259" w:lineRule="auto"/>
              <w:rPr>
                <w:rFonts w:eastAsiaTheme="minorHAnsi" w:cstheme="minorBidi"/>
                <w:b/>
                <w:szCs w:val="20"/>
              </w:rPr>
            </w:pPr>
          </w:p>
        </w:tc>
        <w:tc>
          <w:tcPr>
            <w:tcW w:w="2875" w:type="dxa"/>
            <w:tcBorders>
              <w:top w:val="single" w:sz="4" w:space="0" w:color="auto"/>
              <w:bottom w:val="single" w:sz="4" w:space="0" w:color="auto"/>
              <w:right w:val="single" w:sz="4" w:space="0" w:color="auto"/>
            </w:tcBorders>
          </w:tcPr>
          <w:p w14:paraId="5A98365D"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t>Patients with severe hepatic impairment</w:t>
            </w:r>
          </w:p>
        </w:tc>
        <w:tc>
          <w:tcPr>
            <w:tcW w:w="990" w:type="dxa"/>
            <w:tcBorders>
              <w:top w:val="single" w:sz="4" w:space="0" w:color="auto"/>
              <w:left w:val="single" w:sz="4" w:space="0" w:color="auto"/>
              <w:bottom w:val="single" w:sz="4" w:space="0" w:color="auto"/>
              <w:right w:val="dotted" w:sz="2" w:space="0" w:color="auto"/>
            </w:tcBorders>
            <w:vAlign w:val="center"/>
          </w:tcPr>
          <w:p w14:paraId="1C6A7377"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sym w:font="Wingdings" w:char="F0FC"/>
            </w:r>
          </w:p>
        </w:tc>
        <w:tc>
          <w:tcPr>
            <w:tcW w:w="1260" w:type="dxa"/>
            <w:tcBorders>
              <w:top w:val="single" w:sz="4" w:space="0" w:color="auto"/>
              <w:left w:val="dotted" w:sz="2" w:space="0" w:color="auto"/>
              <w:bottom w:val="single" w:sz="4" w:space="0" w:color="auto"/>
            </w:tcBorders>
            <w:vAlign w:val="center"/>
          </w:tcPr>
          <w:p w14:paraId="3ADC625D"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t>–</w:t>
            </w:r>
          </w:p>
        </w:tc>
        <w:tc>
          <w:tcPr>
            <w:tcW w:w="990" w:type="dxa"/>
            <w:tcBorders>
              <w:top w:val="single" w:sz="4" w:space="0" w:color="auto"/>
              <w:left w:val="single" w:sz="4" w:space="0" w:color="auto"/>
              <w:bottom w:val="single" w:sz="4" w:space="0" w:color="auto"/>
              <w:right w:val="dotted" w:sz="2" w:space="0" w:color="auto"/>
            </w:tcBorders>
            <w:vAlign w:val="center"/>
          </w:tcPr>
          <w:p w14:paraId="33B6643A"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sym w:font="Wingdings" w:char="F0FC"/>
            </w:r>
          </w:p>
        </w:tc>
        <w:tc>
          <w:tcPr>
            <w:tcW w:w="1260" w:type="dxa"/>
            <w:tcBorders>
              <w:top w:val="single" w:sz="4" w:space="0" w:color="auto"/>
              <w:left w:val="dotted" w:sz="2" w:space="0" w:color="auto"/>
              <w:bottom w:val="single" w:sz="4" w:space="0" w:color="auto"/>
            </w:tcBorders>
            <w:vAlign w:val="center"/>
          </w:tcPr>
          <w:p w14:paraId="772FC1C2" w14:textId="77777777" w:rsidR="00F07C11" w:rsidRPr="00F07C11" w:rsidRDefault="00F07C11" w:rsidP="00F07C11">
            <w:pPr>
              <w:spacing w:after="120" w:line="259" w:lineRule="auto"/>
              <w:rPr>
                <w:rFonts w:eastAsiaTheme="minorHAnsi" w:cstheme="minorBidi"/>
                <w:szCs w:val="20"/>
              </w:rPr>
            </w:pPr>
            <w:r w:rsidRPr="00F07C11">
              <w:rPr>
                <w:rFonts w:eastAsiaTheme="minorHAnsi" w:cstheme="minorBidi"/>
                <w:szCs w:val="20"/>
              </w:rPr>
              <w:t>–</w:t>
            </w:r>
          </w:p>
        </w:tc>
      </w:tr>
    </w:tbl>
    <w:p w14:paraId="0DD4AF6D" w14:textId="3192152E" w:rsidR="00F07C11" w:rsidRPr="00F07C11" w:rsidRDefault="00F07C11" w:rsidP="00F07C11">
      <w:pPr>
        <w:rPr>
          <w:lang w:eastAsia="en-AU"/>
        </w:rPr>
      </w:pPr>
      <w:r w:rsidRPr="00F07C11">
        <w:rPr>
          <w:lang w:eastAsia="en-AU"/>
        </w:rPr>
        <w:lastRenderedPageBreak/>
        <w:t xml:space="preserve">The clinical </w:t>
      </w:r>
      <w:r w:rsidR="0041507C">
        <w:rPr>
          <w:lang w:eastAsia="en-AU"/>
        </w:rPr>
        <w:t>Evaluator</w:t>
      </w:r>
      <w:r w:rsidRPr="00F07C11">
        <w:rPr>
          <w:lang w:eastAsia="en-AU"/>
        </w:rPr>
        <w:t xml:space="preserve"> commented that misuse of semaglutide was addressed in the clinical studies, but only in the group of patients included in the indication. The potential for misuse in other patient groups, such as eating disorders and athletes, has not been addressed in the data. This may be addressed in the risk management plan under off-label use.</w:t>
      </w:r>
    </w:p>
    <w:p w14:paraId="2D08CB50" w14:textId="4D0C9698" w:rsidR="00FA1BC9" w:rsidRPr="00BD5DBD" w:rsidRDefault="0017005C" w:rsidP="00FA1BC9">
      <w:pPr>
        <w:rPr>
          <w:szCs w:val="22"/>
        </w:rPr>
      </w:pPr>
      <w:bookmarkStart w:id="74" w:name="_Toc247691531"/>
      <w:bookmarkStart w:id="75" w:name="_Toc314842515"/>
      <w:bookmarkStart w:id="76" w:name="_Toc103679299"/>
      <w:r>
        <w:rPr>
          <w:szCs w:val="22"/>
        </w:rPr>
        <w:t>S</w:t>
      </w:r>
      <w:r w:rsidR="00FA1BC9" w:rsidRPr="00BD5DBD">
        <w:rPr>
          <w:szCs w:val="22"/>
        </w:rPr>
        <w:t xml:space="preserve">ee </w:t>
      </w:r>
      <w:hyperlink r:id="rId40" w:history="1">
        <w:r w:rsidR="00FA1BC9" w:rsidRPr="00BD5DBD">
          <w:rPr>
            <w:rStyle w:val="Hyperlink"/>
            <w:szCs w:val="22"/>
          </w:rPr>
          <w:t>TGA’s guidance</w:t>
        </w:r>
      </w:hyperlink>
      <w:r w:rsidR="00FA1BC9" w:rsidRPr="00BD5DBD">
        <w:rPr>
          <w:szCs w:val="22"/>
        </w:rPr>
        <w:t xml:space="preserve"> on ‘when an RMP is required’</w:t>
      </w:r>
      <w:r w:rsidR="0061217D">
        <w:rPr>
          <w:szCs w:val="22"/>
        </w:rPr>
        <w:t>.</w:t>
      </w:r>
    </w:p>
    <w:p w14:paraId="456C7934" w14:textId="16855C3B" w:rsidR="00FA1BC9" w:rsidRDefault="00FA1BC9" w:rsidP="00FA1BC9">
      <w:pPr>
        <w:rPr>
          <w:szCs w:val="22"/>
        </w:rPr>
      </w:pPr>
      <w:r w:rsidRPr="00BD5DBD">
        <w:rPr>
          <w:szCs w:val="22"/>
        </w:rPr>
        <w:t xml:space="preserve">The TGA may request an updated RMP at any stage of a product's </w:t>
      </w:r>
      <w:proofErr w:type="gramStart"/>
      <w:r w:rsidRPr="00BD5DBD">
        <w:rPr>
          <w:szCs w:val="22"/>
        </w:rPr>
        <w:t>life-cycle</w:t>
      </w:r>
      <w:proofErr w:type="gramEnd"/>
      <w:r w:rsidRPr="00BD5DBD">
        <w:rPr>
          <w:szCs w:val="22"/>
        </w:rPr>
        <w:t xml:space="preserve">, during both the pre-approval and post-approval phases. Further information regarding the TGA’s risk management approach can be found in </w:t>
      </w:r>
      <w:hyperlink r:id="rId41" w:history="1">
        <w:r w:rsidRPr="00BD5DBD">
          <w:rPr>
            <w:rStyle w:val="Hyperlink"/>
            <w:szCs w:val="22"/>
          </w:rPr>
          <w:t>risk management plans for medicines and biologicals</w:t>
        </w:r>
      </w:hyperlink>
      <w:r w:rsidRPr="00BD5DBD">
        <w:rPr>
          <w:szCs w:val="22"/>
        </w:rPr>
        <w:t xml:space="preserve"> and </w:t>
      </w:r>
      <w:hyperlink r:id="rId42" w:history="1">
        <w:r w:rsidRPr="00BD5DBD">
          <w:rPr>
            <w:rStyle w:val="Hyperlink"/>
            <w:szCs w:val="22"/>
          </w:rPr>
          <w:t>the TGA's risk management approach</w:t>
        </w:r>
      </w:hyperlink>
      <w:r w:rsidRPr="00BD5DBD">
        <w:rPr>
          <w:szCs w:val="22"/>
        </w:rPr>
        <w:t xml:space="preserve">. Information on the </w:t>
      </w:r>
      <w:hyperlink r:id="rId43"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rPr>
          <w:szCs w:val="22"/>
        </w:rPr>
        <w:t xml:space="preserve"> (</w:t>
      </w:r>
      <w:hyperlink r:id="rId44" w:history="1">
        <w:r w:rsidRPr="00BD5DBD">
          <w:rPr>
            <w:rStyle w:val="Hyperlink"/>
            <w:szCs w:val="22"/>
          </w:rPr>
          <w:t>ASA</w:t>
        </w:r>
      </w:hyperlink>
      <w:r w:rsidRPr="00BD5DBD">
        <w:rPr>
          <w:szCs w:val="22"/>
        </w:rPr>
        <w:t>) can be found on the TGA website.</w:t>
      </w:r>
    </w:p>
    <w:p w14:paraId="74A4F87F" w14:textId="77777777" w:rsidR="00C22214" w:rsidRDefault="00C22214" w:rsidP="00E7591C">
      <w:pPr>
        <w:pStyle w:val="Heading2"/>
      </w:pPr>
      <w:bookmarkStart w:id="77" w:name="_Toc176423067"/>
      <w:r>
        <w:t xml:space="preserve">Risk-benefit </w:t>
      </w:r>
      <w:proofErr w:type="gramStart"/>
      <w:r>
        <w:t>analysis</w:t>
      </w:r>
      <w:bookmarkEnd w:id="74"/>
      <w:bookmarkEnd w:id="75"/>
      <w:bookmarkEnd w:id="76"/>
      <w:bookmarkEnd w:id="77"/>
      <w:proofErr w:type="gramEnd"/>
    </w:p>
    <w:p w14:paraId="70847BE1" w14:textId="3299E9FC" w:rsidR="008B4BC8" w:rsidRDefault="00994CBA" w:rsidP="00994CBA">
      <w:pPr>
        <w:pStyle w:val="Heading4"/>
      </w:pPr>
      <w:bookmarkStart w:id="78" w:name="_Toc176423068"/>
      <w:r w:rsidRPr="00994CBA">
        <w:t>Pharmacology and formulations</w:t>
      </w:r>
      <w:bookmarkEnd w:id="78"/>
    </w:p>
    <w:p w14:paraId="5009CA09" w14:textId="7A439DA6" w:rsidR="008B4BC8" w:rsidRPr="008B4BC8" w:rsidRDefault="008B4BC8" w:rsidP="008B4BC8">
      <w:r w:rsidRPr="008B4BC8">
        <w:t xml:space="preserve">The pharmacokinetics and pharmacodynamics of </w:t>
      </w:r>
      <w:r w:rsidR="00C87187">
        <w:t>Wegovy</w:t>
      </w:r>
      <w:r w:rsidRPr="008B4BC8">
        <w:t xml:space="preserve"> (semaglutide) have been adequately characterised. This includes bioequivalence studies for the new formulation. Semaglutide has a dose-dependent effect on weight loss. Semaglutide decreases appetite, decrease food intake and decreased food cravings. An E</w:t>
      </w:r>
      <w:r w:rsidRPr="008B4BC8">
        <w:rPr>
          <w:vertAlign w:val="subscript"/>
        </w:rPr>
        <w:t>max</w:t>
      </w:r>
      <w:r w:rsidRPr="008B4BC8">
        <w:t xml:space="preserve"> relationship between concentration and the proportion of responders has been demonstrated. Semaglutide has a beneficial effect on β-cell function. The improvement in glycaemic and weight control has been previously documents in patients with T2DM. Semaglutide did not have adverse effects on gastric emptying or cardiac repolarisation.</w:t>
      </w:r>
    </w:p>
    <w:p w14:paraId="22989DF4" w14:textId="1D1BB5C9" w:rsidR="008B4BC8" w:rsidRPr="008B4BC8" w:rsidRDefault="008B4BC8" w:rsidP="008B4BC8">
      <w:r w:rsidRPr="008B4BC8">
        <w:t xml:space="preserve">The </w:t>
      </w:r>
      <w:r w:rsidR="0041507C">
        <w:t>Sponsor</w:t>
      </w:r>
      <w:r w:rsidRPr="008B4BC8">
        <w:t xml:space="preserve"> has obtained adequate data to inform the dosage selection. The optimal dosing was defined using E</w:t>
      </w:r>
      <w:r w:rsidRPr="008B4BC8">
        <w:rPr>
          <w:vertAlign w:val="subscript"/>
        </w:rPr>
        <w:t>max</w:t>
      </w:r>
      <w:r w:rsidRPr="008B4BC8">
        <w:t xml:space="preserve"> models, and by balancing efficacy against tolerability.  The proposed dose-titration, with initiation of treatment, is also supported by these data.</w:t>
      </w:r>
    </w:p>
    <w:p w14:paraId="53F05595" w14:textId="77777777" w:rsidR="008B4BC8" w:rsidRPr="008B4BC8" w:rsidRDefault="008B4BC8" w:rsidP="00994CBA">
      <w:pPr>
        <w:pStyle w:val="Heading5"/>
      </w:pPr>
      <w:r w:rsidRPr="008B4BC8">
        <w:t>Deficiencies of data</w:t>
      </w:r>
    </w:p>
    <w:p w14:paraId="46101AF5" w14:textId="2EDA8535" w:rsidR="008B4BC8" w:rsidRPr="008B4BC8" w:rsidRDefault="008B4BC8" w:rsidP="008B4BC8">
      <w:r w:rsidRPr="008B4BC8">
        <w:t xml:space="preserve">The </w:t>
      </w:r>
      <w:r w:rsidR="0041507C" w:rsidRPr="00C87187">
        <w:t>Sponsor</w:t>
      </w:r>
      <w:r w:rsidRPr="008B4BC8">
        <w:t xml:space="preserve"> has not examined the PK for all the formulations intended for marketing, and that would be used in the titration phase. These are: 0.25 mg/dose (0.5 mg/mL); 0.5 mg/dose (1.0 mg/mL); 1 mg/dose (2.0 mg/mL); 1.7 mg/dose (2.27 mg/mL); and 2.4 mg/dose (3.2 mg/mL).</w:t>
      </w:r>
    </w:p>
    <w:p w14:paraId="72E6FD12" w14:textId="4D3D1259" w:rsidR="008B4BC8" w:rsidRPr="008B4BC8" w:rsidRDefault="008B4BC8" w:rsidP="008B4BC8">
      <w:r w:rsidRPr="008B4BC8">
        <w:t xml:space="preserve">However, in Modelling Report 3, dose proportionality was demonstrated for the doses used in the Phase 3a clinical trials. In the opinion of the Clinical </w:t>
      </w:r>
      <w:r w:rsidR="0041507C">
        <w:t>Evaluator</w:t>
      </w:r>
      <w:r w:rsidRPr="008B4BC8">
        <w:t>, dose-proportionality can be extrapolated to the new formulations.</w:t>
      </w:r>
    </w:p>
    <w:p w14:paraId="2287941A" w14:textId="77777777" w:rsidR="008B4BC8" w:rsidRPr="008B4BC8" w:rsidRDefault="008B4BC8" w:rsidP="008B4BC8">
      <w:r w:rsidRPr="008B4BC8">
        <w:t>The primary differences between the clinical trial formulations and the to-be-marketed formulations are:</w:t>
      </w:r>
    </w:p>
    <w:p w14:paraId="464966F6" w14:textId="24CE4020" w:rsidR="008B4BC8" w:rsidRPr="008B4BC8" w:rsidRDefault="008B4BC8" w:rsidP="009E2978">
      <w:pPr>
        <w:pStyle w:val="ListBullet"/>
      </w:pPr>
      <w:r w:rsidRPr="008B4BC8">
        <w:t>Composition: the to-be-marketed formulations do not contain phenol or propylene glycol</w:t>
      </w:r>
    </w:p>
    <w:p w14:paraId="08FFCA15" w14:textId="71B178A1" w:rsidR="008B4BC8" w:rsidRPr="008B4BC8" w:rsidRDefault="008B4BC8" w:rsidP="009E2978">
      <w:pPr>
        <w:pStyle w:val="ListBullet"/>
      </w:pPr>
      <w:r w:rsidRPr="008B4BC8">
        <w:t xml:space="preserve">Concentration </w:t>
      </w:r>
      <w:r w:rsidR="000B2B03">
        <w:t>(Table 7)</w:t>
      </w:r>
      <w:r w:rsidRPr="008B4BC8">
        <w:t>: the titration formulations and the maintenance dose formulations used in the clinical trials are different concentrations to the to-be-marketed formulations.</w:t>
      </w:r>
    </w:p>
    <w:p w14:paraId="57F82B85" w14:textId="49056822" w:rsidR="008B4BC8" w:rsidRPr="008B4BC8" w:rsidRDefault="008B4BC8" w:rsidP="008B4BC8">
      <w:r w:rsidRPr="008B4BC8">
        <w:t xml:space="preserve">The different formulation is unlikely to </w:t>
      </w:r>
      <w:proofErr w:type="gramStart"/>
      <w:r w:rsidRPr="008B4BC8">
        <w:t>have an effect on</w:t>
      </w:r>
      <w:proofErr w:type="gramEnd"/>
      <w:r w:rsidRPr="008B4BC8">
        <w:t xml:space="preserve"> efficacy, especially as bioequivalence has been demonstrated for the maintenance formulations. The different concentrations in the titration formulations are unlikely to have any effect on </w:t>
      </w:r>
      <w:r w:rsidR="00994CBA" w:rsidRPr="008B4BC8">
        <w:t>efficacy because</w:t>
      </w:r>
      <w:r w:rsidRPr="008B4BC8">
        <w:t xml:space="preserve"> efficacy is primarily from the maintenance formulations, which have been demonstrated to be bioequivalent.</w:t>
      </w:r>
    </w:p>
    <w:p w14:paraId="46540FF9" w14:textId="00AB62F0" w:rsidR="002D64AC" w:rsidRDefault="002D64AC" w:rsidP="002D64AC">
      <w:pPr>
        <w:pStyle w:val="TableTitle"/>
      </w:pPr>
      <w:r w:rsidRPr="002D64AC">
        <w:lastRenderedPageBreak/>
        <w:t xml:space="preserve">Table </w:t>
      </w:r>
      <w:r w:rsidR="000B2B03">
        <w:t xml:space="preserve">7. </w:t>
      </w:r>
      <w:r w:rsidRPr="002D64AC">
        <w:t>Phase 3a formulation vs. To-be-marketed formulation: Concentration differences.</w:t>
      </w:r>
    </w:p>
    <w:p w14:paraId="68217145" w14:textId="4278EF58" w:rsidR="002E0CD2" w:rsidRDefault="00B1440F" w:rsidP="009E2978">
      <w:r>
        <w:rPr>
          <w:noProof/>
        </w:rPr>
        <w:drawing>
          <wp:inline distT="0" distB="0" distL="0" distR="0" wp14:anchorId="7BE73567" wp14:editId="2228B8E4">
            <wp:extent cx="5675630" cy="1926590"/>
            <wp:effectExtent l="0" t="0" r="1270" b="0"/>
            <wp:docPr id="1299021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75630" cy="1926590"/>
                    </a:xfrm>
                    <a:prstGeom prst="rect">
                      <a:avLst/>
                    </a:prstGeom>
                    <a:noFill/>
                  </pic:spPr>
                </pic:pic>
              </a:graphicData>
            </a:graphic>
          </wp:inline>
        </w:drawing>
      </w:r>
    </w:p>
    <w:p w14:paraId="16BB1088" w14:textId="77777777" w:rsidR="00063878" w:rsidRPr="00063878" w:rsidRDefault="00063878" w:rsidP="00063878">
      <w:pPr>
        <w:pStyle w:val="Heading4"/>
      </w:pPr>
      <w:bookmarkStart w:id="79" w:name="_Toc176423069"/>
      <w:r w:rsidRPr="00063878">
        <w:t>Efficacy</w:t>
      </w:r>
      <w:bookmarkEnd w:id="79"/>
    </w:p>
    <w:p w14:paraId="2175DF57" w14:textId="77777777" w:rsidR="00063878" w:rsidRPr="00063878" w:rsidRDefault="00063878" w:rsidP="00063878">
      <w:r w:rsidRPr="00063878">
        <w:t>The design and conduct of the Phase 3a studies was appropriate and complied with the Guideline on Clinical Evaluation of Medicinal Products Used in Weight Management (EMA/CHMP/311805/2014) 23 June 2016. The primary outcome measure was weight loss, and this was analysed both as % body weight and by mass (kg). The studies were placebo controlled. The predictive value of short-term versus long-term treatment can be determined from the data. Waist circumference and BMI were used as secondary endpoints. DEXA was used to validate that the weight loss was due to loss of adipose and not due to loss of other body constituents. Cardiovascular risk and co-morbidities were also measured as outcomes. A relevant proportion of the study population had coexisting cardiovascular and other co-morbidities.</w:t>
      </w:r>
    </w:p>
    <w:p w14:paraId="4205CD58" w14:textId="77777777" w:rsidR="00063878" w:rsidRPr="00063878" w:rsidRDefault="00063878" w:rsidP="00063878">
      <w:r w:rsidRPr="00063878">
        <w:t xml:space="preserve">The patient populations were representative of the target population in Australia. </w:t>
      </w:r>
    </w:p>
    <w:p w14:paraId="73A38068" w14:textId="77777777" w:rsidR="00063878" w:rsidRPr="00063878" w:rsidRDefault="00063878" w:rsidP="00063878">
      <w:r w:rsidRPr="00063878">
        <w:t>The background treatments were the same as those in the proposed indication: diet and exercise. The background treatments were applied consistently and were clearly defined in the study protocols.</w:t>
      </w:r>
    </w:p>
    <w:p w14:paraId="62821502" w14:textId="77777777" w:rsidR="00063878" w:rsidRPr="00063878" w:rsidRDefault="00063878" w:rsidP="00063878">
      <w:r w:rsidRPr="00063878">
        <w:t>Bias was controlled through randomisation and blinding.  Multiplicity was addressed.  The statistical analysis was appropriate. The outcome measures were appropriate and measured different aspects of treatment effect.</w:t>
      </w:r>
    </w:p>
    <w:p w14:paraId="336CD80D" w14:textId="77777777" w:rsidR="00063878" w:rsidRPr="00063878" w:rsidRDefault="00063878" w:rsidP="00063878">
      <w:r w:rsidRPr="00063878">
        <w:t xml:space="preserve">The Phase 3a studies demonstrated a statistically and clinically significant weight loss with semaglutide 2.4 mg weekly dosing. The treatment effect was well </w:t>
      </w:r>
      <w:proofErr w:type="gramStart"/>
      <w:r w:rsidRPr="00063878">
        <w:t>in excess of</w:t>
      </w:r>
      <w:proofErr w:type="gramEnd"/>
      <w:r w:rsidRPr="00063878">
        <w:t xml:space="preserve"> a clinically significant 5% weight loss. The effect size was consistent across the four studies. The effect persisted in a patient group undergoing IBT.</w:t>
      </w:r>
    </w:p>
    <w:p w14:paraId="71A93AE5" w14:textId="77777777" w:rsidR="00063878" w:rsidRPr="00063878" w:rsidRDefault="00063878" w:rsidP="00063878">
      <w:r w:rsidRPr="00063878">
        <w:t>The decrease in body weight was matched by decreases in waist circumference and in BMI.</w:t>
      </w:r>
    </w:p>
    <w:p w14:paraId="04454AAC" w14:textId="77777777" w:rsidR="00063878" w:rsidRPr="00063878" w:rsidRDefault="00063878" w:rsidP="00063878">
      <w:r w:rsidRPr="00063878">
        <w:t>There were improvements in cardiovascular endpoints: lipid profile, surrogate markers (</w:t>
      </w:r>
      <w:proofErr w:type="spellStart"/>
      <w:r w:rsidRPr="00063878">
        <w:t>hsCRP</w:t>
      </w:r>
      <w:proofErr w:type="spellEnd"/>
      <w:r w:rsidRPr="00063878">
        <w:t xml:space="preserve"> and PAI-I) and in blood pressure.  The improvements in plasma lipids were primarily in total cholesterol, LDL-</w:t>
      </w:r>
      <w:proofErr w:type="gramStart"/>
      <w:r w:rsidRPr="00063878">
        <w:t>cholesterol</w:t>
      </w:r>
      <w:proofErr w:type="gramEnd"/>
      <w:r w:rsidRPr="00063878">
        <w:t xml:space="preserve"> and VLDL-cholesterol, with lesser effect on HDL-cholesterol.  These improvements are associated with a lessening of cardiovascular risk.</w:t>
      </w:r>
    </w:p>
    <w:p w14:paraId="714E561D" w14:textId="7D4F40E6" w:rsidR="00063878" w:rsidRPr="00063878" w:rsidRDefault="00063878" w:rsidP="00063878">
      <w:pPr>
        <w:pStyle w:val="Heading5"/>
        <w:rPr>
          <w:rFonts w:eastAsia="Cambria"/>
        </w:rPr>
      </w:pPr>
      <w:r w:rsidRPr="00063878">
        <w:rPr>
          <w:rFonts w:eastAsia="Cambria"/>
        </w:rPr>
        <w:t>Deficiencies of data</w:t>
      </w:r>
    </w:p>
    <w:p w14:paraId="654A8820" w14:textId="77777777" w:rsidR="00063878" w:rsidRPr="00063878" w:rsidRDefault="00063878" w:rsidP="009E2978">
      <w:pPr>
        <w:rPr>
          <w:b/>
        </w:rPr>
      </w:pPr>
      <w:r w:rsidRPr="00063878">
        <w:t>Deficiencies include:</w:t>
      </w:r>
    </w:p>
    <w:p w14:paraId="77551B8C" w14:textId="77777777" w:rsidR="00063878" w:rsidRPr="00063878" w:rsidRDefault="00063878" w:rsidP="009E2978">
      <w:pPr>
        <w:pStyle w:val="ListBullet"/>
        <w:rPr>
          <w:b/>
        </w:rPr>
      </w:pPr>
      <w:r w:rsidRPr="00063878">
        <w:t xml:space="preserve">In STEP 2, there was lack of blinding between the 1.0 mg / placebo groups and the 2.4 mg / placebo groups. However, the outcome measures were </w:t>
      </w:r>
      <w:proofErr w:type="gramStart"/>
      <w:r w:rsidRPr="00063878">
        <w:t>objective</w:t>
      </w:r>
      <w:proofErr w:type="gramEnd"/>
      <w:r w:rsidRPr="00063878">
        <w:t xml:space="preserve"> and the primary comparison was between semaglutide 2.4 mg and placebo.</w:t>
      </w:r>
    </w:p>
    <w:p w14:paraId="170EC798" w14:textId="77777777" w:rsidR="00063878" w:rsidRDefault="00063878" w:rsidP="009E2978">
      <w:pPr>
        <w:pStyle w:val="ListBullet"/>
        <w:rPr>
          <w:b/>
        </w:rPr>
      </w:pPr>
      <w:r w:rsidRPr="00063878">
        <w:lastRenderedPageBreak/>
        <w:t>In STEP 2, in patients with T2DM the decrease in body weight was not as great as in STEP 1, where T2DM was excluded. However, there was still significant benefit in this patient group.</w:t>
      </w:r>
    </w:p>
    <w:p w14:paraId="14ABAF8E" w14:textId="77777777" w:rsidR="00C93C71" w:rsidRDefault="00C93C71" w:rsidP="00C93C71">
      <w:pPr>
        <w:spacing w:line="240" w:lineRule="auto"/>
        <w:rPr>
          <w:lang w:eastAsia="ja-JP"/>
        </w:rPr>
      </w:pPr>
      <w:r>
        <w:rPr>
          <w:lang w:eastAsia="ja-JP"/>
        </w:rPr>
        <w:t>Clinical issues that have not been addressed by the submitted data are:</w:t>
      </w:r>
    </w:p>
    <w:p w14:paraId="197AA07F" w14:textId="5DBB9AC9" w:rsidR="00C93C71" w:rsidRPr="008903C7" w:rsidRDefault="00C93C71" w:rsidP="008903C7">
      <w:pPr>
        <w:spacing w:line="240" w:lineRule="auto"/>
        <w:rPr>
          <w:szCs w:val="22"/>
        </w:rPr>
      </w:pPr>
      <w:r w:rsidRPr="008903C7">
        <w:rPr>
          <w:b/>
          <w:bCs/>
          <w:szCs w:val="22"/>
        </w:rPr>
        <w:t>Persistence of treatment effect beyond one year of treatment (</w:t>
      </w:r>
      <w:proofErr w:type="gramStart"/>
      <w:r w:rsidRPr="008903C7">
        <w:rPr>
          <w:b/>
          <w:bCs/>
          <w:szCs w:val="22"/>
        </w:rPr>
        <w:t>continuing on</w:t>
      </w:r>
      <w:proofErr w:type="gramEnd"/>
      <w:r w:rsidRPr="008903C7">
        <w:rPr>
          <w:b/>
          <w:bCs/>
          <w:szCs w:val="22"/>
        </w:rPr>
        <w:t xml:space="preserve"> treatment)</w:t>
      </w:r>
      <w:r w:rsidRPr="008903C7">
        <w:rPr>
          <w:szCs w:val="22"/>
        </w:rPr>
        <w:t xml:space="preserve">: The data indicate that treatment with semaglutide is likely to be required long-term. There was a return to baseline in the placebo group (who received </w:t>
      </w:r>
      <w:r w:rsidR="00C87187">
        <w:rPr>
          <w:szCs w:val="22"/>
        </w:rPr>
        <w:t>Wegovy</w:t>
      </w:r>
      <w:r w:rsidRPr="008903C7">
        <w:rPr>
          <w:szCs w:val="22"/>
        </w:rPr>
        <w:t xml:space="preserve"> initially) in Study STEP 4.</w:t>
      </w:r>
    </w:p>
    <w:p w14:paraId="7A88E54A" w14:textId="408418D4" w:rsidR="002F221C" w:rsidRDefault="005B4406" w:rsidP="00B1440F">
      <w:pPr>
        <w:spacing w:line="240" w:lineRule="auto"/>
        <w:rPr>
          <w:b/>
        </w:rPr>
      </w:pPr>
      <w:r w:rsidRPr="008903C7">
        <w:rPr>
          <w:szCs w:val="22"/>
        </w:rPr>
        <w:t>T</w:t>
      </w:r>
      <w:r w:rsidR="00C93C71" w:rsidRPr="008903C7">
        <w:rPr>
          <w:szCs w:val="22"/>
        </w:rPr>
        <w:t xml:space="preserve">he </w:t>
      </w:r>
      <w:r w:rsidR="0041507C">
        <w:rPr>
          <w:szCs w:val="22"/>
        </w:rPr>
        <w:t>Sponsor</w:t>
      </w:r>
      <w:r w:rsidR="00C93C71" w:rsidRPr="008903C7">
        <w:rPr>
          <w:szCs w:val="22"/>
        </w:rPr>
        <w:t xml:space="preserve"> presented data that appears to demonstrate a persistence of the treatment effect beyond one year: STEP 5 (NN9536-4378, data publicly available in 2022), a phase 3b trial, showed that weight loss obtained after approximately one year of semaglutide 2.4 mg treatment, persisted up until end of treatment of semaglutide 2.4 mg (week 104) (Figure </w:t>
      </w:r>
      <w:r w:rsidR="00386174">
        <w:rPr>
          <w:szCs w:val="22"/>
        </w:rPr>
        <w:t>5</w:t>
      </w:r>
      <w:r w:rsidR="00C93C71" w:rsidRPr="008903C7">
        <w:rPr>
          <w:szCs w:val="22"/>
        </w:rPr>
        <w:t>). However, no data beyond 2 years is available.</w:t>
      </w:r>
    </w:p>
    <w:p w14:paraId="5608A3D1" w14:textId="57F24DD6" w:rsidR="002F221C" w:rsidRDefault="002F221C" w:rsidP="002F221C">
      <w:pPr>
        <w:pStyle w:val="FigureTitle"/>
      </w:pPr>
      <w:r w:rsidRPr="002F221C">
        <w:t xml:space="preserve">Figure </w:t>
      </w:r>
      <w:r w:rsidR="00386174">
        <w:t>5</w:t>
      </w:r>
      <w:r w:rsidRPr="002F221C">
        <w:t>. STEP 5 (not provided in the dossier). Body weight change (%) from baseline.</w:t>
      </w:r>
    </w:p>
    <w:p w14:paraId="672A6E49" w14:textId="5BCB24F8" w:rsidR="005B4406" w:rsidRPr="005B4406" w:rsidRDefault="004C4157" w:rsidP="005B4406">
      <w:pPr>
        <w:spacing w:line="240" w:lineRule="auto"/>
        <w:rPr>
          <w:szCs w:val="22"/>
        </w:rPr>
      </w:pPr>
      <w:r>
        <w:rPr>
          <w:noProof/>
          <w:szCs w:val="22"/>
        </w:rPr>
        <w:drawing>
          <wp:inline distT="0" distB="0" distL="0" distR="0" wp14:anchorId="5A85BD04" wp14:editId="315FFBEA">
            <wp:extent cx="5693951" cy="3610187"/>
            <wp:effectExtent l="0" t="0" r="2540" b="0"/>
            <wp:docPr id="860701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11904" cy="3621570"/>
                    </a:xfrm>
                    <a:prstGeom prst="rect">
                      <a:avLst/>
                    </a:prstGeom>
                    <a:noFill/>
                  </pic:spPr>
                </pic:pic>
              </a:graphicData>
            </a:graphic>
          </wp:inline>
        </w:drawing>
      </w:r>
    </w:p>
    <w:p w14:paraId="6454E9CB" w14:textId="77777777" w:rsidR="00E773D1" w:rsidRPr="00E773D1" w:rsidRDefault="00E773D1" w:rsidP="009E2978">
      <w:pPr>
        <w:rPr>
          <w:b/>
        </w:rPr>
      </w:pPr>
      <w:r w:rsidRPr="00E773D1">
        <w:t xml:space="preserve">Potential for rebound in weight once treatment is stopped (not </w:t>
      </w:r>
      <w:proofErr w:type="gramStart"/>
      <w:r w:rsidRPr="00E773D1">
        <w:t>continuing on</w:t>
      </w:r>
      <w:proofErr w:type="gramEnd"/>
      <w:r w:rsidRPr="00E773D1">
        <w:t xml:space="preserve"> treatment): While the results of Study STEP 4 suggest this is unlikely, a rebound in weight might occur over the long term in patients who cease semaglutide treatment.</w:t>
      </w:r>
    </w:p>
    <w:p w14:paraId="7A75CFA4" w14:textId="08F233DB" w:rsidR="00C93C71" w:rsidRDefault="005B1A8C" w:rsidP="009E2978">
      <w:pPr>
        <w:rPr>
          <w:b/>
        </w:rPr>
      </w:pPr>
      <w:r>
        <w:t>T</w:t>
      </w:r>
      <w:r w:rsidR="00E773D1" w:rsidRPr="00E773D1">
        <w:t xml:space="preserve">he </w:t>
      </w:r>
      <w:r w:rsidR="0041507C">
        <w:t>Sponsor</w:t>
      </w:r>
      <w:r w:rsidR="00E773D1" w:rsidRPr="00E773D1">
        <w:t xml:space="preserve"> presented data from the STEP 1 extension study regarding the effect after semaglutide cessation at Week 68: The trajectory of weight gain after treatment cessation indicates a return towards baseline, but not rebound (i.e. weight gain </w:t>
      </w:r>
      <w:proofErr w:type="gramStart"/>
      <w:r w:rsidR="00E773D1" w:rsidRPr="00E773D1">
        <w:t>in excess of</w:t>
      </w:r>
      <w:proofErr w:type="gramEnd"/>
      <w:r w:rsidR="00E773D1" w:rsidRPr="00E773D1">
        <w:t xml:space="preserve"> baseline weight) with the extension study period (Figure </w:t>
      </w:r>
      <w:r w:rsidR="00386174">
        <w:t>6</w:t>
      </w:r>
      <w:r w:rsidR="00E773D1" w:rsidRPr="00E773D1">
        <w:t>).</w:t>
      </w:r>
    </w:p>
    <w:p w14:paraId="6FD304A4" w14:textId="77777777" w:rsidR="00386174" w:rsidRDefault="00386174">
      <w:pPr>
        <w:rPr>
          <w:b/>
        </w:rPr>
      </w:pPr>
      <w:r>
        <w:br w:type="page"/>
      </w:r>
    </w:p>
    <w:p w14:paraId="4777FE7A" w14:textId="7AAD9250" w:rsidR="00956C05" w:rsidRPr="00063878" w:rsidRDefault="00956C05" w:rsidP="00956C05">
      <w:pPr>
        <w:pStyle w:val="FigureTitle"/>
        <w:rPr>
          <w:rFonts w:eastAsia="Cambria" w:cs="Times New Roman"/>
          <w:szCs w:val="22"/>
        </w:rPr>
      </w:pPr>
      <w:r w:rsidRPr="00956C05">
        <w:lastRenderedPageBreak/>
        <w:t xml:space="preserve">Figure </w:t>
      </w:r>
      <w:r w:rsidR="00386174">
        <w:t>6</w:t>
      </w:r>
      <w:r w:rsidRPr="00956C05">
        <w:t>. STEP 1 Extension (not in dossier). Body weight change (%) from baseline.</w:t>
      </w:r>
    </w:p>
    <w:p w14:paraId="46FFD8ED" w14:textId="46023B96" w:rsidR="00063878" w:rsidRPr="008B4BC8" w:rsidRDefault="00F2598A" w:rsidP="00362D4A">
      <w:r>
        <w:rPr>
          <w:noProof/>
        </w:rPr>
        <w:drawing>
          <wp:inline distT="0" distB="0" distL="0" distR="0" wp14:anchorId="22B58EF9" wp14:editId="13317DC9">
            <wp:extent cx="5723255" cy="4213014"/>
            <wp:effectExtent l="0" t="0" r="0" b="0"/>
            <wp:docPr id="2011106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b="796"/>
                    <a:stretch/>
                  </pic:blipFill>
                  <pic:spPr bwMode="auto">
                    <a:xfrm>
                      <a:off x="0" y="0"/>
                      <a:ext cx="5739747" cy="4225154"/>
                    </a:xfrm>
                    <a:prstGeom prst="rect">
                      <a:avLst/>
                    </a:prstGeom>
                    <a:noFill/>
                    <a:ln>
                      <a:noFill/>
                    </a:ln>
                    <a:extLst>
                      <a:ext uri="{53640926-AAD7-44D8-BBD7-CCE9431645EC}">
                        <a14:shadowObscured xmlns:a14="http://schemas.microsoft.com/office/drawing/2010/main"/>
                      </a:ext>
                    </a:extLst>
                  </pic:spPr>
                </pic:pic>
              </a:graphicData>
            </a:graphic>
          </wp:inline>
        </w:drawing>
      </w:r>
    </w:p>
    <w:p w14:paraId="539DCB86" w14:textId="77777777" w:rsidR="005420DC" w:rsidRPr="005420DC" w:rsidRDefault="005420DC" w:rsidP="005420DC">
      <w:pPr>
        <w:pStyle w:val="Heading4"/>
      </w:pPr>
      <w:bookmarkStart w:id="80" w:name="_Toc176423070"/>
      <w:bookmarkStart w:id="81" w:name="_Toc98931932"/>
      <w:r w:rsidRPr="005420DC">
        <w:t>Safety</w:t>
      </w:r>
      <w:bookmarkEnd w:id="80"/>
    </w:p>
    <w:p w14:paraId="6795BD54" w14:textId="77777777" w:rsidR="005420DC" w:rsidRPr="005420DC" w:rsidRDefault="005420DC" w:rsidP="005420DC">
      <w:r w:rsidRPr="005420DC">
        <w:t>There were increased rates of gastrointestinal disorders and neurological disorders with semaglutide in comparison with placebo. These events were predominantly non-serious and were of limited duration and without long-term sequelae.</w:t>
      </w:r>
    </w:p>
    <w:p w14:paraId="768D1DB3" w14:textId="6CC98A1A" w:rsidR="005420DC" w:rsidRPr="005420DC" w:rsidRDefault="005420DC" w:rsidP="005420DC">
      <w:r w:rsidRPr="005420DC">
        <w:t xml:space="preserve">The gastrointestinal adverse events that occurred more frequently with semaglutide compared to placebo </w:t>
      </w:r>
      <w:r w:rsidR="00B07AA4" w:rsidRPr="005420DC">
        <w:t>were</w:t>
      </w:r>
      <w:r w:rsidRPr="005420DC">
        <w:t xml:space="preserve"> nausea, diarrhoea, vomiting, constipation, abdominal pain, decreased appetite, dyspepsia, </w:t>
      </w:r>
      <w:proofErr w:type="gramStart"/>
      <w:r w:rsidRPr="005420DC">
        <w:t>eructation</w:t>
      </w:r>
      <w:proofErr w:type="gramEnd"/>
      <w:r w:rsidRPr="005420DC">
        <w:t xml:space="preserve"> and abdominal distension. The neurological disorders that occurred more commonly with semaglutide were headache, </w:t>
      </w:r>
      <w:proofErr w:type="gramStart"/>
      <w:r w:rsidRPr="005420DC">
        <w:t>fatigue</w:t>
      </w:r>
      <w:proofErr w:type="gramEnd"/>
      <w:r w:rsidRPr="005420DC">
        <w:t xml:space="preserve"> and dizziness.  </w:t>
      </w:r>
    </w:p>
    <w:p w14:paraId="1EB9423B" w14:textId="77777777" w:rsidR="005420DC" w:rsidRPr="005420DC" w:rsidRDefault="005420DC" w:rsidP="005420DC">
      <w:r w:rsidRPr="005420DC">
        <w:t>In the pivotal studies the rate of SAEs was 10.5 /100 person-year with semaglutide and 6.8 /100 person-year with placebo. Hepatobiliary SAEs were reported at a rate of 1.2 /100 person-year with semaglutide and 0.2 /100 person-year with placebo. Gastrointestinal SAEs were reported at a rate of 1.1 /100 person-year with semaglutide and 0.6 /100 person-year with placebo.</w:t>
      </w:r>
    </w:p>
    <w:p w14:paraId="442EA1FB" w14:textId="77777777" w:rsidR="005420DC" w:rsidRPr="005420DC" w:rsidRDefault="005420DC" w:rsidP="005420DC">
      <w:r w:rsidRPr="005420DC">
        <w:t xml:space="preserve">Discontinuation due to AE occurred at a higher rate in the semaglutide groups compared to placebo.  In the Phase IIIa pool there were 149 (5.7%) patients in the semaglutide group and 47 (3.0%) in the placebo discontinuing because of AEs. This was primarily due to gastrointestinal disorders: nausea, vomiting, diarrhoea, upper abdominal pain and </w:t>
      </w:r>
      <w:proofErr w:type="gramStart"/>
      <w:r w:rsidRPr="005420DC">
        <w:t>constipation</w:t>
      </w:r>
      <w:proofErr w:type="gramEnd"/>
    </w:p>
    <w:p w14:paraId="4C08FE23" w14:textId="77777777" w:rsidR="005420DC" w:rsidRPr="005420DC" w:rsidRDefault="005420DC" w:rsidP="005420DC">
      <w:r w:rsidRPr="005420DC">
        <w:t>Cardiovascular AEs were less frequent with semaglutide than placebo.</w:t>
      </w:r>
    </w:p>
    <w:p w14:paraId="100A6A65" w14:textId="77777777" w:rsidR="005420DC" w:rsidRPr="005420DC" w:rsidRDefault="005420DC" w:rsidP="005420DC">
      <w:r w:rsidRPr="005420DC">
        <w:t>Misuse of semaglutide was addressed in the clinical studies, but only in the group of patients included in the indication.  The potential for misuse in other patient groups, such as eating disorders and athletes, has not been addressed in the data.</w:t>
      </w:r>
    </w:p>
    <w:p w14:paraId="7AA06AD2" w14:textId="77777777" w:rsidR="005420DC" w:rsidRPr="005420DC" w:rsidRDefault="005420DC" w:rsidP="005420DC">
      <w:pPr>
        <w:pStyle w:val="Heading4"/>
      </w:pPr>
      <w:bookmarkStart w:id="82" w:name="_Toc176423071"/>
      <w:r w:rsidRPr="005420DC">
        <w:lastRenderedPageBreak/>
        <w:t>Conclusion and remaining issues</w:t>
      </w:r>
      <w:bookmarkEnd w:id="82"/>
    </w:p>
    <w:p w14:paraId="772EFB16" w14:textId="5D71BF3C" w:rsidR="005420DC" w:rsidRPr="005420DC" w:rsidRDefault="005420DC" w:rsidP="005420DC">
      <w:r w:rsidRPr="005420DC">
        <w:t xml:space="preserve">The Clinical </w:t>
      </w:r>
      <w:r w:rsidR="0041507C">
        <w:t>Evaluator</w:t>
      </w:r>
      <w:r w:rsidRPr="005420DC">
        <w:t xml:space="preserve"> has no objection to the approval of </w:t>
      </w:r>
      <w:r w:rsidR="00C87187">
        <w:t>Wegovy</w:t>
      </w:r>
      <w:r w:rsidRPr="005420DC">
        <w:t xml:space="preserve"> (semaglutide) 0.25 mg (0.5 mg/mL), 0.5 mg (1.0 mg/mL), 1.0 mg (2.0 mg/mL), 1.7 mg (2.27 mg/mL) and 2.4 mg (3.2 mg/mL), solution for injection, single use prefilled pen with pre-assembled needle, for the proposed indication:</w:t>
      </w:r>
    </w:p>
    <w:p w14:paraId="6063847C" w14:textId="0A2232EA" w:rsidR="005420DC" w:rsidRPr="005420DC" w:rsidRDefault="00C87187" w:rsidP="00CA409D">
      <w:pPr>
        <w:ind w:left="720"/>
        <w:rPr>
          <w:i/>
          <w:iCs/>
        </w:rPr>
      </w:pPr>
      <w:r>
        <w:rPr>
          <w:i/>
          <w:iCs/>
        </w:rPr>
        <w:t>Wegovy</w:t>
      </w:r>
      <w:r w:rsidR="005420DC" w:rsidRPr="005420DC">
        <w:rPr>
          <w:i/>
          <w:iCs/>
        </w:rPr>
        <w:t xml:space="preserve"> is indicated as an adjunct to a reduced-calorie diet and increased physical activity for chronic weight management, including weight loss and weight maintenance, in adults with an initial Body Mass Index (BMI) of:</w:t>
      </w:r>
    </w:p>
    <w:p w14:paraId="64DE6EDF" w14:textId="77777777" w:rsidR="005420DC" w:rsidRPr="00CA409D" w:rsidRDefault="005420DC" w:rsidP="00CA409D">
      <w:pPr>
        <w:pStyle w:val="ListParagraph"/>
        <w:numPr>
          <w:ilvl w:val="0"/>
          <w:numId w:val="29"/>
        </w:numPr>
        <w:rPr>
          <w:rFonts w:ascii="Cambria" w:hAnsi="Cambria"/>
          <w:i/>
          <w:iCs/>
          <w:sz w:val="22"/>
          <w:szCs w:val="22"/>
        </w:rPr>
      </w:pPr>
      <w:r w:rsidRPr="00CA409D">
        <w:rPr>
          <w:rFonts w:ascii="Cambria" w:hAnsi="Cambria"/>
          <w:i/>
          <w:iCs/>
          <w:sz w:val="22"/>
          <w:szCs w:val="22"/>
        </w:rPr>
        <w:t>≥30 kg/m</w:t>
      </w:r>
      <w:r w:rsidRPr="00CA409D">
        <w:rPr>
          <w:rFonts w:ascii="Cambria" w:hAnsi="Cambria"/>
          <w:i/>
          <w:iCs/>
          <w:sz w:val="22"/>
          <w:szCs w:val="22"/>
          <w:vertAlign w:val="superscript"/>
        </w:rPr>
        <w:t>2</w:t>
      </w:r>
      <w:r w:rsidRPr="00CA409D">
        <w:rPr>
          <w:rFonts w:ascii="Cambria" w:hAnsi="Cambria"/>
          <w:i/>
          <w:iCs/>
          <w:sz w:val="22"/>
          <w:szCs w:val="22"/>
        </w:rPr>
        <w:t xml:space="preserve"> (obesity); or</w:t>
      </w:r>
    </w:p>
    <w:p w14:paraId="44505B72" w14:textId="77777777" w:rsidR="005420DC" w:rsidRPr="00CA409D" w:rsidRDefault="005420DC" w:rsidP="00CA409D">
      <w:pPr>
        <w:pStyle w:val="ListParagraph"/>
        <w:numPr>
          <w:ilvl w:val="0"/>
          <w:numId w:val="29"/>
        </w:numPr>
        <w:rPr>
          <w:rFonts w:ascii="Cambria" w:hAnsi="Cambria"/>
          <w:i/>
          <w:iCs/>
          <w:sz w:val="22"/>
          <w:szCs w:val="22"/>
        </w:rPr>
      </w:pPr>
      <w:r w:rsidRPr="00CA409D">
        <w:rPr>
          <w:rFonts w:ascii="Cambria" w:hAnsi="Cambria"/>
          <w:i/>
          <w:iCs/>
          <w:sz w:val="22"/>
          <w:szCs w:val="22"/>
        </w:rPr>
        <w:t>≥27 kg/m</w:t>
      </w:r>
      <w:r w:rsidRPr="00CA409D">
        <w:rPr>
          <w:rFonts w:ascii="Cambria" w:hAnsi="Cambria"/>
          <w:i/>
          <w:iCs/>
          <w:sz w:val="22"/>
          <w:szCs w:val="22"/>
          <w:vertAlign w:val="superscript"/>
        </w:rPr>
        <w:t>2</w:t>
      </w:r>
      <w:r w:rsidRPr="00CA409D">
        <w:rPr>
          <w:rFonts w:ascii="Cambria" w:hAnsi="Cambria"/>
          <w:i/>
          <w:iCs/>
          <w:sz w:val="22"/>
          <w:szCs w:val="22"/>
        </w:rPr>
        <w:t xml:space="preserve"> to &lt;30 kg/m</w:t>
      </w:r>
      <w:r w:rsidRPr="00CA409D">
        <w:rPr>
          <w:rFonts w:ascii="Cambria" w:hAnsi="Cambria"/>
          <w:i/>
          <w:iCs/>
          <w:sz w:val="22"/>
          <w:szCs w:val="22"/>
          <w:vertAlign w:val="superscript"/>
        </w:rPr>
        <w:t>2</w:t>
      </w:r>
      <w:r w:rsidRPr="00CA409D">
        <w:rPr>
          <w:rFonts w:ascii="Cambria" w:hAnsi="Cambria"/>
          <w:i/>
          <w:iCs/>
          <w:sz w:val="22"/>
          <w:szCs w:val="22"/>
        </w:rPr>
        <w:t xml:space="preserve"> (overweight) in the presence of at least one weight related comorbidity.</w:t>
      </w:r>
    </w:p>
    <w:p w14:paraId="318CFABC" w14:textId="4D56DBE6" w:rsidR="00C22214" w:rsidRPr="00F73346" w:rsidRDefault="00C22214" w:rsidP="00C22214">
      <w:pPr>
        <w:pStyle w:val="Heading4"/>
      </w:pPr>
      <w:bookmarkStart w:id="83" w:name="_Toc98931936"/>
      <w:bookmarkStart w:id="84" w:name="_Toc176423072"/>
      <w:bookmarkStart w:id="85" w:name="_Toc247691532"/>
      <w:bookmarkStart w:id="86" w:name="_Toc314842516"/>
      <w:bookmarkEnd w:id="81"/>
      <w:r w:rsidRPr="00F73346">
        <w:t xml:space="preserve">Advisory Committee </w:t>
      </w:r>
      <w:r w:rsidR="005F45DE">
        <w:t xml:space="preserve">on Medicines </w:t>
      </w:r>
      <w:r w:rsidRPr="00F73346">
        <w:t>considerations</w:t>
      </w:r>
      <w:bookmarkEnd w:id="83"/>
      <w:bookmarkEnd w:id="84"/>
    </w:p>
    <w:p w14:paraId="087BB9CB" w14:textId="75455144" w:rsidR="00C22214" w:rsidRDefault="00C22214" w:rsidP="00C22214">
      <w:pPr>
        <w:rPr>
          <w:bCs/>
          <w:szCs w:val="22"/>
        </w:rPr>
      </w:pPr>
      <w:r w:rsidRPr="00BD5DBD">
        <w:rPr>
          <w:bCs/>
          <w:szCs w:val="22"/>
        </w:rPr>
        <w:t xml:space="preserve">The </w:t>
      </w:r>
      <w:hyperlink r:id="rId51" w:history="1">
        <w:r w:rsidRPr="00BD5DBD">
          <w:rPr>
            <w:rStyle w:val="Hyperlink"/>
            <w:szCs w:val="22"/>
          </w:rPr>
          <w:t>Advisory Committee on Medicines (ACM)</w:t>
        </w:r>
      </w:hyperlink>
      <w:r w:rsidRPr="00BD5DBD">
        <w:rPr>
          <w:color w:val="007099"/>
          <w:szCs w:val="22"/>
        </w:rPr>
        <w:t xml:space="preserve"> </w:t>
      </w:r>
      <w:r w:rsidRPr="00BD5DBD">
        <w:rPr>
          <w:bCs/>
          <w:szCs w:val="22"/>
        </w:rPr>
        <w:t xml:space="preserve">having considered the evaluations and the </w:t>
      </w:r>
      <w:r w:rsidR="0041507C">
        <w:rPr>
          <w:bCs/>
          <w:szCs w:val="22"/>
        </w:rPr>
        <w:t>Delegate</w:t>
      </w:r>
      <w:r w:rsidRPr="00BD5DBD">
        <w:rPr>
          <w:bCs/>
          <w:szCs w:val="22"/>
        </w:rPr>
        <w:t xml:space="preserve">’s overview, as well as the </w:t>
      </w:r>
      <w:r w:rsidR="0041507C">
        <w:rPr>
          <w:bCs/>
          <w:szCs w:val="22"/>
        </w:rPr>
        <w:t>Sponsor</w:t>
      </w:r>
      <w:r w:rsidRPr="00BD5DBD">
        <w:rPr>
          <w:bCs/>
          <w:szCs w:val="22"/>
        </w:rPr>
        <w:t>’s response to these documents, advised the following</w:t>
      </w:r>
      <w:r w:rsidR="007606FD">
        <w:rPr>
          <w:bCs/>
          <w:szCs w:val="22"/>
        </w:rPr>
        <w:t>:</w:t>
      </w:r>
    </w:p>
    <w:p w14:paraId="1ADCEADB" w14:textId="77777777" w:rsidR="007606FD" w:rsidRPr="007606FD" w:rsidRDefault="007606FD" w:rsidP="007606FD">
      <w:pPr>
        <w:pStyle w:val="DelegatesQuestions"/>
      </w:pPr>
      <w:r w:rsidRPr="007606FD">
        <w:t>The Phase 3a studies provided a large amount of data supporting the proposed indication. Long-term data beyond 2 years and data regarding potential rebound are limited.</w:t>
      </w:r>
    </w:p>
    <w:p w14:paraId="282A969F" w14:textId="77777777" w:rsidR="007606FD" w:rsidRPr="007606FD" w:rsidRDefault="007606FD" w:rsidP="007606FD">
      <w:pPr>
        <w:rPr>
          <w:b/>
          <w:bCs/>
          <w:i/>
          <w:iCs/>
          <w:szCs w:val="22"/>
        </w:rPr>
      </w:pPr>
      <w:r w:rsidRPr="007606FD">
        <w:rPr>
          <w:b/>
          <w:bCs/>
          <w:i/>
          <w:iCs/>
          <w:szCs w:val="22"/>
        </w:rPr>
        <w:t>Can the ACM comment on whether the provided data are sufficient to support registration for the proposed indication?</w:t>
      </w:r>
    </w:p>
    <w:p w14:paraId="04E11B0C" w14:textId="77777777" w:rsidR="007606FD" w:rsidRPr="007606FD" w:rsidRDefault="007606FD" w:rsidP="007606FD">
      <w:pPr>
        <w:rPr>
          <w:bCs/>
          <w:szCs w:val="22"/>
        </w:rPr>
      </w:pPr>
      <w:r w:rsidRPr="007606FD">
        <w:rPr>
          <w:bCs/>
          <w:szCs w:val="22"/>
        </w:rPr>
        <w:t>The ACM was of the view that the provided data confirms robust efficacy and a clinically meaningful effect for the target population. Furthermore, a predictable and reasonable safety profile was noted within this context of use.</w:t>
      </w:r>
    </w:p>
    <w:p w14:paraId="4AD74133" w14:textId="77777777" w:rsidR="007606FD" w:rsidRPr="007606FD" w:rsidRDefault="007606FD" w:rsidP="007606FD">
      <w:pPr>
        <w:rPr>
          <w:bCs/>
          <w:szCs w:val="22"/>
        </w:rPr>
      </w:pPr>
      <w:r w:rsidRPr="007606FD">
        <w:rPr>
          <w:bCs/>
          <w:szCs w:val="22"/>
        </w:rPr>
        <w:t>The ACM noted that maintenance of effect was demonstrated within 104 weeks (two years) with continued use and agreed that there is no evidence of diminished effect with continued treatment.</w:t>
      </w:r>
    </w:p>
    <w:p w14:paraId="3EED10F4" w14:textId="77777777" w:rsidR="007606FD" w:rsidRPr="007606FD" w:rsidRDefault="007606FD" w:rsidP="007606FD">
      <w:pPr>
        <w:rPr>
          <w:bCs/>
          <w:szCs w:val="22"/>
        </w:rPr>
      </w:pPr>
      <w:r w:rsidRPr="007606FD">
        <w:rPr>
          <w:bCs/>
          <w:szCs w:val="22"/>
        </w:rPr>
        <w:t>The ACM discussed treatment cessation and agreed that this would lead to an expected loss of effect over time, however no rebound phenomenon was observed or expected.</w:t>
      </w:r>
    </w:p>
    <w:p w14:paraId="27B028CC" w14:textId="1A205AA9" w:rsidR="007606FD" w:rsidRPr="007606FD" w:rsidRDefault="007606FD" w:rsidP="007606FD">
      <w:pPr>
        <w:rPr>
          <w:bCs/>
          <w:szCs w:val="22"/>
        </w:rPr>
      </w:pPr>
      <w:r w:rsidRPr="007606FD">
        <w:rPr>
          <w:bCs/>
          <w:szCs w:val="22"/>
        </w:rPr>
        <w:t xml:space="preserve">The ACM was very supportive of the management modalities being included within the indication and considered </w:t>
      </w:r>
      <w:r w:rsidR="00C87187">
        <w:rPr>
          <w:bCs/>
          <w:szCs w:val="22"/>
        </w:rPr>
        <w:t>Wegovy</w:t>
      </w:r>
      <w:r w:rsidRPr="007606FD">
        <w:rPr>
          <w:bCs/>
          <w:szCs w:val="22"/>
        </w:rPr>
        <w:t xml:space="preserve"> to have a favourable benefit risk profile for the following indication [amendments underlined]:</w:t>
      </w:r>
    </w:p>
    <w:p w14:paraId="2C19F0E1" w14:textId="1E26FA20" w:rsidR="007606FD" w:rsidRPr="00A02383" w:rsidRDefault="00C87187" w:rsidP="002015E0">
      <w:pPr>
        <w:ind w:left="720"/>
        <w:rPr>
          <w:bCs/>
          <w:i/>
          <w:iCs/>
          <w:szCs w:val="22"/>
        </w:rPr>
      </w:pPr>
      <w:r w:rsidRPr="00A02383">
        <w:rPr>
          <w:bCs/>
          <w:i/>
          <w:iCs/>
          <w:szCs w:val="22"/>
        </w:rPr>
        <w:t>Wegovy</w:t>
      </w:r>
      <w:r w:rsidR="007606FD" w:rsidRPr="00A02383">
        <w:rPr>
          <w:bCs/>
          <w:i/>
          <w:iCs/>
          <w:szCs w:val="22"/>
        </w:rPr>
        <w:t>, when used as an adjunct to a reduced-energy diet and increased physical exercise, is indicated for induction and maintenance of weight loss in adults with an initial Body Mass Index (BMI) of:</w:t>
      </w:r>
    </w:p>
    <w:p w14:paraId="7A3AA840" w14:textId="77777777" w:rsidR="007606FD" w:rsidRPr="007606FD" w:rsidRDefault="007606FD" w:rsidP="002015E0">
      <w:pPr>
        <w:ind w:left="720"/>
        <w:rPr>
          <w:bCs/>
          <w:i/>
          <w:iCs/>
          <w:szCs w:val="22"/>
        </w:rPr>
      </w:pPr>
      <w:r w:rsidRPr="007606FD">
        <w:rPr>
          <w:bCs/>
          <w:i/>
          <w:iCs/>
          <w:szCs w:val="22"/>
        </w:rPr>
        <w:t>≥ 30 kg/m</w:t>
      </w:r>
      <w:r w:rsidRPr="007606FD">
        <w:rPr>
          <w:bCs/>
          <w:i/>
          <w:iCs/>
          <w:szCs w:val="22"/>
          <w:vertAlign w:val="superscript"/>
        </w:rPr>
        <w:t>2</w:t>
      </w:r>
      <w:r w:rsidRPr="007606FD">
        <w:rPr>
          <w:bCs/>
          <w:i/>
          <w:iCs/>
          <w:szCs w:val="22"/>
        </w:rPr>
        <w:t xml:space="preserve"> (obesity); or</w:t>
      </w:r>
    </w:p>
    <w:p w14:paraId="37558827" w14:textId="77777777" w:rsidR="007606FD" w:rsidRPr="007606FD" w:rsidRDefault="007606FD" w:rsidP="002015E0">
      <w:pPr>
        <w:ind w:left="720"/>
        <w:rPr>
          <w:bCs/>
          <w:i/>
          <w:iCs/>
          <w:szCs w:val="22"/>
        </w:rPr>
      </w:pPr>
      <w:r w:rsidRPr="007606FD">
        <w:rPr>
          <w:bCs/>
          <w:i/>
          <w:iCs/>
          <w:szCs w:val="22"/>
        </w:rPr>
        <w:t>≥ 27 kg/m</w:t>
      </w:r>
      <w:r w:rsidRPr="007606FD">
        <w:rPr>
          <w:bCs/>
          <w:i/>
          <w:iCs/>
          <w:szCs w:val="22"/>
          <w:vertAlign w:val="superscript"/>
        </w:rPr>
        <w:t>2</w:t>
      </w:r>
      <w:r w:rsidRPr="007606FD">
        <w:rPr>
          <w:bCs/>
          <w:i/>
          <w:iCs/>
          <w:szCs w:val="22"/>
        </w:rPr>
        <w:t xml:space="preserve"> to &lt; 30 kg/m</w:t>
      </w:r>
      <w:r w:rsidRPr="007606FD">
        <w:rPr>
          <w:bCs/>
          <w:i/>
          <w:iCs/>
          <w:szCs w:val="22"/>
          <w:vertAlign w:val="superscript"/>
        </w:rPr>
        <w:t>2</w:t>
      </w:r>
      <w:r w:rsidRPr="007606FD">
        <w:rPr>
          <w:bCs/>
          <w:i/>
          <w:iCs/>
          <w:szCs w:val="22"/>
        </w:rPr>
        <w:t xml:space="preserve"> (overweight) in the presence of at least one weight related comorbidity.</w:t>
      </w:r>
    </w:p>
    <w:p w14:paraId="6754FF08" w14:textId="77777777" w:rsidR="007606FD" w:rsidRPr="007606FD" w:rsidRDefault="007606FD" w:rsidP="007606FD">
      <w:pPr>
        <w:pStyle w:val="DelegatesQuestions"/>
      </w:pPr>
      <w:r w:rsidRPr="007606FD">
        <w:t xml:space="preserve">The committee is also requested to provide advice on any other issues that it thinks may be relevant to a decision on </w:t>
      </w:r>
      <w:proofErr w:type="gramStart"/>
      <w:r w:rsidRPr="007606FD">
        <w:t>whether or not</w:t>
      </w:r>
      <w:proofErr w:type="gramEnd"/>
      <w:r w:rsidRPr="007606FD">
        <w:t xml:space="preserve"> to approve this application.</w:t>
      </w:r>
    </w:p>
    <w:p w14:paraId="42C8BEF5" w14:textId="77777777" w:rsidR="007606FD" w:rsidRPr="007606FD" w:rsidRDefault="007606FD" w:rsidP="007606FD">
      <w:pPr>
        <w:rPr>
          <w:bCs/>
          <w:szCs w:val="22"/>
        </w:rPr>
      </w:pPr>
      <w:r w:rsidRPr="007606FD">
        <w:rPr>
          <w:bCs/>
          <w:szCs w:val="22"/>
        </w:rPr>
        <w:t xml:space="preserve">The ACM advised that drug names rather than drug classes (such as </w:t>
      </w:r>
      <w:proofErr w:type="spellStart"/>
      <w:r w:rsidRPr="007606FD">
        <w:rPr>
          <w:bCs/>
          <w:szCs w:val="22"/>
        </w:rPr>
        <w:t>sulphonylurea</w:t>
      </w:r>
      <w:proofErr w:type="spellEnd"/>
      <w:r w:rsidRPr="007606FD">
        <w:rPr>
          <w:bCs/>
          <w:szCs w:val="22"/>
        </w:rPr>
        <w:t>) should be used within the Consumer Medicines Information (CMI), so consumers can readily identify relevant medications.</w:t>
      </w:r>
    </w:p>
    <w:p w14:paraId="2A5289CF" w14:textId="77777777" w:rsidR="007606FD" w:rsidRPr="007606FD" w:rsidRDefault="007606FD" w:rsidP="007606FD">
      <w:pPr>
        <w:rPr>
          <w:bCs/>
          <w:szCs w:val="22"/>
        </w:rPr>
      </w:pPr>
      <w:r w:rsidRPr="007606FD">
        <w:rPr>
          <w:bCs/>
          <w:szCs w:val="22"/>
        </w:rPr>
        <w:lastRenderedPageBreak/>
        <w:t>The ACM discussed the pregnancy classification and agreed that Category D is appropriate. The ACM was supportive of further emphasis within the PI of the importance of contraception / not attempting conception or pregnancy while on treatment, particularly as weight-loss may be used as an aid for fertility.</w:t>
      </w:r>
    </w:p>
    <w:p w14:paraId="5291EA2A" w14:textId="235F6FE6" w:rsidR="00C22214" w:rsidRDefault="00EB6CC8" w:rsidP="00C22214">
      <w:pPr>
        <w:pStyle w:val="Heading5"/>
      </w:pPr>
      <w:r w:rsidRPr="00EB6CC8">
        <w:t xml:space="preserve">ACM </w:t>
      </w:r>
      <w:r w:rsidR="00362D4A">
        <w:t>c</w:t>
      </w:r>
      <w:r w:rsidR="00C22214" w:rsidRPr="00F73346">
        <w:t>onclusion</w:t>
      </w:r>
    </w:p>
    <w:p w14:paraId="162D3DC0" w14:textId="3B9FA81B" w:rsidR="004947D4" w:rsidRPr="004947D4" w:rsidRDefault="004947D4" w:rsidP="004947D4">
      <w:pPr>
        <w:rPr>
          <w:bCs/>
        </w:rPr>
      </w:pPr>
      <w:r w:rsidRPr="004947D4">
        <w:rPr>
          <w:bCs/>
        </w:rPr>
        <w:t xml:space="preserve">The ACM considered this product to have an overall positive benefit-risk profile for the </w:t>
      </w:r>
      <w:r w:rsidR="002015E0">
        <w:rPr>
          <w:bCs/>
        </w:rPr>
        <w:t xml:space="preserve">proposed </w:t>
      </w:r>
      <w:r w:rsidRPr="004947D4">
        <w:rPr>
          <w:bCs/>
        </w:rPr>
        <w:t>indication</w:t>
      </w:r>
      <w:r w:rsidR="002015E0">
        <w:rPr>
          <w:bCs/>
        </w:rPr>
        <w:t>.</w:t>
      </w:r>
    </w:p>
    <w:p w14:paraId="307F236C" w14:textId="1BE71B9C" w:rsidR="00C22214" w:rsidRPr="002E238E" w:rsidRDefault="00201E87" w:rsidP="00C22214">
      <w:pPr>
        <w:pStyle w:val="Heading2"/>
      </w:pPr>
      <w:bookmarkStart w:id="87" w:name="_Toc103679300"/>
      <w:bookmarkStart w:id="88" w:name="_Toc176423073"/>
      <w:r>
        <w:t>O</w:t>
      </w:r>
      <w:r w:rsidR="00C22214">
        <w:t>utcome</w:t>
      </w:r>
      <w:bookmarkEnd w:id="85"/>
      <w:bookmarkEnd w:id="86"/>
      <w:bookmarkEnd w:id="87"/>
      <w:bookmarkEnd w:id="88"/>
    </w:p>
    <w:p w14:paraId="4EF22939" w14:textId="46665CE2"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C87187">
        <w:t>Wegovy</w:t>
      </w:r>
      <w:r w:rsidR="00CA409D">
        <w:t xml:space="preserve"> (semaglutide)</w:t>
      </w:r>
      <w:r w:rsidRPr="0017005C">
        <w:t>, for the following extension of indications:</w:t>
      </w:r>
    </w:p>
    <w:p w14:paraId="52EFF71F" w14:textId="66390ABF" w:rsidR="00CA409D" w:rsidRDefault="00C87187" w:rsidP="00CA409D">
      <w:pPr>
        <w:pStyle w:val="Indication"/>
      </w:pPr>
      <w:r>
        <w:t>Wegovy</w:t>
      </w:r>
      <w:r w:rsidR="00CA409D">
        <w:t>, when used as an adjunct to a reduced-energy diet and increased physical exercise, is indicated for induction and maintenance of weight loss in adults with an initial Body Mass Index (BMI) of:</w:t>
      </w:r>
    </w:p>
    <w:p w14:paraId="5AE8353B" w14:textId="77777777" w:rsidR="00CA409D" w:rsidRDefault="00CA409D" w:rsidP="00201E87">
      <w:pPr>
        <w:pStyle w:val="Indication"/>
        <w:ind w:left="1440"/>
      </w:pPr>
      <w:r>
        <w:t>≥ 30 kg/m</w:t>
      </w:r>
      <w:r w:rsidRPr="00201E87">
        <w:rPr>
          <w:vertAlign w:val="superscript"/>
        </w:rPr>
        <w:t>2</w:t>
      </w:r>
      <w:r>
        <w:t xml:space="preserve"> (obesity); or </w:t>
      </w:r>
    </w:p>
    <w:p w14:paraId="194EF187" w14:textId="77777777" w:rsidR="00CA409D" w:rsidRDefault="00CA409D" w:rsidP="00201E87">
      <w:pPr>
        <w:pStyle w:val="Indication"/>
        <w:ind w:left="1440"/>
      </w:pPr>
      <w:r>
        <w:t>≥ 27 kg/m</w:t>
      </w:r>
      <w:r w:rsidRPr="00201E87">
        <w:rPr>
          <w:vertAlign w:val="superscript"/>
        </w:rPr>
        <w:t>2</w:t>
      </w:r>
      <w:r>
        <w:t xml:space="preserve"> to &lt; 30 kg/m</w:t>
      </w:r>
      <w:r w:rsidRPr="00201E87">
        <w:rPr>
          <w:vertAlign w:val="superscript"/>
        </w:rPr>
        <w:t>2</w:t>
      </w:r>
      <w:r>
        <w:t xml:space="preserve"> (overweight) in the presence of at least one weight related comorbidity.</w:t>
      </w:r>
    </w:p>
    <w:p w14:paraId="1CCD2CD5" w14:textId="3B63075C" w:rsidR="002015E0" w:rsidRDefault="002015E0" w:rsidP="002015E0">
      <w:pPr>
        <w:pStyle w:val="Heading4"/>
      </w:pPr>
      <w:bookmarkStart w:id="89" w:name="_Toc176423074"/>
      <w:bookmarkStart w:id="90" w:name="_Toc103679303"/>
      <w:r w:rsidRPr="002015E0">
        <w:t>Specific conditions of registration applying to these goods</w:t>
      </w:r>
      <w:bookmarkEnd w:id="89"/>
    </w:p>
    <w:p w14:paraId="561FA00F" w14:textId="27F1AC20" w:rsidR="0027571D" w:rsidRPr="0027571D" w:rsidRDefault="00C87187" w:rsidP="0027571D">
      <w:r>
        <w:t>Wegovy</w:t>
      </w:r>
      <w:r w:rsidR="0027571D" w:rsidRPr="0027571D">
        <w:t xml:space="preserve"> (semaglutide) is to be included in the Black Triangle Scheme. The PI and CMI for </w:t>
      </w:r>
      <w:r>
        <w:t>Wegovy</w:t>
      </w:r>
      <w:r w:rsidR="0027571D" w:rsidRPr="0027571D">
        <w:t xml:space="preserve"> must include the black triangle symbol and mandatory accompanying text for five years, which starts from the date that the sponsor notifies the TGA of supply of the product. </w:t>
      </w:r>
    </w:p>
    <w:p w14:paraId="164C3372" w14:textId="7CAEBB1B" w:rsidR="0027571D" w:rsidRPr="0027571D" w:rsidRDefault="0027571D" w:rsidP="0027571D">
      <w:r w:rsidRPr="0027571D">
        <w:t xml:space="preserve">As a post-registration commitment, a Risk Management Plan (RMP) prepared to the satisfaction of the TGA will be implemented in Australia. </w:t>
      </w:r>
    </w:p>
    <w:p w14:paraId="045E67A5" w14:textId="77777777" w:rsidR="0027571D" w:rsidRPr="0027571D" w:rsidRDefault="0027571D" w:rsidP="0027571D">
      <w:r w:rsidRPr="0027571D">
        <w:t xml:space="preserve">An obligatory component of risk management plans is routine pharmacovigilance. Routine pharmacovigilance includes the submission of periodic safety update reports (PSURs). </w:t>
      </w:r>
    </w:p>
    <w:p w14:paraId="34BAE681" w14:textId="77777777" w:rsidR="0027571D" w:rsidRPr="0027571D" w:rsidRDefault="0027571D" w:rsidP="0027571D">
      <w:r w:rsidRPr="0027571D">
        <w:t xml:space="preserve">Reports are to be provided in line with the current published list of EU reference dates and frequency of submission of PSURs until the period covered by such reports is not less than three years from the date of this approval letter. </w:t>
      </w:r>
    </w:p>
    <w:p w14:paraId="0129BA3C" w14:textId="77777777" w:rsidR="0027571D" w:rsidRPr="0027571D" w:rsidRDefault="0027571D" w:rsidP="0027571D">
      <w:r w:rsidRPr="0027571D">
        <w:t xml:space="preserve">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w:t>
      </w:r>
    </w:p>
    <w:p w14:paraId="0480417C" w14:textId="40A9D485" w:rsidR="0027571D" w:rsidRDefault="0027571D" w:rsidP="0027571D">
      <w:r w:rsidRPr="0027571D">
        <w:t>The final clinical study report (CSR) for Study EX9536-4388 (SELECT) should be submitted to the TGA, once available (planned reporting of results in 2024).</w:t>
      </w:r>
    </w:p>
    <w:p w14:paraId="1F7F7570" w14:textId="77777777" w:rsidR="00362D4A" w:rsidRDefault="00362D4A" w:rsidP="00362D4A">
      <w:pPr>
        <w:pStyle w:val="Heading2"/>
      </w:pPr>
      <w:bookmarkStart w:id="91" w:name="_Toc149647553"/>
      <w:bookmarkStart w:id="92" w:name="_Toc176423075"/>
      <w:bookmarkEnd w:id="90"/>
      <w:r>
        <w:t>Attachment 1. Product Information</w:t>
      </w:r>
      <w:bookmarkEnd w:id="91"/>
      <w:bookmarkEnd w:id="92"/>
    </w:p>
    <w:p w14:paraId="74F59983" w14:textId="4A3A8AA3" w:rsidR="00675F81" w:rsidRPr="00BD5DBD" w:rsidRDefault="00675F81" w:rsidP="00675F81">
      <w:pPr>
        <w:rPr>
          <w:szCs w:val="22"/>
        </w:rPr>
      </w:pPr>
      <w:bookmarkStart w:id="93" w:name="_Hlk172015475"/>
      <w:r w:rsidRPr="00BD5DBD">
        <w:rPr>
          <w:szCs w:val="22"/>
        </w:rPr>
        <w:t xml:space="preserve">The </w:t>
      </w:r>
      <w:hyperlink r:id="rId52" w:history="1">
        <w:r w:rsidRPr="00BD5DBD">
          <w:rPr>
            <w:rStyle w:val="Hyperlink"/>
            <w:szCs w:val="22"/>
          </w:rPr>
          <w:t>Product Information</w:t>
        </w:r>
      </w:hyperlink>
      <w:r w:rsidRPr="00BD5DBD">
        <w:rPr>
          <w:szCs w:val="22"/>
        </w:rPr>
        <w:t xml:space="preserve"> (</w:t>
      </w:r>
      <w:hyperlink r:id="rId53" w:history="1">
        <w:r w:rsidRPr="00BD5DBD">
          <w:rPr>
            <w:rStyle w:val="Hyperlink"/>
            <w:szCs w:val="22"/>
          </w:rPr>
          <w:t>PI</w:t>
        </w:r>
      </w:hyperlink>
      <w:r w:rsidRPr="00BD5DBD">
        <w:rPr>
          <w:szCs w:val="22"/>
        </w:rPr>
        <w:t xml:space="preserve">) approved with </w:t>
      </w:r>
      <w:r w:rsidR="00905C11">
        <w:rPr>
          <w:szCs w:val="22"/>
        </w:rPr>
        <w:t>this</w:t>
      </w:r>
      <w:r w:rsidRPr="00BD5DBD">
        <w:rPr>
          <w:szCs w:val="22"/>
        </w:rPr>
        <w:t xml:space="preserve"> submission</w:t>
      </w:r>
      <w:r w:rsidR="0017005C" w:rsidRPr="0017005C">
        <w:rPr>
          <w:szCs w:val="22"/>
        </w:rPr>
        <w:t xml:space="preserve"> </w:t>
      </w:r>
      <w:r w:rsidR="0017005C" w:rsidRPr="00BD5DBD">
        <w:rPr>
          <w:szCs w:val="22"/>
        </w:rPr>
        <w:t xml:space="preserve">for </w:t>
      </w:r>
      <w:r w:rsidR="00C87187">
        <w:t>Wegovy</w:t>
      </w:r>
      <w:r w:rsidR="003163BC">
        <w:t xml:space="preserve"> </w:t>
      </w:r>
      <w:r w:rsidRPr="00BD5DBD">
        <w:rPr>
          <w:szCs w:val="22"/>
        </w:rPr>
        <w:t xml:space="preserve">which is </w:t>
      </w:r>
      <w:r w:rsidR="00905C11">
        <w:rPr>
          <w:szCs w:val="22"/>
        </w:rPr>
        <w:t>referred to</w:t>
      </w:r>
      <w:r w:rsidRPr="00BD5DBD">
        <w:rPr>
          <w:szCs w:val="22"/>
        </w:rPr>
        <w:t xml:space="preserve"> in this AusPAR </w:t>
      </w:r>
      <w:r w:rsidR="004060F7">
        <w:rPr>
          <w:szCs w:val="22"/>
        </w:rPr>
        <w:t xml:space="preserve">(and </w:t>
      </w:r>
      <w:r w:rsidRPr="00BD5DBD">
        <w:rPr>
          <w:szCs w:val="22"/>
        </w:rPr>
        <w:t xml:space="preserve">can be </w:t>
      </w:r>
      <w:r w:rsidR="004060F7">
        <w:rPr>
          <w:szCs w:val="22"/>
        </w:rPr>
        <w:t xml:space="preserve">accessed on this </w:t>
      </w:r>
      <w:proofErr w:type="spellStart"/>
      <w:r w:rsidR="004060F7">
        <w:rPr>
          <w:szCs w:val="22"/>
        </w:rPr>
        <w:t>AusPAR’s</w:t>
      </w:r>
      <w:proofErr w:type="spellEnd"/>
      <w:r w:rsidR="004060F7">
        <w:rPr>
          <w:szCs w:val="22"/>
        </w:rPr>
        <w:t xml:space="preserve"> webpage) </w:t>
      </w:r>
      <w:r w:rsidR="0025785B">
        <w:t xml:space="preserve">may have been superseded. </w:t>
      </w:r>
      <w:r w:rsidRPr="00BD5DBD">
        <w:rPr>
          <w:szCs w:val="22"/>
        </w:rPr>
        <w:t xml:space="preserve">For the most recent PI and </w:t>
      </w:r>
      <w:hyperlink r:id="rId54" w:history="1">
        <w:r w:rsidRPr="00BD5DBD">
          <w:rPr>
            <w:rStyle w:val="Hyperlink"/>
            <w:szCs w:val="22"/>
          </w:rPr>
          <w:t>Consumer Medicines Information</w:t>
        </w:r>
      </w:hyperlink>
      <w:r w:rsidRPr="00BD5DBD">
        <w:rPr>
          <w:szCs w:val="22"/>
        </w:rPr>
        <w:t xml:space="preserve"> (CMI), please refer to the TGA </w:t>
      </w:r>
      <w:hyperlink r:id="rId55" w:history="1">
        <w:r w:rsidRPr="00BD5DBD">
          <w:rPr>
            <w:rStyle w:val="Hyperlink"/>
            <w:szCs w:val="22"/>
          </w:rPr>
          <w:t>PI/CMI search facility.</w:t>
        </w:r>
      </w:hyperlink>
    </w:p>
    <w:bookmarkEnd w:id="93"/>
    <w:p w14:paraId="40740B65" w14:textId="5819D664" w:rsidR="00C22214" w:rsidRDefault="00C22214" w:rsidP="00C22214">
      <w:pPr>
        <w:autoSpaceDE w:val="0"/>
        <w:autoSpaceDN w:val="0"/>
        <w:adjustRightInd w:val="0"/>
        <w:spacing w:after="0"/>
      </w:pPr>
    </w:p>
    <w:p w14:paraId="2A1056D1" w14:textId="77777777" w:rsidR="000B5B90" w:rsidRDefault="000B5B90" w:rsidP="00C22214">
      <w:pPr>
        <w:autoSpaceDE w:val="0"/>
        <w:autoSpaceDN w:val="0"/>
        <w:adjustRightInd w:val="0"/>
        <w:spacing w:after="0"/>
      </w:pPr>
    </w:p>
    <w:p w14:paraId="2FFBB2EF" w14:textId="7F045158" w:rsidR="008A4AA6" w:rsidRDefault="008A4AA6" w:rsidP="008A4AA6">
      <w:pPr>
        <w:pStyle w:val="Heading3"/>
      </w:pPr>
      <w:bookmarkStart w:id="94" w:name="_Toc176423076"/>
      <w:r>
        <w:lastRenderedPageBreak/>
        <w:t>Appendix</w:t>
      </w:r>
      <w:bookmarkEnd w:id="94"/>
    </w:p>
    <w:p w14:paraId="077B0D66" w14:textId="67F12AD4" w:rsidR="000B5B90" w:rsidRPr="000B5B90" w:rsidRDefault="00FB0C0B" w:rsidP="00E94E4F">
      <w:pPr>
        <w:pStyle w:val="TableTitle"/>
      </w:pPr>
      <w:r>
        <w:t>Figure 7</w:t>
      </w:r>
      <w:r w:rsidR="000B5B90" w:rsidRPr="000B5B90">
        <w:t xml:space="preserve">. </w:t>
      </w:r>
      <w:proofErr w:type="spellStart"/>
      <w:r w:rsidR="000B5B90" w:rsidRPr="000B5B90">
        <w:t>PopPK</w:t>
      </w:r>
      <w:proofErr w:type="spellEnd"/>
      <w:r w:rsidR="000B5B90" w:rsidRPr="000B5B90">
        <w:t xml:space="preserve"> modelling based on NN9536-4153. Forest plot of covariate analysis for semaglutide exposure expressed as steady-state dose-normalised average semaglutide concentrations relative to a reference subject.</w:t>
      </w:r>
    </w:p>
    <w:p w14:paraId="16BDBE99" w14:textId="0BAA194D" w:rsidR="000B5B90" w:rsidRDefault="00E94E4F" w:rsidP="000B5B90">
      <w:pPr>
        <w:autoSpaceDE w:val="0"/>
        <w:autoSpaceDN w:val="0"/>
        <w:adjustRightInd w:val="0"/>
        <w:spacing w:after="0"/>
      </w:pPr>
      <w:r>
        <w:rPr>
          <w:noProof/>
        </w:rPr>
        <w:drawing>
          <wp:inline distT="0" distB="0" distL="0" distR="0" wp14:anchorId="513121BB" wp14:editId="6671D3CD">
            <wp:extent cx="5649794" cy="2336800"/>
            <wp:effectExtent l="0" t="0" r="8255" b="6350"/>
            <wp:docPr id="14153674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54540" cy="2338763"/>
                    </a:xfrm>
                    <a:prstGeom prst="rect">
                      <a:avLst/>
                    </a:prstGeom>
                    <a:noFill/>
                  </pic:spPr>
                </pic:pic>
              </a:graphicData>
            </a:graphic>
          </wp:inline>
        </w:drawing>
      </w:r>
    </w:p>
    <w:p w14:paraId="7D7581ED" w14:textId="77777777" w:rsidR="00915039" w:rsidRDefault="00915039">
      <w:pPr>
        <w:rPr>
          <w:b/>
        </w:rPr>
      </w:pPr>
      <w:r>
        <w:br w:type="page"/>
      </w:r>
    </w:p>
    <w:p w14:paraId="18E5C79C" w14:textId="1B29E117" w:rsidR="00915039" w:rsidRDefault="00915039" w:rsidP="00915039">
      <w:pPr>
        <w:pStyle w:val="FigureTitle"/>
      </w:pPr>
      <w:r w:rsidRPr="00915039">
        <w:lastRenderedPageBreak/>
        <w:t xml:space="preserve">Figure </w:t>
      </w:r>
      <w:r w:rsidR="00FB0C0B">
        <w:t>8</w:t>
      </w:r>
      <w:r w:rsidRPr="00915039">
        <w:t xml:space="preserve">. </w:t>
      </w:r>
      <w:proofErr w:type="spellStart"/>
      <w:r w:rsidRPr="00915039">
        <w:t>PopPK</w:t>
      </w:r>
      <w:proofErr w:type="spellEnd"/>
      <w:r w:rsidRPr="00915039">
        <w:t xml:space="preserve"> modelling based on NN9536-4153. Body weight change from baseline versus exposure of semaglutide for all subjects (A) and shown by sex (B) and body weight quantile (C).</w:t>
      </w:r>
    </w:p>
    <w:p w14:paraId="29FD29B9" w14:textId="1BCC38C2" w:rsidR="003500C1" w:rsidRPr="000B5B90" w:rsidRDefault="003500C1" w:rsidP="000B5B90">
      <w:pPr>
        <w:autoSpaceDE w:val="0"/>
        <w:autoSpaceDN w:val="0"/>
        <w:adjustRightInd w:val="0"/>
        <w:spacing w:after="0"/>
      </w:pPr>
      <w:r>
        <w:rPr>
          <w:noProof/>
        </w:rPr>
        <w:drawing>
          <wp:inline distT="0" distB="0" distL="0" distR="0" wp14:anchorId="1493AAA2" wp14:editId="2CD4C7C1">
            <wp:extent cx="3989494" cy="7392826"/>
            <wp:effectExtent l="0" t="0" r="0" b="0"/>
            <wp:docPr id="6903280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8">
                      <a:extLst>
                        <a:ext uri="{BEBA8EAE-BF5A-486C-A8C5-ECC9F3942E4B}">
                          <a14:imgProps xmlns:a14="http://schemas.microsoft.com/office/drawing/2010/main">
                            <a14:imgLayer r:embed="rId59">
                              <a14:imgEffect>
                                <a14:sharpenSoften amount="25000"/>
                              </a14:imgEffect>
                            </a14:imgLayer>
                          </a14:imgProps>
                        </a:ext>
                        <a:ext uri="{28A0092B-C50C-407E-A947-70E740481C1C}">
                          <a14:useLocalDpi xmlns:a14="http://schemas.microsoft.com/office/drawing/2010/main" val="0"/>
                        </a:ext>
                      </a:extLst>
                    </a:blip>
                    <a:srcRect l="15556" r="27437"/>
                    <a:stretch/>
                  </pic:blipFill>
                  <pic:spPr bwMode="auto">
                    <a:xfrm>
                      <a:off x="0" y="0"/>
                      <a:ext cx="3999591" cy="7411537"/>
                    </a:xfrm>
                    <a:prstGeom prst="rect">
                      <a:avLst/>
                    </a:prstGeom>
                    <a:noFill/>
                    <a:ln>
                      <a:noFill/>
                    </a:ln>
                    <a:extLst>
                      <a:ext uri="{53640926-AAD7-44D8-BBD7-CCE9431645EC}">
                        <a14:shadowObscured xmlns:a14="http://schemas.microsoft.com/office/drawing/2010/main"/>
                      </a:ext>
                    </a:extLst>
                  </pic:spPr>
                </pic:pic>
              </a:graphicData>
            </a:graphic>
          </wp:inline>
        </w:drawing>
      </w:r>
    </w:p>
    <w:p w14:paraId="0845C46F" w14:textId="4C93E9E9" w:rsidR="000B5B90" w:rsidRPr="000B5B90" w:rsidRDefault="000B5B90" w:rsidP="000B5B90">
      <w:pPr>
        <w:autoSpaceDE w:val="0"/>
        <w:autoSpaceDN w:val="0"/>
        <w:adjustRightInd w:val="0"/>
        <w:spacing w:after="0"/>
      </w:pPr>
    </w:p>
    <w:p w14:paraId="778D896C" w14:textId="77777777" w:rsidR="000B5B90" w:rsidRPr="000B5B90" w:rsidRDefault="000B5B90" w:rsidP="000B5B90">
      <w:pPr>
        <w:autoSpaceDE w:val="0"/>
        <w:autoSpaceDN w:val="0"/>
        <w:adjustRightInd w:val="0"/>
        <w:spacing w:after="0"/>
      </w:pPr>
      <w:r w:rsidRPr="000B5B90">
        <w:rPr>
          <w:noProof/>
        </w:rPr>
        <w:drawing>
          <wp:inline distT="0" distB="0" distL="0" distR="0" wp14:anchorId="737CBF68" wp14:editId="13C7DE76">
            <wp:extent cx="5835650" cy="64897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35650" cy="648970"/>
                    </a:xfrm>
                    <a:prstGeom prst="rect">
                      <a:avLst/>
                    </a:prstGeom>
                    <a:noFill/>
                    <a:ln>
                      <a:noFill/>
                    </a:ln>
                  </pic:spPr>
                </pic:pic>
              </a:graphicData>
            </a:graphic>
          </wp:inline>
        </w:drawing>
      </w:r>
    </w:p>
    <w:p w14:paraId="39300848" w14:textId="77777777" w:rsidR="00362D4A" w:rsidRDefault="000B5B90" w:rsidP="00345B61">
      <w:pPr>
        <w:pStyle w:val="TableTitle"/>
      </w:pPr>
      <w:bookmarkStart w:id="95" w:name="_Ref86768111"/>
      <w:r w:rsidRPr="000B5B90">
        <w:lastRenderedPageBreak/>
        <w:t>Table</w:t>
      </w:r>
      <w:bookmarkEnd w:id="95"/>
      <w:r w:rsidR="0080248F">
        <w:t xml:space="preserve"> </w:t>
      </w:r>
      <w:r w:rsidR="000B2B03">
        <w:t>8</w:t>
      </w:r>
      <w:r w:rsidRPr="000B5B90">
        <w:t>. Overview of STEP trial endpoints.</w:t>
      </w:r>
    </w:p>
    <w:p w14:paraId="4C3A1576" w14:textId="054B6A0C" w:rsidR="000B5B90" w:rsidRPr="000B5B90" w:rsidRDefault="00345B61" w:rsidP="00362D4A">
      <w:r>
        <w:rPr>
          <w:noProof/>
        </w:rPr>
        <w:drawing>
          <wp:inline distT="0" distB="0" distL="0" distR="0" wp14:anchorId="03CED313" wp14:editId="0F38DFE3">
            <wp:extent cx="5374257" cy="5597245"/>
            <wp:effectExtent l="0" t="0" r="0" b="3810"/>
            <wp:docPr id="19834558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19513" cy="5644379"/>
                    </a:xfrm>
                    <a:prstGeom prst="rect">
                      <a:avLst/>
                    </a:prstGeom>
                    <a:noFill/>
                  </pic:spPr>
                </pic:pic>
              </a:graphicData>
            </a:graphic>
          </wp:inline>
        </w:drawing>
      </w:r>
    </w:p>
    <w:p w14:paraId="039E5C9E" w14:textId="6FDEA47F" w:rsidR="004D3622" w:rsidRPr="000B5B90" w:rsidRDefault="000B5B90" w:rsidP="000B5B90">
      <w:pPr>
        <w:autoSpaceDE w:val="0"/>
        <w:autoSpaceDN w:val="0"/>
        <w:adjustRightInd w:val="0"/>
        <w:spacing w:after="0"/>
        <w:rPr>
          <w:b/>
        </w:rPr>
      </w:pPr>
      <w:bookmarkStart w:id="96" w:name="_Ref80784312"/>
      <w:r w:rsidRPr="000B5B90">
        <w:rPr>
          <w:b/>
        </w:rPr>
        <w:lastRenderedPageBreak/>
        <w:t xml:space="preserve">Table </w:t>
      </w:r>
      <w:bookmarkEnd w:id="96"/>
      <w:r w:rsidR="000B2B03">
        <w:rPr>
          <w:b/>
        </w:rPr>
        <w:t>9</w:t>
      </w:r>
      <w:r w:rsidRPr="000B5B90">
        <w:rPr>
          <w:b/>
        </w:rPr>
        <w:t>. Pivotal STEP trials. Inclusion criteria.</w:t>
      </w:r>
      <w:r w:rsidR="004D3622">
        <w:rPr>
          <w:b/>
          <w:noProof/>
        </w:rPr>
        <w:drawing>
          <wp:inline distT="0" distB="0" distL="0" distR="0" wp14:anchorId="027967F8" wp14:editId="429D75BE">
            <wp:extent cx="5803900" cy="3048000"/>
            <wp:effectExtent l="0" t="0" r="6350" b="0"/>
            <wp:docPr id="14190991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03900" cy="3048000"/>
                    </a:xfrm>
                    <a:prstGeom prst="rect">
                      <a:avLst/>
                    </a:prstGeom>
                    <a:noFill/>
                  </pic:spPr>
                </pic:pic>
              </a:graphicData>
            </a:graphic>
          </wp:inline>
        </w:drawing>
      </w:r>
    </w:p>
    <w:p w14:paraId="46DCA984" w14:textId="77777777" w:rsidR="000B5B90" w:rsidRPr="000B5B90" w:rsidRDefault="000B5B90" w:rsidP="000B5B90">
      <w:pPr>
        <w:autoSpaceDE w:val="0"/>
        <w:autoSpaceDN w:val="0"/>
        <w:adjustRightInd w:val="0"/>
        <w:spacing w:after="0"/>
      </w:pPr>
    </w:p>
    <w:p w14:paraId="1A600452" w14:textId="1A5D3635" w:rsidR="000B5B90" w:rsidRDefault="000B5B90" w:rsidP="000B5B90">
      <w:pPr>
        <w:autoSpaceDE w:val="0"/>
        <w:autoSpaceDN w:val="0"/>
        <w:adjustRightInd w:val="0"/>
        <w:spacing w:after="0"/>
        <w:rPr>
          <w:b/>
        </w:rPr>
      </w:pPr>
      <w:bookmarkStart w:id="97" w:name="_Ref90369957"/>
      <w:r w:rsidRPr="000B5B90">
        <w:rPr>
          <w:b/>
        </w:rPr>
        <w:t xml:space="preserve">Table </w:t>
      </w:r>
      <w:bookmarkEnd w:id="97"/>
      <w:r w:rsidR="000B2B03">
        <w:rPr>
          <w:b/>
        </w:rPr>
        <w:t>10</w:t>
      </w:r>
      <w:r w:rsidRPr="000B5B90">
        <w:rPr>
          <w:b/>
        </w:rPr>
        <w:t>. Pivotal STEP trials. Key exclusion criteria.</w:t>
      </w:r>
    </w:p>
    <w:p w14:paraId="3EC12274" w14:textId="7B2EA407" w:rsidR="005915BD" w:rsidRPr="000B5B90" w:rsidRDefault="005915BD" w:rsidP="000B5B90">
      <w:pPr>
        <w:autoSpaceDE w:val="0"/>
        <w:autoSpaceDN w:val="0"/>
        <w:adjustRightInd w:val="0"/>
        <w:spacing w:after="0"/>
        <w:rPr>
          <w:b/>
        </w:rPr>
      </w:pPr>
      <w:r>
        <w:rPr>
          <w:b/>
          <w:noProof/>
        </w:rPr>
        <w:drawing>
          <wp:inline distT="0" distB="0" distL="0" distR="0" wp14:anchorId="61D594BC" wp14:editId="0B39C04D">
            <wp:extent cx="5803900" cy="4840605"/>
            <wp:effectExtent l="0" t="0" r="6350" b="0"/>
            <wp:docPr id="17562802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03900" cy="4840605"/>
                    </a:xfrm>
                    <a:prstGeom prst="rect">
                      <a:avLst/>
                    </a:prstGeom>
                    <a:noFill/>
                  </pic:spPr>
                </pic:pic>
              </a:graphicData>
            </a:graphic>
          </wp:inline>
        </w:drawing>
      </w:r>
    </w:p>
    <w:p w14:paraId="70928FAF" w14:textId="3A1A6A3C" w:rsidR="000B5B90" w:rsidRPr="000B5B90" w:rsidRDefault="000B5B90" w:rsidP="000B5B90">
      <w:pPr>
        <w:autoSpaceDE w:val="0"/>
        <w:autoSpaceDN w:val="0"/>
        <w:adjustRightInd w:val="0"/>
        <w:spacing w:after="0"/>
      </w:pPr>
    </w:p>
    <w:p w14:paraId="5EF491F2" w14:textId="13F1B699" w:rsidR="008A4AA6" w:rsidRDefault="008A4AA6">
      <w:pPr>
        <w:rPr>
          <w:b/>
        </w:rPr>
      </w:pPr>
      <w:bookmarkStart w:id="98" w:name="_Ref92206258"/>
    </w:p>
    <w:p w14:paraId="287F4371" w14:textId="77777777" w:rsidR="00362D4A" w:rsidRDefault="00362D4A">
      <w:pPr>
        <w:rPr>
          <w:b/>
        </w:rPr>
      </w:pPr>
    </w:p>
    <w:p w14:paraId="419F1ADE" w14:textId="5224798D" w:rsidR="000B5B90" w:rsidRPr="000B5B90" w:rsidRDefault="000B5B90" w:rsidP="000B5B90">
      <w:pPr>
        <w:autoSpaceDE w:val="0"/>
        <w:autoSpaceDN w:val="0"/>
        <w:adjustRightInd w:val="0"/>
        <w:spacing w:after="0"/>
        <w:rPr>
          <w:b/>
        </w:rPr>
      </w:pPr>
      <w:r w:rsidRPr="000B5B90">
        <w:rPr>
          <w:b/>
        </w:rPr>
        <w:lastRenderedPageBreak/>
        <w:t xml:space="preserve">Table </w:t>
      </w:r>
      <w:bookmarkEnd w:id="98"/>
      <w:r w:rsidR="0080248F">
        <w:rPr>
          <w:b/>
        </w:rPr>
        <w:t>1</w:t>
      </w:r>
      <w:r w:rsidR="000B2B03">
        <w:rPr>
          <w:b/>
        </w:rPr>
        <w:t>1</w:t>
      </w:r>
      <w:r w:rsidRPr="000B5B90">
        <w:rPr>
          <w:b/>
        </w:rPr>
        <w:t>. Pivotal STEP trials. Study disposition.</w:t>
      </w:r>
    </w:p>
    <w:p w14:paraId="0FD69EE1" w14:textId="41A252FD" w:rsidR="000B5B90" w:rsidRPr="000B5B90" w:rsidRDefault="00A27E0D" w:rsidP="000B5B90">
      <w:pPr>
        <w:autoSpaceDE w:val="0"/>
        <w:autoSpaceDN w:val="0"/>
        <w:adjustRightInd w:val="0"/>
        <w:spacing w:after="0"/>
      </w:pPr>
      <w:r>
        <w:rPr>
          <w:noProof/>
        </w:rPr>
        <w:drawing>
          <wp:inline distT="0" distB="0" distL="0" distR="0" wp14:anchorId="5E5A741A" wp14:editId="73D49753">
            <wp:extent cx="5089585" cy="3594648"/>
            <wp:effectExtent l="0" t="0" r="0" b="6350"/>
            <wp:docPr id="17433888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7">
                      <a:extLst>
                        <a:ext uri="{BEBA8EAE-BF5A-486C-A8C5-ECC9F3942E4B}">
                          <a14:imgProps xmlns:a14="http://schemas.microsoft.com/office/drawing/2010/main">
                            <a14:imgLayer r:embed="rId68">
                              <a14:imgEffect>
                                <a14:sharpenSoften amount="25000"/>
                              </a14:imgEffect>
                            </a14:imgLayer>
                          </a14:imgProps>
                        </a:ext>
                        <a:ext uri="{28A0092B-C50C-407E-A947-70E740481C1C}">
                          <a14:useLocalDpi xmlns:a14="http://schemas.microsoft.com/office/drawing/2010/main" val="0"/>
                        </a:ext>
                      </a:extLst>
                    </a:blip>
                    <a:srcRect b="4099"/>
                    <a:stretch/>
                  </pic:blipFill>
                  <pic:spPr bwMode="auto">
                    <a:xfrm>
                      <a:off x="0" y="0"/>
                      <a:ext cx="5092852" cy="3596955"/>
                    </a:xfrm>
                    <a:prstGeom prst="rect">
                      <a:avLst/>
                    </a:prstGeom>
                    <a:noFill/>
                    <a:ln>
                      <a:noFill/>
                    </a:ln>
                    <a:extLst>
                      <a:ext uri="{53640926-AAD7-44D8-BBD7-CCE9431645EC}">
                        <a14:shadowObscured xmlns:a14="http://schemas.microsoft.com/office/drawing/2010/main"/>
                      </a:ext>
                    </a:extLst>
                  </pic:spPr>
                </pic:pic>
              </a:graphicData>
            </a:graphic>
          </wp:inline>
        </w:drawing>
      </w:r>
    </w:p>
    <w:p w14:paraId="6D213033" w14:textId="77777777" w:rsidR="00362D4A" w:rsidRDefault="00362D4A" w:rsidP="000B5B90">
      <w:pPr>
        <w:autoSpaceDE w:val="0"/>
        <w:autoSpaceDN w:val="0"/>
        <w:adjustRightInd w:val="0"/>
        <w:spacing w:after="0"/>
        <w:rPr>
          <w:b/>
        </w:rPr>
      </w:pPr>
      <w:bookmarkStart w:id="99" w:name="_Ref92206280"/>
    </w:p>
    <w:p w14:paraId="09ADD21D" w14:textId="066BB591" w:rsidR="000B5B90" w:rsidRPr="000B5B90" w:rsidRDefault="000B5B90" w:rsidP="000B5B90">
      <w:pPr>
        <w:autoSpaceDE w:val="0"/>
        <w:autoSpaceDN w:val="0"/>
        <w:adjustRightInd w:val="0"/>
        <w:spacing w:after="0"/>
        <w:rPr>
          <w:b/>
        </w:rPr>
      </w:pPr>
      <w:r w:rsidRPr="000B5B90">
        <w:rPr>
          <w:b/>
        </w:rPr>
        <w:t>Table</w:t>
      </w:r>
      <w:bookmarkEnd w:id="99"/>
      <w:r w:rsidR="0080248F">
        <w:rPr>
          <w:b/>
        </w:rPr>
        <w:t xml:space="preserve"> </w:t>
      </w:r>
      <w:r w:rsidR="000B2B03">
        <w:rPr>
          <w:b/>
        </w:rPr>
        <w:t>12</w:t>
      </w:r>
      <w:r w:rsidRPr="000B5B90">
        <w:rPr>
          <w:b/>
        </w:rPr>
        <w:t>. Pivotal STEP trials. Baseline demographics - categorical values.</w:t>
      </w:r>
    </w:p>
    <w:p w14:paraId="6C624BE5" w14:textId="7089BC2E" w:rsidR="000B5B90" w:rsidRPr="000B5B90" w:rsidRDefault="00F07070" w:rsidP="000B5B90">
      <w:pPr>
        <w:autoSpaceDE w:val="0"/>
        <w:autoSpaceDN w:val="0"/>
        <w:adjustRightInd w:val="0"/>
        <w:spacing w:after="0"/>
      </w:pPr>
      <w:r>
        <w:rPr>
          <w:noProof/>
        </w:rPr>
        <w:drawing>
          <wp:inline distT="0" distB="0" distL="0" distR="0" wp14:anchorId="3F0FDDC1" wp14:editId="796A58B1">
            <wp:extent cx="5123289" cy="4796287"/>
            <wp:effectExtent l="0" t="0" r="1270" b="4445"/>
            <wp:docPr id="21231708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9">
                      <a:extLst>
                        <a:ext uri="{BEBA8EAE-BF5A-486C-A8C5-ECC9F3942E4B}">
                          <a14:imgProps xmlns:a14="http://schemas.microsoft.com/office/drawing/2010/main">
                            <a14:imgLayer r:embed="rId70">
                              <a14:imgEffect>
                                <a14:sharpenSoften amount="25000"/>
                              </a14:imgEffect>
                            </a14:imgLayer>
                          </a14:imgProps>
                        </a:ext>
                        <a:ext uri="{28A0092B-C50C-407E-A947-70E740481C1C}">
                          <a14:useLocalDpi xmlns:a14="http://schemas.microsoft.com/office/drawing/2010/main" val="0"/>
                        </a:ext>
                      </a:extLst>
                    </a:blip>
                    <a:srcRect b="3277"/>
                    <a:stretch/>
                  </pic:blipFill>
                  <pic:spPr bwMode="auto">
                    <a:xfrm>
                      <a:off x="0" y="0"/>
                      <a:ext cx="5131178" cy="4803672"/>
                    </a:xfrm>
                    <a:prstGeom prst="rect">
                      <a:avLst/>
                    </a:prstGeom>
                    <a:noFill/>
                    <a:ln>
                      <a:noFill/>
                    </a:ln>
                    <a:extLst>
                      <a:ext uri="{53640926-AAD7-44D8-BBD7-CCE9431645EC}">
                        <a14:shadowObscured xmlns:a14="http://schemas.microsoft.com/office/drawing/2010/main"/>
                      </a:ext>
                    </a:extLst>
                  </pic:spPr>
                </pic:pic>
              </a:graphicData>
            </a:graphic>
          </wp:inline>
        </w:drawing>
      </w:r>
    </w:p>
    <w:p w14:paraId="7AB2AD74" w14:textId="57EC9EB2" w:rsidR="000B5B90" w:rsidRPr="000B5B90" w:rsidRDefault="000B5B90" w:rsidP="000B5B90">
      <w:pPr>
        <w:autoSpaceDE w:val="0"/>
        <w:autoSpaceDN w:val="0"/>
        <w:adjustRightInd w:val="0"/>
        <w:spacing w:after="0"/>
        <w:rPr>
          <w:b/>
        </w:rPr>
      </w:pPr>
      <w:bookmarkStart w:id="100" w:name="_Ref92206324"/>
      <w:r w:rsidRPr="000B5B90">
        <w:rPr>
          <w:b/>
        </w:rPr>
        <w:lastRenderedPageBreak/>
        <w:t xml:space="preserve">Table </w:t>
      </w:r>
      <w:bookmarkEnd w:id="100"/>
      <w:r w:rsidR="000B2B03">
        <w:rPr>
          <w:b/>
        </w:rPr>
        <w:t>13</w:t>
      </w:r>
      <w:r w:rsidRPr="000B5B90">
        <w:rPr>
          <w:b/>
        </w:rPr>
        <w:t>. Pivotal STEP trials. Comorbidities at screening.</w:t>
      </w:r>
    </w:p>
    <w:p w14:paraId="33B525D7" w14:textId="4E988916" w:rsidR="000B5B90" w:rsidRPr="000B5B90" w:rsidRDefault="00A44E66" w:rsidP="000B5B90">
      <w:pPr>
        <w:autoSpaceDE w:val="0"/>
        <w:autoSpaceDN w:val="0"/>
        <w:adjustRightInd w:val="0"/>
        <w:spacing w:after="0"/>
      </w:pPr>
      <w:r>
        <w:rPr>
          <w:noProof/>
        </w:rPr>
        <w:drawing>
          <wp:inline distT="0" distB="0" distL="0" distR="0" wp14:anchorId="252FB6BB" wp14:editId="553AA242">
            <wp:extent cx="5353050" cy="5825067"/>
            <wp:effectExtent l="0" t="0" r="0" b="4445"/>
            <wp:docPr id="14590296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1">
                      <a:extLst>
                        <a:ext uri="{BEBA8EAE-BF5A-486C-A8C5-ECC9F3942E4B}">
                          <a14:imgProps xmlns:a14="http://schemas.microsoft.com/office/drawing/2010/main">
                            <a14:imgLayer r:embed="rId72">
                              <a14:imgEffect>
                                <a14:sharpenSoften amount="25000"/>
                              </a14:imgEffect>
                            </a14:imgLayer>
                          </a14:imgProps>
                        </a:ext>
                        <a:ext uri="{28A0092B-C50C-407E-A947-70E740481C1C}">
                          <a14:useLocalDpi xmlns:a14="http://schemas.microsoft.com/office/drawing/2010/main" val="0"/>
                        </a:ext>
                      </a:extLst>
                    </a:blip>
                    <a:srcRect b="2701"/>
                    <a:stretch/>
                  </pic:blipFill>
                  <pic:spPr bwMode="auto">
                    <a:xfrm>
                      <a:off x="0" y="0"/>
                      <a:ext cx="5353050" cy="5825067"/>
                    </a:xfrm>
                    <a:prstGeom prst="rect">
                      <a:avLst/>
                    </a:prstGeom>
                    <a:noFill/>
                    <a:ln>
                      <a:noFill/>
                    </a:ln>
                    <a:extLst>
                      <a:ext uri="{53640926-AAD7-44D8-BBD7-CCE9431645EC}">
                        <a14:shadowObscured xmlns:a14="http://schemas.microsoft.com/office/drawing/2010/main"/>
                      </a:ext>
                    </a:extLst>
                  </pic:spPr>
                </pic:pic>
              </a:graphicData>
            </a:graphic>
          </wp:inline>
        </w:drawing>
      </w:r>
    </w:p>
    <w:p w14:paraId="477975C2" w14:textId="77777777" w:rsidR="000B5B90" w:rsidRPr="000B5B90" w:rsidRDefault="000B5B90" w:rsidP="000B5B90">
      <w:pPr>
        <w:autoSpaceDE w:val="0"/>
        <w:autoSpaceDN w:val="0"/>
        <w:adjustRightInd w:val="0"/>
        <w:spacing w:after="0"/>
      </w:pPr>
    </w:p>
    <w:p w14:paraId="19A7665A" w14:textId="77777777" w:rsidR="000B5B90" w:rsidRPr="000B5B90" w:rsidRDefault="000B5B90" w:rsidP="000B5B90">
      <w:pPr>
        <w:autoSpaceDE w:val="0"/>
        <w:autoSpaceDN w:val="0"/>
        <w:adjustRightInd w:val="0"/>
        <w:spacing w:after="0"/>
      </w:pPr>
    </w:p>
    <w:p w14:paraId="460E3A20" w14:textId="77777777" w:rsidR="000B5B90" w:rsidRPr="000B5B90" w:rsidRDefault="000B5B90" w:rsidP="000B5B90">
      <w:pPr>
        <w:autoSpaceDE w:val="0"/>
        <w:autoSpaceDN w:val="0"/>
        <w:adjustRightInd w:val="0"/>
        <w:spacing w:after="0"/>
      </w:pPr>
    </w:p>
    <w:p w14:paraId="2AD8B6A4" w14:textId="77777777" w:rsidR="000B5B90" w:rsidRPr="000B5B90" w:rsidRDefault="000B5B90" w:rsidP="000B5B90">
      <w:pPr>
        <w:autoSpaceDE w:val="0"/>
        <w:autoSpaceDN w:val="0"/>
        <w:adjustRightInd w:val="0"/>
        <w:spacing w:after="0"/>
      </w:pPr>
    </w:p>
    <w:p w14:paraId="56E38353" w14:textId="77777777" w:rsidR="000B5B90" w:rsidRPr="000B5B90" w:rsidRDefault="000B5B90" w:rsidP="000B5B90">
      <w:pPr>
        <w:autoSpaceDE w:val="0"/>
        <w:autoSpaceDN w:val="0"/>
        <w:adjustRightInd w:val="0"/>
        <w:spacing w:after="0"/>
      </w:pPr>
    </w:p>
    <w:p w14:paraId="7131E782" w14:textId="77777777" w:rsidR="000B5B90" w:rsidRPr="000B5B90" w:rsidRDefault="000B5B90" w:rsidP="000B5B90">
      <w:pPr>
        <w:autoSpaceDE w:val="0"/>
        <w:autoSpaceDN w:val="0"/>
        <w:adjustRightInd w:val="0"/>
        <w:spacing w:after="0"/>
      </w:pPr>
    </w:p>
    <w:p w14:paraId="228B56B2" w14:textId="77777777" w:rsidR="000B5B90" w:rsidRPr="000B5B90" w:rsidRDefault="000B5B90" w:rsidP="000B5B90">
      <w:pPr>
        <w:autoSpaceDE w:val="0"/>
        <w:autoSpaceDN w:val="0"/>
        <w:adjustRightInd w:val="0"/>
        <w:spacing w:after="0"/>
      </w:pPr>
    </w:p>
    <w:p w14:paraId="5689B6DD" w14:textId="77777777" w:rsidR="000B5B90" w:rsidRPr="000B5B90" w:rsidRDefault="000B5B90" w:rsidP="000B5B90">
      <w:pPr>
        <w:autoSpaceDE w:val="0"/>
        <w:autoSpaceDN w:val="0"/>
        <w:adjustRightInd w:val="0"/>
        <w:spacing w:after="0"/>
      </w:pPr>
    </w:p>
    <w:p w14:paraId="7C393212" w14:textId="77777777" w:rsidR="000B5B90" w:rsidRPr="000B5B90" w:rsidRDefault="000B5B90" w:rsidP="000B5B90">
      <w:pPr>
        <w:autoSpaceDE w:val="0"/>
        <w:autoSpaceDN w:val="0"/>
        <w:adjustRightInd w:val="0"/>
        <w:spacing w:after="0"/>
      </w:pPr>
    </w:p>
    <w:p w14:paraId="3942CB0F" w14:textId="77777777" w:rsidR="000B5B90" w:rsidRPr="000B5B90" w:rsidRDefault="000B5B90" w:rsidP="000B5B90">
      <w:pPr>
        <w:autoSpaceDE w:val="0"/>
        <w:autoSpaceDN w:val="0"/>
        <w:adjustRightInd w:val="0"/>
        <w:spacing w:after="0"/>
      </w:pPr>
    </w:p>
    <w:p w14:paraId="036634BD" w14:textId="77777777" w:rsidR="008A4AA6" w:rsidRDefault="008A4AA6">
      <w:pPr>
        <w:rPr>
          <w:b/>
        </w:rPr>
      </w:pPr>
      <w:bookmarkStart w:id="101" w:name="_Ref92206457"/>
      <w:r>
        <w:rPr>
          <w:b/>
        </w:rPr>
        <w:br w:type="page"/>
      </w:r>
    </w:p>
    <w:p w14:paraId="5274D54A" w14:textId="25B01E16" w:rsidR="000B5B90" w:rsidRDefault="000B5B90" w:rsidP="000B5B90">
      <w:pPr>
        <w:autoSpaceDE w:val="0"/>
        <w:autoSpaceDN w:val="0"/>
        <w:adjustRightInd w:val="0"/>
        <w:spacing w:after="0"/>
        <w:rPr>
          <w:b/>
        </w:rPr>
      </w:pPr>
      <w:r w:rsidRPr="000B5B90">
        <w:rPr>
          <w:b/>
        </w:rPr>
        <w:lastRenderedPageBreak/>
        <w:t>Table</w:t>
      </w:r>
      <w:bookmarkEnd w:id="101"/>
      <w:r w:rsidR="0080248F">
        <w:rPr>
          <w:b/>
        </w:rPr>
        <w:t xml:space="preserve"> </w:t>
      </w:r>
      <w:r w:rsidR="000B2B03">
        <w:rPr>
          <w:b/>
        </w:rPr>
        <w:t>14</w:t>
      </w:r>
      <w:r w:rsidRPr="000B5B90">
        <w:rPr>
          <w:b/>
        </w:rPr>
        <w:t>. STEP 1 study. Primary and confirmatory secondary endpoint results.</w:t>
      </w:r>
    </w:p>
    <w:p w14:paraId="3CD6773F" w14:textId="77777777" w:rsidR="00362D4A" w:rsidRPr="000B5B90" w:rsidRDefault="00362D4A" w:rsidP="000B5B90">
      <w:pPr>
        <w:autoSpaceDE w:val="0"/>
        <w:autoSpaceDN w:val="0"/>
        <w:adjustRightInd w:val="0"/>
        <w:spacing w:after="0"/>
        <w:rPr>
          <w:b/>
        </w:rPr>
      </w:pPr>
    </w:p>
    <w:p w14:paraId="672765BA" w14:textId="731B2A86" w:rsidR="000B5B90" w:rsidRPr="000B5B90" w:rsidRDefault="00B97976" w:rsidP="000B5B90">
      <w:pPr>
        <w:autoSpaceDE w:val="0"/>
        <w:autoSpaceDN w:val="0"/>
        <w:adjustRightInd w:val="0"/>
        <w:spacing w:after="0"/>
      </w:pPr>
      <w:r>
        <w:rPr>
          <w:noProof/>
        </w:rPr>
        <w:drawing>
          <wp:inline distT="0" distB="0" distL="0" distR="0" wp14:anchorId="202014D6" wp14:editId="0BD7A76A">
            <wp:extent cx="5730875" cy="3694430"/>
            <wp:effectExtent l="0" t="0" r="3175" b="1270"/>
            <wp:docPr id="12428283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0875" cy="3694430"/>
                    </a:xfrm>
                    <a:prstGeom prst="rect">
                      <a:avLst/>
                    </a:prstGeom>
                    <a:noFill/>
                  </pic:spPr>
                </pic:pic>
              </a:graphicData>
            </a:graphic>
          </wp:inline>
        </w:drawing>
      </w:r>
    </w:p>
    <w:p w14:paraId="6D767559" w14:textId="77777777" w:rsidR="000B5B90" w:rsidRPr="000B5B90" w:rsidRDefault="000B5B90" w:rsidP="000B5B90">
      <w:pPr>
        <w:autoSpaceDE w:val="0"/>
        <w:autoSpaceDN w:val="0"/>
        <w:adjustRightInd w:val="0"/>
        <w:spacing w:after="0"/>
      </w:pPr>
    </w:p>
    <w:p w14:paraId="7480BCEF" w14:textId="5F3E4D65" w:rsidR="000B5B90" w:rsidRDefault="000B5B90" w:rsidP="000B5B90">
      <w:pPr>
        <w:autoSpaceDE w:val="0"/>
        <w:autoSpaceDN w:val="0"/>
        <w:adjustRightInd w:val="0"/>
        <w:spacing w:after="0"/>
        <w:rPr>
          <w:b/>
        </w:rPr>
      </w:pPr>
      <w:bookmarkStart w:id="102" w:name="_Ref92206477"/>
      <w:r w:rsidRPr="000B5B90">
        <w:rPr>
          <w:b/>
        </w:rPr>
        <w:t>Table</w:t>
      </w:r>
      <w:bookmarkEnd w:id="102"/>
      <w:r w:rsidR="0080248F">
        <w:rPr>
          <w:b/>
        </w:rPr>
        <w:t xml:space="preserve"> </w:t>
      </w:r>
      <w:r w:rsidR="000B2B03">
        <w:rPr>
          <w:b/>
        </w:rPr>
        <w:t>15</w:t>
      </w:r>
      <w:r w:rsidRPr="000B5B90">
        <w:rPr>
          <w:b/>
        </w:rPr>
        <w:t>. STEP 2 study. Primary and confirmatory secondary endpoint results.</w:t>
      </w:r>
    </w:p>
    <w:p w14:paraId="6B01BB30" w14:textId="77777777" w:rsidR="00362D4A" w:rsidRDefault="00362D4A" w:rsidP="000B5B90">
      <w:pPr>
        <w:autoSpaceDE w:val="0"/>
        <w:autoSpaceDN w:val="0"/>
        <w:adjustRightInd w:val="0"/>
        <w:spacing w:after="0"/>
        <w:rPr>
          <w:b/>
        </w:rPr>
      </w:pPr>
    </w:p>
    <w:p w14:paraId="09DD025B" w14:textId="0F4C893C" w:rsidR="000B5B90" w:rsidRPr="000B5B90" w:rsidRDefault="00623C8B" w:rsidP="000B5B90">
      <w:pPr>
        <w:autoSpaceDE w:val="0"/>
        <w:autoSpaceDN w:val="0"/>
        <w:adjustRightInd w:val="0"/>
        <w:spacing w:after="0"/>
      </w:pPr>
      <w:r>
        <w:rPr>
          <w:noProof/>
        </w:rPr>
        <w:drawing>
          <wp:inline distT="0" distB="0" distL="0" distR="0" wp14:anchorId="60D93DF7" wp14:editId="063977C6">
            <wp:extent cx="5730875" cy="4121150"/>
            <wp:effectExtent l="0" t="0" r="3175" b="0"/>
            <wp:docPr id="6119200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BEBA8EAE-BF5A-486C-A8C5-ECC9F3942E4B}">
                          <a14:imgProps xmlns:a14="http://schemas.microsoft.com/office/drawing/2010/main">
                            <a14:imgLayer r:embed="rId7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0875" cy="4121150"/>
                    </a:xfrm>
                    <a:prstGeom prst="rect">
                      <a:avLst/>
                    </a:prstGeom>
                    <a:noFill/>
                  </pic:spPr>
                </pic:pic>
              </a:graphicData>
            </a:graphic>
          </wp:inline>
        </w:drawing>
      </w:r>
    </w:p>
    <w:p w14:paraId="28AE5813" w14:textId="77777777" w:rsidR="008A4AA6" w:rsidRDefault="008A4AA6">
      <w:pPr>
        <w:rPr>
          <w:b/>
        </w:rPr>
      </w:pPr>
      <w:bookmarkStart w:id="103" w:name="_Ref92206491"/>
      <w:r>
        <w:rPr>
          <w:b/>
        </w:rPr>
        <w:br w:type="page"/>
      </w:r>
    </w:p>
    <w:p w14:paraId="7EB01554" w14:textId="18D13574" w:rsidR="000B5B90" w:rsidRDefault="000B5B90" w:rsidP="000B5B90">
      <w:pPr>
        <w:autoSpaceDE w:val="0"/>
        <w:autoSpaceDN w:val="0"/>
        <w:adjustRightInd w:val="0"/>
        <w:spacing w:after="0"/>
        <w:rPr>
          <w:b/>
        </w:rPr>
      </w:pPr>
      <w:r w:rsidRPr="000B5B90">
        <w:rPr>
          <w:b/>
        </w:rPr>
        <w:lastRenderedPageBreak/>
        <w:t>Table</w:t>
      </w:r>
      <w:bookmarkEnd w:id="103"/>
      <w:r w:rsidR="0080248F">
        <w:rPr>
          <w:b/>
        </w:rPr>
        <w:t xml:space="preserve"> </w:t>
      </w:r>
      <w:r w:rsidR="000B2B03">
        <w:rPr>
          <w:b/>
        </w:rPr>
        <w:t>16</w:t>
      </w:r>
      <w:r w:rsidRPr="000B5B90">
        <w:rPr>
          <w:b/>
        </w:rPr>
        <w:t>. STEP 3 study. Primary and confirmatory secondary endpoint results.</w:t>
      </w:r>
    </w:p>
    <w:p w14:paraId="5CA93B31" w14:textId="77777777" w:rsidR="00362D4A" w:rsidRPr="000B5B90" w:rsidRDefault="00362D4A" w:rsidP="000B5B90">
      <w:pPr>
        <w:autoSpaceDE w:val="0"/>
        <w:autoSpaceDN w:val="0"/>
        <w:adjustRightInd w:val="0"/>
        <w:spacing w:after="0"/>
        <w:rPr>
          <w:b/>
        </w:rPr>
      </w:pPr>
    </w:p>
    <w:p w14:paraId="442F212A" w14:textId="4F622B87" w:rsidR="000B5B90" w:rsidRPr="000B5B90" w:rsidRDefault="006A69CD" w:rsidP="000B5B90">
      <w:pPr>
        <w:autoSpaceDE w:val="0"/>
        <w:autoSpaceDN w:val="0"/>
        <w:adjustRightInd w:val="0"/>
        <w:spacing w:after="0"/>
      </w:pPr>
      <w:r>
        <w:rPr>
          <w:noProof/>
        </w:rPr>
        <w:drawing>
          <wp:inline distT="0" distB="0" distL="0" distR="0" wp14:anchorId="4D9B209F" wp14:editId="042CCB6A">
            <wp:extent cx="5730875" cy="3054350"/>
            <wp:effectExtent l="0" t="0" r="3175" b="0"/>
            <wp:docPr id="20031413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BEBA8EAE-BF5A-486C-A8C5-ECC9F3942E4B}">
                          <a14:imgProps xmlns:a14="http://schemas.microsoft.com/office/drawing/2010/main">
                            <a14:imgLayer r:embed="rId7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0875" cy="3054350"/>
                    </a:xfrm>
                    <a:prstGeom prst="rect">
                      <a:avLst/>
                    </a:prstGeom>
                    <a:noFill/>
                  </pic:spPr>
                </pic:pic>
              </a:graphicData>
            </a:graphic>
          </wp:inline>
        </w:drawing>
      </w:r>
    </w:p>
    <w:p w14:paraId="5F182697" w14:textId="77777777" w:rsidR="000B5B90" w:rsidRPr="000B5B90" w:rsidRDefault="000B5B90" w:rsidP="000B5B90">
      <w:pPr>
        <w:autoSpaceDE w:val="0"/>
        <w:autoSpaceDN w:val="0"/>
        <w:adjustRightInd w:val="0"/>
        <w:spacing w:after="0"/>
      </w:pPr>
    </w:p>
    <w:p w14:paraId="3C8D62FF" w14:textId="1DD81AAF" w:rsidR="000B5B90" w:rsidRPr="000B5B90" w:rsidRDefault="000B5B90" w:rsidP="000B5B90">
      <w:pPr>
        <w:autoSpaceDE w:val="0"/>
        <w:autoSpaceDN w:val="0"/>
        <w:adjustRightInd w:val="0"/>
        <w:spacing w:after="0"/>
        <w:rPr>
          <w:b/>
        </w:rPr>
      </w:pPr>
      <w:bookmarkStart w:id="104" w:name="_Ref92206503"/>
      <w:r w:rsidRPr="000B5B90">
        <w:rPr>
          <w:b/>
        </w:rPr>
        <w:t>Table</w:t>
      </w:r>
      <w:bookmarkEnd w:id="104"/>
      <w:r w:rsidR="00FB4F5B">
        <w:rPr>
          <w:b/>
        </w:rPr>
        <w:t xml:space="preserve"> </w:t>
      </w:r>
      <w:r w:rsidR="000B2B03">
        <w:rPr>
          <w:b/>
        </w:rPr>
        <w:t>17</w:t>
      </w:r>
      <w:r w:rsidRPr="000B5B90">
        <w:rPr>
          <w:b/>
        </w:rPr>
        <w:t>. STEP 4 study. Primary and confirmatory secondary endpoint results.</w:t>
      </w:r>
    </w:p>
    <w:p w14:paraId="2E12AE40" w14:textId="77777777" w:rsidR="000B5B90" w:rsidRPr="000B5B90" w:rsidRDefault="000B5B90" w:rsidP="000B5B90">
      <w:pPr>
        <w:autoSpaceDE w:val="0"/>
        <w:autoSpaceDN w:val="0"/>
        <w:adjustRightInd w:val="0"/>
        <w:spacing w:after="0"/>
      </w:pPr>
    </w:p>
    <w:p w14:paraId="6E08FFC8" w14:textId="4E8C7C1A" w:rsidR="000B5B90" w:rsidRDefault="002E6AF9" w:rsidP="00C22214">
      <w:pPr>
        <w:autoSpaceDE w:val="0"/>
        <w:autoSpaceDN w:val="0"/>
        <w:adjustRightInd w:val="0"/>
        <w:spacing w:after="0"/>
      </w:pPr>
      <w:r>
        <w:rPr>
          <w:noProof/>
        </w:rPr>
        <w:drawing>
          <wp:inline distT="0" distB="0" distL="0" distR="0" wp14:anchorId="7E186BC8" wp14:editId="7E81DF36">
            <wp:extent cx="5730875" cy="2182495"/>
            <wp:effectExtent l="0" t="0" r="3175" b="8255"/>
            <wp:docPr id="21246706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BEBA8EAE-BF5A-486C-A8C5-ECC9F3942E4B}">
                          <a14:imgProps xmlns:a14="http://schemas.microsoft.com/office/drawing/2010/main">
                            <a14:imgLayer r:embed="rId8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0875" cy="2182495"/>
                    </a:xfrm>
                    <a:prstGeom prst="rect">
                      <a:avLst/>
                    </a:prstGeom>
                    <a:noFill/>
                  </pic:spPr>
                </pic:pic>
              </a:graphicData>
            </a:graphic>
          </wp:inline>
        </w:drawing>
      </w:r>
    </w:p>
    <w:p w14:paraId="53357BF3" w14:textId="276457B5" w:rsidR="00C22214" w:rsidRDefault="00C22214" w:rsidP="00C22214">
      <w:pPr>
        <w:rPr>
          <w:lang w:eastAsia="ja-JP"/>
        </w:rPr>
        <w:sectPr w:rsidR="00C22214" w:rsidSect="007452E8">
          <w:headerReference w:type="default" r:id="rId81"/>
          <w:footerReference w:type="default" r:id="rId82"/>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83"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367A8D">
            <w:pPr>
              <w:pStyle w:val="Address"/>
              <w:jc w:val="center"/>
              <w:rPr>
                <w:rStyle w:val="Hyperlink"/>
                <w:b/>
                <w:color w:val="auto"/>
                <w:sz w:val="22"/>
              </w:rPr>
            </w:pPr>
            <w:hyperlink r:id="rId84" w:history="1">
              <w:r w:rsidR="00F02AEC" w:rsidRPr="00C4721A">
                <w:rPr>
                  <w:rStyle w:val="Hyperlink"/>
                  <w:b/>
                </w:rPr>
                <w:t>https://www.tga.gov.au</w:t>
              </w:r>
            </w:hyperlink>
          </w:p>
        </w:tc>
      </w:tr>
    </w:tbl>
    <w:p w14:paraId="788B80FD" w14:textId="77777777" w:rsidR="007452E8" w:rsidRDefault="007452E8"/>
    <w:sectPr w:rsidR="007452E8" w:rsidSect="007452E8">
      <w:headerReference w:type="first" r:id="rId85"/>
      <w:footerReference w:type="first" r:id="rId86"/>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23154" w14:textId="77777777" w:rsidR="008B0E2E" w:rsidRDefault="008B0E2E" w:rsidP="00F02AEC">
      <w:pPr>
        <w:spacing w:after="0" w:line="240" w:lineRule="auto"/>
      </w:pPr>
      <w:r>
        <w:separator/>
      </w:r>
    </w:p>
  </w:endnote>
  <w:endnote w:type="continuationSeparator" w:id="0">
    <w:p w14:paraId="127B0A7B" w14:textId="77777777" w:rsidR="008B0E2E" w:rsidRDefault="008B0E2E"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3">
    <w:altName w:val="Symbol"/>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27C4A012" w:rsidR="007452E8" w:rsidRPr="004A3084" w:rsidRDefault="009671F4" w:rsidP="007452E8">
          <w:pPr>
            <w:pStyle w:val="Footer"/>
          </w:pPr>
          <w:r>
            <w:t>AusPAR</w:t>
          </w:r>
          <w:r w:rsidRPr="009671F4">
            <w:t xml:space="preserve"> - </w:t>
          </w:r>
          <w:r w:rsidR="00C87187">
            <w:t>Wegovy</w:t>
          </w:r>
          <w:r w:rsidRPr="009671F4">
            <w:t xml:space="preserve"> - semaglutide - PM-2021-00612-1-5 - Novo Nordisk Pty Ltd</w:t>
          </w:r>
          <w:r w:rsidR="007452E8">
            <w:br/>
          </w:r>
          <w:r w:rsidR="007452E8" w:rsidRPr="00487162">
            <w:t>Date of Finalisation</w:t>
          </w:r>
          <w:r w:rsidR="00995206">
            <w:t xml:space="preserve"> 4 September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 xml:space="preserve"> NUMPAGES  </w:instrText>
              </w:r>
              <w:r>
                <w:fldChar w:fldCharType="separate"/>
              </w:r>
              <w:r w:rsidR="006D6B44">
                <w:rPr>
                  <w:noProof/>
                </w:rPr>
                <w:t>17</w:t>
              </w:r>
              <w:r>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D5748" w14:textId="77777777" w:rsidR="008B0E2E" w:rsidRDefault="008B0E2E" w:rsidP="00F02AEC">
      <w:pPr>
        <w:spacing w:after="0" w:line="240" w:lineRule="auto"/>
      </w:pPr>
      <w:r>
        <w:separator/>
      </w:r>
    </w:p>
  </w:footnote>
  <w:footnote w:type="continuationSeparator" w:id="0">
    <w:p w14:paraId="3AE33106" w14:textId="77777777" w:rsidR="008B0E2E" w:rsidRDefault="008B0E2E" w:rsidP="00F02AEC">
      <w:pPr>
        <w:spacing w:after="0" w:line="240" w:lineRule="auto"/>
      </w:pPr>
      <w:r>
        <w:continuationSeparator/>
      </w:r>
    </w:p>
  </w:footnote>
  <w:footnote w:id="1">
    <w:p w14:paraId="68402A9B" w14:textId="7B886FC4" w:rsidR="007452E8" w:rsidRPr="00A93DC6" w:rsidRDefault="007452E8">
      <w:pPr>
        <w:pStyle w:val="FootnoteText"/>
        <w:rPr>
          <w:lang w:val="en-GB"/>
        </w:rPr>
      </w:pPr>
      <w:r>
        <w:rPr>
          <w:rStyle w:val="FootnoteReference"/>
        </w:rPr>
        <w:footnoteRef/>
      </w:r>
      <w:r>
        <w:t xml:space="preserve"> </w:t>
      </w:r>
      <w:r w:rsidR="00FB236E">
        <w:t xml:space="preserve">This is the original indication proposed by the </w:t>
      </w:r>
      <w:r w:rsidR="0041507C">
        <w:t>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2E52AFA3" w14:textId="247D06A3" w:rsidR="00201E87" w:rsidRDefault="00201E87">
      <w:pPr>
        <w:pStyle w:val="FootnoteText"/>
      </w:pPr>
      <w:r>
        <w:rPr>
          <w:rStyle w:val="FootnoteReference"/>
        </w:rPr>
        <w:footnoteRef/>
      </w:r>
      <w:r>
        <w:t xml:space="preserve"> </w:t>
      </w:r>
      <w:r w:rsidRPr="00201E87">
        <w:t xml:space="preserve">Australian Institute of Health and Welfare.  Overweight and obesity.  23rd July 2020: </w:t>
      </w:r>
      <w:hyperlink r:id="rId1" w:history="1">
        <w:r w:rsidRPr="002E5768">
          <w:rPr>
            <w:rStyle w:val="Hyperlink"/>
          </w:rPr>
          <w:t>https://www.aihw.gov.au/reports/australias-health/overweight-and-obesity</w:t>
        </w:r>
      </w:hyperlink>
      <w:r>
        <w:t xml:space="preserve"> </w:t>
      </w:r>
    </w:p>
  </w:footnote>
  <w:footnote w:id="3">
    <w:p w14:paraId="5FBE8345" w14:textId="456E533E" w:rsidR="00201E87" w:rsidRDefault="00201E87">
      <w:pPr>
        <w:pStyle w:val="FootnoteText"/>
      </w:pPr>
      <w:r>
        <w:rPr>
          <w:rStyle w:val="FootnoteReference"/>
        </w:rPr>
        <w:footnoteRef/>
      </w:r>
      <w:r>
        <w:t xml:space="preserve"> </w:t>
      </w:r>
      <w:r w:rsidRPr="00201E87">
        <w:t>Bray GA. Medical consequences of obesity. J Clin Endocrinol Metab. 2004;89(6):2583-9.</w:t>
      </w:r>
    </w:p>
  </w:footnote>
  <w:footnote w:id="4">
    <w:p w14:paraId="5FCBEB6D" w14:textId="48433C26" w:rsidR="00201E87" w:rsidRDefault="00201E87">
      <w:pPr>
        <w:pStyle w:val="FootnoteText"/>
      </w:pPr>
      <w:r>
        <w:rPr>
          <w:rStyle w:val="FootnoteReference"/>
        </w:rPr>
        <w:footnoteRef/>
      </w:r>
      <w:r>
        <w:t xml:space="preserve"> </w:t>
      </w:r>
      <w:r w:rsidRPr="00201E87">
        <w:t>Afshin A, Forouzanfar MH, Reitsma MB, et al. Health effects of overweight and obesity in 195 countries over 25 years. N Engl J Med. 2017;377(1): 13–27.</w:t>
      </w:r>
    </w:p>
  </w:footnote>
  <w:footnote w:id="5">
    <w:p w14:paraId="224CD836" w14:textId="2F30C903" w:rsidR="00500D68" w:rsidRDefault="00500D68">
      <w:pPr>
        <w:pStyle w:val="FootnoteText"/>
      </w:pPr>
      <w:r>
        <w:rPr>
          <w:rStyle w:val="FootnoteReference"/>
        </w:rPr>
        <w:footnoteRef/>
      </w:r>
      <w:r>
        <w:t xml:space="preserve"> </w:t>
      </w:r>
      <w:r w:rsidR="00AD0111" w:rsidRPr="00AD0111">
        <w:t xml:space="preserve"> </w:t>
      </w:r>
      <w:r w:rsidR="00AD0111">
        <w:t>In this report the ‘</w:t>
      </w:r>
      <w:r w:rsidR="0041507C">
        <w:t>Delegate</w:t>
      </w:r>
      <w:r w:rsidR="00AD0111">
        <w:t>’</w:t>
      </w:r>
      <w:r w:rsidR="00AD0111" w:rsidRPr="00C133A3">
        <w:t xml:space="preserve"> </w:t>
      </w:r>
      <w:r w:rsidR="00AD0111">
        <w:t xml:space="preserve">is the </w:t>
      </w:r>
      <w:r w:rsidR="0041507C">
        <w:t>Delegate</w:t>
      </w:r>
      <w:r w:rsidR="00AD0111" w:rsidRPr="00C133A3">
        <w:t xml:space="preserve"> of the Secretary of the Department of Health and Aged Care who </w:t>
      </w:r>
      <w:r w:rsidR="00AD0111">
        <w:t>decided the submission</w:t>
      </w:r>
      <w:r w:rsidR="00AD0111" w:rsidRPr="00C133A3">
        <w:t xml:space="preserve"> under section 25 of the Act.</w:t>
      </w:r>
    </w:p>
  </w:footnote>
  <w:footnote w:id="6">
    <w:p w14:paraId="10DB1096" w14:textId="0EE0847C" w:rsidR="00A02383" w:rsidRDefault="00A02383">
      <w:pPr>
        <w:pStyle w:val="FootnoteText"/>
      </w:pPr>
      <w:r>
        <w:rPr>
          <w:rStyle w:val="FootnoteReference"/>
        </w:rPr>
        <w:footnoteRef/>
      </w:r>
      <w:r>
        <w:t xml:space="preserve"> AusPAR for initial Ozempic approval: </w:t>
      </w:r>
      <w:hyperlink r:id="rId2" w:history="1">
        <w:r w:rsidRPr="00E07346">
          <w:rPr>
            <w:rStyle w:val="Hyperlink"/>
          </w:rPr>
          <w:t>https://www.tga.gov.au/resources/auspar/auspar-ozempic</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367A8D"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971C1"/>
    <w:multiLevelType w:val="hybridMultilevel"/>
    <w:tmpl w:val="73643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822567"/>
    <w:multiLevelType w:val="hybridMultilevel"/>
    <w:tmpl w:val="58FC5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07D3E8B"/>
    <w:multiLevelType w:val="hybridMultilevel"/>
    <w:tmpl w:val="1BDAFD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7247B93"/>
    <w:multiLevelType w:val="hybridMultilevel"/>
    <w:tmpl w:val="FD565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9" w15:restartNumberingAfterBreak="0">
    <w:nsid w:val="1B3564BB"/>
    <w:multiLevelType w:val="hybridMultilevel"/>
    <w:tmpl w:val="6A3C0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0A6E49"/>
    <w:multiLevelType w:val="hybridMultilevel"/>
    <w:tmpl w:val="5DD2D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7B3D73"/>
    <w:multiLevelType w:val="hybridMultilevel"/>
    <w:tmpl w:val="39246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9E5B80"/>
    <w:multiLevelType w:val="hybridMultilevel"/>
    <w:tmpl w:val="EA16E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C11C94"/>
    <w:multiLevelType w:val="hybridMultilevel"/>
    <w:tmpl w:val="3D7AD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5" w15:restartNumberingAfterBreak="0">
    <w:nsid w:val="34295593"/>
    <w:multiLevelType w:val="hybridMultilevel"/>
    <w:tmpl w:val="5F549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3A7171"/>
    <w:multiLevelType w:val="hybridMultilevel"/>
    <w:tmpl w:val="B6CAF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8" w15:restartNumberingAfterBreak="0">
    <w:nsid w:val="49120399"/>
    <w:multiLevelType w:val="hybridMultilevel"/>
    <w:tmpl w:val="79FAE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0"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1"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3287123"/>
    <w:multiLevelType w:val="hybridMultilevel"/>
    <w:tmpl w:val="1FCC1F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4" w15:restartNumberingAfterBreak="0">
    <w:nsid w:val="643D47E0"/>
    <w:multiLevelType w:val="hybridMultilevel"/>
    <w:tmpl w:val="527002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696F58"/>
    <w:multiLevelType w:val="hybridMultilevel"/>
    <w:tmpl w:val="8ADED1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6"/>
  </w:num>
  <w:num w:numId="2" w16cid:durableId="1856573705">
    <w:abstractNumId w:val="2"/>
  </w:num>
  <w:num w:numId="3" w16cid:durableId="357703499">
    <w:abstractNumId w:val="5"/>
  </w:num>
  <w:num w:numId="4" w16cid:durableId="1869176708">
    <w:abstractNumId w:val="21"/>
  </w:num>
  <w:num w:numId="5" w16cid:durableId="1652950129">
    <w:abstractNumId w:val="14"/>
  </w:num>
  <w:num w:numId="6" w16cid:durableId="1053193207">
    <w:abstractNumId w:val="19"/>
  </w:num>
  <w:num w:numId="7" w16cid:durableId="20113592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20"/>
  </w:num>
  <w:num w:numId="9" w16cid:durableId="173421270">
    <w:abstractNumId w:val="4"/>
  </w:num>
  <w:num w:numId="10" w16cid:durableId="2108043357">
    <w:abstractNumId w:val="8"/>
  </w:num>
  <w:num w:numId="11" w16cid:durableId="1725904230">
    <w:abstractNumId w:val="17"/>
  </w:num>
  <w:num w:numId="12" w16cid:durableId="141579354">
    <w:abstractNumId w:val="23"/>
  </w:num>
  <w:num w:numId="13" w16cid:durableId="283735081">
    <w:abstractNumId w:val="26"/>
  </w:num>
  <w:num w:numId="14" w16cid:durableId="8457137">
    <w:abstractNumId w:val="15"/>
  </w:num>
  <w:num w:numId="15" w16cid:durableId="1152330949">
    <w:abstractNumId w:val="9"/>
  </w:num>
  <w:num w:numId="16" w16cid:durableId="1271864143">
    <w:abstractNumId w:val="13"/>
  </w:num>
  <w:num w:numId="17" w16cid:durableId="901601677">
    <w:abstractNumId w:val="3"/>
  </w:num>
  <w:num w:numId="18" w16cid:durableId="1920862954">
    <w:abstractNumId w:val="25"/>
  </w:num>
  <w:num w:numId="19" w16cid:durableId="1515610300">
    <w:abstractNumId w:val="18"/>
  </w:num>
  <w:num w:numId="20" w16cid:durableId="1368021890">
    <w:abstractNumId w:val="16"/>
  </w:num>
  <w:num w:numId="21" w16cid:durableId="1863282129">
    <w:abstractNumId w:val="12"/>
  </w:num>
  <w:num w:numId="22" w16cid:durableId="452097237">
    <w:abstractNumId w:val="11"/>
  </w:num>
  <w:num w:numId="23" w16cid:durableId="671226221">
    <w:abstractNumId w:val="0"/>
  </w:num>
  <w:num w:numId="24" w16cid:durableId="1341347730">
    <w:abstractNumId w:val="10"/>
  </w:num>
  <w:num w:numId="25" w16cid:durableId="1031804659">
    <w:abstractNumId w:val="1"/>
  </w:num>
  <w:num w:numId="26" w16cid:durableId="1554318103">
    <w:abstractNumId w:val="24"/>
  </w:num>
  <w:num w:numId="27" w16cid:durableId="939489486">
    <w:abstractNumId w:val="7"/>
  </w:num>
  <w:num w:numId="28" w16cid:durableId="1665557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8241677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1032"/>
    <w:rsid w:val="00004431"/>
    <w:rsid w:val="00005062"/>
    <w:rsid w:val="0001064C"/>
    <w:rsid w:val="00011C5F"/>
    <w:rsid w:val="0001384A"/>
    <w:rsid w:val="00020945"/>
    <w:rsid w:val="00020FF2"/>
    <w:rsid w:val="00032A0F"/>
    <w:rsid w:val="00035744"/>
    <w:rsid w:val="00040221"/>
    <w:rsid w:val="00040D8D"/>
    <w:rsid w:val="000414E7"/>
    <w:rsid w:val="00045019"/>
    <w:rsid w:val="00046423"/>
    <w:rsid w:val="0006104E"/>
    <w:rsid w:val="000630D5"/>
    <w:rsid w:val="00063878"/>
    <w:rsid w:val="000640BD"/>
    <w:rsid w:val="00065839"/>
    <w:rsid w:val="00065FDF"/>
    <w:rsid w:val="0007429B"/>
    <w:rsid w:val="00077844"/>
    <w:rsid w:val="00087531"/>
    <w:rsid w:val="00090510"/>
    <w:rsid w:val="000917AE"/>
    <w:rsid w:val="00092C59"/>
    <w:rsid w:val="00094B81"/>
    <w:rsid w:val="000975AA"/>
    <w:rsid w:val="000B2B03"/>
    <w:rsid w:val="000B5B90"/>
    <w:rsid w:val="000B6B15"/>
    <w:rsid w:val="000C25A7"/>
    <w:rsid w:val="000D008E"/>
    <w:rsid w:val="000D59D7"/>
    <w:rsid w:val="000D78EC"/>
    <w:rsid w:val="000D7934"/>
    <w:rsid w:val="000D7D70"/>
    <w:rsid w:val="000E2597"/>
    <w:rsid w:val="000E6746"/>
    <w:rsid w:val="000F1405"/>
    <w:rsid w:val="000F7B51"/>
    <w:rsid w:val="00101BEE"/>
    <w:rsid w:val="00101CE6"/>
    <w:rsid w:val="00101FB1"/>
    <w:rsid w:val="0010558A"/>
    <w:rsid w:val="00110106"/>
    <w:rsid w:val="001101FF"/>
    <w:rsid w:val="001135AA"/>
    <w:rsid w:val="0011631D"/>
    <w:rsid w:val="00116A2A"/>
    <w:rsid w:val="0011767B"/>
    <w:rsid w:val="001200DD"/>
    <w:rsid w:val="0012473C"/>
    <w:rsid w:val="00127A74"/>
    <w:rsid w:val="0013132F"/>
    <w:rsid w:val="0013306D"/>
    <w:rsid w:val="0013528C"/>
    <w:rsid w:val="001442A2"/>
    <w:rsid w:val="001468CA"/>
    <w:rsid w:val="001500A8"/>
    <w:rsid w:val="00154524"/>
    <w:rsid w:val="00155D85"/>
    <w:rsid w:val="00165D28"/>
    <w:rsid w:val="0017005C"/>
    <w:rsid w:val="001727D9"/>
    <w:rsid w:val="00175CD8"/>
    <w:rsid w:val="00182BD8"/>
    <w:rsid w:val="00186E43"/>
    <w:rsid w:val="00196A3C"/>
    <w:rsid w:val="001A4BF2"/>
    <w:rsid w:val="001A76F9"/>
    <w:rsid w:val="001B06FF"/>
    <w:rsid w:val="001B1703"/>
    <w:rsid w:val="001C1C2E"/>
    <w:rsid w:val="001C31A1"/>
    <w:rsid w:val="001C3FA2"/>
    <w:rsid w:val="001C5EE2"/>
    <w:rsid w:val="001D0077"/>
    <w:rsid w:val="001E0F3D"/>
    <w:rsid w:val="001E407B"/>
    <w:rsid w:val="001E7FC6"/>
    <w:rsid w:val="001F0AF0"/>
    <w:rsid w:val="001F2502"/>
    <w:rsid w:val="001F70A5"/>
    <w:rsid w:val="002015E0"/>
    <w:rsid w:val="00201E87"/>
    <w:rsid w:val="0020235D"/>
    <w:rsid w:val="0020369B"/>
    <w:rsid w:val="002043E8"/>
    <w:rsid w:val="00207B4D"/>
    <w:rsid w:val="002117B1"/>
    <w:rsid w:val="00217CCE"/>
    <w:rsid w:val="002203B1"/>
    <w:rsid w:val="002222D2"/>
    <w:rsid w:val="00226F39"/>
    <w:rsid w:val="002334AD"/>
    <w:rsid w:val="002418AB"/>
    <w:rsid w:val="00241B60"/>
    <w:rsid w:val="002468FF"/>
    <w:rsid w:val="0025785B"/>
    <w:rsid w:val="00257969"/>
    <w:rsid w:val="0027246A"/>
    <w:rsid w:val="0027571D"/>
    <w:rsid w:val="00280048"/>
    <w:rsid w:val="0028489E"/>
    <w:rsid w:val="002848DE"/>
    <w:rsid w:val="00286F34"/>
    <w:rsid w:val="0028794E"/>
    <w:rsid w:val="00291791"/>
    <w:rsid w:val="002A5841"/>
    <w:rsid w:val="002B125C"/>
    <w:rsid w:val="002B1EDF"/>
    <w:rsid w:val="002B2061"/>
    <w:rsid w:val="002B4042"/>
    <w:rsid w:val="002C1232"/>
    <w:rsid w:val="002C1E44"/>
    <w:rsid w:val="002C5C92"/>
    <w:rsid w:val="002C5E29"/>
    <w:rsid w:val="002C79C6"/>
    <w:rsid w:val="002D0478"/>
    <w:rsid w:val="002D64AC"/>
    <w:rsid w:val="002D7127"/>
    <w:rsid w:val="002E0CD2"/>
    <w:rsid w:val="002E6AF9"/>
    <w:rsid w:val="002F221C"/>
    <w:rsid w:val="002F599E"/>
    <w:rsid w:val="003008D8"/>
    <w:rsid w:val="00301D9A"/>
    <w:rsid w:val="00303959"/>
    <w:rsid w:val="00306E72"/>
    <w:rsid w:val="00312AC3"/>
    <w:rsid w:val="00314430"/>
    <w:rsid w:val="003163BC"/>
    <w:rsid w:val="0032043C"/>
    <w:rsid w:val="0032351A"/>
    <w:rsid w:val="00324B33"/>
    <w:rsid w:val="00327488"/>
    <w:rsid w:val="003345A1"/>
    <w:rsid w:val="00336018"/>
    <w:rsid w:val="00336FE1"/>
    <w:rsid w:val="003400BF"/>
    <w:rsid w:val="00342CF2"/>
    <w:rsid w:val="00342D56"/>
    <w:rsid w:val="003456E7"/>
    <w:rsid w:val="00345B61"/>
    <w:rsid w:val="00346EC2"/>
    <w:rsid w:val="003477F9"/>
    <w:rsid w:val="003500C1"/>
    <w:rsid w:val="0035444D"/>
    <w:rsid w:val="00356D62"/>
    <w:rsid w:val="00362D4A"/>
    <w:rsid w:val="00363EE3"/>
    <w:rsid w:val="00367A8D"/>
    <w:rsid w:val="00372AF2"/>
    <w:rsid w:val="003735F3"/>
    <w:rsid w:val="00374729"/>
    <w:rsid w:val="00375855"/>
    <w:rsid w:val="00386174"/>
    <w:rsid w:val="00387298"/>
    <w:rsid w:val="00387984"/>
    <w:rsid w:val="00395140"/>
    <w:rsid w:val="00396B5B"/>
    <w:rsid w:val="00397E0D"/>
    <w:rsid w:val="003A2422"/>
    <w:rsid w:val="003B149C"/>
    <w:rsid w:val="003C0FDB"/>
    <w:rsid w:val="003C1192"/>
    <w:rsid w:val="003C55E2"/>
    <w:rsid w:val="003C5CFA"/>
    <w:rsid w:val="003C63D5"/>
    <w:rsid w:val="003C7AA8"/>
    <w:rsid w:val="003D71A1"/>
    <w:rsid w:val="00400116"/>
    <w:rsid w:val="0040350C"/>
    <w:rsid w:val="004060F7"/>
    <w:rsid w:val="00412D6F"/>
    <w:rsid w:val="0041507C"/>
    <w:rsid w:val="0041688F"/>
    <w:rsid w:val="0042376F"/>
    <w:rsid w:val="004246B8"/>
    <w:rsid w:val="004248F1"/>
    <w:rsid w:val="00430078"/>
    <w:rsid w:val="00433318"/>
    <w:rsid w:val="00435368"/>
    <w:rsid w:val="00442A56"/>
    <w:rsid w:val="00442A74"/>
    <w:rsid w:val="004444B0"/>
    <w:rsid w:val="0045060B"/>
    <w:rsid w:val="00450D08"/>
    <w:rsid w:val="00457D41"/>
    <w:rsid w:val="004626FF"/>
    <w:rsid w:val="00467CBF"/>
    <w:rsid w:val="00470A52"/>
    <w:rsid w:val="00471BD5"/>
    <w:rsid w:val="00471E3D"/>
    <w:rsid w:val="00477C4E"/>
    <w:rsid w:val="00477F07"/>
    <w:rsid w:val="00480848"/>
    <w:rsid w:val="00481503"/>
    <w:rsid w:val="00481D12"/>
    <w:rsid w:val="004854A6"/>
    <w:rsid w:val="00491A55"/>
    <w:rsid w:val="004925F4"/>
    <w:rsid w:val="004947D4"/>
    <w:rsid w:val="00494C3E"/>
    <w:rsid w:val="00497DF1"/>
    <w:rsid w:val="004A2A23"/>
    <w:rsid w:val="004A318E"/>
    <w:rsid w:val="004A57E8"/>
    <w:rsid w:val="004B3081"/>
    <w:rsid w:val="004B3C87"/>
    <w:rsid w:val="004B4A09"/>
    <w:rsid w:val="004C4157"/>
    <w:rsid w:val="004C41CE"/>
    <w:rsid w:val="004C631B"/>
    <w:rsid w:val="004C7ADF"/>
    <w:rsid w:val="004D2F00"/>
    <w:rsid w:val="004D31D8"/>
    <w:rsid w:val="004D3622"/>
    <w:rsid w:val="004D4DD9"/>
    <w:rsid w:val="004D5388"/>
    <w:rsid w:val="004E226D"/>
    <w:rsid w:val="004E4FE0"/>
    <w:rsid w:val="004E7F16"/>
    <w:rsid w:val="004F18EC"/>
    <w:rsid w:val="004F3072"/>
    <w:rsid w:val="00500D68"/>
    <w:rsid w:val="005136B7"/>
    <w:rsid w:val="00527640"/>
    <w:rsid w:val="00531F53"/>
    <w:rsid w:val="0053377D"/>
    <w:rsid w:val="00535DFE"/>
    <w:rsid w:val="005373B5"/>
    <w:rsid w:val="00537AB7"/>
    <w:rsid w:val="005420DC"/>
    <w:rsid w:val="005444AE"/>
    <w:rsid w:val="0054669B"/>
    <w:rsid w:val="00553078"/>
    <w:rsid w:val="005610D1"/>
    <w:rsid w:val="00562F42"/>
    <w:rsid w:val="00563220"/>
    <w:rsid w:val="00565739"/>
    <w:rsid w:val="0056766D"/>
    <w:rsid w:val="00575215"/>
    <w:rsid w:val="0058575E"/>
    <w:rsid w:val="0058783C"/>
    <w:rsid w:val="005911AE"/>
    <w:rsid w:val="005915BD"/>
    <w:rsid w:val="005926E2"/>
    <w:rsid w:val="0059313A"/>
    <w:rsid w:val="005A54EA"/>
    <w:rsid w:val="005A7B30"/>
    <w:rsid w:val="005B023F"/>
    <w:rsid w:val="005B02A2"/>
    <w:rsid w:val="005B12A9"/>
    <w:rsid w:val="005B1417"/>
    <w:rsid w:val="005B1A8C"/>
    <w:rsid w:val="005B4406"/>
    <w:rsid w:val="005B69CF"/>
    <w:rsid w:val="005C17A6"/>
    <w:rsid w:val="005C3F07"/>
    <w:rsid w:val="005C4B46"/>
    <w:rsid w:val="005C5DC5"/>
    <w:rsid w:val="005C6428"/>
    <w:rsid w:val="005D0A1C"/>
    <w:rsid w:val="005D2089"/>
    <w:rsid w:val="005D7514"/>
    <w:rsid w:val="005E0FC6"/>
    <w:rsid w:val="005E1A7B"/>
    <w:rsid w:val="005E231F"/>
    <w:rsid w:val="005F1C83"/>
    <w:rsid w:val="005F45DE"/>
    <w:rsid w:val="005F796B"/>
    <w:rsid w:val="00602D6E"/>
    <w:rsid w:val="006053D3"/>
    <w:rsid w:val="00605C05"/>
    <w:rsid w:val="00611351"/>
    <w:rsid w:val="0061217D"/>
    <w:rsid w:val="00620DD4"/>
    <w:rsid w:val="00623C8B"/>
    <w:rsid w:val="006277A1"/>
    <w:rsid w:val="00633BD7"/>
    <w:rsid w:val="00634580"/>
    <w:rsid w:val="00634884"/>
    <w:rsid w:val="006351D9"/>
    <w:rsid w:val="00637130"/>
    <w:rsid w:val="00637F0E"/>
    <w:rsid w:val="006423F2"/>
    <w:rsid w:val="00650234"/>
    <w:rsid w:val="006506C2"/>
    <w:rsid w:val="0066044B"/>
    <w:rsid w:val="006630AA"/>
    <w:rsid w:val="00663544"/>
    <w:rsid w:val="00666539"/>
    <w:rsid w:val="00666911"/>
    <w:rsid w:val="006738D4"/>
    <w:rsid w:val="0067434F"/>
    <w:rsid w:val="00675F81"/>
    <w:rsid w:val="0068143E"/>
    <w:rsid w:val="0068507D"/>
    <w:rsid w:val="00685B4F"/>
    <w:rsid w:val="00686331"/>
    <w:rsid w:val="00686C1A"/>
    <w:rsid w:val="006911AA"/>
    <w:rsid w:val="00691AF2"/>
    <w:rsid w:val="00692B80"/>
    <w:rsid w:val="00692CCD"/>
    <w:rsid w:val="00692D51"/>
    <w:rsid w:val="00694DD7"/>
    <w:rsid w:val="00695ACC"/>
    <w:rsid w:val="0069636B"/>
    <w:rsid w:val="006A1762"/>
    <w:rsid w:val="006A1F0B"/>
    <w:rsid w:val="006A277A"/>
    <w:rsid w:val="006A5973"/>
    <w:rsid w:val="006A69CD"/>
    <w:rsid w:val="006B7126"/>
    <w:rsid w:val="006C23CA"/>
    <w:rsid w:val="006C6716"/>
    <w:rsid w:val="006C6B86"/>
    <w:rsid w:val="006D4553"/>
    <w:rsid w:val="006D4A35"/>
    <w:rsid w:val="006D4A8B"/>
    <w:rsid w:val="006D6B44"/>
    <w:rsid w:val="006E27FE"/>
    <w:rsid w:val="00701110"/>
    <w:rsid w:val="00702E91"/>
    <w:rsid w:val="0070330F"/>
    <w:rsid w:val="00703624"/>
    <w:rsid w:val="007046ED"/>
    <w:rsid w:val="007072A1"/>
    <w:rsid w:val="00710BC5"/>
    <w:rsid w:val="007121CA"/>
    <w:rsid w:val="0072003B"/>
    <w:rsid w:val="00720B20"/>
    <w:rsid w:val="00721059"/>
    <w:rsid w:val="007211E6"/>
    <w:rsid w:val="007220C4"/>
    <w:rsid w:val="0072323E"/>
    <w:rsid w:val="00732361"/>
    <w:rsid w:val="007357B9"/>
    <w:rsid w:val="00741AB9"/>
    <w:rsid w:val="00742D03"/>
    <w:rsid w:val="00744216"/>
    <w:rsid w:val="00745020"/>
    <w:rsid w:val="007452E8"/>
    <w:rsid w:val="00746990"/>
    <w:rsid w:val="00746C75"/>
    <w:rsid w:val="00747093"/>
    <w:rsid w:val="00750D70"/>
    <w:rsid w:val="00752D0D"/>
    <w:rsid w:val="007575D0"/>
    <w:rsid w:val="007579ED"/>
    <w:rsid w:val="007606FD"/>
    <w:rsid w:val="007662E0"/>
    <w:rsid w:val="00776E9C"/>
    <w:rsid w:val="007816D8"/>
    <w:rsid w:val="00783D49"/>
    <w:rsid w:val="00784150"/>
    <w:rsid w:val="00787733"/>
    <w:rsid w:val="00793272"/>
    <w:rsid w:val="00794B64"/>
    <w:rsid w:val="007967C3"/>
    <w:rsid w:val="007A0A33"/>
    <w:rsid w:val="007A13FF"/>
    <w:rsid w:val="007A3E09"/>
    <w:rsid w:val="007B02E5"/>
    <w:rsid w:val="007B04DE"/>
    <w:rsid w:val="007B0AE6"/>
    <w:rsid w:val="007B2A58"/>
    <w:rsid w:val="007C0F0B"/>
    <w:rsid w:val="007C57BC"/>
    <w:rsid w:val="007D04CA"/>
    <w:rsid w:val="007D0A2B"/>
    <w:rsid w:val="007D12A1"/>
    <w:rsid w:val="007D1DFE"/>
    <w:rsid w:val="007D40E5"/>
    <w:rsid w:val="007D4138"/>
    <w:rsid w:val="007E4178"/>
    <w:rsid w:val="007E6B49"/>
    <w:rsid w:val="007F0A77"/>
    <w:rsid w:val="007F50D3"/>
    <w:rsid w:val="007F6B1F"/>
    <w:rsid w:val="0080248F"/>
    <w:rsid w:val="00804897"/>
    <w:rsid w:val="008051E3"/>
    <w:rsid w:val="008054B8"/>
    <w:rsid w:val="00805D21"/>
    <w:rsid w:val="008128EF"/>
    <w:rsid w:val="00813D02"/>
    <w:rsid w:val="00820DAA"/>
    <w:rsid w:val="008226AF"/>
    <w:rsid w:val="008329DB"/>
    <w:rsid w:val="008361C5"/>
    <w:rsid w:val="0083628F"/>
    <w:rsid w:val="00836E67"/>
    <w:rsid w:val="00837AB9"/>
    <w:rsid w:val="00846590"/>
    <w:rsid w:val="00850637"/>
    <w:rsid w:val="00854D98"/>
    <w:rsid w:val="0085751E"/>
    <w:rsid w:val="00860B29"/>
    <w:rsid w:val="008622E8"/>
    <w:rsid w:val="008645EE"/>
    <w:rsid w:val="008665CA"/>
    <w:rsid w:val="00870144"/>
    <w:rsid w:val="00873D7A"/>
    <w:rsid w:val="00877CB3"/>
    <w:rsid w:val="008804CF"/>
    <w:rsid w:val="00882D58"/>
    <w:rsid w:val="00882F19"/>
    <w:rsid w:val="00883D35"/>
    <w:rsid w:val="00883E36"/>
    <w:rsid w:val="00884569"/>
    <w:rsid w:val="00887A51"/>
    <w:rsid w:val="008903C7"/>
    <w:rsid w:val="00890D9B"/>
    <w:rsid w:val="00891C6C"/>
    <w:rsid w:val="00893CCD"/>
    <w:rsid w:val="008964B3"/>
    <w:rsid w:val="008A3C17"/>
    <w:rsid w:val="008A4AA6"/>
    <w:rsid w:val="008B0E2E"/>
    <w:rsid w:val="008B1CB5"/>
    <w:rsid w:val="008B253C"/>
    <w:rsid w:val="008B4BC8"/>
    <w:rsid w:val="008C1741"/>
    <w:rsid w:val="008C2D69"/>
    <w:rsid w:val="008C49C6"/>
    <w:rsid w:val="008C754C"/>
    <w:rsid w:val="008D56C9"/>
    <w:rsid w:val="008D6A54"/>
    <w:rsid w:val="008E2585"/>
    <w:rsid w:val="008E2D7A"/>
    <w:rsid w:val="008F3215"/>
    <w:rsid w:val="008F4A62"/>
    <w:rsid w:val="008F69FD"/>
    <w:rsid w:val="008F7256"/>
    <w:rsid w:val="0090424C"/>
    <w:rsid w:val="0090592F"/>
    <w:rsid w:val="00905C11"/>
    <w:rsid w:val="0090605E"/>
    <w:rsid w:val="009108CE"/>
    <w:rsid w:val="00914295"/>
    <w:rsid w:val="00915039"/>
    <w:rsid w:val="00915A9F"/>
    <w:rsid w:val="00930D58"/>
    <w:rsid w:val="00935AAA"/>
    <w:rsid w:val="00945B5F"/>
    <w:rsid w:val="0095031E"/>
    <w:rsid w:val="00954297"/>
    <w:rsid w:val="00956C05"/>
    <w:rsid w:val="00960945"/>
    <w:rsid w:val="00960A56"/>
    <w:rsid w:val="00961DE6"/>
    <w:rsid w:val="00966122"/>
    <w:rsid w:val="00966EF1"/>
    <w:rsid w:val="009671F4"/>
    <w:rsid w:val="00967223"/>
    <w:rsid w:val="009709FE"/>
    <w:rsid w:val="009751F7"/>
    <w:rsid w:val="00982DF7"/>
    <w:rsid w:val="0098350E"/>
    <w:rsid w:val="0099404F"/>
    <w:rsid w:val="00994CBA"/>
    <w:rsid w:val="00995206"/>
    <w:rsid w:val="00996FA5"/>
    <w:rsid w:val="0099783C"/>
    <w:rsid w:val="009A205C"/>
    <w:rsid w:val="009A2B8A"/>
    <w:rsid w:val="009A556A"/>
    <w:rsid w:val="009B5662"/>
    <w:rsid w:val="009C2211"/>
    <w:rsid w:val="009C40E8"/>
    <w:rsid w:val="009C45C5"/>
    <w:rsid w:val="009E2978"/>
    <w:rsid w:val="009E6858"/>
    <w:rsid w:val="009E6F8C"/>
    <w:rsid w:val="009F1419"/>
    <w:rsid w:val="009F19BB"/>
    <w:rsid w:val="009F405F"/>
    <w:rsid w:val="00A01254"/>
    <w:rsid w:val="00A01A8D"/>
    <w:rsid w:val="00A01C56"/>
    <w:rsid w:val="00A02383"/>
    <w:rsid w:val="00A05548"/>
    <w:rsid w:val="00A231E4"/>
    <w:rsid w:val="00A24E61"/>
    <w:rsid w:val="00A27E0D"/>
    <w:rsid w:val="00A32C50"/>
    <w:rsid w:val="00A358E7"/>
    <w:rsid w:val="00A42914"/>
    <w:rsid w:val="00A4380B"/>
    <w:rsid w:val="00A44E66"/>
    <w:rsid w:val="00A51A2D"/>
    <w:rsid w:val="00A528F4"/>
    <w:rsid w:val="00A5596B"/>
    <w:rsid w:val="00A63C07"/>
    <w:rsid w:val="00A63D9B"/>
    <w:rsid w:val="00A704DC"/>
    <w:rsid w:val="00A93DC6"/>
    <w:rsid w:val="00A9411A"/>
    <w:rsid w:val="00A97328"/>
    <w:rsid w:val="00AA3F2E"/>
    <w:rsid w:val="00AA4A4B"/>
    <w:rsid w:val="00AA6682"/>
    <w:rsid w:val="00AB7C5C"/>
    <w:rsid w:val="00AB7CBF"/>
    <w:rsid w:val="00AD0111"/>
    <w:rsid w:val="00AD17EF"/>
    <w:rsid w:val="00AD4C72"/>
    <w:rsid w:val="00AD5451"/>
    <w:rsid w:val="00AE1947"/>
    <w:rsid w:val="00AF1C8B"/>
    <w:rsid w:val="00AF299B"/>
    <w:rsid w:val="00AF7E43"/>
    <w:rsid w:val="00B02AE0"/>
    <w:rsid w:val="00B05326"/>
    <w:rsid w:val="00B07AA4"/>
    <w:rsid w:val="00B1440F"/>
    <w:rsid w:val="00B14545"/>
    <w:rsid w:val="00B14E60"/>
    <w:rsid w:val="00B17BA2"/>
    <w:rsid w:val="00B24F57"/>
    <w:rsid w:val="00B26DC3"/>
    <w:rsid w:val="00B30B9D"/>
    <w:rsid w:val="00B31ABE"/>
    <w:rsid w:val="00B4574D"/>
    <w:rsid w:val="00B468E1"/>
    <w:rsid w:val="00B46BC0"/>
    <w:rsid w:val="00B46DFB"/>
    <w:rsid w:val="00B5141B"/>
    <w:rsid w:val="00B55681"/>
    <w:rsid w:val="00B57AAD"/>
    <w:rsid w:val="00B72B16"/>
    <w:rsid w:val="00B80408"/>
    <w:rsid w:val="00B81397"/>
    <w:rsid w:val="00B925DB"/>
    <w:rsid w:val="00B93274"/>
    <w:rsid w:val="00B9563F"/>
    <w:rsid w:val="00B967FF"/>
    <w:rsid w:val="00B9693E"/>
    <w:rsid w:val="00B974B9"/>
    <w:rsid w:val="00B97976"/>
    <w:rsid w:val="00BA166A"/>
    <w:rsid w:val="00BA3F6D"/>
    <w:rsid w:val="00BA4BE6"/>
    <w:rsid w:val="00BA4FC0"/>
    <w:rsid w:val="00BA61E0"/>
    <w:rsid w:val="00BA7F7D"/>
    <w:rsid w:val="00BB1C14"/>
    <w:rsid w:val="00BB3CAD"/>
    <w:rsid w:val="00BB3F2E"/>
    <w:rsid w:val="00BB6847"/>
    <w:rsid w:val="00BB7F8F"/>
    <w:rsid w:val="00BC716A"/>
    <w:rsid w:val="00BD07DF"/>
    <w:rsid w:val="00BD26F4"/>
    <w:rsid w:val="00BD5DBD"/>
    <w:rsid w:val="00BD5DF6"/>
    <w:rsid w:val="00BE0041"/>
    <w:rsid w:val="00BE437D"/>
    <w:rsid w:val="00BE640F"/>
    <w:rsid w:val="00BF4638"/>
    <w:rsid w:val="00C018DE"/>
    <w:rsid w:val="00C0214D"/>
    <w:rsid w:val="00C059D0"/>
    <w:rsid w:val="00C07551"/>
    <w:rsid w:val="00C1109F"/>
    <w:rsid w:val="00C12D65"/>
    <w:rsid w:val="00C133AB"/>
    <w:rsid w:val="00C14445"/>
    <w:rsid w:val="00C20B56"/>
    <w:rsid w:val="00C22214"/>
    <w:rsid w:val="00C24AD6"/>
    <w:rsid w:val="00C26F72"/>
    <w:rsid w:val="00C309A7"/>
    <w:rsid w:val="00C32307"/>
    <w:rsid w:val="00C335AB"/>
    <w:rsid w:val="00C407AB"/>
    <w:rsid w:val="00C52B7B"/>
    <w:rsid w:val="00C547CD"/>
    <w:rsid w:val="00C562D1"/>
    <w:rsid w:val="00C570FF"/>
    <w:rsid w:val="00C57CEA"/>
    <w:rsid w:val="00C60FEC"/>
    <w:rsid w:val="00C6574E"/>
    <w:rsid w:val="00C707FD"/>
    <w:rsid w:val="00C76DEB"/>
    <w:rsid w:val="00C816C6"/>
    <w:rsid w:val="00C863A7"/>
    <w:rsid w:val="00C87187"/>
    <w:rsid w:val="00C90965"/>
    <w:rsid w:val="00C912F4"/>
    <w:rsid w:val="00C9156F"/>
    <w:rsid w:val="00C93C71"/>
    <w:rsid w:val="00C9581A"/>
    <w:rsid w:val="00C97D29"/>
    <w:rsid w:val="00CA1BB0"/>
    <w:rsid w:val="00CA1DD9"/>
    <w:rsid w:val="00CA409D"/>
    <w:rsid w:val="00CB0550"/>
    <w:rsid w:val="00CB565E"/>
    <w:rsid w:val="00CB6813"/>
    <w:rsid w:val="00CC7872"/>
    <w:rsid w:val="00CE0E01"/>
    <w:rsid w:val="00CF2982"/>
    <w:rsid w:val="00CF565F"/>
    <w:rsid w:val="00CF6A55"/>
    <w:rsid w:val="00CF6DC6"/>
    <w:rsid w:val="00CF6DCF"/>
    <w:rsid w:val="00CF762A"/>
    <w:rsid w:val="00D00CB3"/>
    <w:rsid w:val="00D01DDB"/>
    <w:rsid w:val="00D078BE"/>
    <w:rsid w:val="00D1077F"/>
    <w:rsid w:val="00D125D6"/>
    <w:rsid w:val="00D13F8A"/>
    <w:rsid w:val="00D16F60"/>
    <w:rsid w:val="00D22981"/>
    <w:rsid w:val="00D3093A"/>
    <w:rsid w:val="00D3349B"/>
    <w:rsid w:val="00D424A8"/>
    <w:rsid w:val="00D6036F"/>
    <w:rsid w:val="00D62877"/>
    <w:rsid w:val="00D63760"/>
    <w:rsid w:val="00D6703F"/>
    <w:rsid w:val="00D7325E"/>
    <w:rsid w:val="00D734EB"/>
    <w:rsid w:val="00D82713"/>
    <w:rsid w:val="00D86F00"/>
    <w:rsid w:val="00D87E89"/>
    <w:rsid w:val="00D918D5"/>
    <w:rsid w:val="00D94C8E"/>
    <w:rsid w:val="00DB1372"/>
    <w:rsid w:val="00DB192C"/>
    <w:rsid w:val="00DB1CF3"/>
    <w:rsid w:val="00DB5425"/>
    <w:rsid w:val="00DB72A6"/>
    <w:rsid w:val="00DC6611"/>
    <w:rsid w:val="00DE1344"/>
    <w:rsid w:val="00DE6537"/>
    <w:rsid w:val="00DF5BFE"/>
    <w:rsid w:val="00E01E1E"/>
    <w:rsid w:val="00E0523F"/>
    <w:rsid w:val="00E11F63"/>
    <w:rsid w:val="00E1732F"/>
    <w:rsid w:val="00E23E50"/>
    <w:rsid w:val="00E26213"/>
    <w:rsid w:val="00E274DF"/>
    <w:rsid w:val="00E34D66"/>
    <w:rsid w:val="00E362C4"/>
    <w:rsid w:val="00E41529"/>
    <w:rsid w:val="00E46CC2"/>
    <w:rsid w:val="00E47E0C"/>
    <w:rsid w:val="00E51813"/>
    <w:rsid w:val="00E52C0B"/>
    <w:rsid w:val="00E5300C"/>
    <w:rsid w:val="00E53D3F"/>
    <w:rsid w:val="00E5579B"/>
    <w:rsid w:val="00E57FF4"/>
    <w:rsid w:val="00E63ECE"/>
    <w:rsid w:val="00E66DBA"/>
    <w:rsid w:val="00E679D1"/>
    <w:rsid w:val="00E67C1C"/>
    <w:rsid w:val="00E741B1"/>
    <w:rsid w:val="00E7591C"/>
    <w:rsid w:val="00E773D1"/>
    <w:rsid w:val="00E80480"/>
    <w:rsid w:val="00E91F11"/>
    <w:rsid w:val="00E94E4F"/>
    <w:rsid w:val="00E9706D"/>
    <w:rsid w:val="00E972FE"/>
    <w:rsid w:val="00EA0CD0"/>
    <w:rsid w:val="00EA3AF4"/>
    <w:rsid w:val="00EA7E00"/>
    <w:rsid w:val="00EB05DE"/>
    <w:rsid w:val="00EB1A03"/>
    <w:rsid w:val="00EB6CC8"/>
    <w:rsid w:val="00ED304C"/>
    <w:rsid w:val="00EE1F2D"/>
    <w:rsid w:val="00EE31B2"/>
    <w:rsid w:val="00EF3F0B"/>
    <w:rsid w:val="00EF5583"/>
    <w:rsid w:val="00F0289D"/>
    <w:rsid w:val="00F02AEC"/>
    <w:rsid w:val="00F07070"/>
    <w:rsid w:val="00F07572"/>
    <w:rsid w:val="00F07C11"/>
    <w:rsid w:val="00F11219"/>
    <w:rsid w:val="00F13E3D"/>
    <w:rsid w:val="00F1423C"/>
    <w:rsid w:val="00F142AE"/>
    <w:rsid w:val="00F157FC"/>
    <w:rsid w:val="00F17C2C"/>
    <w:rsid w:val="00F20E20"/>
    <w:rsid w:val="00F240E2"/>
    <w:rsid w:val="00F2598A"/>
    <w:rsid w:val="00F273B2"/>
    <w:rsid w:val="00F30AF3"/>
    <w:rsid w:val="00F35B36"/>
    <w:rsid w:val="00F41A2F"/>
    <w:rsid w:val="00F43CD1"/>
    <w:rsid w:val="00F45AE0"/>
    <w:rsid w:val="00F5379D"/>
    <w:rsid w:val="00F540E6"/>
    <w:rsid w:val="00F55350"/>
    <w:rsid w:val="00F56877"/>
    <w:rsid w:val="00F60CF2"/>
    <w:rsid w:val="00F60FC9"/>
    <w:rsid w:val="00F657B4"/>
    <w:rsid w:val="00F7649F"/>
    <w:rsid w:val="00F77293"/>
    <w:rsid w:val="00F8083B"/>
    <w:rsid w:val="00F865A7"/>
    <w:rsid w:val="00F87E3B"/>
    <w:rsid w:val="00FA0754"/>
    <w:rsid w:val="00FA1BC9"/>
    <w:rsid w:val="00FA49C3"/>
    <w:rsid w:val="00FA554F"/>
    <w:rsid w:val="00FB0C0B"/>
    <w:rsid w:val="00FB236E"/>
    <w:rsid w:val="00FB3F7B"/>
    <w:rsid w:val="00FB4C2A"/>
    <w:rsid w:val="00FB4F5B"/>
    <w:rsid w:val="00FC2107"/>
    <w:rsid w:val="00FC413D"/>
    <w:rsid w:val="00FC4848"/>
    <w:rsid w:val="00FC48FE"/>
    <w:rsid w:val="00FC635E"/>
    <w:rsid w:val="00FC6F56"/>
    <w:rsid w:val="00FD4D18"/>
    <w:rsid w:val="00FE087C"/>
    <w:rsid w:val="00FE79A0"/>
    <w:rsid w:val="00FF0939"/>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C24A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67434F"/>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C24AD6"/>
    <w:rPr>
      <w:rFonts w:asciiTheme="majorHAnsi" w:eastAsiaTheme="majorEastAsia" w:hAnsiTheme="majorHAnsi" w:cstheme="majorBidi"/>
      <w:color w:val="2F5496" w:themeColor="accent1" w:themeShade="BF"/>
      <w:sz w:val="32"/>
      <w:szCs w:val="32"/>
    </w:rPr>
  </w:style>
  <w:style w:type="character" w:customStyle="1" w:styleId="Heading7Char">
    <w:name w:val="Heading 7 Char"/>
    <w:basedOn w:val="DefaultParagraphFont"/>
    <w:link w:val="Heading7"/>
    <w:uiPriority w:val="9"/>
    <w:rsid w:val="0067434F"/>
    <w:rPr>
      <w:rFonts w:asciiTheme="majorHAnsi" w:eastAsiaTheme="majorEastAsia" w:hAnsiTheme="majorHAnsi" w:cstheme="majorBidi"/>
      <w:i/>
      <w:iCs/>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341859">
      <w:bodyDiv w:val="1"/>
      <w:marLeft w:val="0"/>
      <w:marRight w:val="0"/>
      <w:marTop w:val="0"/>
      <w:marBottom w:val="0"/>
      <w:divBdr>
        <w:top w:val="none" w:sz="0" w:space="0" w:color="auto"/>
        <w:left w:val="none" w:sz="0" w:space="0" w:color="auto"/>
        <w:bottom w:val="none" w:sz="0" w:space="0" w:color="auto"/>
        <w:right w:val="none" w:sz="0" w:space="0" w:color="auto"/>
      </w:divBdr>
    </w:div>
    <w:div w:id="621689223">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36303772">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762603403">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494712258">
      <w:bodyDiv w:val="1"/>
      <w:marLeft w:val="0"/>
      <w:marRight w:val="0"/>
      <w:marTop w:val="0"/>
      <w:marBottom w:val="0"/>
      <w:divBdr>
        <w:top w:val="none" w:sz="0" w:space="0" w:color="auto"/>
        <w:left w:val="none" w:sz="0" w:space="0" w:color="auto"/>
        <w:bottom w:val="none" w:sz="0" w:space="0" w:color="auto"/>
        <w:right w:val="none" w:sz="0" w:space="0" w:color="auto"/>
      </w:divBdr>
    </w:div>
    <w:div w:id="166304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resources/artg/356270" TargetMode="External"/><Relationship Id="rId26" Type="http://schemas.openxmlformats.org/officeDocument/2006/relationships/image" Target="media/image5.png"/><Relationship Id="rId39" Type="http://schemas.microsoft.com/office/2007/relationships/hdphoto" Target="media/hdphoto6.wdp"/><Relationship Id="rId21" Type="http://schemas.openxmlformats.org/officeDocument/2006/relationships/image" Target="media/image4.png"/><Relationship Id="rId34" Type="http://schemas.openxmlformats.org/officeDocument/2006/relationships/image" Target="media/image10.png"/><Relationship Id="rId42" Type="http://schemas.openxmlformats.org/officeDocument/2006/relationships/hyperlink" Target="https://www.tga.gov.au/tgas-risk-management-approach" TargetMode="External"/><Relationship Id="rId47" Type="http://schemas.openxmlformats.org/officeDocument/2006/relationships/image" Target="media/image14.png"/><Relationship Id="rId50" Type="http://schemas.microsoft.com/office/2007/relationships/hdphoto" Target="media/hdphoto9.wdp"/><Relationship Id="rId55" Type="http://schemas.openxmlformats.org/officeDocument/2006/relationships/hyperlink" Target="https://www.ebs.tga.gov.au/" TargetMode="External"/><Relationship Id="rId63" Type="http://schemas.openxmlformats.org/officeDocument/2006/relationships/image" Target="media/image20.png"/><Relationship Id="rId68" Type="http://schemas.microsoft.com/office/2007/relationships/hdphoto" Target="media/hdphoto15.wdp"/><Relationship Id="rId76" Type="http://schemas.microsoft.com/office/2007/relationships/hdphoto" Target="media/hdphoto19.wdp"/><Relationship Id="rId84" Type="http://schemas.openxmlformats.org/officeDocument/2006/relationships/hyperlink" Target="https://www.tga.gov.au" TargetMode="External"/><Relationship Id="rId7" Type="http://schemas.openxmlformats.org/officeDocument/2006/relationships/endnotes" Target="endnotes.xml"/><Relationship Id="rId71"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s://www.tga.gov.au/resources/artg/356285" TargetMode="External"/><Relationship Id="rId29" Type="http://schemas.microsoft.com/office/2007/relationships/hdphoto" Target="media/hdphoto1.wdp"/><Relationship Id="rId11" Type="http://schemas.openxmlformats.org/officeDocument/2006/relationships/footer" Target="footer2.xml"/><Relationship Id="rId24" Type="http://schemas.openxmlformats.org/officeDocument/2006/relationships/hyperlink" Target="https://www.tga.gov.au/obstetric-drug-information-services" TargetMode="External"/><Relationship Id="rId32" Type="http://schemas.openxmlformats.org/officeDocument/2006/relationships/image" Target="media/image9.png"/><Relationship Id="rId37" Type="http://schemas.microsoft.com/office/2007/relationships/hdphoto" Target="media/hdphoto5.wdp"/><Relationship Id="rId40" Type="http://schemas.openxmlformats.org/officeDocument/2006/relationships/hyperlink" Target="https://www.tga.gov.au/resources/resource/guidance/risk-management-plans-medicines-and-biologicals/when-rmp-required" TargetMode="External"/><Relationship Id="rId45" Type="http://schemas.openxmlformats.org/officeDocument/2006/relationships/image" Target="media/image13.png"/><Relationship Id="rId53" Type="http://schemas.openxmlformats.org/officeDocument/2006/relationships/hyperlink" Target="https://www.tga.gov.au/products/australian-register-therapeutic-goods-artg/product-information-one" TargetMode="External"/><Relationship Id="rId58" Type="http://schemas.openxmlformats.org/officeDocument/2006/relationships/image" Target="media/image17.png"/><Relationship Id="rId66" Type="http://schemas.microsoft.com/office/2007/relationships/hdphoto" Target="media/hdphoto14.wdp"/><Relationship Id="rId74" Type="http://schemas.microsoft.com/office/2007/relationships/hdphoto" Target="media/hdphoto18.wdp"/><Relationship Id="rId79" Type="http://schemas.openxmlformats.org/officeDocument/2006/relationships/image" Target="media/image28.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9.png"/><Relationship Id="rId82" Type="http://schemas.openxmlformats.org/officeDocument/2006/relationships/footer" Target="footer3.xml"/><Relationship Id="rId19" Type="http://schemas.openxmlformats.org/officeDocument/2006/relationships/hyperlink" Target="https://www.tga.gov.au/resources/artg/35628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hyperlink" Target="https://www.ebs.tga.gov.au/" TargetMode="External"/><Relationship Id="rId27" Type="http://schemas.openxmlformats.org/officeDocument/2006/relationships/image" Target="media/image6.png"/><Relationship Id="rId30" Type="http://schemas.openxmlformats.org/officeDocument/2006/relationships/image" Target="media/image8.png"/><Relationship Id="rId35" Type="http://schemas.microsoft.com/office/2007/relationships/hdphoto" Target="media/hdphoto4.wdp"/><Relationship Id="rId43" Type="http://schemas.openxmlformats.org/officeDocument/2006/relationships/hyperlink" Target="https://www.tga.gov.au/resources/resource/guidance/risk-management-plans-medicines-and-biologicals/australia-specific-annex-eu-rmp" TargetMode="External"/><Relationship Id="rId48" Type="http://schemas.microsoft.com/office/2007/relationships/hdphoto" Target="media/hdphoto8.wdp"/><Relationship Id="rId56" Type="http://schemas.openxmlformats.org/officeDocument/2006/relationships/image" Target="media/image16.png"/><Relationship Id="rId64" Type="http://schemas.microsoft.com/office/2007/relationships/hdphoto" Target="media/hdphoto13.wdp"/><Relationship Id="rId69" Type="http://schemas.openxmlformats.org/officeDocument/2006/relationships/image" Target="media/image23.png"/><Relationship Id="rId77" Type="http://schemas.openxmlformats.org/officeDocument/2006/relationships/image" Target="media/image27.png"/><Relationship Id="rId8" Type="http://schemas.openxmlformats.org/officeDocument/2006/relationships/header" Target="header1.xml"/><Relationship Id="rId51" Type="http://schemas.openxmlformats.org/officeDocument/2006/relationships/hyperlink" Target="https://www.tga.gov.au/committee/advisory-committee-medicines-acm" TargetMode="External"/><Relationship Id="rId72" Type="http://schemas.microsoft.com/office/2007/relationships/hdphoto" Target="media/hdphoto17.wdp"/><Relationship Id="rId80" Type="http://schemas.microsoft.com/office/2007/relationships/hdphoto" Target="media/hdphoto21.wdp"/><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hyperlink" Target="https://www.tga.gov.au/resources/artg/356288" TargetMode="External"/><Relationship Id="rId25" Type="http://schemas.openxmlformats.org/officeDocument/2006/relationships/hyperlink" Target="https://www.tga.gov.au/how-we-regulate/supply-therapeutic-good-0/supply-prescription-medicine/application-process/prescription-medicines-registration-process" TargetMode="External"/><Relationship Id="rId33" Type="http://schemas.microsoft.com/office/2007/relationships/hdphoto" Target="media/hdphoto3.wdp"/><Relationship Id="rId38" Type="http://schemas.openxmlformats.org/officeDocument/2006/relationships/image" Target="media/image12.png"/><Relationship Id="rId46" Type="http://schemas.microsoft.com/office/2007/relationships/hdphoto" Target="media/hdphoto7.wdp"/><Relationship Id="rId59" Type="http://schemas.microsoft.com/office/2007/relationships/hdphoto" Target="media/hdphoto11.wdp"/><Relationship Id="rId67" Type="http://schemas.openxmlformats.org/officeDocument/2006/relationships/image" Target="media/image22.png"/><Relationship Id="rId20" Type="http://schemas.openxmlformats.org/officeDocument/2006/relationships/hyperlink" Target="https://www.tga.gov.au/black-triangle-scheme" TargetMode="External"/><Relationship Id="rId41" Type="http://schemas.openxmlformats.org/officeDocument/2006/relationships/hyperlink" Target="https://www.tga.gov.au/publication/risk-management-plans-medicines-and-biologicals" TargetMode="External"/><Relationship Id="rId54" Type="http://schemas.openxmlformats.org/officeDocument/2006/relationships/hyperlink" Target="https://www.tga.gov.au/products/australian-register-therapeutic-goods-artg/consumer-medicines-information-cmi" TargetMode="External"/><Relationship Id="rId62" Type="http://schemas.microsoft.com/office/2007/relationships/hdphoto" Target="media/hdphoto12.wdp"/><Relationship Id="rId70" Type="http://schemas.microsoft.com/office/2007/relationships/hdphoto" Target="media/hdphoto16.wdp"/><Relationship Id="rId75" Type="http://schemas.openxmlformats.org/officeDocument/2006/relationships/image" Target="media/image26.png"/><Relationship Id="rId83" Type="http://schemas.openxmlformats.org/officeDocument/2006/relationships/hyperlink" Target="mailto:info@tga.gov.au"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ga.gov.au/resources/artg/356286" TargetMode="External"/><Relationship Id="rId23" Type="http://schemas.openxmlformats.org/officeDocument/2006/relationships/hyperlink" Target="https://www.tga.gov.au/products/medicines/find-information-about-medicine/prescribing-medicines-pregnancy-database" TargetMode="External"/><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image" Target="media/image15.png"/><Relationship Id="rId57" Type="http://schemas.microsoft.com/office/2007/relationships/hdphoto" Target="media/hdphoto10.wdp"/><Relationship Id="rId10" Type="http://schemas.openxmlformats.org/officeDocument/2006/relationships/header" Target="header2.xml"/><Relationship Id="rId31" Type="http://schemas.microsoft.com/office/2007/relationships/hdphoto" Target="media/hdphoto2.wdp"/><Relationship Id="rId44" Type="http://schemas.openxmlformats.org/officeDocument/2006/relationships/hyperlink" Target="https://www.tga.gov.au/resources/resource/guidance/risk-management-plans-medicines-and-biologicals/australia-specific-annex-eu-rmp" TargetMode="External"/><Relationship Id="rId52" Type="http://schemas.openxmlformats.org/officeDocument/2006/relationships/hyperlink" Target="https://www.tga.gov.au/products/australian-register-therapeutic-goods-artg/product-information-one" TargetMode="External"/><Relationship Id="rId60" Type="http://schemas.openxmlformats.org/officeDocument/2006/relationships/image" Target="media/image18.emf"/><Relationship Id="rId65" Type="http://schemas.openxmlformats.org/officeDocument/2006/relationships/image" Target="media/image21.png"/><Relationship Id="rId73" Type="http://schemas.openxmlformats.org/officeDocument/2006/relationships/image" Target="media/image25.png"/><Relationship Id="rId78" Type="http://schemas.microsoft.com/office/2007/relationships/hdphoto" Target="media/hdphoto20.wdp"/><Relationship Id="rId81" Type="http://schemas.openxmlformats.org/officeDocument/2006/relationships/header" Target="header3.xml"/><Relationship Id="rId86"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s://www.tga.gov.au/resources/auspar/auspar-ozempic" TargetMode="External"/><Relationship Id="rId1" Type="http://schemas.openxmlformats.org/officeDocument/2006/relationships/hyperlink" Target="https://www.aihw.gov.au/reports/australias-health/overweight-and-obesit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40</Pages>
  <Words>9445</Words>
  <Characters>53837</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63156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dc:title>
  <dc:subject>Prescription medicine regulation</dc:subject>
  <dc:creator>Therapeutic Goods Administration</dc:creator>
  <cp:keywords/>
  <dc:description/>
  <cp:lastModifiedBy>LACK, Janet</cp:lastModifiedBy>
  <cp:revision>7</cp:revision>
  <cp:lastPrinted>2024-09-05T01:09:00Z</cp:lastPrinted>
  <dcterms:created xsi:type="dcterms:W3CDTF">2024-09-05T00:02:00Z</dcterms:created>
  <dcterms:modified xsi:type="dcterms:W3CDTF">2024-09-05T01:11:00Z</dcterms:modified>
</cp:coreProperties>
</file>