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D3ED4" w:rsidRDefault="008D3ED4"/>
    <w:p w14:paraId="00000002" w14:textId="77777777" w:rsidR="008D3ED4" w:rsidRDefault="008D3ED4"/>
    <w:tbl>
      <w:tblPr>
        <w:tblStyle w:val="a"/>
        <w:tblpPr w:leftFromText="180" w:rightFromText="180" w:vertAnchor="page" w:horzAnchor="margin" w:tblpY="3121"/>
        <w:tblW w:w="8720" w:type="dxa"/>
        <w:tblBorders>
          <w:top w:val="nil"/>
          <w:left w:val="nil"/>
          <w:bottom w:val="nil"/>
          <w:right w:val="nil"/>
          <w:insideH w:val="nil"/>
          <w:insideV w:val="nil"/>
        </w:tblBorders>
        <w:tblLayout w:type="fixed"/>
        <w:tblLook w:val="0400" w:firstRow="0" w:lastRow="0" w:firstColumn="0" w:lastColumn="0" w:noHBand="0" w:noVBand="1"/>
      </w:tblPr>
      <w:tblGrid>
        <w:gridCol w:w="8720"/>
      </w:tblGrid>
      <w:tr w:rsidR="008D3ED4" w14:paraId="19CBCECC" w14:textId="77777777">
        <w:trPr>
          <w:cantSplit/>
          <w:trHeight w:val="1558"/>
        </w:trPr>
        <w:tc>
          <w:tcPr>
            <w:tcW w:w="8720" w:type="dxa"/>
          </w:tcPr>
          <w:p w14:paraId="00000003" w14:textId="77777777" w:rsidR="008D3ED4" w:rsidRDefault="00031835" w:rsidP="004C4E70">
            <w:pPr>
              <w:pStyle w:val="Title"/>
              <w:rPr>
                <w:rFonts w:eastAsia="Arial"/>
              </w:rPr>
            </w:pPr>
            <w:r>
              <w:rPr>
                <w:rFonts w:eastAsia="Arial"/>
              </w:rPr>
              <w:t>Australian Public Assessment Report for Polivy</w:t>
            </w:r>
          </w:p>
        </w:tc>
      </w:tr>
      <w:tr w:rsidR="008D3ED4" w14:paraId="3AC936B6" w14:textId="77777777">
        <w:trPr>
          <w:cantSplit/>
          <w:trHeight w:val="995"/>
        </w:trPr>
        <w:tc>
          <w:tcPr>
            <w:tcW w:w="8720" w:type="dxa"/>
          </w:tcPr>
          <w:p w14:paraId="00000004" w14:textId="6E5862E9" w:rsidR="008D3ED4" w:rsidRDefault="00031835" w:rsidP="004C4E70">
            <w:pPr>
              <w:pStyle w:val="Subtitle"/>
            </w:pPr>
            <w:r>
              <w:t xml:space="preserve">Active ingredient: </w:t>
            </w:r>
            <w:r w:rsidR="004C4E70">
              <w:t>P</w:t>
            </w:r>
            <w:r>
              <w:t>olatuzumab vedotin</w:t>
            </w:r>
          </w:p>
        </w:tc>
      </w:tr>
      <w:tr w:rsidR="008D3ED4" w14:paraId="5444AC59" w14:textId="77777777">
        <w:trPr>
          <w:cantSplit/>
          <w:trHeight w:val="1916"/>
        </w:trPr>
        <w:tc>
          <w:tcPr>
            <w:tcW w:w="8720" w:type="dxa"/>
          </w:tcPr>
          <w:p w14:paraId="00000005" w14:textId="4FD7805A" w:rsidR="008D3ED4" w:rsidRDefault="00031835" w:rsidP="004C4E70">
            <w:pPr>
              <w:pStyle w:val="Subtitle"/>
            </w:pPr>
            <w:r>
              <w:t xml:space="preserve">Sponsor: </w:t>
            </w:r>
            <w:r>
              <w:t>Roche Products Pty Ltd</w:t>
            </w:r>
          </w:p>
        </w:tc>
      </w:tr>
      <w:tr w:rsidR="008D3ED4" w14:paraId="6994B011" w14:textId="77777777" w:rsidTr="004C4E70">
        <w:trPr>
          <w:cantSplit/>
          <w:trHeight w:val="636"/>
        </w:trPr>
        <w:tc>
          <w:tcPr>
            <w:tcW w:w="8720" w:type="dxa"/>
          </w:tcPr>
          <w:p w14:paraId="00000006" w14:textId="77777777" w:rsidR="008D3ED4" w:rsidRDefault="00031835">
            <w:pPr>
              <w:spacing w:before="120"/>
              <w:rPr>
                <w:rFonts w:ascii="Arial" w:eastAsia="Arial" w:hAnsi="Arial" w:cs="Arial"/>
                <w:color w:val="333F4A"/>
                <w:sz w:val="28"/>
                <w:szCs w:val="28"/>
              </w:rPr>
            </w:pPr>
            <w:r>
              <w:rPr>
                <w:rFonts w:ascii="Arial" w:eastAsia="Arial" w:hAnsi="Arial" w:cs="Arial"/>
                <w:color w:val="333F4A"/>
                <w:sz w:val="28"/>
                <w:szCs w:val="28"/>
              </w:rPr>
              <w:t>August 2024</w:t>
            </w:r>
          </w:p>
        </w:tc>
      </w:tr>
    </w:tbl>
    <w:p w14:paraId="00000007" w14:textId="77777777" w:rsidR="008D3ED4" w:rsidRDefault="008D3ED4">
      <w:pPr>
        <w:sectPr w:rsidR="008D3ED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titlePg/>
        </w:sectPr>
      </w:pPr>
    </w:p>
    <w:p w14:paraId="00000008" w14:textId="77777777" w:rsidR="008D3ED4" w:rsidRDefault="00031835">
      <w:pPr>
        <w:pBdr>
          <w:top w:val="nil"/>
          <w:left w:val="nil"/>
          <w:bottom w:val="nil"/>
          <w:right w:val="nil"/>
          <w:between w:val="nil"/>
        </w:pBdr>
        <w:spacing w:before="240"/>
        <w:rPr>
          <w:rFonts w:ascii="Arial" w:eastAsia="Arial" w:hAnsi="Arial" w:cs="Arial"/>
          <w:b/>
          <w:color w:val="000000"/>
          <w:sz w:val="32"/>
          <w:szCs w:val="32"/>
        </w:rPr>
      </w:pPr>
      <w:r>
        <w:rPr>
          <w:rFonts w:ascii="Arial" w:eastAsia="Arial" w:hAnsi="Arial" w:cs="Arial"/>
          <w:b/>
          <w:color w:val="000000"/>
          <w:sz w:val="32"/>
          <w:szCs w:val="32"/>
        </w:rPr>
        <w:lastRenderedPageBreak/>
        <w:t>About the Therapeutic Goods Administration (TGA)</w:t>
      </w:r>
    </w:p>
    <w:p w14:paraId="00000009" w14:textId="77777777" w:rsidR="008D3ED4" w:rsidRDefault="00031835" w:rsidP="004C4E70">
      <w:pPr>
        <w:pStyle w:val="ListBullet"/>
      </w:pPr>
      <w:r>
        <w:t xml:space="preserve">The Therapeutic Goods Administration (TGA) is part of the Australian Government Department of Health and Aged Care and is responsible for regulating therapeutic goods, including medicines, medical </w:t>
      </w:r>
      <w:r>
        <w:t>devices, and biologicals.</w:t>
      </w:r>
    </w:p>
    <w:p w14:paraId="0000000A" w14:textId="77777777" w:rsidR="008D3ED4" w:rsidRDefault="00031835" w:rsidP="004C4E70">
      <w:pPr>
        <w:pStyle w:val="ListBullet"/>
      </w:pPr>
      <w:r>
        <w:t xml:space="preserve">The TGA administers the </w:t>
      </w:r>
      <w:r>
        <w:rPr>
          <w:i/>
        </w:rPr>
        <w:t>Therapeutic Goods Act 1989</w:t>
      </w:r>
      <w:r>
        <w:t xml:space="preserve"> (the Act), applying a risk management approach designed to ensure therapeutic goods supplied in Australia meet acceptable standards of quality, safety, and efficacy.</w:t>
      </w:r>
    </w:p>
    <w:p w14:paraId="0000000B" w14:textId="77777777" w:rsidR="008D3ED4" w:rsidRDefault="00031835" w:rsidP="004C4E70">
      <w:pPr>
        <w:pStyle w:val="ListBullet"/>
      </w:pPr>
      <w:r>
        <w:t>The work of the TGA is based on applying scientific and clinical expertise to decision-making, to ensure that the benefits to the Australian public outweigh any risks associated with the use of therapeutic goods.</w:t>
      </w:r>
    </w:p>
    <w:p w14:paraId="0000000C" w14:textId="77777777" w:rsidR="008D3ED4" w:rsidRDefault="00031835" w:rsidP="004C4E70">
      <w:pPr>
        <w:pStyle w:val="ListBullet"/>
      </w:pPr>
      <w:r>
        <w:t>The TGA relies on the public, healthcare professionals and industry to report problems with therapeutic goods. The TGA investigates reports received to determine any necessary regulatory action.</w:t>
      </w:r>
    </w:p>
    <w:p w14:paraId="0000000D" w14:textId="77777777" w:rsidR="008D3ED4" w:rsidRDefault="00031835" w:rsidP="004C4E70">
      <w:pPr>
        <w:pStyle w:val="ListBullet"/>
      </w:pPr>
      <w:r>
        <w:t xml:space="preserve">To report a problem with a therapeutic good, please see the information on the </w:t>
      </w:r>
      <w:hyperlink r:id="rId14">
        <w:r>
          <w:rPr>
            <w:color w:val="0000FF"/>
            <w:u w:val="single"/>
          </w:rPr>
          <w:t>TGA website</w:t>
        </w:r>
      </w:hyperlink>
      <w:r>
        <w:t>.</w:t>
      </w:r>
    </w:p>
    <w:p w14:paraId="0000000E" w14:textId="77777777" w:rsidR="008D3ED4" w:rsidRDefault="00031835">
      <w:pPr>
        <w:pBdr>
          <w:top w:val="nil"/>
          <w:left w:val="nil"/>
          <w:bottom w:val="nil"/>
          <w:right w:val="nil"/>
          <w:between w:val="nil"/>
        </w:pBdr>
        <w:spacing w:before="240"/>
        <w:rPr>
          <w:rFonts w:ascii="Arial" w:eastAsia="Arial" w:hAnsi="Arial" w:cs="Arial"/>
          <w:b/>
          <w:color w:val="000000"/>
          <w:sz w:val="32"/>
          <w:szCs w:val="32"/>
        </w:rPr>
      </w:pPr>
      <w:r>
        <w:rPr>
          <w:rFonts w:ascii="Arial" w:eastAsia="Arial" w:hAnsi="Arial" w:cs="Arial"/>
          <w:b/>
          <w:color w:val="000000"/>
          <w:sz w:val="32"/>
          <w:szCs w:val="32"/>
        </w:rPr>
        <w:t>About AusPARs</w:t>
      </w:r>
    </w:p>
    <w:p w14:paraId="0000000F" w14:textId="77777777" w:rsidR="008D3ED4" w:rsidRDefault="00031835" w:rsidP="004C4E70">
      <w:pPr>
        <w:pStyle w:val="ListBullet"/>
      </w:pPr>
      <w:r>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5">
        <w:r>
          <w:rPr>
            <w:color w:val="0000FF"/>
            <w:u w:val="single"/>
          </w:rPr>
          <w:t>Australian Public Assessment Report (AusPAR) guidance</w:t>
        </w:r>
      </w:hyperlink>
      <w:r>
        <w:t>.</w:t>
      </w:r>
    </w:p>
    <w:p w14:paraId="00000010" w14:textId="77777777" w:rsidR="008D3ED4" w:rsidRDefault="00031835" w:rsidP="004C4E70">
      <w:pPr>
        <w:pStyle w:val="ListBullet"/>
      </w:pPr>
      <w:r>
        <w:t>AusPARs are prepared and published by the TGA.</w:t>
      </w:r>
    </w:p>
    <w:p w14:paraId="00000011" w14:textId="77777777" w:rsidR="008D3ED4" w:rsidRDefault="00031835" w:rsidP="004C4E70">
      <w:pPr>
        <w:pStyle w:val="ListBullet"/>
      </w:pPr>
      <w:r>
        <w:t>AusPARs are static documents that provide information that relates to a submission at a particular point in time. The publication of an AusPAR is an important part of the transparency of the TGA’s decision-making process.</w:t>
      </w:r>
    </w:p>
    <w:p w14:paraId="46B6268F" w14:textId="77777777" w:rsidR="00402831" w:rsidRDefault="00031835" w:rsidP="004C4E70">
      <w:pPr>
        <w:pStyle w:val="ListBullet"/>
      </w:pPr>
      <w:r>
        <w:t>A new AusPAR may be provided to reflect changes to indications or major variations to a prescription medicine subject to evaluation by the TGA.</w:t>
      </w:r>
    </w:p>
    <w:p w14:paraId="68CFDA4F" w14:textId="77777777" w:rsidR="00402831" w:rsidRDefault="00402831" w:rsidP="00402831">
      <w:pPr>
        <w:pBdr>
          <w:top w:val="nil"/>
          <w:left w:val="nil"/>
          <w:bottom w:val="nil"/>
          <w:right w:val="nil"/>
          <w:between w:val="nil"/>
        </w:pBdr>
        <w:spacing w:before="120" w:after="180"/>
      </w:pPr>
    </w:p>
    <w:p w14:paraId="03FB8730" w14:textId="77777777" w:rsidR="00402831" w:rsidRDefault="00402831" w:rsidP="00402831">
      <w:pPr>
        <w:pBdr>
          <w:top w:val="nil"/>
          <w:left w:val="nil"/>
          <w:bottom w:val="nil"/>
          <w:right w:val="nil"/>
          <w:between w:val="nil"/>
        </w:pBdr>
        <w:spacing w:before="120" w:after="180"/>
      </w:pPr>
    </w:p>
    <w:p w14:paraId="6EA6957E" w14:textId="77777777" w:rsidR="00402831" w:rsidRDefault="00402831" w:rsidP="00402831">
      <w:pPr>
        <w:pBdr>
          <w:top w:val="nil"/>
          <w:left w:val="nil"/>
          <w:bottom w:val="nil"/>
          <w:right w:val="nil"/>
          <w:between w:val="nil"/>
        </w:pBdr>
        <w:spacing w:before="120" w:after="180"/>
      </w:pPr>
    </w:p>
    <w:p w14:paraId="359AA95E" w14:textId="77777777" w:rsidR="00402831" w:rsidRDefault="00402831" w:rsidP="00402831">
      <w:pPr>
        <w:pBdr>
          <w:top w:val="nil"/>
          <w:left w:val="nil"/>
          <w:bottom w:val="nil"/>
          <w:right w:val="nil"/>
          <w:between w:val="nil"/>
        </w:pBdr>
        <w:spacing w:before="120" w:after="180"/>
      </w:pPr>
    </w:p>
    <w:p w14:paraId="4C31078B" w14:textId="77777777" w:rsidR="00402831" w:rsidRDefault="00402831" w:rsidP="00402831">
      <w:pPr>
        <w:pBdr>
          <w:top w:val="nil"/>
          <w:left w:val="nil"/>
          <w:bottom w:val="nil"/>
          <w:right w:val="nil"/>
          <w:between w:val="nil"/>
        </w:pBdr>
        <w:spacing w:before="120" w:after="180"/>
      </w:pPr>
    </w:p>
    <w:p w14:paraId="34DEBDE3" w14:textId="77777777" w:rsidR="00402831" w:rsidRDefault="00402831" w:rsidP="00402831">
      <w:pPr>
        <w:pBdr>
          <w:top w:val="nil"/>
          <w:left w:val="nil"/>
          <w:bottom w:val="nil"/>
          <w:right w:val="nil"/>
          <w:between w:val="nil"/>
        </w:pBdr>
        <w:spacing w:before="120" w:after="180"/>
      </w:pPr>
    </w:p>
    <w:p w14:paraId="7DC46A28" w14:textId="77777777" w:rsidR="004C4E70" w:rsidRDefault="004C4E70" w:rsidP="00402831">
      <w:pPr>
        <w:pBdr>
          <w:top w:val="nil"/>
          <w:left w:val="nil"/>
          <w:bottom w:val="nil"/>
          <w:right w:val="nil"/>
          <w:between w:val="nil"/>
        </w:pBdr>
        <w:spacing w:before="120" w:after="180"/>
      </w:pPr>
    </w:p>
    <w:p w14:paraId="11B479D0" w14:textId="77777777" w:rsidR="00402831" w:rsidRPr="00402831" w:rsidRDefault="00402831" w:rsidP="004C4E70">
      <w:pPr>
        <w:pStyle w:val="LegalSubheading"/>
      </w:pPr>
      <w:r w:rsidRPr="00402831">
        <w:t>Copyright</w:t>
      </w:r>
    </w:p>
    <w:p w14:paraId="00000014" w14:textId="77777777" w:rsidR="008D3ED4" w:rsidRDefault="00031835" w:rsidP="004C4E70">
      <w:pPr>
        <w:pStyle w:val="LegalCopy"/>
      </w:pPr>
      <w:r>
        <w:t>© Commonwealth of Australia 2024</w:t>
      </w:r>
      <w:r>
        <w:br/>
      </w:r>
      <w: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i/>
        </w:rPr>
        <w:t>Copyright Act 1968</w:t>
      </w:r>
      <w:r>
        <w:t xml:space="preserve"> or allowed by this copyright notice, all other rights are </w:t>
      </w:r>
      <w:proofErr w:type="gramStart"/>
      <w:r>
        <w:t>reserved</w:t>
      </w:r>
      <w:proofErr w:type="gramEnd"/>
      <w: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r>
          <w:rPr>
            <w:color w:val="0000FF"/>
            <w:u w:val="single"/>
          </w:rPr>
          <w:t>tga.copyright@tga.gov.au</w:t>
        </w:r>
      </w:hyperlink>
      <w:r>
        <w:t>&gt;.</w:t>
      </w:r>
    </w:p>
    <w:p w14:paraId="00000015" w14:textId="77777777" w:rsidR="008D3ED4" w:rsidRDefault="00031835">
      <w:pPr>
        <w:keepNext/>
        <w:keepLines/>
        <w:pageBreakBefore/>
        <w:pBdr>
          <w:top w:val="nil"/>
          <w:left w:val="nil"/>
          <w:bottom w:val="nil"/>
          <w:right w:val="nil"/>
          <w:between w:val="nil"/>
        </w:pBdr>
        <w:spacing w:after="180"/>
        <w:rPr>
          <w:rFonts w:ascii="Arial" w:eastAsia="Arial" w:hAnsi="Arial" w:cs="Arial"/>
          <w:b/>
          <w:color w:val="001871"/>
          <w:sz w:val="38"/>
          <w:szCs w:val="38"/>
        </w:rPr>
      </w:pPr>
      <w:r>
        <w:rPr>
          <w:rFonts w:ascii="Arial" w:eastAsia="Arial" w:hAnsi="Arial" w:cs="Arial"/>
          <w:b/>
          <w:color w:val="001871"/>
          <w:sz w:val="38"/>
          <w:szCs w:val="38"/>
        </w:rPr>
        <w:lastRenderedPageBreak/>
        <w:t>Contents</w:t>
      </w:r>
    </w:p>
    <w:sdt>
      <w:sdtPr>
        <w:rPr>
          <w:rFonts w:ascii="Cambria" w:hAnsi="Cambria" w:cs="Cambria"/>
          <w:b w:val="0"/>
          <w:color w:val="auto"/>
          <w:sz w:val="22"/>
        </w:rPr>
        <w:id w:val="-1396507993"/>
        <w:docPartObj>
          <w:docPartGallery w:val="Table of Contents"/>
          <w:docPartUnique/>
        </w:docPartObj>
      </w:sdtPr>
      <w:sdtEndPr/>
      <w:sdtContent>
        <w:p w14:paraId="164CD21D" w14:textId="4A50241F" w:rsidR="001561C1" w:rsidRDefault="00031835">
          <w:pPr>
            <w:pStyle w:val="TOC1"/>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\h \u \z \t "Heading 2,1,Heading 3,2,Heading 4,3,"</w:instrText>
          </w:r>
          <w:r>
            <w:fldChar w:fldCharType="separate"/>
          </w:r>
          <w:hyperlink w:anchor="_Toc175921907" w:history="1">
            <w:r w:rsidR="001561C1" w:rsidRPr="00C35684">
              <w:rPr>
                <w:rStyle w:val="Hyperlink"/>
                <w:noProof/>
              </w:rPr>
              <w:t>List of abbreviations</w:t>
            </w:r>
            <w:r w:rsidR="001561C1">
              <w:rPr>
                <w:noProof/>
                <w:webHidden/>
              </w:rPr>
              <w:tab/>
            </w:r>
            <w:r w:rsidR="001561C1">
              <w:rPr>
                <w:noProof/>
                <w:webHidden/>
              </w:rPr>
              <w:fldChar w:fldCharType="begin"/>
            </w:r>
            <w:r w:rsidR="001561C1">
              <w:rPr>
                <w:noProof/>
                <w:webHidden/>
              </w:rPr>
              <w:instrText xml:space="preserve"> PAGEREF _Toc175921907 \h </w:instrText>
            </w:r>
            <w:r w:rsidR="001561C1">
              <w:rPr>
                <w:noProof/>
                <w:webHidden/>
              </w:rPr>
            </w:r>
            <w:r w:rsidR="001561C1">
              <w:rPr>
                <w:noProof/>
                <w:webHidden/>
              </w:rPr>
              <w:fldChar w:fldCharType="separate"/>
            </w:r>
            <w:r w:rsidR="001561C1">
              <w:rPr>
                <w:noProof/>
                <w:webHidden/>
              </w:rPr>
              <w:t>4</w:t>
            </w:r>
            <w:r w:rsidR="001561C1">
              <w:rPr>
                <w:noProof/>
                <w:webHidden/>
              </w:rPr>
              <w:fldChar w:fldCharType="end"/>
            </w:r>
          </w:hyperlink>
        </w:p>
        <w:p w14:paraId="1C254DC5" w14:textId="58013E62" w:rsidR="001561C1" w:rsidRDefault="0003183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5921908" w:history="1">
            <w:r w:rsidR="001561C1" w:rsidRPr="00C35684">
              <w:rPr>
                <w:rStyle w:val="Hyperlink"/>
                <w:noProof/>
              </w:rPr>
              <w:t>Product submission</w:t>
            </w:r>
            <w:r w:rsidR="001561C1">
              <w:rPr>
                <w:noProof/>
                <w:webHidden/>
              </w:rPr>
              <w:tab/>
            </w:r>
            <w:r w:rsidR="001561C1">
              <w:rPr>
                <w:noProof/>
                <w:webHidden/>
              </w:rPr>
              <w:fldChar w:fldCharType="begin"/>
            </w:r>
            <w:r w:rsidR="001561C1">
              <w:rPr>
                <w:noProof/>
                <w:webHidden/>
              </w:rPr>
              <w:instrText xml:space="preserve"> PAGEREF _Toc175921908 \h </w:instrText>
            </w:r>
            <w:r w:rsidR="001561C1">
              <w:rPr>
                <w:noProof/>
                <w:webHidden/>
              </w:rPr>
            </w:r>
            <w:r w:rsidR="001561C1">
              <w:rPr>
                <w:noProof/>
                <w:webHidden/>
              </w:rPr>
              <w:fldChar w:fldCharType="separate"/>
            </w:r>
            <w:r w:rsidR="001561C1">
              <w:rPr>
                <w:noProof/>
                <w:webHidden/>
              </w:rPr>
              <w:t>7</w:t>
            </w:r>
            <w:r w:rsidR="001561C1">
              <w:rPr>
                <w:noProof/>
                <w:webHidden/>
              </w:rPr>
              <w:fldChar w:fldCharType="end"/>
            </w:r>
          </w:hyperlink>
        </w:p>
        <w:p w14:paraId="5E2550FC" w14:textId="0365C5CB" w:rsidR="001561C1" w:rsidRDefault="0003183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5921909" w:history="1">
            <w:r w:rsidR="001561C1" w:rsidRPr="00C35684">
              <w:rPr>
                <w:rStyle w:val="Hyperlink"/>
                <w:noProof/>
              </w:rPr>
              <w:t>Submission details</w:t>
            </w:r>
            <w:r w:rsidR="001561C1">
              <w:rPr>
                <w:noProof/>
                <w:webHidden/>
              </w:rPr>
              <w:tab/>
            </w:r>
            <w:r w:rsidR="001561C1">
              <w:rPr>
                <w:noProof/>
                <w:webHidden/>
              </w:rPr>
              <w:fldChar w:fldCharType="begin"/>
            </w:r>
            <w:r w:rsidR="001561C1">
              <w:rPr>
                <w:noProof/>
                <w:webHidden/>
              </w:rPr>
              <w:instrText xml:space="preserve"> PAGEREF _Toc175921909 \h </w:instrText>
            </w:r>
            <w:r w:rsidR="001561C1">
              <w:rPr>
                <w:noProof/>
                <w:webHidden/>
              </w:rPr>
            </w:r>
            <w:r w:rsidR="001561C1">
              <w:rPr>
                <w:noProof/>
                <w:webHidden/>
              </w:rPr>
              <w:fldChar w:fldCharType="separate"/>
            </w:r>
            <w:r w:rsidR="001561C1">
              <w:rPr>
                <w:noProof/>
                <w:webHidden/>
              </w:rPr>
              <w:t>7</w:t>
            </w:r>
            <w:r w:rsidR="001561C1">
              <w:rPr>
                <w:noProof/>
                <w:webHidden/>
              </w:rPr>
              <w:fldChar w:fldCharType="end"/>
            </w:r>
          </w:hyperlink>
        </w:p>
        <w:p w14:paraId="58A0CC41" w14:textId="263A7697"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10" w:history="1">
            <w:r w:rsidR="001561C1" w:rsidRPr="00C35684">
              <w:rPr>
                <w:rStyle w:val="Hyperlink"/>
                <w:noProof/>
              </w:rPr>
              <w:t>Diffuse large B-cell lymphoma (DLBCL)</w:t>
            </w:r>
            <w:r w:rsidR="001561C1">
              <w:rPr>
                <w:noProof/>
                <w:webHidden/>
              </w:rPr>
              <w:tab/>
            </w:r>
            <w:r w:rsidR="001561C1">
              <w:rPr>
                <w:noProof/>
                <w:webHidden/>
              </w:rPr>
              <w:fldChar w:fldCharType="begin"/>
            </w:r>
            <w:r w:rsidR="001561C1">
              <w:rPr>
                <w:noProof/>
                <w:webHidden/>
              </w:rPr>
              <w:instrText xml:space="preserve"> PAGEREF _Toc175921910 \h </w:instrText>
            </w:r>
            <w:r w:rsidR="001561C1">
              <w:rPr>
                <w:noProof/>
                <w:webHidden/>
              </w:rPr>
            </w:r>
            <w:r w:rsidR="001561C1">
              <w:rPr>
                <w:noProof/>
                <w:webHidden/>
              </w:rPr>
              <w:fldChar w:fldCharType="separate"/>
            </w:r>
            <w:r w:rsidR="001561C1">
              <w:rPr>
                <w:noProof/>
                <w:webHidden/>
              </w:rPr>
              <w:t>8</w:t>
            </w:r>
            <w:r w:rsidR="001561C1">
              <w:rPr>
                <w:noProof/>
                <w:webHidden/>
              </w:rPr>
              <w:fldChar w:fldCharType="end"/>
            </w:r>
          </w:hyperlink>
        </w:p>
        <w:p w14:paraId="2BC8CB5B" w14:textId="578514DC"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11" w:history="1">
            <w:r w:rsidR="001561C1" w:rsidRPr="00C35684">
              <w:rPr>
                <w:rStyle w:val="Hyperlink"/>
                <w:noProof/>
              </w:rPr>
              <w:t>Current treatment options for DLBCL</w:t>
            </w:r>
            <w:r w:rsidR="001561C1">
              <w:rPr>
                <w:noProof/>
                <w:webHidden/>
              </w:rPr>
              <w:tab/>
            </w:r>
            <w:r w:rsidR="001561C1">
              <w:rPr>
                <w:noProof/>
                <w:webHidden/>
              </w:rPr>
              <w:fldChar w:fldCharType="begin"/>
            </w:r>
            <w:r w:rsidR="001561C1">
              <w:rPr>
                <w:noProof/>
                <w:webHidden/>
              </w:rPr>
              <w:instrText xml:space="preserve"> PAGEREF _Toc175921911 \h </w:instrText>
            </w:r>
            <w:r w:rsidR="001561C1">
              <w:rPr>
                <w:noProof/>
                <w:webHidden/>
              </w:rPr>
            </w:r>
            <w:r w:rsidR="001561C1">
              <w:rPr>
                <w:noProof/>
                <w:webHidden/>
              </w:rPr>
              <w:fldChar w:fldCharType="separate"/>
            </w:r>
            <w:r w:rsidR="001561C1">
              <w:rPr>
                <w:noProof/>
                <w:webHidden/>
              </w:rPr>
              <w:t>9</w:t>
            </w:r>
            <w:r w:rsidR="001561C1">
              <w:rPr>
                <w:noProof/>
                <w:webHidden/>
              </w:rPr>
              <w:fldChar w:fldCharType="end"/>
            </w:r>
          </w:hyperlink>
        </w:p>
        <w:p w14:paraId="512E318F" w14:textId="59FA701A"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12" w:history="1">
            <w:r w:rsidR="001561C1" w:rsidRPr="00C35684">
              <w:rPr>
                <w:rStyle w:val="Hyperlink"/>
                <w:noProof/>
              </w:rPr>
              <w:t>Clinical rationale for polatuzumab vedotin use in DLBCL</w:t>
            </w:r>
            <w:r w:rsidR="001561C1">
              <w:rPr>
                <w:noProof/>
                <w:webHidden/>
              </w:rPr>
              <w:tab/>
            </w:r>
            <w:r w:rsidR="001561C1">
              <w:rPr>
                <w:noProof/>
                <w:webHidden/>
              </w:rPr>
              <w:fldChar w:fldCharType="begin"/>
            </w:r>
            <w:r w:rsidR="001561C1">
              <w:rPr>
                <w:noProof/>
                <w:webHidden/>
              </w:rPr>
              <w:instrText xml:space="preserve"> PAGEREF _Toc175921912 \h </w:instrText>
            </w:r>
            <w:r w:rsidR="001561C1">
              <w:rPr>
                <w:noProof/>
                <w:webHidden/>
              </w:rPr>
            </w:r>
            <w:r w:rsidR="001561C1">
              <w:rPr>
                <w:noProof/>
                <w:webHidden/>
              </w:rPr>
              <w:fldChar w:fldCharType="separate"/>
            </w:r>
            <w:r w:rsidR="001561C1">
              <w:rPr>
                <w:noProof/>
                <w:webHidden/>
              </w:rPr>
              <w:t>10</w:t>
            </w:r>
            <w:r w:rsidR="001561C1">
              <w:rPr>
                <w:noProof/>
                <w:webHidden/>
              </w:rPr>
              <w:fldChar w:fldCharType="end"/>
            </w:r>
          </w:hyperlink>
        </w:p>
        <w:p w14:paraId="74300A12" w14:textId="7C3CABD8" w:rsidR="001561C1" w:rsidRDefault="0003183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5921913" w:history="1">
            <w:r w:rsidR="001561C1" w:rsidRPr="00C35684">
              <w:rPr>
                <w:rStyle w:val="Hyperlink"/>
                <w:noProof/>
              </w:rPr>
              <w:t>Regulatory status</w:t>
            </w:r>
            <w:r w:rsidR="001561C1">
              <w:rPr>
                <w:noProof/>
                <w:webHidden/>
              </w:rPr>
              <w:tab/>
            </w:r>
            <w:r w:rsidR="001561C1">
              <w:rPr>
                <w:noProof/>
                <w:webHidden/>
              </w:rPr>
              <w:fldChar w:fldCharType="begin"/>
            </w:r>
            <w:r w:rsidR="001561C1">
              <w:rPr>
                <w:noProof/>
                <w:webHidden/>
              </w:rPr>
              <w:instrText xml:space="preserve"> PAGEREF _Toc175921913 \h </w:instrText>
            </w:r>
            <w:r w:rsidR="001561C1">
              <w:rPr>
                <w:noProof/>
                <w:webHidden/>
              </w:rPr>
            </w:r>
            <w:r w:rsidR="001561C1">
              <w:rPr>
                <w:noProof/>
                <w:webHidden/>
              </w:rPr>
              <w:fldChar w:fldCharType="separate"/>
            </w:r>
            <w:r w:rsidR="001561C1">
              <w:rPr>
                <w:noProof/>
                <w:webHidden/>
              </w:rPr>
              <w:t>10</w:t>
            </w:r>
            <w:r w:rsidR="001561C1">
              <w:rPr>
                <w:noProof/>
                <w:webHidden/>
              </w:rPr>
              <w:fldChar w:fldCharType="end"/>
            </w:r>
          </w:hyperlink>
        </w:p>
        <w:p w14:paraId="71FF4D8C" w14:textId="037DC755"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14" w:history="1">
            <w:r w:rsidR="001561C1" w:rsidRPr="00C35684">
              <w:rPr>
                <w:rStyle w:val="Hyperlink"/>
                <w:noProof/>
              </w:rPr>
              <w:t>Australian regulatory status</w:t>
            </w:r>
            <w:r w:rsidR="001561C1">
              <w:rPr>
                <w:noProof/>
                <w:webHidden/>
              </w:rPr>
              <w:tab/>
            </w:r>
            <w:r w:rsidR="001561C1">
              <w:rPr>
                <w:noProof/>
                <w:webHidden/>
              </w:rPr>
              <w:fldChar w:fldCharType="begin"/>
            </w:r>
            <w:r w:rsidR="001561C1">
              <w:rPr>
                <w:noProof/>
                <w:webHidden/>
              </w:rPr>
              <w:instrText xml:space="preserve"> PAGEREF _Toc175921914 \h </w:instrText>
            </w:r>
            <w:r w:rsidR="001561C1">
              <w:rPr>
                <w:noProof/>
                <w:webHidden/>
              </w:rPr>
            </w:r>
            <w:r w:rsidR="001561C1">
              <w:rPr>
                <w:noProof/>
                <w:webHidden/>
              </w:rPr>
              <w:fldChar w:fldCharType="separate"/>
            </w:r>
            <w:r w:rsidR="001561C1">
              <w:rPr>
                <w:noProof/>
                <w:webHidden/>
              </w:rPr>
              <w:t>10</w:t>
            </w:r>
            <w:r w:rsidR="001561C1">
              <w:rPr>
                <w:noProof/>
                <w:webHidden/>
              </w:rPr>
              <w:fldChar w:fldCharType="end"/>
            </w:r>
          </w:hyperlink>
        </w:p>
        <w:p w14:paraId="6A4EDB2F" w14:textId="3A69E6A9"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15" w:history="1">
            <w:r w:rsidR="001561C1" w:rsidRPr="00C35684">
              <w:rPr>
                <w:rStyle w:val="Hyperlink"/>
                <w:noProof/>
              </w:rPr>
              <w:t>International regulatory status</w:t>
            </w:r>
            <w:r w:rsidR="001561C1">
              <w:rPr>
                <w:noProof/>
                <w:webHidden/>
              </w:rPr>
              <w:tab/>
            </w:r>
            <w:r w:rsidR="001561C1">
              <w:rPr>
                <w:noProof/>
                <w:webHidden/>
              </w:rPr>
              <w:fldChar w:fldCharType="begin"/>
            </w:r>
            <w:r w:rsidR="001561C1">
              <w:rPr>
                <w:noProof/>
                <w:webHidden/>
              </w:rPr>
              <w:instrText xml:space="preserve"> PAGEREF _Toc175921915 \h </w:instrText>
            </w:r>
            <w:r w:rsidR="001561C1">
              <w:rPr>
                <w:noProof/>
                <w:webHidden/>
              </w:rPr>
            </w:r>
            <w:r w:rsidR="001561C1">
              <w:rPr>
                <w:noProof/>
                <w:webHidden/>
              </w:rPr>
              <w:fldChar w:fldCharType="separate"/>
            </w:r>
            <w:r w:rsidR="001561C1">
              <w:rPr>
                <w:noProof/>
                <w:webHidden/>
              </w:rPr>
              <w:t>11</w:t>
            </w:r>
            <w:r w:rsidR="001561C1">
              <w:rPr>
                <w:noProof/>
                <w:webHidden/>
              </w:rPr>
              <w:fldChar w:fldCharType="end"/>
            </w:r>
          </w:hyperlink>
        </w:p>
        <w:p w14:paraId="6E3B867E" w14:textId="6CF19FA6" w:rsidR="001561C1" w:rsidRDefault="0003183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5921916" w:history="1">
            <w:r w:rsidR="001561C1" w:rsidRPr="00C35684">
              <w:rPr>
                <w:rStyle w:val="Hyperlink"/>
                <w:noProof/>
              </w:rPr>
              <w:t>Registration timeline</w:t>
            </w:r>
            <w:r w:rsidR="001561C1">
              <w:rPr>
                <w:noProof/>
                <w:webHidden/>
              </w:rPr>
              <w:tab/>
            </w:r>
            <w:r w:rsidR="001561C1">
              <w:rPr>
                <w:noProof/>
                <w:webHidden/>
              </w:rPr>
              <w:fldChar w:fldCharType="begin"/>
            </w:r>
            <w:r w:rsidR="001561C1">
              <w:rPr>
                <w:noProof/>
                <w:webHidden/>
              </w:rPr>
              <w:instrText xml:space="preserve"> PAGEREF _Toc175921916 \h </w:instrText>
            </w:r>
            <w:r w:rsidR="001561C1">
              <w:rPr>
                <w:noProof/>
                <w:webHidden/>
              </w:rPr>
            </w:r>
            <w:r w:rsidR="001561C1">
              <w:rPr>
                <w:noProof/>
                <w:webHidden/>
              </w:rPr>
              <w:fldChar w:fldCharType="separate"/>
            </w:r>
            <w:r w:rsidR="001561C1">
              <w:rPr>
                <w:noProof/>
                <w:webHidden/>
              </w:rPr>
              <w:t>11</w:t>
            </w:r>
            <w:r w:rsidR="001561C1">
              <w:rPr>
                <w:noProof/>
                <w:webHidden/>
              </w:rPr>
              <w:fldChar w:fldCharType="end"/>
            </w:r>
          </w:hyperlink>
        </w:p>
        <w:p w14:paraId="7CA3899A" w14:textId="00904A22" w:rsidR="001561C1" w:rsidRDefault="0003183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5921917" w:history="1">
            <w:r w:rsidR="001561C1" w:rsidRPr="00C35684">
              <w:rPr>
                <w:rStyle w:val="Hyperlink"/>
                <w:noProof/>
              </w:rPr>
              <w:t>Submission overview and risk/benefit assessment</w:t>
            </w:r>
            <w:r w:rsidR="001561C1">
              <w:rPr>
                <w:noProof/>
                <w:webHidden/>
              </w:rPr>
              <w:tab/>
            </w:r>
            <w:r w:rsidR="001561C1">
              <w:rPr>
                <w:noProof/>
                <w:webHidden/>
              </w:rPr>
              <w:fldChar w:fldCharType="begin"/>
            </w:r>
            <w:r w:rsidR="001561C1">
              <w:rPr>
                <w:noProof/>
                <w:webHidden/>
              </w:rPr>
              <w:instrText xml:space="preserve"> PAGEREF _Toc175921917 \h </w:instrText>
            </w:r>
            <w:r w:rsidR="001561C1">
              <w:rPr>
                <w:noProof/>
                <w:webHidden/>
              </w:rPr>
            </w:r>
            <w:r w:rsidR="001561C1">
              <w:rPr>
                <w:noProof/>
                <w:webHidden/>
              </w:rPr>
              <w:fldChar w:fldCharType="separate"/>
            </w:r>
            <w:r w:rsidR="001561C1">
              <w:rPr>
                <w:noProof/>
                <w:webHidden/>
              </w:rPr>
              <w:t>11</w:t>
            </w:r>
            <w:r w:rsidR="001561C1">
              <w:rPr>
                <w:noProof/>
                <w:webHidden/>
              </w:rPr>
              <w:fldChar w:fldCharType="end"/>
            </w:r>
          </w:hyperlink>
        </w:p>
        <w:p w14:paraId="28E2E6A3" w14:textId="35D74653" w:rsidR="001561C1" w:rsidRDefault="0003183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5921918" w:history="1">
            <w:r w:rsidR="001561C1" w:rsidRPr="00C35684">
              <w:rPr>
                <w:rStyle w:val="Hyperlink"/>
                <w:noProof/>
              </w:rPr>
              <w:t>Clinical evaluation summary</w:t>
            </w:r>
            <w:r w:rsidR="001561C1">
              <w:rPr>
                <w:noProof/>
                <w:webHidden/>
              </w:rPr>
              <w:tab/>
            </w:r>
            <w:r w:rsidR="001561C1">
              <w:rPr>
                <w:noProof/>
                <w:webHidden/>
              </w:rPr>
              <w:fldChar w:fldCharType="begin"/>
            </w:r>
            <w:r w:rsidR="001561C1">
              <w:rPr>
                <w:noProof/>
                <w:webHidden/>
              </w:rPr>
              <w:instrText xml:space="preserve"> PAGEREF _Toc175921918 \h </w:instrText>
            </w:r>
            <w:r w:rsidR="001561C1">
              <w:rPr>
                <w:noProof/>
                <w:webHidden/>
              </w:rPr>
            </w:r>
            <w:r w:rsidR="001561C1">
              <w:rPr>
                <w:noProof/>
                <w:webHidden/>
              </w:rPr>
              <w:fldChar w:fldCharType="separate"/>
            </w:r>
            <w:r w:rsidR="001561C1">
              <w:rPr>
                <w:noProof/>
                <w:webHidden/>
              </w:rPr>
              <w:t>11</w:t>
            </w:r>
            <w:r w:rsidR="001561C1">
              <w:rPr>
                <w:noProof/>
                <w:webHidden/>
              </w:rPr>
              <w:fldChar w:fldCharType="end"/>
            </w:r>
          </w:hyperlink>
        </w:p>
        <w:p w14:paraId="23B6C146" w14:textId="3569929E"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19" w:history="1">
            <w:r w:rsidR="001561C1" w:rsidRPr="00C35684">
              <w:rPr>
                <w:rStyle w:val="Hyperlink"/>
                <w:noProof/>
              </w:rPr>
              <w:t>Pharmacology</w:t>
            </w:r>
            <w:r w:rsidR="001561C1">
              <w:rPr>
                <w:noProof/>
                <w:webHidden/>
              </w:rPr>
              <w:tab/>
            </w:r>
            <w:r w:rsidR="001561C1">
              <w:rPr>
                <w:noProof/>
                <w:webHidden/>
              </w:rPr>
              <w:fldChar w:fldCharType="begin"/>
            </w:r>
            <w:r w:rsidR="001561C1">
              <w:rPr>
                <w:noProof/>
                <w:webHidden/>
              </w:rPr>
              <w:instrText xml:space="preserve"> PAGEREF _Toc175921919 \h </w:instrText>
            </w:r>
            <w:r w:rsidR="001561C1">
              <w:rPr>
                <w:noProof/>
                <w:webHidden/>
              </w:rPr>
            </w:r>
            <w:r w:rsidR="001561C1">
              <w:rPr>
                <w:noProof/>
                <w:webHidden/>
              </w:rPr>
              <w:fldChar w:fldCharType="separate"/>
            </w:r>
            <w:r w:rsidR="001561C1">
              <w:rPr>
                <w:noProof/>
                <w:webHidden/>
              </w:rPr>
              <w:t>11</w:t>
            </w:r>
            <w:r w:rsidR="001561C1">
              <w:rPr>
                <w:noProof/>
                <w:webHidden/>
              </w:rPr>
              <w:fldChar w:fldCharType="end"/>
            </w:r>
          </w:hyperlink>
        </w:p>
        <w:p w14:paraId="35216DE7" w14:textId="72DAB046"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20" w:history="1">
            <w:r w:rsidR="001561C1" w:rsidRPr="00C35684">
              <w:rPr>
                <w:rStyle w:val="Hyperlink"/>
                <w:noProof/>
              </w:rPr>
              <w:t>Efficacy</w:t>
            </w:r>
            <w:r w:rsidR="001561C1">
              <w:rPr>
                <w:noProof/>
                <w:webHidden/>
              </w:rPr>
              <w:tab/>
            </w:r>
            <w:r w:rsidR="001561C1">
              <w:rPr>
                <w:noProof/>
                <w:webHidden/>
              </w:rPr>
              <w:fldChar w:fldCharType="begin"/>
            </w:r>
            <w:r w:rsidR="001561C1">
              <w:rPr>
                <w:noProof/>
                <w:webHidden/>
              </w:rPr>
              <w:instrText xml:space="preserve"> PAGEREF _Toc175921920 \h </w:instrText>
            </w:r>
            <w:r w:rsidR="001561C1">
              <w:rPr>
                <w:noProof/>
                <w:webHidden/>
              </w:rPr>
            </w:r>
            <w:r w:rsidR="001561C1">
              <w:rPr>
                <w:noProof/>
                <w:webHidden/>
              </w:rPr>
              <w:fldChar w:fldCharType="separate"/>
            </w:r>
            <w:r w:rsidR="001561C1">
              <w:rPr>
                <w:noProof/>
                <w:webHidden/>
              </w:rPr>
              <w:t>12</w:t>
            </w:r>
            <w:r w:rsidR="001561C1">
              <w:rPr>
                <w:noProof/>
                <w:webHidden/>
              </w:rPr>
              <w:fldChar w:fldCharType="end"/>
            </w:r>
          </w:hyperlink>
        </w:p>
        <w:p w14:paraId="5E81F7BB" w14:textId="4403E577"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21" w:history="1">
            <w:r w:rsidR="001561C1" w:rsidRPr="00C35684">
              <w:rPr>
                <w:rStyle w:val="Hyperlink"/>
                <w:noProof/>
              </w:rPr>
              <w:t>Safety</w:t>
            </w:r>
            <w:r w:rsidR="001561C1">
              <w:rPr>
                <w:noProof/>
                <w:webHidden/>
              </w:rPr>
              <w:tab/>
            </w:r>
            <w:r w:rsidR="001561C1">
              <w:rPr>
                <w:noProof/>
                <w:webHidden/>
              </w:rPr>
              <w:fldChar w:fldCharType="begin"/>
            </w:r>
            <w:r w:rsidR="001561C1">
              <w:rPr>
                <w:noProof/>
                <w:webHidden/>
              </w:rPr>
              <w:instrText xml:space="preserve"> PAGEREF _Toc175921921 \h </w:instrText>
            </w:r>
            <w:r w:rsidR="001561C1">
              <w:rPr>
                <w:noProof/>
                <w:webHidden/>
              </w:rPr>
            </w:r>
            <w:r w:rsidR="001561C1">
              <w:rPr>
                <w:noProof/>
                <w:webHidden/>
              </w:rPr>
              <w:fldChar w:fldCharType="separate"/>
            </w:r>
            <w:r w:rsidR="001561C1">
              <w:rPr>
                <w:noProof/>
                <w:webHidden/>
              </w:rPr>
              <w:t>25</w:t>
            </w:r>
            <w:r w:rsidR="001561C1">
              <w:rPr>
                <w:noProof/>
                <w:webHidden/>
              </w:rPr>
              <w:fldChar w:fldCharType="end"/>
            </w:r>
          </w:hyperlink>
        </w:p>
        <w:p w14:paraId="3B099F58" w14:textId="532C6C9F" w:rsidR="001561C1" w:rsidRDefault="0003183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5921922" w:history="1">
            <w:r w:rsidR="001561C1" w:rsidRPr="00C35684">
              <w:rPr>
                <w:rStyle w:val="Hyperlink"/>
                <w:noProof/>
              </w:rPr>
              <w:t>Risk Management Plan evaluation summary</w:t>
            </w:r>
            <w:r w:rsidR="001561C1">
              <w:rPr>
                <w:noProof/>
                <w:webHidden/>
              </w:rPr>
              <w:tab/>
            </w:r>
            <w:r w:rsidR="001561C1">
              <w:rPr>
                <w:noProof/>
                <w:webHidden/>
              </w:rPr>
              <w:fldChar w:fldCharType="begin"/>
            </w:r>
            <w:r w:rsidR="001561C1">
              <w:rPr>
                <w:noProof/>
                <w:webHidden/>
              </w:rPr>
              <w:instrText xml:space="preserve"> PAGEREF _Toc175921922 \h </w:instrText>
            </w:r>
            <w:r w:rsidR="001561C1">
              <w:rPr>
                <w:noProof/>
                <w:webHidden/>
              </w:rPr>
            </w:r>
            <w:r w:rsidR="001561C1">
              <w:rPr>
                <w:noProof/>
                <w:webHidden/>
              </w:rPr>
              <w:fldChar w:fldCharType="separate"/>
            </w:r>
            <w:r w:rsidR="001561C1">
              <w:rPr>
                <w:noProof/>
                <w:webHidden/>
              </w:rPr>
              <w:t>28</w:t>
            </w:r>
            <w:r w:rsidR="001561C1">
              <w:rPr>
                <w:noProof/>
                <w:webHidden/>
              </w:rPr>
              <w:fldChar w:fldCharType="end"/>
            </w:r>
          </w:hyperlink>
        </w:p>
        <w:p w14:paraId="7B32C7B6" w14:textId="42BA29E1" w:rsidR="001561C1" w:rsidRDefault="0003183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5921923" w:history="1">
            <w:r w:rsidR="001561C1" w:rsidRPr="00C35684">
              <w:rPr>
                <w:rStyle w:val="Hyperlink"/>
                <w:noProof/>
              </w:rPr>
              <w:t>Risk-benefit analysis</w:t>
            </w:r>
            <w:r w:rsidR="001561C1">
              <w:rPr>
                <w:noProof/>
                <w:webHidden/>
              </w:rPr>
              <w:tab/>
            </w:r>
            <w:r w:rsidR="001561C1">
              <w:rPr>
                <w:noProof/>
                <w:webHidden/>
              </w:rPr>
              <w:fldChar w:fldCharType="begin"/>
            </w:r>
            <w:r w:rsidR="001561C1">
              <w:rPr>
                <w:noProof/>
                <w:webHidden/>
              </w:rPr>
              <w:instrText xml:space="preserve"> PAGEREF _Toc175921923 \h </w:instrText>
            </w:r>
            <w:r w:rsidR="001561C1">
              <w:rPr>
                <w:noProof/>
                <w:webHidden/>
              </w:rPr>
            </w:r>
            <w:r w:rsidR="001561C1">
              <w:rPr>
                <w:noProof/>
                <w:webHidden/>
              </w:rPr>
              <w:fldChar w:fldCharType="separate"/>
            </w:r>
            <w:r w:rsidR="001561C1">
              <w:rPr>
                <w:noProof/>
                <w:webHidden/>
              </w:rPr>
              <w:t>28</w:t>
            </w:r>
            <w:r w:rsidR="001561C1">
              <w:rPr>
                <w:noProof/>
                <w:webHidden/>
              </w:rPr>
              <w:fldChar w:fldCharType="end"/>
            </w:r>
          </w:hyperlink>
        </w:p>
        <w:p w14:paraId="66247BAA" w14:textId="79CCFB69"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24" w:history="1">
            <w:r w:rsidR="001561C1" w:rsidRPr="00C35684">
              <w:rPr>
                <w:rStyle w:val="Hyperlink"/>
                <w:noProof/>
              </w:rPr>
              <w:t>Recommendation following the clinical evaluation</w:t>
            </w:r>
            <w:r w:rsidR="001561C1">
              <w:rPr>
                <w:noProof/>
                <w:webHidden/>
              </w:rPr>
              <w:tab/>
            </w:r>
            <w:r w:rsidR="001561C1">
              <w:rPr>
                <w:noProof/>
                <w:webHidden/>
              </w:rPr>
              <w:fldChar w:fldCharType="begin"/>
            </w:r>
            <w:r w:rsidR="001561C1">
              <w:rPr>
                <w:noProof/>
                <w:webHidden/>
              </w:rPr>
              <w:instrText xml:space="preserve"> PAGEREF _Toc175921924 \h </w:instrText>
            </w:r>
            <w:r w:rsidR="001561C1">
              <w:rPr>
                <w:noProof/>
                <w:webHidden/>
              </w:rPr>
            </w:r>
            <w:r w:rsidR="001561C1">
              <w:rPr>
                <w:noProof/>
                <w:webHidden/>
              </w:rPr>
              <w:fldChar w:fldCharType="separate"/>
            </w:r>
            <w:r w:rsidR="001561C1">
              <w:rPr>
                <w:noProof/>
                <w:webHidden/>
              </w:rPr>
              <w:t>30</w:t>
            </w:r>
            <w:r w:rsidR="001561C1">
              <w:rPr>
                <w:noProof/>
                <w:webHidden/>
              </w:rPr>
              <w:fldChar w:fldCharType="end"/>
            </w:r>
          </w:hyperlink>
        </w:p>
        <w:p w14:paraId="20A90DFD" w14:textId="39308F2A"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25" w:history="1">
            <w:r w:rsidR="001561C1" w:rsidRPr="00C35684">
              <w:rPr>
                <w:rStyle w:val="Hyperlink"/>
                <w:noProof/>
              </w:rPr>
              <w:t>Advisory Committee considerations</w:t>
            </w:r>
            <w:r w:rsidR="001561C1">
              <w:rPr>
                <w:noProof/>
                <w:webHidden/>
              </w:rPr>
              <w:tab/>
            </w:r>
            <w:r w:rsidR="001561C1">
              <w:rPr>
                <w:noProof/>
                <w:webHidden/>
              </w:rPr>
              <w:fldChar w:fldCharType="begin"/>
            </w:r>
            <w:r w:rsidR="001561C1">
              <w:rPr>
                <w:noProof/>
                <w:webHidden/>
              </w:rPr>
              <w:instrText xml:space="preserve"> PAGEREF _Toc175921925 \h </w:instrText>
            </w:r>
            <w:r w:rsidR="001561C1">
              <w:rPr>
                <w:noProof/>
                <w:webHidden/>
              </w:rPr>
            </w:r>
            <w:r w:rsidR="001561C1">
              <w:rPr>
                <w:noProof/>
                <w:webHidden/>
              </w:rPr>
              <w:fldChar w:fldCharType="separate"/>
            </w:r>
            <w:r w:rsidR="001561C1">
              <w:rPr>
                <w:noProof/>
                <w:webHidden/>
              </w:rPr>
              <w:t>30</w:t>
            </w:r>
            <w:r w:rsidR="001561C1">
              <w:rPr>
                <w:noProof/>
                <w:webHidden/>
              </w:rPr>
              <w:fldChar w:fldCharType="end"/>
            </w:r>
          </w:hyperlink>
        </w:p>
        <w:p w14:paraId="108A6599" w14:textId="302AC3A0" w:rsidR="001561C1" w:rsidRDefault="0003183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5921926" w:history="1">
            <w:r w:rsidR="001561C1" w:rsidRPr="00C35684">
              <w:rPr>
                <w:rStyle w:val="Hyperlink"/>
                <w:noProof/>
              </w:rPr>
              <w:t>Outcome</w:t>
            </w:r>
            <w:r w:rsidR="001561C1">
              <w:rPr>
                <w:noProof/>
                <w:webHidden/>
              </w:rPr>
              <w:tab/>
            </w:r>
            <w:r w:rsidR="001561C1">
              <w:rPr>
                <w:noProof/>
                <w:webHidden/>
              </w:rPr>
              <w:fldChar w:fldCharType="begin"/>
            </w:r>
            <w:r w:rsidR="001561C1">
              <w:rPr>
                <w:noProof/>
                <w:webHidden/>
              </w:rPr>
              <w:instrText xml:space="preserve"> PAGEREF _Toc175921926 \h </w:instrText>
            </w:r>
            <w:r w:rsidR="001561C1">
              <w:rPr>
                <w:noProof/>
                <w:webHidden/>
              </w:rPr>
            </w:r>
            <w:r w:rsidR="001561C1">
              <w:rPr>
                <w:noProof/>
                <w:webHidden/>
              </w:rPr>
              <w:fldChar w:fldCharType="separate"/>
            </w:r>
            <w:r w:rsidR="001561C1">
              <w:rPr>
                <w:noProof/>
                <w:webHidden/>
              </w:rPr>
              <w:t>31</w:t>
            </w:r>
            <w:r w:rsidR="001561C1">
              <w:rPr>
                <w:noProof/>
                <w:webHidden/>
              </w:rPr>
              <w:fldChar w:fldCharType="end"/>
            </w:r>
          </w:hyperlink>
        </w:p>
        <w:p w14:paraId="28686B63" w14:textId="0BE0FD78" w:rsidR="001561C1" w:rsidRDefault="0003183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5921927" w:history="1">
            <w:r w:rsidR="001561C1" w:rsidRPr="00C35684">
              <w:rPr>
                <w:rStyle w:val="Hyperlink"/>
                <w:noProof/>
              </w:rPr>
              <w:t>Attachment 1. Product Information</w:t>
            </w:r>
            <w:r w:rsidR="001561C1">
              <w:rPr>
                <w:noProof/>
                <w:webHidden/>
              </w:rPr>
              <w:tab/>
            </w:r>
            <w:r w:rsidR="001561C1">
              <w:rPr>
                <w:noProof/>
                <w:webHidden/>
              </w:rPr>
              <w:fldChar w:fldCharType="begin"/>
            </w:r>
            <w:r w:rsidR="001561C1">
              <w:rPr>
                <w:noProof/>
                <w:webHidden/>
              </w:rPr>
              <w:instrText xml:space="preserve"> PAGEREF _Toc175921927 \h </w:instrText>
            </w:r>
            <w:r w:rsidR="001561C1">
              <w:rPr>
                <w:noProof/>
                <w:webHidden/>
              </w:rPr>
            </w:r>
            <w:r w:rsidR="001561C1">
              <w:rPr>
                <w:noProof/>
                <w:webHidden/>
              </w:rPr>
              <w:fldChar w:fldCharType="separate"/>
            </w:r>
            <w:r w:rsidR="001561C1">
              <w:rPr>
                <w:noProof/>
                <w:webHidden/>
              </w:rPr>
              <w:t>32</w:t>
            </w:r>
            <w:r w:rsidR="001561C1">
              <w:rPr>
                <w:noProof/>
                <w:webHidden/>
              </w:rPr>
              <w:fldChar w:fldCharType="end"/>
            </w:r>
          </w:hyperlink>
        </w:p>
        <w:p w14:paraId="0000002D" w14:textId="48EC6F69" w:rsidR="008D3ED4" w:rsidRDefault="00031835">
          <w:r>
            <w:fldChar w:fldCharType="end"/>
          </w:r>
        </w:p>
      </w:sdtContent>
    </w:sdt>
    <w:p w14:paraId="0000002E" w14:textId="77777777" w:rsidR="008D3ED4" w:rsidRDefault="00031835">
      <w:r>
        <w:br w:type="page"/>
      </w:r>
    </w:p>
    <w:p w14:paraId="0000002F" w14:textId="77777777" w:rsidR="008D3ED4" w:rsidRDefault="00031835">
      <w:pPr>
        <w:pStyle w:val="Heading2"/>
      </w:pPr>
      <w:bookmarkStart w:id="0" w:name="_Toc175921907"/>
      <w:r>
        <w:lastRenderedPageBreak/>
        <w:t>List of abbreviations</w:t>
      </w:r>
      <w:bookmarkEnd w:id="0"/>
    </w:p>
    <w:tbl>
      <w:tblPr>
        <w:tblStyle w:val="a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4"/>
        <w:gridCol w:w="6886"/>
      </w:tblGrid>
      <w:tr w:rsidR="008D3ED4" w14:paraId="22FD04F9" w14:textId="77777777" w:rsidTr="00AA7777">
        <w:trPr>
          <w:cnfStyle w:val="100000000000" w:firstRow="1" w:lastRow="0" w:firstColumn="0" w:lastColumn="0" w:oddVBand="0" w:evenVBand="0" w:oddHBand="0" w:evenHBand="0" w:firstRowFirstColumn="0" w:firstRowLastColumn="0" w:lastRowFirstColumn="0" w:lastRowLastColumn="0"/>
          <w:cantSplit/>
          <w:trHeight w:val="447"/>
          <w:tblHeader/>
        </w:trPr>
        <w:tc>
          <w:tcPr>
            <w:cnfStyle w:val="001000000000" w:firstRow="0" w:lastRow="0" w:firstColumn="1" w:lastColumn="0" w:oddVBand="0" w:evenVBand="0" w:oddHBand="0" w:evenHBand="0" w:firstRowFirstColumn="0" w:firstRowLastColumn="0" w:lastRowFirstColumn="0" w:lastRowLastColumn="0"/>
            <w:tcW w:w="2174" w:type="dxa"/>
            <w:shd w:val="clear" w:color="auto" w:fill="DEEAF6" w:themeFill="accent5" w:themeFillTint="33"/>
          </w:tcPr>
          <w:p w14:paraId="00000030" w14:textId="0BFB590B" w:rsidR="008D3ED4" w:rsidRPr="00AA7777" w:rsidRDefault="00AA7777" w:rsidP="00AA7777">
            <w:pPr>
              <w:ind w:left="0"/>
              <w:rPr>
                <w:rFonts w:ascii="Cambria" w:hAnsi="Cambria"/>
                <w:color w:val="002060"/>
                <w:sz w:val="20"/>
                <w:szCs w:val="20"/>
              </w:rPr>
            </w:pPr>
            <w:r w:rsidRPr="00AA7777">
              <w:rPr>
                <w:rFonts w:ascii="Cambria" w:eastAsia="Times New Roman" w:hAnsi="Cambria" w:cs="Times New Roman"/>
                <w:bCs/>
                <w:color w:val="001871"/>
                <w:sz w:val="20"/>
                <w:szCs w:val="20"/>
              </w:rPr>
              <w:t>Abbreviation</w:t>
            </w:r>
          </w:p>
        </w:tc>
        <w:tc>
          <w:tcPr>
            <w:tcW w:w="6886" w:type="dxa"/>
            <w:shd w:val="clear" w:color="auto" w:fill="DEEAF6" w:themeFill="accent5" w:themeFillTint="33"/>
          </w:tcPr>
          <w:p w14:paraId="00000031" w14:textId="77777777" w:rsidR="008D3ED4" w:rsidRPr="00AA7777" w:rsidRDefault="00031835" w:rsidP="00AA7777">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Cs/>
                <w:color w:val="001871"/>
                <w:sz w:val="20"/>
                <w:szCs w:val="20"/>
              </w:rPr>
            </w:pPr>
            <w:r w:rsidRPr="00AA7777">
              <w:rPr>
                <w:rFonts w:ascii="Cambria" w:eastAsia="Times New Roman" w:hAnsi="Cambria" w:cs="Times New Roman"/>
                <w:bCs/>
                <w:color w:val="001871"/>
                <w:sz w:val="20"/>
                <w:szCs w:val="20"/>
              </w:rPr>
              <w:t>Meaning</w:t>
            </w:r>
          </w:p>
        </w:tc>
      </w:tr>
      <w:tr w:rsidR="008D3ED4" w14:paraId="5FB4957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2" w14:textId="77777777" w:rsidR="008D3ED4" w:rsidRPr="00AA7777" w:rsidRDefault="00031835" w:rsidP="00AA7777">
            <w:pPr>
              <w:rPr>
                <w:sz w:val="20"/>
                <w:szCs w:val="20"/>
              </w:rPr>
            </w:pPr>
            <w:r w:rsidRPr="00AA7777">
              <w:rPr>
                <w:sz w:val="20"/>
                <w:szCs w:val="20"/>
              </w:rPr>
              <w:t>ABC</w:t>
            </w:r>
          </w:p>
        </w:tc>
        <w:tc>
          <w:tcPr>
            <w:tcW w:w="6886" w:type="dxa"/>
          </w:tcPr>
          <w:p w14:paraId="0000003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Activated B-cell subtype</w:t>
            </w:r>
          </w:p>
        </w:tc>
      </w:tr>
      <w:tr w:rsidR="008D3ED4" w14:paraId="2DD66A8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4" w14:textId="77777777" w:rsidR="008D3ED4" w:rsidRPr="00AA7777" w:rsidRDefault="00031835" w:rsidP="00AA7777">
            <w:pPr>
              <w:rPr>
                <w:sz w:val="20"/>
                <w:szCs w:val="20"/>
              </w:rPr>
            </w:pPr>
            <w:r w:rsidRPr="00AA7777">
              <w:rPr>
                <w:sz w:val="20"/>
                <w:szCs w:val="20"/>
              </w:rPr>
              <w:t>ADA</w:t>
            </w:r>
          </w:p>
        </w:tc>
        <w:tc>
          <w:tcPr>
            <w:tcW w:w="6886" w:type="dxa"/>
          </w:tcPr>
          <w:p w14:paraId="0000003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Anti-drug antibody</w:t>
            </w:r>
          </w:p>
        </w:tc>
      </w:tr>
      <w:tr w:rsidR="008D3ED4" w14:paraId="15C22373"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6" w14:textId="77777777" w:rsidR="008D3ED4" w:rsidRPr="00AA7777" w:rsidRDefault="00031835" w:rsidP="00AA7777">
            <w:pPr>
              <w:rPr>
                <w:sz w:val="20"/>
                <w:szCs w:val="20"/>
              </w:rPr>
            </w:pPr>
            <w:r w:rsidRPr="00AA7777">
              <w:rPr>
                <w:sz w:val="20"/>
                <w:szCs w:val="20"/>
              </w:rPr>
              <w:t>ADC</w:t>
            </w:r>
          </w:p>
        </w:tc>
        <w:tc>
          <w:tcPr>
            <w:tcW w:w="6886" w:type="dxa"/>
          </w:tcPr>
          <w:p w14:paraId="0000003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Antibody-drug conjugate</w:t>
            </w:r>
          </w:p>
        </w:tc>
      </w:tr>
      <w:tr w:rsidR="008D3ED4" w14:paraId="53D6BB2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8" w14:textId="77777777" w:rsidR="008D3ED4" w:rsidRPr="00AA7777" w:rsidRDefault="00031835" w:rsidP="00AA7777">
            <w:pPr>
              <w:rPr>
                <w:sz w:val="20"/>
                <w:szCs w:val="20"/>
              </w:rPr>
            </w:pPr>
            <w:r w:rsidRPr="00AA7777">
              <w:rPr>
                <w:sz w:val="20"/>
                <w:szCs w:val="20"/>
              </w:rPr>
              <w:t>AE</w:t>
            </w:r>
          </w:p>
        </w:tc>
        <w:tc>
          <w:tcPr>
            <w:tcW w:w="6886" w:type="dxa"/>
          </w:tcPr>
          <w:p w14:paraId="0000003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Adverse Event</w:t>
            </w:r>
            <w:r w:rsidRPr="00AA7777">
              <w:rPr>
                <w:sz w:val="20"/>
                <w:szCs w:val="20"/>
              </w:rPr>
              <w:tab/>
            </w:r>
          </w:p>
        </w:tc>
      </w:tr>
      <w:tr w:rsidR="008D3ED4" w14:paraId="6FD6D933"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A" w14:textId="77777777" w:rsidR="008D3ED4" w:rsidRPr="00AA7777" w:rsidRDefault="00031835" w:rsidP="00AA7777">
            <w:pPr>
              <w:rPr>
                <w:sz w:val="20"/>
                <w:szCs w:val="20"/>
              </w:rPr>
            </w:pPr>
            <w:proofErr w:type="spellStart"/>
            <w:r w:rsidRPr="00AA7777">
              <w:rPr>
                <w:sz w:val="20"/>
                <w:szCs w:val="20"/>
              </w:rPr>
              <w:t>AlkP</w:t>
            </w:r>
            <w:proofErr w:type="spellEnd"/>
          </w:p>
        </w:tc>
        <w:tc>
          <w:tcPr>
            <w:tcW w:w="6886" w:type="dxa"/>
          </w:tcPr>
          <w:p w14:paraId="0000003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Alkaline Phosphatase</w:t>
            </w:r>
          </w:p>
        </w:tc>
      </w:tr>
      <w:tr w:rsidR="008D3ED4" w14:paraId="20577A6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C" w14:textId="77777777" w:rsidR="008D3ED4" w:rsidRPr="00AA7777" w:rsidRDefault="00031835" w:rsidP="00AA7777">
            <w:pPr>
              <w:rPr>
                <w:sz w:val="20"/>
                <w:szCs w:val="20"/>
              </w:rPr>
            </w:pPr>
            <w:r w:rsidRPr="00AA7777">
              <w:rPr>
                <w:sz w:val="20"/>
                <w:szCs w:val="20"/>
              </w:rPr>
              <w:t>ALT</w:t>
            </w:r>
          </w:p>
        </w:tc>
        <w:tc>
          <w:tcPr>
            <w:tcW w:w="6886" w:type="dxa"/>
          </w:tcPr>
          <w:p w14:paraId="0000003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Alanine Transaminase</w:t>
            </w:r>
          </w:p>
        </w:tc>
      </w:tr>
      <w:tr w:rsidR="008D3ED4" w14:paraId="56FFAB7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3E" w14:textId="77777777" w:rsidR="008D3ED4" w:rsidRPr="00AA7777" w:rsidRDefault="00031835" w:rsidP="00AA7777">
            <w:pPr>
              <w:rPr>
                <w:sz w:val="20"/>
                <w:szCs w:val="20"/>
              </w:rPr>
            </w:pPr>
            <w:r w:rsidRPr="00AA7777">
              <w:rPr>
                <w:sz w:val="20"/>
                <w:szCs w:val="20"/>
              </w:rPr>
              <w:t>ANC</w:t>
            </w:r>
          </w:p>
        </w:tc>
        <w:tc>
          <w:tcPr>
            <w:tcW w:w="6886" w:type="dxa"/>
          </w:tcPr>
          <w:p w14:paraId="0000003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Absolute neutrophil count</w:t>
            </w:r>
          </w:p>
        </w:tc>
      </w:tr>
      <w:tr w:rsidR="008D3ED4" w14:paraId="2960E8B7"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0" w14:textId="77777777" w:rsidR="008D3ED4" w:rsidRPr="00AA7777" w:rsidRDefault="00031835" w:rsidP="00AA7777">
            <w:pPr>
              <w:rPr>
                <w:sz w:val="20"/>
                <w:szCs w:val="20"/>
              </w:rPr>
            </w:pPr>
            <w:r w:rsidRPr="00AA7777">
              <w:rPr>
                <w:sz w:val="20"/>
                <w:szCs w:val="20"/>
              </w:rPr>
              <w:t>ASCT</w:t>
            </w:r>
          </w:p>
        </w:tc>
        <w:tc>
          <w:tcPr>
            <w:tcW w:w="6886" w:type="dxa"/>
          </w:tcPr>
          <w:p w14:paraId="0000004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Autologous stem cell </w:t>
            </w:r>
            <w:r w:rsidRPr="00AA7777">
              <w:rPr>
                <w:sz w:val="20"/>
                <w:szCs w:val="20"/>
              </w:rPr>
              <w:t>transplantation</w:t>
            </w:r>
          </w:p>
        </w:tc>
      </w:tr>
      <w:tr w:rsidR="008D3ED4" w14:paraId="05CC8615"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2" w14:textId="77777777" w:rsidR="008D3ED4" w:rsidRPr="00AA7777" w:rsidRDefault="00031835" w:rsidP="00AA7777">
            <w:pPr>
              <w:rPr>
                <w:sz w:val="20"/>
                <w:szCs w:val="20"/>
              </w:rPr>
            </w:pPr>
            <w:r w:rsidRPr="00AA7777">
              <w:rPr>
                <w:sz w:val="20"/>
                <w:szCs w:val="20"/>
              </w:rPr>
              <w:t>AST</w:t>
            </w:r>
          </w:p>
        </w:tc>
        <w:tc>
          <w:tcPr>
            <w:tcW w:w="6886" w:type="dxa"/>
          </w:tcPr>
          <w:p w14:paraId="0000004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Aspartate Transaminase</w:t>
            </w:r>
          </w:p>
        </w:tc>
      </w:tr>
      <w:tr w:rsidR="008D3ED4" w14:paraId="12407FB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4" w14:textId="77777777" w:rsidR="008D3ED4" w:rsidRPr="00AA7777" w:rsidRDefault="00031835" w:rsidP="00AA7777">
            <w:pPr>
              <w:rPr>
                <w:sz w:val="20"/>
                <w:szCs w:val="20"/>
              </w:rPr>
            </w:pPr>
            <w:r w:rsidRPr="00AA7777">
              <w:rPr>
                <w:sz w:val="20"/>
                <w:szCs w:val="20"/>
              </w:rPr>
              <w:t>AUC</w:t>
            </w:r>
          </w:p>
        </w:tc>
        <w:tc>
          <w:tcPr>
            <w:tcW w:w="6886" w:type="dxa"/>
          </w:tcPr>
          <w:p w14:paraId="0000004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Area under the curve</w:t>
            </w:r>
          </w:p>
        </w:tc>
      </w:tr>
      <w:tr w:rsidR="008D3ED4" w14:paraId="4F6F554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6" w14:textId="77777777" w:rsidR="008D3ED4" w:rsidRPr="00AA7777" w:rsidRDefault="00031835" w:rsidP="00AA7777">
            <w:pPr>
              <w:rPr>
                <w:sz w:val="20"/>
                <w:szCs w:val="20"/>
              </w:rPr>
            </w:pPr>
            <w:r w:rsidRPr="00AA7777">
              <w:rPr>
                <w:sz w:val="20"/>
                <w:szCs w:val="20"/>
              </w:rPr>
              <w:t>BG</w:t>
            </w:r>
          </w:p>
        </w:tc>
        <w:tc>
          <w:tcPr>
            <w:tcW w:w="6886" w:type="dxa"/>
          </w:tcPr>
          <w:p w14:paraId="0000004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AA7777">
              <w:rPr>
                <w:sz w:val="20"/>
                <w:szCs w:val="20"/>
              </w:rPr>
              <w:t>Bendamustine</w:t>
            </w:r>
            <w:proofErr w:type="spellEnd"/>
            <w:r w:rsidRPr="00AA7777">
              <w:rPr>
                <w:sz w:val="20"/>
                <w:szCs w:val="20"/>
              </w:rPr>
              <w:t xml:space="preserve"> and </w:t>
            </w:r>
            <w:proofErr w:type="spellStart"/>
            <w:r w:rsidRPr="00AA7777">
              <w:rPr>
                <w:sz w:val="20"/>
                <w:szCs w:val="20"/>
              </w:rPr>
              <w:t>obinutuzumab</w:t>
            </w:r>
            <w:proofErr w:type="spellEnd"/>
          </w:p>
        </w:tc>
      </w:tr>
      <w:tr w:rsidR="008D3ED4" w14:paraId="7D279CE5"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8" w14:textId="77777777" w:rsidR="008D3ED4" w:rsidRPr="00AA7777" w:rsidRDefault="00031835" w:rsidP="00AA7777">
            <w:pPr>
              <w:rPr>
                <w:sz w:val="20"/>
                <w:szCs w:val="20"/>
              </w:rPr>
            </w:pPr>
            <w:r w:rsidRPr="00AA7777">
              <w:rPr>
                <w:sz w:val="20"/>
                <w:szCs w:val="20"/>
              </w:rPr>
              <w:t>BICR</w:t>
            </w:r>
          </w:p>
        </w:tc>
        <w:tc>
          <w:tcPr>
            <w:tcW w:w="6886" w:type="dxa"/>
          </w:tcPr>
          <w:p w14:paraId="0000004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Blinded independent central review</w:t>
            </w:r>
          </w:p>
        </w:tc>
      </w:tr>
      <w:tr w:rsidR="008D3ED4" w14:paraId="73BAF30D"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A" w14:textId="77777777" w:rsidR="008D3ED4" w:rsidRPr="00AA7777" w:rsidRDefault="00031835" w:rsidP="00AA7777">
            <w:pPr>
              <w:rPr>
                <w:sz w:val="20"/>
                <w:szCs w:val="20"/>
              </w:rPr>
            </w:pPr>
            <w:r w:rsidRPr="00AA7777">
              <w:rPr>
                <w:sz w:val="20"/>
                <w:szCs w:val="20"/>
              </w:rPr>
              <w:t>BMI</w:t>
            </w:r>
          </w:p>
        </w:tc>
        <w:tc>
          <w:tcPr>
            <w:tcW w:w="6886" w:type="dxa"/>
          </w:tcPr>
          <w:p w14:paraId="0000004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Body mass index</w:t>
            </w:r>
          </w:p>
        </w:tc>
      </w:tr>
      <w:tr w:rsidR="008D3ED4" w14:paraId="660B2F4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C" w14:textId="77777777" w:rsidR="008D3ED4" w:rsidRPr="00AA7777" w:rsidRDefault="00031835" w:rsidP="00AA7777">
            <w:pPr>
              <w:rPr>
                <w:sz w:val="20"/>
                <w:szCs w:val="20"/>
              </w:rPr>
            </w:pPr>
            <w:r w:rsidRPr="00AA7777">
              <w:rPr>
                <w:sz w:val="20"/>
                <w:szCs w:val="20"/>
              </w:rPr>
              <w:t>BOR</w:t>
            </w:r>
          </w:p>
        </w:tc>
        <w:tc>
          <w:tcPr>
            <w:tcW w:w="6886" w:type="dxa"/>
          </w:tcPr>
          <w:p w14:paraId="0000004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Best objective response</w:t>
            </w:r>
          </w:p>
        </w:tc>
      </w:tr>
      <w:tr w:rsidR="008D3ED4" w14:paraId="5621DD35"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4E" w14:textId="77777777" w:rsidR="008D3ED4" w:rsidRPr="00AA7777" w:rsidRDefault="00031835" w:rsidP="00AA7777">
            <w:pPr>
              <w:rPr>
                <w:sz w:val="20"/>
                <w:szCs w:val="20"/>
              </w:rPr>
            </w:pPr>
            <w:r w:rsidRPr="00AA7777">
              <w:rPr>
                <w:sz w:val="20"/>
                <w:szCs w:val="20"/>
              </w:rPr>
              <w:t>BR</w:t>
            </w:r>
          </w:p>
        </w:tc>
        <w:tc>
          <w:tcPr>
            <w:tcW w:w="6886" w:type="dxa"/>
          </w:tcPr>
          <w:p w14:paraId="0000004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Bendamustine plus rituximab</w:t>
            </w:r>
          </w:p>
        </w:tc>
      </w:tr>
      <w:tr w:rsidR="008D3ED4" w14:paraId="6C30245A"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0" w14:textId="77777777" w:rsidR="008D3ED4" w:rsidRPr="00AA7777" w:rsidRDefault="00031835" w:rsidP="00AA7777">
            <w:pPr>
              <w:rPr>
                <w:sz w:val="20"/>
                <w:szCs w:val="20"/>
              </w:rPr>
            </w:pPr>
            <w:r w:rsidRPr="00AA7777">
              <w:rPr>
                <w:sz w:val="20"/>
                <w:szCs w:val="20"/>
              </w:rPr>
              <w:t>BSA</w:t>
            </w:r>
          </w:p>
        </w:tc>
        <w:tc>
          <w:tcPr>
            <w:tcW w:w="6886" w:type="dxa"/>
          </w:tcPr>
          <w:p w14:paraId="0000005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Body surface area</w:t>
            </w:r>
          </w:p>
        </w:tc>
      </w:tr>
      <w:tr w:rsidR="008D3ED4" w14:paraId="0DEF7255"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2" w14:textId="77777777" w:rsidR="008D3ED4" w:rsidRPr="00AA7777" w:rsidRDefault="00031835" w:rsidP="00AA7777">
            <w:pPr>
              <w:rPr>
                <w:sz w:val="20"/>
                <w:szCs w:val="20"/>
              </w:rPr>
            </w:pPr>
            <w:r w:rsidRPr="00AA7777">
              <w:rPr>
                <w:sz w:val="20"/>
                <w:szCs w:val="20"/>
              </w:rPr>
              <w:t>CHP</w:t>
            </w:r>
          </w:p>
        </w:tc>
        <w:tc>
          <w:tcPr>
            <w:tcW w:w="6886" w:type="dxa"/>
          </w:tcPr>
          <w:p w14:paraId="0000005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Cyclophosphamide, doxorubicin, prednisone</w:t>
            </w:r>
          </w:p>
        </w:tc>
      </w:tr>
      <w:tr w:rsidR="008D3ED4" w14:paraId="3601CE1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4" w14:textId="77777777" w:rsidR="008D3ED4" w:rsidRPr="00AA7777" w:rsidRDefault="00031835" w:rsidP="00AA7777">
            <w:pPr>
              <w:rPr>
                <w:sz w:val="20"/>
                <w:szCs w:val="20"/>
              </w:rPr>
            </w:pPr>
            <w:r w:rsidRPr="00AA7777">
              <w:rPr>
                <w:sz w:val="20"/>
                <w:szCs w:val="20"/>
              </w:rPr>
              <w:t>CI</w:t>
            </w:r>
          </w:p>
        </w:tc>
        <w:tc>
          <w:tcPr>
            <w:tcW w:w="6886" w:type="dxa"/>
          </w:tcPr>
          <w:p w14:paraId="0000005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Confidence interval</w:t>
            </w:r>
          </w:p>
        </w:tc>
      </w:tr>
      <w:tr w:rsidR="008D3ED4" w14:paraId="7E4B3BF0"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6" w14:textId="77777777" w:rsidR="008D3ED4" w:rsidRPr="00AA7777" w:rsidRDefault="00031835" w:rsidP="00AA7777">
            <w:pPr>
              <w:rPr>
                <w:sz w:val="20"/>
                <w:szCs w:val="20"/>
              </w:rPr>
            </w:pPr>
            <w:r w:rsidRPr="00AA7777">
              <w:rPr>
                <w:sz w:val="20"/>
                <w:szCs w:val="20"/>
              </w:rPr>
              <w:t>CL</w:t>
            </w:r>
          </w:p>
        </w:tc>
        <w:tc>
          <w:tcPr>
            <w:tcW w:w="6886" w:type="dxa"/>
          </w:tcPr>
          <w:p w14:paraId="0000005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Clearance</w:t>
            </w:r>
          </w:p>
        </w:tc>
      </w:tr>
      <w:tr w:rsidR="008D3ED4" w14:paraId="27475742"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8" w14:textId="77777777" w:rsidR="008D3ED4" w:rsidRPr="00AA7777" w:rsidRDefault="00031835" w:rsidP="00AA7777">
            <w:pPr>
              <w:rPr>
                <w:sz w:val="20"/>
                <w:szCs w:val="20"/>
              </w:rPr>
            </w:pPr>
            <w:r w:rsidRPr="00AA7777">
              <w:rPr>
                <w:sz w:val="20"/>
                <w:szCs w:val="20"/>
              </w:rPr>
              <w:t>CLL</w:t>
            </w:r>
          </w:p>
        </w:tc>
        <w:tc>
          <w:tcPr>
            <w:tcW w:w="6886" w:type="dxa"/>
          </w:tcPr>
          <w:p w14:paraId="0000005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Chronic lymphocytic leukaemia</w:t>
            </w:r>
          </w:p>
        </w:tc>
      </w:tr>
      <w:tr w:rsidR="008D3ED4" w14:paraId="76EB3632"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A" w14:textId="77777777" w:rsidR="008D3ED4" w:rsidRPr="00AA7777" w:rsidRDefault="00031835" w:rsidP="00AA7777">
            <w:pPr>
              <w:rPr>
                <w:sz w:val="20"/>
                <w:szCs w:val="20"/>
              </w:rPr>
            </w:pPr>
            <w:r w:rsidRPr="00AA7777">
              <w:rPr>
                <w:sz w:val="20"/>
                <w:szCs w:val="20"/>
              </w:rPr>
              <w:t>Cmax</w:t>
            </w:r>
          </w:p>
        </w:tc>
        <w:tc>
          <w:tcPr>
            <w:tcW w:w="6886" w:type="dxa"/>
          </w:tcPr>
          <w:p w14:paraId="0000005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Maximum concentration</w:t>
            </w:r>
          </w:p>
        </w:tc>
      </w:tr>
      <w:tr w:rsidR="008D3ED4" w14:paraId="388B1759"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C" w14:textId="77777777" w:rsidR="008D3ED4" w:rsidRPr="00AA7777" w:rsidRDefault="00031835" w:rsidP="00AA7777">
            <w:pPr>
              <w:rPr>
                <w:sz w:val="20"/>
                <w:szCs w:val="20"/>
              </w:rPr>
            </w:pPr>
            <w:r w:rsidRPr="00AA7777">
              <w:rPr>
                <w:sz w:val="20"/>
                <w:szCs w:val="20"/>
              </w:rPr>
              <w:t>CMI</w:t>
            </w:r>
          </w:p>
        </w:tc>
        <w:tc>
          <w:tcPr>
            <w:tcW w:w="6886" w:type="dxa"/>
          </w:tcPr>
          <w:p w14:paraId="0000005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Consumer Medicines Information</w:t>
            </w:r>
          </w:p>
        </w:tc>
      </w:tr>
      <w:tr w:rsidR="008D3ED4" w14:paraId="4B0B7C7C"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5E" w14:textId="77777777" w:rsidR="008D3ED4" w:rsidRPr="00AA7777" w:rsidRDefault="00031835" w:rsidP="00AA7777">
            <w:pPr>
              <w:rPr>
                <w:sz w:val="20"/>
                <w:szCs w:val="20"/>
              </w:rPr>
            </w:pPr>
            <w:r w:rsidRPr="00AA7777">
              <w:rPr>
                <w:sz w:val="20"/>
                <w:szCs w:val="20"/>
              </w:rPr>
              <w:t>CNS</w:t>
            </w:r>
          </w:p>
        </w:tc>
        <w:tc>
          <w:tcPr>
            <w:tcW w:w="6886" w:type="dxa"/>
          </w:tcPr>
          <w:p w14:paraId="0000005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Central nervous system</w:t>
            </w:r>
          </w:p>
        </w:tc>
      </w:tr>
      <w:tr w:rsidR="008D3ED4" w14:paraId="12B38202"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0" w14:textId="77777777" w:rsidR="008D3ED4" w:rsidRPr="00AA7777" w:rsidRDefault="00031835" w:rsidP="00AA7777">
            <w:pPr>
              <w:rPr>
                <w:sz w:val="20"/>
                <w:szCs w:val="20"/>
              </w:rPr>
            </w:pPr>
            <w:r w:rsidRPr="00AA7777">
              <w:rPr>
                <w:sz w:val="20"/>
                <w:szCs w:val="20"/>
              </w:rPr>
              <w:t>CR</w:t>
            </w:r>
          </w:p>
        </w:tc>
        <w:tc>
          <w:tcPr>
            <w:tcW w:w="6886" w:type="dxa"/>
          </w:tcPr>
          <w:p w14:paraId="0000006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Complete Response</w:t>
            </w:r>
          </w:p>
        </w:tc>
      </w:tr>
      <w:tr w:rsidR="008D3ED4" w14:paraId="0B8F3BD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2" w14:textId="77777777" w:rsidR="008D3ED4" w:rsidRPr="00AA7777" w:rsidRDefault="00031835" w:rsidP="00AA7777">
            <w:pPr>
              <w:rPr>
                <w:sz w:val="20"/>
                <w:szCs w:val="20"/>
              </w:rPr>
            </w:pPr>
            <w:proofErr w:type="spellStart"/>
            <w:r w:rsidRPr="00AA7777">
              <w:rPr>
                <w:sz w:val="20"/>
                <w:szCs w:val="20"/>
              </w:rPr>
              <w:t>CrCL</w:t>
            </w:r>
            <w:proofErr w:type="spellEnd"/>
          </w:p>
        </w:tc>
        <w:tc>
          <w:tcPr>
            <w:tcW w:w="6886" w:type="dxa"/>
          </w:tcPr>
          <w:p w14:paraId="0000006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Creatinine clearance</w:t>
            </w:r>
          </w:p>
        </w:tc>
      </w:tr>
      <w:tr w:rsidR="008D3ED4" w14:paraId="10F7EBB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4" w14:textId="77777777" w:rsidR="008D3ED4" w:rsidRPr="00AA7777" w:rsidRDefault="00031835" w:rsidP="00AA7777">
            <w:pPr>
              <w:rPr>
                <w:sz w:val="20"/>
                <w:szCs w:val="20"/>
              </w:rPr>
            </w:pPr>
            <w:r w:rsidRPr="00AA7777">
              <w:rPr>
                <w:sz w:val="20"/>
                <w:szCs w:val="20"/>
              </w:rPr>
              <w:t>CT</w:t>
            </w:r>
          </w:p>
        </w:tc>
        <w:tc>
          <w:tcPr>
            <w:tcW w:w="6886" w:type="dxa"/>
          </w:tcPr>
          <w:p w14:paraId="0000006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X-Ray Computed Tomography</w:t>
            </w:r>
          </w:p>
        </w:tc>
      </w:tr>
      <w:tr w:rsidR="008D3ED4" w14:paraId="121ABD4D"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6" w14:textId="77777777" w:rsidR="008D3ED4" w:rsidRPr="00AA7777" w:rsidRDefault="00031835" w:rsidP="00AA7777">
            <w:pPr>
              <w:rPr>
                <w:sz w:val="20"/>
                <w:szCs w:val="20"/>
              </w:rPr>
            </w:pPr>
            <w:r w:rsidRPr="00AA7777">
              <w:rPr>
                <w:sz w:val="20"/>
                <w:szCs w:val="20"/>
              </w:rPr>
              <w:t>CTCAE</w:t>
            </w:r>
          </w:p>
        </w:tc>
        <w:tc>
          <w:tcPr>
            <w:tcW w:w="6886" w:type="dxa"/>
          </w:tcPr>
          <w:p w14:paraId="0000006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Common terminology criteria for adverse events</w:t>
            </w:r>
          </w:p>
        </w:tc>
      </w:tr>
      <w:tr w:rsidR="008D3ED4" w14:paraId="26DCE31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8" w14:textId="77777777" w:rsidR="008D3ED4" w:rsidRPr="00AA7777" w:rsidRDefault="00031835" w:rsidP="00AA7777">
            <w:pPr>
              <w:rPr>
                <w:sz w:val="20"/>
                <w:szCs w:val="20"/>
              </w:rPr>
            </w:pPr>
            <w:r w:rsidRPr="00AA7777">
              <w:rPr>
                <w:sz w:val="20"/>
                <w:szCs w:val="20"/>
              </w:rPr>
              <w:t>DFS</w:t>
            </w:r>
          </w:p>
        </w:tc>
        <w:tc>
          <w:tcPr>
            <w:tcW w:w="6886" w:type="dxa"/>
          </w:tcPr>
          <w:p w14:paraId="0000006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Disease free survival</w:t>
            </w:r>
          </w:p>
        </w:tc>
      </w:tr>
      <w:tr w:rsidR="008D3ED4" w14:paraId="03004146"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A" w14:textId="77777777" w:rsidR="008D3ED4" w:rsidRPr="00AA7777" w:rsidRDefault="00031835" w:rsidP="00AA7777">
            <w:pPr>
              <w:rPr>
                <w:sz w:val="20"/>
                <w:szCs w:val="20"/>
              </w:rPr>
            </w:pPr>
            <w:r w:rsidRPr="00AA7777">
              <w:rPr>
                <w:sz w:val="20"/>
                <w:szCs w:val="20"/>
              </w:rPr>
              <w:t>DLBCL</w:t>
            </w:r>
          </w:p>
        </w:tc>
        <w:tc>
          <w:tcPr>
            <w:tcW w:w="6886" w:type="dxa"/>
          </w:tcPr>
          <w:p w14:paraId="0000006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Diffuse large B-cell lymphoma</w:t>
            </w:r>
          </w:p>
        </w:tc>
      </w:tr>
      <w:tr w:rsidR="008D3ED4" w14:paraId="3BD4C716"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C" w14:textId="77777777" w:rsidR="008D3ED4" w:rsidRPr="00AA7777" w:rsidRDefault="00031835" w:rsidP="00AA7777">
            <w:pPr>
              <w:rPr>
                <w:sz w:val="20"/>
                <w:szCs w:val="20"/>
              </w:rPr>
            </w:pPr>
            <w:r w:rsidRPr="00AA7777">
              <w:rPr>
                <w:sz w:val="20"/>
                <w:szCs w:val="20"/>
              </w:rPr>
              <w:t>DLT</w:t>
            </w:r>
          </w:p>
        </w:tc>
        <w:tc>
          <w:tcPr>
            <w:tcW w:w="6886" w:type="dxa"/>
          </w:tcPr>
          <w:p w14:paraId="0000006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Dose-limiting toxicity</w:t>
            </w:r>
          </w:p>
        </w:tc>
      </w:tr>
      <w:tr w:rsidR="008D3ED4" w14:paraId="6CE67AB9"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6E" w14:textId="77777777" w:rsidR="008D3ED4" w:rsidRPr="00AA7777" w:rsidRDefault="00031835" w:rsidP="00AA7777">
            <w:pPr>
              <w:rPr>
                <w:sz w:val="20"/>
                <w:szCs w:val="20"/>
              </w:rPr>
            </w:pPr>
            <w:r w:rsidRPr="00AA7777">
              <w:rPr>
                <w:sz w:val="20"/>
                <w:szCs w:val="20"/>
              </w:rPr>
              <w:t>DOR</w:t>
            </w:r>
          </w:p>
        </w:tc>
        <w:tc>
          <w:tcPr>
            <w:tcW w:w="6886" w:type="dxa"/>
          </w:tcPr>
          <w:p w14:paraId="0000006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Duration of response</w:t>
            </w:r>
          </w:p>
        </w:tc>
      </w:tr>
      <w:tr w:rsidR="008D3ED4" w14:paraId="60FEF2F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0" w14:textId="77777777" w:rsidR="008D3ED4" w:rsidRPr="00AA7777" w:rsidRDefault="00031835" w:rsidP="00AA7777">
            <w:pPr>
              <w:rPr>
                <w:sz w:val="20"/>
                <w:szCs w:val="20"/>
              </w:rPr>
            </w:pPr>
            <w:r w:rsidRPr="00AA7777">
              <w:rPr>
                <w:sz w:val="20"/>
                <w:szCs w:val="20"/>
              </w:rPr>
              <w:t>ECG</w:t>
            </w:r>
          </w:p>
        </w:tc>
        <w:tc>
          <w:tcPr>
            <w:tcW w:w="6886" w:type="dxa"/>
          </w:tcPr>
          <w:p w14:paraId="0000007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Electrocardiograph</w:t>
            </w:r>
          </w:p>
        </w:tc>
      </w:tr>
      <w:tr w:rsidR="008D3ED4" w14:paraId="2FBC770E"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2" w14:textId="77777777" w:rsidR="008D3ED4" w:rsidRPr="00AA7777" w:rsidRDefault="00031835" w:rsidP="00AA7777">
            <w:pPr>
              <w:rPr>
                <w:sz w:val="20"/>
                <w:szCs w:val="20"/>
              </w:rPr>
            </w:pPr>
            <w:r w:rsidRPr="00AA7777">
              <w:rPr>
                <w:sz w:val="20"/>
                <w:szCs w:val="20"/>
              </w:rPr>
              <w:t>ECOG</w:t>
            </w:r>
          </w:p>
        </w:tc>
        <w:tc>
          <w:tcPr>
            <w:tcW w:w="6886" w:type="dxa"/>
          </w:tcPr>
          <w:p w14:paraId="0000007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Eastern Cooperative Oncology Group</w:t>
            </w:r>
          </w:p>
        </w:tc>
      </w:tr>
      <w:tr w:rsidR="008D3ED4" w14:paraId="6C300ED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4" w14:textId="77777777" w:rsidR="008D3ED4" w:rsidRPr="00AA7777" w:rsidRDefault="00031835" w:rsidP="00AA7777">
            <w:pPr>
              <w:rPr>
                <w:sz w:val="20"/>
                <w:szCs w:val="20"/>
              </w:rPr>
            </w:pPr>
            <w:r w:rsidRPr="00AA7777">
              <w:rPr>
                <w:sz w:val="20"/>
                <w:szCs w:val="20"/>
              </w:rPr>
              <w:lastRenderedPageBreak/>
              <w:t>EFS</w:t>
            </w:r>
          </w:p>
        </w:tc>
        <w:tc>
          <w:tcPr>
            <w:tcW w:w="6886" w:type="dxa"/>
          </w:tcPr>
          <w:p w14:paraId="0000007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Event-free survival</w:t>
            </w:r>
          </w:p>
        </w:tc>
      </w:tr>
      <w:tr w:rsidR="008D3ED4" w14:paraId="0AB5C47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6" w14:textId="77777777" w:rsidR="008D3ED4" w:rsidRPr="00AA7777" w:rsidRDefault="00031835" w:rsidP="00AA7777">
            <w:pPr>
              <w:rPr>
                <w:sz w:val="20"/>
                <w:szCs w:val="20"/>
              </w:rPr>
            </w:pPr>
            <w:proofErr w:type="spellStart"/>
            <w:r w:rsidRPr="00AA7777">
              <w:rPr>
                <w:sz w:val="20"/>
                <w:szCs w:val="20"/>
              </w:rPr>
              <w:t>EFS</w:t>
            </w:r>
            <w:r w:rsidRPr="00AA7777">
              <w:rPr>
                <w:sz w:val="20"/>
                <w:szCs w:val="20"/>
                <w:vertAlign w:val="subscript"/>
              </w:rPr>
              <w:t>all</w:t>
            </w:r>
            <w:proofErr w:type="spellEnd"/>
          </w:p>
        </w:tc>
        <w:tc>
          <w:tcPr>
            <w:tcW w:w="6886" w:type="dxa"/>
          </w:tcPr>
          <w:p w14:paraId="0000007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Event-free survival – all causes</w:t>
            </w:r>
          </w:p>
        </w:tc>
      </w:tr>
      <w:tr w:rsidR="008D3ED4" w14:paraId="7A3DEC67"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8" w14:textId="77777777" w:rsidR="008D3ED4" w:rsidRPr="00AA7777" w:rsidRDefault="00031835" w:rsidP="00AA7777">
            <w:pPr>
              <w:rPr>
                <w:sz w:val="20"/>
                <w:szCs w:val="20"/>
              </w:rPr>
            </w:pPr>
            <w:proofErr w:type="spellStart"/>
            <w:r w:rsidRPr="00AA7777">
              <w:rPr>
                <w:sz w:val="20"/>
                <w:szCs w:val="20"/>
              </w:rPr>
              <w:t>EFS</w:t>
            </w:r>
            <w:r w:rsidRPr="00AA7777">
              <w:rPr>
                <w:sz w:val="20"/>
                <w:szCs w:val="20"/>
                <w:vertAlign w:val="subscript"/>
              </w:rPr>
              <w:t>eff</w:t>
            </w:r>
            <w:proofErr w:type="spellEnd"/>
          </w:p>
        </w:tc>
        <w:tc>
          <w:tcPr>
            <w:tcW w:w="6886" w:type="dxa"/>
          </w:tcPr>
          <w:p w14:paraId="0000007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Event-free survival for efficacy reasons</w:t>
            </w:r>
          </w:p>
        </w:tc>
      </w:tr>
      <w:tr w:rsidR="008D3ED4" w14:paraId="34A324F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A" w14:textId="77777777" w:rsidR="008D3ED4" w:rsidRPr="00AA7777" w:rsidRDefault="00031835" w:rsidP="00AA7777">
            <w:pPr>
              <w:rPr>
                <w:sz w:val="20"/>
                <w:szCs w:val="20"/>
              </w:rPr>
            </w:pPr>
            <w:r w:rsidRPr="00AA7777">
              <w:rPr>
                <w:sz w:val="20"/>
                <w:szCs w:val="20"/>
              </w:rPr>
              <w:t>EMA</w:t>
            </w:r>
          </w:p>
        </w:tc>
        <w:tc>
          <w:tcPr>
            <w:tcW w:w="6886" w:type="dxa"/>
          </w:tcPr>
          <w:p w14:paraId="0000007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European Medicines Agency</w:t>
            </w:r>
          </w:p>
        </w:tc>
      </w:tr>
      <w:tr w:rsidR="008D3ED4" w14:paraId="71CD7017"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C" w14:textId="77777777" w:rsidR="008D3ED4" w:rsidRPr="00AA7777" w:rsidRDefault="00031835" w:rsidP="00AA7777">
            <w:pPr>
              <w:rPr>
                <w:sz w:val="20"/>
                <w:szCs w:val="20"/>
              </w:rPr>
            </w:pPr>
            <w:r w:rsidRPr="00AA7777">
              <w:rPr>
                <w:sz w:val="20"/>
                <w:szCs w:val="20"/>
              </w:rPr>
              <w:t>EORTC</w:t>
            </w:r>
          </w:p>
        </w:tc>
        <w:tc>
          <w:tcPr>
            <w:tcW w:w="6886" w:type="dxa"/>
          </w:tcPr>
          <w:p w14:paraId="0000007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European Organisation for Research and </w:t>
            </w:r>
            <w:r w:rsidRPr="00AA7777">
              <w:rPr>
                <w:sz w:val="20"/>
                <w:szCs w:val="20"/>
              </w:rPr>
              <w:t>Treatment of Cancer</w:t>
            </w:r>
          </w:p>
        </w:tc>
      </w:tr>
      <w:tr w:rsidR="008D3ED4" w14:paraId="71521F2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7E" w14:textId="77777777" w:rsidR="008D3ED4" w:rsidRPr="00AA7777" w:rsidRDefault="00031835" w:rsidP="00AA7777">
            <w:pPr>
              <w:rPr>
                <w:sz w:val="20"/>
                <w:szCs w:val="20"/>
              </w:rPr>
            </w:pPr>
            <w:r w:rsidRPr="00AA7777">
              <w:rPr>
                <w:sz w:val="20"/>
                <w:szCs w:val="20"/>
              </w:rPr>
              <w:t>ETTV</w:t>
            </w:r>
          </w:p>
        </w:tc>
        <w:tc>
          <w:tcPr>
            <w:tcW w:w="6886" w:type="dxa"/>
          </w:tcPr>
          <w:p w14:paraId="0000007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Early treatment termination visit</w:t>
            </w:r>
          </w:p>
        </w:tc>
      </w:tr>
      <w:tr w:rsidR="008D3ED4" w14:paraId="76833F96"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0" w14:textId="77777777" w:rsidR="008D3ED4" w:rsidRPr="00AA7777" w:rsidRDefault="00031835" w:rsidP="00AA7777">
            <w:pPr>
              <w:rPr>
                <w:sz w:val="20"/>
                <w:szCs w:val="20"/>
              </w:rPr>
            </w:pPr>
            <w:r w:rsidRPr="00AA7777">
              <w:rPr>
                <w:sz w:val="20"/>
                <w:szCs w:val="20"/>
              </w:rPr>
              <w:t>FACT</w:t>
            </w:r>
          </w:p>
        </w:tc>
        <w:tc>
          <w:tcPr>
            <w:tcW w:w="6886" w:type="dxa"/>
          </w:tcPr>
          <w:p w14:paraId="0000008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Functional Assessment of Cancer Therapy</w:t>
            </w:r>
          </w:p>
        </w:tc>
      </w:tr>
      <w:tr w:rsidR="008D3ED4" w14:paraId="242B64E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2" w14:textId="77777777" w:rsidR="008D3ED4" w:rsidRPr="00AA7777" w:rsidRDefault="00031835" w:rsidP="00AA7777">
            <w:pPr>
              <w:rPr>
                <w:sz w:val="20"/>
                <w:szCs w:val="20"/>
              </w:rPr>
            </w:pPr>
            <w:r w:rsidRPr="00AA7777">
              <w:rPr>
                <w:sz w:val="20"/>
                <w:szCs w:val="20"/>
              </w:rPr>
              <w:t>FDA</w:t>
            </w:r>
          </w:p>
        </w:tc>
        <w:tc>
          <w:tcPr>
            <w:tcW w:w="6886" w:type="dxa"/>
          </w:tcPr>
          <w:p w14:paraId="0000008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Food and Drug Administration</w:t>
            </w:r>
          </w:p>
        </w:tc>
      </w:tr>
      <w:tr w:rsidR="008D3ED4" w14:paraId="2FCA3AF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4" w14:textId="77777777" w:rsidR="008D3ED4" w:rsidRPr="00AA7777" w:rsidRDefault="00031835" w:rsidP="00AA7777">
            <w:pPr>
              <w:rPr>
                <w:sz w:val="20"/>
                <w:szCs w:val="20"/>
              </w:rPr>
            </w:pPr>
            <w:r w:rsidRPr="00AA7777">
              <w:rPr>
                <w:sz w:val="20"/>
                <w:szCs w:val="20"/>
              </w:rPr>
              <w:t>FL</w:t>
            </w:r>
          </w:p>
        </w:tc>
        <w:tc>
          <w:tcPr>
            <w:tcW w:w="6886" w:type="dxa"/>
          </w:tcPr>
          <w:p w14:paraId="0000008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Follicular lymphoma</w:t>
            </w:r>
          </w:p>
        </w:tc>
      </w:tr>
      <w:tr w:rsidR="008D3ED4" w14:paraId="7C461D0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6" w14:textId="77777777" w:rsidR="008D3ED4" w:rsidRPr="00AA7777" w:rsidRDefault="00031835" w:rsidP="00AA7777">
            <w:pPr>
              <w:rPr>
                <w:sz w:val="20"/>
                <w:szCs w:val="20"/>
              </w:rPr>
            </w:pPr>
            <w:r w:rsidRPr="00AA7777">
              <w:rPr>
                <w:sz w:val="20"/>
                <w:szCs w:val="20"/>
              </w:rPr>
              <w:t>GCB</w:t>
            </w:r>
          </w:p>
        </w:tc>
        <w:tc>
          <w:tcPr>
            <w:tcW w:w="6886" w:type="dxa"/>
          </w:tcPr>
          <w:p w14:paraId="0000008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Germinal centre B-cell subtype</w:t>
            </w:r>
          </w:p>
        </w:tc>
      </w:tr>
      <w:tr w:rsidR="008D3ED4" w14:paraId="28D39D6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8" w14:textId="77777777" w:rsidR="008D3ED4" w:rsidRPr="00AA7777" w:rsidRDefault="00031835" w:rsidP="00AA7777">
            <w:pPr>
              <w:rPr>
                <w:sz w:val="20"/>
                <w:szCs w:val="20"/>
              </w:rPr>
            </w:pPr>
            <w:r w:rsidRPr="00AA7777">
              <w:rPr>
                <w:sz w:val="20"/>
                <w:szCs w:val="20"/>
              </w:rPr>
              <w:t>GOG-NTX</w:t>
            </w:r>
          </w:p>
        </w:tc>
        <w:tc>
          <w:tcPr>
            <w:tcW w:w="6886" w:type="dxa"/>
          </w:tcPr>
          <w:p w14:paraId="0000008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Gynaecology Oncology Group – </w:t>
            </w:r>
            <w:r w:rsidRPr="00AA7777">
              <w:rPr>
                <w:sz w:val="20"/>
                <w:szCs w:val="20"/>
              </w:rPr>
              <w:t>Neurotoxicity questionnaire</w:t>
            </w:r>
          </w:p>
        </w:tc>
      </w:tr>
      <w:tr w:rsidR="008D3ED4" w14:paraId="594B7EB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A" w14:textId="77777777" w:rsidR="008D3ED4" w:rsidRPr="00AA7777" w:rsidRDefault="00031835" w:rsidP="00AA7777">
            <w:pPr>
              <w:rPr>
                <w:sz w:val="20"/>
                <w:szCs w:val="20"/>
              </w:rPr>
            </w:pPr>
            <w:r w:rsidRPr="00AA7777">
              <w:rPr>
                <w:sz w:val="20"/>
                <w:szCs w:val="20"/>
              </w:rPr>
              <w:t>GCP</w:t>
            </w:r>
          </w:p>
        </w:tc>
        <w:tc>
          <w:tcPr>
            <w:tcW w:w="6886" w:type="dxa"/>
          </w:tcPr>
          <w:p w14:paraId="0000008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Good Clinical Practice</w:t>
            </w:r>
          </w:p>
        </w:tc>
      </w:tr>
      <w:tr w:rsidR="008D3ED4" w14:paraId="4049390D"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C" w14:textId="77777777" w:rsidR="008D3ED4" w:rsidRPr="00AA7777" w:rsidRDefault="00031835" w:rsidP="00AA7777">
            <w:pPr>
              <w:rPr>
                <w:sz w:val="20"/>
                <w:szCs w:val="20"/>
              </w:rPr>
            </w:pPr>
            <w:r w:rsidRPr="00AA7777">
              <w:rPr>
                <w:sz w:val="20"/>
                <w:szCs w:val="20"/>
              </w:rPr>
              <w:t>GIT</w:t>
            </w:r>
          </w:p>
        </w:tc>
        <w:tc>
          <w:tcPr>
            <w:tcW w:w="6886" w:type="dxa"/>
          </w:tcPr>
          <w:p w14:paraId="0000008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Gastrointestinal</w:t>
            </w:r>
          </w:p>
        </w:tc>
      </w:tr>
      <w:tr w:rsidR="008D3ED4" w14:paraId="541E8A4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8E" w14:textId="77777777" w:rsidR="008D3ED4" w:rsidRPr="00AA7777" w:rsidRDefault="00031835" w:rsidP="00AA7777">
            <w:pPr>
              <w:rPr>
                <w:sz w:val="20"/>
                <w:szCs w:val="20"/>
              </w:rPr>
            </w:pPr>
            <w:r w:rsidRPr="00AA7777">
              <w:rPr>
                <w:sz w:val="20"/>
                <w:szCs w:val="20"/>
              </w:rPr>
              <w:t>HR</w:t>
            </w:r>
          </w:p>
        </w:tc>
        <w:tc>
          <w:tcPr>
            <w:tcW w:w="6886" w:type="dxa"/>
          </w:tcPr>
          <w:p w14:paraId="0000008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Hazard ratio</w:t>
            </w:r>
          </w:p>
        </w:tc>
      </w:tr>
      <w:tr w:rsidR="008D3ED4" w14:paraId="32AAB3FC"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0" w14:textId="77777777" w:rsidR="008D3ED4" w:rsidRPr="00AA7777" w:rsidRDefault="00031835" w:rsidP="00AA7777">
            <w:pPr>
              <w:rPr>
                <w:sz w:val="20"/>
                <w:szCs w:val="20"/>
              </w:rPr>
            </w:pPr>
            <w:r w:rsidRPr="00AA7777">
              <w:rPr>
                <w:sz w:val="20"/>
                <w:szCs w:val="20"/>
              </w:rPr>
              <w:t>HSCT</w:t>
            </w:r>
          </w:p>
        </w:tc>
        <w:tc>
          <w:tcPr>
            <w:tcW w:w="6886" w:type="dxa"/>
          </w:tcPr>
          <w:p w14:paraId="0000009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Haemopoietic stem cell transplantation</w:t>
            </w:r>
          </w:p>
        </w:tc>
      </w:tr>
      <w:tr w:rsidR="008D3ED4" w14:paraId="59C7924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2" w14:textId="77777777" w:rsidR="008D3ED4" w:rsidRPr="00AA7777" w:rsidRDefault="00031835" w:rsidP="00AA7777">
            <w:pPr>
              <w:rPr>
                <w:sz w:val="20"/>
                <w:szCs w:val="20"/>
              </w:rPr>
            </w:pPr>
            <w:r w:rsidRPr="00AA7777">
              <w:rPr>
                <w:sz w:val="20"/>
                <w:szCs w:val="20"/>
              </w:rPr>
              <w:t>IPI</w:t>
            </w:r>
          </w:p>
        </w:tc>
        <w:tc>
          <w:tcPr>
            <w:tcW w:w="6886" w:type="dxa"/>
          </w:tcPr>
          <w:p w14:paraId="0000009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International prognostic index</w:t>
            </w:r>
          </w:p>
        </w:tc>
      </w:tr>
      <w:tr w:rsidR="008D3ED4" w14:paraId="58429AE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4" w14:textId="77777777" w:rsidR="008D3ED4" w:rsidRPr="00AA7777" w:rsidRDefault="00031835" w:rsidP="00AA7777">
            <w:pPr>
              <w:rPr>
                <w:sz w:val="20"/>
                <w:szCs w:val="20"/>
              </w:rPr>
            </w:pPr>
            <w:r w:rsidRPr="00AA7777">
              <w:rPr>
                <w:sz w:val="20"/>
                <w:szCs w:val="20"/>
              </w:rPr>
              <w:t>ITT</w:t>
            </w:r>
          </w:p>
        </w:tc>
        <w:tc>
          <w:tcPr>
            <w:tcW w:w="6886" w:type="dxa"/>
          </w:tcPr>
          <w:p w14:paraId="0000009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Intention to Treat</w:t>
            </w:r>
          </w:p>
        </w:tc>
      </w:tr>
      <w:tr w:rsidR="008D3ED4" w14:paraId="0E3E9C1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6" w14:textId="77777777" w:rsidR="008D3ED4" w:rsidRPr="00AA7777" w:rsidRDefault="00031835" w:rsidP="00AA7777">
            <w:pPr>
              <w:rPr>
                <w:sz w:val="20"/>
                <w:szCs w:val="20"/>
              </w:rPr>
            </w:pPr>
            <w:r w:rsidRPr="00AA7777">
              <w:rPr>
                <w:sz w:val="20"/>
                <w:szCs w:val="20"/>
              </w:rPr>
              <w:t>IV</w:t>
            </w:r>
          </w:p>
        </w:tc>
        <w:tc>
          <w:tcPr>
            <w:tcW w:w="6886" w:type="dxa"/>
          </w:tcPr>
          <w:p w14:paraId="0000009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Intravenous</w:t>
            </w:r>
          </w:p>
        </w:tc>
      </w:tr>
      <w:tr w:rsidR="008D3ED4" w14:paraId="12F5F878"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8" w14:textId="77777777" w:rsidR="008D3ED4" w:rsidRPr="00AA7777" w:rsidRDefault="00031835" w:rsidP="00AA7777">
            <w:pPr>
              <w:rPr>
                <w:sz w:val="20"/>
                <w:szCs w:val="20"/>
              </w:rPr>
            </w:pPr>
            <w:r w:rsidRPr="00AA7777">
              <w:rPr>
                <w:sz w:val="20"/>
                <w:szCs w:val="20"/>
              </w:rPr>
              <w:t>L</w:t>
            </w:r>
          </w:p>
        </w:tc>
        <w:tc>
          <w:tcPr>
            <w:tcW w:w="6886" w:type="dxa"/>
          </w:tcPr>
          <w:p w14:paraId="0000009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Litre(s)</w:t>
            </w:r>
          </w:p>
        </w:tc>
      </w:tr>
      <w:tr w:rsidR="008D3ED4" w14:paraId="0149C13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A" w14:textId="77777777" w:rsidR="008D3ED4" w:rsidRPr="00AA7777" w:rsidRDefault="00031835" w:rsidP="00AA7777">
            <w:pPr>
              <w:rPr>
                <w:sz w:val="20"/>
                <w:szCs w:val="20"/>
              </w:rPr>
            </w:pPr>
            <w:r w:rsidRPr="00AA7777">
              <w:rPr>
                <w:sz w:val="20"/>
                <w:szCs w:val="20"/>
              </w:rPr>
              <w:t>LDH</w:t>
            </w:r>
          </w:p>
        </w:tc>
        <w:tc>
          <w:tcPr>
            <w:tcW w:w="6886" w:type="dxa"/>
          </w:tcPr>
          <w:p w14:paraId="0000009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Lactate </w:t>
            </w:r>
            <w:r w:rsidRPr="00AA7777">
              <w:rPr>
                <w:sz w:val="20"/>
                <w:szCs w:val="20"/>
              </w:rPr>
              <w:t>dehydrogenase</w:t>
            </w:r>
          </w:p>
        </w:tc>
      </w:tr>
      <w:tr w:rsidR="008D3ED4" w14:paraId="0586994D"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C" w14:textId="77777777" w:rsidR="008D3ED4" w:rsidRPr="00AA7777" w:rsidRDefault="00031835" w:rsidP="00AA7777">
            <w:pPr>
              <w:rPr>
                <w:sz w:val="20"/>
                <w:szCs w:val="20"/>
              </w:rPr>
            </w:pPr>
            <w:r w:rsidRPr="00AA7777">
              <w:rPr>
                <w:sz w:val="20"/>
                <w:szCs w:val="20"/>
              </w:rPr>
              <w:t>LFTs</w:t>
            </w:r>
          </w:p>
        </w:tc>
        <w:tc>
          <w:tcPr>
            <w:tcW w:w="6886" w:type="dxa"/>
          </w:tcPr>
          <w:p w14:paraId="0000009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Liver function tests</w:t>
            </w:r>
          </w:p>
        </w:tc>
      </w:tr>
      <w:tr w:rsidR="008D3ED4" w14:paraId="17B3E08A"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9E" w14:textId="77777777" w:rsidR="008D3ED4" w:rsidRPr="00AA7777" w:rsidRDefault="00031835" w:rsidP="00AA7777">
            <w:pPr>
              <w:rPr>
                <w:sz w:val="20"/>
                <w:szCs w:val="20"/>
              </w:rPr>
            </w:pPr>
            <w:r w:rsidRPr="00AA7777">
              <w:rPr>
                <w:sz w:val="20"/>
                <w:szCs w:val="20"/>
              </w:rPr>
              <w:t>LLOQ</w:t>
            </w:r>
          </w:p>
        </w:tc>
        <w:tc>
          <w:tcPr>
            <w:tcW w:w="6886" w:type="dxa"/>
          </w:tcPr>
          <w:p w14:paraId="0000009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Lower limit of quantification</w:t>
            </w:r>
          </w:p>
        </w:tc>
      </w:tr>
      <w:tr w:rsidR="008D3ED4" w14:paraId="6AB9CAA1"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0" w14:textId="77777777" w:rsidR="008D3ED4" w:rsidRPr="00AA7777" w:rsidRDefault="00031835" w:rsidP="00AA7777">
            <w:pPr>
              <w:rPr>
                <w:sz w:val="20"/>
                <w:szCs w:val="20"/>
              </w:rPr>
            </w:pPr>
            <w:r w:rsidRPr="00AA7777">
              <w:rPr>
                <w:sz w:val="20"/>
                <w:szCs w:val="20"/>
              </w:rPr>
              <w:t>MDS</w:t>
            </w:r>
          </w:p>
        </w:tc>
        <w:tc>
          <w:tcPr>
            <w:tcW w:w="6886" w:type="dxa"/>
          </w:tcPr>
          <w:p w14:paraId="000000A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Myelodysplastic syndrome</w:t>
            </w:r>
          </w:p>
        </w:tc>
      </w:tr>
      <w:tr w:rsidR="008D3ED4" w14:paraId="749F81C5"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2" w14:textId="77777777" w:rsidR="008D3ED4" w:rsidRPr="00AA7777" w:rsidRDefault="00031835" w:rsidP="00AA7777">
            <w:pPr>
              <w:rPr>
                <w:sz w:val="20"/>
                <w:szCs w:val="20"/>
              </w:rPr>
            </w:pPr>
            <w:r w:rsidRPr="00AA7777">
              <w:rPr>
                <w:sz w:val="20"/>
                <w:szCs w:val="20"/>
              </w:rPr>
              <w:t>MedDRA</w:t>
            </w:r>
          </w:p>
        </w:tc>
        <w:tc>
          <w:tcPr>
            <w:tcW w:w="6886" w:type="dxa"/>
          </w:tcPr>
          <w:p w14:paraId="000000A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Medical dictionary for regulatory activities</w:t>
            </w:r>
          </w:p>
        </w:tc>
      </w:tr>
      <w:tr w:rsidR="008D3ED4" w14:paraId="26425B9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4" w14:textId="77777777" w:rsidR="008D3ED4" w:rsidRPr="00AA7777" w:rsidRDefault="00031835" w:rsidP="00AA7777">
            <w:pPr>
              <w:rPr>
                <w:sz w:val="20"/>
                <w:szCs w:val="20"/>
              </w:rPr>
            </w:pPr>
            <w:r w:rsidRPr="00AA7777">
              <w:rPr>
                <w:sz w:val="20"/>
                <w:szCs w:val="20"/>
              </w:rPr>
              <w:t>MMAE</w:t>
            </w:r>
          </w:p>
        </w:tc>
        <w:tc>
          <w:tcPr>
            <w:tcW w:w="6886" w:type="dxa"/>
          </w:tcPr>
          <w:p w14:paraId="000000A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Monomethyl auristatin E</w:t>
            </w:r>
          </w:p>
        </w:tc>
      </w:tr>
      <w:tr w:rsidR="008D3ED4" w14:paraId="5ABFFDBA"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6" w14:textId="77777777" w:rsidR="008D3ED4" w:rsidRPr="00AA7777" w:rsidRDefault="00031835" w:rsidP="00AA7777">
            <w:pPr>
              <w:rPr>
                <w:sz w:val="20"/>
                <w:szCs w:val="20"/>
              </w:rPr>
            </w:pPr>
            <w:r w:rsidRPr="00AA7777">
              <w:rPr>
                <w:sz w:val="20"/>
                <w:szCs w:val="20"/>
              </w:rPr>
              <w:t>MRI</w:t>
            </w:r>
          </w:p>
        </w:tc>
        <w:tc>
          <w:tcPr>
            <w:tcW w:w="6886" w:type="dxa"/>
          </w:tcPr>
          <w:p w14:paraId="000000A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Magnetic Resonance Imaging</w:t>
            </w:r>
          </w:p>
        </w:tc>
      </w:tr>
      <w:tr w:rsidR="008D3ED4" w14:paraId="1275B4E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8" w14:textId="77777777" w:rsidR="008D3ED4" w:rsidRPr="00AA7777" w:rsidRDefault="00031835" w:rsidP="00AA7777">
            <w:pPr>
              <w:rPr>
                <w:sz w:val="20"/>
                <w:szCs w:val="20"/>
              </w:rPr>
            </w:pPr>
            <w:r w:rsidRPr="00AA7777">
              <w:rPr>
                <w:sz w:val="20"/>
                <w:szCs w:val="20"/>
              </w:rPr>
              <w:t>MTD</w:t>
            </w:r>
          </w:p>
        </w:tc>
        <w:tc>
          <w:tcPr>
            <w:tcW w:w="6886" w:type="dxa"/>
          </w:tcPr>
          <w:p w14:paraId="000000A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Maximum tolerated dose</w:t>
            </w:r>
          </w:p>
        </w:tc>
      </w:tr>
      <w:tr w:rsidR="008D3ED4" w14:paraId="48AA67D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A" w14:textId="77777777" w:rsidR="008D3ED4" w:rsidRPr="00AA7777" w:rsidRDefault="00031835" w:rsidP="00AA7777">
            <w:pPr>
              <w:rPr>
                <w:sz w:val="20"/>
                <w:szCs w:val="20"/>
              </w:rPr>
            </w:pPr>
            <w:r w:rsidRPr="00AA7777">
              <w:rPr>
                <w:sz w:val="20"/>
                <w:szCs w:val="20"/>
              </w:rPr>
              <w:t>NCI</w:t>
            </w:r>
          </w:p>
        </w:tc>
        <w:tc>
          <w:tcPr>
            <w:tcW w:w="6886" w:type="dxa"/>
          </w:tcPr>
          <w:p w14:paraId="000000A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National Cancer Institute</w:t>
            </w:r>
          </w:p>
        </w:tc>
      </w:tr>
      <w:tr w:rsidR="008D3ED4" w14:paraId="4C5FC14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C" w14:textId="77777777" w:rsidR="008D3ED4" w:rsidRPr="00AA7777" w:rsidRDefault="00031835" w:rsidP="00AA7777">
            <w:pPr>
              <w:rPr>
                <w:sz w:val="20"/>
                <w:szCs w:val="20"/>
              </w:rPr>
            </w:pPr>
            <w:r w:rsidRPr="00AA7777">
              <w:rPr>
                <w:sz w:val="20"/>
                <w:szCs w:val="20"/>
              </w:rPr>
              <w:t>NHL</w:t>
            </w:r>
          </w:p>
        </w:tc>
        <w:tc>
          <w:tcPr>
            <w:tcW w:w="6886" w:type="dxa"/>
          </w:tcPr>
          <w:p w14:paraId="000000A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Non-Hodgkin lymphoma</w:t>
            </w:r>
          </w:p>
        </w:tc>
      </w:tr>
      <w:tr w:rsidR="008D3ED4" w14:paraId="1087D1BD"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AE" w14:textId="77777777" w:rsidR="008D3ED4" w:rsidRPr="00AA7777" w:rsidRDefault="00031835" w:rsidP="00AA7777">
            <w:pPr>
              <w:rPr>
                <w:sz w:val="20"/>
                <w:szCs w:val="20"/>
              </w:rPr>
            </w:pPr>
            <w:r w:rsidRPr="00AA7777">
              <w:rPr>
                <w:sz w:val="20"/>
                <w:szCs w:val="20"/>
              </w:rPr>
              <w:t>ORR</w:t>
            </w:r>
          </w:p>
        </w:tc>
        <w:tc>
          <w:tcPr>
            <w:tcW w:w="6886" w:type="dxa"/>
          </w:tcPr>
          <w:p w14:paraId="000000A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Objective Response Rate</w:t>
            </w:r>
          </w:p>
        </w:tc>
      </w:tr>
      <w:tr w:rsidR="008D3ED4" w14:paraId="4585F190"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0" w14:textId="77777777" w:rsidR="008D3ED4" w:rsidRPr="00AA7777" w:rsidRDefault="00031835" w:rsidP="00AA7777">
            <w:pPr>
              <w:rPr>
                <w:sz w:val="20"/>
                <w:szCs w:val="20"/>
              </w:rPr>
            </w:pPr>
            <w:r w:rsidRPr="00AA7777">
              <w:rPr>
                <w:sz w:val="20"/>
                <w:szCs w:val="20"/>
              </w:rPr>
              <w:t>OS</w:t>
            </w:r>
          </w:p>
        </w:tc>
        <w:tc>
          <w:tcPr>
            <w:tcW w:w="6886" w:type="dxa"/>
          </w:tcPr>
          <w:p w14:paraId="000000B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Overall Survival</w:t>
            </w:r>
          </w:p>
        </w:tc>
      </w:tr>
      <w:tr w:rsidR="008D3ED4" w14:paraId="3E90FA1A"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2" w14:textId="77777777" w:rsidR="008D3ED4" w:rsidRPr="00AA7777" w:rsidRDefault="00031835" w:rsidP="00AA7777">
            <w:pPr>
              <w:rPr>
                <w:sz w:val="20"/>
                <w:szCs w:val="20"/>
              </w:rPr>
            </w:pPr>
            <w:r w:rsidRPr="00AA7777">
              <w:rPr>
                <w:sz w:val="20"/>
                <w:szCs w:val="20"/>
              </w:rPr>
              <w:t>PD</w:t>
            </w:r>
          </w:p>
        </w:tc>
        <w:tc>
          <w:tcPr>
            <w:tcW w:w="6886" w:type="dxa"/>
          </w:tcPr>
          <w:p w14:paraId="000000B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Pharmacodynamics or Progressive disease</w:t>
            </w:r>
          </w:p>
        </w:tc>
      </w:tr>
      <w:tr w:rsidR="008D3ED4" w14:paraId="5AD79AA6"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4" w14:textId="77777777" w:rsidR="008D3ED4" w:rsidRPr="00AA7777" w:rsidRDefault="00031835" w:rsidP="00AA7777">
            <w:pPr>
              <w:rPr>
                <w:sz w:val="20"/>
                <w:szCs w:val="20"/>
              </w:rPr>
            </w:pPr>
            <w:r w:rsidRPr="00AA7777">
              <w:rPr>
                <w:sz w:val="20"/>
                <w:szCs w:val="20"/>
              </w:rPr>
              <w:t>PET</w:t>
            </w:r>
          </w:p>
        </w:tc>
        <w:tc>
          <w:tcPr>
            <w:tcW w:w="6886" w:type="dxa"/>
          </w:tcPr>
          <w:p w14:paraId="000000B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Positron emission tomography</w:t>
            </w:r>
          </w:p>
        </w:tc>
      </w:tr>
      <w:tr w:rsidR="008D3ED4" w14:paraId="1C54BF07"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6" w14:textId="77777777" w:rsidR="008D3ED4" w:rsidRPr="00AA7777" w:rsidRDefault="00031835" w:rsidP="00AA7777">
            <w:pPr>
              <w:rPr>
                <w:sz w:val="20"/>
                <w:szCs w:val="20"/>
              </w:rPr>
            </w:pPr>
            <w:r w:rsidRPr="00AA7777">
              <w:rPr>
                <w:sz w:val="20"/>
                <w:szCs w:val="20"/>
              </w:rPr>
              <w:t>PFS</w:t>
            </w:r>
          </w:p>
        </w:tc>
        <w:tc>
          <w:tcPr>
            <w:tcW w:w="6886" w:type="dxa"/>
          </w:tcPr>
          <w:p w14:paraId="000000B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Progression free survival</w:t>
            </w:r>
          </w:p>
        </w:tc>
      </w:tr>
      <w:tr w:rsidR="008D3ED4" w14:paraId="7A313885"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8" w14:textId="77777777" w:rsidR="008D3ED4" w:rsidRPr="00AA7777" w:rsidRDefault="00031835" w:rsidP="00AA7777">
            <w:pPr>
              <w:rPr>
                <w:sz w:val="20"/>
                <w:szCs w:val="20"/>
              </w:rPr>
            </w:pPr>
            <w:r w:rsidRPr="00AA7777">
              <w:rPr>
                <w:sz w:val="20"/>
                <w:szCs w:val="20"/>
              </w:rPr>
              <w:lastRenderedPageBreak/>
              <w:t>PI</w:t>
            </w:r>
          </w:p>
        </w:tc>
        <w:tc>
          <w:tcPr>
            <w:tcW w:w="6886" w:type="dxa"/>
          </w:tcPr>
          <w:p w14:paraId="000000B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Product Information </w:t>
            </w:r>
          </w:p>
        </w:tc>
      </w:tr>
      <w:tr w:rsidR="008D3ED4" w14:paraId="4D52435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A" w14:textId="77777777" w:rsidR="008D3ED4" w:rsidRPr="00AA7777" w:rsidRDefault="00031835" w:rsidP="00AA7777">
            <w:pPr>
              <w:rPr>
                <w:sz w:val="20"/>
                <w:szCs w:val="20"/>
              </w:rPr>
            </w:pPr>
            <w:r w:rsidRPr="00AA7777">
              <w:rPr>
                <w:sz w:val="20"/>
                <w:szCs w:val="20"/>
              </w:rPr>
              <w:t>PK</w:t>
            </w:r>
          </w:p>
        </w:tc>
        <w:tc>
          <w:tcPr>
            <w:tcW w:w="6886" w:type="dxa"/>
          </w:tcPr>
          <w:p w14:paraId="000000B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Pharmacokinetics</w:t>
            </w:r>
          </w:p>
        </w:tc>
      </w:tr>
      <w:tr w:rsidR="008D3ED4" w14:paraId="67EF737E"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C" w14:textId="77777777" w:rsidR="008D3ED4" w:rsidRPr="00AA7777" w:rsidRDefault="00031835" w:rsidP="00AA7777">
            <w:pPr>
              <w:rPr>
                <w:sz w:val="20"/>
                <w:szCs w:val="20"/>
              </w:rPr>
            </w:pPr>
            <w:r w:rsidRPr="00AA7777">
              <w:rPr>
                <w:sz w:val="20"/>
                <w:szCs w:val="20"/>
              </w:rPr>
              <w:t>PN</w:t>
            </w:r>
          </w:p>
        </w:tc>
        <w:tc>
          <w:tcPr>
            <w:tcW w:w="6886" w:type="dxa"/>
          </w:tcPr>
          <w:p w14:paraId="000000B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Peripheral neuropathy</w:t>
            </w:r>
          </w:p>
        </w:tc>
      </w:tr>
      <w:tr w:rsidR="008D3ED4" w14:paraId="682E9CC3"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BE" w14:textId="77777777" w:rsidR="008D3ED4" w:rsidRPr="00AA7777" w:rsidRDefault="00031835" w:rsidP="00AA7777">
            <w:pPr>
              <w:rPr>
                <w:sz w:val="20"/>
                <w:szCs w:val="20"/>
              </w:rPr>
            </w:pPr>
            <w:r w:rsidRPr="00AA7777">
              <w:rPr>
                <w:sz w:val="20"/>
                <w:szCs w:val="20"/>
              </w:rPr>
              <w:t>Pola+R-CHP</w:t>
            </w:r>
          </w:p>
        </w:tc>
        <w:tc>
          <w:tcPr>
            <w:tcW w:w="6886" w:type="dxa"/>
          </w:tcPr>
          <w:p w14:paraId="000000B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Polatuzumab with rituximab, cyclophosphamide, </w:t>
            </w:r>
            <w:proofErr w:type="gramStart"/>
            <w:r w:rsidRPr="00AA7777">
              <w:rPr>
                <w:sz w:val="20"/>
                <w:szCs w:val="20"/>
              </w:rPr>
              <w:t>doxorubicin</w:t>
            </w:r>
            <w:proofErr w:type="gramEnd"/>
            <w:r w:rsidRPr="00AA7777">
              <w:rPr>
                <w:sz w:val="20"/>
                <w:szCs w:val="20"/>
              </w:rPr>
              <w:t xml:space="preserve"> and prednisolone</w:t>
            </w:r>
          </w:p>
        </w:tc>
      </w:tr>
      <w:tr w:rsidR="008D3ED4" w14:paraId="5F40C592"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0" w14:textId="77777777" w:rsidR="008D3ED4" w:rsidRPr="00AA7777" w:rsidRDefault="00031835" w:rsidP="00AA7777">
            <w:pPr>
              <w:rPr>
                <w:sz w:val="20"/>
                <w:szCs w:val="20"/>
              </w:rPr>
            </w:pPr>
            <w:r w:rsidRPr="00AA7777">
              <w:rPr>
                <w:sz w:val="20"/>
                <w:szCs w:val="20"/>
              </w:rPr>
              <w:t>PR</w:t>
            </w:r>
          </w:p>
        </w:tc>
        <w:tc>
          <w:tcPr>
            <w:tcW w:w="6886" w:type="dxa"/>
          </w:tcPr>
          <w:p w14:paraId="000000C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Partial Response</w:t>
            </w:r>
          </w:p>
        </w:tc>
      </w:tr>
      <w:tr w:rsidR="008D3ED4" w14:paraId="52E85EFC"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2" w14:textId="77777777" w:rsidR="008D3ED4" w:rsidRPr="00AA7777" w:rsidRDefault="00031835" w:rsidP="00AA7777">
            <w:pPr>
              <w:rPr>
                <w:sz w:val="20"/>
                <w:szCs w:val="20"/>
              </w:rPr>
            </w:pPr>
            <w:r w:rsidRPr="00AA7777">
              <w:rPr>
                <w:sz w:val="20"/>
                <w:szCs w:val="20"/>
              </w:rPr>
              <w:t>PRO</w:t>
            </w:r>
          </w:p>
        </w:tc>
        <w:tc>
          <w:tcPr>
            <w:tcW w:w="6886" w:type="dxa"/>
          </w:tcPr>
          <w:p w14:paraId="000000C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Patient reported outcome</w:t>
            </w:r>
          </w:p>
        </w:tc>
      </w:tr>
      <w:tr w:rsidR="008D3ED4" w14:paraId="3790C76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4" w14:textId="77777777" w:rsidR="008D3ED4" w:rsidRPr="00AA7777" w:rsidRDefault="00031835" w:rsidP="00AA7777">
            <w:pPr>
              <w:rPr>
                <w:sz w:val="20"/>
                <w:szCs w:val="20"/>
              </w:rPr>
            </w:pPr>
            <w:r w:rsidRPr="00AA7777">
              <w:rPr>
                <w:sz w:val="20"/>
                <w:szCs w:val="20"/>
              </w:rPr>
              <w:t>R-CHOP</w:t>
            </w:r>
          </w:p>
        </w:tc>
        <w:tc>
          <w:tcPr>
            <w:tcW w:w="6886" w:type="dxa"/>
          </w:tcPr>
          <w:p w14:paraId="000000C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Rituximab, </w:t>
            </w:r>
            <w:r w:rsidRPr="00AA7777">
              <w:rPr>
                <w:sz w:val="20"/>
                <w:szCs w:val="20"/>
              </w:rPr>
              <w:t xml:space="preserve">cyclophosphamide, doxorubicin, </w:t>
            </w:r>
            <w:proofErr w:type="gramStart"/>
            <w:r w:rsidRPr="00AA7777">
              <w:rPr>
                <w:sz w:val="20"/>
                <w:szCs w:val="20"/>
              </w:rPr>
              <w:t>vincristine</w:t>
            </w:r>
            <w:proofErr w:type="gramEnd"/>
            <w:r w:rsidRPr="00AA7777">
              <w:rPr>
                <w:sz w:val="20"/>
                <w:szCs w:val="20"/>
              </w:rPr>
              <w:t xml:space="preserve"> and prednisolone</w:t>
            </w:r>
          </w:p>
        </w:tc>
      </w:tr>
      <w:tr w:rsidR="008D3ED4" w14:paraId="483FB7A7"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6" w14:textId="77777777" w:rsidR="008D3ED4" w:rsidRPr="00AA7777" w:rsidRDefault="00031835" w:rsidP="00AA7777">
            <w:pPr>
              <w:rPr>
                <w:sz w:val="20"/>
                <w:szCs w:val="20"/>
              </w:rPr>
            </w:pPr>
            <w:r w:rsidRPr="00AA7777">
              <w:rPr>
                <w:sz w:val="20"/>
                <w:szCs w:val="20"/>
              </w:rPr>
              <w:t>R-CHP</w:t>
            </w:r>
          </w:p>
        </w:tc>
        <w:tc>
          <w:tcPr>
            <w:tcW w:w="6886" w:type="dxa"/>
          </w:tcPr>
          <w:p w14:paraId="000000C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Rituximab, cyclophosphamide, </w:t>
            </w:r>
            <w:proofErr w:type="gramStart"/>
            <w:r w:rsidRPr="00AA7777">
              <w:rPr>
                <w:sz w:val="20"/>
                <w:szCs w:val="20"/>
              </w:rPr>
              <w:t>doxorubicin</w:t>
            </w:r>
            <w:proofErr w:type="gramEnd"/>
            <w:r w:rsidRPr="00AA7777">
              <w:rPr>
                <w:sz w:val="20"/>
                <w:szCs w:val="20"/>
              </w:rPr>
              <w:t xml:space="preserve"> and prednisolone</w:t>
            </w:r>
          </w:p>
        </w:tc>
      </w:tr>
      <w:tr w:rsidR="008D3ED4" w14:paraId="4F7562B3"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8" w14:textId="77777777" w:rsidR="008D3ED4" w:rsidRPr="00AA7777" w:rsidRDefault="00031835" w:rsidP="00AA7777">
            <w:pPr>
              <w:rPr>
                <w:sz w:val="20"/>
                <w:szCs w:val="20"/>
              </w:rPr>
            </w:pPr>
            <w:r w:rsidRPr="00AA7777">
              <w:rPr>
                <w:sz w:val="20"/>
                <w:szCs w:val="20"/>
              </w:rPr>
              <w:t>SAE</w:t>
            </w:r>
          </w:p>
        </w:tc>
        <w:tc>
          <w:tcPr>
            <w:tcW w:w="6886" w:type="dxa"/>
          </w:tcPr>
          <w:p w14:paraId="000000C9"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Serious Adverse Event</w:t>
            </w:r>
          </w:p>
        </w:tc>
      </w:tr>
      <w:tr w:rsidR="008D3ED4" w14:paraId="65584F7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A" w14:textId="77777777" w:rsidR="008D3ED4" w:rsidRPr="00AA7777" w:rsidRDefault="00031835" w:rsidP="00AA7777">
            <w:pPr>
              <w:rPr>
                <w:sz w:val="20"/>
                <w:szCs w:val="20"/>
              </w:rPr>
            </w:pPr>
            <w:r w:rsidRPr="00AA7777">
              <w:rPr>
                <w:sz w:val="20"/>
                <w:szCs w:val="20"/>
              </w:rPr>
              <w:t>SD</w:t>
            </w:r>
          </w:p>
        </w:tc>
        <w:tc>
          <w:tcPr>
            <w:tcW w:w="6886" w:type="dxa"/>
          </w:tcPr>
          <w:p w14:paraId="000000CB"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Stable Disease or standard deviation</w:t>
            </w:r>
          </w:p>
        </w:tc>
      </w:tr>
      <w:tr w:rsidR="008D3ED4" w14:paraId="07EE1574"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C" w14:textId="77777777" w:rsidR="008D3ED4" w:rsidRPr="00AA7777" w:rsidRDefault="00031835" w:rsidP="00AA7777">
            <w:pPr>
              <w:rPr>
                <w:sz w:val="20"/>
                <w:szCs w:val="20"/>
              </w:rPr>
            </w:pPr>
            <w:r w:rsidRPr="00AA7777">
              <w:rPr>
                <w:sz w:val="20"/>
                <w:szCs w:val="20"/>
              </w:rPr>
              <w:t>SMQ</w:t>
            </w:r>
          </w:p>
        </w:tc>
        <w:tc>
          <w:tcPr>
            <w:tcW w:w="6886" w:type="dxa"/>
          </w:tcPr>
          <w:p w14:paraId="000000CD"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Standardised MedDRA query</w:t>
            </w:r>
          </w:p>
        </w:tc>
      </w:tr>
      <w:tr w:rsidR="008D3ED4" w14:paraId="53B9A89B"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CE" w14:textId="77777777" w:rsidR="008D3ED4" w:rsidRPr="00AA7777" w:rsidRDefault="00031835" w:rsidP="00AA7777">
            <w:pPr>
              <w:rPr>
                <w:sz w:val="20"/>
                <w:szCs w:val="20"/>
              </w:rPr>
            </w:pPr>
            <w:r w:rsidRPr="00AA7777">
              <w:rPr>
                <w:sz w:val="20"/>
                <w:szCs w:val="20"/>
              </w:rPr>
              <w:t>TCV</w:t>
            </w:r>
          </w:p>
        </w:tc>
        <w:tc>
          <w:tcPr>
            <w:tcW w:w="6886" w:type="dxa"/>
          </w:tcPr>
          <w:p w14:paraId="000000CF"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 xml:space="preserve">Treatment </w:t>
            </w:r>
            <w:r w:rsidRPr="00AA7777">
              <w:rPr>
                <w:sz w:val="20"/>
                <w:szCs w:val="20"/>
              </w:rPr>
              <w:t>completion visit</w:t>
            </w:r>
          </w:p>
        </w:tc>
      </w:tr>
      <w:tr w:rsidR="008D3ED4" w14:paraId="14861542"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D0" w14:textId="77777777" w:rsidR="008D3ED4" w:rsidRPr="00AA7777" w:rsidRDefault="00031835" w:rsidP="00AA7777">
            <w:pPr>
              <w:rPr>
                <w:sz w:val="20"/>
                <w:szCs w:val="20"/>
              </w:rPr>
            </w:pPr>
            <w:r w:rsidRPr="00AA7777">
              <w:rPr>
                <w:sz w:val="20"/>
                <w:szCs w:val="20"/>
              </w:rPr>
              <w:t>TGA</w:t>
            </w:r>
          </w:p>
        </w:tc>
        <w:tc>
          <w:tcPr>
            <w:tcW w:w="6886" w:type="dxa"/>
          </w:tcPr>
          <w:p w14:paraId="000000D1"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Therapeutic Goods Administration</w:t>
            </w:r>
          </w:p>
        </w:tc>
      </w:tr>
      <w:tr w:rsidR="008D3ED4" w14:paraId="76EA3B5F"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D2" w14:textId="77777777" w:rsidR="008D3ED4" w:rsidRPr="00AA7777" w:rsidRDefault="00031835" w:rsidP="00AA7777">
            <w:pPr>
              <w:rPr>
                <w:sz w:val="20"/>
                <w:szCs w:val="20"/>
              </w:rPr>
            </w:pPr>
            <w:r w:rsidRPr="00AA7777">
              <w:rPr>
                <w:sz w:val="20"/>
                <w:szCs w:val="20"/>
              </w:rPr>
              <w:t>ULN</w:t>
            </w:r>
          </w:p>
        </w:tc>
        <w:tc>
          <w:tcPr>
            <w:tcW w:w="6886" w:type="dxa"/>
          </w:tcPr>
          <w:p w14:paraId="000000D3"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Upper Limit of Normal</w:t>
            </w:r>
          </w:p>
        </w:tc>
      </w:tr>
      <w:tr w:rsidR="008D3ED4" w14:paraId="12F4A6C6"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D4" w14:textId="77777777" w:rsidR="008D3ED4" w:rsidRPr="00AA7777" w:rsidRDefault="00031835" w:rsidP="00AA7777">
            <w:pPr>
              <w:rPr>
                <w:sz w:val="20"/>
                <w:szCs w:val="20"/>
              </w:rPr>
            </w:pPr>
            <w:r w:rsidRPr="00AA7777">
              <w:rPr>
                <w:sz w:val="20"/>
                <w:szCs w:val="20"/>
              </w:rPr>
              <w:t>Vss</w:t>
            </w:r>
          </w:p>
        </w:tc>
        <w:tc>
          <w:tcPr>
            <w:tcW w:w="6886" w:type="dxa"/>
          </w:tcPr>
          <w:p w14:paraId="000000D5"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Volume of distribution at steady state</w:t>
            </w:r>
          </w:p>
        </w:tc>
      </w:tr>
      <w:tr w:rsidR="008D3ED4" w14:paraId="4EAEA5C3" w14:textId="77777777" w:rsidTr="008D3ED4">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000000D6" w14:textId="77777777" w:rsidR="008D3ED4" w:rsidRPr="00AA7777" w:rsidRDefault="00031835" w:rsidP="00AA7777">
            <w:pPr>
              <w:rPr>
                <w:sz w:val="20"/>
                <w:szCs w:val="20"/>
              </w:rPr>
            </w:pPr>
            <w:proofErr w:type="spellStart"/>
            <w:r w:rsidRPr="00AA7777">
              <w:rPr>
                <w:sz w:val="20"/>
                <w:szCs w:val="20"/>
              </w:rPr>
              <w:t>Vz</w:t>
            </w:r>
            <w:proofErr w:type="spellEnd"/>
          </w:p>
        </w:tc>
        <w:tc>
          <w:tcPr>
            <w:tcW w:w="6886" w:type="dxa"/>
          </w:tcPr>
          <w:p w14:paraId="000000D7" w14:textId="77777777" w:rsidR="008D3ED4" w:rsidRPr="00AA7777" w:rsidRDefault="00031835" w:rsidP="00AA7777">
            <w:pPr>
              <w:cnfStyle w:val="000000000000" w:firstRow="0" w:lastRow="0" w:firstColumn="0" w:lastColumn="0" w:oddVBand="0" w:evenVBand="0" w:oddHBand="0" w:evenHBand="0" w:firstRowFirstColumn="0" w:firstRowLastColumn="0" w:lastRowFirstColumn="0" w:lastRowLastColumn="0"/>
              <w:rPr>
                <w:sz w:val="20"/>
                <w:szCs w:val="20"/>
              </w:rPr>
            </w:pPr>
            <w:r w:rsidRPr="00AA7777">
              <w:rPr>
                <w:sz w:val="20"/>
                <w:szCs w:val="20"/>
              </w:rPr>
              <w:t>Volume of distribution</w:t>
            </w:r>
          </w:p>
        </w:tc>
      </w:tr>
    </w:tbl>
    <w:p w14:paraId="000000D8" w14:textId="77777777" w:rsidR="008D3ED4" w:rsidRDefault="008D3ED4"/>
    <w:p w14:paraId="000000D9" w14:textId="77777777" w:rsidR="008D3ED4" w:rsidRDefault="00031835">
      <w:pPr>
        <w:spacing w:after="200"/>
        <w:rPr>
          <w:b/>
          <w:i/>
          <w:sz w:val="24"/>
          <w:szCs w:val="24"/>
        </w:rPr>
      </w:pPr>
      <w:r>
        <w:br w:type="page"/>
      </w:r>
    </w:p>
    <w:p w14:paraId="000000DA" w14:textId="77777777" w:rsidR="008D3ED4" w:rsidRDefault="00031835">
      <w:pPr>
        <w:pStyle w:val="Heading2"/>
      </w:pPr>
      <w:bookmarkStart w:id="1" w:name="_Toc175921908"/>
      <w:r>
        <w:lastRenderedPageBreak/>
        <w:t>Product submission</w:t>
      </w:r>
      <w:bookmarkEnd w:id="1"/>
    </w:p>
    <w:p w14:paraId="000000DB" w14:textId="77777777" w:rsidR="008D3ED4" w:rsidRDefault="00031835">
      <w:pPr>
        <w:pStyle w:val="Heading3"/>
      </w:pPr>
      <w:bookmarkStart w:id="2" w:name="_Toc175921909"/>
      <w:r>
        <w:t>Submission details</w:t>
      </w:r>
      <w:bookmarkEnd w:id="2"/>
    </w:p>
    <w:tbl>
      <w:tblPr>
        <w:tblStyle w:val="a1"/>
        <w:tblW w:w="9070" w:type="dxa"/>
        <w:tblLayout w:type="fixed"/>
        <w:tblLook w:val="0000" w:firstRow="0" w:lastRow="0" w:firstColumn="0" w:lastColumn="0" w:noHBand="0" w:noVBand="0"/>
      </w:tblPr>
      <w:tblGrid>
        <w:gridCol w:w="3544"/>
        <w:gridCol w:w="5526"/>
      </w:tblGrid>
      <w:tr w:rsidR="008D3ED4" w14:paraId="1D1A0DA6" w14:textId="77777777" w:rsidTr="004C4E70">
        <w:tc>
          <w:tcPr>
            <w:tcW w:w="3544" w:type="dxa"/>
          </w:tcPr>
          <w:p w14:paraId="000000DC" w14:textId="77777777" w:rsidR="008D3ED4" w:rsidRDefault="00031835">
            <w:pPr>
              <w:rPr>
                <w:i/>
              </w:rPr>
            </w:pPr>
            <w:r>
              <w:rPr>
                <w:i/>
              </w:rPr>
              <w:t>Type of submission:</w:t>
            </w:r>
          </w:p>
        </w:tc>
        <w:tc>
          <w:tcPr>
            <w:tcW w:w="5526" w:type="dxa"/>
          </w:tcPr>
          <w:p w14:paraId="000000DD" w14:textId="77777777" w:rsidR="008D3ED4" w:rsidRDefault="00031835">
            <w:r>
              <w:t>Extension of indications</w:t>
            </w:r>
          </w:p>
        </w:tc>
      </w:tr>
      <w:tr w:rsidR="008D3ED4" w14:paraId="0B8A4AB0" w14:textId="77777777" w:rsidTr="004C4E70">
        <w:tc>
          <w:tcPr>
            <w:tcW w:w="3544" w:type="dxa"/>
          </w:tcPr>
          <w:p w14:paraId="000000DE" w14:textId="77777777" w:rsidR="008D3ED4" w:rsidRDefault="00031835">
            <w:pPr>
              <w:rPr>
                <w:i/>
              </w:rPr>
            </w:pPr>
            <w:r>
              <w:rPr>
                <w:i/>
              </w:rPr>
              <w:t xml:space="preserve">Product </w:t>
            </w:r>
            <w:r>
              <w:rPr>
                <w:i/>
              </w:rPr>
              <w:t>name:</w:t>
            </w:r>
          </w:p>
        </w:tc>
        <w:tc>
          <w:tcPr>
            <w:tcW w:w="5526" w:type="dxa"/>
          </w:tcPr>
          <w:p w14:paraId="000000DF" w14:textId="77777777" w:rsidR="008D3ED4" w:rsidRDefault="00031835">
            <w:r>
              <w:t>Polivy</w:t>
            </w:r>
          </w:p>
        </w:tc>
      </w:tr>
      <w:tr w:rsidR="008D3ED4" w14:paraId="535FE9F3" w14:textId="77777777" w:rsidTr="004C4E70">
        <w:tc>
          <w:tcPr>
            <w:tcW w:w="3544" w:type="dxa"/>
          </w:tcPr>
          <w:p w14:paraId="000000E0" w14:textId="77777777" w:rsidR="008D3ED4" w:rsidRDefault="00031835">
            <w:pPr>
              <w:rPr>
                <w:i/>
              </w:rPr>
            </w:pPr>
            <w:r>
              <w:rPr>
                <w:i/>
              </w:rPr>
              <w:t>Active ingredient:</w:t>
            </w:r>
          </w:p>
        </w:tc>
        <w:tc>
          <w:tcPr>
            <w:tcW w:w="5526" w:type="dxa"/>
          </w:tcPr>
          <w:p w14:paraId="000000E1" w14:textId="77777777" w:rsidR="008D3ED4" w:rsidRDefault="00031835">
            <w:r>
              <w:t>Polatuzumab vedotin</w:t>
            </w:r>
          </w:p>
        </w:tc>
      </w:tr>
      <w:tr w:rsidR="008D3ED4" w14:paraId="219EE8F8" w14:textId="77777777" w:rsidTr="004C4E70">
        <w:tc>
          <w:tcPr>
            <w:tcW w:w="3544" w:type="dxa"/>
          </w:tcPr>
          <w:p w14:paraId="000000E2" w14:textId="77777777" w:rsidR="008D3ED4" w:rsidRDefault="00031835">
            <w:pPr>
              <w:rPr>
                <w:i/>
              </w:rPr>
            </w:pPr>
            <w:r>
              <w:rPr>
                <w:i/>
              </w:rPr>
              <w:t>Decision:</w:t>
            </w:r>
          </w:p>
        </w:tc>
        <w:tc>
          <w:tcPr>
            <w:tcW w:w="5526" w:type="dxa"/>
          </w:tcPr>
          <w:p w14:paraId="000000E3" w14:textId="77777777" w:rsidR="008D3ED4" w:rsidRDefault="00031835">
            <w:r>
              <w:t>Approved</w:t>
            </w:r>
          </w:p>
        </w:tc>
      </w:tr>
      <w:tr w:rsidR="008D3ED4" w14:paraId="685C35D4" w14:textId="77777777" w:rsidTr="004C4E70">
        <w:tc>
          <w:tcPr>
            <w:tcW w:w="3544" w:type="dxa"/>
          </w:tcPr>
          <w:p w14:paraId="000000E4" w14:textId="77777777" w:rsidR="008D3ED4" w:rsidRDefault="00031835">
            <w:r>
              <w:rPr>
                <w:i/>
              </w:rPr>
              <w:t>Date of decision:</w:t>
            </w:r>
          </w:p>
        </w:tc>
        <w:tc>
          <w:tcPr>
            <w:tcW w:w="5526" w:type="dxa"/>
          </w:tcPr>
          <w:p w14:paraId="000000E5" w14:textId="77777777" w:rsidR="008D3ED4" w:rsidRDefault="00031835">
            <w:r>
              <w:t>14 February 2023</w:t>
            </w:r>
          </w:p>
        </w:tc>
      </w:tr>
      <w:tr w:rsidR="008D3ED4" w14:paraId="3489E7A6" w14:textId="77777777" w:rsidTr="004C4E70">
        <w:tc>
          <w:tcPr>
            <w:tcW w:w="3544" w:type="dxa"/>
          </w:tcPr>
          <w:p w14:paraId="000000E6" w14:textId="77777777" w:rsidR="008D3ED4" w:rsidRDefault="00031835">
            <w:pPr>
              <w:rPr>
                <w:i/>
              </w:rPr>
            </w:pPr>
            <w:r>
              <w:rPr>
                <w:i/>
              </w:rPr>
              <w:t>Date of entry onto ARTG:</w:t>
            </w:r>
          </w:p>
        </w:tc>
        <w:tc>
          <w:tcPr>
            <w:tcW w:w="5526" w:type="dxa"/>
          </w:tcPr>
          <w:p w14:paraId="000000E7" w14:textId="77777777" w:rsidR="008D3ED4" w:rsidRDefault="00031835">
            <w:r>
              <w:t>17 February 2023</w:t>
            </w:r>
          </w:p>
        </w:tc>
      </w:tr>
      <w:tr w:rsidR="008D3ED4" w14:paraId="298898C8" w14:textId="77777777" w:rsidTr="004C4E70">
        <w:tc>
          <w:tcPr>
            <w:tcW w:w="3544" w:type="dxa"/>
          </w:tcPr>
          <w:p w14:paraId="000000E8" w14:textId="77777777" w:rsidR="008D3ED4" w:rsidRDefault="00031835">
            <w:pPr>
              <w:rPr>
                <w:i/>
              </w:rPr>
            </w:pPr>
            <w:r>
              <w:rPr>
                <w:i/>
              </w:rPr>
              <w:t>ARTG number:</w:t>
            </w:r>
          </w:p>
        </w:tc>
        <w:tc>
          <w:tcPr>
            <w:tcW w:w="5526" w:type="dxa"/>
          </w:tcPr>
          <w:p w14:paraId="000000E9" w14:textId="77777777" w:rsidR="008D3ED4" w:rsidRDefault="00031835">
            <w:r>
              <w:t>314866, 374135</w:t>
            </w:r>
          </w:p>
        </w:tc>
      </w:tr>
      <w:tr w:rsidR="008D3ED4" w14:paraId="785A0373" w14:textId="77777777" w:rsidTr="004C4E70">
        <w:tc>
          <w:tcPr>
            <w:tcW w:w="3544" w:type="dxa"/>
          </w:tcPr>
          <w:p w14:paraId="000000EA" w14:textId="77777777" w:rsidR="008D3ED4" w:rsidRDefault="00031835">
            <w:pPr>
              <w:rPr>
                <w:i/>
                <w:color w:val="0000FF"/>
                <w:u w:val="single"/>
              </w:rPr>
            </w:pPr>
            <w:r>
              <w:rPr>
                <w:rFonts w:ascii="Noto Sans Symbols" w:eastAsia="Noto Sans Symbols" w:hAnsi="Noto Sans Symbols" w:cs="Noto Sans Symbols"/>
              </w:rPr>
              <w:t>▼</w:t>
            </w:r>
            <w:hyperlink r:id="rId17">
              <w:r>
                <w:rPr>
                  <w:i/>
                  <w:color w:val="0000FF"/>
                  <w:u w:val="single"/>
                </w:rPr>
                <w:t>Black Triangle Scheme</w:t>
              </w:r>
            </w:hyperlink>
          </w:p>
        </w:tc>
        <w:tc>
          <w:tcPr>
            <w:tcW w:w="5526" w:type="dxa"/>
          </w:tcPr>
          <w:p w14:paraId="000000EB" w14:textId="77777777" w:rsidR="008D3ED4" w:rsidRDefault="00031835">
            <w:r>
              <w:t>Yes</w:t>
            </w:r>
          </w:p>
        </w:tc>
      </w:tr>
      <w:tr w:rsidR="008D3ED4" w14:paraId="304347F7" w14:textId="77777777" w:rsidTr="004C4E70">
        <w:tc>
          <w:tcPr>
            <w:tcW w:w="3544" w:type="dxa"/>
          </w:tcPr>
          <w:p w14:paraId="000000EC" w14:textId="77777777" w:rsidR="008D3ED4" w:rsidRDefault="00031835">
            <w:pPr>
              <w:rPr>
                <w:i/>
              </w:rPr>
            </w:pPr>
            <w:r>
              <w:rPr>
                <w:i/>
              </w:rPr>
              <w:t>Sponsor’s name and address:</w:t>
            </w:r>
          </w:p>
        </w:tc>
        <w:tc>
          <w:tcPr>
            <w:tcW w:w="5526" w:type="dxa"/>
          </w:tcPr>
          <w:p w14:paraId="000000ED" w14:textId="77777777" w:rsidR="008D3ED4" w:rsidRDefault="00031835">
            <w:r>
              <w:t xml:space="preserve">Roche Products Pty </w:t>
            </w:r>
            <w:proofErr w:type="gramStart"/>
            <w:r>
              <w:t>Limited,  30</w:t>
            </w:r>
            <w:proofErr w:type="gramEnd"/>
            <w:r>
              <w:t xml:space="preserve"> – 34 Hickson Road, Sydney, NSW 2000</w:t>
            </w:r>
          </w:p>
        </w:tc>
      </w:tr>
      <w:tr w:rsidR="008D3ED4" w14:paraId="202CABDE" w14:textId="77777777" w:rsidTr="004C4E70">
        <w:tc>
          <w:tcPr>
            <w:tcW w:w="3544" w:type="dxa"/>
          </w:tcPr>
          <w:p w14:paraId="000000EE" w14:textId="77777777" w:rsidR="008D3ED4" w:rsidRDefault="00031835">
            <w:pPr>
              <w:rPr>
                <w:i/>
              </w:rPr>
            </w:pPr>
            <w:r>
              <w:rPr>
                <w:i/>
              </w:rPr>
              <w:t>Dose form:</w:t>
            </w:r>
          </w:p>
        </w:tc>
        <w:tc>
          <w:tcPr>
            <w:tcW w:w="5526" w:type="dxa"/>
          </w:tcPr>
          <w:p w14:paraId="000000EF" w14:textId="77777777" w:rsidR="008D3ED4" w:rsidRDefault="00031835">
            <w:r>
              <w:t>Powder for concentrate for solution for infusion.</w:t>
            </w:r>
          </w:p>
        </w:tc>
      </w:tr>
      <w:tr w:rsidR="008D3ED4" w14:paraId="6CCA3505" w14:textId="77777777" w:rsidTr="004C4E70">
        <w:tc>
          <w:tcPr>
            <w:tcW w:w="3544" w:type="dxa"/>
          </w:tcPr>
          <w:p w14:paraId="000000F0" w14:textId="77777777" w:rsidR="008D3ED4" w:rsidRDefault="00031835">
            <w:pPr>
              <w:rPr>
                <w:i/>
              </w:rPr>
            </w:pPr>
            <w:r>
              <w:rPr>
                <w:i/>
              </w:rPr>
              <w:t>Strength:</w:t>
            </w:r>
          </w:p>
        </w:tc>
        <w:tc>
          <w:tcPr>
            <w:tcW w:w="5526" w:type="dxa"/>
          </w:tcPr>
          <w:p w14:paraId="000000F1" w14:textId="77777777" w:rsidR="008D3ED4" w:rsidRDefault="00031835">
            <w:r>
              <w:t xml:space="preserve">1 vial is designed to deliver a </w:t>
            </w:r>
            <w:r>
              <w:t>total of 30 mg or 140 mg of polatuzumab vedotin</w:t>
            </w:r>
          </w:p>
        </w:tc>
      </w:tr>
      <w:tr w:rsidR="008D3ED4" w14:paraId="2460E4B3" w14:textId="77777777" w:rsidTr="004C4E70">
        <w:tc>
          <w:tcPr>
            <w:tcW w:w="3544" w:type="dxa"/>
          </w:tcPr>
          <w:p w14:paraId="000000F2" w14:textId="77777777" w:rsidR="008D3ED4" w:rsidRDefault="00031835">
            <w:pPr>
              <w:rPr>
                <w:i/>
              </w:rPr>
            </w:pPr>
            <w:r>
              <w:rPr>
                <w:i/>
              </w:rPr>
              <w:t>Container:</w:t>
            </w:r>
          </w:p>
        </w:tc>
        <w:tc>
          <w:tcPr>
            <w:tcW w:w="5526" w:type="dxa"/>
          </w:tcPr>
          <w:p w14:paraId="000000F3" w14:textId="77777777" w:rsidR="008D3ED4" w:rsidRDefault="00031835">
            <w:r>
              <w:t>Single-use glass vial</w:t>
            </w:r>
          </w:p>
        </w:tc>
      </w:tr>
      <w:tr w:rsidR="008D3ED4" w14:paraId="34325F73" w14:textId="77777777" w:rsidTr="004C4E70">
        <w:tc>
          <w:tcPr>
            <w:tcW w:w="3544" w:type="dxa"/>
          </w:tcPr>
          <w:p w14:paraId="000000F4" w14:textId="77777777" w:rsidR="008D3ED4" w:rsidRDefault="00031835">
            <w:pPr>
              <w:rPr>
                <w:i/>
              </w:rPr>
            </w:pPr>
            <w:r>
              <w:rPr>
                <w:i/>
              </w:rPr>
              <w:t>Pack size:</w:t>
            </w:r>
          </w:p>
        </w:tc>
        <w:tc>
          <w:tcPr>
            <w:tcW w:w="5526" w:type="dxa"/>
          </w:tcPr>
          <w:p w14:paraId="000000F5" w14:textId="77777777" w:rsidR="008D3ED4" w:rsidRDefault="00031835">
            <w:r>
              <w:t>1 vial</w:t>
            </w:r>
          </w:p>
        </w:tc>
      </w:tr>
      <w:tr w:rsidR="008D3ED4" w14:paraId="0B849001" w14:textId="77777777" w:rsidTr="004C4E70">
        <w:tc>
          <w:tcPr>
            <w:tcW w:w="3544" w:type="dxa"/>
          </w:tcPr>
          <w:p w14:paraId="000000F6" w14:textId="77777777" w:rsidR="008D3ED4" w:rsidRDefault="00031835">
            <w:pPr>
              <w:rPr>
                <w:i/>
              </w:rPr>
            </w:pPr>
            <w:r>
              <w:rPr>
                <w:i/>
              </w:rPr>
              <w:t>Approved therapeutic use for the current submission:</w:t>
            </w:r>
          </w:p>
        </w:tc>
        <w:tc>
          <w:tcPr>
            <w:tcW w:w="5526" w:type="dxa"/>
          </w:tcPr>
          <w:p w14:paraId="000000F7" w14:textId="77777777" w:rsidR="008D3ED4" w:rsidRDefault="00031835">
            <w:r>
              <w:t>Polivy in combination with rituximab, cyclophosphamide, doxorubicin, and prednisone (R-CHP) is indicated for the treatment of adult patients with previously untreated diffuse large B-cell lymphoma (DLBCL).</w:t>
            </w:r>
          </w:p>
        </w:tc>
      </w:tr>
      <w:tr w:rsidR="008D3ED4" w14:paraId="779525F1" w14:textId="77777777" w:rsidTr="004C4E70">
        <w:tc>
          <w:tcPr>
            <w:tcW w:w="3544" w:type="dxa"/>
          </w:tcPr>
          <w:p w14:paraId="000000F8" w14:textId="77777777" w:rsidR="008D3ED4" w:rsidRDefault="00031835">
            <w:pPr>
              <w:rPr>
                <w:i/>
              </w:rPr>
            </w:pPr>
            <w:r>
              <w:rPr>
                <w:i/>
              </w:rPr>
              <w:t>Route of administration:</w:t>
            </w:r>
          </w:p>
        </w:tc>
        <w:tc>
          <w:tcPr>
            <w:tcW w:w="5526" w:type="dxa"/>
          </w:tcPr>
          <w:p w14:paraId="000000F9" w14:textId="77777777" w:rsidR="008D3ED4" w:rsidRDefault="00031835">
            <w:r>
              <w:t>Intravenous infusion</w:t>
            </w:r>
          </w:p>
        </w:tc>
      </w:tr>
      <w:tr w:rsidR="008D3ED4" w14:paraId="2FDD7581" w14:textId="77777777" w:rsidTr="004C4E70">
        <w:tc>
          <w:tcPr>
            <w:tcW w:w="3544" w:type="dxa"/>
          </w:tcPr>
          <w:p w14:paraId="000000FA" w14:textId="77777777" w:rsidR="008D3ED4" w:rsidRDefault="00031835">
            <w:pPr>
              <w:rPr>
                <w:i/>
              </w:rPr>
            </w:pPr>
            <w:r>
              <w:rPr>
                <w:i/>
              </w:rPr>
              <w:t>Dosage:</w:t>
            </w:r>
          </w:p>
        </w:tc>
        <w:tc>
          <w:tcPr>
            <w:tcW w:w="5526" w:type="dxa"/>
          </w:tcPr>
          <w:p w14:paraId="000000FB" w14:textId="77777777" w:rsidR="008D3ED4" w:rsidRDefault="00031835">
            <w:pPr>
              <w:rPr>
                <w:b/>
              </w:rPr>
            </w:pPr>
            <w:r>
              <w:rPr>
                <w:b/>
                <w:i/>
              </w:rPr>
              <w:t xml:space="preserve">Previously untreated patients: </w:t>
            </w:r>
          </w:p>
          <w:p w14:paraId="000000FC" w14:textId="77777777" w:rsidR="008D3ED4" w:rsidRDefault="00031835">
            <w:r>
              <w:t xml:space="preserve">The recommended dose of Polivy is 1.8 mg/kg given as an intravenous infusion every 21 days for 6 cycles in combination with rituximab, cyclophosphamide, </w:t>
            </w:r>
            <w:proofErr w:type="gramStart"/>
            <w:r>
              <w:t>doxorubicin</w:t>
            </w:r>
            <w:proofErr w:type="gramEnd"/>
            <w:r>
              <w:t xml:space="preserve"> and prednisone (R-CHP). Polivy, rituximab, cyclophosphamide, and doxorubicin can be administered in any order on Day 1 after the administration of prednisone. Prednisone is administered on Days 1–5 of each cycle. Cycles 7 and 8 consist of rituximab as monotherapy. </w:t>
            </w:r>
          </w:p>
          <w:p w14:paraId="000000FD" w14:textId="77777777" w:rsidR="008D3ED4" w:rsidRDefault="00031835">
            <w:pPr>
              <w:rPr>
                <w:b/>
              </w:rPr>
            </w:pPr>
            <w:r>
              <w:rPr>
                <w:b/>
                <w:i/>
              </w:rPr>
              <w:t xml:space="preserve">Previously treated patients: </w:t>
            </w:r>
          </w:p>
          <w:p w14:paraId="000000FE" w14:textId="77777777" w:rsidR="008D3ED4" w:rsidRDefault="00031835">
            <w:r>
              <w:t xml:space="preserve">The recommended dose of Polivy is 1.8 mg/kg given as an intravenous infusion every 21 days in combination with bendamustine and rituximab for 6 cycles. Polivy, bendamustine and rituximab can be administered in any order on Day 1 of each cycle. The recommended </w:t>
            </w:r>
            <w:r>
              <w:lastRenderedPageBreak/>
              <w:t>dose of bendamustine is 90 mg/m</w:t>
            </w:r>
            <w:r w:rsidRPr="000273FA">
              <w:rPr>
                <w:vertAlign w:val="superscript"/>
              </w:rPr>
              <w:t>2</w:t>
            </w:r>
            <w:r>
              <w:t xml:space="preserve">/day on Day 1 and 2 when administered with Polivy and rituximab. </w:t>
            </w:r>
          </w:p>
          <w:p w14:paraId="000000FF" w14:textId="77777777" w:rsidR="008D3ED4" w:rsidRDefault="00031835">
            <w:pPr>
              <w:rPr>
                <w:b/>
              </w:rPr>
            </w:pPr>
            <w:r>
              <w:rPr>
                <w:b/>
                <w:i/>
              </w:rPr>
              <w:t xml:space="preserve">Previously untreated and previously treated patients: </w:t>
            </w:r>
          </w:p>
          <w:p w14:paraId="00000100" w14:textId="77777777" w:rsidR="008D3ED4" w:rsidRDefault="00031835">
            <w:r>
              <w:t>An antihistamine and anti-pyretic should be administered to patients prior to administration of Polivy. The initial dose of Polivy should be administered as a 90-minute intravenous infusion. Patients should be monitored for infusion-related reactions during the infusion and for at least 90 minutes following completion of the initial dose. If the prior infusion was well tolerated, the subsequent dose of Polivy may be administered as a 30-minute infusion and patients should be monitored during the infusion an</w:t>
            </w:r>
            <w:r>
              <w:t xml:space="preserve">d for at least 30 minutes after completion of the infusion. </w:t>
            </w:r>
          </w:p>
          <w:p w14:paraId="00000101" w14:textId="77777777" w:rsidR="008D3ED4" w:rsidRDefault="00031835">
            <w:r>
              <w:rPr>
                <w:b/>
              </w:rPr>
              <w:t xml:space="preserve">Duration of Treatment </w:t>
            </w:r>
          </w:p>
          <w:p w14:paraId="00000102" w14:textId="77777777" w:rsidR="008D3ED4" w:rsidRDefault="00031835">
            <w:r>
              <w:t>The recommended duration of treatment is for 6 cycles.</w:t>
            </w:r>
          </w:p>
          <w:p w14:paraId="00000103" w14:textId="77777777" w:rsidR="008D3ED4" w:rsidRDefault="00031835">
            <w:r>
              <w:t>For further information regarding dosage, such as dosage modifications to manage adverse reactions, refer to the Product Information.</w:t>
            </w:r>
          </w:p>
        </w:tc>
      </w:tr>
      <w:tr w:rsidR="008D3ED4" w14:paraId="5DF19F84" w14:textId="77777777" w:rsidTr="004C4E70">
        <w:tc>
          <w:tcPr>
            <w:tcW w:w="3544" w:type="dxa"/>
          </w:tcPr>
          <w:p w14:paraId="00000104" w14:textId="77777777" w:rsidR="008D3ED4" w:rsidRDefault="00031835">
            <w:r>
              <w:rPr>
                <w:i/>
              </w:rPr>
              <w:lastRenderedPageBreak/>
              <w:t>Pregnancy category:</w:t>
            </w:r>
          </w:p>
        </w:tc>
        <w:tc>
          <w:tcPr>
            <w:tcW w:w="5526" w:type="dxa"/>
          </w:tcPr>
          <w:p w14:paraId="00000105" w14:textId="77777777" w:rsidR="008D3ED4" w:rsidRDefault="00031835">
            <w:r>
              <w:rPr>
                <w:b/>
              </w:rPr>
              <w:t xml:space="preserve">Category D: </w:t>
            </w:r>
            <w:r>
              <w:t xml:space="preserve">Drugs which have caused, are suspected to have caused or may be expected to cause, an increased incidence of human fetal malformations or irreversible damage. These drugs may also have adverse pharmacological effects. </w:t>
            </w:r>
          </w:p>
          <w:p w14:paraId="00000106" w14:textId="77777777" w:rsidR="008D3ED4" w:rsidRDefault="00031835">
            <w:r>
              <w:t xml:space="preserve">The use of any medicine during pregnancy requires careful consideration of both risks and benefits by the treating health professional. The </w:t>
            </w:r>
            <w:hyperlink r:id="rId18">
              <w:r>
                <w:rPr>
                  <w:color w:val="0000FF"/>
                  <w:u w:val="single"/>
                </w:rPr>
                <w:t>pregnancy database</w:t>
              </w:r>
            </w:hyperlink>
            <w:r>
              <w:t xml:space="preserve"> must not be used as the sole basis of decision making in the use of medicines during pregnancy. The TGA does not provide advice on the use of medicines in pregnancy for specific cases. More information is available from </w:t>
            </w:r>
            <w:hyperlink r:id="rId19">
              <w:r>
                <w:rPr>
                  <w:color w:val="0000FF"/>
                  <w:u w:val="single"/>
                </w:rPr>
                <w:t>obstetric drug information services</w:t>
              </w:r>
            </w:hyperlink>
            <w:r>
              <w:t xml:space="preserve"> in your state or territory.</w:t>
            </w:r>
          </w:p>
        </w:tc>
      </w:tr>
    </w:tbl>
    <w:p w14:paraId="7CFB561F" w14:textId="77777777" w:rsidR="00402831" w:rsidRDefault="00402831" w:rsidP="004C4E70"/>
    <w:p w14:paraId="65FFFED3" w14:textId="77777777" w:rsidR="00402831" w:rsidRDefault="00402831" w:rsidP="004C4E70">
      <w:pPr>
        <w:pStyle w:val="Heading3"/>
      </w:pPr>
      <w:r w:rsidRPr="00402831">
        <w:t>Polivy (polatuzumab vedotin)</w:t>
      </w:r>
    </w:p>
    <w:p w14:paraId="00000108" w14:textId="5123D06E" w:rsidR="008D3ED4" w:rsidRDefault="00031835">
      <w:r>
        <w:t>This AusPAR describes the submission by Roche Products Pty Limited (the sponsor) to register Polivy (polatuzumab vedotin) for the following proposed extension of indications:</w:t>
      </w:r>
      <w:r>
        <w:rPr>
          <w:vertAlign w:val="superscript"/>
        </w:rPr>
        <w:footnoteReference w:id="1"/>
      </w:r>
    </w:p>
    <w:p w14:paraId="00000109" w14:textId="77777777" w:rsidR="008D3ED4" w:rsidRDefault="00031835">
      <w:pPr>
        <w:ind w:left="720"/>
        <w:rPr>
          <w:b/>
          <w:i/>
        </w:rPr>
      </w:pPr>
      <w:r>
        <w:rPr>
          <w:i/>
        </w:rPr>
        <w:t xml:space="preserve">Polivy in </w:t>
      </w:r>
      <w:r>
        <w:rPr>
          <w:i/>
        </w:rPr>
        <w:t xml:space="preserve">combination with rituximab, cyclophosphamide, </w:t>
      </w:r>
      <w:proofErr w:type="gramStart"/>
      <w:r>
        <w:rPr>
          <w:i/>
        </w:rPr>
        <w:t>doxorubicin</w:t>
      </w:r>
      <w:proofErr w:type="gramEnd"/>
      <w:r>
        <w:rPr>
          <w:i/>
        </w:rPr>
        <w:t xml:space="preserve"> and prednisone (RCHP), is indicated for the treatment of adult patients with previously untreated diffuse large B-cell lymphoma.</w:t>
      </w:r>
    </w:p>
    <w:p w14:paraId="0000010A" w14:textId="77777777" w:rsidR="008D3ED4" w:rsidRDefault="00031835">
      <w:pPr>
        <w:pStyle w:val="Heading4"/>
      </w:pPr>
      <w:bookmarkStart w:id="3" w:name="_Toc175921910"/>
      <w:r>
        <w:lastRenderedPageBreak/>
        <w:t>Diffuse large B-cell lymphoma (DLBCL)</w:t>
      </w:r>
      <w:bookmarkEnd w:id="3"/>
    </w:p>
    <w:p w14:paraId="0000010B" w14:textId="77777777" w:rsidR="008D3ED4" w:rsidRDefault="00031835">
      <w:r>
        <w:t>Diffuse large B-cell lymphoma (DLBCL) is a form of Non-Hodgkin Lymphoma (NHL) arising in mature B-lymphocytes. It is the most common form of NHL, accounting for approximately 30% of cases</w:t>
      </w:r>
      <w:r>
        <w:rPr>
          <w:vertAlign w:val="superscript"/>
        </w:rPr>
        <w:footnoteReference w:id="2"/>
      </w:r>
      <w:r>
        <w:t>. The term DLBCL encompasses a heterogeneous group of B-cell malignancies. The 2016 WHO classification includes the following subtypes</w:t>
      </w:r>
      <w:r>
        <w:rPr>
          <w:vertAlign w:val="superscript"/>
        </w:rPr>
        <w:t>2,</w:t>
      </w:r>
      <w:r>
        <w:rPr>
          <w:vertAlign w:val="superscript"/>
        </w:rPr>
        <w:footnoteReference w:id="3"/>
      </w:r>
      <w:r>
        <w:rPr>
          <w:vertAlign w:val="superscript"/>
        </w:rPr>
        <w:t>,</w:t>
      </w:r>
      <w:r>
        <w:rPr>
          <w:vertAlign w:val="superscript"/>
        </w:rPr>
        <w:footnoteReference w:id="4"/>
      </w:r>
      <w:r>
        <w:t>:</w:t>
      </w:r>
    </w:p>
    <w:p w14:paraId="0000010C" w14:textId="77777777" w:rsidR="008D3ED4" w:rsidRDefault="00031835" w:rsidP="004C4E70">
      <w:pPr>
        <w:pStyle w:val="ListBullet"/>
      </w:pPr>
      <w:r>
        <w:t>DLBCL not otherwise specified (NOS), which is further divided into the following subtypes:</w:t>
      </w:r>
    </w:p>
    <w:p w14:paraId="0000010D" w14:textId="77777777" w:rsidR="008D3ED4" w:rsidRDefault="00031835" w:rsidP="004C4E70">
      <w:pPr>
        <w:pStyle w:val="ListBullet2"/>
      </w:pPr>
      <w:r>
        <w:t xml:space="preserve">Germinal centre B-cell (GCB) </w:t>
      </w:r>
      <w:proofErr w:type="gramStart"/>
      <w:r>
        <w:t>subtype;</w:t>
      </w:r>
      <w:proofErr w:type="gramEnd"/>
    </w:p>
    <w:p w14:paraId="0000010E" w14:textId="77777777" w:rsidR="008D3ED4" w:rsidRDefault="00031835" w:rsidP="004C4E70">
      <w:pPr>
        <w:pStyle w:val="ListBullet2"/>
      </w:pPr>
      <w:r>
        <w:t xml:space="preserve">Activated B-cell (ABC) </w:t>
      </w:r>
      <w:proofErr w:type="gramStart"/>
      <w:r>
        <w:t>subtype;</w:t>
      </w:r>
      <w:proofErr w:type="gramEnd"/>
    </w:p>
    <w:p w14:paraId="0000010F" w14:textId="77777777" w:rsidR="008D3ED4" w:rsidRDefault="00031835" w:rsidP="004C4E70">
      <w:pPr>
        <w:pStyle w:val="ListBullet2"/>
      </w:pPr>
      <w:r>
        <w:t>Unclassified subtype.</w:t>
      </w:r>
    </w:p>
    <w:p w14:paraId="00000110" w14:textId="77777777" w:rsidR="008D3ED4" w:rsidRDefault="00031835" w:rsidP="004C4E70">
      <w:pPr>
        <w:pStyle w:val="ListBullet"/>
      </w:pPr>
      <w:r>
        <w:t xml:space="preserve">T-cell/histiocyte-rich large cell </w:t>
      </w:r>
      <w:proofErr w:type="gramStart"/>
      <w:r>
        <w:t>lymphoma;</w:t>
      </w:r>
      <w:proofErr w:type="gramEnd"/>
    </w:p>
    <w:p w14:paraId="00000111" w14:textId="77777777" w:rsidR="008D3ED4" w:rsidRDefault="00031835" w:rsidP="004C4E70">
      <w:pPr>
        <w:pStyle w:val="ListBullet"/>
      </w:pPr>
      <w:r>
        <w:t xml:space="preserve">Primary DLBCL of the central nervous </w:t>
      </w:r>
      <w:proofErr w:type="gramStart"/>
      <w:r>
        <w:t>system;</w:t>
      </w:r>
      <w:proofErr w:type="gramEnd"/>
    </w:p>
    <w:p w14:paraId="00000112" w14:textId="77777777" w:rsidR="008D3ED4" w:rsidRDefault="00031835" w:rsidP="004C4E70">
      <w:pPr>
        <w:pStyle w:val="ListBullet"/>
      </w:pPr>
      <w:r>
        <w:t xml:space="preserve">Epstein-Barr virus positive </w:t>
      </w:r>
      <w:proofErr w:type="gramStart"/>
      <w:r>
        <w:t>DLBCL;</w:t>
      </w:r>
      <w:proofErr w:type="gramEnd"/>
    </w:p>
    <w:p w14:paraId="00000113" w14:textId="77777777" w:rsidR="008D3ED4" w:rsidRDefault="00031835" w:rsidP="004C4E70">
      <w:pPr>
        <w:pStyle w:val="ListBullet"/>
      </w:pPr>
      <w:r>
        <w:t xml:space="preserve">Epstein-Barr virus mucocutaneous </w:t>
      </w:r>
      <w:proofErr w:type="gramStart"/>
      <w:r>
        <w:t>ulcer;</w:t>
      </w:r>
      <w:proofErr w:type="gramEnd"/>
    </w:p>
    <w:p w14:paraId="00000114" w14:textId="77777777" w:rsidR="008D3ED4" w:rsidRDefault="00031835" w:rsidP="004C4E70">
      <w:pPr>
        <w:pStyle w:val="ListBullet"/>
      </w:pPr>
      <w:r>
        <w:t xml:space="preserve">DLBCL associated with chronic </w:t>
      </w:r>
      <w:proofErr w:type="gramStart"/>
      <w:r>
        <w:t>inflammation;</w:t>
      </w:r>
      <w:proofErr w:type="gramEnd"/>
    </w:p>
    <w:p w14:paraId="00000115" w14:textId="77777777" w:rsidR="008D3ED4" w:rsidRDefault="00031835" w:rsidP="004C4E70">
      <w:pPr>
        <w:pStyle w:val="ListBullet"/>
      </w:pPr>
      <w:r>
        <w:t>Primary cutaneous DLBCL, leg type.</w:t>
      </w:r>
    </w:p>
    <w:p w14:paraId="00000116" w14:textId="77777777" w:rsidR="008D3ED4" w:rsidRDefault="00031835">
      <w:r>
        <w:t xml:space="preserve">The most </w:t>
      </w:r>
      <w:r>
        <w:t>common type is DLBCL, NOS, which accounts for &gt; 80% of cases of all large B-cell lymphomas. DLBCL can also arise as a transformation from an underlying low-grade B-cell lymphoma</w:t>
      </w:r>
      <w:r>
        <w:rPr>
          <w:vertAlign w:val="superscript"/>
        </w:rPr>
        <w:footnoteReference w:id="5"/>
      </w:r>
      <w:r>
        <w:t xml:space="preserve">. </w:t>
      </w:r>
    </w:p>
    <w:p w14:paraId="00000117" w14:textId="77777777" w:rsidR="008D3ED4" w:rsidRDefault="00031835">
      <w:bookmarkStart w:id="4" w:name="_heading=h.tyjcwt" w:colFirst="0" w:colLast="0"/>
      <w:bookmarkEnd w:id="4"/>
      <w:r>
        <w:t>DLBCL can present with a wide range of clinical manifestations. Median age at onset is approximately 60-70 years</w:t>
      </w:r>
      <w:r>
        <w:rPr>
          <w:vertAlign w:val="superscript"/>
        </w:rPr>
        <w:t xml:space="preserve"> (4,</w:t>
      </w:r>
      <w:r>
        <w:rPr>
          <w:vertAlign w:val="superscript"/>
        </w:rPr>
        <w:footnoteReference w:id="6"/>
      </w:r>
      <w:r>
        <w:rPr>
          <w:vertAlign w:val="superscript"/>
        </w:rPr>
        <w:t>)</w:t>
      </w:r>
      <w:r>
        <w:t>. The disease is slightly more common in males. About 70% of subjects have lymph node disease, and 30% extranodal disease</w:t>
      </w:r>
      <w:r>
        <w:rPr>
          <w:vertAlign w:val="superscript"/>
        </w:rPr>
        <w:t>3</w:t>
      </w:r>
      <w:r>
        <w:t>. DLBCL is an aggressive form of NHL and subjects typically present with a rapidly enlarging mass at a single site</w:t>
      </w:r>
      <w:r>
        <w:rPr>
          <w:vertAlign w:val="superscript"/>
        </w:rPr>
        <w:t>6</w:t>
      </w:r>
      <w:r>
        <w:t>.</w:t>
      </w:r>
    </w:p>
    <w:p w14:paraId="00000118" w14:textId="77777777" w:rsidR="008D3ED4" w:rsidRDefault="00031835">
      <w:r>
        <w:t>As with other lymphomas, extent of disease is usually staged using the Ann Arbor staging system. Approximately 75% of patients with DLBCL present with stage III or IV disease</w:t>
      </w:r>
      <w:r>
        <w:rPr>
          <w:vertAlign w:val="superscript"/>
        </w:rPr>
        <w:t>5</w:t>
      </w:r>
      <w:r>
        <w:t>.</w:t>
      </w:r>
    </w:p>
    <w:p w14:paraId="00000119" w14:textId="77777777" w:rsidR="008D3ED4" w:rsidRDefault="00031835">
      <w:r>
        <w:t>Adverse prognostic factors include advanced disease stage, age &gt; 60 years, elevated serum lactate dehydrogenase (LDH), poor performance status, and extensive extranodal involvement. These factors have been combined to derive a prognostic score (the International Prognostic Index or IPI).</w:t>
      </w:r>
    </w:p>
    <w:p w14:paraId="0000011A" w14:textId="77777777" w:rsidR="008D3ED4" w:rsidRDefault="00031835">
      <w:r>
        <w:t>Other clinical factors that have been associated with poor prognosis include the presence of B symptoms, bulky disease (i.e. tumour diameter ≥7.5 cm or ≥10 cm), elevated serum β2-microglobulin level, low haemoglobin and serum albumin levels, and bone marrow involvement</w:t>
      </w:r>
      <w:r>
        <w:rPr>
          <w:vertAlign w:val="superscript"/>
        </w:rPr>
        <w:t>5</w:t>
      </w:r>
      <w:r>
        <w:t>.</w:t>
      </w:r>
    </w:p>
    <w:p w14:paraId="0000011B" w14:textId="77777777" w:rsidR="008D3ED4" w:rsidRDefault="00031835">
      <w:pPr>
        <w:pStyle w:val="Heading4"/>
      </w:pPr>
      <w:bookmarkStart w:id="5" w:name="_Toc175921911"/>
      <w:r>
        <w:lastRenderedPageBreak/>
        <w:t>Current treatment options for DLBCL</w:t>
      </w:r>
      <w:bookmarkEnd w:id="5"/>
    </w:p>
    <w:p w14:paraId="0000011C" w14:textId="77777777" w:rsidR="008D3ED4" w:rsidRDefault="00031835">
      <w:r>
        <w:t>Current clinical practice guidelines</w:t>
      </w:r>
      <w:r>
        <w:rPr>
          <w:vertAlign w:val="superscript"/>
        </w:rPr>
        <w:t>2,</w:t>
      </w:r>
      <w:r>
        <w:rPr>
          <w:vertAlign w:val="superscript"/>
        </w:rPr>
        <w:footnoteReference w:id="7"/>
      </w:r>
      <w:r>
        <w:rPr>
          <w:vertAlign w:val="superscript"/>
        </w:rPr>
        <w:t>,</w:t>
      </w:r>
      <w:r>
        <w:rPr>
          <w:vertAlign w:val="superscript"/>
        </w:rPr>
        <w:footnoteReference w:id="8"/>
      </w:r>
      <w:r>
        <w:t xml:space="preserve">, recommend the use of R-CHOP immunochemotherapy (i.e., rituximab [R], cyclophosphamide [C], doxorubicin (H), vincristine (O] and prednisolone [P]) regimen as first line therapy of DLBCL. Therapy is generally continued for 6-8 cycles. In subjects with early stage (I or II) non-bulky disease 3-4 cycles are recommended. </w:t>
      </w:r>
    </w:p>
    <w:p w14:paraId="0000011D" w14:textId="77777777" w:rsidR="008D3ED4" w:rsidRDefault="00031835">
      <w:r>
        <w:t>Involved site radiation treatment (ISRT) is also recommended for the treatment of bulky, early-stage disease.</w:t>
      </w:r>
    </w:p>
    <w:p w14:paraId="0000011E" w14:textId="77777777" w:rsidR="008D3ED4" w:rsidRDefault="00031835">
      <w:r>
        <w:t xml:space="preserve">R-CHOP therapy results in complete and sustained remission of disease in </w:t>
      </w:r>
      <w:r>
        <w:t>approximately 60-65% of cases</w:t>
      </w:r>
      <w:r>
        <w:rPr>
          <w:vertAlign w:val="superscript"/>
        </w:rPr>
        <w:t xml:space="preserve"> 4</w:t>
      </w:r>
      <w:r>
        <w:t>. The disease is refractory to first-line therapy in approximately 10-15% of subjects and disease relapse after an initial response occurs in a further 20-25%. Most relapses occur within the first 2 years</w:t>
      </w:r>
      <w:r>
        <w:rPr>
          <w:vertAlign w:val="superscript"/>
        </w:rPr>
        <w:t>5</w:t>
      </w:r>
      <w:r>
        <w:t>.</w:t>
      </w:r>
    </w:p>
    <w:p w14:paraId="0000011F" w14:textId="77777777" w:rsidR="008D3ED4" w:rsidRDefault="00031835">
      <w:r>
        <w:t xml:space="preserve">This submission seeks approval of polatuzumab vedotin as an alternative to the vincristine component in the R-CHOP regimen component of first-line therapy of DLBCL. </w:t>
      </w:r>
    </w:p>
    <w:p w14:paraId="00000120" w14:textId="77777777" w:rsidR="008D3ED4" w:rsidRDefault="00031835">
      <w:pPr>
        <w:pStyle w:val="Heading4"/>
      </w:pPr>
      <w:bookmarkStart w:id="6" w:name="_Toc175921912"/>
      <w:r>
        <w:t xml:space="preserve">Clinical rationale for polatuzumab vedotin use in </w:t>
      </w:r>
      <w:proofErr w:type="gramStart"/>
      <w:r>
        <w:t>DLBCL</w:t>
      </w:r>
      <w:bookmarkEnd w:id="6"/>
      <w:proofErr w:type="gramEnd"/>
    </w:p>
    <w:p w14:paraId="00000121" w14:textId="77777777" w:rsidR="008D3ED4" w:rsidRDefault="00031835">
      <w:r>
        <w:t>Polatuzumab vedotin is a CD79b-targeted antibody drug conjugate (ADC) that preferentially delivers a potent anti-mitotic agent (monomethyl auristatin E [MMAE]) to B cells, which results in anti-cancer activity against B-cell malignancies. Polatuzumab vedotin specifically binds human CD79b, a signalling component of the B-cell receptor located on the surface of B cells. As such, CD79b expression is restricted to normal cells within the B-cell lineage (</w:t>
      </w:r>
      <w:proofErr w:type="gramStart"/>
      <w:r>
        <w:t>with the exception of</w:t>
      </w:r>
      <w:proofErr w:type="gramEnd"/>
      <w:r>
        <w:t xml:space="preserve"> plasma cells) and malignant B-cells; it is expressed in 95% of diffuse large B-cell lymphoma (DLBCL). Therefore, targeted delivery of MMAE is expected to be restricted to these cells</w:t>
      </w:r>
      <w:r>
        <w:rPr>
          <w:vertAlign w:val="superscript"/>
        </w:rPr>
        <w:footnoteReference w:id="9"/>
      </w:r>
      <w:r>
        <w:t>. Upon binding CD79b, polatuzumab vedotin is rapidly internalized and the linker is cleaved by lysosomal proteases, leading to intracellular release of MMAE. The released MMAE binds to microtubules and kills dividing cells by inhibiting cell division and inducing apoptosis</w:t>
      </w:r>
      <w:r>
        <w:rPr>
          <w:vertAlign w:val="superscript"/>
        </w:rPr>
        <w:footnoteReference w:id="10"/>
      </w:r>
      <w:r>
        <w:rPr>
          <w:vertAlign w:val="superscript"/>
        </w:rPr>
        <w:t>,</w:t>
      </w:r>
      <w:r>
        <w:rPr>
          <w:vertAlign w:val="superscript"/>
        </w:rPr>
        <w:footnoteReference w:id="11"/>
      </w:r>
      <w:r>
        <w:rPr>
          <w:vertAlign w:val="superscript"/>
        </w:rPr>
        <w:t>,</w:t>
      </w:r>
      <w:r>
        <w:rPr>
          <w:vertAlign w:val="superscript"/>
        </w:rPr>
        <w:footnoteReference w:id="12"/>
      </w:r>
      <w:r>
        <w:t>.</w:t>
      </w:r>
    </w:p>
    <w:p w14:paraId="00000122" w14:textId="77777777" w:rsidR="008D3ED4" w:rsidRDefault="00031835">
      <w:r>
        <w:t>The sponsor argued that there is an unmet clinical need for new improved first-line therapies in DLBCL for the following reasons:</w:t>
      </w:r>
    </w:p>
    <w:p w14:paraId="00000123" w14:textId="77777777" w:rsidR="008D3ED4" w:rsidRDefault="00031835" w:rsidP="004C4E70">
      <w:pPr>
        <w:pStyle w:val="ListBullet"/>
      </w:pPr>
      <w:r>
        <w:t xml:space="preserve">Despite the availability of 2nd and later-line therapies, most patients who have relapsed or refractory DLBCL experience further relapse or die from their disease. </w:t>
      </w:r>
    </w:p>
    <w:p w14:paraId="00000124" w14:textId="77777777" w:rsidR="008D3ED4" w:rsidRDefault="00031835" w:rsidP="004C4E70">
      <w:pPr>
        <w:pStyle w:val="ListBullet"/>
      </w:pPr>
      <w:r>
        <w:t>Therapies for relapsed or refractory DLBCL are associated with significant toxicities.</w:t>
      </w:r>
    </w:p>
    <w:p w14:paraId="00000125" w14:textId="77777777" w:rsidR="008D3ED4" w:rsidRDefault="00031835">
      <w:r>
        <w:t>Improved outcomes with first-line therapy may offer the chance of cure for these patients.</w:t>
      </w:r>
    </w:p>
    <w:p w14:paraId="00000126" w14:textId="77777777" w:rsidR="008D3ED4" w:rsidRDefault="00031835" w:rsidP="004C4E70">
      <w:pPr>
        <w:pStyle w:val="Heading2"/>
      </w:pPr>
      <w:bookmarkStart w:id="7" w:name="_Toc175921913"/>
      <w:r>
        <w:lastRenderedPageBreak/>
        <w:t>Regulatory status</w:t>
      </w:r>
      <w:bookmarkEnd w:id="7"/>
    </w:p>
    <w:p w14:paraId="00000127" w14:textId="77777777" w:rsidR="008D3ED4" w:rsidRDefault="00031835" w:rsidP="004C4E70">
      <w:pPr>
        <w:pStyle w:val="Heading3"/>
      </w:pPr>
      <w:bookmarkStart w:id="8" w:name="_Toc175921914"/>
      <w:r>
        <w:t>Australian regulatory status</w:t>
      </w:r>
      <w:bookmarkEnd w:id="8"/>
    </w:p>
    <w:p w14:paraId="00000128" w14:textId="77777777" w:rsidR="008D3ED4" w:rsidRDefault="00031835">
      <w:pPr>
        <w:rPr>
          <w:vertAlign w:val="superscript"/>
        </w:rPr>
      </w:pPr>
      <w:r>
        <w:t>Polatuzumab was first registered in Australia in October 2019:</w:t>
      </w:r>
    </w:p>
    <w:p w14:paraId="00000129" w14:textId="77777777" w:rsidR="008D3ED4" w:rsidRDefault="00031835">
      <w:pPr>
        <w:ind w:left="720"/>
        <w:rPr>
          <w:i/>
        </w:rPr>
      </w:pPr>
      <w:r>
        <w:rPr>
          <w:i/>
        </w:rPr>
        <w:t>Polivy in combination with bendamustine and rituximab is indicated for the treatment of previously treated adult patients with diffuse large B-cell lymphoma who are not candidates for hematopoietic stem cell transplant.</w:t>
      </w:r>
    </w:p>
    <w:p w14:paraId="0000012A" w14:textId="77777777" w:rsidR="008D3ED4" w:rsidRDefault="00031835" w:rsidP="00EE6D1C">
      <w:pPr>
        <w:pStyle w:val="Heading3"/>
      </w:pPr>
      <w:bookmarkStart w:id="9" w:name="_Toc175921915"/>
      <w:r>
        <w:t>International regulatory status</w:t>
      </w:r>
      <w:bookmarkEnd w:id="9"/>
    </w:p>
    <w:p w14:paraId="0000012B" w14:textId="77777777" w:rsidR="008D3ED4" w:rsidRDefault="00031835">
      <w:pPr>
        <w:rPr>
          <w:vertAlign w:val="superscript"/>
        </w:rPr>
      </w:pPr>
      <w:r>
        <w:t>On 24 May 2022 a similar submission was approved in the EU:</w:t>
      </w:r>
    </w:p>
    <w:p w14:paraId="0000012C" w14:textId="77777777" w:rsidR="008D3ED4" w:rsidRDefault="00031835">
      <w:pPr>
        <w:ind w:left="720"/>
        <w:rPr>
          <w:i/>
        </w:rPr>
      </w:pPr>
      <w:r>
        <w:rPr>
          <w:i/>
        </w:rPr>
        <w:t>Polivy in combination with rituximab, cyclophosphamide, doxorubicin, and prednisone (R-CHP) is indicated for the treatment of adult patients with previously untreated diffuse large B-Cell lymphoma (DLBCL).</w:t>
      </w:r>
    </w:p>
    <w:p w14:paraId="0000012D" w14:textId="77777777" w:rsidR="008D3ED4" w:rsidRDefault="00031835">
      <w:r>
        <w:t>Similar submissions were submitted to the USA (2 June 2022), Canada (17 December 2021), New Zealand (21 January 2022), Singapore (15 December 2021), Switzerland (19 November 2021), and the UK (28 January 2022).</w:t>
      </w:r>
    </w:p>
    <w:p w14:paraId="0000012E" w14:textId="77777777" w:rsidR="008D3ED4" w:rsidRDefault="00031835">
      <w:pPr>
        <w:pStyle w:val="Heading2"/>
      </w:pPr>
      <w:bookmarkStart w:id="10" w:name="_Toc175921916"/>
      <w:r>
        <w:t>Registration timeline</w:t>
      </w:r>
      <w:bookmarkEnd w:id="10"/>
    </w:p>
    <w:p w14:paraId="0000012F" w14:textId="77777777" w:rsidR="008D3ED4" w:rsidRDefault="00031835">
      <w:r>
        <w:t xml:space="preserve">This submission was evaluated under the </w:t>
      </w:r>
      <w:hyperlink r:id="rId20">
        <w:r>
          <w:rPr>
            <w:color w:val="0000FF"/>
            <w:u w:val="single"/>
          </w:rPr>
          <w:t>standard prescription medicines registration process</w:t>
        </w:r>
      </w:hyperlink>
      <w:r>
        <w:t>.</w:t>
      </w:r>
    </w:p>
    <w:p w14:paraId="00000130" w14:textId="77777777" w:rsidR="008D3ED4" w:rsidRDefault="00031835" w:rsidP="00EE6D1C">
      <w:pPr>
        <w:pStyle w:val="TableTitle"/>
      </w:pPr>
      <w:r>
        <w:t>Table 1: Timeline for Submission PM-2021-05903-1-4</w:t>
      </w:r>
    </w:p>
    <w:tbl>
      <w:tblPr>
        <w:tblStyle w:val="TableTGAblue2023"/>
        <w:tblW w:w="8642" w:type="dxa"/>
        <w:tblLayout w:type="fixed"/>
        <w:tblLook w:val="04A0" w:firstRow="1" w:lastRow="0" w:firstColumn="1" w:lastColumn="0" w:noHBand="0" w:noVBand="1"/>
      </w:tblPr>
      <w:tblGrid>
        <w:gridCol w:w="5949"/>
        <w:gridCol w:w="2693"/>
      </w:tblGrid>
      <w:tr w:rsidR="008D3ED4" w14:paraId="502CBFD2" w14:textId="77777777" w:rsidTr="00EE6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0000131" w14:textId="0C96DE56" w:rsidR="008D3ED4" w:rsidRDefault="005F30BB">
            <w:r w:rsidRPr="00AA7777">
              <w:rPr>
                <w:rFonts w:ascii="Cambria" w:eastAsia="Times New Roman" w:hAnsi="Cambria"/>
                <w:bCs/>
                <w:color w:val="001871"/>
                <w:sz w:val="20"/>
                <w:szCs w:val="20"/>
              </w:rPr>
              <w:t>D</w:t>
            </w:r>
            <w:r>
              <w:rPr>
                <w:rFonts w:ascii="Cambria" w:eastAsia="Times New Roman" w:hAnsi="Cambria"/>
                <w:bCs/>
                <w:color w:val="001871"/>
                <w:sz w:val="20"/>
                <w:szCs w:val="20"/>
              </w:rPr>
              <w:t>escription</w:t>
            </w:r>
          </w:p>
        </w:tc>
        <w:tc>
          <w:tcPr>
            <w:tcW w:w="2693" w:type="dxa"/>
          </w:tcPr>
          <w:p w14:paraId="00000132" w14:textId="77777777" w:rsidR="008D3ED4" w:rsidRPr="00AA7777" w:rsidRDefault="00031835">
            <w:pPr>
              <w:cnfStyle w:val="100000000000" w:firstRow="1" w:lastRow="0" w:firstColumn="0" w:lastColumn="0" w:oddVBand="0" w:evenVBand="0" w:oddHBand="0" w:evenHBand="0" w:firstRowFirstColumn="0" w:firstRowLastColumn="0" w:lastRowFirstColumn="0" w:lastRowLastColumn="0"/>
              <w:rPr>
                <w:rFonts w:ascii="Cambria" w:eastAsia="Times New Roman" w:hAnsi="Cambria"/>
                <w:bCs/>
                <w:color w:val="001871"/>
                <w:sz w:val="20"/>
                <w:szCs w:val="20"/>
              </w:rPr>
            </w:pPr>
            <w:bookmarkStart w:id="11" w:name="_Hlk175916501"/>
            <w:r w:rsidRPr="00AA7777">
              <w:rPr>
                <w:rFonts w:ascii="Cambria" w:eastAsia="Times New Roman" w:hAnsi="Cambria"/>
                <w:bCs/>
                <w:color w:val="001871"/>
                <w:sz w:val="20"/>
                <w:szCs w:val="20"/>
              </w:rPr>
              <w:t>Date</w:t>
            </w:r>
            <w:bookmarkEnd w:id="11"/>
          </w:p>
        </w:tc>
      </w:tr>
      <w:tr w:rsidR="008D3ED4" w14:paraId="5FC7AE88"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3" w14:textId="77777777" w:rsidR="008D3ED4" w:rsidRDefault="00031835">
            <w:r>
              <w:t>Submission dossier accepted and first round evaluation commenced</w:t>
            </w:r>
          </w:p>
        </w:tc>
        <w:tc>
          <w:tcPr>
            <w:tcW w:w="2693" w:type="dxa"/>
          </w:tcPr>
          <w:p w14:paraId="00000134" w14:textId="77777777" w:rsidR="008D3ED4" w:rsidRPr="005F30BB" w:rsidRDefault="00031835"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31 January 2022</w:t>
            </w:r>
          </w:p>
        </w:tc>
      </w:tr>
      <w:tr w:rsidR="008D3ED4" w14:paraId="0A7F900B"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5" w14:textId="77777777" w:rsidR="008D3ED4" w:rsidRDefault="00031835">
            <w:r>
              <w:t>Evaluation completed</w:t>
            </w:r>
          </w:p>
        </w:tc>
        <w:tc>
          <w:tcPr>
            <w:tcW w:w="2693" w:type="dxa"/>
          </w:tcPr>
          <w:p w14:paraId="00000136" w14:textId="77777777" w:rsidR="008D3ED4" w:rsidRPr="005F30BB" w:rsidRDefault="00031835"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27 September 2022</w:t>
            </w:r>
          </w:p>
        </w:tc>
      </w:tr>
      <w:tr w:rsidR="008D3ED4" w14:paraId="6E8CFB66"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7" w14:textId="77777777" w:rsidR="008D3ED4" w:rsidRDefault="00031835">
            <w:r>
              <w:t>Delegate’s</w:t>
            </w:r>
            <w:r>
              <w:rPr>
                <w:vertAlign w:val="superscript"/>
              </w:rPr>
              <w:footnoteReference w:id="13"/>
            </w:r>
            <w:r>
              <w:t xml:space="preserve"> Overall benefit-risk assessment and request for Advisory Committee advice.</w:t>
            </w:r>
          </w:p>
        </w:tc>
        <w:tc>
          <w:tcPr>
            <w:tcW w:w="2693" w:type="dxa"/>
          </w:tcPr>
          <w:p w14:paraId="00000138" w14:textId="77777777" w:rsidR="008D3ED4" w:rsidRPr="005F30BB" w:rsidRDefault="00031835"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31 October 2022</w:t>
            </w:r>
          </w:p>
        </w:tc>
      </w:tr>
      <w:tr w:rsidR="008D3ED4" w14:paraId="31956D2B"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9" w14:textId="77777777" w:rsidR="008D3ED4" w:rsidRDefault="00031835">
            <w:r>
              <w:t>Advisory Committee meeting</w:t>
            </w:r>
          </w:p>
        </w:tc>
        <w:tc>
          <w:tcPr>
            <w:tcW w:w="2693" w:type="dxa"/>
          </w:tcPr>
          <w:p w14:paraId="0000013A" w14:textId="15C5F6E7" w:rsidR="008D3ED4" w:rsidRPr="005F30BB" w:rsidRDefault="00402831"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2 December 2022</w:t>
            </w:r>
          </w:p>
        </w:tc>
      </w:tr>
      <w:tr w:rsidR="008D3ED4" w14:paraId="4C89E0DD"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B" w14:textId="77777777" w:rsidR="008D3ED4" w:rsidRDefault="00031835">
            <w:r>
              <w:t>Registration decision (Outcome)</w:t>
            </w:r>
          </w:p>
        </w:tc>
        <w:tc>
          <w:tcPr>
            <w:tcW w:w="2693" w:type="dxa"/>
          </w:tcPr>
          <w:p w14:paraId="0000013C" w14:textId="77777777" w:rsidR="008D3ED4" w:rsidRPr="005F30BB" w:rsidRDefault="00031835"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14 February 2023</w:t>
            </w:r>
          </w:p>
        </w:tc>
      </w:tr>
      <w:tr w:rsidR="008D3ED4" w14:paraId="60845ABF"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D" w14:textId="77777777" w:rsidR="008D3ED4" w:rsidRDefault="00031835">
            <w:r>
              <w:t>Registration in the ARTG</w:t>
            </w:r>
          </w:p>
        </w:tc>
        <w:tc>
          <w:tcPr>
            <w:tcW w:w="2693" w:type="dxa"/>
          </w:tcPr>
          <w:p w14:paraId="0000013E" w14:textId="77777777" w:rsidR="008D3ED4" w:rsidRPr="005F30BB" w:rsidRDefault="00031835"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17 February 2023</w:t>
            </w:r>
          </w:p>
        </w:tc>
      </w:tr>
      <w:tr w:rsidR="008D3ED4" w14:paraId="509A30C5" w14:textId="77777777" w:rsidTr="00EE6D1C">
        <w:tc>
          <w:tcPr>
            <w:cnfStyle w:val="001000000000" w:firstRow="0" w:lastRow="0" w:firstColumn="1" w:lastColumn="0" w:oddVBand="0" w:evenVBand="0" w:oddHBand="0" w:evenHBand="0" w:firstRowFirstColumn="0" w:firstRowLastColumn="0" w:lastRowFirstColumn="0" w:lastRowLastColumn="0"/>
            <w:tcW w:w="5949" w:type="dxa"/>
          </w:tcPr>
          <w:p w14:paraId="0000013F" w14:textId="77777777" w:rsidR="008D3ED4" w:rsidRDefault="00031835">
            <w:r>
              <w:t xml:space="preserve">Number of working days </w:t>
            </w:r>
            <w:r>
              <w:t>from submission dossier acceptance to registration decision*</w:t>
            </w:r>
          </w:p>
        </w:tc>
        <w:tc>
          <w:tcPr>
            <w:tcW w:w="2693" w:type="dxa"/>
          </w:tcPr>
          <w:p w14:paraId="00000140" w14:textId="77777777" w:rsidR="008D3ED4" w:rsidRPr="005F30BB" w:rsidRDefault="00031835" w:rsidP="00AA7777">
            <w:pPr>
              <w:keepNex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005F30BB">
              <w:rPr>
                <w:rFonts w:eastAsia="Times New Roman"/>
                <w:color w:val="auto"/>
                <w:sz w:val="20"/>
                <w:szCs w:val="20"/>
              </w:rPr>
              <w:t>268</w:t>
            </w:r>
          </w:p>
        </w:tc>
      </w:tr>
    </w:tbl>
    <w:p w14:paraId="00000141" w14:textId="77777777" w:rsidR="008D3ED4" w:rsidRDefault="00031835">
      <w:pPr>
        <w:pBdr>
          <w:top w:val="nil"/>
          <w:left w:val="nil"/>
          <w:bottom w:val="nil"/>
          <w:right w:val="nil"/>
          <w:between w:val="nil"/>
        </w:pBdr>
        <w:spacing w:before="120" w:line="240" w:lineRule="auto"/>
        <w:rPr>
          <w:color w:val="000000"/>
          <w:sz w:val="18"/>
          <w:szCs w:val="18"/>
        </w:rPr>
      </w:pPr>
      <w:r>
        <w:rPr>
          <w:color w:val="000000"/>
          <w:sz w:val="18"/>
          <w:szCs w:val="18"/>
        </w:rPr>
        <w:t>*Statutory timeframe for standard submissions is 255 working days</w:t>
      </w:r>
    </w:p>
    <w:p w14:paraId="00000142" w14:textId="77777777" w:rsidR="008D3ED4" w:rsidRDefault="00031835">
      <w:pPr>
        <w:pStyle w:val="Heading2"/>
      </w:pPr>
      <w:bookmarkStart w:id="12" w:name="_Toc175921917"/>
      <w:r>
        <w:lastRenderedPageBreak/>
        <w:t>Submission overview and risk/benefit assessment</w:t>
      </w:r>
      <w:bookmarkEnd w:id="12"/>
    </w:p>
    <w:p w14:paraId="00000143" w14:textId="3FB1A84B" w:rsidR="008D3ED4" w:rsidRDefault="00031835">
      <w:pPr>
        <w:pStyle w:val="Heading3"/>
      </w:pPr>
      <w:bookmarkStart w:id="13" w:name="_Toc175921918"/>
      <w:r>
        <w:t>Clinical</w:t>
      </w:r>
      <w:r w:rsidR="00BC5B65">
        <w:t xml:space="preserve"> evaluation summary</w:t>
      </w:r>
      <w:bookmarkEnd w:id="13"/>
    </w:p>
    <w:p w14:paraId="00000144" w14:textId="77777777" w:rsidR="008D3ED4" w:rsidRDefault="00031835">
      <w:r>
        <w:t xml:space="preserve">Clinical data were derived from two </w:t>
      </w:r>
      <w:r>
        <w:t>studies: the pivotal POLARIX study and study G029044.</w:t>
      </w:r>
    </w:p>
    <w:p w14:paraId="00000145" w14:textId="77777777" w:rsidR="008D3ED4" w:rsidRDefault="00031835">
      <w:pPr>
        <w:pStyle w:val="Heading4"/>
        <w:rPr>
          <w:b w:val="0"/>
          <w:i/>
          <w:color w:val="7295D2"/>
        </w:rPr>
      </w:pPr>
      <w:bookmarkStart w:id="14" w:name="_Toc175921919"/>
      <w:r>
        <w:t>Pharmacology</w:t>
      </w:r>
      <w:bookmarkEnd w:id="14"/>
      <w:r>
        <w:rPr>
          <w:b w:val="0"/>
          <w:i/>
          <w:color w:val="7295D2"/>
        </w:rPr>
        <w:t xml:space="preserve"> </w:t>
      </w:r>
    </w:p>
    <w:p w14:paraId="00000146" w14:textId="77777777" w:rsidR="008D3ED4" w:rsidRDefault="00031835">
      <w:pPr>
        <w:pStyle w:val="Heading5"/>
        <w:rPr>
          <w:b w:val="0"/>
          <w:color w:val="000000"/>
        </w:rPr>
      </w:pPr>
      <w:r>
        <w:t xml:space="preserve">Population PK data </w:t>
      </w:r>
    </w:p>
    <w:p w14:paraId="00000147" w14:textId="77777777" w:rsidR="008D3ED4" w:rsidRDefault="00031835">
      <w:r>
        <w:t>Sparse PK sampling from the pivotal POLARIX study was used to validate a previously developed population PK (popPK) model. The model was found to adequately predict the observed PK data in the pivotal study.</w:t>
      </w:r>
    </w:p>
    <w:p w14:paraId="00000148" w14:textId="41C07865" w:rsidR="008D3ED4" w:rsidRDefault="00AF1566">
      <w:pPr>
        <w:pStyle w:val="Heading5"/>
        <w:rPr>
          <w:b w:val="0"/>
          <w:color w:val="7295D2"/>
        </w:rPr>
      </w:pPr>
      <w:r>
        <w:t xml:space="preserve">Immunogenicity </w:t>
      </w:r>
    </w:p>
    <w:p w14:paraId="00000149" w14:textId="26DD1508" w:rsidR="008D3ED4" w:rsidRDefault="00AF1566">
      <w:r>
        <w:t xml:space="preserve">Treatment-emergent anti-drug antibodies (ADA) against polatuzumab vedotin were detected in 1.4% (6/427) of ADA-evaluable patients in the POLARIX study and no patients in study G029044. </w:t>
      </w:r>
    </w:p>
    <w:p w14:paraId="0000014A" w14:textId="77777777" w:rsidR="008D3ED4" w:rsidRDefault="00031835">
      <w:pPr>
        <w:pStyle w:val="Heading4"/>
      </w:pPr>
      <w:bookmarkStart w:id="15" w:name="_Toc175921920"/>
      <w:r>
        <w:t>Efficacy</w:t>
      </w:r>
      <w:bookmarkEnd w:id="15"/>
    </w:p>
    <w:p w14:paraId="0000014B" w14:textId="77777777" w:rsidR="008D3ED4" w:rsidRDefault="00031835">
      <w:r>
        <w:t xml:space="preserve">The POLARIX study was a phase 3, randomised, double-blind, placebo-controlled trial in 879 patients (Figure 1). The study compared standard immunochemotherapy (R-CHOP) (n=440) with the test arm in which polatuzumab vedotin replaced the vincristine (O) component of R-CHOP (n=439). </w:t>
      </w:r>
    </w:p>
    <w:p w14:paraId="0000014C" w14:textId="77777777" w:rsidR="008D3ED4" w:rsidRDefault="00031835">
      <w:r>
        <w:t xml:space="preserve">The study, conducted at 211 centres in 22 countries, commenced in November 2017 and the final analysis was presented from a data cut of 15 June 2022. </w:t>
      </w:r>
    </w:p>
    <w:p w14:paraId="0000014D" w14:textId="6B48F325" w:rsidR="008D3ED4" w:rsidRDefault="00031835">
      <w:r>
        <w:t>The study design included enrolment of an extended cohort of subjects from China, after completion of enrolment of the main study cohort. Results for the extended China cohort were not included in the study report.</w:t>
      </w:r>
    </w:p>
    <w:p w14:paraId="0000014E" w14:textId="77777777" w:rsidR="008D3ED4" w:rsidRDefault="00031835">
      <w:r>
        <w:t>The study included a screening period (day -28 to day 1), a treatment period (eight 21-day cycles) and a post-treatment period.</w:t>
      </w:r>
    </w:p>
    <w:p w14:paraId="0000014F" w14:textId="0312646D" w:rsidR="008D3ED4" w:rsidRDefault="00031835" w:rsidP="00EE6D1C">
      <w:pPr>
        <w:pStyle w:val="FigureTitle"/>
      </w:pPr>
      <w:r>
        <w:lastRenderedPageBreak/>
        <w:t>Figure 1</w:t>
      </w:r>
      <w:r w:rsidR="00BC5B65">
        <w:t>.</w:t>
      </w:r>
      <w:r>
        <w:t xml:space="preserve"> POLARIX Study Schematic</w:t>
      </w:r>
    </w:p>
    <w:p w14:paraId="00000150" w14:textId="77777777" w:rsidR="008D3ED4" w:rsidRDefault="00031835" w:rsidP="00EE6D1C">
      <w:pPr>
        <w:rPr>
          <w:color w:val="7DB954"/>
        </w:rPr>
      </w:pPr>
      <w:r>
        <w:rPr>
          <w:noProof/>
        </w:rPr>
        <w:drawing>
          <wp:inline distT="0" distB="0" distL="0" distR="0" wp14:anchorId="58D38F6C" wp14:editId="1756938E">
            <wp:extent cx="5749683" cy="3028920"/>
            <wp:effectExtent l="0" t="0" r="0" b="0"/>
            <wp:docPr id="206" name="image5.png" descr="Figure 1. POLARIX Study Schematic"/>
            <wp:cNvGraphicFramePr/>
            <a:graphic xmlns:a="http://schemas.openxmlformats.org/drawingml/2006/main">
              <a:graphicData uri="http://schemas.openxmlformats.org/drawingml/2006/picture">
                <pic:pic xmlns:pic="http://schemas.openxmlformats.org/drawingml/2006/picture">
                  <pic:nvPicPr>
                    <pic:cNvPr id="206" name="image5.png" descr="Figure 1. POLARIX Study Schematic"/>
                    <pic:cNvPicPr preferRelativeResize="0"/>
                  </pic:nvPicPr>
                  <pic:blipFill>
                    <a:blip r:embed="rId21"/>
                    <a:srcRect t="3336" r="2493"/>
                    <a:stretch>
                      <a:fillRect/>
                    </a:stretch>
                  </pic:blipFill>
                  <pic:spPr>
                    <a:xfrm>
                      <a:off x="0" y="0"/>
                      <a:ext cx="5749683" cy="3028920"/>
                    </a:xfrm>
                    <a:prstGeom prst="rect">
                      <a:avLst/>
                    </a:prstGeom>
                    <a:ln/>
                  </pic:spPr>
                </pic:pic>
              </a:graphicData>
            </a:graphic>
          </wp:inline>
        </w:drawing>
      </w:r>
    </w:p>
    <w:p w14:paraId="00000151" w14:textId="07DE365E" w:rsidR="008D3ED4" w:rsidRDefault="000273FA" w:rsidP="000273FA">
      <w:pPr>
        <w:pStyle w:val="Heading6"/>
      </w:pPr>
      <w:r w:rsidRPr="000273FA">
        <w:t>POLARIX Study</w:t>
      </w:r>
      <w:r>
        <w:t xml:space="preserve"> inclusion and exclusion criteria </w:t>
      </w:r>
    </w:p>
    <w:p w14:paraId="00000152" w14:textId="7983EEBC" w:rsidR="008D3ED4" w:rsidRPr="00EE6D1C" w:rsidRDefault="00BC5B65" w:rsidP="00EE6D1C">
      <w:pPr>
        <w:rPr>
          <w:b/>
          <w:bCs/>
        </w:rPr>
      </w:pPr>
      <w:r w:rsidRPr="00EE6D1C">
        <w:rPr>
          <w:b/>
          <w:bCs/>
        </w:rPr>
        <w:t xml:space="preserve">Inclusion </w:t>
      </w:r>
      <w:r w:rsidR="00EE6D1C" w:rsidRPr="00EE6D1C">
        <w:rPr>
          <w:b/>
          <w:bCs/>
        </w:rPr>
        <w:t>c</w:t>
      </w:r>
      <w:r w:rsidRPr="00EE6D1C">
        <w:rPr>
          <w:b/>
          <w:bCs/>
        </w:rPr>
        <w:t>riteria</w:t>
      </w:r>
    </w:p>
    <w:p w14:paraId="3EC73BA6" w14:textId="77777777" w:rsidR="000273FA" w:rsidRDefault="000273FA" w:rsidP="00EE6D1C">
      <w:pPr>
        <w:pStyle w:val="ListBullet"/>
      </w:pPr>
      <w:r>
        <w:t>Previously untreated patients with CD20 positive DLBCL, including one of the following:</w:t>
      </w:r>
    </w:p>
    <w:p w14:paraId="7C482BD6" w14:textId="77777777" w:rsidR="000273FA" w:rsidRDefault="000273FA" w:rsidP="00EE6D1C">
      <w:pPr>
        <w:pStyle w:val="ListBullet2"/>
      </w:pPr>
      <w:r>
        <w:t xml:space="preserve">DLBCL, not otherwise specified (NOS) including germinal centre B-cell type, activated B-cell </w:t>
      </w:r>
      <w:proofErr w:type="gramStart"/>
      <w:r>
        <w:t>type;</w:t>
      </w:r>
      <w:proofErr w:type="gramEnd"/>
    </w:p>
    <w:p w14:paraId="77C6BD74" w14:textId="77777777" w:rsidR="000273FA" w:rsidRDefault="000273FA" w:rsidP="00EE6D1C">
      <w:pPr>
        <w:pStyle w:val="ListBullet2"/>
      </w:pPr>
      <w:r>
        <w:t xml:space="preserve">T-cell/histiocyte-rich large B-cell </w:t>
      </w:r>
      <w:proofErr w:type="gramStart"/>
      <w:r>
        <w:t>lymphoma;</w:t>
      </w:r>
      <w:proofErr w:type="gramEnd"/>
    </w:p>
    <w:p w14:paraId="1E5F1024" w14:textId="77777777" w:rsidR="000273FA" w:rsidRPr="00AF1566" w:rsidRDefault="000273FA" w:rsidP="00EE6D1C">
      <w:pPr>
        <w:pStyle w:val="ListBullet2"/>
        <w:rPr>
          <w:lang w:val="fr-CH"/>
        </w:rPr>
      </w:pPr>
      <w:r w:rsidRPr="00AF1566">
        <w:rPr>
          <w:lang w:val="fr-CH"/>
        </w:rPr>
        <w:t xml:space="preserve">Epstein-Barr virus-positive DLBCL, </w:t>
      </w:r>
      <w:proofErr w:type="gramStart"/>
      <w:r w:rsidRPr="00AF1566">
        <w:rPr>
          <w:lang w:val="fr-CH"/>
        </w:rPr>
        <w:t>NOS;</w:t>
      </w:r>
      <w:proofErr w:type="gramEnd"/>
    </w:p>
    <w:p w14:paraId="3FFAF870" w14:textId="77777777" w:rsidR="000273FA" w:rsidRDefault="000273FA" w:rsidP="00EE6D1C">
      <w:pPr>
        <w:pStyle w:val="ListBullet2"/>
      </w:pPr>
      <w:r>
        <w:t xml:space="preserve">ALK-positive large B-cell </w:t>
      </w:r>
      <w:proofErr w:type="gramStart"/>
      <w:r>
        <w:t>lymphoma;</w:t>
      </w:r>
      <w:proofErr w:type="gramEnd"/>
    </w:p>
    <w:p w14:paraId="1A19C5D8" w14:textId="77777777" w:rsidR="000273FA" w:rsidRDefault="000273FA" w:rsidP="00EE6D1C">
      <w:pPr>
        <w:pStyle w:val="ListBullet2"/>
      </w:pPr>
      <w:r>
        <w:t xml:space="preserve">HHV8-positive DLBCL, </w:t>
      </w:r>
      <w:proofErr w:type="gramStart"/>
      <w:r>
        <w:t>NOS;</w:t>
      </w:r>
      <w:proofErr w:type="gramEnd"/>
    </w:p>
    <w:p w14:paraId="69C7AB2F" w14:textId="0E84DDB6" w:rsidR="000273FA" w:rsidRDefault="000273FA" w:rsidP="00EE6D1C">
      <w:pPr>
        <w:pStyle w:val="ListBullet2"/>
      </w:pPr>
      <w:r>
        <w:t>High-grade B-cell lymphoma with MYC and BCL2 and/or BCL6 rearrangements (double-hit or triple-hit lymphoma)</w:t>
      </w:r>
    </w:p>
    <w:p w14:paraId="75AFA6DA" w14:textId="180E03AC" w:rsidR="000273FA" w:rsidRPr="000273FA" w:rsidRDefault="000273FA" w:rsidP="00EE6D1C">
      <w:pPr>
        <w:pStyle w:val="ListBullet"/>
        <w:rPr>
          <w:sz w:val="20"/>
          <w:szCs w:val="20"/>
        </w:rPr>
      </w:pPr>
      <w:r>
        <w:t>High-grade B-cell lymphoma, NOS.</w:t>
      </w:r>
    </w:p>
    <w:p w14:paraId="2F3C3F02" w14:textId="1207BFB3" w:rsidR="000273FA" w:rsidRPr="000273FA" w:rsidRDefault="000273FA" w:rsidP="00EE6D1C">
      <w:pPr>
        <w:pStyle w:val="ListBullet"/>
        <w:rPr>
          <w:sz w:val="20"/>
          <w:szCs w:val="20"/>
        </w:rPr>
      </w:pPr>
      <w:r>
        <w:t xml:space="preserve">Availability of archival or freshly collected tumour tissue before study </w:t>
      </w:r>
      <w:proofErr w:type="gramStart"/>
      <w:r>
        <w:t>enrolment</w:t>
      </w:r>
      <w:proofErr w:type="gramEnd"/>
    </w:p>
    <w:p w14:paraId="73EAD685" w14:textId="34BD0703" w:rsidR="000273FA" w:rsidRPr="000273FA" w:rsidRDefault="000273FA" w:rsidP="00EE6D1C">
      <w:pPr>
        <w:pStyle w:val="ListBullet"/>
        <w:rPr>
          <w:sz w:val="20"/>
          <w:szCs w:val="20"/>
        </w:rPr>
      </w:pPr>
      <w:r>
        <w:t>IPI score of 2-5.</w:t>
      </w:r>
    </w:p>
    <w:p w14:paraId="62AF2B65" w14:textId="4899DF81" w:rsidR="000273FA" w:rsidRPr="000273FA" w:rsidRDefault="000273FA" w:rsidP="00EE6D1C">
      <w:pPr>
        <w:pStyle w:val="ListBullet"/>
        <w:rPr>
          <w:sz w:val="20"/>
          <w:szCs w:val="20"/>
        </w:rPr>
      </w:pPr>
      <w:r>
        <w:t xml:space="preserve">Age 18-80 years </w:t>
      </w:r>
    </w:p>
    <w:p w14:paraId="01C741E1" w14:textId="1CCD72F6" w:rsidR="000273FA" w:rsidRPr="000273FA" w:rsidRDefault="000273FA" w:rsidP="00EE6D1C">
      <w:pPr>
        <w:pStyle w:val="ListBullet"/>
        <w:rPr>
          <w:sz w:val="20"/>
          <w:szCs w:val="20"/>
        </w:rPr>
      </w:pPr>
      <w:r>
        <w:t>ECOG Performance Status of 0, 1, or 2</w:t>
      </w:r>
    </w:p>
    <w:p w14:paraId="5FA7679E" w14:textId="515B0D75" w:rsidR="000273FA" w:rsidRPr="000273FA" w:rsidRDefault="000273FA" w:rsidP="00EE6D1C">
      <w:pPr>
        <w:pStyle w:val="ListBullet"/>
        <w:rPr>
          <w:sz w:val="20"/>
          <w:szCs w:val="20"/>
        </w:rPr>
      </w:pPr>
      <w:r>
        <w:t>Life expectancy ≥ 12 months.</w:t>
      </w:r>
    </w:p>
    <w:p w14:paraId="6F69AE1D" w14:textId="542408D2" w:rsidR="000273FA" w:rsidRPr="000273FA" w:rsidRDefault="000273FA" w:rsidP="00EE6D1C">
      <w:pPr>
        <w:pStyle w:val="ListBullet"/>
        <w:rPr>
          <w:sz w:val="20"/>
          <w:szCs w:val="20"/>
        </w:rPr>
      </w:pPr>
      <w:r>
        <w:t>≥ 1 bi-dimensionally measurable lesion (&gt;1.5 cm in longest dimension by CT or MRI).</w:t>
      </w:r>
    </w:p>
    <w:p w14:paraId="50C58AB8" w14:textId="1E4561E8" w:rsidR="000273FA" w:rsidRPr="000273FA" w:rsidRDefault="000273FA" w:rsidP="00EE6D1C">
      <w:pPr>
        <w:pStyle w:val="ListBullet"/>
        <w:rPr>
          <w:sz w:val="20"/>
          <w:szCs w:val="20"/>
        </w:rPr>
      </w:pPr>
      <w:r>
        <w:t>Left ventricular ejection fraction (LVEF) ≥ 50% on cardiac multiple-gated acquisition (MUGA) scan or cardiac echocardiogram (ECHO)</w:t>
      </w:r>
    </w:p>
    <w:p w14:paraId="3343A571" w14:textId="3F0B4645" w:rsidR="000273FA" w:rsidRPr="000273FA" w:rsidRDefault="000273FA" w:rsidP="00EE6D1C">
      <w:pPr>
        <w:pStyle w:val="ListBullet"/>
        <w:rPr>
          <w:sz w:val="20"/>
          <w:szCs w:val="20"/>
        </w:rPr>
      </w:pPr>
      <w:r>
        <w:t>Adequate hematologic function (unless due to underlying disease or hypersplenism secondary to the involvement of the spleen by DLBCL per investigator)</w:t>
      </w:r>
    </w:p>
    <w:p w14:paraId="598535F6" w14:textId="6F4F51D7" w:rsidR="000273FA" w:rsidRPr="006359E7" w:rsidRDefault="000273FA" w:rsidP="00EE6D1C">
      <w:pPr>
        <w:pStyle w:val="ListBullet2"/>
        <w:rPr>
          <w:sz w:val="20"/>
          <w:szCs w:val="20"/>
        </w:rPr>
      </w:pPr>
      <w:r>
        <w:lastRenderedPageBreak/>
        <w:t>Haemoglobin ≥ 9.0 g/dL, RBC transfusion during 14 days before first treatment.</w:t>
      </w:r>
    </w:p>
    <w:p w14:paraId="154D14BD" w14:textId="77777777" w:rsidR="006359E7" w:rsidRDefault="000273FA" w:rsidP="00EE6D1C">
      <w:pPr>
        <w:pStyle w:val="ListBullet2"/>
      </w:pPr>
      <w:r>
        <w:t>ANC ≥ 1,000/</w:t>
      </w:r>
      <w:proofErr w:type="spellStart"/>
      <w:r>
        <w:t>μL</w:t>
      </w:r>
      <w:proofErr w:type="spellEnd"/>
      <w:r>
        <w:t>.</w:t>
      </w:r>
    </w:p>
    <w:p w14:paraId="0A36888C" w14:textId="06917549" w:rsidR="000273FA" w:rsidRDefault="000273FA" w:rsidP="00EE6D1C">
      <w:pPr>
        <w:pStyle w:val="ListBullet2"/>
      </w:pPr>
      <w:r>
        <w:t>Platelet count ≥ 75,000/</w:t>
      </w:r>
      <w:proofErr w:type="spellStart"/>
      <w:r>
        <w:t>μL</w:t>
      </w:r>
      <w:proofErr w:type="spellEnd"/>
      <w:r>
        <w:t>.</w:t>
      </w:r>
    </w:p>
    <w:p w14:paraId="5821CA52" w14:textId="77777777" w:rsidR="000273FA" w:rsidRDefault="000273FA" w:rsidP="000273FA">
      <w:pPr>
        <w:pStyle w:val="ListParagraph"/>
      </w:pPr>
    </w:p>
    <w:p w14:paraId="18A39F45" w14:textId="35CB16AE" w:rsidR="000273FA" w:rsidRPr="00EE6D1C" w:rsidRDefault="000273FA" w:rsidP="00EE6D1C">
      <w:pPr>
        <w:rPr>
          <w:b/>
          <w:bCs/>
        </w:rPr>
      </w:pPr>
      <w:r w:rsidRPr="00EE6D1C">
        <w:rPr>
          <w:b/>
          <w:bCs/>
        </w:rPr>
        <w:t xml:space="preserve">Exclusion </w:t>
      </w:r>
      <w:r w:rsidR="00EE6D1C" w:rsidRPr="00EE6D1C">
        <w:rPr>
          <w:b/>
          <w:bCs/>
        </w:rPr>
        <w:t>c</w:t>
      </w:r>
      <w:r w:rsidRPr="00EE6D1C">
        <w:rPr>
          <w:b/>
          <w:bCs/>
        </w:rPr>
        <w:t>riteria</w:t>
      </w:r>
    </w:p>
    <w:p w14:paraId="22D0DF97" w14:textId="3FBDDDC3" w:rsidR="000273FA" w:rsidRDefault="000273FA" w:rsidP="00EE6D1C">
      <w:pPr>
        <w:pStyle w:val="ListBullet"/>
      </w:pPr>
      <w:r w:rsidRPr="000273FA">
        <w:t>Contraindication to any of the individual components of R-CHOP.</w:t>
      </w:r>
    </w:p>
    <w:p w14:paraId="26392DCE" w14:textId="3C98774C" w:rsidR="000273FA" w:rsidRPr="000273FA" w:rsidRDefault="000273FA" w:rsidP="00EE6D1C">
      <w:pPr>
        <w:pStyle w:val="ListBullet"/>
      </w:pPr>
      <w:r w:rsidRPr="000273FA">
        <w:t xml:space="preserve">Current Grade &gt;1 peripheral neuropathy or demyelinating form of Charcot-Marie-Tooth disease. </w:t>
      </w:r>
    </w:p>
    <w:p w14:paraId="3FC715F0" w14:textId="7AAAF934" w:rsidR="000273FA" w:rsidRPr="000273FA" w:rsidRDefault="000273FA" w:rsidP="00EE6D1C">
      <w:pPr>
        <w:pStyle w:val="ListBullet"/>
      </w:pPr>
      <w:r w:rsidRPr="000273FA">
        <w:t>History of progressive multifocal leukoencephalopathy.</w:t>
      </w:r>
    </w:p>
    <w:p w14:paraId="74EDB936" w14:textId="6DE044EF" w:rsidR="000273FA" w:rsidRPr="000273FA" w:rsidRDefault="000273FA" w:rsidP="00EE6D1C">
      <w:pPr>
        <w:pStyle w:val="ListBullet"/>
      </w:pPr>
      <w:r w:rsidRPr="000273FA">
        <w:t>History of indolent lymphoma.</w:t>
      </w:r>
    </w:p>
    <w:p w14:paraId="14E19166" w14:textId="00CCD99B" w:rsidR="000273FA" w:rsidRPr="000273FA" w:rsidRDefault="000273FA" w:rsidP="00EE6D1C">
      <w:pPr>
        <w:pStyle w:val="ListBullet"/>
      </w:pPr>
      <w:r w:rsidRPr="000273FA">
        <w:t>Current diagnosis of the following: follicular lymphoma grade 3B; B-cell lymphoma, unclassifiable, with features intermediate between DLBCL and classical Hodgkin lymphoma (grey-zone lymphoma);</w:t>
      </w:r>
      <w:r w:rsidR="00834D27">
        <w:t xml:space="preserve"> </w:t>
      </w:r>
      <w:r w:rsidRPr="000273FA">
        <w:t>primary mediastinal (thymic) large B-cell lymphoma; Burkitt lymphoma; CNS lymphoma (primary or secondary involvement), primary effusion DLBCL, and primary cutaneous DLBCL.</w:t>
      </w:r>
    </w:p>
    <w:p w14:paraId="276ECBF6" w14:textId="099126D9" w:rsidR="000273FA" w:rsidRPr="000273FA" w:rsidRDefault="000273FA" w:rsidP="00EE6D1C">
      <w:pPr>
        <w:pStyle w:val="ListBullet"/>
      </w:pPr>
      <w:r w:rsidRPr="000273FA">
        <w:t>Prior treatment with cytotoxic drugs within 5 years of screening for any condition or prior use of any anti-CD20 antibody.</w:t>
      </w:r>
    </w:p>
    <w:p w14:paraId="10874AD5" w14:textId="4DE0B00E" w:rsidR="000273FA" w:rsidRPr="000273FA" w:rsidRDefault="000273FA" w:rsidP="00EE6D1C">
      <w:pPr>
        <w:pStyle w:val="ListBullet"/>
      </w:pPr>
      <w:r w:rsidRPr="000273FA">
        <w:t xml:space="preserve">Prior use of any monoclonal antibody ≤ 3 months of start of Cycle 1; any investigational therapy ≤ 28 days before start of Cycle </w:t>
      </w:r>
      <w:proofErr w:type="gramStart"/>
      <w:r w:rsidRPr="000273FA">
        <w:t>1;</w:t>
      </w:r>
      <w:proofErr w:type="gramEnd"/>
      <w:r w:rsidRPr="000273FA">
        <w:t xml:space="preserve"> </w:t>
      </w:r>
    </w:p>
    <w:p w14:paraId="2A8170F1" w14:textId="2361DA12" w:rsidR="000273FA" w:rsidRPr="000273FA" w:rsidRDefault="000273FA" w:rsidP="00EE6D1C">
      <w:pPr>
        <w:pStyle w:val="ListBullet"/>
      </w:pPr>
      <w:r w:rsidRPr="000273FA">
        <w:t>Vaccination with live vaccines ≤ 28 days before start of Cycle 1.</w:t>
      </w:r>
    </w:p>
    <w:p w14:paraId="42D68F6A" w14:textId="77777777" w:rsidR="000273FA" w:rsidRPr="000273FA" w:rsidRDefault="000273FA" w:rsidP="00EE6D1C">
      <w:pPr>
        <w:pStyle w:val="ListBullet"/>
      </w:pPr>
      <w:r w:rsidRPr="000273FA">
        <w:t>Prior therapies:</w:t>
      </w:r>
    </w:p>
    <w:p w14:paraId="3C48A263" w14:textId="77777777" w:rsidR="000273FA" w:rsidRPr="000273FA" w:rsidRDefault="000273FA" w:rsidP="00EE6D1C">
      <w:pPr>
        <w:pStyle w:val="ListBullet2"/>
      </w:pPr>
      <w:r w:rsidRPr="000273FA">
        <w:t>organ transplantation.</w:t>
      </w:r>
    </w:p>
    <w:p w14:paraId="498A7161" w14:textId="77777777" w:rsidR="000273FA" w:rsidRPr="000273FA" w:rsidRDefault="000273FA" w:rsidP="00EE6D1C">
      <w:pPr>
        <w:pStyle w:val="ListBullet2"/>
      </w:pPr>
      <w:r w:rsidRPr="000273FA">
        <w:t xml:space="preserve">mediastinal/pericardial radiotherapy </w:t>
      </w:r>
    </w:p>
    <w:p w14:paraId="445EFD43" w14:textId="57BC5FA3" w:rsidR="000273FA" w:rsidRDefault="000273FA" w:rsidP="00EE6D1C">
      <w:pPr>
        <w:pStyle w:val="ListBullet2"/>
      </w:pPr>
      <w:r w:rsidRPr="000273FA">
        <w:t xml:space="preserve">therapy for DLBCL. </w:t>
      </w:r>
    </w:p>
    <w:p w14:paraId="67CE6F95" w14:textId="37CF104D" w:rsidR="000273FA" w:rsidRDefault="000273FA" w:rsidP="00EE6D1C">
      <w:pPr>
        <w:pStyle w:val="ListBullet2"/>
      </w:pPr>
      <w:r w:rsidRPr="000273FA">
        <w:t>Corticosteroid use &gt; 30 mg/day of prednisone or equivalent, for purposes other than lymphoma symptom control (Could be on ≤ 30 mg/day of prednisone or equivalent for reasons other than lymphoma symptom control (e.g., rheumatoid arthritis) if on stable dose ≥ 4 weeks’ duration before start of Cycle 1.)</w:t>
      </w:r>
    </w:p>
    <w:p w14:paraId="759B9D37" w14:textId="77777777" w:rsidR="000273FA" w:rsidRPr="000273FA" w:rsidRDefault="000273FA" w:rsidP="00EE6D1C">
      <w:pPr>
        <w:pStyle w:val="ListBullet"/>
      </w:pPr>
      <w:r w:rsidRPr="000273FA">
        <w:t xml:space="preserve">History of other malignancy that could affect protocol compliance or interpretation of results, but curatively treated basal or squamous cell carcinoma or melanoma of the skin, in situ carcinoma of the cervix at any time prior to study, low-grade, early-stage prostate cancer (Gleason score 6 or below, Stage 1 or 2) not requiring therapy, or if malignancy appropriately treated with curative intent and in remission without treatment for ≥ 2 years were eligible. </w:t>
      </w:r>
    </w:p>
    <w:p w14:paraId="66C57CD5" w14:textId="3B72A791" w:rsidR="000273FA" w:rsidRPr="000273FA" w:rsidRDefault="000273FA" w:rsidP="00EE6D1C">
      <w:pPr>
        <w:pStyle w:val="ListBullet"/>
      </w:pPr>
      <w:r w:rsidRPr="000273FA">
        <w:t>Evidence of significant, uncontrolled cardiac disease (e.g. NYHA Class III or IV, myocardial infarction in ≤ 6 months, unstable arrhythmias, or unstable angina) or pulmonary disease (including obstructive pulmonary disease and history of bronchospasm)</w:t>
      </w:r>
      <w:r w:rsidR="00834D27">
        <w:t>.</w:t>
      </w:r>
    </w:p>
    <w:p w14:paraId="21C69C4B" w14:textId="0A0DFCEF" w:rsidR="000273FA" w:rsidRPr="000273FA" w:rsidRDefault="000273FA" w:rsidP="00EE6D1C">
      <w:pPr>
        <w:pStyle w:val="ListBullet"/>
      </w:pPr>
      <w:r w:rsidRPr="000273FA">
        <w:t>History or presence of an abnormal ECG including complete LBBB, 2</w:t>
      </w:r>
      <w:r w:rsidRPr="00834D27">
        <w:rPr>
          <w:vertAlign w:val="superscript"/>
        </w:rPr>
        <w:t>nd</w:t>
      </w:r>
      <w:r w:rsidRPr="000273FA">
        <w:t xml:space="preserve"> - or 3</w:t>
      </w:r>
      <w:r w:rsidRPr="00834D27">
        <w:rPr>
          <w:vertAlign w:val="superscript"/>
        </w:rPr>
        <w:t>rd</w:t>
      </w:r>
      <w:r w:rsidRPr="000273FA">
        <w:t xml:space="preserve"> degree heart block, or evidence of prior myocardial infarction.</w:t>
      </w:r>
    </w:p>
    <w:p w14:paraId="0CE75C3E" w14:textId="7BFB4C6B" w:rsidR="000273FA" w:rsidRPr="000273FA" w:rsidRDefault="000273FA" w:rsidP="00EE6D1C">
      <w:pPr>
        <w:pStyle w:val="ListBullet"/>
      </w:pPr>
      <w:r w:rsidRPr="000273FA">
        <w:lastRenderedPageBreak/>
        <w:t>Known active bacterial, viral, fungal, mycobacterial, parasitic, or other infection at study enrolment or significant infections ≤2 weeks before start of Cycle 1. Suspected active or latent tuberculosis.</w:t>
      </w:r>
    </w:p>
    <w:p w14:paraId="49825CFC" w14:textId="14605186" w:rsidR="000273FA" w:rsidRPr="000273FA" w:rsidRDefault="000273FA" w:rsidP="00EE6D1C">
      <w:pPr>
        <w:pStyle w:val="ListBullet"/>
      </w:pPr>
      <w:r w:rsidRPr="000273FA">
        <w:t>Clinically significant liver disease</w:t>
      </w:r>
    </w:p>
    <w:p w14:paraId="177ABF01" w14:textId="710DC21C" w:rsidR="000273FA" w:rsidRPr="000273FA" w:rsidRDefault="000273FA" w:rsidP="00EE6D1C">
      <w:pPr>
        <w:pStyle w:val="ListBullet"/>
      </w:pPr>
      <w:r w:rsidRPr="000273FA">
        <w:t>Illicit drug or alcohol abuse ≤12 months prior to screening, in the investigator’s judgment</w:t>
      </w:r>
      <w:r w:rsidR="00834D27">
        <w:t>.</w:t>
      </w:r>
    </w:p>
    <w:p w14:paraId="5AFE4621" w14:textId="77777777" w:rsidR="000273FA" w:rsidRPr="000273FA" w:rsidRDefault="000273FA" w:rsidP="00EE6D1C">
      <w:pPr>
        <w:pStyle w:val="ListBullet"/>
      </w:pPr>
      <w:r w:rsidRPr="000273FA">
        <w:t>Any of the following abnormal laboratory values (unless due to underlying lymphoma):</w:t>
      </w:r>
    </w:p>
    <w:p w14:paraId="67D545BD" w14:textId="77777777" w:rsidR="000273FA" w:rsidRPr="000273FA" w:rsidRDefault="000273FA" w:rsidP="00EE6D1C">
      <w:pPr>
        <w:pStyle w:val="ListBullet2"/>
      </w:pPr>
      <w:r w:rsidRPr="000273FA">
        <w:t xml:space="preserve">INR or PT &gt; 1.5 x ULN in the absence of therapeutic </w:t>
      </w:r>
      <w:proofErr w:type="gramStart"/>
      <w:r w:rsidRPr="000273FA">
        <w:t>anticoagulation;</w:t>
      </w:r>
      <w:proofErr w:type="gramEnd"/>
    </w:p>
    <w:p w14:paraId="7BE1571F" w14:textId="77777777" w:rsidR="000273FA" w:rsidRPr="000273FA" w:rsidRDefault="000273FA" w:rsidP="00EE6D1C">
      <w:pPr>
        <w:pStyle w:val="ListBullet2"/>
      </w:pPr>
      <w:r w:rsidRPr="000273FA">
        <w:t xml:space="preserve">PTT or aPTT &gt; 1.5 x ULN in the absence of a lupus </w:t>
      </w:r>
      <w:proofErr w:type="gramStart"/>
      <w:r w:rsidRPr="000273FA">
        <w:t>anticoagulant;</w:t>
      </w:r>
      <w:proofErr w:type="gramEnd"/>
    </w:p>
    <w:p w14:paraId="0ED83CF2" w14:textId="77777777" w:rsidR="000273FA" w:rsidRPr="000273FA" w:rsidRDefault="000273FA" w:rsidP="00EE6D1C">
      <w:pPr>
        <w:pStyle w:val="ListBullet2"/>
      </w:pPr>
      <w:r w:rsidRPr="000273FA">
        <w:t xml:space="preserve">Serum AST and ALT ≥ 2.5 x </w:t>
      </w:r>
      <w:proofErr w:type="gramStart"/>
      <w:r w:rsidRPr="000273FA">
        <w:t>ULN;</w:t>
      </w:r>
      <w:proofErr w:type="gramEnd"/>
    </w:p>
    <w:p w14:paraId="18A6CCFC" w14:textId="77777777" w:rsidR="000273FA" w:rsidRPr="000273FA" w:rsidRDefault="000273FA" w:rsidP="00EE6D1C">
      <w:pPr>
        <w:pStyle w:val="ListBullet2"/>
      </w:pPr>
      <w:r w:rsidRPr="000273FA">
        <w:t>Total bilirubin ≥ 1.5 x ULN, unless documented Gilbert disease then total bilirubin ≤ 3.0 x ULN.</w:t>
      </w:r>
    </w:p>
    <w:p w14:paraId="2DD5BC65" w14:textId="581C3021" w:rsidR="000273FA" w:rsidRDefault="000273FA" w:rsidP="00EE6D1C">
      <w:pPr>
        <w:pStyle w:val="ListBullet2"/>
      </w:pPr>
      <w:r w:rsidRPr="000273FA">
        <w:t>Serum creatinine clearance &lt; 40 mL/min (per Cockcroft-Gault)</w:t>
      </w:r>
    </w:p>
    <w:p w14:paraId="52E1EC40" w14:textId="7BA94681" w:rsidR="000273FA" w:rsidRDefault="000273FA" w:rsidP="00EE6D1C">
      <w:pPr>
        <w:pStyle w:val="ListBullet"/>
      </w:pPr>
      <w:r w:rsidRPr="000273FA">
        <w:t>Positive hepatitis B surface antigen [HBsAg] serology), occult or prior hepatitis B infection, positive for HCV (eligible only if polymerase chain reaction (PCR) is negative for HCV RNA), history of HIV seropositive, positive for HTLV-1</w:t>
      </w:r>
    </w:p>
    <w:p w14:paraId="000001A8" w14:textId="77777777" w:rsidR="008D3ED4" w:rsidRDefault="00031835">
      <w:r>
        <w:t>Patients were randomised (1:1) to the two treatments. Randomisation was stratified by IPI score (IPI 2 vs IPI 3-5); bulky disease, defined as one lesion ≥ 7.5 cm (present vs absent); geographical region (Western Europe, United States, Canada, and Australia vs Asia vs Rest of World).</w:t>
      </w:r>
    </w:p>
    <w:p w14:paraId="000001A9" w14:textId="77777777" w:rsidR="008D3ED4" w:rsidRDefault="00031835">
      <w:r>
        <w:t>All drugs were administered on a 21-day cycle. Patients received 8 cycles of rituximab (375 mg/m</w:t>
      </w:r>
      <w:r>
        <w:rPr>
          <w:vertAlign w:val="superscript"/>
        </w:rPr>
        <w:t>2</w:t>
      </w:r>
      <w:r>
        <w:t xml:space="preserve"> on Day 1) and 6 cycles each of the assigned other treatments [On Day 1: cyclophosphamide 750 mg/m</w:t>
      </w:r>
      <w:r>
        <w:rPr>
          <w:vertAlign w:val="superscript"/>
        </w:rPr>
        <w:t>2</w:t>
      </w:r>
      <w:r>
        <w:t>, doxorubicin 50 mg/m</w:t>
      </w:r>
      <w:r>
        <w:rPr>
          <w:vertAlign w:val="superscript"/>
        </w:rPr>
        <w:t>2</w:t>
      </w:r>
      <w:r>
        <w:t>, and either vincristine/placebo 1.4 mg/m</w:t>
      </w:r>
      <w:r>
        <w:rPr>
          <w:vertAlign w:val="superscript"/>
        </w:rPr>
        <w:t xml:space="preserve">2 </w:t>
      </w:r>
      <w:r>
        <w:t>(max 2 mg) or polatuzumab vedotin/placebo 1.8 mg/kg; and on Day 1-5 prednisolone 100 mg/day].</w:t>
      </w:r>
    </w:p>
    <w:p w14:paraId="000001AA" w14:textId="77777777" w:rsidR="008D3ED4" w:rsidRDefault="00031835">
      <w:r>
        <w:t xml:space="preserve">Drugs were </w:t>
      </w:r>
      <w:r>
        <w:t>administered in the following order: prednisone (at least 1 hour prior to subsequent drugs), rituximab, blinded polatuzumab vedotin/placebo third. Subsequent infusions of blinded vincristine/placebo, cyclophosphamide, and doxorubicin were administered according to institutional preference.</w:t>
      </w:r>
    </w:p>
    <w:p w14:paraId="000001AB" w14:textId="77777777" w:rsidR="008D3ED4" w:rsidRDefault="00031835">
      <w:r>
        <w:t>The initial dose of polatuzumab vedotin/placebo was administered over 90 minutes and patients were observed for a further 90 minutes for infusion-associated symptoms. If infusions were well tolerated, subsequent doses of polatuzumab/placebo could be administered over 30 (</w:t>
      </w:r>
      <w:r>
        <w:rPr>
          <w:rFonts w:ascii="Cambria Math" w:eastAsia="Cambria Math" w:hAnsi="Cambria Math" w:cs="Cambria Math"/>
        </w:rPr>
        <w:t xml:space="preserve">± </w:t>
      </w:r>
      <w:r>
        <w:t xml:space="preserve">10) minutes, followed by a 30-minute observation period after the infusion. </w:t>
      </w:r>
    </w:p>
    <w:p w14:paraId="000001AC" w14:textId="77777777" w:rsidR="008D3ED4" w:rsidRDefault="00031835">
      <w:r>
        <w:t>Dose reductions for toxicity were specified: polatuzumab vedotin could be reduced to 1.4 mg/mg and then 1.0 mg/kg per cycle, and if not tolerated at that dose was to be discontinued.</w:t>
      </w:r>
    </w:p>
    <w:p w14:paraId="000001AD" w14:textId="77777777" w:rsidR="008D3ED4" w:rsidRDefault="00031835">
      <w:r>
        <w:t>Premedication before rituximab and/or polatuzumab/placebo consisted of an antihistamine (e.g. 50-100 mg of diphenhydramine) and an analgesic/antipyretic (e.g. 650-1000 mg of paracetamol).</w:t>
      </w:r>
    </w:p>
    <w:p w14:paraId="000001AE" w14:textId="77777777" w:rsidR="008D3ED4" w:rsidRDefault="00031835">
      <w:r>
        <w:t>Patients in the R-CHOP arm whose disease progressed were not permitted to crossover to the pola+R-CHP arm.</w:t>
      </w:r>
    </w:p>
    <w:p w14:paraId="000001AF" w14:textId="77777777" w:rsidR="008D3ED4" w:rsidRDefault="00031835">
      <w:r>
        <w:t>Tumour response and disease progression were determined using the 2014 Lugano response criteria.</w:t>
      </w:r>
    </w:p>
    <w:p w14:paraId="000001B0" w14:textId="77777777" w:rsidR="008D3ED4" w:rsidRDefault="00031835">
      <w:r>
        <w:lastRenderedPageBreak/>
        <w:t xml:space="preserve">CT and PET-CT scans were required at screening and at 6-8 weeks after the last dose of study treatment. For all patients who had not progressed, diagnostic contrast-enhanced CT scans (or PET-CT alone) were to be performed every 6 months for the next 24 months, then every 12 months for the next 36 months, and then only if clinically indicated. </w:t>
      </w:r>
    </w:p>
    <w:p w14:paraId="000001B1" w14:textId="77777777" w:rsidR="008D3ED4" w:rsidRDefault="00031835">
      <w:r>
        <w:t>Bone marrow examination was required for all patients at screening and was repeated if there was bone marrow involvement at screening, to confirm a radiological assessment of CR and/or to confirm bone marrow relapse.</w:t>
      </w:r>
    </w:p>
    <w:p w14:paraId="000001B2" w14:textId="77777777" w:rsidR="008D3ED4" w:rsidRDefault="00031835">
      <w:r>
        <w:t xml:space="preserve">A </w:t>
      </w:r>
      <w:r>
        <w:t>sample size of 875 patients with 228 PFS events would be required to detect a hazard ratio of 0.69 for PFS, with 80% power at a one-sided 2.5% significance level. The minimal detectable difference (MDD) for the PFS hazard ratio at the final PFS analysis would be 0.771, and the 3-year PFS would be expected to improve from 62% to 70% under the MDD.</w:t>
      </w:r>
    </w:p>
    <w:p w14:paraId="000001B3" w14:textId="77777777" w:rsidR="008D3ED4" w:rsidRDefault="00031835">
      <w:r>
        <w:t>A hierarchical testing procedure was in place to adjust for multiple statistical testing of the primary and key secondary efficacy endpoints, to control the overall type I error rate at a one-sided 0.025 level of significance. The other secondary endpoints were to be tested without adjusting for multiplicity.</w:t>
      </w:r>
    </w:p>
    <w:p w14:paraId="000001B4" w14:textId="77777777" w:rsidR="008D3ED4" w:rsidRDefault="00031835">
      <w:r>
        <w:t>Of the 1063 patients screened, 184 failed screening, and 879 were randomised, 440 to the pola+R-CHP arm and 439 to the R-CHOP arm. Of those, 86.9% of subjects completed the 8 cycles of study treatment and 12.4% discontinued treatment early. The most common reasons for early discontinuation were progressive disease (3.3%) or adverse event (3.0%). Of note discontinuations in the pola+R-CHP vs R-CHOP arms, respectively, occurred due to adverse events in 2.1% vs 4.3%, due to deaths in 2.3% vs 0.7% and progressi</w:t>
      </w:r>
      <w:r>
        <w:t>ve disease in 1.4% vs 2.8%.</w:t>
      </w:r>
    </w:p>
    <w:p w14:paraId="000001B5" w14:textId="77777777" w:rsidR="008D3ED4" w:rsidRDefault="00031835">
      <w:r>
        <w:t>At the primary analysis, 83.8% were still ongoing in the study, with the most common reason for study discontinuation being death (12.3%).</w:t>
      </w:r>
    </w:p>
    <w:p w14:paraId="000001B6" w14:textId="77777777" w:rsidR="008D3ED4" w:rsidRDefault="00031835">
      <w:r>
        <w:t>Across the study 5.7% of patients had major protocol deviation.  Events occurring in &gt;1% of patients were noncompliance with study treatment modification or stopping rules (1.1% R-CHOP arm vs 0.7% pola+R-CHP arm) and exclusion criteria not met (1.1% of R-CHOP arm vs 2.7% pola+R-CHP arm).</w:t>
      </w:r>
    </w:p>
    <w:p w14:paraId="000001B7" w14:textId="77777777" w:rsidR="008D3ED4" w:rsidRDefault="00031835">
      <w:r>
        <w:t>Mean age of the study population was 63.06 years, 53.1% were aged ≥65 years, and 53.8% of subjects were male. Most patients (84.2%) had a diagnosis of DLBCL not otherwise specified (NOS), and 10.6% had high grade B-cell lymphoma, double or triple hit lymphoma. Most subjects had stage III (26.4%) or IV (62.3%) disease, IPI score was 2 in 38.0% of subjects and 3-5 in 62.0%, and 44.1% had baseline bulky disease. Pre-phase steroid treatment was received by 37.7% of patients in the pola+R-CHP arm and 38.6% of pa</w:t>
      </w:r>
      <w:r>
        <w:t xml:space="preserve">tients in the R-CHOP arm. </w:t>
      </w:r>
    </w:p>
    <w:p w14:paraId="000001B8" w14:textId="77777777" w:rsidR="008D3ED4" w:rsidRDefault="00031835">
      <w:pPr>
        <w:pStyle w:val="Heading5"/>
      </w:pPr>
      <w:r>
        <w:t>Primary efficacy endpoint</w:t>
      </w:r>
    </w:p>
    <w:p w14:paraId="000001B9" w14:textId="733C350E" w:rsidR="008D3ED4" w:rsidRDefault="00031835">
      <w:r>
        <w:t xml:space="preserve">The primary efficacy endpoint was progression-free survival (PFS): the time from randomisation to the first occurrence of disease progression or relapse (per investigator), or death from any cause. The PFS primary (final) analysis was conducted after approximately 228 PFS events had occurred in the ITT population and at least 24 months had elapsed since enrolment of the last patient, whichever occurred later (Figure 2). </w:t>
      </w:r>
    </w:p>
    <w:p w14:paraId="000001BA" w14:textId="77777777" w:rsidR="008D3ED4" w:rsidRDefault="00031835">
      <w:r>
        <w:t>The median duration of follow-up was 28.1 months in the pola+R-CHP arm and 28.2 months in the R-CHOP arm. Median PFS was not expected to be reached at the time of the primary PFS analysis. Therefore, the 1-year and 2-year rates were to be used to describe PFS in addition to the hazard ratio.</w:t>
      </w:r>
    </w:p>
    <w:p w14:paraId="000001BB" w14:textId="77777777" w:rsidR="008D3ED4" w:rsidRDefault="00031835">
      <w:r>
        <w:lastRenderedPageBreak/>
        <w:t>Events occurred in 24.3% of the pola+R-CHP arm and 30.5% of the R-CHOP arm. The risk of experiencing a PFS event in the pola+R-CHP vs the R-CHOP arm (HR) = 0.73 (95% CI: 0.57 to 0.95); p = 0.0177.</w:t>
      </w:r>
    </w:p>
    <w:p w14:paraId="000001BC" w14:textId="77777777" w:rsidR="008D3ED4" w:rsidRDefault="00031835">
      <w:r>
        <w:t xml:space="preserve">At 24 months, PFS was 76.71% in the pola+R-CHP arm vs 70.20% in the R-CHOP arm (difference = 6.50% [95%CI: 0.52 to 12.49%]). </w:t>
      </w:r>
    </w:p>
    <w:p w14:paraId="000001BE" w14:textId="77777777" w:rsidR="008D3ED4" w:rsidRDefault="00031835" w:rsidP="00EE6D1C">
      <w:pPr>
        <w:pStyle w:val="FigureTitle"/>
      </w:pPr>
      <w:r>
        <w:lastRenderedPageBreak/>
        <w:t xml:space="preserve">Figure </w:t>
      </w:r>
      <w:proofErr w:type="gramStart"/>
      <w:r>
        <w:t>2  POLARIX</w:t>
      </w:r>
      <w:proofErr w:type="gramEnd"/>
      <w:r>
        <w:t xml:space="preserve"> Study Kaplan-Meier Curve Progression Free Survival ITT Population</w:t>
      </w:r>
    </w:p>
    <w:p w14:paraId="000001BF" w14:textId="77777777" w:rsidR="008D3ED4" w:rsidRDefault="00031835">
      <w:pPr>
        <w:rPr>
          <w:color w:val="7DB954"/>
        </w:rPr>
      </w:pPr>
      <w:r>
        <w:rPr>
          <w:noProof/>
        </w:rPr>
        <w:drawing>
          <wp:inline distT="0" distB="0" distL="0" distR="0" wp14:anchorId="63BFD526" wp14:editId="3204A9CD">
            <wp:extent cx="8536796" cy="4981084"/>
            <wp:effectExtent l="6033" t="0" r="4127" b="4128"/>
            <wp:docPr id="208" name="image4.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chart&#10;&#10;Description automatically generated"/>
                    <pic:cNvPicPr preferRelativeResize="0"/>
                  </pic:nvPicPr>
                  <pic:blipFill>
                    <a:blip r:embed="rId22"/>
                    <a:srcRect l="2258" t="3666" r="2972" b="14230"/>
                    <a:stretch>
                      <a:fillRect/>
                    </a:stretch>
                  </pic:blipFill>
                  <pic:spPr>
                    <a:xfrm rot="16200000">
                      <a:off x="0" y="0"/>
                      <a:ext cx="8540335" cy="4983149"/>
                    </a:xfrm>
                    <a:prstGeom prst="rect">
                      <a:avLst/>
                    </a:prstGeom>
                    <a:ln/>
                  </pic:spPr>
                </pic:pic>
              </a:graphicData>
            </a:graphic>
          </wp:inline>
        </w:drawing>
      </w:r>
    </w:p>
    <w:p w14:paraId="000001C0" w14:textId="77777777" w:rsidR="008D3ED4" w:rsidRDefault="00031835">
      <w:pPr>
        <w:pStyle w:val="Heading6"/>
      </w:pPr>
      <w:r>
        <w:lastRenderedPageBreak/>
        <w:t>Sensitivity analyses</w:t>
      </w:r>
    </w:p>
    <w:p w14:paraId="000001C1" w14:textId="77777777" w:rsidR="008D3ED4" w:rsidRDefault="00031835" w:rsidP="00EE6D1C">
      <w:pPr>
        <w:pStyle w:val="ListBullet"/>
      </w:pPr>
      <w:r>
        <w:t>Effect of missing scheduled PFS assessments (analysis using interval censoring): stratified HR 0.75 (95% CI: 0.58, 0.96) in favour of pola+R-CHP</w:t>
      </w:r>
    </w:p>
    <w:p w14:paraId="000001C2" w14:textId="77777777" w:rsidR="008D3ED4" w:rsidRDefault="00031835" w:rsidP="00EE6D1C">
      <w:pPr>
        <w:pStyle w:val="ListBullet"/>
      </w:pPr>
      <w:r>
        <w:t xml:space="preserve">Impact of new anti-lymphoma therapy (NALT) before, or in the absence of, subsequent death or disease progression: HR for PFS censored at the last adequate tumour assessment before the initiation of NALT 0.77 (95% CI: 0.59 to 1.01) favouring pola+R-CHP. </w:t>
      </w:r>
    </w:p>
    <w:p w14:paraId="000001C3" w14:textId="77777777" w:rsidR="008D3ED4" w:rsidRDefault="00031835">
      <w:pPr>
        <w:pStyle w:val="Heading6"/>
      </w:pPr>
      <w:r>
        <w:t>Subgroup analyses</w:t>
      </w:r>
    </w:p>
    <w:p w14:paraId="000001C4" w14:textId="3CD8610F" w:rsidR="008D3ED4" w:rsidRDefault="00031835">
      <w:r>
        <w:t>Subgroup analyses of PFS are illustrated in Figure 3. These suggested a consistent efficacy benefit for the pola+R-CHP arm, with hazard ratios being &lt; 1.0.</w:t>
      </w:r>
    </w:p>
    <w:p w14:paraId="000001C6" w14:textId="77777777" w:rsidR="008D3ED4" w:rsidRDefault="00031835" w:rsidP="00EE6D1C">
      <w:pPr>
        <w:pStyle w:val="Heading6"/>
        <w:keepNext w:val="0"/>
        <w:keepLines w:val="0"/>
      </w:pPr>
      <w:r>
        <w:t>Subgroup analyses</w:t>
      </w:r>
    </w:p>
    <w:p w14:paraId="000001C7" w14:textId="77777777" w:rsidR="008D3ED4" w:rsidRDefault="00031835" w:rsidP="00EE6D1C">
      <w:pPr>
        <w:pStyle w:val="FigureTitle"/>
      </w:pPr>
      <w:r>
        <w:t>Figure 3 POLARIX Study Subgroup Analysis</w:t>
      </w:r>
    </w:p>
    <w:p w14:paraId="000001C8" w14:textId="77777777" w:rsidR="008D3ED4" w:rsidRDefault="00031835">
      <w:pPr>
        <w:rPr>
          <w:u w:val="single"/>
        </w:rPr>
      </w:pPr>
      <w:r>
        <w:rPr>
          <w:noProof/>
        </w:rPr>
        <w:drawing>
          <wp:inline distT="0" distB="0" distL="0" distR="0" wp14:anchorId="13067234" wp14:editId="60832B5A">
            <wp:extent cx="5499411" cy="4117775"/>
            <wp:effectExtent l="5080" t="0" r="0" b="0"/>
            <wp:docPr id="207"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23"/>
                    <a:srcRect/>
                    <a:stretch>
                      <a:fillRect/>
                    </a:stretch>
                  </pic:blipFill>
                  <pic:spPr>
                    <a:xfrm rot="16200000">
                      <a:off x="0" y="0"/>
                      <a:ext cx="5512545" cy="4127609"/>
                    </a:xfrm>
                    <a:prstGeom prst="rect">
                      <a:avLst/>
                    </a:prstGeom>
                    <a:ln/>
                  </pic:spPr>
                </pic:pic>
              </a:graphicData>
            </a:graphic>
          </wp:inline>
        </w:drawing>
      </w:r>
    </w:p>
    <w:p w14:paraId="000001C9" w14:textId="77777777" w:rsidR="008D3ED4" w:rsidRDefault="00031835">
      <w:pPr>
        <w:pStyle w:val="Heading5"/>
        <w:rPr>
          <w:color w:val="7DB954"/>
        </w:rPr>
      </w:pPr>
      <w:r>
        <w:rPr>
          <w:b w:val="0"/>
          <w:noProof/>
        </w:rPr>
        <w:lastRenderedPageBreak/>
        <w:drawing>
          <wp:inline distT="0" distB="0" distL="0" distR="0" wp14:anchorId="400F2691" wp14:editId="0C87EF65">
            <wp:extent cx="7249470" cy="4327180"/>
            <wp:effectExtent l="0" t="5715" r="3175" b="3175"/>
            <wp:docPr id="210" name="image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able&#10;&#10;Description automatically generated"/>
                    <pic:cNvPicPr preferRelativeResize="0"/>
                  </pic:nvPicPr>
                  <pic:blipFill>
                    <a:blip r:embed="rId24"/>
                    <a:srcRect/>
                    <a:stretch>
                      <a:fillRect/>
                    </a:stretch>
                  </pic:blipFill>
                  <pic:spPr>
                    <a:xfrm rot="16200000">
                      <a:off x="0" y="0"/>
                      <a:ext cx="7256197" cy="4331195"/>
                    </a:xfrm>
                    <a:prstGeom prst="rect">
                      <a:avLst/>
                    </a:prstGeom>
                    <a:ln/>
                  </pic:spPr>
                </pic:pic>
              </a:graphicData>
            </a:graphic>
          </wp:inline>
        </w:drawing>
      </w:r>
    </w:p>
    <w:p w14:paraId="000001CA" w14:textId="77777777" w:rsidR="008D3ED4" w:rsidRDefault="00031835">
      <w:pPr>
        <w:pStyle w:val="Heading5"/>
      </w:pPr>
      <w:r>
        <w:t>Results for key secondary efficacy outcomes</w:t>
      </w:r>
    </w:p>
    <w:p w14:paraId="000001CB" w14:textId="77777777" w:rsidR="008D3ED4" w:rsidRDefault="00031835">
      <w:r>
        <w:t>Event-free survival for efficacy reasons (</w:t>
      </w:r>
      <w:proofErr w:type="spellStart"/>
      <w:r>
        <w:t>EFS</w:t>
      </w:r>
      <w:r>
        <w:rPr>
          <w:vertAlign w:val="subscript"/>
        </w:rPr>
        <w:t>eff</w:t>
      </w:r>
      <w:proofErr w:type="spellEnd"/>
      <w:r>
        <w:t>) was defined as the time from date of randomisation to the earliest occurrence of any of disease progression/relapse; death due to any cause; an event (per investigator) other than disease progression/relapse, that led to initiation of any non-protocol specified new anti-lymphoma treatment (NALT) (e.g., a PET-CT scan, bone marrow test, CT/MRI, or physical examination suggests residual disease); post-treatment-completion positive biopsy, positive for residual disease, regardless of whether NALT is ini</w:t>
      </w:r>
      <w:r>
        <w:t>tiated or not.</w:t>
      </w:r>
    </w:p>
    <w:p w14:paraId="000001CC" w14:textId="77777777" w:rsidR="008D3ED4" w:rsidRDefault="00031835">
      <w:pPr>
        <w:rPr>
          <w:color w:val="7DB954"/>
        </w:rPr>
      </w:pPr>
      <w:r>
        <w:lastRenderedPageBreak/>
        <w:t xml:space="preserve">At 24 months, the </w:t>
      </w:r>
      <w:proofErr w:type="spellStart"/>
      <w:r>
        <w:t>EFS</w:t>
      </w:r>
      <w:r>
        <w:rPr>
          <w:vertAlign w:val="subscript"/>
        </w:rPr>
        <w:t>eff</w:t>
      </w:r>
      <w:proofErr w:type="spellEnd"/>
      <w:r>
        <w:t xml:space="preserve"> rates for </w:t>
      </w:r>
      <w:proofErr w:type="spellStart"/>
      <w:r>
        <w:t>pola+R-</w:t>
      </w:r>
      <w:proofErr w:type="gramStart"/>
      <w:r>
        <w:t>CHP</w:t>
      </w:r>
      <w:proofErr w:type="spellEnd"/>
      <w:r>
        <w:t xml:space="preserve">  vs</w:t>
      </w:r>
      <w:proofErr w:type="gramEnd"/>
      <w:r>
        <w:t xml:space="preserve"> R-CHOP were 75.57% vs 69.39% (difference = 6.19% [95%CI: 0.14 to 12.23%]). HR 0.75 (95%CI: 0.58 to 0.96); p = 0.0244.</w:t>
      </w:r>
    </w:p>
    <w:p w14:paraId="000001CD" w14:textId="77777777" w:rsidR="008D3ED4" w:rsidRDefault="00031835">
      <w:r>
        <w:t>Complete response (CR)% at end of treatment by PET-CT per BICR for pola+R-CHP vs R-CHOP: 78.0% (95% CI: 73.79 to 81.74) vs 74.0% (95% CI: 69.66 to 78.07), p = 0.1557.</w:t>
      </w:r>
    </w:p>
    <w:p w14:paraId="000001CE" w14:textId="77777777" w:rsidR="008D3ED4" w:rsidRDefault="00031835">
      <w:pPr>
        <w:pStyle w:val="Heading6"/>
      </w:pPr>
      <w:r>
        <w:t>Overall survival (OS)</w:t>
      </w:r>
    </w:p>
    <w:p w14:paraId="000001CF" w14:textId="77777777" w:rsidR="008D3ED4" w:rsidRDefault="00031835">
      <w:pPr>
        <w:rPr>
          <w:color w:val="7DB954"/>
        </w:rPr>
      </w:pPr>
      <w:r>
        <w:t xml:space="preserve">At the final PFS analysis 110/879 subjects (12.5%) had died: HR = 0.94 (95%CI: 0.65 to 1.37); p = 0.7524. At 24 months, the estimated OS was 88.66% in the pola+R-CHP arm vs 88.61% in the R-CHOP arm (difference = 0.05% [95%CI: -4.21 to +4.31]). NALT use was more common in the R-CHOP arm - 30.3% vs. 22.5% of subjects (Figure 4). </w:t>
      </w:r>
    </w:p>
    <w:p w14:paraId="000001D0" w14:textId="77777777" w:rsidR="008D3ED4" w:rsidRDefault="00031835">
      <w:r>
        <w:t xml:space="preserve">The final OS analysis was to occur 36 months after the last patient was enrolled. </w:t>
      </w:r>
    </w:p>
    <w:p w14:paraId="000001D1" w14:textId="77777777" w:rsidR="008D3ED4" w:rsidRDefault="00031835">
      <w:r>
        <w:t xml:space="preserve">The duration of survival follow-up was 39.6 months in the R-CHOP arm and 39.7 months in the pola+R-CHP arm. In the final OS analysis 15.3% of the R-CHOP arm and 14.5% of the pola+R-CHP arm had died (estimated OS 83.3% vs 85.0% for the R-CHOP and pola+R-CHP arms, respectively; HR = 0.94 (95% CI: 0.67 to 1.33); p = 0.7326). </w:t>
      </w:r>
    </w:p>
    <w:p w14:paraId="000001D2" w14:textId="77777777" w:rsidR="008D3ED4" w:rsidRDefault="00031835" w:rsidP="00EE6D1C">
      <w:pPr>
        <w:pStyle w:val="FigureTitle"/>
      </w:pPr>
      <w:r>
        <w:lastRenderedPageBreak/>
        <w:t>Figure 4 POLARIX Study Kaplan-Meier Curves Overall Survival ITT population</w:t>
      </w:r>
    </w:p>
    <w:p w14:paraId="000001D3" w14:textId="77777777" w:rsidR="008D3ED4" w:rsidRDefault="00031835">
      <w:r>
        <w:rPr>
          <w:noProof/>
        </w:rPr>
        <w:drawing>
          <wp:inline distT="0" distB="0" distL="0" distR="0" wp14:anchorId="6C0305FD" wp14:editId="0D29BAF3">
            <wp:extent cx="7202119" cy="4753194"/>
            <wp:effectExtent l="5080" t="0" r="4445" b="4445"/>
            <wp:docPr id="2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2406" t="8894" r="5629" b="24897"/>
                    <a:stretch>
                      <a:fillRect/>
                    </a:stretch>
                  </pic:blipFill>
                  <pic:spPr>
                    <a:xfrm rot="16200000">
                      <a:off x="0" y="0"/>
                      <a:ext cx="7229518" cy="4771277"/>
                    </a:xfrm>
                    <a:prstGeom prst="rect">
                      <a:avLst/>
                    </a:prstGeom>
                    <a:ln/>
                  </pic:spPr>
                </pic:pic>
              </a:graphicData>
            </a:graphic>
          </wp:inline>
        </w:drawing>
      </w:r>
    </w:p>
    <w:p w14:paraId="7BD21F36" w14:textId="77777777" w:rsidR="00EE6D1C" w:rsidRPr="00EE6D1C" w:rsidRDefault="00031835" w:rsidP="00EE6D1C">
      <w:pPr>
        <w:pStyle w:val="FigureDescription"/>
      </w:pPr>
      <w:r w:rsidRPr="00EE6D1C">
        <w:t xml:space="preserve">CCOD=clinical cut-off ate; ITT=intent to treat; NE=not evaluable; OS=overall survival; </w:t>
      </w:r>
      <w:proofErr w:type="spellStart"/>
      <w:r w:rsidRPr="00EE6D1C">
        <w:t>pola</w:t>
      </w:r>
      <w:proofErr w:type="spellEnd"/>
      <w:r w:rsidRPr="00EE6D1C">
        <w:t>=</w:t>
      </w:r>
      <w:proofErr w:type="spellStart"/>
      <w:r w:rsidRPr="00EE6D1C">
        <w:t>polatuzumab</w:t>
      </w:r>
      <w:proofErr w:type="spellEnd"/>
      <w:r w:rsidRPr="00EE6D1C">
        <w:t xml:space="preserve"> </w:t>
      </w:r>
      <w:proofErr w:type="gramStart"/>
      <w:r w:rsidRPr="00EE6D1C">
        <w:t>vedotin;</w:t>
      </w:r>
      <w:proofErr w:type="gramEnd"/>
      <w:r w:rsidR="00EE6D1C" w:rsidRPr="00EE6D1C">
        <w:t xml:space="preserve"> </w:t>
      </w:r>
    </w:p>
    <w:p w14:paraId="000001D4" w14:textId="683607B2" w:rsidR="008D3ED4" w:rsidRPr="00EE6D1C" w:rsidRDefault="00031835" w:rsidP="00EE6D1C">
      <w:pPr>
        <w:pStyle w:val="FigureDescription"/>
      </w:pPr>
      <w:r w:rsidRPr="00EE6D1C">
        <w:t xml:space="preserve">R-CHOP=rituximab plus cyclophosphamide, doxorubicin, </w:t>
      </w:r>
      <w:proofErr w:type="gramStart"/>
      <w:r w:rsidRPr="00EE6D1C">
        <w:t>vincristine</w:t>
      </w:r>
      <w:proofErr w:type="gramEnd"/>
      <w:r w:rsidRPr="00EE6D1C">
        <w:t xml:space="preserve"> and prednisone; R-CHP= rituximab plus cyclophosphamide, doxorubicin, and prednisone.</w:t>
      </w:r>
    </w:p>
    <w:p w14:paraId="000001D5" w14:textId="77777777" w:rsidR="008D3ED4" w:rsidRDefault="00031835">
      <w:pPr>
        <w:pStyle w:val="Heading6"/>
      </w:pPr>
      <w:r>
        <w:t>Results for other secondary efficacy outcomes</w:t>
      </w:r>
    </w:p>
    <w:p w14:paraId="000001D6" w14:textId="77777777" w:rsidR="008D3ED4" w:rsidRDefault="00031835">
      <w:r>
        <w:t>Analysis of the other secondary endpoints was performed at the time of the PFS primary analysis. Results are summarised, below.</w:t>
      </w:r>
    </w:p>
    <w:p w14:paraId="000001D7" w14:textId="77777777" w:rsidR="008D3ED4" w:rsidRDefault="00031835" w:rsidP="00EE6D1C">
      <w:pPr>
        <w:pStyle w:val="TableTitle"/>
      </w:pPr>
      <w:r>
        <w:lastRenderedPageBreak/>
        <w:t>Table 2 POLARIX Study Secondary Endpoints</w:t>
      </w:r>
    </w:p>
    <w:tbl>
      <w:tblPr>
        <w:tblStyle w:val="a4"/>
        <w:tblW w:w="9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6"/>
        <w:gridCol w:w="1289"/>
        <w:gridCol w:w="2355"/>
        <w:gridCol w:w="3109"/>
      </w:tblGrid>
      <w:tr w:rsidR="008D3ED4" w14:paraId="0B9F84F7" w14:textId="77777777" w:rsidTr="005F30BB">
        <w:trPr>
          <w:cnfStyle w:val="100000000000" w:firstRow="1" w:lastRow="0" w:firstColumn="0" w:lastColumn="0" w:oddVBand="0" w:evenVBand="0" w:oddHBand="0" w:evenHBand="0" w:firstRowFirstColumn="0" w:firstRowLastColumn="0" w:lastRowFirstColumn="0" w:lastRowLastColumn="0"/>
          <w:cantSplit/>
          <w:trHeight w:val="447"/>
          <w:tblHeader/>
        </w:trPr>
        <w:tc>
          <w:tcPr>
            <w:cnfStyle w:val="001000000000" w:firstRow="0" w:lastRow="0" w:firstColumn="1" w:lastColumn="0" w:oddVBand="0" w:evenVBand="0" w:oddHBand="0" w:evenHBand="0" w:firstRowFirstColumn="0" w:firstRowLastColumn="0" w:lastRowFirstColumn="0" w:lastRowLastColumn="0"/>
            <w:tcW w:w="2306" w:type="dxa"/>
            <w:shd w:val="clear" w:color="auto" w:fill="DEEAF6" w:themeFill="accent5" w:themeFillTint="33"/>
          </w:tcPr>
          <w:p w14:paraId="000001D8" w14:textId="77777777" w:rsidR="008D3ED4" w:rsidRPr="005F30BB" w:rsidRDefault="00031835">
            <w:pPr>
              <w:rPr>
                <w:rFonts w:ascii="Cambria" w:hAnsi="Cambria"/>
                <w:iCs/>
                <w:szCs w:val="20"/>
              </w:rPr>
            </w:pPr>
            <w:bookmarkStart w:id="16" w:name="_heading=h.44sinio" w:colFirst="0" w:colLast="0"/>
            <w:bookmarkEnd w:id="16"/>
            <w:r w:rsidRPr="005F30BB">
              <w:rPr>
                <w:rFonts w:ascii="Cambria" w:eastAsia="Times New Roman" w:hAnsi="Cambria" w:cs="Times New Roman"/>
                <w:bCs/>
                <w:iCs/>
                <w:color w:val="001871"/>
                <w:szCs w:val="20"/>
              </w:rPr>
              <w:t>Other Secondary Endpoint</w:t>
            </w:r>
          </w:p>
        </w:tc>
        <w:tc>
          <w:tcPr>
            <w:tcW w:w="1289" w:type="dxa"/>
            <w:shd w:val="clear" w:color="auto" w:fill="DEEAF6" w:themeFill="accent5" w:themeFillTint="33"/>
          </w:tcPr>
          <w:p w14:paraId="000001D9" w14:textId="77777777" w:rsidR="008D3ED4" w:rsidRPr="005F30BB" w:rsidRDefault="008D3ED4">
            <w:pPr>
              <w:cnfStyle w:val="100000000000" w:firstRow="1" w:lastRow="0" w:firstColumn="0" w:lastColumn="0" w:oddVBand="0" w:evenVBand="0" w:oddHBand="0" w:evenHBand="0" w:firstRowFirstColumn="0" w:firstRowLastColumn="0" w:lastRowFirstColumn="0" w:lastRowLastColumn="0"/>
              <w:rPr>
                <w:rFonts w:ascii="Cambria" w:hAnsi="Cambria"/>
                <w:iCs/>
                <w:szCs w:val="20"/>
              </w:rPr>
            </w:pPr>
          </w:p>
        </w:tc>
        <w:tc>
          <w:tcPr>
            <w:tcW w:w="2355" w:type="dxa"/>
            <w:shd w:val="clear" w:color="auto" w:fill="DEEAF6" w:themeFill="accent5" w:themeFillTint="33"/>
          </w:tcPr>
          <w:p w14:paraId="000001DA" w14:textId="77777777" w:rsidR="008D3ED4" w:rsidRPr="005F30BB" w:rsidRDefault="00031835">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Cs/>
                <w:iCs/>
                <w:color w:val="001871"/>
                <w:szCs w:val="20"/>
              </w:rPr>
            </w:pPr>
            <w:r w:rsidRPr="005F30BB">
              <w:rPr>
                <w:rFonts w:ascii="Cambria" w:eastAsia="Times New Roman" w:hAnsi="Cambria" w:cs="Times New Roman"/>
                <w:bCs/>
                <w:iCs/>
                <w:color w:val="001871"/>
                <w:szCs w:val="20"/>
              </w:rPr>
              <w:t>Pola+R-CHP</w:t>
            </w:r>
          </w:p>
        </w:tc>
        <w:tc>
          <w:tcPr>
            <w:tcW w:w="3109" w:type="dxa"/>
            <w:shd w:val="clear" w:color="auto" w:fill="DEEAF6" w:themeFill="accent5" w:themeFillTint="33"/>
          </w:tcPr>
          <w:p w14:paraId="000001DB" w14:textId="77777777" w:rsidR="008D3ED4" w:rsidRPr="005F30BB" w:rsidRDefault="00031835">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Cs/>
                <w:iCs/>
                <w:color w:val="001871"/>
                <w:szCs w:val="20"/>
              </w:rPr>
            </w:pPr>
            <w:r w:rsidRPr="005F30BB">
              <w:rPr>
                <w:rFonts w:ascii="Cambria" w:eastAsia="Times New Roman" w:hAnsi="Cambria" w:cs="Times New Roman"/>
                <w:bCs/>
                <w:iCs/>
                <w:color w:val="001871"/>
                <w:szCs w:val="20"/>
              </w:rPr>
              <w:t>R-CHOP</w:t>
            </w:r>
          </w:p>
        </w:tc>
      </w:tr>
      <w:tr w:rsidR="006359E7" w14:paraId="01BC9EFF" w14:textId="77777777" w:rsidTr="00180F8B">
        <w:trPr>
          <w:cantSplit/>
          <w:trHeight w:val="386"/>
        </w:trPr>
        <w:tc>
          <w:tcPr>
            <w:cnfStyle w:val="001000000000" w:firstRow="0" w:lastRow="0" w:firstColumn="1" w:lastColumn="0" w:oddVBand="0" w:evenVBand="0" w:oddHBand="0" w:evenHBand="0" w:firstRowFirstColumn="0" w:firstRowLastColumn="0" w:lastRowFirstColumn="0" w:lastRowLastColumn="0"/>
            <w:tcW w:w="3595" w:type="dxa"/>
            <w:gridSpan w:val="2"/>
          </w:tcPr>
          <w:p w14:paraId="000001DD" w14:textId="38A17FFB" w:rsidR="006359E7" w:rsidRDefault="006359E7" w:rsidP="006359E7">
            <w:pPr>
              <w:rPr>
                <w:sz w:val="20"/>
                <w:szCs w:val="20"/>
              </w:rPr>
            </w:pPr>
            <w:r>
              <w:rPr>
                <w:sz w:val="20"/>
                <w:szCs w:val="20"/>
              </w:rPr>
              <w:t>CR at end of treatment (PET-CT per Inv)</w:t>
            </w:r>
          </w:p>
        </w:tc>
        <w:tc>
          <w:tcPr>
            <w:tcW w:w="2355" w:type="dxa"/>
            <w:vAlign w:val="center"/>
          </w:tcPr>
          <w:p w14:paraId="000001DE" w14:textId="77777777" w:rsidR="006359E7" w:rsidRDefault="006359E7">
            <w:pPr>
              <w:pBdr>
                <w:top w:val="nil"/>
                <w:left w:val="nil"/>
                <w:bottom w:val="nil"/>
                <w:right w:val="nil"/>
                <w:between w:val="nil"/>
              </w:pBdr>
              <w:tabs>
                <w:tab w:val="left" w:pos="1842"/>
              </w:tabs>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75.0% (95% CI 70.68, 78.98)</w:t>
            </w:r>
          </w:p>
        </w:tc>
        <w:tc>
          <w:tcPr>
            <w:tcW w:w="3109" w:type="dxa"/>
            <w:vAlign w:val="center"/>
          </w:tcPr>
          <w:p w14:paraId="000001DF" w14:textId="77777777" w:rsidR="006359E7" w:rsidRDefault="006359E7">
            <w:pPr>
              <w:pBdr>
                <w:top w:val="nil"/>
                <w:left w:val="nil"/>
                <w:bottom w:val="nil"/>
                <w:right w:val="nil"/>
                <w:between w:val="nil"/>
              </w:pBdr>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72.2% (95% CI: 67.76, 76.35)</w:t>
            </w:r>
          </w:p>
        </w:tc>
      </w:tr>
      <w:tr w:rsidR="008D3ED4" w14:paraId="3C2C5702" w14:textId="77777777" w:rsidTr="005F30BB">
        <w:trPr>
          <w:cantSplit/>
          <w:trHeight w:val="663"/>
        </w:trPr>
        <w:tc>
          <w:tcPr>
            <w:cnfStyle w:val="001000000000" w:firstRow="0" w:lastRow="0" w:firstColumn="1" w:lastColumn="0" w:oddVBand="0" w:evenVBand="0" w:oddHBand="0" w:evenHBand="0" w:firstRowFirstColumn="0" w:firstRowLastColumn="0" w:lastRowFirstColumn="0" w:lastRowLastColumn="0"/>
            <w:tcW w:w="2306" w:type="dxa"/>
            <w:vMerge w:val="restart"/>
          </w:tcPr>
          <w:p w14:paraId="000001E2" w14:textId="6CE8FF68" w:rsidR="008D3ED4" w:rsidRDefault="00031835" w:rsidP="00EE6D1C">
            <w:pPr>
              <w:pBdr>
                <w:top w:val="nil"/>
                <w:left w:val="nil"/>
                <w:bottom w:val="nil"/>
                <w:right w:val="nil"/>
                <w:between w:val="nil"/>
              </w:pBdr>
              <w:spacing w:before="120"/>
              <w:ind w:left="150" w:right="57"/>
              <w:rPr>
                <w:sz w:val="20"/>
                <w:szCs w:val="20"/>
              </w:rPr>
            </w:pPr>
            <w:r>
              <w:rPr>
                <w:sz w:val="20"/>
                <w:szCs w:val="20"/>
              </w:rPr>
              <w:t xml:space="preserve">ORR at end of treatment (PET-CT) </w:t>
            </w:r>
          </w:p>
        </w:tc>
        <w:tc>
          <w:tcPr>
            <w:tcW w:w="1289" w:type="dxa"/>
          </w:tcPr>
          <w:p w14:paraId="000001E3" w14:textId="77777777" w:rsidR="008D3ED4" w:rsidRDefault="00031835">
            <w:pPr>
              <w:pBdr>
                <w:top w:val="nil"/>
                <w:left w:val="nil"/>
                <w:bottom w:val="nil"/>
                <w:right w:val="nil"/>
                <w:between w:val="nil"/>
              </w:pBdr>
              <w:tabs>
                <w:tab w:val="left" w:pos="1842"/>
              </w:tabs>
              <w:spacing w:before="120" w:after="120"/>
              <w:ind w:left="0" w:right="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Pr>
                <w:sz w:val="20"/>
                <w:szCs w:val="20"/>
              </w:rPr>
              <w:t>er Inv</w:t>
            </w:r>
          </w:p>
        </w:tc>
        <w:tc>
          <w:tcPr>
            <w:tcW w:w="2355" w:type="dxa"/>
            <w:vAlign w:val="center"/>
          </w:tcPr>
          <w:p w14:paraId="000001E5" w14:textId="795EFEE1" w:rsidR="008D3ED4" w:rsidRDefault="00031835" w:rsidP="00EE6D1C">
            <w:pPr>
              <w:pBdr>
                <w:top w:val="nil"/>
                <w:left w:val="nil"/>
                <w:bottom w:val="nil"/>
                <w:right w:val="nil"/>
                <w:between w:val="nil"/>
              </w:pBdr>
              <w:tabs>
                <w:tab w:val="left" w:pos="1842"/>
              </w:tabs>
              <w:spacing w:before="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84.5</w:t>
            </w:r>
            <w:proofErr w:type="gramStart"/>
            <w:r>
              <w:rPr>
                <w:sz w:val="20"/>
                <w:szCs w:val="20"/>
              </w:rPr>
              <w:t>%  (</w:t>
            </w:r>
            <w:proofErr w:type="gramEnd"/>
            <w:r>
              <w:rPr>
                <w:sz w:val="20"/>
                <w:szCs w:val="20"/>
              </w:rPr>
              <w:t>95% CI: 80.82, 87.79)</w:t>
            </w:r>
          </w:p>
        </w:tc>
        <w:tc>
          <w:tcPr>
            <w:tcW w:w="3109" w:type="dxa"/>
            <w:vAlign w:val="center"/>
          </w:tcPr>
          <w:p w14:paraId="000001E7" w14:textId="4C64F579" w:rsidR="008D3ED4" w:rsidRDefault="00031835" w:rsidP="00EE6D1C">
            <w:pPr>
              <w:pBdr>
                <w:top w:val="nil"/>
                <w:left w:val="nil"/>
                <w:bottom w:val="nil"/>
                <w:right w:val="nil"/>
                <w:between w:val="nil"/>
              </w:pBdr>
              <w:spacing w:before="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80.9</w:t>
            </w:r>
            <w:proofErr w:type="gramStart"/>
            <w:r>
              <w:rPr>
                <w:sz w:val="20"/>
                <w:szCs w:val="20"/>
              </w:rPr>
              <w:t>%  (</w:t>
            </w:r>
            <w:proofErr w:type="gramEnd"/>
            <w:r>
              <w:rPr>
                <w:sz w:val="20"/>
                <w:szCs w:val="20"/>
              </w:rPr>
              <w:t>95% CI: 76.87, 84.44)</w:t>
            </w:r>
          </w:p>
        </w:tc>
      </w:tr>
      <w:tr w:rsidR="008D3ED4" w14:paraId="0C12AE51" w14:textId="77777777" w:rsidTr="005F30BB">
        <w:trPr>
          <w:cantSplit/>
          <w:trHeight w:val="663"/>
        </w:trPr>
        <w:tc>
          <w:tcPr>
            <w:cnfStyle w:val="001000000000" w:firstRow="0" w:lastRow="0" w:firstColumn="1" w:lastColumn="0" w:oddVBand="0" w:evenVBand="0" w:oddHBand="0" w:evenHBand="0" w:firstRowFirstColumn="0" w:firstRowLastColumn="0" w:lastRowFirstColumn="0" w:lastRowLastColumn="0"/>
            <w:tcW w:w="2306" w:type="dxa"/>
            <w:vMerge/>
          </w:tcPr>
          <w:p w14:paraId="000001E8" w14:textId="77777777" w:rsidR="008D3ED4" w:rsidRDefault="008D3ED4">
            <w:pPr>
              <w:widowControl w:val="0"/>
              <w:pBdr>
                <w:top w:val="nil"/>
                <w:left w:val="nil"/>
                <w:bottom w:val="nil"/>
                <w:right w:val="nil"/>
                <w:between w:val="nil"/>
              </w:pBdr>
              <w:spacing w:before="0" w:line="276" w:lineRule="auto"/>
              <w:ind w:left="0" w:right="0"/>
              <w:rPr>
                <w:sz w:val="20"/>
                <w:szCs w:val="20"/>
              </w:rPr>
            </w:pPr>
          </w:p>
        </w:tc>
        <w:tc>
          <w:tcPr>
            <w:tcW w:w="1289" w:type="dxa"/>
          </w:tcPr>
          <w:p w14:paraId="000001E9" w14:textId="77777777" w:rsidR="008D3ED4" w:rsidRDefault="00031835">
            <w:pPr>
              <w:pBdr>
                <w:top w:val="nil"/>
                <w:left w:val="nil"/>
                <w:bottom w:val="nil"/>
                <w:right w:val="nil"/>
                <w:between w:val="nil"/>
              </w:pBdr>
              <w:tabs>
                <w:tab w:val="left" w:pos="1842"/>
              </w:tabs>
              <w:spacing w:before="120" w:after="120"/>
              <w:ind w:left="0" w:right="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 BICR</w:t>
            </w:r>
          </w:p>
        </w:tc>
        <w:tc>
          <w:tcPr>
            <w:tcW w:w="2355" w:type="dxa"/>
            <w:vAlign w:val="center"/>
          </w:tcPr>
          <w:p w14:paraId="000001EA" w14:textId="77777777" w:rsidR="008D3ED4" w:rsidRDefault="00031835">
            <w:pPr>
              <w:pBdr>
                <w:top w:val="nil"/>
                <w:left w:val="nil"/>
                <w:bottom w:val="nil"/>
                <w:right w:val="nil"/>
                <w:between w:val="nil"/>
              </w:pBdr>
              <w:tabs>
                <w:tab w:val="left" w:pos="1842"/>
              </w:tabs>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85.5</w:t>
            </w:r>
            <w:proofErr w:type="gramStart"/>
            <w:r>
              <w:rPr>
                <w:sz w:val="20"/>
                <w:szCs w:val="20"/>
              </w:rPr>
              <w:t>%  (</w:t>
            </w:r>
            <w:proofErr w:type="gramEnd"/>
            <w:r>
              <w:rPr>
                <w:sz w:val="20"/>
                <w:szCs w:val="20"/>
              </w:rPr>
              <w:t xml:space="preserve">95% CI: </w:t>
            </w:r>
            <w:r>
              <w:rPr>
                <w:sz w:val="20"/>
                <w:szCs w:val="20"/>
              </w:rPr>
              <w:t>81.88, 88.61)</w:t>
            </w:r>
          </w:p>
        </w:tc>
        <w:tc>
          <w:tcPr>
            <w:tcW w:w="3109" w:type="dxa"/>
            <w:vAlign w:val="center"/>
          </w:tcPr>
          <w:p w14:paraId="000001EB" w14:textId="77777777" w:rsidR="008D3ED4" w:rsidRDefault="00031835">
            <w:pPr>
              <w:pBdr>
                <w:top w:val="nil"/>
                <w:left w:val="nil"/>
                <w:bottom w:val="nil"/>
                <w:right w:val="nil"/>
                <w:between w:val="nil"/>
              </w:pBdr>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83.8% (95% CI: 80.04, 87.15)</w:t>
            </w:r>
          </w:p>
        </w:tc>
      </w:tr>
      <w:tr w:rsidR="008D3ED4" w14:paraId="43B60196" w14:textId="77777777" w:rsidTr="005F30BB">
        <w:trPr>
          <w:cantSplit/>
          <w:trHeight w:val="577"/>
        </w:trPr>
        <w:tc>
          <w:tcPr>
            <w:cnfStyle w:val="001000000000" w:firstRow="0" w:lastRow="0" w:firstColumn="1" w:lastColumn="0" w:oddVBand="0" w:evenVBand="0" w:oddHBand="0" w:evenHBand="0" w:firstRowFirstColumn="0" w:firstRowLastColumn="0" w:lastRowFirstColumn="0" w:lastRowLastColumn="0"/>
            <w:tcW w:w="2306" w:type="dxa"/>
            <w:vMerge w:val="restart"/>
          </w:tcPr>
          <w:p w14:paraId="000001EE" w14:textId="419B2ECB" w:rsidR="008D3ED4" w:rsidRDefault="00031835" w:rsidP="00EE6D1C">
            <w:pPr>
              <w:pBdr>
                <w:top w:val="nil"/>
                <w:left w:val="nil"/>
                <w:bottom w:val="nil"/>
                <w:right w:val="nil"/>
                <w:between w:val="nil"/>
              </w:pBdr>
              <w:spacing w:before="120"/>
              <w:ind w:left="150" w:right="57"/>
              <w:rPr>
                <w:sz w:val="20"/>
                <w:szCs w:val="20"/>
              </w:rPr>
            </w:pPr>
            <w:r>
              <w:rPr>
                <w:sz w:val="20"/>
                <w:szCs w:val="20"/>
              </w:rPr>
              <w:t>Best Overall Response (BOR</w:t>
            </w:r>
            <w:proofErr w:type="gramStart"/>
            <w:r>
              <w:rPr>
                <w:sz w:val="20"/>
                <w:szCs w:val="20"/>
              </w:rPr>
              <w:t>)(</w:t>
            </w:r>
            <w:proofErr w:type="gramEnd"/>
            <w:r>
              <w:rPr>
                <w:sz w:val="20"/>
                <w:szCs w:val="20"/>
              </w:rPr>
              <w:t>per Inv)</w:t>
            </w:r>
          </w:p>
        </w:tc>
        <w:tc>
          <w:tcPr>
            <w:tcW w:w="1289" w:type="dxa"/>
          </w:tcPr>
          <w:p w14:paraId="000001EF" w14:textId="77777777" w:rsidR="008D3ED4" w:rsidRDefault="00031835" w:rsidP="005F30BB">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BOR CR</w:t>
            </w:r>
          </w:p>
        </w:tc>
        <w:tc>
          <w:tcPr>
            <w:tcW w:w="2355" w:type="dxa"/>
            <w:vAlign w:val="center"/>
          </w:tcPr>
          <w:p w14:paraId="000001F0" w14:textId="77777777" w:rsidR="008D3ED4" w:rsidRDefault="00031835">
            <w:pPr>
              <w:pBdr>
                <w:top w:val="nil"/>
                <w:left w:val="nil"/>
                <w:bottom w:val="nil"/>
                <w:right w:val="nil"/>
                <w:between w:val="nil"/>
              </w:pBdr>
              <w:tabs>
                <w:tab w:val="left" w:pos="1842"/>
              </w:tabs>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86.6% (95% CI: 83.05, 89.63)</w:t>
            </w:r>
          </w:p>
        </w:tc>
        <w:tc>
          <w:tcPr>
            <w:tcW w:w="3109" w:type="dxa"/>
            <w:vAlign w:val="center"/>
          </w:tcPr>
          <w:p w14:paraId="000001F1" w14:textId="77777777" w:rsidR="008D3ED4" w:rsidRDefault="00031835">
            <w:pPr>
              <w:pBdr>
                <w:top w:val="nil"/>
                <w:left w:val="nil"/>
                <w:bottom w:val="nil"/>
                <w:right w:val="nil"/>
                <w:between w:val="nil"/>
              </w:pBdr>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82.7% (95% CI: 78.82, 86.11)</w:t>
            </w:r>
          </w:p>
        </w:tc>
      </w:tr>
      <w:tr w:rsidR="008D3ED4" w14:paraId="3867BF1E" w14:textId="77777777" w:rsidTr="005F30BB">
        <w:trPr>
          <w:cantSplit/>
          <w:trHeight w:val="577"/>
        </w:trPr>
        <w:tc>
          <w:tcPr>
            <w:cnfStyle w:val="001000000000" w:firstRow="0" w:lastRow="0" w:firstColumn="1" w:lastColumn="0" w:oddVBand="0" w:evenVBand="0" w:oddHBand="0" w:evenHBand="0" w:firstRowFirstColumn="0" w:firstRowLastColumn="0" w:lastRowFirstColumn="0" w:lastRowLastColumn="0"/>
            <w:tcW w:w="2306" w:type="dxa"/>
            <w:vMerge/>
          </w:tcPr>
          <w:p w14:paraId="000001F2" w14:textId="77777777" w:rsidR="008D3ED4" w:rsidRDefault="008D3ED4">
            <w:pPr>
              <w:widowControl w:val="0"/>
              <w:pBdr>
                <w:top w:val="nil"/>
                <w:left w:val="nil"/>
                <w:bottom w:val="nil"/>
                <w:right w:val="nil"/>
                <w:between w:val="nil"/>
              </w:pBdr>
              <w:spacing w:before="0" w:line="276" w:lineRule="auto"/>
              <w:ind w:left="0" w:right="0"/>
              <w:rPr>
                <w:sz w:val="20"/>
                <w:szCs w:val="20"/>
              </w:rPr>
            </w:pPr>
          </w:p>
        </w:tc>
        <w:tc>
          <w:tcPr>
            <w:tcW w:w="1289" w:type="dxa"/>
          </w:tcPr>
          <w:p w14:paraId="000001F3" w14:textId="77777777" w:rsidR="008D3ED4" w:rsidRDefault="00031835" w:rsidP="005F30BB">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BOR PR</w:t>
            </w:r>
          </w:p>
        </w:tc>
        <w:tc>
          <w:tcPr>
            <w:tcW w:w="2355" w:type="dxa"/>
            <w:vAlign w:val="center"/>
          </w:tcPr>
          <w:p w14:paraId="000001F4" w14:textId="77777777" w:rsidR="008D3ED4" w:rsidRDefault="00031835">
            <w:pPr>
              <w:pBdr>
                <w:top w:val="nil"/>
                <w:left w:val="nil"/>
                <w:bottom w:val="nil"/>
                <w:right w:val="nil"/>
                <w:between w:val="nil"/>
              </w:pBdr>
              <w:tabs>
                <w:tab w:val="left" w:pos="1842"/>
              </w:tabs>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 (95% CI: 6.77, 12.43)</w:t>
            </w:r>
          </w:p>
        </w:tc>
        <w:tc>
          <w:tcPr>
            <w:tcW w:w="3109" w:type="dxa"/>
            <w:vAlign w:val="center"/>
          </w:tcPr>
          <w:p w14:paraId="000001F5" w14:textId="77777777" w:rsidR="008D3ED4" w:rsidRDefault="00031835">
            <w:pPr>
              <w:pBdr>
                <w:top w:val="nil"/>
                <w:left w:val="nil"/>
                <w:bottom w:val="nil"/>
                <w:right w:val="nil"/>
                <w:between w:val="nil"/>
              </w:pBdr>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 (95% CI: 8.57, 14.74)</w:t>
            </w:r>
          </w:p>
        </w:tc>
      </w:tr>
      <w:tr w:rsidR="006359E7" w14:paraId="7F1BC3C0" w14:textId="77777777" w:rsidTr="0034744B">
        <w:trPr>
          <w:cantSplit/>
          <w:trHeight w:val="386"/>
        </w:trPr>
        <w:tc>
          <w:tcPr>
            <w:cnfStyle w:val="001000000000" w:firstRow="0" w:lastRow="0" w:firstColumn="1" w:lastColumn="0" w:oddVBand="0" w:evenVBand="0" w:oddHBand="0" w:evenHBand="0" w:firstRowFirstColumn="0" w:firstRowLastColumn="0" w:lastRowFirstColumn="0" w:lastRowLastColumn="0"/>
            <w:tcW w:w="3595" w:type="dxa"/>
            <w:gridSpan w:val="2"/>
          </w:tcPr>
          <w:p w14:paraId="000001F7" w14:textId="26B79BD3" w:rsidR="006359E7" w:rsidRDefault="006359E7">
            <w:pPr>
              <w:rPr>
                <w:sz w:val="20"/>
                <w:szCs w:val="20"/>
              </w:rPr>
            </w:pPr>
            <w:r>
              <w:rPr>
                <w:sz w:val="20"/>
                <w:szCs w:val="20"/>
              </w:rPr>
              <w:t>Duration Of Response (24 months) % responders, median</w:t>
            </w:r>
          </w:p>
        </w:tc>
        <w:tc>
          <w:tcPr>
            <w:tcW w:w="2355" w:type="dxa"/>
            <w:vAlign w:val="center"/>
          </w:tcPr>
          <w:p w14:paraId="000001F8" w14:textId="6CE1A6BF" w:rsidR="006359E7" w:rsidRDefault="006359E7">
            <w:pPr>
              <w:pBdr>
                <w:top w:val="nil"/>
                <w:left w:val="nil"/>
                <w:bottom w:val="nil"/>
                <w:right w:val="nil"/>
                <w:between w:val="nil"/>
              </w:pBdr>
              <w:tabs>
                <w:tab w:val="left" w:pos="1842"/>
              </w:tabs>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75.7%, NE</w:t>
            </w:r>
          </w:p>
        </w:tc>
        <w:tc>
          <w:tcPr>
            <w:tcW w:w="3109" w:type="dxa"/>
            <w:vAlign w:val="center"/>
          </w:tcPr>
          <w:p w14:paraId="000001F9" w14:textId="27C6D6F6" w:rsidR="006359E7" w:rsidRDefault="006359E7">
            <w:pPr>
              <w:pBdr>
                <w:top w:val="nil"/>
                <w:left w:val="nil"/>
                <w:bottom w:val="nil"/>
                <w:right w:val="nil"/>
                <w:between w:val="nil"/>
              </w:pBdr>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71.7%, NE</w:t>
            </w:r>
          </w:p>
        </w:tc>
      </w:tr>
      <w:tr w:rsidR="006359E7" w14:paraId="6731A57E" w14:textId="77777777" w:rsidTr="004D775F">
        <w:trPr>
          <w:cantSplit/>
          <w:trHeight w:val="386"/>
        </w:trPr>
        <w:tc>
          <w:tcPr>
            <w:cnfStyle w:val="001000000000" w:firstRow="0" w:lastRow="0" w:firstColumn="1" w:lastColumn="0" w:oddVBand="0" w:evenVBand="0" w:oddHBand="0" w:evenHBand="0" w:firstRowFirstColumn="0" w:firstRowLastColumn="0" w:lastRowFirstColumn="0" w:lastRowLastColumn="0"/>
            <w:tcW w:w="3595" w:type="dxa"/>
            <w:gridSpan w:val="2"/>
          </w:tcPr>
          <w:p w14:paraId="000001FB" w14:textId="3D1A0DC8" w:rsidR="006359E7" w:rsidRDefault="006359E7">
            <w:pPr>
              <w:rPr>
                <w:sz w:val="20"/>
                <w:szCs w:val="20"/>
              </w:rPr>
            </w:pPr>
            <w:r>
              <w:rPr>
                <w:sz w:val="20"/>
                <w:szCs w:val="20"/>
              </w:rPr>
              <w:t xml:space="preserve">Disease Free Survival (CR) (24 </w:t>
            </w:r>
            <w:proofErr w:type="gramStart"/>
            <w:r>
              <w:rPr>
                <w:sz w:val="20"/>
                <w:szCs w:val="20"/>
              </w:rPr>
              <w:t>months)*</w:t>
            </w:r>
            <w:proofErr w:type="gramEnd"/>
          </w:p>
        </w:tc>
        <w:tc>
          <w:tcPr>
            <w:tcW w:w="2355" w:type="dxa"/>
            <w:vAlign w:val="center"/>
          </w:tcPr>
          <w:p w14:paraId="000001FC" w14:textId="77777777" w:rsidR="006359E7" w:rsidRDefault="006359E7">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81.79%</w:t>
            </w:r>
          </w:p>
        </w:tc>
        <w:tc>
          <w:tcPr>
            <w:tcW w:w="3109" w:type="dxa"/>
            <w:vAlign w:val="center"/>
          </w:tcPr>
          <w:p w14:paraId="000001FD" w14:textId="77777777" w:rsidR="006359E7" w:rsidRDefault="006359E7">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77.35%</w:t>
            </w:r>
          </w:p>
        </w:tc>
      </w:tr>
      <w:tr w:rsidR="006359E7" w14:paraId="76A6BFA4" w14:textId="77777777" w:rsidTr="008F1226">
        <w:trPr>
          <w:cantSplit/>
          <w:trHeight w:val="386"/>
        </w:trPr>
        <w:tc>
          <w:tcPr>
            <w:cnfStyle w:val="001000000000" w:firstRow="0" w:lastRow="0" w:firstColumn="1" w:lastColumn="0" w:oddVBand="0" w:evenVBand="0" w:oddHBand="0" w:evenHBand="0" w:firstRowFirstColumn="0" w:firstRowLastColumn="0" w:lastRowFirstColumn="0" w:lastRowLastColumn="0"/>
            <w:tcW w:w="3595" w:type="dxa"/>
            <w:gridSpan w:val="2"/>
          </w:tcPr>
          <w:p w14:paraId="000001FF" w14:textId="7AFDD1D5" w:rsidR="006359E7" w:rsidRDefault="006359E7">
            <w:pPr>
              <w:rPr>
                <w:sz w:val="20"/>
                <w:szCs w:val="20"/>
              </w:rPr>
            </w:pPr>
            <w:r>
              <w:rPr>
                <w:sz w:val="20"/>
                <w:szCs w:val="20"/>
              </w:rPr>
              <w:t>PFS at 24 months (per Inv)</w:t>
            </w:r>
          </w:p>
        </w:tc>
        <w:tc>
          <w:tcPr>
            <w:tcW w:w="2355" w:type="dxa"/>
            <w:vAlign w:val="center"/>
          </w:tcPr>
          <w:p w14:paraId="00000200" w14:textId="77777777" w:rsidR="006359E7" w:rsidRDefault="006359E7">
            <w:pPr>
              <w:pBdr>
                <w:top w:val="nil"/>
                <w:left w:val="nil"/>
                <w:bottom w:val="nil"/>
                <w:right w:val="nil"/>
                <w:between w:val="nil"/>
              </w:pBdr>
              <w:tabs>
                <w:tab w:val="left" w:pos="1842"/>
              </w:tabs>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76.71% (95%CI: 65.80, 80.76)</w:t>
            </w:r>
          </w:p>
        </w:tc>
        <w:tc>
          <w:tcPr>
            <w:tcW w:w="3109" w:type="dxa"/>
            <w:vAlign w:val="center"/>
          </w:tcPr>
          <w:p w14:paraId="00000201" w14:textId="77777777" w:rsidR="006359E7" w:rsidRDefault="006359E7">
            <w:pPr>
              <w:pBdr>
                <w:top w:val="nil"/>
                <w:left w:val="nil"/>
                <w:bottom w:val="nil"/>
                <w:right w:val="nil"/>
                <w:between w:val="nil"/>
              </w:pBdr>
              <w:spacing w:before="120" w:after="120"/>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70.20</w:t>
            </w:r>
            <w:proofErr w:type="gramStart"/>
            <w:r>
              <w:rPr>
                <w:sz w:val="20"/>
                <w:szCs w:val="20"/>
              </w:rPr>
              <w:t>%  (</w:t>
            </w:r>
            <w:proofErr w:type="gramEnd"/>
            <w:r>
              <w:rPr>
                <w:sz w:val="20"/>
                <w:szCs w:val="20"/>
              </w:rPr>
              <w:t>95%CI: 65.80, 74.61)</w:t>
            </w:r>
          </w:p>
        </w:tc>
      </w:tr>
      <w:tr w:rsidR="006359E7" w14:paraId="7612F3DB" w14:textId="77777777" w:rsidTr="005E29ED">
        <w:trPr>
          <w:cantSplit/>
          <w:trHeight w:val="386"/>
        </w:trPr>
        <w:tc>
          <w:tcPr>
            <w:cnfStyle w:val="001000000000" w:firstRow="0" w:lastRow="0" w:firstColumn="1" w:lastColumn="0" w:oddVBand="0" w:evenVBand="0" w:oddHBand="0" w:evenHBand="0" w:firstRowFirstColumn="0" w:firstRowLastColumn="0" w:lastRowFirstColumn="0" w:lastRowLastColumn="0"/>
            <w:tcW w:w="3595" w:type="dxa"/>
            <w:gridSpan w:val="2"/>
          </w:tcPr>
          <w:p w14:paraId="00000203" w14:textId="1EB655F9" w:rsidR="006359E7" w:rsidRDefault="006359E7">
            <w:pPr>
              <w:rPr>
                <w:sz w:val="20"/>
                <w:szCs w:val="20"/>
              </w:rPr>
            </w:pPr>
            <w:r>
              <w:rPr>
                <w:sz w:val="20"/>
                <w:szCs w:val="20"/>
              </w:rPr>
              <w:t>Event Free Survival (</w:t>
            </w:r>
            <w:proofErr w:type="spellStart"/>
            <w:r>
              <w:rPr>
                <w:sz w:val="20"/>
                <w:szCs w:val="20"/>
              </w:rPr>
              <w:t>EFS</w:t>
            </w:r>
            <w:r>
              <w:rPr>
                <w:sz w:val="20"/>
                <w:szCs w:val="20"/>
                <w:vertAlign w:val="subscript"/>
              </w:rPr>
              <w:t>all</w:t>
            </w:r>
            <w:proofErr w:type="spellEnd"/>
            <w:r>
              <w:rPr>
                <w:sz w:val="20"/>
                <w:szCs w:val="20"/>
              </w:rPr>
              <w:t xml:space="preserve">) (24 </w:t>
            </w:r>
            <w:proofErr w:type="gramStart"/>
            <w:r>
              <w:rPr>
                <w:sz w:val="20"/>
                <w:szCs w:val="20"/>
              </w:rPr>
              <w:t>months)^</w:t>
            </w:r>
            <w:proofErr w:type="gramEnd"/>
          </w:p>
        </w:tc>
        <w:tc>
          <w:tcPr>
            <w:tcW w:w="2355" w:type="dxa"/>
            <w:vAlign w:val="center"/>
          </w:tcPr>
          <w:p w14:paraId="00000204" w14:textId="77777777" w:rsidR="006359E7" w:rsidRDefault="006359E7">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70.42%</w:t>
            </w:r>
          </w:p>
        </w:tc>
        <w:tc>
          <w:tcPr>
            <w:tcW w:w="3109" w:type="dxa"/>
            <w:vAlign w:val="center"/>
          </w:tcPr>
          <w:p w14:paraId="00000205" w14:textId="77777777" w:rsidR="006359E7" w:rsidRDefault="006359E7">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63.38%</w:t>
            </w:r>
          </w:p>
        </w:tc>
      </w:tr>
    </w:tbl>
    <w:p w14:paraId="00000206" w14:textId="77777777" w:rsidR="008D3ED4" w:rsidRDefault="00031835" w:rsidP="006649FA">
      <w:pPr>
        <w:pStyle w:val="TableDescription"/>
      </w:pPr>
      <w:r>
        <w:t xml:space="preserve">*HR 0.70; </w:t>
      </w:r>
      <w:r>
        <w:t>95%CI: 0.50 to 0.98; ^HR 0.73 (95%CI: 0.58 to 0.92)</w:t>
      </w:r>
    </w:p>
    <w:p w14:paraId="00000208" w14:textId="77777777" w:rsidR="008D3ED4" w:rsidRDefault="00031835">
      <w:pPr>
        <w:spacing w:after="0" w:line="240" w:lineRule="auto"/>
      </w:pPr>
      <w:r>
        <w:t>Disease progression or relapse with CNS involvement was reported in 3% and 2.7% of the pola+R-CHP group and R-CHOP groups, respectively.</w:t>
      </w:r>
    </w:p>
    <w:p w14:paraId="00000209" w14:textId="77777777" w:rsidR="008D3ED4" w:rsidRDefault="00031835">
      <w:pPr>
        <w:pStyle w:val="Heading6"/>
      </w:pPr>
      <w:r>
        <w:t>Patient-reported outcome (PRO) endpoints</w:t>
      </w:r>
    </w:p>
    <w:p w14:paraId="0000020A" w14:textId="1B668ECE" w:rsidR="008D3ED4" w:rsidRDefault="00031835" w:rsidP="0081529A">
      <w:r>
        <w:t xml:space="preserve">The </w:t>
      </w:r>
      <w:r>
        <w:rPr>
          <w:b/>
        </w:rPr>
        <w:t>EORTC QLQ-C30</w:t>
      </w:r>
      <w:r>
        <w:t xml:space="preserve"> cancer specific questionnaire results included time to deterioration in physical functioning and fatigue as the main analysis, and change from baseline </w:t>
      </w:r>
      <w:proofErr w:type="gramStart"/>
      <w:r>
        <w:t>in  treatment</w:t>
      </w:r>
      <w:proofErr w:type="gramEnd"/>
      <w:r>
        <w:t>-related symptoms as a secondary analysis.</w:t>
      </w:r>
      <w:r w:rsidR="0081529A" w:rsidRPr="0081529A">
        <w:t xml:space="preserve"> </w:t>
      </w:r>
      <w:r w:rsidR="0081529A">
        <w:t>While on treatment, a small improvement in scores for constipation was observed in the pola+R-CHP arm compared to the R-CHOP arm (range of mean change from baseline: -4.9 to -7.6 vs. -1.1 to -5.3). A small increase in diarrhea scores in the pola+R-CHP arm compared to the R-CHOP arm was observed at Cycle 2 (mean change from baseline: 6.3 vs. -0.02), however subsequent scores improved (range of mean change from baseline: 1.2 to 1.6 vs. -0.6 to 0.1). Scores for nausea and vomiting were very low at baseline (mean [SE]: 8.4 [0.916] vs. 6.2 [0.722]), and no difference was observed while on treatment (range of mean change from baseline: 1.7 to 1.7 vs. -0.1 to 1.2). Any increase observed was reversed by treatment completion.</w:t>
      </w:r>
      <w:r>
        <w:t xml:space="preserve"> </w:t>
      </w:r>
      <w:r w:rsidR="0081529A" w:rsidRPr="0081529A">
        <w:t>There was no difference in the risk of deterioration of physical functioning was observed between arms (stratified HR: 0.97 [95% CI: 0.79, 1.19]). The median time to clinically meaningful deterioration in physical functioning was not reached in the pola+R-CHP arm and was 25.5 months in the R-CHOP arm.</w:t>
      </w:r>
      <w:r w:rsidR="0081529A">
        <w:t xml:space="preserve"> </w:t>
      </w:r>
      <w:r>
        <w:t>While there was no difference in risk for deterioration in fatigue score, the time to deterioration was 6.7 vs 3.0 months for the pola+R-CHP vs R-CHOP arms, with clinically meaningful improvement in fatigue reported in 74.8% vs 68.2% [difference 6.61% (95% CI: 0.28 to 12.88)] for the</w:t>
      </w:r>
      <w:r>
        <w:t xml:space="preserve"> pola+R-CHP vs R-CHOP arms.</w:t>
      </w:r>
    </w:p>
    <w:p w14:paraId="0000020B" w14:textId="3A69AD09" w:rsidR="008D3ED4" w:rsidRDefault="00031835">
      <w:r>
        <w:t xml:space="preserve">The </w:t>
      </w:r>
      <w:r>
        <w:rPr>
          <w:b/>
        </w:rPr>
        <w:t>FACT-Lym questionnaire</w:t>
      </w:r>
      <w:r>
        <w:t xml:space="preserve"> 15-item lymphoma subscale showed no difference between the two arms in risk for deterioration in lymphoma symptoms. The time to deterioration had not </w:t>
      </w:r>
      <w:r>
        <w:lastRenderedPageBreak/>
        <w:t>been reached, and there was a 1.01% (95% CI: -4.43 to 6.45) difference between the two arms in the number of patients reaching a clinically meaningful improvement.</w:t>
      </w:r>
    </w:p>
    <w:p w14:paraId="0000020C" w14:textId="24D91ADB" w:rsidR="008D3ED4" w:rsidRDefault="00031835">
      <w:r>
        <w:rPr>
          <w:b/>
        </w:rPr>
        <w:t>FACT/GOG-NTX questionnaire</w:t>
      </w:r>
      <w:r>
        <w:t xml:space="preserve"> showed no meaningful difference between the treatment arms. There were low baseline levels of peripheral neuropathy in both arms. Mean scores decreased in both arms, indicating increased levels of peripheral neuropathy, but at all time points differences in mean score between the treatment arms were small (usually &lt; 1 point) and below the clinically meaningful threshold for the questionnaire.</w:t>
      </w:r>
    </w:p>
    <w:p w14:paraId="0000020D" w14:textId="77777777" w:rsidR="008D3ED4" w:rsidRDefault="00031835">
      <w:pPr>
        <w:pStyle w:val="Heading5"/>
      </w:pPr>
      <w:r>
        <w:t>Study GO29044</w:t>
      </w:r>
    </w:p>
    <w:p w14:paraId="0000020E" w14:textId="77777777" w:rsidR="008D3ED4" w:rsidRDefault="00031835">
      <w:r>
        <w:t xml:space="preserve">This phase 1b/2 open-label, multicentre, dose-escalation study of polatuzumab vedotin in combination with CHP chemotherapy (cyclophosphamide, doxorubicin, and prednisolone or prednisone) and either rituximab (R) or </w:t>
      </w:r>
      <w:proofErr w:type="spellStart"/>
      <w:r>
        <w:t>obinutuzumab</w:t>
      </w:r>
      <w:proofErr w:type="spellEnd"/>
      <w:r>
        <w:t xml:space="preserve"> (G) consisted of two initial phase 1b dose-escalation phases in which escalating doses of polatuzumab were combined with either R-CHP or G-CHP. </w:t>
      </w:r>
    </w:p>
    <w:p w14:paraId="0000020F" w14:textId="77777777" w:rsidR="008D3ED4" w:rsidRDefault="00031835">
      <w:r>
        <w:t>The dose-escalation phase enrolled subjects with any B-cell NHL, either previously untreated or relapsed/refractory (to one prior regimen). The expansion phase only included subjects with previously untreated DLBCL, with an IPI score of 2-5. For both phases subjects were required to be age ≥ 18, ECOG performance score of 0, 1 or 2, and to have adequate bone marrow function.</w:t>
      </w:r>
    </w:p>
    <w:p w14:paraId="00000210" w14:textId="77777777" w:rsidR="008D3ED4" w:rsidRDefault="00031835">
      <w:r>
        <w:t xml:space="preserve">After determination of the recommended phase 2 dose (RP2D), there were two phase 2 expansion phases that compared </w:t>
      </w:r>
      <w:proofErr w:type="spellStart"/>
      <w:r>
        <w:t>pola+R-CHP</w:t>
      </w:r>
      <w:proofErr w:type="spellEnd"/>
      <w:r>
        <w:t xml:space="preserve"> and </w:t>
      </w:r>
      <w:proofErr w:type="spellStart"/>
      <w:r>
        <w:t>pola+G-CHP</w:t>
      </w:r>
      <w:proofErr w:type="spellEnd"/>
      <w:r>
        <w:t xml:space="preserve"> in a 1:1 randomisation. </w:t>
      </w:r>
    </w:p>
    <w:p w14:paraId="00000211" w14:textId="77777777" w:rsidR="008D3ED4" w:rsidRDefault="00031835">
      <w:r>
        <w:t xml:space="preserve">A total of 82 subjects were treated in the study in eight different cohorts. The evaluator considered the results for the 50 patients from the pola+R-CHP cohorts were relevant to the current submission. Of those 45 of these were assigned with the dose proposed for registration (1.8 mg/kg of polatuzumab) for the duration of the study, 5 additional patients commenced in the dose escalation cohort; 2 patients on 1.0 mg/kg and 3 patients on 1.4 mg/kg. </w:t>
      </w:r>
    </w:p>
    <w:p w14:paraId="00000212" w14:textId="77777777" w:rsidR="008D3ED4" w:rsidRDefault="00031835">
      <w:r>
        <w:t xml:space="preserve">The mean age of participants in the pola+R-CHP cohorts was 68.9 years (range 45-80), 52.0% were female, 86.0% were white and 70% had an ECOG of 0 or 1. Most patients had stage III (18.0%) or IV (66.0%) disease and their IPI score was 2 in 22.0% and 3-5 in 72.0%. </w:t>
      </w:r>
    </w:p>
    <w:p w14:paraId="00000213" w14:textId="77777777" w:rsidR="008D3ED4" w:rsidRDefault="00031835">
      <w:pPr>
        <w:rPr>
          <w:color w:val="7DB954"/>
        </w:rPr>
      </w:pPr>
      <w:r>
        <w:t xml:space="preserve">Assessment of efficacy was a secondary objective of the trial. Tumour response and progression were assessed by the investigator using the modified Revised Response </w:t>
      </w:r>
      <w:r>
        <w:t>Criteria for Malignant Lymphoma</w:t>
      </w:r>
      <w:r>
        <w:rPr>
          <w:vertAlign w:val="superscript"/>
        </w:rPr>
        <w:t>3</w:t>
      </w:r>
      <w:r>
        <w:t xml:space="preserve"> and the modified Lugano Response Criteria.</w:t>
      </w:r>
      <w:r>
        <w:rPr>
          <w:color w:val="7DB954"/>
        </w:rPr>
        <w:t xml:space="preserve"> </w:t>
      </w:r>
    </w:p>
    <w:p w14:paraId="00000214" w14:textId="77777777" w:rsidR="008D3ED4" w:rsidRDefault="00031835">
      <w:r>
        <w:t>The CR rate by PET-CT for all polatuzumab doses (n=50) was 78.0% (90% CI: 66.22 to 87.14). The ORR was 92.0% (90% CI: 82.62 to 97.22).</w:t>
      </w:r>
    </w:p>
    <w:p w14:paraId="00000215" w14:textId="4B5CF38E" w:rsidR="008D3ED4" w:rsidRDefault="0081529A">
      <w:r w:rsidRPr="0081529A">
        <w:t>24% of patients receiving 1.8mg/kg of pola+R-CHP had an event (disease progression or death)</w:t>
      </w:r>
      <w:r>
        <w:t>. The estimated PFS at 2 years was 80.0%.</w:t>
      </w:r>
    </w:p>
    <w:p w14:paraId="00000216" w14:textId="77777777" w:rsidR="008D3ED4" w:rsidRDefault="00031835">
      <w:r>
        <w:t>The median duration of response could not be estimated, but an estimated 85% of responders maintained a response at 2 years.</w:t>
      </w:r>
    </w:p>
    <w:p w14:paraId="00000217" w14:textId="77777777" w:rsidR="008D3ED4" w:rsidRDefault="00031835">
      <w:r>
        <w:t>EFS events, defined as the time from randomisation to disease progression or relapse, as per investigator, death from any cause, or initiation of any new anti-lymphoma therapy (NALT), were experienced in 36.0%. The estimated median EFS was 35.45 months, and the estimated EFS at 2 years was 70.0%.</w:t>
      </w:r>
    </w:p>
    <w:p w14:paraId="00000218" w14:textId="77777777" w:rsidR="008D3ED4" w:rsidRDefault="00031835">
      <w:r>
        <w:t>The estimated OS at 2 years was 94.0%.</w:t>
      </w:r>
    </w:p>
    <w:p w14:paraId="00000219" w14:textId="77777777" w:rsidR="008D3ED4" w:rsidRDefault="00031835">
      <w:pPr>
        <w:pStyle w:val="Heading4"/>
      </w:pPr>
      <w:bookmarkStart w:id="17" w:name="_Toc175921921"/>
      <w:r>
        <w:lastRenderedPageBreak/>
        <w:t>Safety</w:t>
      </w:r>
      <w:bookmarkEnd w:id="17"/>
    </w:p>
    <w:p w14:paraId="0000021A" w14:textId="77777777" w:rsidR="008D3ED4" w:rsidRDefault="00031835">
      <w:r>
        <w:t xml:space="preserve">In the POLARIX study a total of 435 subjects were treated with the pola+R-CHP combination and 438 subjects were treated with the R-CHOP combination. </w:t>
      </w:r>
    </w:p>
    <w:p w14:paraId="0000021B" w14:textId="77777777" w:rsidR="008D3ED4" w:rsidRDefault="00031835">
      <w:r>
        <w:t>Subjects in the pola+R-CHP arm received a mean number of 5.8 cycles of polatuzumab, compared with a mean of 5.7 cycles of vincristine for the R-CHOP arm. Mean relative dose intensity for the two drugs was also comparable (98.1% vs. 98.5%).</w:t>
      </w:r>
    </w:p>
    <w:p w14:paraId="0000021C" w14:textId="77777777" w:rsidR="008D3ED4" w:rsidRDefault="00031835">
      <w:r>
        <w:t>In the G029044 drug exposure for subjects treated with the pola+R-CHP regimen (n=50). The median number of cycles received for each drug was 6.0.</w:t>
      </w:r>
    </w:p>
    <w:p w14:paraId="0000021D" w14:textId="77777777" w:rsidR="008D3ED4" w:rsidRDefault="00031835">
      <w:r>
        <w:t>The exposure data from both studies POLARIX and G029044 are summarised in Table 3 below.</w:t>
      </w:r>
    </w:p>
    <w:p w14:paraId="0000021E" w14:textId="4B183322" w:rsidR="008D3ED4" w:rsidRDefault="00031835" w:rsidP="006649FA">
      <w:pPr>
        <w:pStyle w:val="TableTitle"/>
      </w:pPr>
      <w:r>
        <w:t>Table 3</w:t>
      </w:r>
      <w:r w:rsidR="005F30BB">
        <w:t>.</w:t>
      </w:r>
      <w:r>
        <w:t xml:space="preserve"> Exposure Data </w:t>
      </w:r>
      <w:r w:rsidR="00BC5B65">
        <w:t>f</w:t>
      </w:r>
      <w:r w:rsidR="00BC5B65" w:rsidRPr="00BC5B65">
        <w:t xml:space="preserve">rom </w:t>
      </w:r>
      <w:r w:rsidR="00BC5B65">
        <w:t>the</w:t>
      </w:r>
      <w:r w:rsidR="00BC5B65" w:rsidRPr="00BC5B65">
        <w:t xml:space="preserve"> POLARIX and G029044</w:t>
      </w:r>
      <w:r w:rsidR="00BC5B65">
        <w:t xml:space="preserve"> </w:t>
      </w:r>
      <w:r w:rsidR="00BC5B65" w:rsidRPr="00BC5B65">
        <w:t>studies</w:t>
      </w:r>
    </w:p>
    <w:tbl>
      <w:tblPr>
        <w:tblStyle w:val="a5"/>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266"/>
        <w:gridCol w:w="1276"/>
        <w:gridCol w:w="1984"/>
        <w:gridCol w:w="993"/>
        <w:gridCol w:w="1984"/>
        <w:gridCol w:w="1843"/>
      </w:tblGrid>
      <w:tr w:rsidR="008D3ED4" w14:paraId="104571A2" w14:textId="77777777" w:rsidTr="008D3ED4">
        <w:trPr>
          <w:cnfStyle w:val="100000000000" w:firstRow="1" w:lastRow="0" w:firstColumn="0" w:lastColumn="0" w:oddVBand="0" w:evenVBand="0" w:oddHBand="0" w:evenHBand="0" w:firstRowFirstColumn="0" w:firstRowLastColumn="0" w:lastRowFirstColumn="0" w:lastRowLastColumn="0"/>
          <w:cantSplit/>
          <w:trHeight w:val="474"/>
          <w:tblHeader/>
        </w:trPr>
        <w:tc>
          <w:tcPr>
            <w:tcW w:w="1266" w:type="dxa"/>
            <w:tcBorders>
              <w:right w:val="single" w:sz="8" w:space="0" w:color="000000"/>
            </w:tcBorders>
            <w:shd w:val="clear" w:color="auto" w:fill="DEEBF6"/>
            <w:vAlign w:val="center"/>
          </w:tcPr>
          <w:p w14:paraId="0000021F" w14:textId="77777777" w:rsidR="008D3ED4" w:rsidRPr="00402831" w:rsidRDefault="00031835" w:rsidP="00402831">
            <w:pPr>
              <w:pBdr>
                <w:top w:val="nil"/>
                <w:left w:val="nil"/>
                <w:bottom w:val="nil"/>
                <w:right w:val="nil"/>
                <w:between w:val="nil"/>
              </w:pBdr>
              <w:spacing w:before="100" w:beforeAutospacing="1" w:after="100" w:afterAutospacing="1"/>
              <w:ind w:left="0" w:right="57"/>
              <w:contextualSpacing/>
              <w:jc w:val="center"/>
              <w:rPr>
                <w:bCs/>
                <w:color w:val="002060"/>
                <w:sz w:val="20"/>
                <w:szCs w:val="20"/>
              </w:rPr>
            </w:pPr>
            <w:r w:rsidRPr="00402831">
              <w:rPr>
                <w:bCs/>
                <w:color w:val="002060"/>
                <w:sz w:val="20"/>
                <w:szCs w:val="20"/>
              </w:rPr>
              <w:t>Study</w:t>
            </w:r>
          </w:p>
        </w:tc>
        <w:tc>
          <w:tcPr>
            <w:tcW w:w="1276" w:type="dxa"/>
            <w:tcBorders>
              <w:left w:val="single" w:sz="8" w:space="0" w:color="000000"/>
              <w:right w:val="single" w:sz="8" w:space="0" w:color="000000"/>
            </w:tcBorders>
            <w:shd w:val="clear" w:color="auto" w:fill="DEEBF6"/>
            <w:vAlign w:val="center"/>
          </w:tcPr>
          <w:p w14:paraId="00000220" w14:textId="77777777" w:rsidR="008D3ED4" w:rsidRPr="00402831" w:rsidRDefault="00031835" w:rsidP="00402831">
            <w:pPr>
              <w:pBdr>
                <w:top w:val="nil"/>
                <w:left w:val="nil"/>
                <w:bottom w:val="nil"/>
                <w:right w:val="nil"/>
                <w:between w:val="nil"/>
              </w:pBdr>
              <w:spacing w:before="100" w:beforeAutospacing="1" w:after="100" w:afterAutospacing="1"/>
              <w:ind w:left="0" w:right="57"/>
              <w:contextualSpacing/>
              <w:jc w:val="center"/>
              <w:rPr>
                <w:bCs/>
                <w:color w:val="002060"/>
                <w:sz w:val="20"/>
                <w:szCs w:val="20"/>
              </w:rPr>
            </w:pPr>
            <w:r w:rsidRPr="00402831">
              <w:rPr>
                <w:bCs/>
                <w:color w:val="002060"/>
                <w:sz w:val="20"/>
                <w:szCs w:val="20"/>
              </w:rPr>
              <w:t>Group</w:t>
            </w:r>
          </w:p>
        </w:tc>
        <w:tc>
          <w:tcPr>
            <w:tcW w:w="1984" w:type="dxa"/>
            <w:tcBorders>
              <w:left w:val="single" w:sz="8" w:space="0" w:color="000000"/>
              <w:right w:val="single" w:sz="8" w:space="0" w:color="000000"/>
            </w:tcBorders>
            <w:shd w:val="clear" w:color="auto" w:fill="DEEBF6"/>
            <w:vAlign w:val="center"/>
          </w:tcPr>
          <w:p w14:paraId="00000221"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Treatment</w:t>
            </w:r>
          </w:p>
        </w:tc>
        <w:tc>
          <w:tcPr>
            <w:tcW w:w="993" w:type="dxa"/>
            <w:tcBorders>
              <w:left w:val="single" w:sz="8" w:space="0" w:color="000000"/>
              <w:right w:val="single" w:sz="8" w:space="0" w:color="000000"/>
            </w:tcBorders>
            <w:shd w:val="clear" w:color="auto" w:fill="DEEBF6"/>
            <w:vAlign w:val="center"/>
          </w:tcPr>
          <w:p w14:paraId="00000222"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n</w:t>
            </w:r>
          </w:p>
        </w:tc>
        <w:tc>
          <w:tcPr>
            <w:tcW w:w="1984" w:type="dxa"/>
            <w:tcBorders>
              <w:left w:val="single" w:sz="8" w:space="0" w:color="000000"/>
              <w:right w:val="single" w:sz="8" w:space="0" w:color="000000"/>
            </w:tcBorders>
            <w:shd w:val="clear" w:color="auto" w:fill="DEEBF6"/>
            <w:vAlign w:val="center"/>
          </w:tcPr>
          <w:p w14:paraId="00000223"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Treatment Duration (months)</w:t>
            </w:r>
          </w:p>
          <w:p w14:paraId="00000224"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 xml:space="preserve">Median </w:t>
            </w:r>
          </w:p>
          <w:p w14:paraId="00000225"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(min, max)</w:t>
            </w:r>
          </w:p>
        </w:tc>
        <w:tc>
          <w:tcPr>
            <w:tcW w:w="1843" w:type="dxa"/>
            <w:tcBorders>
              <w:left w:val="single" w:sz="8" w:space="0" w:color="000000"/>
            </w:tcBorders>
            <w:shd w:val="clear" w:color="auto" w:fill="DEEBF6"/>
            <w:vAlign w:val="center"/>
          </w:tcPr>
          <w:p w14:paraId="00000226"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Number of cycles</w:t>
            </w:r>
          </w:p>
          <w:p w14:paraId="00000227"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 xml:space="preserve">Median </w:t>
            </w:r>
          </w:p>
          <w:p w14:paraId="00000228" w14:textId="77777777" w:rsidR="008D3ED4" w:rsidRPr="00402831" w:rsidRDefault="00031835" w:rsidP="00402831">
            <w:pPr>
              <w:pBdr>
                <w:top w:val="nil"/>
                <w:left w:val="nil"/>
                <w:bottom w:val="nil"/>
                <w:right w:val="nil"/>
                <w:between w:val="nil"/>
              </w:pBdr>
              <w:spacing w:before="100" w:beforeAutospacing="1" w:after="100" w:afterAutospacing="1"/>
              <w:ind w:left="0" w:right="0"/>
              <w:contextualSpacing/>
              <w:jc w:val="center"/>
              <w:rPr>
                <w:bCs/>
                <w:color w:val="002060"/>
                <w:sz w:val="20"/>
                <w:szCs w:val="20"/>
              </w:rPr>
            </w:pPr>
            <w:r w:rsidRPr="00402831">
              <w:rPr>
                <w:bCs/>
                <w:color w:val="002060"/>
                <w:sz w:val="20"/>
                <w:szCs w:val="20"/>
              </w:rPr>
              <w:t>(min, max)</w:t>
            </w:r>
          </w:p>
        </w:tc>
      </w:tr>
      <w:tr w:rsidR="008D3ED4" w14:paraId="53250CA5" w14:textId="77777777" w:rsidTr="008D3ED4">
        <w:trPr>
          <w:cantSplit/>
          <w:trHeight w:val="213"/>
        </w:trPr>
        <w:tc>
          <w:tcPr>
            <w:tcW w:w="1266" w:type="dxa"/>
            <w:vMerge w:val="restart"/>
          </w:tcPr>
          <w:p w14:paraId="00000229"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 w:val="20"/>
                <w:szCs w:val="20"/>
              </w:rPr>
            </w:pPr>
            <w:r>
              <w:rPr>
                <w:sz w:val="20"/>
                <w:szCs w:val="20"/>
              </w:rPr>
              <w:t>POLARIX</w:t>
            </w:r>
          </w:p>
        </w:tc>
        <w:tc>
          <w:tcPr>
            <w:tcW w:w="1276" w:type="dxa"/>
            <w:vMerge w:val="restart"/>
          </w:tcPr>
          <w:p w14:paraId="0000022A"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right="0"/>
              <w:contextualSpacing/>
              <w:jc w:val="center"/>
              <w:rPr>
                <w:sz w:val="20"/>
                <w:szCs w:val="20"/>
              </w:rPr>
            </w:pPr>
            <w:r>
              <w:rPr>
                <w:sz w:val="20"/>
                <w:szCs w:val="20"/>
              </w:rPr>
              <w:t>R-CHOP (n=438)</w:t>
            </w:r>
          </w:p>
        </w:tc>
        <w:tc>
          <w:tcPr>
            <w:tcW w:w="1984" w:type="dxa"/>
          </w:tcPr>
          <w:p w14:paraId="0000022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Rituximab</w:t>
            </w:r>
          </w:p>
        </w:tc>
        <w:tc>
          <w:tcPr>
            <w:tcW w:w="993" w:type="dxa"/>
          </w:tcPr>
          <w:p w14:paraId="0000022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438</w:t>
            </w:r>
          </w:p>
        </w:tc>
        <w:tc>
          <w:tcPr>
            <w:tcW w:w="1984" w:type="dxa"/>
          </w:tcPr>
          <w:p w14:paraId="5E52A117" w14:textId="77777777" w:rsidR="00BC5B65"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4.9 </w:t>
            </w:r>
          </w:p>
          <w:p w14:paraId="0000022D" w14:textId="0FD7A146"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(0-11)</w:t>
            </w:r>
          </w:p>
        </w:tc>
        <w:tc>
          <w:tcPr>
            <w:tcW w:w="1843" w:type="dxa"/>
          </w:tcPr>
          <w:p w14:paraId="0E32A4BB" w14:textId="77777777" w:rsidR="00BC5B65"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8.0 </w:t>
            </w:r>
          </w:p>
          <w:p w14:paraId="0000022E" w14:textId="22FAE512"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(1-8)</w:t>
            </w:r>
          </w:p>
        </w:tc>
      </w:tr>
      <w:tr w:rsidR="008D3ED4" w14:paraId="4F630A01" w14:textId="77777777" w:rsidTr="008D3ED4">
        <w:trPr>
          <w:cantSplit/>
          <w:trHeight w:val="238"/>
        </w:trPr>
        <w:tc>
          <w:tcPr>
            <w:tcW w:w="1266" w:type="dxa"/>
            <w:vMerge/>
          </w:tcPr>
          <w:p w14:paraId="0000022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30"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3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Cyclophosphamide</w:t>
            </w:r>
          </w:p>
        </w:tc>
        <w:tc>
          <w:tcPr>
            <w:tcW w:w="993" w:type="dxa"/>
          </w:tcPr>
          <w:p w14:paraId="0000023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436</w:t>
            </w:r>
          </w:p>
        </w:tc>
        <w:tc>
          <w:tcPr>
            <w:tcW w:w="1984" w:type="dxa"/>
          </w:tcPr>
          <w:p w14:paraId="0000023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 </w:t>
            </w:r>
          </w:p>
          <w:p w14:paraId="0000023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(0-8)</w:t>
            </w:r>
          </w:p>
        </w:tc>
        <w:tc>
          <w:tcPr>
            <w:tcW w:w="1843" w:type="dxa"/>
          </w:tcPr>
          <w:p w14:paraId="0000023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6.0 </w:t>
            </w:r>
          </w:p>
          <w:p w14:paraId="0000023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2583B011" w14:textId="77777777" w:rsidTr="008D3ED4">
        <w:trPr>
          <w:cantSplit/>
          <w:trHeight w:val="250"/>
        </w:trPr>
        <w:tc>
          <w:tcPr>
            <w:tcW w:w="1266" w:type="dxa"/>
            <w:vMerge/>
          </w:tcPr>
          <w:p w14:paraId="00000237"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38"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3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Doxorubicin</w:t>
            </w:r>
          </w:p>
        </w:tc>
        <w:tc>
          <w:tcPr>
            <w:tcW w:w="993" w:type="dxa"/>
          </w:tcPr>
          <w:p w14:paraId="0000023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436</w:t>
            </w:r>
          </w:p>
        </w:tc>
        <w:tc>
          <w:tcPr>
            <w:tcW w:w="1984" w:type="dxa"/>
          </w:tcPr>
          <w:p w14:paraId="0000023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 </w:t>
            </w:r>
          </w:p>
          <w:p w14:paraId="0000023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(0-8)</w:t>
            </w:r>
          </w:p>
        </w:tc>
        <w:tc>
          <w:tcPr>
            <w:tcW w:w="1843" w:type="dxa"/>
          </w:tcPr>
          <w:p w14:paraId="0000023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3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48063EA3" w14:textId="77777777" w:rsidTr="008D3ED4">
        <w:trPr>
          <w:cantSplit/>
          <w:trHeight w:val="238"/>
        </w:trPr>
        <w:tc>
          <w:tcPr>
            <w:tcW w:w="1266" w:type="dxa"/>
            <w:vMerge/>
          </w:tcPr>
          <w:p w14:paraId="0000023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40"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4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Vincristine</w:t>
            </w:r>
          </w:p>
        </w:tc>
        <w:tc>
          <w:tcPr>
            <w:tcW w:w="993" w:type="dxa"/>
          </w:tcPr>
          <w:p w14:paraId="0000024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436</w:t>
            </w:r>
          </w:p>
        </w:tc>
        <w:tc>
          <w:tcPr>
            <w:tcW w:w="1984" w:type="dxa"/>
          </w:tcPr>
          <w:p w14:paraId="0000024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 </w:t>
            </w:r>
          </w:p>
          <w:p w14:paraId="0000024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(0-8)</w:t>
            </w:r>
          </w:p>
        </w:tc>
        <w:tc>
          <w:tcPr>
            <w:tcW w:w="1843" w:type="dxa"/>
          </w:tcPr>
          <w:p w14:paraId="0000024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4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329DD17A" w14:textId="77777777" w:rsidTr="008D3ED4">
        <w:trPr>
          <w:cantSplit/>
          <w:trHeight w:val="238"/>
        </w:trPr>
        <w:tc>
          <w:tcPr>
            <w:tcW w:w="1266" w:type="dxa"/>
            <w:vMerge/>
          </w:tcPr>
          <w:p w14:paraId="00000247"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48"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4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Prednisolone</w:t>
            </w:r>
          </w:p>
        </w:tc>
        <w:tc>
          <w:tcPr>
            <w:tcW w:w="993" w:type="dxa"/>
          </w:tcPr>
          <w:p w14:paraId="0000024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438</w:t>
            </w:r>
          </w:p>
        </w:tc>
        <w:tc>
          <w:tcPr>
            <w:tcW w:w="1984" w:type="dxa"/>
          </w:tcPr>
          <w:p w14:paraId="0000024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3.6 </w:t>
            </w:r>
          </w:p>
          <w:p w14:paraId="0000024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(0-6)</w:t>
            </w:r>
          </w:p>
        </w:tc>
        <w:tc>
          <w:tcPr>
            <w:tcW w:w="1843" w:type="dxa"/>
          </w:tcPr>
          <w:p w14:paraId="0000024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4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6B79FC20" w14:textId="77777777" w:rsidTr="008D3ED4">
        <w:trPr>
          <w:cantSplit/>
          <w:trHeight w:val="238"/>
        </w:trPr>
        <w:tc>
          <w:tcPr>
            <w:tcW w:w="1266" w:type="dxa"/>
            <w:vMerge/>
          </w:tcPr>
          <w:p w14:paraId="0000024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val="restart"/>
          </w:tcPr>
          <w:p w14:paraId="0000025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right="0"/>
              <w:contextualSpacing/>
              <w:jc w:val="center"/>
              <w:rPr>
                <w:sz w:val="20"/>
                <w:szCs w:val="20"/>
              </w:rPr>
            </w:pPr>
            <w:r>
              <w:rPr>
                <w:sz w:val="20"/>
                <w:szCs w:val="20"/>
              </w:rPr>
              <w:t>Pola+R-CHP (n=435)</w:t>
            </w:r>
          </w:p>
        </w:tc>
        <w:tc>
          <w:tcPr>
            <w:tcW w:w="1984" w:type="dxa"/>
          </w:tcPr>
          <w:p w14:paraId="0000025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polatuzumab</w:t>
            </w:r>
          </w:p>
        </w:tc>
        <w:tc>
          <w:tcPr>
            <w:tcW w:w="993" w:type="dxa"/>
          </w:tcPr>
          <w:p w14:paraId="0000025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435</w:t>
            </w:r>
          </w:p>
        </w:tc>
        <w:tc>
          <w:tcPr>
            <w:tcW w:w="1984" w:type="dxa"/>
          </w:tcPr>
          <w:p w14:paraId="0000025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 </w:t>
            </w:r>
          </w:p>
          <w:p w14:paraId="0000025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(0-5)</w:t>
            </w:r>
          </w:p>
        </w:tc>
        <w:tc>
          <w:tcPr>
            <w:tcW w:w="1843" w:type="dxa"/>
          </w:tcPr>
          <w:p w14:paraId="0000025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5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41CA4A6A" w14:textId="77777777" w:rsidTr="008D3ED4">
        <w:trPr>
          <w:cantSplit/>
          <w:trHeight w:val="161"/>
        </w:trPr>
        <w:tc>
          <w:tcPr>
            <w:tcW w:w="1266" w:type="dxa"/>
            <w:vMerge/>
          </w:tcPr>
          <w:p w14:paraId="00000257"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58"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5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rituximab</w:t>
            </w:r>
          </w:p>
        </w:tc>
        <w:tc>
          <w:tcPr>
            <w:tcW w:w="993" w:type="dxa"/>
          </w:tcPr>
          <w:p w14:paraId="0000025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435</w:t>
            </w:r>
          </w:p>
        </w:tc>
        <w:tc>
          <w:tcPr>
            <w:tcW w:w="1984" w:type="dxa"/>
          </w:tcPr>
          <w:p w14:paraId="0000025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4.9 </w:t>
            </w:r>
          </w:p>
          <w:p w14:paraId="0000025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(0-8)</w:t>
            </w:r>
          </w:p>
        </w:tc>
        <w:tc>
          <w:tcPr>
            <w:tcW w:w="1843" w:type="dxa"/>
          </w:tcPr>
          <w:p w14:paraId="0000025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8.0</w:t>
            </w:r>
          </w:p>
          <w:p w14:paraId="0000025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(1-8)</w:t>
            </w:r>
          </w:p>
        </w:tc>
      </w:tr>
      <w:tr w:rsidR="008D3ED4" w14:paraId="0895A8D7" w14:textId="77777777" w:rsidTr="008D3ED4">
        <w:trPr>
          <w:cantSplit/>
          <w:trHeight w:val="238"/>
        </w:trPr>
        <w:tc>
          <w:tcPr>
            <w:tcW w:w="1266" w:type="dxa"/>
            <w:vMerge/>
          </w:tcPr>
          <w:p w14:paraId="0000025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60"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6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cyclophosphamide</w:t>
            </w:r>
          </w:p>
        </w:tc>
        <w:tc>
          <w:tcPr>
            <w:tcW w:w="993" w:type="dxa"/>
          </w:tcPr>
          <w:p w14:paraId="0000026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435</w:t>
            </w:r>
          </w:p>
        </w:tc>
        <w:tc>
          <w:tcPr>
            <w:tcW w:w="1984" w:type="dxa"/>
          </w:tcPr>
          <w:p w14:paraId="0000026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 </w:t>
            </w:r>
          </w:p>
          <w:p w14:paraId="0000026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(0-5)</w:t>
            </w:r>
          </w:p>
        </w:tc>
        <w:tc>
          <w:tcPr>
            <w:tcW w:w="1843" w:type="dxa"/>
          </w:tcPr>
          <w:p w14:paraId="0000026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6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707AFBE5" w14:textId="77777777" w:rsidTr="008D3ED4">
        <w:trPr>
          <w:cantSplit/>
          <w:trHeight w:val="250"/>
        </w:trPr>
        <w:tc>
          <w:tcPr>
            <w:tcW w:w="1266" w:type="dxa"/>
            <w:vMerge/>
          </w:tcPr>
          <w:p w14:paraId="00000267"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68"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6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doxorubicin</w:t>
            </w:r>
          </w:p>
        </w:tc>
        <w:tc>
          <w:tcPr>
            <w:tcW w:w="993" w:type="dxa"/>
          </w:tcPr>
          <w:p w14:paraId="0000026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435</w:t>
            </w:r>
          </w:p>
        </w:tc>
        <w:tc>
          <w:tcPr>
            <w:tcW w:w="1984" w:type="dxa"/>
          </w:tcPr>
          <w:p w14:paraId="0000026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 </w:t>
            </w:r>
          </w:p>
          <w:p w14:paraId="0000026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(0-5)</w:t>
            </w:r>
          </w:p>
        </w:tc>
        <w:tc>
          <w:tcPr>
            <w:tcW w:w="1843" w:type="dxa"/>
          </w:tcPr>
          <w:p w14:paraId="0000026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6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391E7E72" w14:textId="77777777" w:rsidTr="008D3ED4">
        <w:trPr>
          <w:cantSplit/>
          <w:trHeight w:val="202"/>
        </w:trPr>
        <w:tc>
          <w:tcPr>
            <w:tcW w:w="1266" w:type="dxa"/>
            <w:vMerge/>
          </w:tcPr>
          <w:p w14:paraId="0000026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70"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7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prednisolone</w:t>
            </w:r>
          </w:p>
        </w:tc>
        <w:tc>
          <w:tcPr>
            <w:tcW w:w="993" w:type="dxa"/>
          </w:tcPr>
          <w:p w14:paraId="0000027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435</w:t>
            </w:r>
          </w:p>
        </w:tc>
        <w:tc>
          <w:tcPr>
            <w:tcW w:w="1984" w:type="dxa"/>
          </w:tcPr>
          <w:p w14:paraId="0000027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3.6 </w:t>
            </w:r>
          </w:p>
          <w:p w14:paraId="0000027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(0-5)</w:t>
            </w:r>
          </w:p>
        </w:tc>
        <w:tc>
          <w:tcPr>
            <w:tcW w:w="1843" w:type="dxa"/>
          </w:tcPr>
          <w:p w14:paraId="0000027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7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(1-6)</w:t>
            </w:r>
          </w:p>
        </w:tc>
      </w:tr>
      <w:tr w:rsidR="008D3ED4" w14:paraId="61E5B7CD" w14:textId="77777777" w:rsidTr="008D3ED4">
        <w:trPr>
          <w:cantSplit/>
          <w:trHeight w:val="200"/>
        </w:trPr>
        <w:tc>
          <w:tcPr>
            <w:tcW w:w="1266" w:type="dxa"/>
            <w:vMerge w:val="restart"/>
          </w:tcPr>
          <w:p w14:paraId="0000027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 w:val="20"/>
                <w:szCs w:val="20"/>
              </w:rPr>
            </w:pPr>
            <w:r>
              <w:rPr>
                <w:sz w:val="20"/>
                <w:szCs w:val="20"/>
              </w:rPr>
              <w:t>G029044</w:t>
            </w:r>
          </w:p>
        </w:tc>
        <w:tc>
          <w:tcPr>
            <w:tcW w:w="1276" w:type="dxa"/>
            <w:vMerge w:val="restart"/>
          </w:tcPr>
          <w:p w14:paraId="0000027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right="0"/>
              <w:contextualSpacing/>
              <w:jc w:val="center"/>
              <w:rPr>
                <w:sz w:val="20"/>
                <w:szCs w:val="20"/>
              </w:rPr>
            </w:pPr>
            <w:r>
              <w:rPr>
                <w:sz w:val="20"/>
                <w:szCs w:val="20"/>
              </w:rPr>
              <w:t>Pola+R-CHP (n=50)</w:t>
            </w:r>
          </w:p>
        </w:tc>
        <w:tc>
          <w:tcPr>
            <w:tcW w:w="1984" w:type="dxa"/>
          </w:tcPr>
          <w:p w14:paraId="0000027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polatuzumab</w:t>
            </w:r>
          </w:p>
        </w:tc>
        <w:tc>
          <w:tcPr>
            <w:tcW w:w="993" w:type="dxa"/>
          </w:tcPr>
          <w:p w14:paraId="0000027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50</w:t>
            </w:r>
          </w:p>
        </w:tc>
        <w:tc>
          <w:tcPr>
            <w:tcW w:w="1984" w:type="dxa"/>
          </w:tcPr>
          <w:p w14:paraId="0000027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3.49 </w:t>
            </w:r>
          </w:p>
          <w:p w14:paraId="0000027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(0.7-5.5)</w:t>
            </w:r>
          </w:p>
        </w:tc>
        <w:tc>
          <w:tcPr>
            <w:tcW w:w="1843" w:type="dxa"/>
          </w:tcPr>
          <w:p w14:paraId="0000027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7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(2-8)</w:t>
            </w:r>
          </w:p>
        </w:tc>
      </w:tr>
      <w:tr w:rsidR="008D3ED4" w14:paraId="44C90BE3" w14:textId="77777777" w:rsidTr="008D3ED4">
        <w:trPr>
          <w:cantSplit/>
          <w:trHeight w:val="200"/>
        </w:trPr>
        <w:tc>
          <w:tcPr>
            <w:tcW w:w="1266" w:type="dxa"/>
            <w:vMerge/>
          </w:tcPr>
          <w:p w14:paraId="0000027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80"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8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Rituximab</w:t>
            </w:r>
          </w:p>
        </w:tc>
        <w:tc>
          <w:tcPr>
            <w:tcW w:w="993" w:type="dxa"/>
          </w:tcPr>
          <w:p w14:paraId="0000028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50</w:t>
            </w:r>
          </w:p>
        </w:tc>
        <w:tc>
          <w:tcPr>
            <w:tcW w:w="1984" w:type="dxa"/>
          </w:tcPr>
          <w:p w14:paraId="0000028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3.5</w:t>
            </w:r>
          </w:p>
          <w:p w14:paraId="0000028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 (0.7-5.6)</w:t>
            </w:r>
          </w:p>
        </w:tc>
        <w:tc>
          <w:tcPr>
            <w:tcW w:w="1843" w:type="dxa"/>
          </w:tcPr>
          <w:p w14:paraId="0000028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8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(2-8)</w:t>
            </w:r>
          </w:p>
        </w:tc>
      </w:tr>
      <w:tr w:rsidR="008D3ED4" w14:paraId="6FD9EA30" w14:textId="77777777" w:rsidTr="008D3ED4">
        <w:trPr>
          <w:cantSplit/>
          <w:trHeight w:val="238"/>
        </w:trPr>
        <w:tc>
          <w:tcPr>
            <w:tcW w:w="1266" w:type="dxa"/>
            <w:vMerge/>
          </w:tcPr>
          <w:p w14:paraId="00000287"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88"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8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Cyclophosphamide</w:t>
            </w:r>
          </w:p>
        </w:tc>
        <w:tc>
          <w:tcPr>
            <w:tcW w:w="993" w:type="dxa"/>
          </w:tcPr>
          <w:p w14:paraId="0000028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50</w:t>
            </w:r>
          </w:p>
        </w:tc>
        <w:tc>
          <w:tcPr>
            <w:tcW w:w="1984" w:type="dxa"/>
          </w:tcPr>
          <w:p w14:paraId="0000028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3.51 </w:t>
            </w:r>
          </w:p>
          <w:p w14:paraId="0000028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(0.7-5.6)</w:t>
            </w:r>
          </w:p>
        </w:tc>
        <w:tc>
          <w:tcPr>
            <w:tcW w:w="1843" w:type="dxa"/>
          </w:tcPr>
          <w:p w14:paraId="0000028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8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(2-8)</w:t>
            </w:r>
          </w:p>
        </w:tc>
      </w:tr>
      <w:tr w:rsidR="008D3ED4" w14:paraId="15FA34C4" w14:textId="77777777" w:rsidTr="008D3ED4">
        <w:trPr>
          <w:cantSplit/>
          <w:trHeight w:val="250"/>
        </w:trPr>
        <w:tc>
          <w:tcPr>
            <w:tcW w:w="1266" w:type="dxa"/>
            <w:vMerge/>
          </w:tcPr>
          <w:p w14:paraId="0000028F"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90"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91"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Doxorubicin</w:t>
            </w:r>
          </w:p>
        </w:tc>
        <w:tc>
          <w:tcPr>
            <w:tcW w:w="993" w:type="dxa"/>
          </w:tcPr>
          <w:p w14:paraId="00000292"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50</w:t>
            </w:r>
          </w:p>
        </w:tc>
        <w:tc>
          <w:tcPr>
            <w:tcW w:w="1984" w:type="dxa"/>
          </w:tcPr>
          <w:p w14:paraId="00000293"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3.51 </w:t>
            </w:r>
          </w:p>
          <w:p w14:paraId="00000294"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(0.7-5.6)</w:t>
            </w:r>
          </w:p>
        </w:tc>
        <w:tc>
          <w:tcPr>
            <w:tcW w:w="1843" w:type="dxa"/>
          </w:tcPr>
          <w:p w14:paraId="00000295"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96"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(2-8)</w:t>
            </w:r>
          </w:p>
        </w:tc>
      </w:tr>
      <w:tr w:rsidR="008D3ED4" w14:paraId="3AC70A76" w14:textId="77777777" w:rsidTr="008D3ED4">
        <w:trPr>
          <w:cantSplit/>
          <w:trHeight w:val="238"/>
        </w:trPr>
        <w:tc>
          <w:tcPr>
            <w:tcW w:w="1266" w:type="dxa"/>
            <w:vMerge/>
          </w:tcPr>
          <w:p w14:paraId="00000297"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276" w:type="dxa"/>
            <w:vMerge/>
          </w:tcPr>
          <w:p w14:paraId="00000298" w14:textId="77777777" w:rsidR="008D3ED4" w:rsidRDefault="008D3ED4" w:rsidP="00402831">
            <w:pPr>
              <w:widowControl w:val="0"/>
              <w:pBdr>
                <w:top w:val="nil"/>
                <w:left w:val="nil"/>
                <w:bottom w:val="nil"/>
                <w:right w:val="nil"/>
                <w:between w:val="nil"/>
              </w:pBdr>
              <w:spacing w:before="100" w:beforeAutospacing="1" w:after="100" w:afterAutospacing="1"/>
              <w:ind w:left="0" w:right="0"/>
              <w:contextualSpacing/>
              <w:rPr>
                <w:sz w:val="20"/>
                <w:szCs w:val="20"/>
              </w:rPr>
            </w:pPr>
          </w:p>
        </w:tc>
        <w:tc>
          <w:tcPr>
            <w:tcW w:w="1984" w:type="dxa"/>
          </w:tcPr>
          <w:p w14:paraId="00000299" w14:textId="77777777" w:rsidR="008D3ED4" w:rsidRDefault="00031835" w:rsidP="00402831">
            <w:pPr>
              <w:pBdr>
                <w:top w:val="nil"/>
                <w:left w:val="nil"/>
                <w:bottom w:val="nil"/>
                <w:right w:val="nil"/>
                <w:between w:val="nil"/>
              </w:pBdr>
              <w:spacing w:before="100" w:beforeAutospacing="1" w:after="100" w:afterAutospacing="1"/>
              <w:ind w:left="0" w:right="0"/>
              <w:contextualSpacing/>
              <w:jc w:val="right"/>
              <w:rPr>
                <w:sz w:val="20"/>
                <w:szCs w:val="20"/>
              </w:rPr>
            </w:pPr>
            <w:r>
              <w:rPr>
                <w:sz w:val="20"/>
                <w:szCs w:val="20"/>
              </w:rPr>
              <w:t>Vincristine</w:t>
            </w:r>
          </w:p>
        </w:tc>
        <w:tc>
          <w:tcPr>
            <w:tcW w:w="993" w:type="dxa"/>
          </w:tcPr>
          <w:p w14:paraId="0000029A"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50</w:t>
            </w:r>
          </w:p>
        </w:tc>
        <w:tc>
          <w:tcPr>
            <w:tcW w:w="1984" w:type="dxa"/>
          </w:tcPr>
          <w:p w14:paraId="0000029B"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 xml:space="preserve">3.66 </w:t>
            </w:r>
          </w:p>
          <w:p w14:paraId="0000029C"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(0.9-5.7)</w:t>
            </w:r>
          </w:p>
        </w:tc>
        <w:tc>
          <w:tcPr>
            <w:tcW w:w="1843" w:type="dxa"/>
          </w:tcPr>
          <w:p w14:paraId="0000029D"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6.0</w:t>
            </w:r>
          </w:p>
          <w:p w14:paraId="0000029E" w14:textId="77777777" w:rsidR="008D3ED4" w:rsidRDefault="00031835" w:rsidP="00402831">
            <w:pPr>
              <w:pBdr>
                <w:top w:val="nil"/>
                <w:left w:val="nil"/>
                <w:bottom w:val="nil"/>
                <w:right w:val="nil"/>
                <w:between w:val="nil"/>
              </w:pBdr>
              <w:spacing w:before="100" w:beforeAutospacing="1" w:after="100" w:afterAutospacing="1"/>
              <w:ind w:left="0" w:right="0"/>
              <w:contextualSpacing/>
              <w:jc w:val="center"/>
              <w:rPr>
                <w:sz w:val="20"/>
                <w:szCs w:val="20"/>
              </w:rPr>
            </w:pPr>
            <w:r>
              <w:rPr>
                <w:sz w:val="20"/>
                <w:szCs w:val="20"/>
              </w:rPr>
              <w:t>(2-8)</w:t>
            </w:r>
          </w:p>
        </w:tc>
      </w:tr>
    </w:tbl>
    <w:p w14:paraId="0000029F" w14:textId="77777777" w:rsidR="008D3ED4" w:rsidRDefault="008D3ED4"/>
    <w:p w14:paraId="000002A0" w14:textId="77777777" w:rsidR="008D3ED4" w:rsidRDefault="00031835">
      <w:pPr>
        <w:pStyle w:val="Heading5"/>
      </w:pPr>
      <w:bookmarkStart w:id="18" w:name="_heading=h.z337ya" w:colFirst="0" w:colLast="0"/>
      <w:bookmarkEnd w:id="18"/>
      <w:r>
        <w:t>Adverse events</w:t>
      </w:r>
    </w:p>
    <w:p w14:paraId="000002A1" w14:textId="77777777" w:rsidR="008D3ED4" w:rsidRDefault="00031835">
      <w:r>
        <w:t xml:space="preserve">For the POLARIX study, information on new adverse events was collected at each study visit, from cycle 1 day 1 until to 90 days after the last dose of study treatment. Any treatment related serious AEs were to be reported indefinitely and any treatment-related adverse events of special interest were to be reported up to 12 months after the last dose. AEs were graded for severity using the National Cancer Institute (NCI) Common terminology criteria for adverse events </w:t>
      </w:r>
      <w:r>
        <w:lastRenderedPageBreak/>
        <w:t xml:space="preserve">(CTCAE) version 4.0.  AE terminology was standardised using Medical Dictionary for Regulatory Activities (MedDRA) version 24. Safety monitoring in study GO29044 was generally </w:t>
      </w:r>
      <w:proofErr w:type="gramStart"/>
      <w:r>
        <w:t>similar to</w:t>
      </w:r>
      <w:proofErr w:type="gramEnd"/>
      <w:r>
        <w:t xml:space="preserve"> that employed in the pivotal study. A more extensive list of adverse events of special interest, referred to as ‘selected AEs’ was defined (Table 4). </w:t>
      </w:r>
    </w:p>
    <w:p w14:paraId="000002A2" w14:textId="77777777" w:rsidR="008D3ED4" w:rsidRDefault="00031835">
      <w:pPr>
        <w:keepNext/>
        <w:pBdr>
          <w:top w:val="nil"/>
          <w:left w:val="nil"/>
          <w:bottom w:val="nil"/>
          <w:right w:val="nil"/>
          <w:between w:val="nil"/>
        </w:pBdr>
        <w:spacing w:before="120"/>
        <w:rPr>
          <w:b/>
          <w:color w:val="000000"/>
        </w:rPr>
      </w:pPr>
      <w:r>
        <w:rPr>
          <w:b/>
          <w:color w:val="000000"/>
        </w:rPr>
        <w:t>Table 4 Summary of Adverse Events</w:t>
      </w:r>
    </w:p>
    <w:tbl>
      <w:tblPr>
        <w:tblStyle w:val="TableTGAblue2023"/>
        <w:tblW w:w="9006" w:type="dxa"/>
        <w:tblLayout w:type="fixed"/>
        <w:tblLook w:val="0420" w:firstRow="1" w:lastRow="0" w:firstColumn="0" w:lastColumn="0" w:noHBand="0" w:noVBand="1"/>
      </w:tblPr>
      <w:tblGrid>
        <w:gridCol w:w="4928"/>
        <w:gridCol w:w="1158"/>
        <w:gridCol w:w="1509"/>
        <w:gridCol w:w="1411"/>
      </w:tblGrid>
      <w:tr w:rsidR="008D3ED4" w14:paraId="00E920BF" w14:textId="77777777" w:rsidTr="00031835">
        <w:trPr>
          <w:cnfStyle w:val="100000000000" w:firstRow="1" w:lastRow="0" w:firstColumn="0" w:lastColumn="0" w:oddVBand="0" w:evenVBand="0" w:oddHBand="0" w:evenHBand="0" w:firstRowFirstColumn="0" w:firstRowLastColumn="0" w:lastRowFirstColumn="0" w:lastRowLastColumn="0"/>
          <w:trHeight w:val="20"/>
        </w:trPr>
        <w:tc>
          <w:tcPr>
            <w:tcW w:w="4928" w:type="dxa"/>
            <w:vMerge w:val="restart"/>
          </w:tcPr>
          <w:p w14:paraId="000002A3" w14:textId="77777777" w:rsidR="008D3ED4" w:rsidRDefault="008D3ED4" w:rsidP="00402831">
            <w:pPr>
              <w:pBdr>
                <w:top w:val="nil"/>
                <w:left w:val="nil"/>
                <w:bottom w:val="nil"/>
                <w:right w:val="nil"/>
                <w:between w:val="nil"/>
              </w:pBdr>
              <w:spacing w:before="100" w:beforeAutospacing="1" w:after="100" w:afterAutospacing="1"/>
              <w:ind w:left="0"/>
              <w:contextualSpacing/>
              <w:rPr>
                <w:color w:val="002060"/>
                <w:sz w:val="18"/>
                <w:szCs w:val="18"/>
              </w:rPr>
            </w:pPr>
          </w:p>
        </w:tc>
        <w:tc>
          <w:tcPr>
            <w:tcW w:w="2667" w:type="dxa"/>
            <w:gridSpan w:val="2"/>
          </w:tcPr>
          <w:p w14:paraId="000002A4"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002060"/>
                <w:sz w:val="18"/>
                <w:szCs w:val="18"/>
              </w:rPr>
            </w:pPr>
            <w:r>
              <w:rPr>
                <w:b w:val="0"/>
                <w:color w:val="002060"/>
                <w:sz w:val="18"/>
                <w:szCs w:val="18"/>
              </w:rPr>
              <w:t>POLARIX study</w:t>
            </w:r>
          </w:p>
        </w:tc>
        <w:tc>
          <w:tcPr>
            <w:tcW w:w="1411" w:type="dxa"/>
          </w:tcPr>
          <w:p w14:paraId="000002A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002060"/>
                <w:sz w:val="18"/>
                <w:szCs w:val="18"/>
              </w:rPr>
            </w:pPr>
            <w:r>
              <w:rPr>
                <w:b w:val="0"/>
                <w:color w:val="002060"/>
                <w:sz w:val="18"/>
                <w:szCs w:val="18"/>
              </w:rPr>
              <w:t>G029044</w:t>
            </w:r>
          </w:p>
        </w:tc>
      </w:tr>
      <w:tr w:rsidR="008D3ED4" w14:paraId="0A99E4A1" w14:textId="77777777" w:rsidTr="00031835">
        <w:trPr>
          <w:trHeight w:val="20"/>
        </w:trPr>
        <w:tc>
          <w:tcPr>
            <w:tcW w:w="4928" w:type="dxa"/>
            <w:vMerge/>
          </w:tcPr>
          <w:p w14:paraId="000002A7" w14:textId="77777777" w:rsidR="008D3ED4" w:rsidRDefault="008D3ED4" w:rsidP="00402831">
            <w:pPr>
              <w:widowControl w:val="0"/>
              <w:pBdr>
                <w:top w:val="nil"/>
                <w:left w:val="nil"/>
                <w:bottom w:val="nil"/>
                <w:right w:val="nil"/>
                <w:between w:val="nil"/>
              </w:pBdr>
              <w:spacing w:before="100" w:beforeAutospacing="1" w:after="100" w:afterAutospacing="1"/>
              <w:ind w:left="0"/>
              <w:contextualSpacing/>
              <w:rPr>
                <w:color w:val="002060"/>
                <w:szCs w:val="18"/>
              </w:rPr>
            </w:pPr>
          </w:p>
        </w:tc>
        <w:tc>
          <w:tcPr>
            <w:tcW w:w="1158" w:type="dxa"/>
          </w:tcPr>
          <w:p w14:paraId="000002A8"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b/>
                <w:color w:val="002060"/>
                <w:szCs w:val="18"/>
              </w:rPr>
            </w:pPr>
            <w:r>
              <w:rPr>
                <w:b/>
                <w:color w:val="002060"/>
                <w:szCs w:val="18"/>
              </w:rPr>
              <w:t>R-CHOP</w:t>
            </w:r>
          </w:p>
        </w:tc>
        <w:tc>
          <w:tcPr>
            <w:tcW w:w="1509" w:type="dxa"/>
          </w:tcPr>
          <w:p w14:paraId="000002A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b/>
                <w:color w:val="002060"/>
                <w:szCs w:val="18"/>
              </w:rPr>
            </w:pPr>
            <w:r>
              <w:rPr>
                <w:b/>
                <w:color w:val="002060"/>
                <w:szCs w:val="18"/>
              </w:rPr>
              <w:t>Pola+R-CHP</w:t>
            </w:r>
          </w:p>
        </w:tc>
        <w:tc>
          <w:tcPr>
            <w:tcW w:w="1411" w:type="dxa"/>
          </w:tcPr>
          <w:p w14:paraId="000002A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b/>
                <w:color w:val="002060"/>
                <w:szCs w:val="18"/>
              </w:rPr>
            </w:pPr>
            <w:r>
              <w:rPr>
                <w:b/>
                <w:color w:val="002060"/>
                <w:szCs w:val="18"/>
              </w:rPr>
              <w:t>Pola+R-CHP</w:t>
            </w:r>
          </w:p>
        </w:tc>
      </w:tr>
      <w:tr w:rsidR="008D3ED4" w14:paraId="4CE4B288" w14:textId="77777777" w:rsidTr="00031835">
        <w:trPr>
          <w:trHeight w:val="20"/>
        </w:trPr>
        <w:tc>
          <w:tcPr>
            <w:tcW w:w="7595" w:type="dxa"/>
            <w:gridSpan w:val="3"/>
          </w:tcPr>
          <w:p w14:paraId="000002AB" w14:textId="77777777" w:rsidR="008D3ED4" w:rsidRDefault="00031835" w:rsidP="00402831">
            <w:pPr>
              <w:pBdr>
                <w:top w:val="nil"/>
                <w:left w:val="nil"/>
                <w:bottom w:val="nil"/>
                <w:right w:val="nil"/>
                <w:between w:val="nil"/>
              </w:pBdr>
              <w:spacing w:before="100" w:beforeAutospacing="1" w:after="100" w:afterAutospacing="1"/>
              <w:ind w:left="0"/>
              <w:contextualSpacing/>
              <w:jc w:val="both"/>
              <w:rPr>
                <w:color w:val="7030A0"/>
                <w:szCs w:val="18"/>
              </w:rPr>
            </w:pPr>
            <w:r>
              <w:rPr>
                <w:b/>
                <w:szCs w:val="18"/>
              </w:rPr>
              <w:t>Treatment-emergent adverse events (TEAEs)</w:t>
            </w:r>
          </w:p>
        </w:tc>
        <w:tc>
          <w:tcPr>
            <w:tcW w:w="1411" w:type="dxa"/>
          </w:tcPr>
          <w:p w14:paraId="000002AE" w14:textId="77777777" w:rsidR="008D3ED4" w:rsidRDefault="008D3ED4" w:rsidP="00402831">
            <w:pPr>
              <w:pBdr>
                <w:top w:val="nil"/>
                <w:left w:val="nil"/>
                <w:bottom w:val="nil"/>
                <w:right w:val="nil"/>
                <w:between w:val="nil"/>
              </w:pBdr>
              <w:spacing w:before="100" w:beforeAutospacing="1" w:after="100" w:afterAutospacing="1"/>
              <w:ind w:left="0"/>
              <w:contextualSpacing/>
              <w:rPr>
                <w:b/>
                <w:color w:val="7030A0"/>
                <w:szCs w:val="18"/>
              </w:rPr>
            </w:pPr>
          </w:p>
        </w:tc>
      </w:tr>
      <w:tr w:rsidR="008D3ED4" w14:paraId="7CA1D9AA" w14:textId="77777777" w:rsidTr="00031835">
        <w:trPr>
          <w:trHeight w:val="20"/>
        </w:trPr>
        <w:tc>
          <w:tcPr>
            <w:tcW w:w="4928" w:type="dxa"/>
          </w:tcPr>
          <w:p w14:paraId="000002AF" w14:textId="77777777" w:rsidR="008D3ED4" w:rsidRDefault="00031835" w:rsidP="00402831">
            <w:pPr>
              <w:pBdr>
                <w:top w:val="nil"/>
                <w:left w:val="nil"/>
                <w:bottom w:val="nil"/>
                <w:right w:val="nil"/>
                <w:between w:val="nil"/>
              </w:pBdr>
              <w:spacing w:before="100" w:beforeAutospacing="1" w:after="100" w:afterAutospacing="1"/>
              <w:ind w:left="0"/>
              <w:contextualSpacing/>
              <w:rPr>
                <w:color w:val="7030A0"/>
                <w:szCs w:val="18"/>
              </w:rPr>
            </w:pPr>
            <w:r>
              <w:rPr>
                <w:szCs w:val="18"/>
              </w:rPr>
              <w:t>Subjects with at least one TEAE, %</w:t>
            </w:r>
          </w:p>
        </w:tc>
        <w:tc>
          <w:tcPr>
            <w:tcW w:w="1158" w:type="dxa"/>
          </w:tcPr>
          <w:p w14:paraId="000002B0"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98.4</w:t>
            </w:r>
          </w:p>
        </w:tc>
        <w:tc>
          <w:tcPr>
            <w:tcW w:w="1509" w:type="dxa"/>
          </w:tcPr>
          <w:p w14:paraId="000002B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97.9</w:t>
            </w:r>
          </w:p>
        </w:tc>
        <w:tc>
          <w:tcPr>
            <w:tcW w:w="1411" w:type="dxa"/>
          </w:tcPr>
          <w:p w14:paraId="000002B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100</w:t>
            </w:r>
          </w:p>
        </w:tc>
      </w:tr>
      <w:tr w:rsidR="008D3ED4" w14:paraId="68285793" w14:textId="77777777" w:rsidTr="00031835">
        <w:trPr>
          <w:trHeight w:val="20"/>
        </w:trPr>
        <w:tc>
          <w:tcPr>
            <w:tcW w:w="7595" w:type="dxa"/>
            <w:gridSpan w:val="3"/>
          </w:tcPr>
          <w:p w14:paraId="000002B3" w14:textId="77777777" w:rsidR="008D3ED4" w:rsidRDefault="00031835" w:rsidP="00402831">
            <w:pPr>
              <w:pBdr>
                <w:top w:val="nil"/>
                <w:left w:val="nil"/>
                <w:bottom w:val="nil"/>
                <w:right w:val="nil"/>
                <w:between w:val="nil"/>
              </w:pBdr>
              <w:tabs>
                <w:tab w:val="left" w:pos="3148"/>
              </w:tabs>
              <w:spacing w:before="100" w:beforeAutospacing="1" w:after="100" w:afterAutospacing="1"/>
              <w:ind w:left="0"/>
              <w:contextualSpacing/>
              <w:rPr>
                <w:b/>
                <w:color w:val="385623"/>
                <w:szCs w:val="18"/>
              </w:rPr>
            </w:pPr>
            <w:r>
              <w:rPr>
                <w:b/>
                <w:szCs w:val="18"/>
              </w:rPr>
              <w:t xml:space="preserve">Most common TEAEs (&gt;10% in any </w:t>
            </w:r>
            <w:r>
              <w:rPr>
                <w:b/>
                <w:szCs w:val="18"/>
              </w:rPr>
              <w:t>group):</w:t>
            </w:r>
          </w:p>
        </w:tc>
        <w:tc>
          <w:tcPr>
            <w:tcW w:w="1411" w:type="dxa"/>
          </w:tcPr>
          <w:p w14:paraId="000002B6" w14:textId="77777777" w:rsidR="008D3ED4" w:rsidRDefault="008D3ED4" w:rsidP="00402831">
            <w:pPr>
              <w:pBdr>
                <w:top w:val="nil"/>
                <w:left w:val="nil"/>
                <w:bottom w:val="nil"/>
                <w:right w:val="nil"/>
                <w:between w:val="nil"/>
              </w:pBdr>
              <w:tabs>
                <w:tab w:val="left" w:pos="3148"/>
              </w:tabs>
              <w:spacing w:before="100" w:beforeAutospacing="1" w:after="100" w:afterAutospacing="1"/>
              <w:ind w:left="0"/>
              <w:contextualSpacing/>
              <w:rPr>
                <w:color w:val="385623"/>
                <w:szCs w:val="18"/>
              </w:rPr>
            </w:pPr>
          </w:p>
        </w:tc>
      </w:tr>
      <w:tr w:rsidR="008D3ED4" w14:paraId="6EB49650" w14:textId="77777777" w:rsidTr="00031835">
        <w:trPr>
          <w:trHeight w:val="20"/>
        </w:trPr>
        <w:tc>
          <w:tcPr>
            <w:tcW w:w="4928" w:type="dxa"/>
          </w:tcPr>
          <w:p w14:paraId="000002B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nausea, %</w:t>
            </w:r>
          </w:p>
        </w:tc>
        <w:tc>
          <w:tcPr>
            <w:tcW w:w="1158" w:type="dxa"/>
          </w:tcPr>
          <w:p w14:paraId="000002B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36.8</w:t>
            </w:r>
          </w:p>
        </w:tc>
        <w:tc>
          <w:tcPr>
            <w:tcW w:w="1509" w:type="dxa"/>
          </w:tcPr>
          <w:p w14:paraId="000002B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41.6</w:t>
            </w:r>
          </w:p>
        </w:tc>
        <w:tc>
          <w:tcPr>
            <w:tcW w:w="1411" w:type="dxa"/>
          </w:tcPr>
          <w:p w14:paraId="000002B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44.0</w:t>
            </w:r>
          </w:p>
        </w:tc>
      </w:tr>
      <w:tr w:rsidR="008D3ED4" w14:paraId="20F77B31" w14:textId="77777777" w:rsidTr="00031835">
        <w:trPr>
          <w:trHeight w:val="20"/>
        </w:trPr>
        <w:tc>
          <w:tcPr>
            <w:tcW w:w="4928" w:type="dxa"/>
          </w:tcPr>
          <w:p w14:paraId="000002B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proofErr w:type="gramStart"/>
            <w:r>
              <w:rPr>
                <w:szCs w:val="18"/>
              </w:rPr>
              <w:t>neutropenia,%</w:t>
            </w:r>
            <w:proofErr w:type="gramEnd"/>
          </w:p>
        </w:tc>
        <w:tc>
          <w:tcPr>
            <w:tcW w:w="1158" w:type="dxa"/>
          </w:tcPr>
          <w:p w14:paraId="000002B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32.6</w:t>
            </w:r>
          </w:p>
        </w:tc>
        <w:tc>
          <w:tcPr>
            <w:tcW w:w="1509" w:type="dxa"/>
          </w:tcPr>
          <w:p w14:paraId="000002B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30.8</w:t>
            </w:r>
          </w:p>
        </w:tc>
        <w:tc>
          <w:tcPr>
            <w:tcW w:w="1411" w:type="dxa"/>
          </w:tcPr>
          <w:p w14:paraId="000002B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36.0</w:t>
            </w:r>
          </w:p>
        </w:tc>
      </w:tr>
      <w:tr w:rsidR="008D3ED4" w14:paraId="513DD1A7" w14:textId="77777777" w:rsidTr="00031835">
        <w:trPr>
          <w:trHeight w:val="20"/>
        </w:trPr>
        <w:tc>
          <w:tcPr>
            <w:tcW w:w="4928" w:type="dxa"/>
          </w:tcPr>
          <w:p w14:paraId="000002B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constipation, %</w:t>
            </w:r>
          </w:p>
        </w:tc>
        <w:tc>
          <w:tcPr>
            <w:tcW w:w="1158" w:type="dxa"/>
          </w:tcPr>
          <w:p w14:paraId="000002C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29.0</w:t>
            </w:r>
          </w:p>
        </w:tc>
        <w:tc>
          <w:tcPr>
            <w:tcW w:w="1509" w:type="dxa"/>
          </w:tcPr>
          <w:p w14:paraId="000002C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28.7</w:t>
            </w:r>
          </w:p>
        </w:tc>
        <w:tc>
          <w:tcPr>
            <w:tcW w:w="1411" w:type="dxa"/>
          </w:tcPr>
          <w:p w14:paraId="000002C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22.0</w:t>
            </w:r>
          </w:p>
        </w:tc>
      </w:tr>
      <w:tr w:rsidR="008D3ED4" w14:paraId="4BA0DF1D" w14:textId="77777777" w:rsidTr="00031835">
        <w:trPr>
          <w:trHeight w:val="20"/>
        </w:trPr>
        <w:tc>
          <w:tcPr>
            <w:tcW w:w="4928" w:type="dxa"/>
          </w:tcPr>
          <w:p w14:paraId="000002C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anaemia, %</w:t>
            </w:r>
          </w:p>
        </w:tc>
        <w:tc>
          <w:tcPr>
            <w:tcW w:w="1158" w:type="dxa"/>
          </w:tcPr>
          <w:p w14:paraId="000002C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26.0</w:t>
            </w:r>
          </w:p>
        </w:tc>
        <w:tc>
          <w:tcPr>
            <w:tcW w:w="1509" w:type="dxa"/>
          </w:tcPr>
          <w:p w14:paraId="000002C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28.7</w:t>
            </w:r>
          </w:p>
        </w:tc>
        <w:tc>
          <w:tcPr>
            <w:tcW w:w="1411" w:type="dxa"/>
          </w:tcPr>
          <w:p w14:paraId="000002C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28.0</w:t>
            </w:r>
          </w:p>
        </w:tc>
      </w:tr>
      <w:tr w:rsidR="008D3ED4" w14:paraId="759C4781" w14:textId="77777777" w:rsidTr="00031835">
        <w:trPr>
          <w:trHeight w:val="20"/>
        </w:trPr>
        <w:tc>
          <w:tcPr>
            <w:tcW w:w="4928" w:type="dxa"/>
          </w:tcPr>
          <w:p w14:paraId="000002C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fatigue, %</w:t>
            </w:r>
          </w:p>
        </w:tc>
        <w:tc>
          <w:tcPr>
            <w:tcW w:w="1158" w:type="dxa"/>
          </w:tcPr>
          <w:p w14:paraId="000002C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26.5</w:t>
            </w:r>
          </w:p>
        </w:tc>
        <w:tc>
          <w:tcPr>
            <w:tcW w:w="1509" w:type="dxa"/>
          </w:tcPr>
          <w:p w14:paraId="000002C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25.7</w:t>
            </w:r>
          </w:p>
        </w:tc>
        <w:tc>
          <w:tcPr>
            <w:tcW w:w="1411" w:type="dxa"/>
          </w:tcPr>
          <w:p w14:paraId="000002C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44.0</w:t>
            </w:r>
          </w:p>
        </w:tc>
      </w:tr>
      <w:tr w:rsidR="008D3ED4" w14:paraId="07701641" w14:textId="77777777" w:rsidTr="00031835">
        <w:trPr>
          <w:trHeight w:val="20"/>
        </w:trPr>
        <w:tc>
          <w:tcPr>
            <w:tcW w:w="4928" w:type="dxa"/>
          </w:tcPr>
          <w:p w14:paraId="000002C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diarrhoea, %</w:t>
            </w:r>
          </w:p>
        </w:tc>
        <w:tc>
          <w:tcPr>
            <w:tcW w:w="1158" w:type="dxa"/>
          </w:tcPr>
          <w:p w14:paraId="000002C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20.1</w:t>
            </w:r>
          </w:p>
        </w:tc>
        <w:tc>
          <w:tcPr>
            <w:tcW w:w="1509" w:type="dxa"/>
          </w:tcPr>
          <w:p w14:paraId="000002C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30.8</w:t>
            </w:r>
          </w:p>
        </w:tc>
        <w:tc>
          <w:tcPr>
            <w:tcW w:w="1411" w:type="dxa"/>
          </w:tcPr>
          <w:p w14:paraId="000002C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44.0</w:t>
            </w:r>
          </w:p>
        </w:tc>
      </w:tr>
      <w:tr w:rsidR="008D3ED4" w14:paraId="72126EC9" w14:textId="77777777" w:rsidTr="00031835">
        <w:trPr>
          <w:trHeight w:val="20"/>
        </w:trPr>
        <w:tc>
          <w:tcPr>
            <w:tcW w:w="4928" w:type="dxa"/>
          </w:tcPr>
          <w:p w14:paraId="000002C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proofErr w:type="gramStart"/>
            <w:r>
              <w:rPr>
                <w:szCs w:val="18"/>
              </w:rPr>
              <w:t>alopecia ,</w:t>
            </w:r>
            <w:proofErr w:type="gramEnd"/>
            <w:r>
              <w:rPr>
                <w:szCs w:val="18"/>
              </w:rPr>
              <w:t xml:space="preserve"> %</w:t>
            </w:r>
          </w:p>
        </w:tc>
        <w:tc>
          <w:tcPr>
            <w:tcW w:w="1158" w:type="dxa"/>
          </w:tcPr>
          <w:p w14:paraId="000002D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24.0</w:t>
            </w:r>
          </w:p>
        </w:tc>
        <w:tc>
          <w:tcPr>
            <w:tcW w:w="1509" w:type="dxa"/>
          </w:tcPr>
          <w:p w14:paraId="000002D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24.4</w:t>
            </w:r>
          </w:p>
        </w:tc>
        <w:tc>
          <w:tcPr>
            <w:tcW w:w="1411" w:type="dxa"/>
          </w:tcPr>
          <w:p w14:paraId="000002D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14.0</w:t>
            </w:r>
          </w:p>
        </w:tc>
      </w:tr>
      <w:tr w:rsidR="008D3ED4" w14:paraId="4831178B" w14:textId="77777777" w:rsidTr="00031835">
        <w:trPr>
          <w:trHeight w:val="20"/>
        </w:trPr>
        <w:tc>
          <w:tcPr>
            <w:tcW w:w="4928" w:type="dxa"/>
          </w:tcPr>
          <w:p w14:paraId="000002D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Peripheral neuropathy, %</w:t>
            </w:r>
          </w:p>
        </w:tc>
        <w:tc>
          <w:tcPr>
            <w:tcW w:w="1158" w:type="dxa"/>
          </w:tcPr>
          <w:p w14:paraId="000002D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22.6</w:t>
            </w:r>
          </w:p>
        </w:tc>
        <w:tc>
          <w:tcPr>
            <w:tcW w:w="1509" w:type="dxa"/>
          </w:tcPr>
          <w:p w14:paraId="000002D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24.1</w:t>
            </w:r>
          </w:p>
        </w:tc>
        <w:tc>
          <w:tcPr>
            <w:tcW w:w="1411" w:type="dxa"/>
          </w:tcPr>
          <w:p w14:paraId="000002D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16.0</w:t>
            </w:r>
          </w:p>
        </w:tc>
      </w:tr>
      <w:tr w:rsidR="008D3ED4" w14:paraId="1E611986" w14:textId="77777777" w:rsidTr="00031835">
        <w:trPr>
          <w:trHeight w:val="20"/>
        </w:trPr>
        <w:tc>
          <w:tcPr>
            <w:tcW w:w="4928" w:type="dxa"/>
          </w:tcPr>
          <w:p w14:paraId="000002D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Peripheral sensory neuropathy, %</w:t>
            </w:r>
          </w:p>
        </w:tc>
        <w:tc>
          <w:tcPr>
            <w:tcW w:w="1158" w:type="dxa"/>
          </w:tcPr>
          <w:p w14:paraId="000002D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21.5</w:t>
            </w:r>
          </w:p>
        </w:tc>
        <w:tc>
          <w:tcPr>
            <w:tcW w:w="1509" w:type="dxa"/>
          </w:tcPr>
          <w:p w14:paraId="000002D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19.5</w:t>
            </w:r>
          </w:p>
        </w:tc>
        <w:tc>
          <w:tcPr>
            <w:tcW w:w="1411" w:type="dxa"/>
          </w:tcPr>
          <w:p w14:paraId="000002D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14.0</w:t>
            </w:r>
          </w:p>
        </w:tc>
      </w:tr>
      <w:tr w:rsidR="008D3ED4" w14:paraId="0E1CDDFC" w14:textId="77777777" w:rsidTr="00031835">
        <w:trPr>
          <w:trHeight w:val="20"/>
        </w:trPr>
        <w:tc>
          <w:tcPr>
            <w:tcW w:w="4928" w:type="dxa"/>
          </w:tcPr>
          <w:p w14:paraId="000002D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Decreased appetite, %</w:t>
            </w:r>
          </w:p>
        </w:tc>
        <w:tc>
          <w:tcPr>
            <w:tcW w:w="1158" w:type="dxa"/>
          </w:tcPr>
          <w:p w14:paraId="000002D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14.2</w:t>
            </w:r>
          </w:p>
        </w:tc>
        <w:tc>
          <w:tcPr>
            <w:tcW w:w="1509" w:type="dxa"/>
          </w:tcPr>
          <w:p w14:paraId="000002D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16.3</w:t>
            </w:r>
          </w:p>
        </w:tc>
        <w:tc>
          <w:tcPr>
            <w:tcW w:w="1411" w:type="dxa"/>
          </w:tcPr>
          <w:p w14:paraId="000002D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14.0</w:t>
            </w:r>
          </w:p>
        </w:tc>
      </w:tr>
      <w:tr w:rsidR="008D3ED4" w14:paraId="047CB7C9" w14:textId="77777777" w:rsidTr="00031835">
        <w:trPr>
          <w:trHeight w:val="20"/>
        </w:trPr>
        <w:tc>
          <w:tcPr>
            <w:tcW w:w="4928" w:type="dxa"/>
          </w:tcPr>
          <w:p w14:paraId="000002D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vomiting, %</w:t>
            </w:r>
          </w:p>
        </w:tc>
        <w:tc>
          <w:tcPr>
            <w:tcW w:w="1158" w:type="dxa"/>
          </w:tcPr>
          <w:p w14:paraId="000002E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14.4</w:t>
            </w:r>
          </w:p>
        </w:tc>
        <w:tc>
          <w:tcPr>
            <w:tcW w:w="1509" w:type="dxa"/>
          </w:tcPr>
          <w:p w14:paraId="000002E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14.9</w:t>
            </w:r>
          </w:p>
        </w:tc>
        <w:tc>
          <w:tcPr>
            <w:tcW w:w="1411" w:type="dxa"/>
          </w:tcPr>
          <w:p w14:paraId="000002E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14.0</w:t>
            </w:r>
          </w:p>
        </w:tc>
      </w:tr>
      <w:tr w:rsidR="008D3ED4" w14:paraId="3FA34614" w14:textId="77777777" w:rsidTr="00031835">
        <w:trPr>
          <w:trHeight w:val="20"/>
        </w:trPr>
        <w:tc>
          <w:tcPr>
            <w:tcW w:w="4928" w:type="dxa"/>
          </w:tcPr>
          <w:p w14:paraId="000002E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proofErr w:type="gramStart"/>
            <w:r>
              <w:rPr>
                <w:szCs w:val="18"/>
              </w:rPr>
              <w:t>pyrexia,%</w:t>
            </w:r>
            <w:proofErr w:type="gramEnd"/>
          </w:p>
        </w:tc>
        <w:tc>
          <w:tcPr>
            <w:tcW w:w="1158" w:type="dxa"/>
          </w:tcPr>
          <w:p w14:paraId="000002E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12.6</w:t>
            </w:r>
          </w:p>
        </w:tc>
        <w:tc>
          <w:tcPr>
            <w:tcW w:w="1509" w:type="dxa"/>
          </w:tcPr>
          <w:p w14:paraId="000002E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15.6</w:t>
            </w:r>
          </w:p>
        </w:tc>
        <w:tc>
          <w:tcPr>
            <w:tcW w:w="1411" w:type="dxa"/>
          </w:tcPr>
          <w:p w14:paraId="000002E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18.0</w:t>
            </w:r>
          </w:p>
        </w:tc>
      </w:tr>
      <w:tr w:rsidR="008D3ED4" w14:paraId="75C43F9C" w14:textId="77777777" w:rsidTr="00031835">
        <w:trPr>
          <w:trHeight w:val="20"/>
        </w:trPr>
        <w:tc>
          <w:tcPr>
            <w:tcW w:w="4928" w:type="dxa"/>
          </w:tcPr>
          <w:p w14:paraId="000002E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headache, %</w:t>
            </w:r>
          </w:p>
        </w:tc>
        <w:tc>
          <w:tcPr>
            <w:tcW w:w="1158" w:type="dxa"/>
          </w:tcPr>
          <w:p w14:paraId="000002E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13.0</w:t>
            </w:r>
          </w:p>
        </w:tc>
        <w:tc>
          <w:tcPr>
            <w:tcW w:w="1509" w:type="dxa"/>
          </w:tcPr>
          <w:p w14:paraId="000002E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12.9</w:t>
            </w:r>
          </w:p>
        </w:tc>
        <w:tc>
          <w:tcPr>
            <w:tcW w:w="1411" w:type="dxa"/>
          </w:tcPr>
          <w:p w14:paraId="000002E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14.0</w:t>
            </w:r>
          </w:p>
        </w:tc>
      </w:tr>
      <w:tr w:rsidR="008D3ED4" w14:paraId="04C9356B" w14:textId="77777777" w:rsidTr="00031835">
        <w:trPr>
          <w:trHeight w:val="20"/>
        </w:trPr>
        <w:tc>
          <w:tcPr>
            <w:tcW w:w="4928" w:type="dxa"/>
          </w:tcPr>
          <w:p w14:paraId="000002E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cough, %</w:t>
            </w:r>
          </w:p>
        </w:tc>
        <w:tc>
          <w:tcPr>
            <w:tcW w:w="1158" w:type="dxa"/>
          </w:tcPr>
          <w:p w14:paraId="000002E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12.1</w:t>
            </w:r>
          </w:p>
        </w:tc>
        <w:tc>
          <w:tcPr>
            <w:tcW w:w="1509" w:type="dxa"/>
          </w:tcPr>
          <w:p w14:paraId="000002E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12.9</w:t>
            </w:r>
          </w:p>
        </w:tc>
        <w:tc>
          <w:tcPr>
            <w:tcW w:w="1411" w:type="dxa"/>
          </w:tcPr>
          <w:p w14:paraId="000002E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6.0</w:t>
            </w:r>
          </w:p>
        </w:tc>
      </w:tr>
      <w:tr w:rsidR="008D3ED4" w14:paraId="3612F328" w14:textId="77777777" w:rsidTr="00031835">
        <w:trPr>
          <w:trHeight w:val="20"/>
        </w:trPr>
        <w:tc>
          <w:tcPr>
            <w:tcW w:w="4928" w:type="dxa"/>
          </w:tcPr>
          <w:p w14:paraId="000002E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Weight decreased, %</w:t>
            </w:r>
          </w:p>
        </w:tc>
        <w:tc>
          <w:tcPr>
            <w:tcW w:w="1158" w:type="dxa"/>
          </w:tcPr>
          <w:p w14:paraId="000002F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11.9</w:t>
            </w:r>
          </w:p>
        </w:tc>
        <w:tc>
          <w:tcPr>
            <w:tcW w:w="1509" w:type="dxa"/>
          </w:tcPr>
          <w:p w14:paraId="000002F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12.6</w:t>
            </w:r>
          </w:p>
        </w:tc>
        <w:tc>
          <w:tcPr>
            <w:tcW w:w="1411" w:type="dxa"/>
          </w:tcPr>
          <w:p w14:paraId="000002F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18.0</w:t>
            </w:r>
          </w:p>
        </w:tc>
      </w:tr>
      <w:tr w:rsidR="008D3ED4" w14:paraId="10072298" w14:textId="77777777" w:rsidTr="00031835">
        <w:trPr>
          <w:trHeight w:val="20"/>
        </w:trPr>
        <w:tc>
          <w:tcPr>
            <w:tcW w:w="4928" w:type="dxa"/>
          </w:tcPr>
          <w:p w14:paraId="000002F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asthenia, %</w:t>
            </w:r>
          </w:p>
        </w:tc>
        <w:tc>
          <w:tcPr>
            <w:tcW w:w="1158" w:type="dxa"/>
          </w:tcPr>
          <w:p w14:paraId="000002F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12.1</w:t>
            </w:r>
          </w:p>
        </w:tc>
        <w:tc>
          <w:tcPr>
            <w:tcW w:w="1509" w:type="dxa"/>
          </w:tcPr>
          <w:p w14:paraId="000002F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12.2</w:t>
            </w:r>
          </w:p>
        </w:tc>
        <w:tc>
          <w:tcPr>
            <w:tcW w:w="1411" w:type="dxa"/>
          </w:tcPr>
          <w:p w14:paraId="000002F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18.0</w:t>
            </w:r>
          </w:p>
        </w:tc>
      </w:tr>
      <w:tr w:rsidR="008D3ED4" w14:paraId="7CC6EB9F" w14:textId="77777777" w:rsidTr="00031835">
        <w:trPr>
          <w:trHeight w:val="20"/>
        </w:trPr>
        <w:tc>
          <w:tcPr>
            <w:tcW w:w="4928" w:type="dxa"/>
          </w:tcPr>
          <w:p w14:paraId="000002F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dysgeusia, %</w:t>
            </w:r>
          </w:p>
        </w:tc>
        <w:tc>
          <w:tcPr>
            <w:tcW w:w="1158" w:type="dxa"/>
          </w:tcPr>
          <w:p w14:paraId="000002F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13.0</w:t>
            </w:r>
          </w:p>
        </w:tc>
        <w:tc>
          <w:tcPr>
            <w:tcW w:w="1509" w:type="dxa"/>
          </w:tcPr>
          <w:p w14:paraId="000002F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11.3</w:t>
            </w:r>
          </w:p>
        </w:tc>
        <w:tc>
          <w:tcPr>
            <w:tcW w:w="1411" w:type="dxa"/>
          </w:tcPr>
          <w:p w14:paraId="000002F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12.0</w:t>
            </w:r>
          </w:p>
        </w:tc>
      </w:tr>
      <w:tr w:rsidR="008D3ED4" w14:paraId="764A1AC2" w14:textId="77777777" w:rsidTr="00031835">
        <w:trPr>
          <w:trHeight w:val="20"/>
        </w:trPr>
        <w:tc>
          <w:tcPr>
            <w:tcW w:w="4928" w:type="dxa"/>
          </w:tcPr>
          <w:p w14:paraId="000002F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Febrile neutropenia, %</w:t>
            </w:r>
          </w:p>
        </w:tc>
        <w:tc>
          <w:tcPr>
            <w:tcW w:w="1158" w:type="dxa"/>
          </w:tcPr>
          <w:p w14:paraId="000002F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8.0</w:t>
            </w:r>
          </w:p>
        </w:tc>
        <w:tc>
          <w:tcPr>
            <w:tcW w:w="1509" w:type="dxa"/>
          </w:tcPr>
          <w:p w14:paraId="000002F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14.3</w:t>
            </w:r>
          </w:p>
        </w:tc>
        <w:tc>
          <w:tcPr>
            <w:tcW w:w="1411" w:type="dxa"/>
          </w:tcPr>
          <w:p w14:paraId="000002F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12.0</w:t>
            </w:r>
          </w:p>
        </w:tc>
      </w:tr>
      <w:tr w:rsidR="008D3ED4" w14:paraId="13F1892D" w14:textId="77777777" w:rsidTr="00031835">
        <w:trPr>
          <w:trHeight w:val="20"/>
        </w:trPr>
        <w:tc>
          <w:tcPr>
            <w:tcW w:w="4928" w:type="dxa"/>
          </w:tcPr>
          <w:p w14:paraId="000002F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Back pain, %</w:t>
            </w:r>
          </w:p>
        </w:tc>
        <w:tc>
          <w:tcPr>
            <w:tcW w:w="1158" w:type="dxa"/>
          </w:tcPr>
          <w:p w14:paraId="0000030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11.0</w:t>
            </w:r>
          </w:p>
        </w:tc>
        <w:tc>
          <w:tcPr>
            <w:tcW w:w="1509" w:type="dxa"/>
          </w:tcPr>
          <w:p w14:paraId="0000030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9.4</w:t>
            </w:r>
          </w:p>
        </w:tc>
        <w:tc>
          <w:tcPr>
            <w:tcW w:w="1411" w:type="dxa"/>
          </w:tcPr>
          <w:p w14:paraId="0000030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8.0</w:t>
            </w:r>
          </w:p>
        </w:tc>
      </w:tr>
      <w:tr w:rsidR="008D3ED4" w14:paraId="34285133" w14:textId="77777777" w:rsidTr="00031835">
        <w:trPr>
          <w:trHeight w:val="20"/>
        </w:trPr>
        <w:tc>
          <w:tcPr>
            <w:tcW w:w="4928" w:type="dxa"/>
          </w:tcPr>
          <w:p w14:paraId="0000030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dyspnoea, %</w:t>
            </w:r>
          </w:p>
        </w:tc>
        <w:tc>
          <w:tcPr>
            <w:tcW w:w="1158" w:type="dxa"/>
          </w:tcPr>
          <w:p w14:paraId="0000030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8.2</w:t>
            </w:r>
          </w:p>
        </w:tc>
        <w:tc>
          <w:tcPr>
            <w:tcW w:w="1509" w:type="dxa"/>
          </w:tcPr>
          <w:p w14:paraId="0000030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11.0</w:t>
            </w:r>
          </w:p>
        </w:tc>
        <w:tc>
          <w:tcPr>
            <w:tcW w:w="1411" w:type="dxa"/>
          </w:tcPr>
          <w:p w14:paraId="0000030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8.0</w:t>
            </w:r>
          </w:p>
        </w:tc>
      </w:tr>
      <w:tr w:rsidR="008D3ED4" w14:paraId="09BFE0CE" w14:textId="77777777" w:rsidTr="00031835">
        <w:trPr>
          <w:trHeight w:val="20"/>
        </w:trPr>
        <w:tc>
          <w:tcPr>
            <w:tcW w:w="7595" w:type="dxa"/>
            <w:gridSpan w:val="3"/>
          </w:tcPr>
          <w:p w14:paraId="00000307" w14:textId="77777777" w:rsidR="008D3ED4" w:rsidRDefault="00031835" w:rsidP="00402831">
            <w:pPr>
              <w:pBdr>
                <w:top w:val="nil"/>
                <w:left w:val="nil"/>
                <w:bottom w:val="nil"/>
                <w:right w:val="nil"/>
                <w:between w:val="nil"/>
              </w:pBdr>
              <w:spacing w:before="100" w:beforeAutospacing="1" w:after="100" w:afterAutospacing="1"/>
              <w:ind w:left="0"/>
              <w:contextualSpacing/>
              <w:rPr>
                <w:b/>
                <w:szCs w:val="18"/>
              </w:rPr>
            </w:pPr>
            <w:r>
              <w:rPr>
                <w:b/>
                <w:szCs w:val="18"/>
              </w:rPr>
              <w:t>Deaths</w:t>
            </w:r>
          </w:p>
        </w:tc>
        <w:tc>
          <w:tcPr>
            <w:tcW w:w="1411" w:type="dxa"/>
          </w:tcPr>
          <w:p w14:paraId="0000030A" w14:textId="77777777" w:rsidR="008D3ED4" w:rsidRDefault="008D3ED4" w:rsidP="00402831">
            <w:pPr>
              <w:pBdr>
                <w:top w:val="nil"/>
                <w:left w:val="nil"/>
                <w:bottom w:val="nil"/>
                <w:right w:val="nil"/>
                <w:between w:val="nil"/>
              </w:pBdr>
              <w:spacing w:before="100" w:beforeAutospacing="1" w:after="100" w:afterAutospacing="1"/>
              <w:ind w:left="0"/>
              <w:contextualSpacing/>
              <w:rPr>
                <w:b/>
                <w:color w:val="7030A0"/>
                <w:szCs w:val="18"/>
              </w:rPr>
            </w:pPr>
          </w:p>
        </w:tc>
      </w:tr>
      <w:tr w:rsidR="008D3ED4" w14:paraId="211FF90F" w14:textId="77777777" w:rsidTr="00031835">
        <w:trPr>
          <w:trHeight w:val="20"/>
        </w:trPr>
        <w:tc>
          <w:tcPr>
            <w:tcW w:w="4928" w:type="dxa"/>
          </w:tcPr>
          <w:p w14:paraId="0000030B" w14:textId="77777777" w:rsidR="008D3ED4" w:rsidRDefault="00031835" w:rsidP="00402831">
            <w:pPr>
              <w:pBdr>
                <w:top w:val="nil"/>
                <w:left w:val="nil"/>
                <w:bottom w:val="nil"/>
                <w:right w:val="nil"/>
                <w:between w:val="nil"/>
              </w:pBdr>
              <w:spacing w:before="100" w:beforeAutospacing="1" w:after="100" w:afterAutospacing="1"/>
              <w:ind w:left="0"/>
              <w:contextualSpacing/>
              <w:rPr>
                <w:szCs w:val="18"/>
              </w:rPr>
            </w:pPr>
            <w:r>
              <w:rPr>
                <w:szCs w:val="18"/>
              </w:rPr>
              <w:t>Patients who had a fatal drug related adverse event, %</w:t>
            </w:r>
          </w:p>
        </w:tc>
        <w:tc>
          <w:tcPr>
            <w:tcW w:w="1158" w:type="dxa"/>
          </w:tcPr>
          <w:p w14:paraId="0000030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2.5</w:t>
            </w:r>
          </w:p>
        </w:tc>
        <w:tc>
          <w:tcPr>
            <w:tcW w:w="1509" w:type="dxa"/>
          </w:tcPr>
          <w:p w14:paraId="0000030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3.0</w:t>
            </w:r>
          </w:p>
        </w:tc>
        <w:tc>
          <w:tcPr>
            <w:tcW w:w="1411" w:type="dxa"/>
          </w:tcPr>
          <w:p w14:paraId="0000030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8.0</w:t>
            </w:r>
          </w:p>
        </w:tc>
      </w:tr>
      <w:tr w:rsidR="008D3ED4" w14:paraId="62A26D18" w14:textId="77777777" w:rsidTr="00031835">
        <w:trPr>
          <w:trHeight w:val="20"/>
        </w:trPr>
        <w:tc>
          <w:tcPr>
            <w:tcW w:w="4928" w:type="dxa"/>
          </w:tcPr>
          <w:p w14:paraId="0000030F" w14:textId="77777777" w:rsidR="008D3ED4" w:rsidRDefault="00031835" w:rsidP="00402831">
            <w:pPr>
              <w:pBdr>
                <w:top w:val="nil"/>
                <w:left w:val="nil"/>
                <w:bottom w:val="nil"/>
                <w:right w:val="nil"/>
                <w:between w:val="nil"/>
              </w:pBdr>
              <w:spacing w:before="100" w:beforeAutospacing="1" w:after="100" w:afterAutospacing="1"/>
              <w:ind w:left="0"/>
              <w:contextualSpacing/>
              <w:rPr>
                <w:szCs w:val="18"/>
              </w:rPr>
            </w:pPr>
            <w:r>
              <w:rPr>
                <w:szCs w:val="18"/>
              </w:rPr>
              <w:t>Fatal AEs considered treatment related, %</w:t>
            </w:r>
          </w:p>
        </w:tc>
        <w:tc>
          <w:tcPr>
            <w:tcW w:w="1158" w:type="dxa"/>
          </w:tcPr>
          <w:p w14:paraId="0000031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1.1</w:t>
            </w:r>
          </w:p>
        </w:tc>
        <w:tc>
          <w:tcPr>
            <w:tcW w:w="1509" w:type="dxa"/>
          </w:tcPr>
          <w:p w14:paraId="0000031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1.4</w:t>
            </w:r>
          </w:p>
        </w:tc>
        <w:tc>
          <w:tcPr>
            <w:tcW w:w="1411" w:type="dxa"/>
          </w:tcPr>
          <w:p w14:paraId="0000031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0</w:t>
            </w:r>
          </w:p>
        </w:tc>
      </w:tr>
      <w:tr w:rsidR="008D3ED4" w14:paraId="0C4017D9" w14:textId="77777777" w:rsidTr="00031835">
        <w:trPr>
          <w:trHeight w:val="20"/>
        </w:trPr>
        <w:tc>
          <w:tcPr>
            <w:tcW w:w="7595" w:type="dxa"/>
            <w:gridSpan w:val="3"/>
          </w:tcPr>
          <w:p w14:paraId="00000313" w14:textId="77777777" w:rsidR="008D3ED4" w:rsidRDefault="00031835" w:rsidP="00402831">
            <w:pPr>
              <w:pBdr>
                <w:top w:val="nil"/>
                <w:left w:val="nil"/>
                <w:bottom w:val="nil"/>
                <w:right w:val="nil"/>
                <w:between w:val="nil"/>
              </w:pBdr>
              <w:spacing w:before="100" w:beforeAutospacing="1" w:after="100" w:afterAutospacing="1"/>
              <w:ind w:left="0"/>
              <w:contextualSpacing/>
              <w:rPr>
                <w:color w:val="385623"/>
                <w:szCs w:val="18"/>
              </w:rPr>
            </w:pPr>
            <w:r>
              <w:rPr>
                <w:b/>
                <w:szCs w:val="18"/>
              </w:rPr>
              <w:t>Serious TEAEs (SAE)</w:t>
            </w:r>
          </w:p>
        </w:tc>
        <w:tc>
          <w:tcPr>
            <w:tcW w:w="1411" w:type="dxa"/>
          </w:tcPr>
          <w:p w14:paraId="00000316" w14:textId="77777777" w:rsidR="008D3ED4" w:rsidRDefault="008D3ED4" w:rsidP="00402831">
            <w:pPr>
              <w:pBdr>
                <w:top w:val="nil"/>
                <w:left w:val="nil"/>
                <w:bottom w:val="nil"/>
                <w:right w:val="nil"/>
                <w:between w:val="nil"/>
              </w:pBdr>
              <w:spacing w:before="100" w:beforeAutospacing="1" w:after="100" w:afterAutospacing="1"/>
              <w:ind w:left="0"/>
              <w:contextualSpacing/>
              <w:rPr>
                <w:b/>
                <w:color w:val="385623"/>
                <w:szCs w:val="18"/>
              </w:rPr>
            </w:pPr>
          </w:p>
        </w:tc>
      </w:tr>
      <w:tr w:rsidR="008D3ED4" w14:paraId="11DFA96A" w14:textId="77777777" w:rsidTr="00031835">
        <w:trPr>
          <w:trHeight w:val="20"/>
        </w:trPr>
        <w:tc>
          <w:tcPr>
            <w:tcW w:w="4928" w:type="dxa"/>
          </w:tcPr>
          <w:p w14:paraId="00000317" w14:textId="77777777" w:rsidR="008D3ED4" w:rsidRDefault="00031835" w:rsidP="00402831">
            <w:pPr>
              <w:pBdr>
                <w:top w:val="nil"/>
                <w:left w:val="nil"/>
                <w:bottom w:val="nil"/>
                <w:right w:val="nil"/>
                <w:between w:val="nil"/>
              </w:pBdr>
              <w:spacing w:before="100" w:beforeAutospacing="1" w:after="100" w:afterAutospacing="1"/>
              <w:ind w:left="0"/>
              <w:contextualSpacing/>
              <w:rPr>
                <w:color w:val="385623"/>
                <w:szCs w:val="18"/>
              </w:rPr>
            </w:pPr>
            <w:r>
              <w:rPr>
                <w:szCs w:val="18"/>
              </w:rPr>
              <w:t>Subjects with at least one SAE, %</w:t>
            </w:r>
          </w:p>
        </w:tc>
        <w:tc>
          <w:tcPr>
            <w:tcW w:w="1158" w:type="dxa"/>
          </w:tcPr>
          <w:p w14:paraId="0000031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30.6</w:t>
            </w:r>
          </w:p>
        </w:tc>
        <w:tc>
          <w:tcPr>
            <w:tcW w:w="1509" w:type="dxa"/>
          </w:tcPr>
          <w:p w14:paraId="0000031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34.0</w:t>
            </w:r>
          </w:p>
        </w:tc>
        <w:tc>
          <w:tcPr>
            <w:tcW w:w="1411" w:type="dxa"/>
          </w:tcPr>
          <w:p w14:paraId="0000031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38.0</w:t>
            </w:r>
          </w:p>
        </w:tc>
      </w:tr>
      <w:tr w:rsidR="008D3ED4" w14:paraId="4C730938" w14:textId="77777777" w:rsidTr="00031835">
        <w:trPr>
          <w:trHeight w:val="20"/>
        </w:trPr>
        <w:tc>
          <w:tcPr>
            <w:tcW w:w="7595" w:type="dxa"/>
            <w:gridSpan w:val="3"/>
          </w:tcPr>
          <w:p w14:paraId="0000031B" w14:textId="77777777" w:rsidR="008D3ED4" w:rsidRDefault="00031835" w:rsidP="00402831">
            <w:pPr>
              <w:pBdr>
                <w:top w:val="nil"/>
                <w:left w:val="nil"/>
                <w:bottom w:val="nil"/>
                <w:right w:val="nil"/>
                <w:between w:val="nil"/>
              </w:pBdr>
              <w:tabs>
                <w:tab w:val="left" w:pos="3148"/>
              </w:tabs>
              <w:spacing w:before="100" w:beforeAutospacing="1" w:after="100" w:afterAutospacing="1"/>
              <w:ind w:left="0"/>
              <w:contextualSpacing/>
              <w:rPr>
                <w:color w:val="7030A0"/>
                <w:szCs w:val="18"/>
              </w:rPr>
            </w:pPr>
            <w:r>
              <w:rPr>
                <w:szCs w:val="18"/>
              </w:rPr>
              <w:t>Most common SAE (&gt;2% of any group or &gt; 2 patients in study G029044):</w:t>
            </w:r>
          </w:p>
        </w:tc>
        <w:tc>
          <w:tcPr>
            <w:tcW w:w="1411" w:type="dxa"/>
          </w:tcPr>
          <w:p w14:paraId="0000031E" w14:textId="77777777" w:rsidR="008D3ED4" w:rsidRDefault="008D3ED4" w:rsidP="00402831">
            <w:pPr>
              <w:pBdr>
                <w:top w:val="nil"/>
                <w:left w:val="nil"/>
                <w:bottom w:val="nil"/>
                <w:right w:val="nil"/>
                <w:between w:val="nil"/>
              </w:pBdr>
              <w:tabs>
                <w:tab w:val="left" w:pos="3148"/>
              </w:tabs>
              <w:spacing w:before="100" w:beforeAutospacing="1" w:after="100" w:afterAutospacing="1"/>
              <w:ind w:left="0"/>
              <w:contextualSpacing/>
              <w:rPr>
                <w:color w:val="385623"/>
                <w:szCs w:val="18"/>
              </w:rPr>
            </w:pPr>
          </w:p>
        </w:tc>
      </w:tr>
      <w:tr w:rsidR="008D3ED4" w14:paraId="74358EA5" w14:textId="77777777" w:rsidTr="00031835">
        <w:trPr>
          <w:trHeight w:val="20"/>
        </w:trPr>
        <w:tc>
          <w:tcPr>
            <w:tcW w:w="4928" w:type="dxa"/>
          </w:tcPr>
          <w:p w14:paraId="0000031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pneumonia, %</w:t>
            </w:r>
          </w:p>
        </w:tc>
        <w:tc>
          <w:tcPr>
            <w:tcW w:w="1158" w:type="dxa"/>
          </w:tcPr>
          <w:p w14:paraId="0000032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3.9</w:t>
            </w:r>
          </w:p>
        </w:tc>
        <w:tc>
          <w:tcPr>
            <w:tcW w:w="1509" w:type="dxa"/>
          </w:tcPr>
          <w:p w14:paraId="0000032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4.1</w:t>
            </w:r>
          </w:p>
        </w:tc>
        <w:tc>
          <w:tcPr>
            <w:tcW w:w="1411" w:type="dxa"/>
          </w:tcPr>
          <w:p w14:paraId="0000032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4.0</w:t>
            </w:r>
          </w:p>
        </w:tc>
      </w:tr>
      <w:tr w:rsidR="008D3ED4" w14:paraId="45AE3FF6" w14:textId="77777777" w:rsidTr="00031835">
        <w:trPr>
          <w:trHeight w:val="20"/>
        </w:trPr>
        <w:tc>
          <w:tcPr>
            <w:tcW w:w="4928" w:type="dxa"/>
          </w:tcPr>
          <w:p w14:paraId="0000032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febrile neutropenia, %</w:t>
            </w:r>
          </w:p>
        </w:tc>
        <w:tc>
          <w:tcPr>
            <w:tcW w:w="1158" w:type="dxa"/>
          </w:tcPr>
          <w:p w14:paraId="0000032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6.4</w:t>
            </w:r>
          </w:p>
        </w:tc>
        <w:tc>
          <w:tcPr>
            <w:tcW w:w="1509" w:type="dxa"/>
          </w:tcPr>
          <w:p w14:paraId="0000032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9.9</w:t>
            </w:r>
          </w:p>
        </w:tc>
        <w:tc>
          <w:tcPr>
            <w:tcW w:w="1411" w:type="dxa"/>
          </w:tcPr>
          <w:p w14:paraId="0000032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8.0</w:t>
            </w:r>
          </w:p>
        </w:tc>
      </w:tr>
      <w:tr w:rsidR="008D3ED4" w14:paraId="48D8891F" w14:textId="77777777" w:rsidTr="00031835">
        <w:trPr>
          <w:trHeight w:val="20"/>
        </w:trPr>
        <w:tc>
          <w:tcPr>
            <w:tcW w:w="4928" w:type="dxa"/>
          </w:tcPr>
          <w:p w14:paraId="0000032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Diarrhoea, %</w:t>
            </w:r>
          </w:p>
        </w:tc>
        <w:tc>
          <w:tcPr>
            <w:tcW w:w="1158" w:type="dxa"/>
          </w:tcPr>
          <w:p w14:paraId="0000032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0.5</w:t>
            </w:r>
          </w:p>
        </w:tc>
        <w:tc>
          <w:tcPr>
            <w:tcW w:w="1509" w:type="dxa"/>
          </w:tcPr>
          <w:p w14:paraId="0000032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2.5</w:t>
            </w:r>
          </w:p>
        </w:tc>
        <w:tc>
          <w:tcPr>
            <w:tcW w:w="1411" w:type="dxa"/>
          </w:tcPr>
          <w:p w14:paraId="0000032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2.0</w:t>
            </w:r>
          </w:p>
        </w:tc>
      </w:tr>
      <w:tr w:rsidR="008D3ED4" w14:paraId="3611526A" w14:textId="77777777" w:rsidTr="00031835">
        <w:trPr>
          <w:trHeight w:val="20"/>
        </w:trPr>
        <w:tc>
          <w:tcPr>
            <w:tcW w:w="4928" w:type="dxa"/>
          </w:tcPr>
          <w:p w14:paraId="0000032B" w14:textId="77777777" w:rsidR="008D3ED4" w:rsidRDefault="00031835" w:rsidP="00402831">
            <w:pPr>
              <w:pBdr>
                <w:top w:val="nil"/>
                <w:left w:val="nil"/>
                <w:bottom w:val="nil"/>
                <w:right w:val="nil"/>
                <w:between w:val="nil"/>
              </w:pBdr>
              <w:spacing w:before="100" w:beforeAutospacing="1" w:after="100" w:afterAutospacing="1"/>
              <w:ind w:left="0" w:right="57"/>
              <w:contextualSpacing/>
              <w:rPr>
                <w:szCs w:val="18"/>
              </w:rPr>
            </w:pPr>
            <w:r>
              <w:rPr>
                <w:szCs w:val="18"/>
              </w:rPr>
              <w:t xml:space="preserve">Treatment related </w:t>
            </w:r>
            <w:r>
              <w:rPr>
                <w:szCs w:val="18"/>
              </w:rPr>
              <w:t>SAEs, %</w:t>
            </w:r>
          </w:p>
        </w:tc>
        <w:tc>
          <w:tcPr>
            <w:tcW w:w="1158" w:type="dxa"/>
          </w:tcPr>
          <w:p w14:paraId="0000032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19.6</w:t>
            </w:r>
          </w:p>
        </w:tc>
        <w:tc>
          <w:tcPr>
            <w:tcW w:w="1509" w:type="dxa"/>
          </w:tcPr>
          <w:p w14:paraId="0000032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25.7</w:t>
            </w:r>
          </w:p>
        </w:tc>
        <w:tc>
          <w:tcPr>
            <w:tcW w:w="1411" w:type="dxa"/>
          </w:tcPr>
          <w:p w14:paraId="0000032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22.0</w:t>
            </w:r>
          </w:p>
        </w:tc>
      </w:tr>
      <w:tr w:rsidR="008D3ED4" w14:paraId="5193726A" w14:textId="77777777" w:rsidTr="00031835">
        <w:trPr>
          <w:trHeight w:val="20"/>
        </w:trPr>
        <w:tc>
          <w:tcPr>
            <w:tcW w:w="7595" w:type="dxa"/>
            <w:gridSpan w:val="3"/>
          </w:tcPr>
          <w:p w14:paraId="0000032F" w14:textId="77777777" w:rsidR="008D3ED4" w:rsidRDefault="00031835" w:rsidP="00402831">
            <w:pPr>
              <w:pBdr>
                <w:top w:val="nil"/>
                <w:left w:val="nil"/>
                <w:bottom w:val="nil"/>
                <w:right w:val="nil"/>
                <w:between w:val="nil"/>
              </w:pBdr>
              <w:spacing w:before="100" w:beforeAutospacing="1" w:after="100" w:afterAutospacing="1"/>
              <w:ind w:left="0"/>
              <w:contextualSpacing/>
              <w:rPr>
                <w:b/>
                <w:szCs w:val="18"/>
              </w:rPr>
            </w:pPr>
            <w:r>
              <w:rPr>
                <w:b/>
                <w:szCs w:val="18"/>
              </w:rPr>
              <w:t>Higher grade TEAEs</w:t>
            </w:r>
          </w:p>
        </w:tc>
        <w:tc>
          <w:tcPr>
            <w:tcW w:w="1411" w:type="dxa"/>
          </w:tcPr>
          <w:p w14:paraId="00000332" w14:textId="77777777" w:rsidR="008D3ED4" w:rsidRDefault="008D3ED4" w:rsidP="00402831">
            <w:pPr>
              <w:pBdr>
                <w:top w:val="nil"/>
                <w:left w:val="nil"/>
                <w:bottom w:val="nil"/>
                <w:right w:val="nil"/>
                <w:between w:val="nil"/>
              </w:pBdr>
              <w:spacing w:before="100" w:beforeAutospacing="1" w:after="100" w:afterAutospacing="1"/>
              <w:ind w:left="0"/>
              <w:contextualSpacing/>
              <w:rPr>
                <w:b/>
                <w:szCs w:val="18"/>
              </w:rPr>
            </w:pPr>
          </w:p>
        </w:tc>
      </w:tr>
      <w:tr w:rsidR="008D3ED4" w14:paraId="20993868" w14:textId="77777777" w:rsidTr="00031835">
        <w:trPr>
          <w:trHeight w:val="20"/>
        </w:trPr>
        <w:tc>
          <w:tcPr>
            <w:tcW w:w="4928" w:type="dxa"/>
          </w:tcPr>
          <w:p w14:paraId="00000333" w14:textId="77777777" w:rsidR="008D3ED4" w:rsidRDefault="00031835" w:rsidP="00402831">
            <w:pPr>
              <w:pBdr>
                <w:top w:val="nil"/>
                <w:left w:val="nil"/>
                <w:bottom w:val="nil"/>
                <w:right w:val="nil"/>
                <w:between w:val="nil"/>
              </w:pBdr>
              <w:spacing w:before="100" w:beforeAutospacing="1" w:after="100" w:afterAutospacing="1"/>
              <w:ind w:left="0"/>
              <w:contextualSpacing/>
              <w:rPr>
                <w:szCs w:val="18"/>
              </w:rPr>
            </w:pPr>
            <w:r>
              <w:rPr>
                <w:szCs w:val="18"/>
              </w:rPr>
              <w:t>Subjects with at least ≥1 Grade 3 AE, %</w:t>
            </w:r>
          </w:p>
        </w:tc>
        <w:tc>
          <w:tcPr>
            <w:tcW w:w="1158" w:type="dxa"/>
          </w:tcPr>
          <w:p w14:paraId="0000033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59.8</w:t>
            </w:r>
          </w:p>
        </w:tc>
        <w:tc>
          <w:tcPr>
            <w:tcW w:w="1509" w:type="dxa"/>
          </w:tcPr>
          <w:p w14:paraId="0000033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60.7</w:t>
            </w:r>
          </w:p>
        </w:tc>
        <w:tc>
          <w:tcPr>
            <w:tcW w:w="1411" w:type="dxa"/>
          </w:tcPr>
          <w:p w14:paraId="0000033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62.0</w:t>
            </w:r>
          </w:p>
        </w:tc>
      </w:tr>
      <w:tr w:rsidR="008D3ED4" w14:paraId="3115B6D6" w14:textId="77777777" w:rsidTr="00031835">
        <w:trPr>
          <w:trHeight w:val="20"/>
        </w:trPr>
        <w:tc>
          <w:tcPr>
            <w:tcW w:w="7595" w:type="dxa"/>
            <w:gridSpan w:val="3"/>
          </w:tcPr>
          <w:p w14:paraId="00000337" w14:textId="77777777" w:rsidR="008D3ED4" w:rsidRDefault="00031835" w:rsidP="00402831">
            <w:pPr>
              <w:pBdr>
                <w:top w:val="nil"/>
                <w:left w:val="nil"/>
                <w:bottom w:val="nil"/>
                <w:right w:val="nil"/>
                <w:between w:val="nil"/>
              </w:pBdr>
              <w:spacing w:before="100" w:beforeAutospacing="1" w:after="100" w:afterAutospacing="1"/>
              <w:ind w:left="0"/>
              <w:contextualSpacing/>
              <w:rPr>
                <w:color w:val="7030A0"/>
                <w:szCs w:val="18"/>
              </w:rPr>
            </w:pPr>
            <w:r>
              <w:rPr>
                <w:szCs w:val="18"/>
              </w:rPr>
              <w:t>Most common Grade 3-4 AEs (≥3% in any group):</w:t>
            </w:r>
          </w:p>
        </w:tc>
        <w:tc>
          <w:tcPr>
            <w:tcW w:w="1411" w:type="dxa"/>
          </w:tcPr>
          <w:p w14:paraId="0000033A" w14:textId="77777777" w:rsidR="008D3ED4" w:rsidRDefault="008D3ED4" w:rsidP="00402831">
            <w:pPr>
              <w:pBdr>
                <w:top w:val="nil"/>
                <w:left w:val="nil"/>
                <w:bottom w:val="nil"/>
                <w:right w:val="nil"/>
                <w:between w:val="nil"/>
              </w:pBdr>
              <w:spacing w:before="100" w:beforeAutospacing="1" w:after="100" w:afterAutospacing="1"/>
              <w:ind w:left="0"/>
              <w:contextualSpacing/>
              <w:rPr>
                <w:color w:val="7030A0"/>
                <w:szCs w:val="18"/>
              </w:rPr>
            </w:pPr>
          </w:p>
        </w:tc>
      </w:tr>
      <w:tr w:rsidR="008D3ED4" w14:paraId="29140D67" w14:textId="77777777" w:rsidTr="00031835">
        <w:trPr>
          <w:trHeight w:val="20"/>
        </w:trPr>
        <w:tc>
          <w:tcPr>
            <w:tcW w:w="4928" w:type="dxa"/>
          </w:tcPr>
          <w:p w14:paraId="0000033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neutropenia, %</w:t>
            </w:r>
          </w:p>
        </w:tc>
        <w:tc>
          <w:tcPr>
            <w:tcW w:w="1158" w:type="dxa"/>
          </w:tcPr>
          <w:p w14:paraId="0000033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30.8</w:t>
            </w:r>
          </w:p>
        </w:tc>
        <w:tc>
          <w:tcPr>
            <w:tcW w:w="1509" w:type="dxa"/>
          </w:tcPr>
          <w:p w14:paraId="0000033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28.3</w:t>
            </w:r>
          </w:p>
        </w:tc>
        <w:tc>
          <w:tcPr>
            <w:tcW w:w="1411" w:type="dxa"/>
          </w:tcPr>
          <w:p w14:paraId="0000033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26.0</w:t>
            </w:r>
          </w:p>
        </w:tc>
      </w:tr>
      <w:tr w:rsidR="008D3ED4" w14:paraId="01530436" w14:textId="77777777" w:rsidTr="00031835">
        <w:trPr>
          <w:trHeight w:val="20"/>
        </w:trPr>
        <w:tc>
          <w:tcPr>
            <w:tcW w:w="4928" w:type="dxa"/>
          </w:tcPr>
          <w:p w14:paraId="0000033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Febrile neutropenia, %</w:t>
            </w:r>
          </w:p>
        </w:tc>
        <w:tc>
          <w:tcPr>
            <w:tcW w:w="1158" w:type="dxa"/>
          </w:tcPr>
          <w:p w14:paraId="0000034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8.0</w:t>
            </w:r>
          </w:p>
        </w:tc>
        <w:tc>
          <w:tcPr>
            <w:tcW w:w="1509" w:type="dxa"/>
          </w:tcPr>
          <w:p w14:paraId="0000034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13.8</w:t>
            </w:r>
          </w:p>
        </w:tc>
        <w:tc>
          <w:tcPr>
            <w:tcW w:w="1411" w:type="dxa"/>
          </w:tcPr>
          <w:p w14:paraId="0000034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12.0</w:t>
            </w:r>
          </w:p>
        </w:tc>
      </w:tr>
      <w:tr w:rsidR="008D3ED4" w14:paraId="68D52C49" w14:textId="77777777" w:rsidTr="00031835">
        <w:trPr>
          <w:trHeight w:val="20"/>
        </w:trPr>
        <w:tc>
          <w:tcPr>
            <w:tcW w:w="4928" w:type="dxa"/>
          </w:tcPr>
          <w:p w14:paraId="0000034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anaemia %</w:t>
            </w:r>
          </w:p>
        </w:tc>
        <w:tc>
          <w:tcPr>
            <w:tcW w:w="1158" w:type="dxa"/>
          </w:tcPr>
          <w:p w14:paraId="0000034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8.4</w:t>
            </w:r>
          </w:p>
        </w:tc>
        <w:tc>
          <w:tcPr>
            <w:tcW w:w="1509" w:type="dxa"/>
          </w:tcPr>
          <w:p w14:paraId="0000034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12.0</w:t>
            </w:r>
          </w:p>
        </w:tc>
        <w:tc>
          <w:tcPr>
            <w:tcW w:w="1411" w:type="dxa"/>
          </w:tcPr>
          <w:p w14:paraId="0000034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4.5</w:t>
            </w:r>
          </w:p>
        </w:tc>
      </w:tr>
      <w:tr w:rsidR="008D3ED4" w14:paraId="5510CDDA" w14:textId="77777777" w:rsidTr="00031835">
        <w:trPr>
          <w:trHeight w:val="20"/>
        </w:trPr>
        <w:tc>
          <w:tcPr>
            <w:tcW w:w="4928" w:type="dxa"/>
          </w:tcPr>
          <w:p w14:paraId="0000034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Neutrophil count decreased, %</w:t>
            </w:r>
          </w:p>
        </w:tc>
        <w:tc>
          <w:tcPr>
            <w:tcW w:w="1158" w:type="dxa"/>
          </w:tcPr>
          <w:p w14:paraId="0000034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6.4</w:t>
            </w:r>
          </w:p>
        </w:tc>
        <w:tc>
          <w:tcPr>
            <w:tcW w:w="1509" w:type="dxa"/>
          </w:tcPr>
          <w:p w14:paraId="0000034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6.9</w:t>
            </w:r>
          </w:p>
        </w:tc>
        <w:tc>
          <w:tcPr>
            <w:tcW w:w="1411" w:type="dxa"/>
          </w:tcPr>
          <w:p w14:paraId="0000034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0</w:t>
            </w:r>
          </w:p>
        </w:tc>
      </w:tr>
      <w:tr w:rsidR="008D3ED4" w14:paraId="00B607A1" w14:textId="77777777" w:rsidTr="00031835">
        <w:trPr>
          <w:trHeight w:val="20"/>
        </w:trPr>
        <w:tc>
          <w:tcPr>
            <w:tcW w:w="4928" w:type="dxa"/>
          </w:tcPr>
          <w:p w14:paraId="0000034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leukopenia, %</w:t>
            </w:r>
          </w:p>
        </w:tc>
        <w:tc>
          <w:tcPr>
            <w:tcW w:w="1158" w:type="dxa"/>
          </w:tcPr>
          <w:p w14:paraId="0000034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6.8</w:t>
            </w:r>
          </w:p>
        </w:tc>
        <w:tc>
          <w:tcPr>
            <w:tcW w:w="1509" w:type="dxa"/>
          </w:tcPr>
          <w:p w14:paraId="0000034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5.7</w:t>
            </w:r>
          </w:p>
        </w:tc>
        <w:tc>
          <w:tcPr>
            <w:tcW w:w="1411" w:type="dxa"/>
          </w:tcPr>
          <w:p w14:paraId="0000034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10.0</w:t>
            </w:r>
          </w:p>
        </w:tc>
      </w:tr>
      <w:tr w:rsidR="008D3ED4" w14:paraId="624F6063" w14:textId="77777777" w:rsidTr="00031835">
        <w:trPr>
          <w:trHeight w:val="20"/>
        </w:trPr>
        <w:tc>
          <w:tcPr>
            <w:tcW w:w="4928" w:type="dxa"/>
          </w:tcPr>
          <w:p w14:paraId="0000034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thrombocytopenia, %</w:t>
            </w:r>
          </w:p>
        </w:tc>
        <w:tc>
          <w:tcPr>
            <w:tcW w:w="1158" w:type="dxa"/>
          </w:tcPr>
          <w:p w14:paraId="0000035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4.3</w:t>
            </w:r>
          </w:p>
        </w:tc>
        <w:tc>
          <w:tcPr>
            <w:tcW w:w="1509" w:type="dxa"/>
          </w:tcPr>
          <w:p w14:paraId="0000035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3.2</w:t>
            </w:r>
          </w:p>
        </w:tc>
        <w:tc>
          <w:tcPr>
            <w:tcW w:w="1411" w:type="dxa"/>
          </w:tcPr>
          <w:p w14:paraId="0000035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6.0</w:t>
            </w:r>
          </w:p>
        </w:tc>
      </w:tr>
      <w:tr w:rsidR="008D3ED4" w14:paraId="1A3198F3" w14:textId="77777777" w:rsidTr="00031835">
        <w:trPr>
          <w:trHeight w:val="20"/>
        </w:trPr>
        <w:tc>
          <w:tcPr>
            <w:tcW w:w="4928" w:type="dxa"/>
          </w:tcPr>
          <w:p w14:paraId="0000035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White blood cell decreased, %</w:t>
            </w:r>
          </w:p>
        </w:tc>
        <w:tc>
          <w:tcPr>
            <w:tcW w:w="1158" w:type="dxa"/>
          </w:tcPr>
          <w:p w14:paraId="0000035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3.2</w:t>
            </w:r>
          </w:p>
        </w:tc>
        <w:tc>
          <w:tcPr>
            <w:tcW w:w="1509" w:type="dxa"/>
          </w:tcPr>
          <w:p w14:paraId="0000035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4.1</w:t>
            </w:r>
          </w:p>
        </w:tc>
        <w:tc>
          <w:tcPr>
            <w:tcW w:w="1411" w:type="dxa"/>
          </w:tcPr>
          <w:p w14:paraId="0000035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color w:val="7030A0"/>
                <w:szCs w:val="18"/>
              </w:rPr>
            </w:pPr>
            <w:r>
              <w:rPr>
                <w:szCs w:val="18"/>
              </w:rPr>
              <w:t>3.0</w:t>
            </w:r>
          </w:p>
        </w:tc>
      </w:tr>
      <w:tr w:rsidR="008D3ED4" w14:paraId="7BC55F31" w14:textId="77777777" w:rsidTr="00031835">
        <w:trPr>
          <w:trHeight w:val="20"/>
        </w:trPr>
        <w:tc>
          <w:tcPr>
            <w:tcW w:w="4928" w:type="dxa"/>
          </w:tcPr>
          <w:p w14:paraId="0000035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pneumonia, %</w:t>
            </w:r>
          </w:p>
        </w:tc>
        <w:tc>
          <w:tcPr>
            <w:tcW w:w="1158" w:type="dxa"/>
          </w:tcPr>
          <w:p w14:paraId="0000035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3.9</w:t>
            </w:r>
          </w:p>
        </w:tc>
        <w:tc>
          <w:tcPr>
            <w:tcW w:w="1509" w:type="dxa"/>
          </w:tcPr>
          <w:p w14:paraId="0000035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3.2</w:t>
            </w:r>
          </w:p>
        </w:tc>
        <w:tc>
          <w:tcPr>
            <w:tcW w:w="1411" w:type="dxa"/>
          </w:tcPr>
          <w:p w14:paraId="0000035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4.0</w:t>
            </w:r>
          </w:p>
        </w:tc>
      </w:tr>
      <w:tr w:rsidR="008D3ED4" w14:paraId="5DE1CE7D" w14:textId="77777777" w:rsidTr="00031835">
        <w:trPr>
          <w:trHeight w:val="20"/>
        </w:trPr>
        <w:tc>
          <w:tcPr>
            <w:tcW w:w="4928" w:type="dxa"/>
          </w:tcPr>
          <w:p w14:paraId="0000035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Lymphocyte count decreased, %</w:t>
            </w:r>
          </w:p>
        </w:tc>
        <w:tc>
          <w:tcPr>
            <w:tcW w:w="1158" w:type="dxa"/>
          </w:tcPr>
          <w:p w14:paraId="0000035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3.4</w:t>
            </w:r>
          </w:p>
        </w:tc>
        <w:tc>
          <w:tcPr>
            <w:tcW w:w="1509" w:type="dxa"/>
          </w:tcPr>
          <w:p w14:paraId="0000035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3.0</w:t>
            </w:r>
          </w:p>
        </w:tc>
        <w:tc>
          <w:tcPr>
            <w:tcW w:w="1411" w:type="dxa"/>
          </w:tcPr>
          <w:p w14:paraId="0000035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2.0</w:t>
            </w:r>
          </w:p>
        </w:tc>
      </w:tr>
      <w:tr w:rsidR="008D3ED4" w14:paraId="3ABB7CA2" w14:textId="77777777" w:rsidTr="00031835">
        <w:trPr>
          <w:trHeight w:val="20"/>
        </w:trPr>
        <w:tc>
          <w:tcPr>
            <w:tcW w:w="4928" w:type="dxa"/>
          </w:tcPr>
          <w:p w14:paraId="0000035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Diarrhoea, %</w:t>
            </w:r>
          </w:p>
        </w:tc>
        <w:tc>
          <w:tcPr>
            <w:tcW w:w="1158" w:type="dxa"/>
          </w:tcPr>
          <w:p w14:paraId="00000360"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1.8</w:t>
            </w:r>
          </w:p>
        </w:tc>
        <w:tc>
          <w:tcPr>
            <w:tcW w:w="1509" w:type="dxa"/>
          </w:tcPr>
          <w:p w14:paraId="00000361"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3.9</w:t>
            </w:r>
          </w:p>
        </w:tc>
        <w:tc>
          <w:tcPr>
            <w:tcW w:w="1411" w:type="dxa"/>
          </w:tcPr>
          <w:p w14:paraId="0000036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2.0</w:t>
            </w:r>
          </w:p>
        </w:tc>
      </w:tr>
      <w:tr w:rsidR="008D3ED4" w14:paraId="45A929EB" w14:textId="77777777" w:rsidTr="00031835">
        <w:trPr>
          <w:trHeight w:val="20"/>
        </w:trPr>
        <w:tc>
          <w:tcPr>
            <w:tcW w:w="4928" w:type="dxa"/>
          </w:tcPr>
          <w:p w14:paraId="0000036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b/>
                <w:szCs w:val="18"/>
              </w:rPr>
            </w:pPr>
            <w:r>
              <w:rPr>
                <w:b/>
                <w:szCs w:val="18"/>
              </w:rPr>
              <w:t xml:space="preserve">AEs </w:t>
            </w:r>
            <w:r>
              <w:rPr>
                <w:b/>
                <w:szCs w:val="18"/>
              </w:rPr>
              <w:t>leading to study discontinuation (%)</w:t>
            </w:r>
          </w:p>
        </w:tc>
        <w:tc>
          <w:tcPr>
            <w:tcW w:w="1158" w:type="dxa"/>
          </w:tcPr>
          <w:p w14:paraId="00000364"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2.3</w:t>
            </w:r>
          </w:p>
        </w:tc>
        <w:tc>
          <w:tcPr>
            <w:tcW w:w="1509" w:type="dxa"/>
          </w:tcPr>
          <w:p w14:paraId="00000365"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3.0</w:t>
            </w:r>
          </w:p>
        </w:tc>
        <w:tc>
          <w:tcPr>
            <w:tcW w:w="1411" w:type="dxa"/>
          </w:tcPr>
          <w:p w14:paraId="00000366"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4.0</w:t>
            </w:r>
          </w:p>
        </w:tc>
      </w:tr>
      <w:tr w:rsidR="008D3ED4" w14:paraId="05B9F8C3" w14:textId="77777777" w:rsidTr="00031835">
        <w:trPr>
          <w:trHeight w:val="20"/>
        </w:trPr>
        <w:tc>
          <w:tcPr>
            <w:tcW w:w="4928" w:type="dxa"/>
          </w:tcPr>
          <w:p w14:paraId="0000036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b/>
                <w:szCs w:val="18"/>
              </w:rPr>
              <w:t>AEs leading to any study dose discontinuation (%)</w:t>
            </w:r>
          </w:p>
        </w:tc>
        <w:tc>
          <w:tcPr>
            <w:tcW w:w="1158" w:type="dxa"/>
          </w:tcPr>
          <w:p w14:paraId="0000036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6.6</w:t>
            </w:r>
          </w:p>
        </w:tc>
        <w:tc>
          <w:tcPr>
            <w:tcW w:w="1509" w:type="dxa"/>
          </w:tcPr>
          <w:p w14:paraId="00000369"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6.2</w:t>
            </w:r>
          </w:p>
        </w:tc>
        <w:tc>
          <w:tcPr>
            <w:tcW w:w="1411" w:type="dxa"/>
          </w:tcPr>
          <w:p w14:paraId="0000036A"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8.0</w:t>
            </w:r>
          </w:p>
        </w:tc>
      </w:tr>
      <w:tr w:rsidR="008D3ED4" w14:paraId="4A8902E4" w14:textId="77777777" w:rsidTr="00031835">
        <w:trPr>
          <w:trHeight w:val="1033"/>
        </w:trPr>
        <w:tc>
          <w:tcPr>
            <w:tcW w:w="4928" w:type="dxa"/>
          </w:tcPr>
          <w:p w14:paraId="0000036B"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b/>
                <w:szCs w:val="18"/>
              </w:rPr>
            </w:pPr>
            <w:r>
              <w:rPr>
                <w:szCs w:val="18"/>
              </w:rPr>
              <w:lastRenderedPageBreak/>
              <w:t>Polatuzumab vedotin/placebo discontinuation</w:t>
            </w:r>
          </w:p>
          <w:p w14:paraId="0000036C"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Vincristine/placebo discontinuation</w:t>
            </w:r>
          </w:p>
          <w:p w14:paraId="0000036D"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b/>
                <w:szCs w:val="18"/>
              </w:rPr>
            </w:pPr>
            <w:r>
              <w:rPr>
                <w:szCs w:val="18"/>
              </w:rPr>
              <w:t>Rituximab discontinuation</w:t>
            </w:r>
          </w:p>
        </w:tc>
        <w:tc>
          <w:tcPr>
            <w:tcW w:w="1158" w:type="dxa"/>
          </w:tcPr>
          <w:p w14:paraId="0000036E"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5.0</w:t>
            </w:r>
          </w:p>
          <w:p w14:paraId="0000036F"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5.0</w:t>
            </w:r>
          </w:p>
          <w:p w14:paraId="00000370"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4.8</w:t>
            </w:r>
          </w:p>
        </w:tc>
        <w:tc>
          <w:tcPr>
            <w:tcW w:w="1509" w:type="dxa"/>
          </w:tcPr>
          <w:p w14:paraId="00000371"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4.4</w:t>
            </w:r>
          </w:p>
          <w:p w14:paraId="00000372"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4.4</w:t>
            </w:r>
          </w:p>
          <w:p w14:paraId="00000373"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4.6</w:t>
            </w:r>
          </w:p>
        </w:tc>
        <w:tc>
          <w:tcPr>
            <w:tcW w:w="1411" w:type="dxa"/>
          </w:tcPr>
          <w:p w14:paraId="00000374"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4.4</w:t>
            </w:r>
          </w:p>
          <w:p w14:paraId="00000375"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4.4</w:t>
            </w:r>
          </w:p>
          <w:p w14:paraId="00000376"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center"/>
              <w:rPr>
                <w:szCs w:val="18"/>
              </w:rPr>
            </w:pPr>
            <w:r>
              <w:rPr>
                <w:szCs w:val="18"/>
              </w:rPr>
              <w:t>4.6</w:t>
            </w:r>
          </w:p>
        </w:tc>
      </w:tr>
      <w:tr w:rsidR="008D3ED4" w14:paraId="0540CB8F" w14:textId="77777777" w:rsidTr="00031835">
        <w:trPr>
          <w:trHeight w:val="20"/>
        </w:trPr>
        <w:tc>
          <w:tcPr>
            <w:tcW w:w="4928" w:type="dxa"/>
          </w:tcPr>
          <w:p w14:paraId="00000377"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b/>
                <w:szCs w:val="18"/>
              </w:rPr>
            </w:pPr>
            <w:r>
              <w:rPr>
                <w:b/>
                <w:szCs w:val="18"/>
              </w:rPr>
              <w:t>AEs leading to any study treatment dose reduction (%)</w:t>
            </w:r>
          </w:p>
          <w:p w14:paraId="00000378"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szCs w:val="18"/>
              </w:rPr>
            </w:pPr>
            <w:r>
              <w:rPr>
                <w:szCs w:val="18"/>
              </w:rPr>
              <w:t>Polatuzumab vedotin/placebo dose reduction</w:t>
            </w:r>
          </w:p>
          <w:p w14:paraId="00000379"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b/>
                <w:szCs w:val="18"/>
              </w:rPr>
            </w:pPr>
            <w:r>
              <w:rPr>
                <w:szCs w:val="18"/>
              </w:rPr>
              <w:t>Vincristine/placebo dose reduction</w:t>
            </w:r>
          </w:p>
        </w:tc>
        <w:tc>
          <w:tcPr>
            <w:tcW w:w="1158" w:type="dxa"/>
          </w:tcPr>
          <w:p w14:paraId="0000037A"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13.0</w:t>
            </w:r>
          </w:p>
          <w:p w14:paraId="0000037B"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10.3</w:t>
            </w:r>
          </w:p>
          <w:p w14:paraId="0000037C"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10.3</w:t>
            </w:r>
          </w:p>
        </w:tc>
        <w:tc>
          <w:tcPr>
            <w:tcW w:w="1509" w:type="dxa"/>
          </w:tcPr>
          <w:p w14:paraId="0000037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9.2</w:t>
            </w:r>
          </w:p>
          <w:p w14:paraId="0000037E"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5.5</w:t>
            </w:r>
          </w:p>
          <w:p w14:paraId="0000037F"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5.5</w:t>
            </w:r>
          </w:p>
        </w:tc>
        <w:tc>
          <w:tcPr>
            <w:tcW w:w="1411" w:type="dxa"/>
          </w:tcPr>
          <w:p w14:paraId="00000380" w14:textId="77777777" w:rsidR="008D3ED4" w:rsidRDefault="008D3ED4" w:rsidP="00402831">
            <w:pPr>
              <w:pBdr>
                <w:top w:val="nil"/>
                <w:left w:val="nil"/>
                <w:bottom w:val="nil"/>
                <w:right w:val="nil"/>
                <w:between w:val="nil"/>
              </w:pBdr>
              <w:spacing w:before="100" w:beforeAutospacing="1" w:after="100" w:afterAutospacing="1"/>
              <w:ind w:left="0"/>
              <w:contextualSpacing/>
              <w:jc w:val="center"/>
              <w:rPr>
                <w:szCs w:val="18"/>
              </w:rPr>
            </w:pPr>
          </w:p>
          <w:p w14:paraId="00000381" w14:textId="77777777" w:rsidR="008D3ED4" w:rsidRDefault="008D3ED4" w:rsidP="00402831">
            <w:pPr>
              <w:pBdr>
                <w:top w:val="nil"/>
                <w:left w:val="nil"/>
                <w:bottom w:val="nil"/>
                <w:right w:val="nil"/>
                <w:between w:val="nil"/>
              </w:pBdr>
              <w:spacing w:before="100" w:beforeAutospacing="1" w:after="100" w:afterAutospacing="1"/>
              <w:ind w:left="0"/>
              <w:contextualSpacing/>
              <w:jc w:val="center"/>
              <w:rPr>
                <w:szCs w:val="18"/>
              </w:rPr>
            </w:pPr>
          </w:p>
          <w:p w14:paraId="00000382"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10.0</w:t>
            </w:r>
          </w:p>
          <w:p w14:paraId="00000383" w14:textId="77777777" w:rsidR="008D3ED4" w:rsidRDefault="008D3ED4" w:rsidP="00402831">
            <w:pPr>
              <w:pBdr>
                <w:top w:val="nil"/>
                <w:left w:val="nil"/>
                <w:bottom w:val="nil"/>
                <w:right w:val="nil"/>
                <w:between w:val="nil"/>
              </w:pBdr>
              <w:spacing w:before="100" w:beforeAutospacing="1" w:after="100" w:afterAutospacing="1"/>
              <w:ind w:left="0"/>
              <w:contextualSpacing/>
              <w:jc w:val="center"/>
              <w:rPr>
                <w:szCs w:val="18"/>
              </w:rPr>
            </w:pPr>
          </w:p>
          <w:p w14:paraId="00000384"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w:t>
            </w:r>
          </w:p>
        </w:tc>
      </w:tr>
      <w:tr w:rsidR="008D3ED4" w14:paraId="21CDE18D" w14:textId="77777777" w:rsidTr="00031835">
        <w:trPr>
          <w:trHeight w:val="20"/>
        </w:trPr>
        <w:tc>
          <w:tcPr>
            <w:tcW w:w="4928" w:type="dxa"/>
          </w:tcPr>
          <w:p w14:paraId="00000385" w14:textId="77777777" w:rsidR="008D3ED4" w:rsidRDefault="00031835" w:rsidP="00402831">
            <w:pPr>
              <w:pBdr>
                <w:top w:val="nil"/>
                <w:left w:val="nil"/>
                <w:bottom w:val="nil"/>
                <w:right w:val="nil"/>
                <w:between w:val="nil"/>
              </w:pBdr>
              <w:spacing w:before="100" w:beforeAutospacing="1" w:after="100" w:afterAutospacing="1"/>
              <w:ind w:left="0" w:right="57"/>
              <w:contextualSpacing/>
              <w:jc w:val="right"/>
              <w:rPr>
                <w:b/>
                <w:szCs w:val="18"/>
              </w:rPr>
            </w:pPr>
            <w:r>
              <w:rPr>
                <w:b/>
                <w:szCs w:val="18"/>
              </w:rPr>
              <w:t>AE leading to any study treatment dose interruption (%)</w:t>
            </w:r>
          </w:p>
          <w:p w14:paraId="00000386" w14:textId="77777777" w:rsidR="008D3ED4" w:rsidRPr="00AF1566" w:rsidRDefault="00031835" w:rsidP="00402831">
            <w:pPr>
              <w:pBdr>
                <w:top w:val="nil"/>
                <w:left w:val="nil"/>
                <w:bottom w:val="nil"/>
                <w:right w:val="nil"/>
                <w:between w:val="nil"/>
              </w:pBdr>
              <w:spacing w:before="100" w:beforeAutospacing="1" w:after="100" w:afterAutospacing="1"/>
              <w:ind w:left="0" w:right="57"/>
              <w:contextualSpacing/>
              <w:jc w:val="right"/>
              <w:rPr>
                <w:szCs w:val="18"/>
                <w:lang w:val="fr-CH"/>
              </w:rPr>
            </w:pPr>
            <w:r w:rsidRPr="00AF1566">
              <w:rPr>
                <w:szCs w:val="18"/>
                <w:lang w:val="fr-CH"/>
              </w:rPr>
              <w:t xml:space="preserve">Polatuzumab </w:t>
            </w:r>
            <w:r w:rsidRPr="00AF1566">
              <w:rPr>
                <w:szCs w:val="18"/>
                <w:lang w:val="fr-CH"/>
              </w:rPr>
              <w:t>vedotin/placebo dose interruption</w:t>
            </w:r>
          </w:p>
          <w:p w14:paraId="00000387" w14:textId="77777777" w:rsidR="008D3ED4" w:rsidRPr="00AF1566" w:rsidRDefault="00031835" w:rsidP="00402831">
            <w:pPr>
              <w:pBdr>
                <w:top w:val="nil"/>
                <w:left w:val="nil"/>
                <w:bottom w:val="nil"/>
                <w:right w:val="nil"/>
                <w:between w:val="nil"/>
              </w:pBdr>
              <w:spacing w:before="100" w:beforeAutospacing="1" w:after="100" w:afterAutospacing="1"/>
              <w:ind w:left="0" w:right="57"/>
              <w:contextualSpacing/>
              <w:jc w:val="right"/>
              <w:rPr>
                <w:b/>
                <w:szCs w:val="18"/>
                <w:lang w:val="fr-CH"/>
              </w:rPr>
            </w:pPr>
            <w:r w:rsidRPr="00AF1566">
              <w:rPr>
                <w:szCs w:val="18"/>
                <w:lang w:val="fr-CH"/>
              </w:rPr>
              <w:t>Vincristine/placebo dose interruption</w:t>
            </w:r>
          </w:p>
        </w:tc>
        <w:tc>
          <w:tcPr>
            <w:tcW w:w="1158" w:type="dxa"/>
          </w:tcPr>
          <w:p w14:paraId="00000388"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25.3</w:t>
            </w:r>
          </w:p>
          <w:p w14:paraId="00000389"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14.2</w:t>
            </w:r>
          </w:p>
          <w:p w14:paraId="0000038A" w14:textId="77777777" w:rsidR="008D3ED4" w:rsidRDefault="00031835" w:rsidP="00402831">
            <w:pPr>
              <w:pBdr>
                <w:top w:val="nil"/>
                <w:left w:val="nil"/>
                <w:bottom w:val="nil"/>
                <w:right w:val="nil"/>
                <w:between w:val="nil"/>
              </w:pBdr>
              <w:tabs>
                <w:tab w:val="left" w:pos="1842"/>
              </w:tabs>
              <w:spacing w:before="100" w:beforeAutospacing="1" w:after="100" w:afterAutospacing="1"/>
              <w:ind w:left="0"/>
              <w:contextualSpacing/>
              <w:jc w:val="center"/>
              <w:rPr>
                <w:szCs w:val="18"/>
              </w:rPr>
            </w:pPr>
            <w:r>
              <w:rPr>
                <w:szCs w:val="18"/>
              </w:rPr>
              <w:t>13.7</w:t>
            </w:r>
          </w:p>
        </w:tc>
        <w:tc>
          <w:tcPr>
            <w:tcW w:w="1509" w:type="dxa"/>
          </w:tcPr>
          <w:p w14:paraId="0000038B"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23.7</w:t>
            </w:r>
          </w:p>
          <w:p w14:paraId="0000038C"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14.0</w:t>
            </w:r>
          </w:p>
          <w:p w14:paraId="0000038D"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13.8</w:t>
            </w:r>
          </w:p>
        </w:tc>
        <w:tc>
          <w:tcPr>
            <w:tcW w:w="1411" w:type="dxa"/>
          </w:tcPr>
          <w:p w14:paraId="0000038E" w14:textId="77777777" w:rsidR="008D3ED4" w:rsidRDefault="008D3ED4" w:rsidP="00402831">
            <w:pPr>
              <w:pBdr>
                <w:top w:val="nil"/>
                <w:left w:val="nil"/>
                <w:bottom w:val="nil"/>
                <w:right w:val="nil"/>
                <w:between w:val="nil"/>
              </w:pBdr>
              <w:spacing w:before="100" w:beforeAutospacing="1" w:after="100" w:afterAutospacing="1"/>
              <w:ind w:left="0"/>
              <w:contextualSpacing/>
              <w:jc w:val="center"/>
              <w:rPr>
                <w:szCs w:val="18"/>
              </w:rPr>
            </w:pPr>
          </w:p>
          <w:p w14:paraId="0000038F"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6.0</w:t>
            </w:r>
          </w:p>
          <w:p w14:paraId="00000390" w14:textId="77777777" w:rsidR="008D3ED4" w:rsidRDefault="00031835" w:rsidP="00402831">
            <w:pPr>
              <w:pBdr>
                <w:top w:val="nil"/>
                <w:left w:val="nil"/>
                <w:bottom w:val="nil"/>
                <w:right w:val="nil"/>
                <w:between w:val="nil"/>
              </w:pBdr>
              <w:spacing w:before="100" w:beforeAutospacing="1" w:after="100" w:afterAutospacing="1"/>
              <w:ind w:left="0"/>
              <w:contextualSpacing/>
              <w:jc w:val="center"/>
              <w:rPr>
                <w:szCs w:val="18"/>
              </w:rPr>
            </w:pPr>
            <w:r>
              <w:rPr>
                <w:szCs w:val="18"/>
              </w:rPr>
              <w:t>-</w:t>
            </w:r>
          </w:p>
        </w:tc>
      </w:tr>
    </w:tbl>
    <w:p w14:paraId="00000391" w14:textId="77777777" w:rsidR="008D3ED4" w:rsidRDefault="008D3ED4">
      <w:bookmarkStart w:id="19" w:name="_heading=h.3j2qqm3" w:colFirst="0" w:colLast="0"/>
      <w:bookmarkEnd w:id="19"/>
    </w:p>
    <w:p w14:paraId="00000392" w14:textId="77777777" w:rsidR="008D3ED4" w:rsidRDefault="00031835">
      <w:r>
        <w:t xml:space="preserve">Serious AEs and grade ≥ 3 AEs were more common in subjects aged ≥ 65 years than in those aged &lt; 65 years in both study arms in the POLARIX </w:t>
      </w:r>
      <w:r>
        <w:t>study. There were no consistent differences in the incidence of AEs between White and Asian subjects.</w:t>
      </w:r>
    </w:p>
    <w:p w14:paraId="00000393" w14:textId="77777777" w:rsidR="008D3ED4" w:rsidRDefault="00031835">
      <w:r>
        <w:t xml:space="preserve">In the POLARIX study the 111 deaths reported by the clinical data cut-off date (12.0% of the pola+R-CHP arm and 13.5% of the R-CHOP arm), 59 were accounted for as disease progression, accounted for deaths, 24 as adverse events, and 28 were accounted for from other causes. Infections were the most common AEs leading to death in both arms. There were four unexplained deaths in the pola+R-CHP arm vs. one in the R-CHOP arm. Otherwise, there were no notable differences between arms in the types of fatal AEs. </w:t>
      </w:r>
    </w:p>
    <w:p w14:paraId="00000394" w14:textId="77777777" w:rsidR="008D3ED4" w:rsidRDefault="00031835">
      <w:r>
        <w:t xml:space="preserve">The treatment-related fatal AEs in the pola+R-CHP arm </w:t>
      </w:r>
      <w:proofErr w:type="gramStart"/>
      <w:r>
        <w:t>were</w:t>
      </w:r>
      <w:proofErr w:type="gramEnd"/>
      <w:r>
        <w:t xml:space="preserve"> pneumonia (three patients), one each of sudden cardiac death, acute kidney injury, and </w:t>
      </w:r>
      <w:r>
        <w:t>unexplained death. Treatment-related fatal AEs in the R-CHOP arm were pneumonia (2 patients), and one each of multiple organ dysfunction syndrome, and sepsis. One patient died due to acute myeloid leukemia during the follow-up period (day 926) that was assessed as related to study treatment.</w:t>
      </w:r>
    </w:p>
    <w:p w14:paraId="00000395" w14:textId="77777777" w:rsidR="008D3ED4" w:rsidRDefault="00031835">
      <w:r>
        <w:t>In Study G029044 the four deaths (8.0%) with the pola+R-CHP regimen - three due to disease progression and one due to an adverse event, all occurred in the expansion cohort. None were assessed as being related to study treatment.</w:t>
      </w:r>
    </w:p>
    <w:p w14:paraId="00000397" w14:textId="77777777" w:rsidR="008D3ED4" w:rsidRDefault="00031835">
      <w:pPr>
        <w:rPr>
          <w:b/>
        </w:rPr>
      </w:pPr>
      <w:r>
        <w:rPr>
          <w:b/>
        </w:rPr>
        <w:t>Adverse events of special interest</w:t>
      </w:r>
    </w:p>
    <w:p w14:paraId="00000398" w14:textId="77777777" w:rsidR="008D3ED4" w:rsidRDefault="00031835">
      <w:r>
        <w:t xml:space="preserve">Peripheral neuropathy was an adverse event of special interest (AESI), but there were no notable differences between the treatments. </w:t>
      </w:r>
    </w:p>
    <w:p w14:paraId="00000399" w14:textId="4EE8B400" w:rsidR="008D3ED4" w:rsidRDefault="00031835">
      <w:r>
        <w:t xml:space="preserve">Most of the hepatic AEs, which were assessed using standardised MedDRA queries (SMQs), were reports of abnormal LFTs. They were more common in the pola+R-CHP arm (10.6% vs. 7.3%). Grade 3 or 4 abnormalities were uncommon and occurred with a similar frequency in the two treatment arms. </w:t>
      </w:r>
      <w:r w:rsidR="00136DCE" w:rsidRPr="00136DCE">
        <w:t>A total of 4 patients (8.0%) had events of hepatic toxicity; 2 patients in the 1.8mg/kg dose group and 2 patients in the 1.8mg/kg dose expansion group.</w:t>
      </w:r>
      <w:r>
        <w:t xml:space="preserve"> While most were abnormal LFTs, one patient reported hepatic steatosis. There were no confirmed Hy’s Law cases.</w:t>
      </w:r>
    </w:p>
    <w:p w14:paraId="0000039A" w14:textId="77777777" w:rsidR="008D3ED4" w:rsidRDefault="00031835">
      <w:r>
        <w:t xml:space="preserve">There was no clear signal for </w:t>
      </w:r>
      <w:r>
        <w:t>renal toxicity in the AEs for polatuzumab vedotin.</w:t>
      </w:r>
    </w:p>
    <w:p w14:paraId="0000039B" w14:textId="77777777" w:rsidR="008D3ED4" w:rsidRDefault="00031835">
      <w:pPr>
        <w:rPr>
          <w:rFonts w:ascii="Calibri" w:eastAsia="Calibri" w:hAnsi="Calibri" w:cs="Calibri"/>
        </w:rPr>
      </w:pPr>
      <w:bookmarkStart w:id="20" w:name="_heading=h.1y810tw" w:colFirst="0" w:colLast="0"/>
      <w:bookmarkEnd w:id="20"/>
      <w:r>
        <w:rPr>
          <w:rFonts w:ascii="Calibri" w:eastAsia="Calibri" w:hAnsi="Calibri" w:cs="Calibri"/>
        </w:rPr>
        <w:t xml:space="preserve">Tumour lysis syndrome has been previously reported for polatuzumab vedotin. </w:t>
      </w:r>
      <w:r>
        <w:t xml:space="preserve">In the POLARIX study hyperuricaemia was very common in both study arms. Grade 3 or 4 abnormalities in the remaining parameters were uncommon and occurred with a similar frequency in the two study arms. In Study 029044 grade 3 or 4 hyperuricaemia, hyperglycaemia and </w:t>
      </w:r>
      <w:proofErr w:type="spellStart"/>
      <w:r>
        <w:t>hypophosphataemia</w:t>
      </w:r>
      <w:proofErr w:type="spellEnd"/>
      <w:r>
        <w:t xml:space="preserve"> were common.</w:t>
      </w:r>
    </w:p>
    <w:p w14:paraId="0000039C" w14:textId="77777777" w:rsidR="008D3ED4" w:rsidRDefault="00031835">
      <w:bookmarkStart w:id="21" w:name="_heading=h.4i7ojhp" w:colFirst="0" w:colLast="0"/>
      <w:bookmarkEnd w:id="21"/>
      <w:r>
        <w:lastRenderedPageBreak/>
        <w:t>Myelosuppression is a known toxicity associated with polatuzumab vedotin, therefore haematological toxicity was an AESI. Common events are listed in the table above.</w:t>
      </w:r>
    </w:p>
    <w:p w14:paraId="0000039D" w14:textId="4958B212" w:rsidR="008D3ED4" w:rsidRDefault="00031835">
      <w:bookmarkStart w:id="22" w:name="_heading=h.2xcytpi" w:colFirst="0" w:colLast="0"/>
      <w:bookmarkEnd w:id="22"/>
      <w:r>
        <w:t>Cardiac AEs were reported in 7.8% of subjects in the pola+R-CHP arm and 12.6% of subjects in the R-CHOP arm. Cardiac arrythmia were comparable in the two arms (3.0% vs.4.6%). In study G029044 cardiac AEs were reported in 12.0% of subjects, most commonly tachycardia (6.0%).</w:t>
      </w:r>
    </w:p>
    <w:p w14:paraId="0000039E" w14:textId="77777777" w:rsidR="008D3ED4" w:rsidRDefault="00031835">
      <w:r>
        <w:t>More infections (49.7% vs. 42.7%), grade ≥ 3 infections (15.2% vs. 12.6%), and serious infections (14.0% vs. 10.3%) were reported in the pola+R-CHP arm. By individual infection AE term urinary tract infection was most common in the pola+R-CHP arm (8.0% vs. 5.5%). There were no notable differences between treatments in the occurrence of opportunistic infections, and no cases of progressive multifocal leukoencephalopathy.</w:t>
      </w:r>
    </w:p>
    <w:p w14:paraId="0000039F" w14:textId="77777777" w:rsidR="008D3ED4" w:rsidRDefault="00031835">
      <w:r>
        <w:t>Events reported under the system organ class (SOC) of “Immune system disorders” occurred with a similar frequency in the two study arms.</w:t>
      </w:r>
    </w:p>
    <w:p w14:paraId="000003A0" w14:textId="77777777" w:rsidR="008D3ED4" w:rsidRDefault="00031835">
      <w:bookmarkStart w:id="23" w:name="_heading=h.1ci93xb" w:colFirst="0" w:colLast="0"/>
      <w:bookmarkEnd w:id="23"/>
      <w:r>
        <w:t>There was one serious skin AE reported – a case of decubitus ulcer in the R-CHOP arm, and none in Study GO29044. There were no cases in either study of photosensitivity, erythema multiforme, Stevens Johnson syndrome, drug reaction with eosinophilia and systemic symptoms (DRESS) or toxic epidermal necrolysis (TEN).</w:t>
      </w:r>
    </w:p>
    <w:p w14:paraId="000003A1" w14:textId="77777777" w:rsidR="008D3ED4" w:rsidRDefault="00031835">
      <w:r>
        <w:t>No post-marketing data were included in the submission.</w:t>
      </w:r>
    </w:p>
    <w:p w14:paraId="000003A2" w14:textId="64FF90E9" w:rsidR="008D3ED4" w:rsidRDefault="00031835">
      <w:pPr>
        <w:pStyle w:val="Heading3"/>
      </w:pPr>
      <w:bookmarkStart w:id="24" w:name="_Toc175921922"/>
      <w:r>
        <w:t xml:space="preserve">Risk management plan </w:t>
      </w:r>
      <w:r>
        <w:t>evaluation</w:t>
      </w:r>
      <w:r w:rsidR="00BC5B65">
        <w:t xml:space="preserve"> </w:t>
      </w:r>
      <w:proofErr w:type="gramStart"/>
      <w:r w:rsidR="00BC5B65">
        <w:t>summary</w:t>
      </w:r>
      <w:bookmarkEnd w:id="24"/>
      <w:proofErr w:type="gramEnd"/>
    </w:p>
    <w:p w14:paraId="000003A3" w14:textId="6DCD79DC" w:rsidR="008D3ED4" w:rsidRDefault="00031835">
      <w:r>
        <w:t xml:space="preserve">A </w:t>
      </w:r>
      <w:r w:rsidR="00BC5B65" w:rsidRPr="00BC5B65">
        <w:t xml:space="preserve">Risk Management Plan </w:t>
      </w:r>
      <w:r>
        <w:t>waiver was granted by the RMP team for this submission.</w:t>
      </w:r>
    </w:p>
    <w:p w14:paraId="000003A4" w14:textId="77777777" w:rsidR="008D3ED4" w:rsidRDefault="00031835">
      <w:pPr>
        <w:pStyle w:val="Heading3"/>
      </w:pPr>
      <w:bookmarkStart w:id="25" w:name="_Toc175921923"/>
      <w:r>
        <w:t xml:space="preserve">Risk-benefit </w:t>
      </w:r>
      <w:proofErr w:type="gramStart"/>
      <w:r>
        <w:t>analysis</w:t>
      </w:r>
      <w:bookmarkEnd w:id="25"/>
      <w:proofErr w:type="gramEnd"/>
    </w:p>
    <w:p w14:paraId="000003A5" w14:textId="77777777" w:rsidR="008D3ED4" w:rsidRDefault="00031835">
      <w:r>
        <w:t xml:space="preserve">The sponsor seeks a new indication for polatuzumab vedotin as a component of 5 drug regimen in first line systemic therapy for DLBCL. It proposes polatuzumab vedotin as an alternative to vincristine in the well-established R-CHOP regimen in first line DLBCL.  </w:t>
      </w:r>
    </w:p>
    <w:p w14:paraId="000003A6" w14:textId="77777777" w:rsidR="008D3ED4" w:rsidRDefault="00031835">
      <w:r>
        <w:t xml:space="preserve">Supportive evidence is derived primarily from the pivotal POLARIX study with supportive evidence from the relevant cohort of study GO29044. </w:t>
      </w:r>
    </w:p>
    <w:p w14:paraId="000003A7" w14:textId="3926EEBC" w:rsidR="008D3ED4" w:rsidRDefault="00031835">
      <w:r>
        <w:t>POLARIX was a phase 3, randomised, double-blind, placebo-controlled trial in which standard therapy (R-CHOP) was compared with pola+R-CHP. The comparator regimen and efficacy endpoints were appropriate. This was not a non-inferiority study.</w:t>
      </w:r>
    </w:p>
    <w:p w14:paraId="000003A8" w14:textId="77777777" w:rsidR="008D3ED4" w:rsidRDefault="00031835">
      <w:r>
        <w:t>The population enrolled in the study was typical of that expected for newly diagnosed DLBCL, with a mean age of 63 years, a slight preponderance of males and most subjects having stage III or IV disease. Patients with a good prognosis (IPI 0-1), DLBCL transformed from an indolent lymphoma, and patients with CNS disease were not included. The two study arms were well balanced with respect to baseline prognostic factors, and 62% were IP3-5.</w:t>
      </w:r>
    </w:p>
    <w:p w14:paraId="000003A9" w14:textId="77777777" w:rsidR="008D3ED4" w:rsidRDefault="00031835">
      <w:r>
        <w:t>The study demonstrated an efficacy benefit for PFS for the pola+R-CHP regimen over the standard R-CHOP regimen; HR = 0.73 (95%CI: 0.57 to 0.95), p = 0.0177. The PFS difference between treatments at 24 months was modest (6.50% [95%CI: 0.52 to 12.49%]). This was supported by similar results for event free survival for efficacy reasons (</w:t>
      </w:r>
      <w:proofErr w:type="spellStart"/>
      <w:r>
        <w:t>EFS</w:t>
      </w:r>
      <w:r>
        <w:rPr>
          <w:vertAlign w:val="subscript"/>
        </w:rPr>
        <w:t>eff</w:t>
      </w:r>
      <w:proofErr w:type="spellEnd"/>
      <w:r>
        <w:t xml:space="preserve">): HR = 0.75 (95%CI: 0.58 to 0.96). </w:t>
      </w:r>
    </w:p>
    <w:p w14:paraId="000003AA" w14:textId="77777777" w:rsidR="008D3ED4" w:rsidRDefault="00031835">
      <w:r>
        <w:t xml:space="preserve">The use of second-line therapies (NALT) in the trial was more frequent in the R-CHOP arm (30.3% vs. 22.5%). While then this is accounted for in the censoring strategy it adds some </w:t>
      </w:r>
      <w:r>
        <w:lastRenderedPageBreak/>
        <w:t>uncertainty to the strength of the findings. The stratified HR for PFS censored at the last adequate tumour before the initiation of NALT was 0.77 (95% CI: 0.59 to 1.01).</w:t>
      </w:r>
    </w:p>
    <w:p w14:paraId="000003AB" w14:textId="77777777" w:rsidR="008D3ED4" w:rsidRDefault="00031835">
      <w:pPr>
        <w:rPr>
          <w:color w:val="7DB954"/>
        </w:rPr>
      </w:pPr>
      <w:r>
        <w:t xml:space="preserve">The benefit observed for PFS did not translate into a clear improvement in overall survival. The estimated OS was 83.3% vs 85.0% for the R-CHOP and pola+R-CHP arm, HR = 0.94 (95%CI: 0.67 to 1.3); p = 0.7326. While there was no clear detriment to overall survival with pola+R-CHP, fatal adverse events were more frequent in that arm. </w:t>
      </w:r>
    </w:p>
    <w:p w14:paraId="000003AC" w14:textId="77777777" w:rsidR="008D3ED4" w:rsidRDefault="00031835">
      <w:pPr>
        <w:tabs>
          <w:tab w:val="left" w:pos="2835"/>
          <w:tab w:val="left" w:pos="3969"/>
          <w:tab w:val="left" w:pos="4820"/>
        </w:tabs>
      </w:pPr>
      <w:r>
        <w:t>A total of 485 patients were treated with the proposed pola+R-CHP regimen, and most completed 6 cycles of treatment. Both MMAE (the cytotoxic component of polatuzumab vedotin) and vincristine are tubulin inhibitors and might therefore be expected to have similar toxicity. When considering the proportions of patients reporting adverse events by general category (AEs, Grade 3-4 AEs etc) the safety profiles are somewhat similar but there are important differences. Notably, the pola+R-CHP regimen was associated</w:t>
      </w:r>
      <w:r>
        <w:t xml:space="preserve"> with an increased proportion of patients reporting Grade 3-4 events of diarrhoea (30.8% vs. 20.1%), febrile neutropenia (14.3% vs. 8.0%), and anaemia (12.0% vs 8.4%). Peripheral neuropathy is an anticipated event with vincristine and MMAE, and events occurred in similar proportions of patients in each treatment arm. The discontinuation of study drugs was similar with both treatment regimens (6.2%, and 6.6%).</w:t>
      </w:r>
    </w:p>
    <w:p w14:paraId="000003AD" w14:textId="77777777" w:rsidR="008D3ED4" w:rsidRDefault="00031835">
      <w:r>
        <w:t xml:space="preserve">In terms of patient experience, the 6.61% improvement in improvement in fatigue score with the pola+R-CHP regimen is counterbalanced by a 10% greater proportion of patients with Grade 3-4 diarrhoea events. </w:t>
      </w:r>
    </w:p>
    <w:p w14:paraId="000003AE" w14:textId="77777777" w:rsidR="008D3ED4" w:rsidRDefault="00031835">
      <w:pPr>
        <w:pBdr>
          <w:top w:val="nil"/>
          <w:left w:val="nil"/>
          <w:bottom w:val="nil"/>
          <w:right w:val="nil"/>
          <w:between w:val="nil"/>
        </w:pBdr>
        <w:spacing w:before="120"/>
        <w:rPr>
          <w:color w:val="000000"/>
        </w:rPr>
      </w:pPr>
      <w:r>
        <w:rPr>
          <w:color w:val="000000"/>
        </w:rPr>
        <w:t>The POLARIX study was designed to demonstrate whether the polatuzumab vedotin containing first-line regimen was superior to the existing regimen. As the MMAE component of polatuzumab vedotin and vincristine have a similar mechanism of action, a study to investigate the non-inferiority of the two regimens would have been an appropriate alternative strategy. Statistically the POLARIX study was positive, but the statistical significance of the PFS primary is sensitive to the type of censoring applied, adding s</w:t>
      </w:r>
      <w:r>
        <w:rPr>
          <w:color w:val="000000"/>
        </w:rPr>
        <w:t xml:space="preserve">ome uncertainty about the robustness of the findings. </w:t>
      </w:r>
    </w:p>
    <w:p w14:paraId="000003AF" w14:textId="77777777" w:rsidR="008D3ED4" w:rsidRDefault="00031835">
      <w:pPr>
        <w:pBdr>
          <w:top w:val="nil"/>
          <w:left w:val="nil"/>
          <w:bottom w:val="nil"/>
          <w:right w:val="nil"/>
          <w:between w:val="nil"/>
        </w:pBdr>
        <w:spacing w:before="120"/>
        <w:rPr>
          <w:color w:val="000000"/>
        </w:rPr>
      </w:pPr>
      <w:r>
        <w:rPr>
          <w:color w:val="000000"/>
        </w:rPr>
        <w:t>OS is recognised as a gold standard endpoint in haematology and oncology trials. For a new first-line treatment regimen in DLBCL it is very relevant, given the expected outcomes of the R-CHOP regimen. The 1.5% difference in estimated OS is not statistically significant and not clinically meaningfully different. While there was no detriment, a superior OS outcome was not demonstrated.</w:t>
      </w:r>
    </w:p>
    <w:p w14:paraId="000003B0" w14:textId="77777777" w:rsidR="008D3ED4" w:rsidRDefault="00031835">
      <w:pPr>
        <w:pBdr>
          <w:top w:val="nil"/>
          <w:left w:val="nil"/>
          <w:bottom w:val="nil"/>
          <w:right w:val="nil"/>
          <w:between w:val="nil"/>
        </w:pBdr>
        <w:spacing w:before="120"/>
        <w:rPr>
          <w:color w:val="000000"/>
        </w:rPr>
      </w:pPr>
      <w:r>
        <w:rPr>
          <w:color w:val="000000"/>
        </w:rPr>
        <w:t xml:space="preserve">The modest PFS gain is countered by the increased proportion of patients with specific Grade 3-4 events that are both clinically important and relevant to the patient experience. The types of events were similar in both groups, and haematologists would be very familiar with managing these events. </w:t>
      </w:r>
    </w:p>
    <w:p w14:paraId="000003B1" w14:textId="77777777" w:rsidR="008D3ED4" w:rsidRDefault="00031835">
      <w:pPr>
        <w:pStyle w:val="Heading4"/>
      </w:pPr>
      <w:bookmarkStart w:id="26" w:name="_Toc175921924"/>
      <w:r>
        <w:t xml:space="preserve">Recommendation following the clinical </w:t>
      </w:r>
      <w:proofErr w:type="gramStart"/>
      <w:r>
        <w:t>evaluation</w:t>
      </w:r>
      <w:bookmarkEnd w:id="26"/>
      <w:proofErr w:type="gramEnd"/>
    </w:p>
    <w:p w14:paraId="000003B2" w14:textId="615CBA26" w:rsidR="008D3ED4" w:rsidRDefault="00031835">
      <w:pPr>
        <w:pBdr>
          <w:top w:val="nil"/>
          <w:left w:val="nil"/>
          <w:bottom w:val="nil"/>
          <w:right w:val="nil"/>
          <w:between w:val="nil"/>
        </w:pBdr>
        <w:spacing w:before="120"/>
        <w:rPr>
          <w:color w:val="000000"/>
        </w:rPr>
      </w:pPr>
      <w:r>
        <w:rPr>
          <w:color w:val="000000"/>
        </w:rPr>
        <w:t>DLBCL is a life-threatening condition with a 60- 65% complete and durable response to the established R-CHOP first-line treatment regimen. The advice of the ACM is sought to assist with the considerations about whether the evidence is sufficient to accept polatuzumab vedotin + rituximab + cyclophosphamide + prednisone as an alternative to R-CHOP in first line DLBCL. At this stage the Delegate is not persuaded that pola+R-CHP is an overall superior regimen to R-CHOP.</w:t>
      </w:r>
    </w:p>
    <w:p w14:paraId="000003B3" w14:textId="77777777" w:rsidR="008D3ED4" w:rsidRDefault="00031835">
      <w:pPr>
        <w:pStyle w:val="Heading4"/>
      </w:pPr>
      <w:bookmarkStart w:id="27" w:name="_Toc175921925"/>
      <w:r>
        <w:lastRenderedPageBreak/>
        <w:t>Advisory Committee considerations</w:t>
      </w:r>
      <w:bookmarkEnd w:id="27"/>
    </w:p>
    <w:p w14:paraId="000003B4" w14:textId="77777777" w:rsidR="008D3ED4" w:rsidRDefault="00031835">
      <w:r>
        <w:t xml:space="preserve">The </w:t>
      </w:r>
      <w:hyperlink r:id="rId26">
        <w:r>
          <w:rPr>
            <w:color w:val="0000FF"/>
            <w:u w:val="single"/>
          </w:rPr>
          <w:t>Advisory Committee on Medicines (ACM)</w:t>
        </w:r>
      </w:hyperlink>
      <w:r>
        <w:t>, having considered the evaluations and the Delegate’s overview, as well as the sponsor’s response to these documents, advised the following.</w:t>
      </w:r>
    </w:p>
    <w:p w14:paraId="000003B5" w14:textId="77777777" w:rsidR="008D3ED4" w:rsidRDefault="00031835">
      <w:pPr>
        <w:numPr>
          <w:ilvl w:val="0"/>
          <w:numId w:val="8"/>
        </w:numPr>
        <w:pBdr>
          <w:top w:val="nil"/>
          <w:left w:val="nil"/>
          <w:bottom w:val="nil"/>
          <w:right w:val="nil"/>
          <w:between w:val="nil"/>
        </w:pBdr>
        <w:spacing w:before="120" w:after="180"/>
      </w:pPr>
      <w:r>
        <w:rPr>
          <w:b/>
          <w:i/>
          <w:color w:val="000000"/>
        </w:rPr>
        <w:t>Does the ACM consider sufficient evidence has been submitted to support the proposed indication?</w:t>
      </w:r>
    </w:p>
    <w:p w14:paraId="000003B6" w14:textId="77777777" w:rsidR="008D3ED4" w:rsidRDefault="00031835" w:rsidP="0009471E">
      <w:pPr>
        <w:pBdr>
          <w:top w:val="nil"/>
          <w:left w:val="nil"/>
          <w:bottom w:val="nil"/>
          <w:right w:val="nil"/>
          <w:between w:val="nil"/>
        </w:pBdr>
        <w:spacing w:before="120" w:after="180"/>
        <w:rPr>
          <w:color w:val="000000"/>
        </w:rPr>
      </w:pPr>
      <w:r>
        <w:rPr>
          <w:color w:val="000000"/>
        </w:rPr>
        <w:t xml:space="preserve">The ACM discussed the pivotal study (POLARIX) and considered it to be a robust, large </w:t>
      </w:r>
      <w:r>
        <w:rPr>
          <w:color w:val="000000"/>
        </w:rPr>
        <w:t>multinational, randomised control trial with low risk of bias. The ACM noted that the primary endpoint of progression free survival (PFS) was met however there was no improvement in the key secondary endpoint overall survival (OS) compared to standard of care (R-CHOP).</w:t>
      </w:r>
    </w:p>
    <w:p w14:paraId="000003B7" w14:textId="77777777" w:rsidR="008D3ED4" w:rsidRDefault="00031835" w:rsidP="0009471E">
      <w:pPr>
        <w:pBdr>
          <w:top w:val="nil"/>
          <w:left w:val="nil"/>
          <w:bottom w:val="nil"/>
          <w:right w:val="nil"/>
          <w:between w:val="nil"/>
        </w:pBdr>
        <w:spacing w:before="120" w:after="180"/>
        <w:rPr>
          <w:color w:val="000000"/>
        </w:rPr>
      </w:pPr>
      <w:r>
        <w:rPr>
          <w:color w:val="000000"/>
        </w:rPr>
        <w:t>The ACM commented with interest that improvement in PFS does not appear to lead to an improvement in OS within the study. The ACM was of the view that the lack of benefit seen in OS is not a reflection of the immaturity of the data and noted that newer data with a 48 week follow up does not demonstrate an improvement in OS. Overall, the ACM interpreted this to mean that patients who go into remission may remain in remission for longer.</w:t>
      </w:r>
    </w:p>
    <w:p w14:paraId="000003B8" w14:textId="77777777" w:rsidR="008D3ED4" w:rsidRDefault="00031835" w:rsidP="0009471E">
      <w:pPr>
        <w:pBdr>
          <w:top w:val="nil"/>
          <w:left w:val="nil"/>
          <w:bottom w:val="nil"/>
          <w:right w:val="nil"/>
          <w:between w:val="nil"/>
        </w:pBdr>
        <w:spacing w:before="120" w:after="180"/>
        <w:rPr>
          <w:color w:val="000000"/>
        </w:rPr>
      </w:pPr>
      <w:r>
        <w:rPr>
          <w:color w:val="000000"/>
        </w:rPr>
        <w:t xml:space="preserve">The ACM discussed the safety profile of polatuzumab and noted the increase in diarrhoea, febrile </w:t>
      </w:r>
      <w:proofErr w:type="gramStart"/>
      <w:r>
        <w:rPr>
          <w:color w:val="000000"/>
        </w:rPr>
        <w:t>neutropenia</w:t>
      </w:r>
      <w:proofErr w:type="gramEnd"/>
      <w:r>
        <w:rPr>
          <w:color w:val="000000"/>
        </w:rPr>
        <w:t xml:space="preserve"> and anaemia. While there appears to be a marginally higher toxicity profile compared to the standard of care the ACM noted that polatuzumab in combination would be prescribed by specialists familiar with managing toxicity.</w:t>
      </w:r>
    </w:p>
    <w:p w14:paraId="000003B9" w14:textId="77777777" w:rsidR="008D3ED4" w:rsidRDefault="00031835" w:rsidP="0009471E">
      <w:pPr>
        <w:pBdr>
          <w:top w:val="nil"/>
          <w:left w:val="nil"/>
          <w:bottom w:val="nil"/>
          <w:right w:val="nil"/>
          <w:between w:val="nil"/>
        </w:pBdr>
        <w:spacing w:before="120" w:after="180"/>
        <w:rPr>
          <w:color w:val="000000"/>
        </w:rPr>
      </w:pPr>
      <w:r>
        <w:rPr>
          <w:color w:val="000000"/>
        </w:rPr>
        <w:t xml:space="preserve">The ACM advised that while the modest benefit in PFS is offset by increased safety concerns polatuzumab in combination (Pola-R-CHP) is considered </w:t>
      </w:r>
      <w:proofErr w:type="gramStart"/>
      <w:r>
        <w:rPr>
          <w:color w:val="000000"/>
        </w:rPr>
        <w:t>similar to</w:t>
      </w:r>
      <w:proofErr w:type="gramEnd"/>
      <w:r>
        <w:rPr>
          <w:color w:val="000000"/>
        </w:rPr>
        <w:t xml:space="preserve"> standard care (R-CHOP) and does offer an alternative treatment option for previously untreated DLBCL.</w:t>
      </w:r>
    </w:p>
    <w:p w14:paraId="000003BA" w14:textId="77777777" w:rsidR="008D3ED4" w:rsidRDefault="00031835" w:rsidP="0009471E">
      <w:pPr>
        <w:pBdr>
          <w:top w:val="nil"/>
          <w:left w:val="nil"/>
          <w:bottom w:val="nil"/>
          <w:right w:val="nil"/>
          <w:between w:val="nil"/>
        </w:pBdr>
        <w:spacing w:before="120" w:after="180"/>
        <w:rPr>
          <w:color w:val="000000"/>
        </w:rPr>
      </w:pPr>
      <w:r>
        <w:rPr>
          <w:color w:val="000000"/>
        </w:rPr>
        <w:t xml:space="preserve">On balance the ACM was of the view that sufficient evidence has been submitted to support the indication </w:t>
      </w:r>
      <w:r>
        <w:rPr>
          <w:i/>
          <w:color w:val="000000"/>
        </w:rPr>
        <w:t xml:space="preserve">Polivy in combination with rituximab, cyclophosphamide, doxorubicin, and prednisone (R-CHP) is indicated for the </w:t>
      </w:r>
      <w:r>
        <w:rPr>
          <w:i/>
          <w:color w:val="000000"/>
        </w:rPr>
        <w:t>treatment of adult patients with previously untreated diffuse large B-cell lymphoma (DLBCL)</w:t>
      </w:r>
      <w:r>
        <w:rPr>
          <w:color w:val="000000"/>
        </w:rPr>
        <w:t>.</w:t>
      </w:r>
    </w:p>
    <w:p w14:paraId="000003BB" w14:textId="77777777" w:rsidR="008D3ED4" w:rsidRDefault="00031835">
      <w:pPr>
        <w:pStyle w:val="Heading5"/>
      </w:pPr>
      <w:bookmarkStart w:id="28" w:name="_heading=h.1pxezwc" w:colFirst="0" w:colLast="0"/>
      <w:bookmarkEnd w:id="28"/>
      <w:r>
        <w:t>ACM conclusion</w:t>
      </w:r>
    </w:p>
    <w:p w14:paraId="000003BC" w14:textId="77777777" w:rsidR="008D3ED4" w:rsidRDefault="00031835">
      <w:r>
        <w:t>The ACM considered this product to have an overall positive benefit-risk profile for the indication:</w:t>
      </w:r>
    </w:p>
    <w:p w14:paraId="000003BD" w14:textId="77777777" w:rsidR="008D3ED4" w:rsidRDefault="00031835">
      <w:pPr>
        <w:ind w:left="720"/>
        <w:rPr>
          <w:i/>
        </w:rPr>
      </w:pPr>
      <w:r>
        <w:rPr>
          <w:i/>
        </w:rPr>
        <w:t>Polivy in combination with rituximab, cyclophosphamide, doxorubicin, and prednisone (R-CHP) is indicated for the treatment of adult patients with previously untreated diffuse large B-cell lymphoma (DLBCL).</w:t>
      </w:r>
    </w:p>
    <w:p w14:paraId="000003BE" w14:textId="77777777" w:rsidR="008D3ED4" w:rsidRDefault="00031835" w:rsidP="00136DCE">
      <w:pPr>
        <w:pStyle w:val="Heading5"/>
      </w:pPr>
      <w:r>
        <w:t>Post-ACM conclusion</w:t>
      </w:r>
    </w:p>
    <w:p w14:paraId="000003BF" w14:textId="77777777" w:rsidR="008D3ED4" w:rsidRDefault="00031835">
      <w:r>
        <w:t>The ACM recommended approval of polatuzumab vedotin (Polivy) based on the findings of the POLARIX study.</w:t>
      </w:r>
    </w:p>
    <w:p w14:paraId="000003C0" w14:textId="77777777" w:rsidR="008D3ED4" w:rsidRDefault="00031835">
      <w:r>
        <w:t xml:space="preserve">The ACM noted the PFS benefit did not translate into a clear OS benefit but interpreted the finding to show that patients who go into remission are likely to stay in remission for longer. The ACM advised that while there was a marginally higher toxicity physicians prescribing the product would be experienced in managing these types of toxicities. </w:t>
      </w:r>
    </w:p>
    <w:p w14:paraId="000003C1" w14:textId="77777777" w:rsidR="008D3ED4" w:rsidRDefault="00031835">
      <w:pPr>
        <w:rPr>
          <w:i/>
        </w:rPr>
      </w:pPr>
      <w:r>
        <w:t xml:space="preserve">The ACM weighed the incremental PFS benefit with the incremental toxicity and advised sufficient evidence had been provided to support the proposed indication </w:t>
      </w:r>
      <w:r>
        <w:rPr>
          <w:i/>
        </w:rPr>
        <w:t xml:space="preserve">Polivy in combination </w:t>
      </w:r>
      <w:r>
        <w:rPr>
          <w:i/>
        </w:rPr>
        <w:lastRenderedPageBreak/>
        <w:t>with rituximab, cyclophosphamide, doxorubicin, and prednisone (R-CHP) is indicated for the treatment of adult patients with previously untreated diffuse large B-cell lymphoma (DLBCL).</w:t>
      </w:r>
    </w:p>
    <w:p w14:paraId="000003C2" w14:textId="1E706C90" w:rsidR="008D3ED4" w:rsidRDefault="00031835">
      <w:r>
        <w:t xml:space="preserve">The delegate considered the advice and the evidence presented in the submission, including in the pre-ACM </w:t>
      </w:r>
      <w:proofErr w:type="gramStart"/>
      <w:r>
        <w:t>response</w:t>
      </w:r>
      <w:proofErr w:type="gramEnd"/>
      <w:r>
        <w:t xml:space="preserve"> and proposed to approve the submission. The sponsor has provided further drafts of the Polivy PI and an acceptable text.</w:t>
      </w:r>
    </w:p>
    <w:p w14:paraId="000003C3" w14:textId="77777777" w:rsidR="008D3ED4" w:rsidRDefault="00031835">
      <w:r>
        <w:t xml:space="preserve">After the ACM </w:t>
      </w:r>
      <w:proofErr w:type="gramStart"/>
      <w:r>
        <w:t>meeting,  the</w:t>
      </w:r>
      <w:proofErr w:type="gramEnd"/>
      <w:r>
        <w:t xml:space="preserve"> sponsor, having reviewed the PARs for the submission, became aware it had only requested the new indication for the 140 mg strength. On 23 January 2023, the sponsor added a new s23 application request for the 30 mg strength for the same indication [</w:t>
      </w:r>
      <w:r>
        <w:rPr>
          <w:i/>
        </w:rPr>
        <w:t>Polivy in combination with rituximab, cyclophosphamide, doxorubicin, and prednisone (R-CHP) is indicated for the treatment of adult patients with previously untreated diffuse large B-cell lymphoma (DLBCL)]</w:t>
      </w:r>
      <w:r>
        <w:t xml:space="preserve">. </w:t>
      </w:r>
    </w:p>
    <w:p w14:paraId="000003C4" w14:textId="77777777" w:rsidR="008D3ED4" w:rsidRDefault="00031835">
      <w:r>
        <w:t>The sponsor has provided satisfactory responses and amendments to the Polivy PI.</w:t>
      </w:r>
    </w:p>
    <w:p w14:paraId="000003C5" w14:textId="77777777" w:rsidR="008D3ED4" w:rsidRDefault="00031835">
      <w:r>
        <w:t>No specific conditions of registration are proposed for this submission.</w:t>
      </w:r>
    </w:p>
    <w:p w14:paraId="000003C6" w14:textId="77777777" w:rsidR="008D3ED4" w:rsidRDefault="00031835">
      <w:pPr>
        <w:pStyle w:val="Heading2"/>
      </w:pPr>
      <w:bookmarkStart w:id="29" w:name="_Toc175921926"/>
      <w:r>
        <w:t>Outcome</w:t>
      </w:r>
      <w:bookmarkEnd w:id="29"/>
    </w:p>
    <w:p w14:paraId="000003C7" w14:textId="77777777" w:rsidR="008D3ED4" w:rsidRDefault="00031835">
      <w:r>
        <w:t>Based on a review of quality, safety, and efficacy, the TGA decided to register Polivy (polatuzumab vedotin) extension of indications:</w:t>
      </w:r>
    </w:p>
    <w:p w14:paraId="000003C8" w14:textId="77777777" w:rsidR="008D3ED4" w:rsidRDefault="00031835">
      <w:pPr>
        <w:pBdr>
          <w:top w:val="nil"/>
          <w:left w:val="nil"/>
          <w:bottom w:val="nil"/>
          <w:right w:val="nil"/>
          <w:between w:val="nil"/>
        </w:pBdr>
        <w:spacing w:after="0" w:line="240" w:lineRule="auto"/>
        <w:ind w:left="720"/>
        <w:rPr>
          <w:color w:val="000000"/>
        </w:rPr>
      </w:pPr>
      <w:r>
        <w:rPr>
          <w:i/>
          <w:color w:val="000000"/>
        </w:rPr>
        <w:t xml:space="preserve">Polivy in combination with rituximab, cyclophosphamide, doxorubicin, and prednisone </w:t>
      </w:r>
      <w:r>
        <w:rPr>
          <w:i/>
          <w:color w:val="000000"/>
        </w:rPr>
        <w:br/>
        <w:t xml:space="preserve">(R-CHP) is indicated for the treatment of adult patients with previously untreated diffuse large B-cell lymphoma (DLBCL). </w:t>
      </w:r>
    </w:p>
    <w:p w14:paraId="000003C9" w14:textId="77777777" w:rsidR="008D3ED4" w:rsidRDefault="008D3ED4">
      <w:pPr>
        <w:pBdr>
          <w:top w:val="nil"/>
          <w:left w:val="nil"/>
          <w:bottom w:val="nil"/>
          <w:right w:val="nil"/>
          <w:between w:val="nil"/>
        </w:pBdr>
        <w:spacing w:after="0" w:line="240" w:lineRule="auto"/>
        <w:rPr>
          <w:color w:val="000000"/>
        </w:rPr>
      </w:pPr>
    </w:p>
    <w:p w14:paraId="000003CA" w14:textId="77777777" w:rsidR="008D3ED4" w:rsidRDefault="00031835">
      <w:pPr>
        <w:pBdr>
          <w:top w:val="nil"/>
          <w:left w:val="nil"/>
          <w:bottom w:val="nil"/>
          <w:right w:val="nil"/>
          <w:between w:val="nil"/>
        </w:pBdr>
        <w:spacing w:after="0" w:line="240" w:lineRule="auto"/>
        <w:rPr>
          <w:color w:val="000000"/>
        </w:rPr>
      </w:pPr>
      <w:r>
        <w:rPr>
          <w:color w:val="000000"/>
        </w:rPr>
        <w:t xml:space="preserve">The </w:t>
      </w:r>
      <w:r>
        <w:rPr>
          <w:b/>
          <w:color w:val="000000"/>
        </w:rPr>
        <w:t xml:space="preserve">full indications </w:t>
      </w:r>
      <w:r>
        <w:rPr>
          <w:color w:val="000000"/>
        </w:rPr>
        <w:t xml:space="preserve">are now: </w:t>
      </w:r>
    </w:p>
    <w:p w14:paraId="000003CB" w14:textId="77777777" w:rsidR="008D3ED4" w:rsidRDefault="008D3ED4">
      <w:pPr>
        <w:pBdr>
          <w:top w:val="nil"/>
          <w:left w:val="nil"/>
          <w:bottom w:val="nil"/>
          <w:right w:val="nil"/>
          <w:between w:val="nil"/>
        </w:pBdr>
        <w:spacing w:after="0" w:line="240" w:lineRule="auto"/>
        <w:rPr>
          <w:i/>
          <w:color w:val="000000"/>
        </w:rPr>
      </w:pPr>
    </w:p>
    <w:p w14:paraId="000003CC" w14:textId="77777777" w:rsidR="008D3ED4" w:rsidRDefault="00031835">
      <w:pPr>
        <w:pBdr>
          <w:top w:val="nil"/>
          <w:left w:val="nil"/>
          <w:bottom w:val="nil"/>
          <w:right w:val="nil"/>
          <w:between w:val="nil"/>
        </w:pBdr>
        <w:spacing w:after="0" w:line="240" w:lineRule="auto"/>
        <w:ind w:left="720"/>
        <w:rPr>
          <w:i/>
          <w:color w:val="000000"/>
        </w:rPr>
      </w:pPr>
      <w:r>
        <w:rPr>
          <w:i/>
          <w:color w:val="000000"/>
        </w:rPr>
        <w:t xml:space="preserve">Polivy in combination with rituximab, cyclophosphamide, doxorubicin, and prednisone (R-CHP) is indicated for the treatment of adult patients with previously untreated diffuse large B-cell lymphoma (DLBCL). </w:t>
      </w:r>
    </w:p>
    <w:p w14:paraId="000003CD" w14:textId="77777777" w:rsidR="008D3ED4" w:rsidRDefault="008D3ED4">
      <w:pPr>
        <w:pBdr>
          <w:top w:val="nil"/>
          <w:left w:val="nil"/>
          <w:bottom w:val="nil"/>
          <w:right w:val="nil"/>
          <w:between w:val="nil"/>
        </w:pBdr>
        <w:spacing w:after="0" w:line="240" w:lineRule="auto"/>
        <w:ind w:left="720"/>
        <w:rPr>
          <w:color w:val="000000"/>
        </w:rPr>
      </w:pPr>
    </w:p>
    <w:p w14:paraId="000003CE" w14:textId="77777777" w:rsidR="008D3ED4" w:rsidRDefault="00031835">
      <w:pPr>
        <w:ind w:left="720"/>
      </w:pPr>
      <w:r>
        <w:rPr>
          <w:i/>
        </w:rPr>
        <w:t>Polivy in combination with bendamustine and rituximab is indicated for the treatment of previously treated adult patients with diffuse large B-cell lymphoma who are not candidates for hematopoietic stem cell transplant.</w:t>
      </w:r>
    </w:p>
    <w:p w14:paraId="000003CF" w14:textId="77777777" w:rsidR="008D3ED4" w:rsidRDefault="00031835" w:rsidP="00031835">
      <w:pPr>
        <w:pStyle w:val="Heading2"/>
      </w:pPr>
      <w:bookmarkStart w:id="30" w:name="_Toc175921927"/>
      <w:r>
        <w:t>Attachment 1. Product Information</w:t>
      </w:r>
      <w:bookmarkEnd w:id="30"/>
    </w:p>
    <w:p w14:paraId="1DC00494" w14:textId="77777777" w:rsidR="008D3ED4" w:rsidRDefault="00031835">
      <w:pPr>
        <w:rPr>
          <w:color w:val="0000FF"/>
          <w:u w:val="single"/>
        </w:rPr>
      </w:pPr>
      <w:r>
        <w:t xml:space="preserve">The </w:t>
      </w:r>
      <w:hyperlink r:id="rId27">
        <w:r>
          <w:rPr>
            <w:color w:val="0000FF"/>
            <w:u w:val="single"/>
          </w:rPr>
          <w:t>Product Information</w:t>
        </w:r>
      </w:hyperlink>
      <w:r>
        <w:t xml:space="preserve"> (</w:t>
      </w:r>
      <w:hyperlink r:id="rId28">
        <w:r>
          <w:rPr>
            <w:color w:val="0000FF"/>
            <w:u w:val="single"/>
          </w:rPr>
          <w:t>PI</w:t>
        </w:r>
      </w:hyperlink>
      <w:r>
        <w:t xml:space="preserve">) approved with the submission for Polivy which is described in this AusPAR can be found as Attachment 1. It may have been superseded. For the most recent PI and </w:t>
      </w:r>
      <w:hyperlink r:id="rId29">
        <w:r>
          <w:rPr>
            <w:color w:val="0000FF"/>
            <w:u w:val="single"/>
          </w:rPr>
          <w:t>Consumer Medicines Information</w:t>
        </w:r>
      </w:hyperlink>
      <w:r>
        <w:t xml:space="preserve"> (CMI), please refer to the TGA </w:t>
      </w:r>
      <w:hyperlink r:id="rId30">
        <w:r>
          <w:rPr>
            <w:color w:val="0000FF"/>
            <w:u w:val="single"/>
          </w:rPr>
          <w:t>PI/CMI search facility.</w:t>
        </w:r>
      </w:hyperlink>
    </w:p>
    <w:p w14:paraId="67CF5F9E" w14:textId="77777777" w:rsidR="00031835" w:rsidRDefault="00031835">
      <w:pPr>
        <w:rPr>
          <w:color w:val="0000FF"/>
          <w:u w:val="single"/>
        </w:rPr>
      </w:pPr>
    </w:p>
    <w:p w14:paraId="000003D0" w14:textId="77777777" w:rsidR="00031835" w:rsidRDefault="00031835">
      <w:pPr>
        <w:sectPr w:rsidR="00031835">
          <w:headerReference w:type="default" r:id="rId31"/>
          <w:footerReference w:type="default" r:id="rId32"/>
          <w:pgSz w:w="11906" w:h="16838"/>
          <w:pgMar w:top="1134" w:right="1418" w:bottom="1361" w:left="1418" w:header="573" w:footer="567" w:gutter="0"/>
          <w:cols w:space="720"/>
        </w:sectPr>
      </w:pPr>
    </w:p>
    <w:tbl>
      <w:tblPr>
        <w:tblStyle w:val="a7"/>
        <w:tblW w:w="9145" w:type="dxa"/>
        <w:jc w:val="center"/>
        <w:tblLayout w:type="fixed"/>
        <w:tblLook w:val="0400" w:firstRow="0" w:lastRow="0" w:firstColumn="0" w:lastColumn="0" w:noHBand="0" w:noVBand="1"/>
      </w:tblPr>
      <w:tblGrid>
        <w:gridCol w:w="9145"/>
      </w:tblGrid>
      <w:tr w:rsidR="008D3ED4" w14:paraId="3F3E5C16" w14:textId="77777777">
        <w:trPr>
          <w:trHeight w:val="565"/>
          <w:jc w:val="center"/>
        </w:trPr>
        <w:tc>
          <w:tcPr>
            <w:tcW w:w="9145" w:type="dxa"/>
          </w:tcPr>
          <w:p w14:paraId="000003D2" w14:textId="77777777" w:rsidR="008D3ED4" w:rsidRDefault="00031835">
            <w:pPr>
              <w:pBdr>
                <w:top w:val="nil"/>
                <w:left w:val="nil"/>
                <w:bottom w:val="nil"/>
                <w:right w:val="nil"/>
                <w:between w:val="nil"/>
              </w:pBdr>
              <w:spacing w:before="120" w:after="360"/>
              <w:jc w:val="center"/>
              <w:rPr>
                <w:rFonts w:ascii="Arial" w:eastAsia="Arial" w:hAnsi="Arial" w:cs="Arial"/>
                <w:b/>
                <w:color w:val="333F48"/>
                <w:sz w:val="28"/>
                <w:szCs w:val="28"/>
              </w:rPr>
            </w:pPr>
            <w:r>
              <w:rPr>
                <w:rFonts w:ascii="Arial" w:eastAsia="Arial" w:hAnsi="Arial" w:cs="Arial"/>
                <w:b/>
                <w:color w:val="333F48"/>
                <w:sz w:val="28"/>
                <w:szCs w:val="28"/>
              </w:rPr>
              <w:lastRenderedPageBreak/>
              <w:t>Therapeutic Goods Administration</w:t>
            </w:r>
          </w:p>
        </w:tc>
      </w:tr>
      <w:tr w:rsidR="008D3ED4" w14:paraId="565F8BD6" w14:textId="77777777">
        <w:trPr>
          <w:trHeight w:val="963"/>
          <w:jc w:val="center"/>
        </w:trPr>
        <w:tc>
          <w:tcPr>
            <w:tcW w:w="9145" w:type="dxa"/>
            <w:tcMar>
              <w:top w:w="28" w:type="dxa"/>
            </w:tcMar>
          </w:tcPr>
          <w:p w14:paraId="000003D3" w14:textId="77777777" w:rsidR="008D3ED4" w:rsidRDefault="00031835">
            <w:pPr>
              <w:pBdr>
                <w:top w:val="nil"/>
                <w:left w:val="nil"/>
                <w:bottom w:val="nil"/>
                <w:right w:val="nil"/>
                <w:between w:val="nil"/>
              </w:pBdr>
              <w:spacing w:after="0" w:line="240" w:lineRule="auto"/>
              <w:jc w:val="center"/>
              <w:rPr>
                <w:rFonts w:ascii="Arial" w:eastAsia="Arial" w:hAnsi="Arial" w:cs="Arial"/>
                <w:color w:val="333F48"/>
                <w:sz w:val="21"/>
                <w:szCs w:val="21"/>
              </w:rPr>
            </w:pPr>
            <w:r>
              <w:rPr>
                <w:rFonts w:ascii="Arial" w:eastAsia="Arial" w:hAnsi="Arial" w:cs="Arial"/>
                <w:color w:val="333F48"/>
                <w:sz w:val="21"/>
                <w:szCs w:val="21"/>
              </w:rPr>
              <w:t>PO Box 100 Woden ACT 2606 Australia</w:t>
            </w:r>
          </w:p>
          <w:p w14:paraId="000003D4" w14:textId="77777777" w:rsidR="008D3ED4" w:rsidRDefault="00031835">
            <w:pPr>
              <w:pBdr>
                <w:top w:val="nil"/>
                <w:left w:val="nil"/>
                <w:bottom w:val="nil"/>
                <w:right w:val="nil"/>
                <w:between w:val="nil"/>
              </w:pBdr>
              <w:spacing w:after="0" w:line="240" w:lineRule="auto"/>
              <w:jc w:val="center"/>
              <w:rPr>
                <w:rFonts w:ascii="Arial" w:eastAsia="Arial" w:hAnsi="Arial" w:cs="Arial"/>
                <w:color w:val="333F48"/>
              </w:rPr>
            </w:pPr>
            <w:r>
              <w:rPr>
                <w:rFonts w:ascii="Arial" w:eastAsia="Arial" w:hAnsi="Arial" w:cs="Arial"/>
                <w:color w:val="333F48"/>
                <w:sz w:val="21"/>
                <w:szCs w:val="21"/>
              </w:rPr>
              <w:t xml:space="preserve">Email: </w:t>
            </w:r>
            <w:hyperlink r:id="rId33">
              <w:r>
                <w:rPr>
                  <w:color w:val="0000FF"/>
                  <w:sz w:val="21"/>
                  <w:szCs w:val="21"/>
                  <w:u w:val="single"/>
                </w:rPr>
                <w:t>info@tga.gov.au</w:t>
              </w:r>
            </w:hyperlink>
            <w:r>
              <w:rPr>
                <w:rFonts w:ascii="Arial" w:eastAsia="Arial" w:hAnsi="Arial" w:cs="Arial"/>
                <w:color w:val="333F48"/>
                <w:sz w:val="21"/>
                <w:szCs w:val="21"/>
              </w:rPr>
              <w:t xml:space="preserve">  Phone: 1800 020 </w:t>
            </w:r>
            <w:proofErr w:type="gramStart"/>
            <w:r>
              <w:rPr>
                <w:rFonts w:ascii="Arial" w:eastAsia="Arial" w:hAnsi="Arial" w:cs="Arial"/>
                <w:color w:val="333F48"/>
                <w:sz w:val="21"/>
                <w:szCs w:val="21"/>
              </w:rPr>
              <w:t>653  Fax</w:t>
            </w:r>
            <w:proofErr w:type="gramEnd"/>
            <w:r>
              <w:rPr>
                <w:rFonts w:ascii="Arial" w:eastAsia="Arial" w:hAnsi="Arial" w:cs="Arial"/>
                <w:color w:val="333F48"/>
                <w:sz w:val="21"/>
                <w:szCs w:val="21"/>
              </w:rPr>
              <w:t>: 02 6203 1605</w:t>
            </w:r>
          </w:p>
          <w:p w14:paraId="000003D5" w14:textId="77777777" w:rsidR="008D3ED4" w:rsidRDefault="00031835">
            <w:pPr>
              <w:pBdr>
                <w:top w:val="nil"/>
                <w:left w:val="nil"/>
                <w:bottom w:val="nil"/>
                <w:right w:val="nil"/>
                <w:between w:val="nil"/>
              </w:pBdr>
              <w:spacing w:after="0" w:line="240" w:lineRule="auto"/>
              <w:jc w:val="center"/>
              <w:rPr>
                <w:b/>
                <w:color w:val="000000"/>
                <w:u w:val="single"/>
              </w:rPr>
            </w:pPr>
            <w:hyperlink r:id="rId34">
              <w:r>
                <w:rPr>
                  <w:b/>
                  <w:color w:val="0000FF"/>
                  <w:sz w:val="21"/>
                  <w:szCs w:val="21"/>
                  <w:u w:val="single"/>
                </w:rPr>
                <w:t>https://www.tga.gov.au</w:t>
              </w:r>
            </w:hyperlink>
          </w:p>
        </w:tc>
      </w:tr>
    </w:tbl>
    <w:p w14:paraId="000003D7" w14:textId="77777777" w:rsidR="008D3ED4" w:rsidRDefault="008D3ED4" w:rsidP="00031835"/>
    <w:sectPr w:rsidR="008D3ED4">
      <w:headerReference w:type="first" r:id="rId35"/>
      <w:footerReference w:type="first" r:id="rId36"/>
      <w:pgSz w:w="11906" w:h="16838"/>
      <w:pgMar w:top="13571" w:right="1701" w:bottom="567" w:left="1701" w:header="1134" w:footer="7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88499" w14:textId="77777777" w:rsidR="00D35764" w:rsidRDefault="00D35764">
      <w:pPr>
        <w:spacing w:after="0" w:line="240" w:lineRule="auto"/>
      </w:pPr>
      <w:r>
        <w:separator/>
      </w:r>
    </w:p>
  </w:endnote>
  <w:endnote w:type="continuationSeparator" w:id="0">
    <w:p w14:paraId="6518E87E" w14:textId="77777777" w:rsidR="00D35764" w:rsidRDefault="00D35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717DC900-EB20-4BED-9415-BE139C040070}"/>
    <w:embedBold r:id="rId2" w:fontKey="{C729BBC7-BD6A-4704-A978-167EE707A4DA}"/>
    <w:embedItalic r:id="rId3" w:fontKey="{401BC113-1421-4584-8DF1-99348D34838F}"/>
    <w:embedBoldItalic r:id="rId4" w:fontKey="{04C97814-D71A-41F4-A1AA-8F547A56F03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F557D8A4-5C9C-4C36-BD8D-1C1010634BF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19B9E1C-9FB9-4537-8B60-D0634CEFBE83}"/>
    <w:embedBold r:id="rId7" w:fontKey="{BF91BA86-F5EA-4209-8F07-37369B06DFE3}"/>
  </w:font>
  <w:font w:name="Calibri">
    <w:panose1 w:val="020F0502020204030204"/>
    <w:charset w:val="00"/>
    <w:family w:val="swiss"/>
    <w:pitch w:val="variable"/>
    <w:sig w:usb0="E4002EFF" w:usb1="C000247B" w:usb2="00000009" w:usb3="00000000" w:csb0="000001FF" w:csb1="00000000"/>
    <w:embedRegular r:id="rId8" w:fontKey="{46D3B24E-D69F-4113-A124-16B446894CCC}"/>
    <w:embedBold r:id="rId9" w:fontKey="{D004AF2C-466B-4536-94C2-E514DD5B3A46}"/>
  </w:font>
  <w:font w:name="Segoe UI">
    <w:panose1 w:val="020B0502040204020203"/>
    <w:charset w:val="00"/>
    <w:family w:val="swiss"/>
    <w:pitch w:val="variable"/>
    <w:sig w:usb0="E4002EFF" w:usb1="C000E47F" w:usb2="00000009" w:usb3="00000000" w:csb0="000001FF" w:csb1="00000000"/>
    <w:embedRegular r:id="rId10" w:fontKey="{5DA0A125-526E-44D8-81EB-635BB09949EF}"/>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1" w:fontKey="{CF1B7AE5-E51D-498A-BFEC-FCA4C61E3B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C" w14:textId="77777777" w:rsidR="008D3ED4" w:rsidRDefault="008D3ED4">
    <w:pPr>
      <w:pBdr>
        <w:top w:val="nil"/>
        <w:left w:val="nil"/>
        <w:bottom w:val="nil"/>
        <w:right w:val="nil"/>
        <w:between w:val="nil"/>
      </w:pBdr>
      <w:tabs>
        <w:tab w:val="center" w:pos="4513"/>
        <w:tab w:val="right" w:pos="9026"/>
      </w:tabs>
      <w:spacing w:after="0" w:line="240" w:lineRule="auto"/>
      <w:rPr>
        <w:color w:val="333F4A"/>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D" w14:textId="77777777" w:rsidR="008D3ED4" w:rsidRDefault="008D3ED4">
    <w:pPr>
      <w:widowControl w:val="0"/>
      <w:pBdr>
        <w:top w:val="nil"/>
        <w:left w:val="nil"/>
        <w:bottom w:val="nil"/>
        <w:right w:val="nil"/>
        <w:between w:val="nil"/>
      </w:pBdr>
      <w:spacing w:after="0" w:line="276" w:lineRule="auto"/>
      <w:rPr>
        <w:color w:val="333F4A"/>
        <w:sz w:val="17"/>
        <w:szCs w:val="17"/>
      </w:rPr>
    </w:pPr>
  </w:p>
  <w:tbl>
    <w:tblPr>
      <w:tblStyle w:val="a9"/>
      <w:tblW w:w="8720" w:type="dxa"/>
      <w:tblBorders>
        <w:top w:val="nil"/>
        <w:left w:val="nil"/>
        <w:bottom w:val="nil"/>
        <w:right w:val="nil"/>
        <w:insideH w:val="nil"/>
        <w:insideV w:val="nil"/>
      </w:tblBorders>
      <w:tblLayout w:type="fixed"/>
      <w:tblLook w:val="0400" w:firstRow="0" w:lastRow="0" w:firstColumn="0" w:lastColumn="0" w:noHBand="0" w:noVBand="1"/>
    </w:tblPr>
    <w:tblGrid>
      <w:gridCol w:w="4360"/>
      <w:gridCol w:w="4360"/>
    </w:tblGrid>
    <w:tr w:rsidR="008D3ED4" w14:paraId="650955AA" w14:textId="77777777">
      <w:trPr>
        <w:cantSplit/>
        <w:trHeight w:val="423"/>
      </w:trPr>
      <w:tc>
        <w:tcPr>
          <w:tcW w:w="4360" w:type="dxa"/>
          <w:tcBorders>
            <w:top w:val="single" w:sz="4" w:space="0" w:color="000000"/>
          </w:tcBorders>
        </w:tcPr>
        <w:p w14:paraId="000003EE" w14:textId="77777777" w:rsidR="008D3ED4" w:rsidRDefault="008D3ED4">
          <w:pPr>
            <w:pBdr>
              <w:top w:val="nil"/>
              <w:left w:val="nil"/>
              <w:bottom w:val="nil"/>
              <w:right w:val="nil"/>
              <w:between w:val="nil"/>
            </w:pBdr>
            <w:tabs>
              <w:tab w:val="center" w:pos="4513"/>
              <w:tab w:val="right" w:pos="9026"/>
            </w:tabs>
            <w:spacing w:before="0"/>
            <w:ind w:left="0" w:right="0"/>
            <w:rPr>
              <w:color w:val="333F4A"/>
              <w:sz w:val="17"/>
              <w:szCs w:val="17"/>
            </w:rPr>
          </w:pPr>
        </w:p>
        <w:p w14:paraId="000003EF" w14:textId="77777777" w:rsidR="008D3ED4" w:rsidRDefault="00031835">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Document title</w:t>
          </w:r>
        </w:p>
      </w:tc>
      <w:tc>
        <w:tcPr>
          <w:tcW w:w="4360" w:type="dxa"/>
          <w:tcBorders>
            <w:top w:val="single" w:sz="4" w:space="0" w:color="000000"/>
          </w:tcBorders>
        </w:tcPr>
        <w:p w14:paraId="000003F0" w14:textId="77777777" w:rsidR="008D3ED4" w:rsidRDefault="008D3ED4">
          <w:pPr>
            <w:pBdr>
              <w:top w:val="nil"/>
              <w:left w:val="nil"/>
              <w:bottom w:val="nil"/>
              <w:right w:val="nil"/>
              <w:between w:val="nil"/>
            </w:pBdr>
            <w:tabs>
              <w:tab w:val="center" w:pos="4513"/>
              <w:tab w:val="right" w:pos="9026"/>
            </w:tabs>
            <w:spacing w:before="0"/>
            <w:ind w:left="0" w:right="0"/>
            <w:jc w:val="right"/>
            <w:rPr>
              <w:color w:val="333F4A"/>
              <w:sz w:val="17"/>
              <w:szCs w:val="17"/>
            </w:rPr>
          </w:pPr>
        </w:p>
        <w:p w14:paraId="000003F1" w14:textId="77777777" w:rsidR="008D3ED4" w:rsidRDefault="00031835">
          <w:pPr>
            <w:pBdr>
              <w:top w:val="nil"/>
              <w:left w:val="nil"/>
              <w:bottom w:val="nil"/>
              <w:right w:val="nil"/>
              <w:between w:val="nil"/>
            </w:pBdr>
            <w:tabs>
              <w:tab w:val="center" w:pos="4513"/>
              <w:tab w:val="right" w:pos="9026"/>
            </w:tabs>
            <w:spacing w:before="0"/>
            <w:ind w:left="0" w:right="0"/>
            <w:jc w:val="right"/>
            <w:rPr>
              <w:color w:val="333F4A"/>
              <w:sz w:val="17"/>
              <w:szCs w:val="17"/>
            </w:rPr>
          </w:pPr>
          <w:r>
            <w:rPr>
              <w:color w:val="333F4A"/>
              <w:sz w:val="17"/>
              <w:szCs w:val="17"/>
            </w:rPr>
            <w:t xml:space="preserve">Page </w:t>
          </w:r>
          <w:r>
            <w:rPr>
              <w:color w:val="333F4A"/>
              <w:sz w:val="17"/>
              <w:szCs w:val="17"/>
            </w:rPr>
            <w:fldChar w:fldCharType="begin"/>
          </w:r>
          <w:r>
            <w:rPr>
              <w:color w:val="333F4A"/>
              <w:sz w:val="17"/>
              <w:szCs w:val="17"/>
            </w:rPr>
            <w:instrText>PAGE</w:instrText>
          </w:r>
          <w:r>
            <w:rPr>
              <w:color w:val="333F4A"/>
              <w:sz w:val="17"/>
              <w:szCs w:val="17"/>
            </w:rPr>
            <w:fldChar w:fldCharType="separate"/>
          </w:r>
          <w:r>
            <w:rPr>
              <w:color w:val="333F4A"/>
              <w:sz w:val="17"/>
              <w:szCs w:val="17"/>
            </w:rPr>
            <w:fldChar w:fldCharType="end"/>
          </w:r>
          <w:r>
            <w:rPr>
              <w:color w:val="333F4A"/>
              <w:sz w:val="17"/>
              <w:szCs w:val="17"/>
            </w:rPr>
            <w:t xml:space="preserve"> of </w:t>
          </w:r>
          <w:r>
            <w:rPr>
              <w:color w:val="333F4A"/>
              <w:sz w:val="17"/>
              <w:szCs w:val="17"/>
            </w:rPr>
            <w:fldChar w:fldCharType="begin"/>
          </w:r>
          <w:r>
            <w:rPr>
              <w:color w:val="333F4A"/>
              <w:sz w:val="17"/>
              <w:szCs w:val="17"/>
            </w:rPr>
            <w:instrText>NUMPAGES</w:instrText>
          </w:r>
          <w:r>
            <w:rPr>
              <w:color w:val="333F4A"/>
              <w:sz w:val="17"/>
              <w:szCs w:val="17"/>
            </w:rPr>
            <w:fldChar w:fldCharType="separate"/>
          </w:r>
          <w:r>
            <w:rPr>
              <w:color w:val="333F4A"/>
              <w:sz w:val="17"/>
              <w:szCs w:val="17"/>
            </w:rPr>
            <w:fldChar w:fldCharType="end"/>
          </w:r>
        </w:p>
      </w:tc>
    </w:tr>
    <w:tr w:rsidR="008D3ED4" w14:paraId="322839D8" w14:textId="77777777">
      <w:trPr>
        <w:cantSplit/>
        <w:trHeight w:val="263"/>
      </w:trPr>
      <w:tc>
        <w:tcPr>
          <w:tcW w:w="4360" w:type="dxa"/>
        </w:tcPr>
        <w:p w14:paraId="000003F2" w14:textId="77777777" w:rsidR="008D3ED4" w:rsidRDefault="00031835">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V1.0 Month 2012</w:t>
          </w:r>
        </w:p>
      </w:tc>
      <w:tc>
        <w:tcPr>
          <w:tcW w:w="4360" w:type="dxa"/>
        </w:tcPr>
        <w:p w14:paraId="000003F3" w14:textId="77777777" w:rsidR="008D3ED4" w:rsidRDefault="008D3ED4">
          <w:pPr>
            <w:pBdr>
              <w:top w:val="nil"/>
              <w:left w:val="nil"/>
              <w:bottom w:val="nil"/>
              <w:right w:val="nil"/>
              <w:between w:val="nil"/>
            </w:pBdr>
            <w:tabs>
              <w:tab w:val="center" w:pos="4513"/>
              <w:tab w:val="right" w:pos="9026"/>
            </w:tabs>
            <w:spacing w:before="0"/>
            <w:ind w:left="0" w:right="0"/>
            <w:jc w:val="right"/>
            <w:rPr>
              <w:color w:val="333F4A"/>
              <w:sz w:val="17"/>
              <w:szCs w:val="17"/>
            </w:rPr>
          </w:pPr>
        </w:p>
      </w:tc>
    </w:tr>
  </w:tbl>
  <w:p w14:paraId="000003F4" w14:textId="77777777" w:rsidR="008D3ED4" w:rsidRDefault="008D3ED4">
    <w:pPr>
      <w:pBdr>
        <w:top w:val="nil"/>
        <w:left w:val="nil"/>
        <w:bottom w:val="nil"/>
        <w:right w:val="nil"/>
        <w:between w:val="nil"/>
      </w:pBdr>
      <w:tabs>
        <w:tab w:val="center" w:pos="4513"/>
        <w:tab w:val="right" w:pos="9026"/>
        <w:tab w:val="left" w:pos="7620"/>
        <w:tab w:val="right" w:pos="8504"/>
      </w:tabs>
      <w:spacing w:after="0" w:line="240" w:lineRule="auto"/>
      <w:rPr>
        <w:color w:val="333F4A"/>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F5" w14:textId="77777777" w:rsidR="008D3ED4" w:rsidRDefault="00031835">
    <w:pPr>
      <w:pBdr>
        <w:top w:val="nil"/>
        <w:left w:val="nil"/>
        <w:bottom w:val="nil"/>
        <w:right w:val="nil"/>
        <w:between w:val="nil"/>
      </w:pBdr>
      <w:tabs>
        <w:tab w:val="center" w:pos="4513"/>
        <w:tab w:val="right" w:pos="9026"/>
      </w:tabs>
      <w:spacing w:after="0" w:line="240" w:lineRule="auto"/>
      <w:ind w:left="-1701"/>
      <w:rPr>
        <w:color w:val="333F4A"/>
        <w:sz w:val="17"/>
        <w:szCs w:val="17"/>
      </w:rPr>
    </w:pPr>
    <w:r>
      <w:rPr>
        <w:color w:val="333F4A"/>
        <w:sz w:val="17"/>
        <w:szCs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F6" w14:textId="77777777" w:rsidR="008D3ED4" w:rsidRDefault="008D3ED4">
    <w:pPr>
      <w:widowControl w:val="0"/>
      <w:pBdr>
        <w:top w:val="nil"/>
        <w:left w:val="nil"/>
        <w:bottom w:val="nil"/>
        <w:right w:val="nil"/>
        <w:between w:val="nil"/>
      </w:pBdr>
      <w:spacing w:after="0" w:line="276" w:lineRule="auto"/>
      <w:rPr>
        <w:color w:val="333F4A"/>
        <w:sz w:val="17"/>
        <w:szCs w:val="17"/>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655"/>
      <w:gridCol w:w="1417"/>
    </w:tblGrid>
    <w:tr w:rsidR="004C4E70" w:rsidRPr="004A3084" w14:paraId="44ECAF49" w14:textId="77777777" w:rsidTr="00B163D0">
      <w:trPr>
        <w:trHeight w:val="423"/>
      </w:trPr>
      <w:tc>
        <w:tcPr>
          <w:tcW w:w="7655" w:type="dxa"/>
          <w:tcBorders>
            <w:top w:val="single" w:sz="4" w:space="0" w:color="auto"/>
          </w:tcBorders>
        </w:tcPr>
        <w:p w14:paraId="3B206E16" w14:textId="77777777" w:rsidR="004C4E70" w:rsidRPr="004A3084" w:rsidRDefault="004C4E70" w:rsidP="004C4E70">
          <w:pPr>
            <w:pStyle w:val="Footer"/>
          </w:pPr>
          <w:r w:rsidRPr="00C44444">
            <w:t xml:space="preserve">AusPAR - Polivy - </w:t>
          </w:r>
          <w:proofErr w:type="spellStart"/>
          <w:r w:rsidRPr="00C44444">
            <w:t>polatuzumab</w:t>
          </w:r>
          <w:proofErr w:type="spellEnd"/>
          <w:r w:rsidRPr="00C44444">
            <w:t xml:space="preserve"> vedotin - Roche Products Pty Limited - Type C - PM-2021-05903-1-6</w:t>
          </w:r>
          <w:r>
            <w:br/>
          </w:r>
          <w:r w:rsidRPr="00487162">
            <w:t>Date of Finalisation</w:t>
          </w:r>
          <w:r>
            <w:t xml:space="preserve"> 30 August</w:t>
          </w:r>
        </w:p>
      </w:tc>
      <w:tc>
        <w:tcPr>
          <w:tcW w:w="1417" w:type="dxa"/>
          <w:tcBorders>
            <w:top w:val="single" w:sz="4" w:space="0" w:color="auto"/>
          </w:tcBorders>
        </w:tcPr>
        <w:sdt>
          <w:sdtPr>
            <w:id w:val="11571659"/>
            <w:docPartObj>
              <w:docPartGallery w:val="Page Numbers (Top of Page)"/>
              <w:docPartUnique/>
            </w:docPartObj>
          </w:sdtPr>
          <w:sdtContent>
            <w:p w14:paraId="662C19F5" w14:textId="77777777" w:rsidR="004C4E70" w:rsidRPr="004A3084" w:rsidRDefault="004C4E70" w:rsidP="004C4E70">
              <w:pPr>
                <w:pStyle w:val="Footer"/>
                <w:jc w:val="right"/>
              </w:pPr>
              <w:r w:rsidRPr="004A3084">
                <w:t xml:space="preserve">Page </w:t>
              </w:r>
              <w:r>
                <w:fldChar w:fldCharType="begin"/>
              </w:r>
              <w:r>
                <w:instrText xml:space="preserve"> PAGE </w:instrText>
              </w:r>
              <w:r>
                <w:fldChar w:fldCharType="separate"/>
              </w:r>
              <w:r>
                <w:rPr>
                  <w:noProof/>
                </w:rPr>
                <w:t>13</w:t>
              </w:r>
              <w:r>
                <w:rPr>
                  <w:noProof/>
                </w:rPr>
                <w:fldChar w:fldCharType="end"/>
              </w:r>
              <w:r w:rsidRPr="004A3084">
                <w:t xml:space="preserve"> of </w:t>
              </w:r>
              <w:r>
                <w:fldChar w:fldCharType="begin"/>
              </w:r>
              <w:r>
                <w:instrText xml:space="preserve"> NUMPAGES  </w:instrText>
              </w:r>
              <w:r>
                <w:fldChar w:fldCharType="separate"/>
              </w:r>
              <w:r>
                <w:rPr>
                  <w:noProof/>
                </w:rPr>
                <w:t>17</w:t>
              </w:r>
              <w:r>
                <w:rPr>
                  <w:noProof/>
                </w:rPr>
                <w:fldChar w:fldCharType="end"/>
              </w:r>
            </w:p>
          </w:sdtContent>
        </w:sdt>
      </w:tc>
    </w:tr>
  </w:tbl>
  <w:p w14:paraId="000003FA" w14:textId="77777777" w:rsidR="008D3ED4" w:rsidRDefault="008D3ED4">
    <w:pPr>
      <w:pBdr>
        <w:top w:val="nil"/>
        <w:left w:val="nil"/>
        <w:bottom w:val="nil"/>
        <w:right w:val="nil"/>
        <w:between w:val="nil"/>
      </w:pBdr>
      <w:tabs>
        <w:tab w:val="center" w:pos="4513"/>
        <w:tab w:val="right" w:pos="9026"/>
        <w:tab w:val="left" w:pos="7620"/>
        <w:tab w:val="right" w:pos="8504"/>
      </w:tabs>
      <w:spacing w:after="0" w:line="240" w:lineRule="auto"/>
      <w:rPr>
        <w:color w:val="333F4A"/>
        <w:sz w:val="17"/>
        <w:szCs w:val="17"/>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FB" w14:textId="77777777" w:rsidR="008D3ED4" w:rsidRDefault="008D3ED4">
    <w:pPr>
      <w:pBdr>
        <w:top w:val="nil"/>
        <w:left w:val="nil"/>
        <w:bottom w:val="nil"/>
        <w:right w:val="nil"/>
        <w:between w:val="nil"/>
      </w:pBdr>
      <w:tabs>
        <w:tab w:val="center" w:pos="4513"/>
        <w:tab w:val="right" w:pos="9026"/>
      </w:tabs>
      <w:spacing w:after="0" w:line="240" w:lineRule="auto"/>
      <w:rPr>
        <w:color w:val="333F4A"/>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0D9BC" w14:textId="77777777" w:rsidR="00D35764" w:rsidRDefault="00D35764">
      <w:pPr>
        <w:spacing w:after="0" w:line="240" w:lineRule="auto"/>
      </w:pPr>
      <w:r>
        <w:separator/>
      </w:r>
    </w:p>
  </w:footnote>
  <w:footnote w:type="continuationSeparator" w:id="0">
    <w:p w14:paraId="0E9DC3A8" w14:textId="77777777" w:rsidR="00D35764" w:rsidRDefault="00D35764">
      <w:pPr>
        <w:spacing w:after="0" w:line="240" w:lineRule="auto"/>
      </w:pPr>
      <w:r>
        <w:continuationSeparator/>
      </w:r>
    </w:p>
  </w:footnote>
  <w:footnote w:id="1">
    <w:p w14:paraId="000003D8"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This is the original indication proposed by the sponsor when the TGA commenced the evaluation of this submission. It may differ to the final indication approved by the TGA and registered in the Australian Register of Therapeutic Goods.</w:t>
      </w:r>
    </w:p>
  </w:footnote>
  <w:footnote w:id="2">
    <w:p w14:paraId="000003D9"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National Comprehensive Cancer Network (NCCN). NCCN Clinical Practice Guidelines in Oncology. B-Cell Lymphomas. Version 3.2022. 2022. Available from: https://www.nccn.org/professionals/physician_gls/pdf/b-cell.pdf</w:t>
      </w:r>
    </w:p>
  </w:footnote>
  <w:footnote w:id="3">
    <w:p w14:paraId="000003DA"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Beham-Schmid C. Aggressive lymphoma 2016: revision of the WHO classification. Memo. 2017; 10(4): 248-254. doi: 10.1007/s12254-017-0367-8. Epub 2017 No v 30.</w:t>
      </w:r>
    </w:p>
  </w:footnote>
  <w:footnote w:id="4">
    <w:p w14:paraId="000003DB" w14:textId="77777777" w:rsidR="008D3ED4" w:rsidRPr="00AF1566" w:rsidRDefault="00031835">
      <w:pPr>
        <w:keepLines/>
        <w:pBdr>
          <w:top w:val="nil"/>
          <w:left w:val="nil"/>
          <w:bottom w:val="nil"/>
          <w:right w:val="nil"/>
          <w:between w:val="nil"/>
        </w:pBdr>
        <w:spacing w:after="0"/>
        <w:rPr>
          <w:color w:val="333F48"/>
          <w:sz w:val="17"/>
          <w:szCs w:val="17"/>
          <w:lang w:val="fr-CH"/>
        </w:rPr>
      </w:pPr>
      <w:r>
        <w:rPr>
          <w:rStyle w:val="FootnoteReference"/>
        </w:rPr>
        <w:footnoteRef/>
      </w:r>
      <w:r>
        <w:rPr>
          <w:color w:val="333F48"/>
          <w:sz w:val="17"/>
          <w:szCs w:val="17"/>
        </w:rPr>
        <w:t xml:space="preserve"> Swerdlow SH, Campo E, Pileri SA et al. The 2016 revision of the World Health Organization classification of lymphoid neoplasms. </w:t>
      </w:r>
      <w:r w:rsidRPr="00AF1566">
        <w:rPr>
          <w:color w:val="333F48"/>
          <w:sz w:val="17"/>
          <w:szCs w:val="17"/>
          <w:lang w:val="fr-CH"/>
        </w:rPr>
        <w:t xml:space="preserve">Blood. </w:t>
      </w:r>
      <w:proofErr w:type="gramStart"/>
      <w:r w:rsidRPr="00AF1566">
        <w:rPr>
          <w:color w:val="333F48"/>
          <w:sz w:val="17"/>
          <w:szCs w:val="17"/>
          <w:lang w:val="fr-CH"/>
        </w:rPr>
        <w:t>2016;</w:t>
      </w:r>
      <w:proofErr w:type="gramEnd"/>
      <w:r w:rsidRPr="00AF1566">
        <w:rPr>
          <w:color w:val="333F48"/>
          <w:sz w:val="17"/>
          <w:szCs w:val="17"/>
          <w:lang w:val="fr-CH"/>
        </w:rPr>
        <w:t xml:space="preserve"> 127 (20): 2375-90.</w:t>
      </w:r>
    </w:p>
  </w:footnote>
  <w:footnote w:id="5">
    <w:p w14:paraId="000003DC" w14:textId="77777777" w:rsidR="008D3ED4" w:rsidRPr="00AF1566" w:rsidRDefault="00031835">
      <w:pPr>
        <w:keepLines/>
        <w:pBdr>
          <w:top w:val="nil"/>
          <w:left w:val="nil"/>
          <w:bottom w:val="nil"/>
          <w:right w:val="nil"/>
          <w:between w:val="nil"/>
        </w:pBdr>
        <w:spacing w:after="0"/>
        <w:rPr>
          <w:color w:val="333F48"/>
          <w:sz w:val="17"/>
          <w:szCs w:val="17"/>
          <w:lang w:val="fr-CH"/>
        </w:rPr>
      </w:pPr>
      <w:r>
        <w:rPr>
          <w:rStyle w:val="FootnoteReference"/>
        </w:rPr>
        <w:footnoteRef/>
      </w:r>
      <w:r w:rsidRPr="00AF1566">
        <w:rPr>
          <w:color w:val="333F48"/>
          <w:sz w:val="17"/>
          <w:szCs w:val="17"/>
          <w:lang w:val="fr-CH"/>
        </w:rPr>
        <w:t xml:space="preserve"> Sehn LH, Salles G. Diffuse Large B-Cell Lymphoma. N Engl J Med. </w:t>
      </w:r>
      <w:proofErr w:type="gramStart"/>
      <w:r w:rsidRPr="00AF1566">
        <w:rPr>
          <w:color w:val="333F48"/>
          <w:sz w:val="17"/>
          <w:szCs w:val="17"/>
          <w:lang w:val="fr-CH"/>
        </w:rPr>
        <w:t>2021;</w:t>
      </w:r>
      <w:proofErr w:type="gramEnd"/>
      <w:r w:rsidRPr="00AF1566">
        <w:rPr>
          <w:color w:val="333F48"/>
          <w:sz w:val="17"/>
          <w:szCs w:val="17"/>
          <w:lang w:val="fr-CH"/>
        </w:rPr>
        <w:t xml:space="preserve"> 384 (9): 842-858.</w:t>
      </w:r>
    </w:p>
  </w:footnote>
  <w:footnote w:id="6">
    <w:p w14:paraId="000003DD"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sidRPr="00AF1566">
        <w:rPr>
          <w:color w:val="333F48"/>
          <w:sz w:val="17"/>
          <w:szCs w:val="17"/>
          <w:lang w:val="fr-CH"/>
        </w:rPr>
        <w:t xml:space="preserve"> Martelli M, Ferreri AJ, Agostinelli C et al. </w:t>
      </w:r>
      <w:r>
        <w:rPr>
          <w:color w:val="333F48"/>
          <w:sz w:val="17"/>
          <w:szCs w:val="17"/>
        </w:rPr>
        <w:t>Diffuse large B-cell lymphoma. Crit Rev Oncol Hematol. 2013; 87 (2): 146-71.</w:t>
      </w:r>
    </w:p>
  </w:footnote>
  <w:footnote w:id="7">
    <w:p w14:paraId="000003DE"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Tilly H, Gomes da Silva M, Vitolo U et al. Diffuse large B-cell lymphoma (DLBCL): ESMO Clinical Practice Guidelines for diagnosis, </w:t>
      </w:r>
      <w:proofErr w:type="gramStart"/>
      <w:r>
        <w:rPr>
          <w:color w:val="333F48"/>
          <w:sz w:val="17"/>
          <w:szCs w:val="17"/>
        </w:rPr>
        <w:t>treatment</w:t>
      </w:r>
      <w:proofErr w:type="gramEnd"/>
      <w:r>
        <w:rPr>
          <w:color w:val="333F48"/>
          <w:sz w:val="17"/>
          <w:szCs w:val="17"/>
        </w:rPr>
        <w:t xml:space="preserve"> and follow-up. Ann Oncol. 2015; 26 Suppl 5: v116-25.</w:t>
      </w:r>
    </w:p>
  </w:footnote>
  <w:footnote w:id="8">
    <w:p w14:paraId="000003DF"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Chaganti S, Illidge T, Barrington S et al. Guidelines for the management of diffuse large B-cell lymphoma. Br J Haematol. 2016; 174 (1): 43-56.</w:t>
      </w:r>
    </w:p>
  </w:footnote>
  <w:footnote w:id="9">
    <w:p w14:paraId="000003E0"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Polatuzumab vedotin is a CD79b-targeted antibody drug conjugate (ADC) that preferentially delivers a potent anti-mitotic agent (monomethyl auristatin E [MMAE]) to B cells, which results in anti-cancer activity against B-cell </w:t>
      </w:r>
      <w:proofErr w:type="gramStart"/>
      <w:r>
        <w:rPr>
          <w:color w:val="333F48"/>
          <w:sz w:val="17"/>
          <w:szCs w:val="17"/>
        </w:rPr>
        <w:t>malignancies</w:t>
      </w:r>
      <w:proofErr w:type="gramEnd"/>
    </w:p>
  </w:footnote>
  <w:footnote w:id="10">
    <w:p w14:paraId="000003E1"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Bai RL, Pettit GR, Hamel E. Binding of dolastatin 10 to tubulin at a distinct site for peptide antimitotic agents near the exchangeable nucleotide and vinca alkaloid sites. J Biol Chem. 1990 Oct 5;265(28):17141-9. PMID: 2211617.</w:t>
      </w:r>
    </w:p>
  </w:footnote>
  <w:footnote w:id="11">
    <w:p w14:paraId="000003E2"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Francisco JA, Cerveny CG, Meyer DL, Mixan BJ, Klussman K, Chace DF, Rejniak SX, Gordon KA, DeBlanc R, Toki BE, Law CL, Doronina SO, Siegall CB, Senter PD, Wahl AF. cAC10-vcMMAE, an anti-CD30-monomethyl auristatin E conjugate with potent and selective antitumor activity. Blood. 2003 Aug 15;102(4):1458-65. doi: 10.1182/blood-2003-01-0039. Epub 2003 Apr 24. PMID: 12714494.</w:t>
      </w:r>
    </w:p>
  </w:footnote>
  <w:footnote w:id="12">
    <w:p w14:paraId="000003E3"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Doronina SO, Toki BE, Torgov MY, Mendelsohn BA, Cerveny CG, Chace DF, DeBlanc RL, Gearing RP, Bovee TD, Siegall CB, Francisco JA, Wahl AF, Meyer DL, Senter PD. Development of potent monoclonal antibody auristatin conjugates for cancer therapy. Nat Biotechnol. 2003 Jul;21(7):778-84. doi: 10.1038/nbt832. Epub 2003 Jun 1. PMID: 12778055.</w:t>
      </w:r>
    </w:p>
  </w:footnote>
  <w:footnote w:id="13">
    <w:p w14:paraId="000003E4" w14:textId="77777777" w:rsidR="008D3ED4" w:rsidRDefault="00031835">
      <w:pPr>
        <w:keepLines/>
        <w:pBdr>
          <w:top w:val="nil"/>
          <w:left w:val="nil"/>
          <w:bottom w:val="nil"/>
          <w:right w:val="nil"/>
          <w:between w:val="nil"/>
        </w:pBdr>
        <w:spacing w:after="0"/>
        <w:rPr>
          <w:color w:val="333F48"/>
          <w:sz w:val="17"/>
          <w:szCs w:val="17"/>
        </w:rPr>
      </w:pPr>
      <w:r>
        <w:rPr>
          <w:rStyle w:val="FootnoteReference"/>
        </w:rPr>
        <w:footnoteRef/>
      </w:r>
      <w:r>
        <w:rPr>
          <w:color w:val="333F48"/>
          <w:sz w:val="17"/>
          <w:szCs w:val="17"/>
        </w:rPr>
        <w:t xml:space="preserve">  The ‘Delegate’ is the Delegate of the Secretary of the Department of Health and Aged Care who made the final decision to either include the new medicine/indication on the ARTG or reject the submission, under section 25 of the Therapeutic Goods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5" w14:textId="77777777" w:rsidR="008D3ED4" w:rsidRDefault="008D3ED4">
    <w:pPr>
      <w:pBdr>
        <w:top w:val="nil"/>
        <w:left w:val="nil"/>
        <w:bottom w:val="single" w:sz="4" w:space="3"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6" w14:textId="77777777" w:rsidR="008D3ED4" w:rsidRDefault="008D3ED4">
    <w:pPr>
      <w:pBdr>
        <w:top w:val="nil"/>
        <w:left w:val="nil"/>
        <w:bottom w:val="single" w:sz="4" w:space="3" w:color="000000"/>
        <w:right w:val="nil"/>
        <w:between w:val="nil"/>
      </w:pBdr>
      <w:tabs>
        <w:tab w:val="center" w:pos="4513"/>
        <w:tab w:val="right" w:pos="9026"/>
      </w:tabs>
      <w:spacing w:after="0" w:line="240" w:lineRule="auto"/>
      <w:rPr>
        <w:rFonts w:ascii="Arial" w:eastAsia="Arial" w:hAnsi="Arial" w:cs="Arial"/>
        <w:color w:val="333F4A"/>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7" w14:textId="77777777" w:rsidR="008D3ED4" w:rsidRDefault="008D3ED4">
    <w:pPr>
      <w:widowControl w:val="0"/>
      <w:pBdr>
        <w:top w:val="nil"/>
        <w:left w:val="nil"/>
        <w:bottom w:val="nil"/>
        <w:right w:val="nil"/>
        <w:between w:val="nil"/>
      </w:pBdr>
      <w:spacing w:after="0" w:line="276" w:lineRule="auto"/>
      <w:rPr>
        <w:rFonts w:ascii="Arial" w:eastAsia="Arial" w:hAnsi="Arial" w:cs="Arial"/>
        <w:color w:val="333F4A"/>
        <w:sz w:val="17"/>
        <w:szCs w:val="17"/>
      </w:rPr>
    </w:pPr>
  </w:p>
  <w:tbl>
    <w:tblPr>
      <w:tblStyle w:val="a8"/>
      <w:tblpPr w:leftFromText="181" w:rightFromText="181" w:vertAnchor="page" w:horzAnchor="page" w:tblpX="1" w:tblpY="8999"/>
      <w:tblW w:w="11964" w:type="dxa"/>
      <w:tblBorders>
        <w:top w:val="nil"/>
        <w:left w:val="nil"/>
        <w:bottom w:val="nil"/>
        <w:right w:val="nil"/>
        <w:insideH w:val="nil"/>
        <w:insideV w:val="nil"/>
      </w:tblBorders>
      <w:tblLayout w:type="fixed"/>
      <w:tblLook w:val="0400" w:firstRow="0" w:lastRow="0" w:firstColumn="0" w:lastColumn="0" w:noHBand="0" w:noVBand="1"/>
    </w:tblPr>
    <w:tblGrid>
      <w:gridCol w:w="11964"/>
    </w:tblGrid>
    <w:tr w:rsidR="008D3ED4" w14:paraId="34542219" w14:textId="77777777">
      <w:trPr>
        <w:cantSplit/>
        <w:trHeight w:val="8845"/>
      </w:trPr>
      <w:tc>
        <w:tcPr>
          <w:tcW w:w="11964" w:type="dxa"/>
          <w:vAlign w:val="center"/>
        </w:tcPr>
        <w:p w14:paraId="000003E8" w14:textId="77777777" w:rsidR="008D3ED4" w:rsidRDefault="00031835">
          <w:pPr>
            <w:ind w:left="-57"/>
          </w:pPr>
          <w:r>
            <w:rPr>
              <w:noProof/>
            </w:rPr>
            <w:drawing>
              <wp:inline distT="0" distB="0" distL="0" distR="0" wp14:anchorId="4B00CB76" wp14:editId="788A41EF">
                <wp:extent cx="7631430" cy="5523865"/>
                <wp:effectExtent l="0" t="0" r="0" b="0"/>
                <wp:docPr id="2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1430" cy="5523865"/>
                        </a:xfrm>
                        <a:prstGeom prst="rect">
                          <a:avLst/>
                        </a:prstGeom>
                        <a:ln/>
                      </pic:spPr>
                    </pic:pic>
                  </a:graphicData>
                </a:graphic>
              </wp:inline>
            </w:drawing>
          </w:r>
        </w:p>
      </w:tc>
    </w:tr>
  </w:tbl>
  <w:p w14:paraId="000003E9" w14:textId="77777777" w:rsidR="008D3ED4" w:rsidRDefault="00031835">
    <w:r>
      <w:rPr>
        <w:noProof/>
      </w:rPr>
      <w:drawing>
        <wp:anchor distT="0" distB="0" distL="114300" distR="114300" simplePos="0" relativeHeight="251658240" behindDoc="0" locked="0" layoutInCell="1" hidden="0" allowOverlap="1" wp14:anchorId="6B106662" wp14:editId="6F34A17A">
          <wp:simplePos x="0" y="0"/>
          <wp:positionH relativeFrom="page">
            <wp:align>left</wp:align>
          </wp:positionH>
          <wp:positionV relativeFrom="page">
            <wp:posOffset>3239495</wp:posOffset>
          </wp:positionV>
          <wp:extent cx="7663815" cy="4323091"/>
          <wp:effectExtent l="0" t="0" r="0" b="0"/>
          <wp:wrapNone/>
          <wp:docPr id="2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663815" cy="432309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123CA78" wp14:editId="651B2EE4">
          <wp:simplePos x="0" y="0"/>
          <wp:positionH relativeFrom="column">
            <wp:posOffset>-400049</wp:posOffset>
          </wp:positionH>
          <wp:positionV relativeFrom="paragraph">
            <wp:posOffset>-116204</wp:posOffset>
          </wp:positionV>
          <wp:extent cx="2676525" cy="621665"/>
          <wp:effectExtent l="0" t="0" r="0" b="0"/>
          <wp:wrapTopAndBottom distT="0" distB="0"/>
          <wp:docPr id="2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a:stretch>
                    <a:fillRect/>
                  </a:stretch>
                </pic:blipFill>
                <pic:spPr>
                  <a:xfrm>
                    <a:off x="0" y="0"/>
                    <a:ext cx="2676525" cy="62166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A" w14:textId="77777777" w:rsidR="008D3ED4" w:rsidRDefault="00031835">
    <w:pPr>
      <w:pBdr>
        <w:top w:val="nil"/>
        <w:left w:val="nil"/>
        <w:bottom w:val="single" w:sz="4" w:space="3"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r>
      <w:rPr>
        <w:rFonts w:ascii="Arial" w:eastAsia="Arial" w:hAnsi="Arial" w:cs="Arial"/>
        <w:color w:val="333F4A"/>
        <w:sz w:val="17"/>
        <w:szCs w:val="17"/>
      </w:rP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B" w14:textId="77777777" w:rsidR="008D3ED4" w:rsidRDefault="008D3ED4">
    <w:pPr>
      <w:pBdr>
        <w:top w:val="nil"/>
        <w:left w:val="nil"/>
        <w:bottom w:val="none" w:sz="0" w:space="0"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640A"/>
    <w:multiLevelType w:val="multilevel"/>
    <w:tmpl w:val="9B50C698"/>
    <w:lvl w:ilvl="0">
      <w:start w:val="1"/>
      <w:numFmt w:val="bullet"/>
      <w:pStyle w:val="ListBullet"/>
      <w:lvlText w:val="•"/>
      <w:lvlJc w:val="left"/>
      <w:pPr>
        <w:ind w:left="360" w:hanging="360"/>
      </w:pPr>
      <w:rPr>
        <w:rFonts w:ascii="Cambria" w:hAnsi="Cambria" w:hint="default"/>
      </w:rPr>
    </w:lvl>
    <w:lvl w:ilvl="1">
      <w:start w:val="1"/>
      <w:numFmt w:val="bullet"/>
      <w:pStyle w:val="List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36A61"/>
    <w:multiLevelType w:val="multilevel"/>
    <w:tmpl w:val="D6D42B8E"/>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744EF7"/>
    <w:multiLevelType w:val="multilevel"/>
    <w:tmpl w:val="4E5812DE"/>
    <w:lvl w:ilvl="0">
      <w:start w:val="4"/>
      <w:numFmt w:val="bullet"/>
      <w:lvlText w:val="•"/>
      <w:lvlJc w:val="left"/>
      <w:pPr>
        <w:ind w:left="360" w:hanging="360"/>
      </w:pPr>
      <w:rPr>
        <w:rFonts w:ascii="Cambria" w:eastAsia="Cambria" w:hAnsi="Cambria" w:cs="Cambria"/>
      </w:rPr>
    </w:lvl>
    <w:lvl w:ilvl="1">
      <w:start w:val="1"/>
      <w:numFmt w:val="bullet"/>
      <w:lvlText w:val="–"/>
      <w:lvlJc w:val="left"/>
      <w:pPr>
        <w:ind w:left="720" w:hanging="360"/>
      </w:pPr>
      <w:rPr>
        <w:rFonts w:ascii="Arial" w:eastAsia="Arial" w:hAnsi="Arial" w:cs="Arial"/>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 w15:restartNumberingAfterBreak="0">
    <w:nsid w:val="2E1761B8"/>
    <w:multiLevelType w:val="multilevel"/>
    <w:tmpl w:val="2FFE91C2"/>
    <w:lvl w:ilvl="0">
      <w:start w:val="1"/>
      <w:numFmt w:val="bullet"/>
      <w:pStyle w:val="Numberbullet3"/>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 w15:restartNumberingAfterBreak="0">
    <w:nsid w:val="37EB60A4"/>
    <w:multiLevelType w:val="multilevel"/>
    <w:tmpl w:val="9398D1EE"/>
    <w:lvl w:ilvl="0">
      <w:start w:val="1"/>
      <w:numFmt w:val="bullet"/>
      <w:pStyle w:val="ListBullet-donotcross"/>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5" w15:restartNumberingAfterBreak="0">
    <w:nsid w:val="381D6744"/>
    <w:multiLevelType w:val="multilevel"/>
    <w:tmpl w:val="B4E8964C"/>
    <w:lvl w:ilvl="0">
      <w:start w:val="1"/>
      <w:numFmt w:val="bullet"/>
      <w:pStyle w:val="ListBullet-dotick"/>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6" w15:restartNumberingAfterBreak="0">
    <w:nsid w:val="51D80A34"/>
    <w:multiLevelType w:val="multilevel"/>
    <w:tmpl w:val="26FA97C6"/>
    <w:lvl w:ilvl="0">
      <w:start w:val="1"/>
      <w:numFmt w:val="bullet"/>
      <w:pStyle w:val="ListBullet3"/>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7" w15:restartNumberingAfterBreak="0">
    <w:nsid w:val="5BA76CFD"/>
    <w:multiLevelType w:val="multilevel"/>
    <w:tmpl w:val="FB72ED60"/>
    <w:lvl w:ilvl="0">
      <w:start w:val="1"/>
      <w:numFmt w:val="bullet"/>
      <w:pStyle w:val="Numberbullet"/>
      <w:lvlText w:val="●"/>
      <w:lvlJc w:val="left"/>
      <w:pPr>
        <w:ind w:left="720" w:hanging="360"/>
      </w:pPr>
      <w:rPr>
        <w:rFonts w:ascii="Noto Sans Symbols" w:eastAsia="Noto Sans Symbols" w:hAnsi="Noto Sans Symbols" w:cs="Noto Sans Symbols"/>
      </w:rPr>
    </w:lvl>
    <w:lvl w:ilvl="1">
      <w:start w:val="1"/>
      <w:numFmt w:val="bullet"/>
      <w:pStyle w:val="Numberbullet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CC4CA7"/>
    <w:multiLevelType w:val="multilevel"/>
    <w:tmpl w:val="D9005276"/>
    <w:lvl w:ilvl="0">
      <w:start w:val="1"/>
      <w:numFmt w:val="decimal"/>
      <w:lvlText w:val="%1."/>
      <w:lvlJc w:val="left"/>
      <w:pPr>
        <w:ind w:left="360" w:hanging="360"/>
      </w:pPr>
      <w:rPr>
        <w:rFonts w:ascii="Arial" w:eastAsia="Arial" w:hAnsi="Arial" w:cs="Arial"/>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num w:numId="1" w16cid:durableId="2045979110">
    <w:abstractNumId w:val="0"/>
  </w:num>
  <w:num w:numId="2" w16cid:durableId="1485462649">
    <w:abstractNumId w:val="7"/>
  </w:num>
  <w:num w:numId="3" w16cid:durableId="517502289">
    <w:abstractNumId w:val="6"/>
  </w:num>
  <w:num w:numId="4" w16cid:durableId="306252520">
    <w:abstractNumId w:val="3"/>
  </w:num>
  <w:num w:numId="5" w16cid:durableId="2136016808">
    <w:abstractNumId w:val="5"/>
  </w:num>
  <w:num w:numId="6" w16cid:durableId="1157578508">
    <w:abstractNumId w:val="4"/>
  </w:num>
  <w:num w:numId="7" w16cid:durableId="780153575">
    <w:abstractNumId w:val="2"/>
  </w:num>
  <w:num w:numId="8" w16cid:durableId="558444898">
    <w:abstractNumId w:val="8"/>
  </w:num>
  <w:num w:numId="9" w16cid:durableId="369646293">
    <w:abstractNumId w:val="1"/>
  </w:num>
  <w:num w:numId="10" w16cid:durableId="1709143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26736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3168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ED4"/>
    <w:rsid w:val="00023362"/>
    <w:rsid w:val="000273FA"/>
    <w:rsid w:val="00031835"/>
    <w:rsid w:val="0009471E"/>
    <w:rsid w:val="00136DCE"/>
    <w:rsid w:val="001561C1"/>
    <w:rsid w:val="002767FE"/>
    <w:rsid w:val="002B6464"/>
    <w:rsid w:val="00402831"/>
    <w:rsid w:val="004C4E70"/>
    <w:rsid w:val="0053783D"/>
    <w:rsid w:val="005F30BB"/>
    <w:rsid w:val="005F5137"/>
    <w:rsid w:val="006359E7"/>
    <w:rsid w:val="006649FA"/>
    <w:rsid w:val="006F168C"/>
    <w:rsid w:val="007228E4"/>
    <w:rsid w:val="0081529A"/>
    <w:rsid w:val="008344A7"/>
    <w:rsid w:val="00834D27"/>
    <w:rsid w:val="008D3ED4"/>
    <w:rsid w:val="008F783B"/>
    <w:rsid w:val="009249DD"/>
    <w:rsid w:val="00AA7777"/>
    <w:rsid w:val="00AF1566"/>
    <w:rsid w:val="00BC5B65"/>
    <w:rsid w:val="00BF4D18"/>
    <w:rsid w:val="00C91EA2"/>
    <w:rsid w:val="00D35764"/>
    <w:rsid w:val="00D82EA6"/>
    <w:rsid w:val="00DA1ADC"/>
    <w:rsid w:val="00EE6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AE6F5"/>
  <w15:docId w15:val="{0AA347D5-2A29-4196-A86D-D1931EF7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70"/>
  </w:style>
  <w:style w:type="paragraph" w:styleId="Heading1">
    <w:name w:val="heading 1"/>
    <w:basedOn w:val="Heading2"/>
    <w:next w:val="Normal"/>
    <w:link w:val="Heading1Char"/>
    <w:uiPriority w:val="9"/>
    <w:qFormat/>
    <w:rsid w:val="00C03EC5"/>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uiPriority w:val="9"/>
    <w:unhideWhenUsed/>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uiPriority w:val="9"/>
    <w:unhideWhenUsed/>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uiPriority w:val="9"/>
    <w:unhideWhenUsed/>
    <w:qFormat/>
    <w:rsid w:val="00F02AEC"/>
    <w:pPr>
      <w:keepNext/>
      <w:keepLines/>
      <w:spacing w:before="360" w:line="240" w:lineRule="atLeast"/>
      <w:outlineLvl w:val="3"/>
    </w:pPr>
    <w:rPr>
      <w:rFonts w:ascii="Arial" w:hAnsi="Arial" w:cs="Times New Roman"/>
      <w:b/>
      <w:bCs/>
      <w:color w:val="001871"/>
      <w:sz w:val="28"/>
      <w:szCs w:val="26"/>
    </w:rPr>
  </w:style>
  <w:style w:type="paragraph" w:styleId="Heading5">
    <w:name w:val="heading 5"/>
    <w:basedOn w:val="Normal"/>
    <w:next w:val="Normal"/>
    <w:link w:val="Heading5Char"/>
    <w:uiPriority w:val="9"/>
    <w:unhideWhenUsed/>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unhideWhenUsed/>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C03EC5"/>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table" w:customStyle="1" w:styleId="TableTGAblue2023">
    <w:name w:val="Table TGA blue 2023"/>
    <w:basedOn w:val="TableNormal"/>
    <w:uiPriority w:val="99"/>
    <w:qFormat/>
    <w:rsid w:val="008329DB"/>
    <w:pPr>
      <w:spacing w:before="80" w:after="40" w:line="264" w:lineRule="auto"/>
      <w:ind w:left="113"/>
    </w:pPr>
    <w:rPr>
      <w:rFonts w:ascii="Arial"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4C4E70"/>
    <w:pPr>
      <w:numPr>
        <w:numId w:val="1"/>
      </w:numPr>
      <w:spacing w:before="120" w:after="180" w:line="240" w:lineRule="atLeast"/>
    </w:pPr>
    <w:rPr>
      <w:rFonts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pPr>
    <w:rPr>
      <w:rFonts w:cs="Times New Roman"/>
    </w:rPr>
  </w:style>
  <w:style w:type="numbering" w:customStyle="1" w:styleId="ListBullets">
    <w:name w:val="ListBullets"/>
    <w:uiPriority w:val="99"/>
    <w:locked/>
    <w:rsid w:val="00F02AEC"/>
  </w:style>
  <w:style w:type="paragraph" w:customStyle="1" w:styleId="Numberbullet">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hAnsi="Arial" w:cs="Times New Roman"/>
      <w:color w:val="333F48"/>
    </w:rPr>
  </w:style>
  <w:style w:type="numbering" w:customStyle="1" w:styleId="NumberBullet0">
    <w:name w:val="NumberBullet"/>
    <w:uiPriority w:val="99"/>
    <w:locked/>
    <w:rsid w:val="00F02AEC"/>
  </w:style>
  <w:style w:type="paragraph" w:styleId="Subtitle">
    <w:name w:val="Subtitle"/>
    <w:basedOn w:val="Normal"/>
    <w:next w:val="Normal"/>
    <w:link w:val="SubtitleChar"/>
    <w:uiPriority w:val="11"/>
    <w:qFormat/>
    <w:pPr>
      <w:spacing w:after="0"/>
      <w:ind w:left="170"/>
    </w:pPr>
    <w:rPr>
      <w:rFonts w:ascii="Arial" w:eastAsia="Arial" w:hAnsi="Arial" w:cs="Arial"/>
      <w:color w:val="006BA6"/>
      <w:sz w:val="40"/>
      <w:szCs w:val="40"/>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hAnsi="Arial" w:cs="Times New Roman"/>
      <w:b/>
      <w:color w:val="333F48"/>
      <w:sz w:val="28"/>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hAnsi="Arial" w:cs="Times New Roman"/>
      <w:b/>
      <w:sz w:val="32"/>
    </w:rPr>
  </w:style>
  <w:style w:type="table" w:customStyle="1" w:styleId="TableTGAblue">
    <w:name w:val="Table TGA blue"/>
    <w:basedOn w:val="TableNormal"/>
    <w:uiPriority w:val="99"/>
    <w:qFormat/>
    <w:rsid w:val="00324B33"/>
    <w:pPr>
      <w:spacing w:after="0" w:line="240" w:lineRule="auto"/>
      <w:ind w:left="170" w:right="170"/>
    </w:pPr>
    <w:rPr>
      <w:rFonts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cs="Times New Roman"/>
      <w:i/>
      <w:color w:val="007099"/>
    </w:rPr>
  </w:style>
  <w:style w:type="paragraph" w:customStyle="1" w:styleId="TableTitle">
    <w:name w:val="Table Title"/>
    <w:basedOn w:val="Normal"/>
    <w:qFormat/>
    <w:rsid w:val="00324B33"/>
    <w:pPr>
      <w:keepNext/>
      <w:spacing w:before="120" w:line="240" w:lineRule="atLeast"/>
    </w:pPr>
    <w:rPr>
      <w:rFonts w:cs="Times New Roman"/>
      <w:b/>
    </w:rPr>
  </w:style>
  <w:style w:type="paragraph" w:customStyle="1" w:styleId="TableDescription">
    <w:name w:val="Table Description"/>
    <w:basedOn w:val="Normal"/>
    <w:qFormat/>
    <w:rsid w:val="00854D98"/>
    <w:pPr>
      <w:spacing w:before="120" w:line="240" w:lineRule="auto"/>
    </w:pPr>
    <w:rPr>
      <w:rFonts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
    <w:qFormat/>
    <w:rsid w:val="007575D0"/>
    <w:rPr>
      <w:b/>
      <w:bCs/>
      <w:i/>
      <w:iCs/>
    </w:rPr>
  </w:style>
  <w:style w:type="character" w:customStyle="1" w:styleId="Heading1Char">
    <w:name w:val="Heading 1 Char"/>
    <w:basedOn w:val="DefaultParagraphFont"/>
    <w:link w:val="Heading1"/>
    <w:rsid w:val="00C03EC5"/>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C03EC5"/>
    <w:rPr>
      <w:rFonts w:ascii="Cambria" w:eastAsia="Times New Roman" w:hAnsi="Cambria" w:cs="Times New Roman"/>
      <w:bCs/>
      <w:szCs w:val="24"/>
    </w:rPr>
  </w:style>
  <w:style w:type="paragraph" w:customStyle="1" w:styleId="AxisLabel">
    <w:name w:val="Axis Label"/>
    <w:basedOn w:val="Normal"/>
    <w:qFormat/>
    <w:rsid w:val="00C03EC5"/>
    <w:pPr>
      <w:spacing w:before="120" w:after="0" w:line="240" w:lineRule="auto"/>
    </w:pPr>
    <w:rPr>
      <w:rFonts w:ascii="Arial" w:hAnsi="Arial" w:cs="Times New Roman"/>
      <w:noProof/>
      <w:sz w:val="14"/>
      <w:lang w:eastAsia="en-AU"/>
    </w:rPr>
  </w:style>
  <w:style w:type="paragraph" w:customStyle="1" w:styleId="AxisTitle">
    <w:name w:val="Axis Title"/>
    <w:basedOn w:val="Normal"/>
    <w:qFormat/>
    <w:rsid w:val="00C03EC5"/>
    <w:pPr>
      <w:spacing w:before="120" w:after="0" w:line="240" w:lineRule="auto"/>
    </w:pPr>
    <w:rPr>
      <w:rFonts w:ascii="Arial" w:hAnsi="Arial" w:cs="Times New Roman"/>
      <w:sz w:val="16"/>
    </w:rPr>
  </w:style>
  <w:style w:type="paragraph" w:customStyle="1" w:styleId="Contents">
    <w:name w:val="Contents"/>
    <w:basedOn w:val="Normal"/>
    <w:rsid w:val="00C03EC5"/>
    <w:pPr>
      <w:spacing w:after="0" w:line="240" w:lineRule="atLeast"/>
    </w:pPr>
    <w:rPr>
      <w:rFonts w:ascii="Arial" w:hAnsi="Arial" w:cs="Times New Roman"/>
      <w:b/>
      <w:sz w:val="48"/>
    </w:rPr>
  </w:style>
  <w:style w:type="paragraph" w:customStyle="1" w:styleId="HeaderNoLine0">
    <w:name w:val="Header No Line"/>
    <w:basedOn w:val="Header"/>
    <w:rsid w:val="00C03EC5"/>
    <w:pPr>
      <w:pBdr>
        <w:bottom w:val="none" w:sz="0" w:space="0" w:color="auto"/>
      </w:pBdr>
      <w:spacing w:before="120" w:after="240"/>
      <w:jc w:val="left"/>
    </w:pPr>
    <w:rPr>
      <w:rFonts w:ascii="Cambria" w:hAnsi="Cambria"/>
      <w:color w:val="auto"/>
    </w:rPr>
  </w:style>
  <w:style w:type="paragraph" w:customStyle="1" w:styleId="Key">
    <w:name w:val="Key"/>
    <w:basedOn w:val="Normal"/>
    <w:qFormat/>
    <w:rsid w:val="00C03EC5"/>
    <w:pPr>
      <w:spacing w:before="120" w:line="240" w:lineRule="atLeast"/>
    </w:pPr>
    <w:rPr>
      <w:rFonts w:cs="Times New Roman"/>
      <w:sz w:val="14"/>
    </w:rPr>
  </w:style>
  <w:style w:type="table" w:styleId="LightShading-Accent2">
    <w:name w:val="Light Shading Accent 2"/>
    <w:basedOn w:val="TableNormal"/>
    <w:uiPriority w:val="60"/>
    <w:rsid w:val="00C03EC5"/>
    <w:pPr>
      <w:spacing w:after="0" w:line="240" w:lineRule="auto"/>
    </w:pPr>
    <w:rPr>
      <w:rFonts w:eastAsia="Calibri"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C03EC5"/>
    <w:pPr>
      <w:spacing w:after="0" w:line="240" w:lineRule="auto"/>
    </w:pPr>
    <w:rPr>
      <w:rFonts w:eastAsia="Times New Roman"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C03EC5"/>
    <w:pPr>
      <w:spacing w:before="120" w:after="0" w:line="240" w:lineRule="auto"/>
    </w:pPr>
    <w:rPr>
      <w:rFonts w:ascii="Arial" w:hAnsi="Arial" w:cs="Times New Roman"/>
      <w:sz w:val="16"/>
    </w:rPr>
  </w:style>
  <w:style w:type="character" w:styleId="PlaceholderText">
    <w:name w:val="Placeholder Text"/>
    <w:basedOn w:val="DefaultParagraphFont"/>
    <w:uiPriority w:val="99"/>
    <w:semiHidden/>
    <w:rsid w:val="00C03EC5"/>
    <w:rPr>
      <w:color w:val="808080"/>
    </w:rPr>
  </w:style>
  <w:style w:type="paragraph" w:customStyle="1" w:styleId="Reference">
    <w:name w:val="Reference"/>
    <w:basedOn w:val="Normal"/>
    <w:rsid w:val="00C03EC5"/>
    <w:pPr>
      <w:spacing w:before="40" w:after="0" w:line="180" w:lineRule="atLeast"/>
      <w:ind w:hanging="170"/>
    </w:pPr>
    <w:rPr>
      <w:rFonts w:cs="Times New Roman"/>
      <w:sz w:val="19"/>
    </w:rPr>
  </w:style>
  <w:style w:type="paragraph" w:customStyle="1" w:styleId="Tabletext0">
    <w:name w:val="Table text"/>
    <w:basedOn w:val="Normal"/>
    <w:link w:val="TabletextChar"/>
    <w:qFormat/>
    <w:rsid w:val="00C03EC5"/>
    <w:pPr>
      <w:spacing w:before="120" w:line="240" w:lineRule="atLeast"/>
    </w:pPr>
    <w:rPr>
      <w:rFonts w:cs="Times New Roman"/>
      <w:sz w:val="19"/>
    </w:rPr>
  </w:style>
  <w:style w:type="table" w:customStyle="1" w:styleId="TableTGAblack">
    <w:name w:val="Table TGA black"/>
    <w:basedOn w:val="TableNormal"/>
    <w:uiPriority w:val="99"/>
    <w:rsid w:val="00C03EC5"/>
    <w:pPr>
      <w:spacing w:before="60" w:after="0" w:line="240" w:lineRule="auto"/>
      <w:ind w:left="170" w:right="170"/>
    </w:pPr>
    <w:rPr>
      <w:rFonts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C03EC5"/>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C03EC5"/>
    <w:pPr>
      <w:spacing w:before="120" w:after="180" w:line="240" w:lineRule="atLeast"/>
      <w:ind w:left="425"/>
    </w:pPr>
    <w:rPr>
      <w:rFonts w:eastAsiaTheme="minorEastAsia"/>
      <w:sz w:val="20"/>
      <w:lang w:eastAsia="zh-TW"/>
    </w:rPr>
  </w:style>
  <w:style w:type="paragraph" w:customStyle="1" w:styleId="Comment">
    <w:name w:val="Comment"/>
    <w:basedOn w:val="Normal"/>
    <w:next w:val="Normal"/>
    <w:uiPriority w:val="1"/>
    <w:qFormat/>
    <w:rsid w:val="00C03EC5"/>
    <w:pPr>
      <w:spacing w:before="120" w:line="240" w:lineRule="atLeast"/>
      <w:ind w:left="992" w:hanging="992"/>
    </w:pPr>
    <w:rPr>
      <w:rFonts w:cs="Times New Roman"/>
    </w:rPr>
  </w:style>
  <w:style w:type="paragraph" w:styleId="EndnoteText">
    <w:name w:val="endnote text"/>
    <w:basedOn w:val="Normal"/>
    <w:link w:val="EndnoteTextChar"/>
    <w:uiPriority w:val="99"/>
    <w:unhideWhenUsed/>
    <w:rsid w:val="00C03EC5"/>
    <w:pPr>
      <w:spacing w:after="0" w:line="240" w:lineRule="auto"/>
    </w:pPr>
    <w:rPr>
      <w:rFonts w:cs="Times New Roman"/>
      <w:sz w:val="20"/>
    </w:rPr>
  </w:style>
  <w:style w:type="character" w:customStyle="1" w:styleId="EndnoteTextChar">
    <w:name w:val="Endnote Text Char"/>
    <w:basedOn w:val="DefaultParagraphFont"/>
    <w:link w:val="EndnoteText"/>
    <w:uiPriority w:val="99"/>
    <w:rsid w:val="00C03EC5"/>
    <w:rPr>
      <w:rFonts w:ascii="Cambria" w:eastAsia="Cambria" w:hAnsi="Cambria" w:cs="Times New Roman"/>
    </w:rPr>
  </w:style>
  <w:style w:type="character" w:styleId="EndnoteReference">
    <w:name w:val="endnote reference"/>
    <w:basedOn w:val="DefaultParagraphFont"/>
    <w:unhideWhenUsed/>
    <w:rsid w:val="00C03EC5"/>
    <w:rPr>
      <w:vertAlign w:val="superscript"/>
    </w:rPr>
  </w:style>
  <w:style w:type="paragraph" w:customStyle="1" w:styleId="FigureCaption">
    <w:name w:val="Figure Caption"/>
    <w:basedOn w:val="Normal"/>
    <w:qFormat/>
    <w:rsid w:val="00C03EC5"/>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C03EC5"/>
    <w:pPr>
      <w:spacing w:after="240"/>
    </w:pPr>
    <w:rPr>
      <w:sz w:val="17"/>
    </w:rPr>
  </w:style>
  <w:style w:type="table" w:customStyle="1" w:styleId="TableTGA2">
    <w:name w:val="Table TGA 2"/>
    <w:basedOn w:val="TableNormal"/>
    <w:uiPriority w:val="99"/>
    <w:rsid w:val="00C03EC5"/>
    <w:pPr>
      <w:spacing w:before="60" w:after="0" w:line="240" w:lineRule="auto"/>
    </w:pPr>
    <w:rPr>
      <w:rFonts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C03EC5"/>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C03EC5"/>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C03EC5"/>
    <w:rPr>
      <w:rFonts w:ascii="Arial" w:hAnsi="Arial"/>
      <w:color w:val="002C47"/>
      <w:sz w:val="14"/>
    </w:rPr>
  </w:style>
  <w:style w:type="paragraph" w:customStyle="1" w:styleId="BodyCopy">
    <w:name w:val="Body Copy"/>
    <w:basedOn w:val="Normal"/>
    <w:qFormat/>
    <w:rsid w:val="00C03EC5"/>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C03EC5"/>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C03EC5"/>
    <w:rPr>
      <w:rFonts w:ascii="Cambria" w:eastAsia="Times New Roman" w:hAnsi="Cambria" w:cs="Times New Roman"/>
      <w:snapToGrid w:val="0"/>
      <w:kern w:val="16"/>
      <w:sz w:val="23"/>
      <w:szCs w:val="24"/>
    </w:rPr>
  </w:style>
  <w:style w:type="paragraph" w:customStyle="1" w:styleId="Bulletpoint">
    <w:name w:val="Bullet point"/>
    <w:basedOn w:val="Standard"/>
    <w:rsid w:val="00C03EC5"/>
    <w:pPr>
      <w:numPr>
        <w:numId w:val="9"/>
      </w:numPr>
      <w:tabs>
        <w:tab w:val="left" w:pos="397"/>
        <w:tab w:val="num" w:pos="511"/>
      </w:tabs>
      <w:spacing w:after="180"/>
      <w:ind w:left="0" w:firstLine="0"/>
    </w:pPr>
    <w:rPr>
      <w:sz w:val="22"/>
    </w:rPr>
  </w:style>
  <w:style w:type="paragraph" w:customStyle="1" w:styleId="PISubsection">
    <w:name w:val="PI Subsection"/>
    <w:basedOn w:val="Standard"/>
    <w:next w:val="Standard"/>
    <w:rsid w:val="00C03EC5"/>
    <w:pPr>
      <w:keepNext/>
      <w:spacing w:after="120"/>
    </w:pPr>
    <w:rPr>
      <w:b/>
      <w:i/>
      <w:kern w:val="2"/>
      <w:sz w:val="22"/>
    </w:rPr>
  </w:style>
  <w:style w:type="paragraph" w:customStyle="1" w:styleId="TableBullet">
    <w:name w:val="Table Bullet"/>
    <w:basedOn w:val="Normal"/>
    <w:rsid w:val="00C03EC5"/>
    <w:pPr>
      <w:tabs>
        <w:tab w:val="left" w:pos="284"/>
        <w:tab w:val="left" w:pos="567"/>
        <w:tab w:val="num"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720" w:hanging="720"/>
    </w:pPr>
    <w:rPr>
      <w:rFonts w:eastAsia="Times New Roman" w:cs="Times New Roman"/>
      <w:kern w:val="16"/>
      <w:sz w:val="20"/>
      <w:szCs w:val="24"/>
      <w:lang w:eastAsia="en-AU"/>
    </w:rPr>
  </w:style>
  <w:style w:type="paragraph" w:customStyle="1" w:styleId="Comment1">
    <w:name w:val="Comment 1"/>
    <w:basedOn w:val="Normal"/>
    <w:next w:val="Normal"/>
    <w:qFormat/>
    <w:rsid w:val="00C03EC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134" w:hanging="1134"/>
    </w:pPr>
    <w:rPr>
      <w:rFonts w:ascii="Calibri" w:eastAsia="Times New Roman" w:hAnsi="Calibri" w:cs="Arial"/>
      <w:kern w:val="16"/>
      <w:lang w:eastAsia="en-AU"/>
    </w:rPr>
  </w:style>
  <w:style w:type="character" w:customStyle="1" w:styleId="TabletextChar">
    <w:name w:val="Table text Char"/>
    <w:basedOn w:val="DefaultParagraphFont"/>
    <w:link w:val="Tabletext0"/>
    <w:rsid w:val="00C03EC5"/>
    <w:rPr>
      <w:rFonts w:ascii="Cambria" w:eastAsia="Cambria" w:hAnsi="Cambria" w:cs="Times New Roman"/>
      <w:sz w:val="19"/>
      <w:szCs w:val="22"/>
    </w:rPr>
  </w:style>
  <w:style w:type="character" w:customStyle="1" w:styleId="mixed-citation">
    <w:name w:val="mixed-citation"/>
    <w:basedOn w:val="DefaultParagraphFont"/>
    <w:rsid w:val="00C03EC5"/>
  </w:style>
  <w:style w:type="character" w:customStyle="1" w:styleId="ref-title">
    <w:name w:val="ref-title"/>
    <w:basedOn w:val="DefaultParagraphFont"/>
    <w:rsid w:val="00C03EC5"/>
  </w:style>
  <w:style w:type="character" w:customStyle="1" w:styleId="ref-journal">
    <w:name w:val="ref-journal"/>
    <w:basedOn w:val="DefaultParagraphFont"/>
    <w:rsid w:val="00C03EC5"/>
  </w:style>
  <w:style w:type="paragraph" w:customStyle="1" w:styleId="Default">
    <w:name w:val="Default"/>
    <w:rsid w:val="000677CF"/>
    <w:pPr>
      <w:autoSpaceDE w:val="0"/>
      <w:autoSpaceDN w:val="0"/>
      <w:adjustRightInd w:val="0"/>
      <w:spacing w:after="0" w:line="240" w:lineRule="auto"/>
    </w:pPr>
    <w:rPr>
      <w:color w:val="000000"/>
      <w:sz w:val="24"/>
      <w:szCs w:val="24"/>
    </w:rPr>
  </w:style>
  <w:style w:type="table" w:customStyle="1" w:styleId="a">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0">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3">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a4">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5">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a6">
    <w:basedOn w:val="TableNormal"/>
    <w:pPr>
      <w:spacing w:before="60" w:after="0" w:line="240" w:lineRule="auto"/>
      <w:ind w:left="170" w:right="170"/>
    </w:pPr>
    <w:rPr>
      <w:color w:val="000000"/>
    </w:rPr>
    <w:tblPr>
      <w:tblStyleRowBandSize w:val="1"/>
      <w:tblStyleColBandSize w:val="1"/>
      <w:tblCellMar>
        <w:left w:w="28" w:type="dxa"/>
        <w:right w:w="28"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before="60" w:after="0" w:line="240" w:lineRule="auto"/>
      <w:ind w:left="170" w:right="170"/>
    </w:pPr>
    <w:rPr>
      <w:color w:val="000000"/>
    </w:rPr>
    <w:tblPr>
      <w:tblStyleRowBandSize w:val="1"/>
      <w:tblStyleColBandSize w:val="1"/>
      <w:tblCellMar>
        <w:left w:w="0" w:type="dxa"/>
        <w:right w:w="0" w:type="dxa"/>
      </w:tblCellMar>
    </w:tblPr>
    <w:tcPr>
      <w:shd w:val="clear" w:color="auto" w:fill="auto"/>
    </w:tcPr>
  </w:style>
  <w:style w:type="table" w:customStyle="1" w:styleId="a9">
    <w:basedOn w:val="TableNormal"/>
    <w:pPr>
      <w:spacing w:before="6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a">
    <w:basedOn w:val="TableNormal"/>
    <w:pPr>
      <w:spacing w:before="60" w:after="0" w:line="240" w:lineRule="auto"/>
      <w:ind w:left="170" w:right="170"/>
    </w:pPr>
    <w:rPr>
      <w:color w:val="000000"/>
    </w:rPr>
    <w:tblPr>
      <w:tblStyleRowBandSize w:val="1"/>
      <w:tblStyleColBandSize w:val="1"/>
      <w:tblCellMar>
        <w:top w:w="85" w:type="dxa"/>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83597">
      <w:bodyDiv w:val="1"/>
      <w:marLeft w:val="0"/>
      <w:marRight w:val="0"/>
      <w:marTop w:val="0"/>
      <w:marBottom w:val="0"/>
      <w:divBdr>
        <w:top w:val="none" w:sz="0" w:space="0" w:color="auto"/>
        <w:left w:val="none" w:sz="0" w:space="0" w:color="auto"/>
        <w:bottom w:val="none" w:sz="0" w:space="0" w:color="auto"/>
        <w:right w:val="none" w:sz="0" w:space="0" w:color="auto"/>
      </w:divBdr>
    </w:div>
    <w:div w:id="414017282">
      <w:bodyDiv w:val="1"/>
      <w:marLeft w:val="0"/>
      <w:marRight w:val="0"/>
      <w:marTop w:val="0"/>
      <w:marBottom w:val="0"/>
      <w:divBdr>
        <w:top w:val="none" w:sz="0" w:space="0" w:color="auto"/>
        <w:left w:val="none" w:sz="0" w:space="0" w:color="auto"/>
        <w:bottom w:val="none" w:sz="0" w:space="0" w:color="auto"/>
        <w:right w:val="none" w:sz="0" w:space="0" w:color="auto"/>
      </w:divBdr>
    </w:div>
    <w:div w:id="662928415">
      <w:bodyDiv w:val="1"/>
      <w:marLeft w:val="0"/>
      <w:marRight w:val="0"/>
      <w:marTop w:val="0"/>
      <w:marBottom w:val="0"/>
      <w:divBdr>
        <w:top w:val="none" w:sz="0" w:space="0" w:color="auto"/>
        <w:left w:val="none" w:sz="0" w:space="0" w:color="auto"/>
        <w:bottom w:val="none" w:sz="0" w:space="0" w:color="auto"/>
        <w:right w:val="none" w:sz="0" w:space="0" w:color="auto"/>
      </w:divBdr>
    </w:div>
    <w:div w:id="818694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hyperlink" Target="https://www.tga.gov.au/committee/advisory-committee-medicines-acm"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tga.gov.au/black-triangle-scheme" TargetMode="External"/><Relationship Id="rId25" Type="http://schemas.openxmlformats.org/officeDocument/2006/relationships/image" Target="media/image8.png"/><Relationship Id="rId33" Type="http://schemas.openxmlformats.org/officeDocument/2006/relationships/hyperlink" Target="mailto:info@tg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ga.copyright@tga.gov.au" TargetMode="External"/><Relationship Id="rId20" Type="http://schemas.openxmlformats.org/officeDocument/2006/relationships/hyperlink" Target="https://www.tga.gov.au/how-we-regulate/supply-therapeutic-good-0/supply-prescription-medicine/application-process/prescription-medicines-registration-process" TargetMode="External"/><Relationship Id="rId29" Type="http://schemas.openxmlformats.org/officeDocument/2006/relationships/hyperlink" Target="https://www.tga.gov.au/products/australian-register-therapeutic-goods-artg/consumer-medicines-information-c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6.png"/><Relationship Id="rId28" Type="http://schemas.openxmlformats.org/officeDocument/2006/relationships/hyperlink" Target="https://www.tga.gov.au/products/australian-register-therapeutic-goods-artg/product-information-one"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tga.gov.au/obstetric-drug-information-services"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image" Target="media/image5.png"/><Relationship Id="rId27" Type="http://schemas.openxmlformats.org/officeDocument/2006/relationships/hyperlink" Target="https://www.tga.gov.au/products/australian-register-therapeutic-goods-artg/product-information-one" TargetMode="External"/><Relationship Id="rId30" Type="http://schemas.openxmlformats.org/officeDocument/2006/relationships/hyperlink" Target="https://www.tga.gov.au/picmi-search-facility" TargetMode="External"/><Relationship Id="rId35"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Rmenl9vlQ4G9qoN+S07UBo0sQ==">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8691</Words>
  <Characters>49539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LACK, Janet</dc:creator>
  <cp:lastModifiedBy>LACK, Janet</cp:lastModifiedBy>
  <cp:revision>2</cp:revision>
  <dcterms:created xsi:type="dcterms:W3CDTF">2024-09-10T04:02:00Z</dcterms:created>
  <dcterms:modified xsi:type="dcterms:W3CDTF">2024-09-10T04:02:00Z</dcterms:modified>
</cp:coreProperties>
</file>