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13592E">
        <w:trPr>
          <w:trHeight w:val="1558"/>
        </w:trPr>
        <w:tc>
          <w:tcPr>
            <w:tcW w:w="8720" w:type="dxa"/>
          </w:tcPr>
          <w:p w14:paraId="5784773E" w14:textId="53E711D0" w:rsidR="00BE229E" w:rsidRPr="00BE229E" w:rsidRDefault="00BE229E" w:rsidP="004E5371">
            <w:pPr>
              <w:pStyle w:val="Title"/>
              <w:rPr>
                <w:lang w:eastAsia="en-US"/>
              </w:rPr>
            </w:pPr>
            <w:r w:rsidRPr="00BE229E">
              <w:rPr>
                <w:lang w:eastAsia="en-US"/>
              </w:rPr>
              <w:t>Australian Public Assessment Report for</w:t>
            </w:r>
            <w:r w:rsidR="00F46085">
              <w:rPr>
                <w:lang w:eastAsia="en-US"/>
              </w:rPr>
              <w:t xml:space="preserve"> </w:t>
            </w:r>
            <w:proofErr w:type="spellStart"/>
            <w:r w:rsidR="00671D39">
              <w:rPr>
                <w:lang w:eastAsia="en-US"/>
              </w:rPr>
              <w:t>Mounjaro</w:t>
            </w:r>
            <w:proofErr w:type="spellEnd"/>
          </w:p>
        </w:tc>
      </w:tr>
      <w:tr w:rsidR="00BE229E" w:rsidRPr="00BE229E" w14:paraId="659E4907" w14:textId="77777777" w:rsidTr="0013592E">
        <w:trPr>
          <w:trHeight w:val="995"/>
        </w:trPr>
        <w:tc>
          <w:tcPr>
            <w:tcW w:w="8720" w:type="dxa"/>
          </w:tcPr>
          <w:p w14:paraId="0A512252" w14:textId="7F9395FC" w:rsidR="00BE229E" w:rsidRPr="00BE229E" w:rsidRDefault="00BE229E" w:rsidP="004E5371">
            <w:pPr>
              <w:pStyle w:val="Subtitle"/>
              <w:rPr>
                <w:lang w:eastAsia="en-US"/>
              </w:rPr>
            </w:pPr>
            <w:r w:rsidRPr="00BE229E">
              <w:rPr>
                <w:lang w:eastAsia="en-US"/>
              </w:rPr>
              <w:t>Active ingredient:</w:t>
            </w:r>
            <w:r w:rsidR="00F46085">
              <w:rPr>
                <w:lang w:eastAsia="en-US"/>
              </w:rPr>
              <w:t xml:space="preserve"> </w:t>
            </w:r>
            <w:proofErr w:type="spellStart"/>
            <w:r w:rsidR="004E5371">
              <w:rPr>
                <w:lang w:eastAsia="en-US"/>
              </w:rPr>
              <w:t>T</w:t>
            </w:r>
            <w:r w:rsidR="00C23AF9" w:rsidRPr="00C23AF9">
              <w:rPr>
                <w:lang w:eastAsia="en-US"/>
              </w:rPr>
              <w:t>irzepatide</w:t>
            </w:r>
            <w:proofErr w:type="spellEnd"/>
          </w:p>
        </w:tc>
      </w:tr>
      <w:tr w:rsidR="00BE229E" w:rsidRPr="00BE229E" w14:paraId="1D0DAE0A" w14:textId="77777777" w:rsidTr="0013592E">
        <w:trPr>
          <w:trHeight w:val="1916"/>
        </w:trPr>
        <w:tc>
          <w:tcPr>
            <w:tcW w:w="8720" w:type="dxa"/>
          </w:tcPr>
          <w:p w14:paraId="046475F3" w14:textId="5BEDF083" w:rsidR="00BE229E" w:rsidRPr="00BE229E" w:rsidRDefault="00F46085" w:rsidP="004E5371">
            <w:pPr>
              <w:pStyle w:val="Subtitle"/>
              <w:rPr>
                <w:lang w:eastAsia="en-US"/>
              </w:rPr>
            </w:pPr>
            <w:r>
              <w:rPr>
                <w:lang w:eastAsia="en-US"/>
              </w:rPr>
              <w:t>Sponsor</w:t>
            </w:r>
            <w:r w:rsidR="00BE229E" w:rsidRPr="00BE229E">
              <w:rPr>
                <w:lang w:eastAsia="en-US"/>
              </w:rPr>
              <w:t xml:space="preserve">: </w:t>
            </w:r>
            <w:r w:rsidR="00C23AF9" w:rsidRPr="00C23AF9">
              <w:rPr>
                <w:lang w:eastAsia="en-US"/>
              </w:rPr>
              <w:t>Eli Lilly Australia Pty Ltd</w:t>
            </w:r>
          </w:p>
        </w:tc>
      </w:tr>
      <w:tr w:rsidR="00BE229E" w:rsidRPr="00BE229E" w14:paraId="4AD6111B" w14:textId="77777777" w:rsidTr="0013592E">
        <w:tc>
          <w:tcPr>
            <w:tcW w:w="8720" w:type="dxa"/>
          </w:tcPr>
          <w:p w14:paraId="30DA8967" w14:textId="0479AACB" w:rsidR="00BE229E" w:rsidRPr="00BE229E" w:rsidRDefault="004E5371" w:rsidP="004E5371">
            <w:pPr>
              <w:pStyle w:val="Date"/>
              <w:rPr>
                <w:lang w:eastAsia="en-US"/>
              </w:rPr>
            </w:pPr>
            <w:r>
              <w:rPr>
                <w:lang w:eastAsia="en-US"/>
              </w:rPr>
              <w:t>September</w:t>
            </w:r>
            <w:r w:rsidR="00BE229E" w:rsidRPr="00BE229E">
              <w:rPr>
                <w:lang w:eastAsia="en-US"/>
              </w:rPr>
              <w:t xml:space="preserve"> 2024</w:t>
            </w:r>
          </w:p>
        </w:tc>
      </w:tr>
    </w:tbl>
    <w:p w14:paraId="73752706" w14:textId="77777777" w:rsidR="00D67706" w:rsidRPr="00D67706" w:rsidRDefault="00D67706" w:rsidP="00B748B3">
      <w:pPr>
        <w:sectPr w:rsidR="00D67706" w:rsidRPr="00D67706"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2FD8DD89" w:rsidR="00346EC2" w:rsidRPr="001F6CBA" w:rsidRDefault="00346EC2" w:rsidP="00B748B3">
      <w:pPr>
        <w:pStyle w:val="NonTOCHeading20"/>
      </w:pPr>
      <w:r w:rsidRPr="001F6CBA">
        <w:lastRenderedPageBreak/>
        <w:t>About the Therapeutic Goods Administration (TGA)</w:t>
      </w:r>
    </w:p>
    <w:p w14:paraId="79558AE9" w14:textId="77777777" w:rsidR="00346EC2" w:rsidRPr="00391B0C" w:rsidRDefault="00346EC2" w:rsidP="00B748B3">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B748B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B748B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B748B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B748B3">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2DB7A1C5" w:rsidR="00346EC2" w:rsidRDefault="00346EC2" w:rsidP="00B748B3">
      <w:pPr>
        <w:pStyle w:val="NonTOCHeading20"/>
      </w:pPr>
      <w:r>
        <w:t xml:space="preserve">About </w:t>
      </w:r>
      <w:proofErr w:type="spellStart"/>
      <w:r>
        <w:t>AusPARs</w:t>
      </w:r>
      <w:proofErr w:type="spellEnd"/>
    </w:p>
    <w:p w14:paraId="631B2209" w14:textId="010FE2EE" w:rsidR="00346EC2" w:rsidRPr="003C6D1F" w:rsidRDefault="00346EC2" w:rsidP="00B748B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B748B3">
      <w:pPr>
        <w:pStyle w:val="ListBullet"/>
      </w:pPr>
      <w:r w:rsidRPr="003C6D1F">
        <w:t>AusPARs are prepared and published by the TGA.</w:t>
      </w:r>
    </w:p>
    <w:p w14:paraId="451B8FD7" w14:textId="77777777" w:rsidR="00346EC2" w:rsidRPr="003C6D1F" w:rsidRDefault="00346EC2" w:rsidP="00B748B3">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B748B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67BCC5CF" w:rsidR="00F02AEC" w:rsidRPr="00E1198B" w:rsidRDefault="00F02AEC" w:rsidP="00B748B3">
      <w:pPr>
        <w:pStyle w:val="LegalSubheading"/>
        <w:spacing w:before="3600"/>
      </w:pPr>
      <w:r w:rsidRPr="00BA0DFC">
        <w:t>Copyright</w:t>
      </w:r>
      <w:r w:rsidR="00155131">
        <w:fldChar w:fldCharType="begin"/>
      </w:r>
      <w:r w:rsidR="00155131">
        <w:instrText xml:space="preserve"> DOCVARIABLE vault_nd_fc36429a-ddb9-4630-a8e7-b12eb833ce1a \* MERGEFORMAT </w:instrText>
      </w:r>
      <w:r w:rsidR="00155131">
        <w:fldChar w:fldCharType="separate"/>
      </w:r>
      <w:r w:rsidR="00FF43B4">
        <w:t xml:space="preserve"> </w:t>
      </w:r>
      <w:r w:rsidR="00155131">
        <w:fldChar w:fldCharType="end"/>
      </w:r>
    </w:p>
    <w:p w14:paraId="170A8A5D" w14:textId="5FCE1ADA" w:rsidR="00175CD8" w:rsidRPr="00346EC2" w:rsidRDefault="00F02AEC" w:rsidP="00B748B3">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6D49B068" w:rsidR="00F02AEC" w:rsidRPr="00215D48" w:rsidRDefault="00F02AEC" w:rsidP="00B748B3">
          <w:pPr>
            <w:pStyle w:val="NonTOCheading2"/>
          </w:pPr>
          <w:r w:rsidRPr="00215D48">
            <w:t>Contents</w:t>
          </w:r>
        </w:p>
        <w:p w14:paraId="580C129F" w14:textId="0C4F52EB" w:rsidR="00155131"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8239591" w:history="1">
            <w:r w:rsidR="00155131" w:rsidRPr="00BF53ED">
              <w:rPr>
                <w:rStyle w:val="Hyperlink"/>
                <w:noProof/>
              </w:rPr>
              <w:t>List of abbreviations</w:t>
            </w:r>
            <w:r w:rsidR="00155131">
              <w:rPr>
                <w:noProof/>
                <w:webHidden/>
              </w:rPr>
              <w:tab/>
            </w:r>
            <w:r w:rsidR="00155131">
              <w:rPr>
                <w:noProof/>
                <w:webHidden/>
              </w:rPr>
              <w:fldChar w:fldCharType="begin"/>
            </w:r>
            <w:r w:rsidR="00155131">
              <w:rPr>
                <w:noProof/>
                <w:webHidden/>
              </w:rPr>
              <w:instrText xml:space="preserve"> PAGEREF _Toc178239591 \h </w:instrText>
            </w:r>
            <w:r w:rsidR="00155131">
              <w:rPr>
                <w:noProof/>
                <w:webHidden/>
              </w:rPr>
            </w:r>
            <w:r w:rsidR="00155131">
              <w:rPr>
                <w:noProof/>
                <w:webHidden/>
              </w:rPr>
              <w:fldChar w:fldCharType="separate"/>
            </w:r>
            <w:r w:rsidR="00155131">
              <w:rPr>
                <w:noProof/>
                <w:webHidden/>
              </w:rPr>
              <w:t>5</w:t>
            </w:r>
            <w:r w:rsidR="00155131">
              <w:rPr>
                <w:noProof/>
                <w:webHidden/>
              </w:rPr>
              <w:fldChar w:fldCharType="end"/>
            </w:r>
          </w:hyperlink>
        </w:p>
        <w:p w14:paraId="623345C3" w14:textId="43D14AC3" w:rsidR="00155131" w:rsidRDefault="0015513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239592" w:history="1">
            <w:r w:rsidRPr="00BF53ED">
              <w:rPr>
                <w:rStyle w:val="Hyperlink"/>
                <w:noProof/>
              </w:rPr>
              <w:t>Mounjaro (tirzepatide) submission</w:t>
            </w:r>
            <w:r>
              <w:rPr>
                <w:noProof/>
                <w:webHidden/>
              </w:rPr>
              <w:tab/>
            </w:r>
            <w:r>
              <w:rPr>
                <w:noProof/>
                <w:webHidden/>
              </w:rPr>
              <w:fldChar w:fldCharType="begin"/>
            </w:r>
            <w:r>
              <w:rPr>
                <w:noProof/>
                <w:webHidden/>
              </w:rPr>
              <w:instrText xml:space="preserve"> PAGEREF _Toc178239592 \h </w:instrText>
            </w:r>
            <w:r>
              <w:rPr>
                <w:noProof/>
                <w:webHidden/>
              </w:rPr>
            </w:r>
            <w:r>
              <w:rPr>
                <w:noProof/>
                <w:webHidden/>
              </w:rPr>
              <w:fldChar w:fldCharType="separate"/>
            </w:r>
            <w:r>
              <w:rPr>
                <w:noProof/>
                <w:webHidden/>
              </w:rPr>
              <w:t>7</w:t>
            </w:r>
            <w:r>
              <w:rPr>
                <w:noProof/>
                <w:webHidden/>
              </w:rPr>
              <w:fldChar w:fldCharType="end"/>
            </w:r>
          </w:hyperlink>
        </w:p>
        <w:p w14:paraId="6408282C" w14:textId="5A481ACF"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593" w:history="1">
            <w:r w:rsidRPr="00BF53ED">
              <w:rPr>
                <w:rStyle w:val="Hyperlink"/>
                <w:noProof/>
              </w:rPr>
              <w:t>Mounjaro (tirzepatide) – proposed indication</w:t>
            </w:r>
            <w:r>
              <w:rPr>
                <w:noProof/>
                <w:webHidden/>
              </w:rPr>
              <w:tab/>
            </w:r>
            <w:r>
              <w:rPr>
                <w:noProof/>
                <w:webHidden/>
              </w:rPr>
              <w:fldChar w:fldCharType="begin"/>
            </w:r>
            <w:r>
              <w:rPr>
                <w:noProof/>
                <w:webHidden/>
              </w:rPr>
              <w:instrText xml:space="preserve"> PAGEREF _Toc178239593 \h </w:instrText>
            </w:r>
            <w:r>
              <w:rPr>
                <w:noProof/>
                <w:webHidden/>
              </w:rPr>
            </w:r>
            <w:r>
              <w:rPr>
                <w:noProof/>
                <w:webHidden/>
              </w:rPr>
              <w:fldChar w:fldCharType="separate"/>
            </w:r>
            <w:r>
              <w:rPr>
                <w:noProof/>
                <w:webHidden/>
              </w:rPr>
              <w:t>10</w:t>
            </w:r>
            <w:r>
              <w:rPr>
                <w:noProof/>
                <w:webHidden/>
              </w:rPr>
              <w:fldChar w:fldCharType="end"/>
            </w:r>
          </w:hyperlink>
        </w:p>
        <w:p w14:paraId="27FA1420" w14:textId="3531933D"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594" w:history="1">
            <w:r w:rsidRPr="00BF53ED">
              <w:rPr>
                <w:rStyle w:val="Hyperlink"/>
                <w:noProof/>
              </w:rPr>
              <w:t>Obesity</w:t>
            </w:r>
            <w:r>
              <w:rPr>
                <w:noProof/>
                <w:webHidden/>
              </w:rPr>
              <w:tab/>
            </w:r>
            <w:r>
              <w:rPr>
                <w:noProof/>
                <w:webHidden/>
              </w:rPr>
              <w:fldChar w:fldCharType="begin"/>
            </w:r>
            <w:r>
              <w:rPr>
                <w:noProof/>
                <w:webHidden/>
              </w:rPr>
              <w:instrText xml:space="preserve"> PAGEREF _Toc178239594 \h </w:instrText>
            </w:r>
            <w:r>
              <w:rPr>
                <w:noProof/>
                <w:webHidden/>
              </w:rPr>
            </w:r>
            <w:r>
              <w:rPr>
                <w:noProof/>
                <w:webHidden/>
              </w:rPr>
              <w:fldChar w:fldCharType="separate"/>
            </w:r>
            <w:r>
              <w:rPr>
                <w:noProof/>
                <w:webHidden/>
              </w:rPr>
              <w:t>10</w:t>
            </w:r>
            <w:r>
              <w:rPr>
                <w:noProof/>
                <w:webHidden/>
              </w:rPr>
              <w:fldChar w:fldCharType="end"/>
            </w:r>
          </w:hyperlink>
        </w:p>
        <w:p w14:paraId="3FE2D7EE" w14:textId="09876A30"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595" w:history="1">
            <w:r w:rsidRPr="00BF53ED">
              <w:rPr>
                <w:rStyle w:val="Hyperlink"/>
                <w:noProof/>
              </w:rPr>
              <w:t>Current treatment options for obesity</w:t>
            </w:r>
            <w:r>
              <w:rPr>
                <w:noProof/>
                <w:webHidden/>
              </w:rPr>
              <w:tab/>
            </w:r>
            <w:r>
              <w:rPr>
                <w:noProof/>
                <w:webHidden/>
              </w:rPr>
              <w:fldChar w:fldCharType="begin"/>
            </w:r>
            <w:r>
              <w:rPr>
                <w:noProof/>
                <w:webHidden/>
              </w:rPr>
              <w:instrText xml:space="preserve"> PAGEREF _Toc178239595 \h </w:instrText>
            </w:r>
            <w:r>
              <w:rPr>
                <w:noProof/>
                <w:webHidden/>
              </w:rPr>
            </w:r>
            <w:r>
              <w:rPr>
                <w:noProof/>
                <w:webHidden/>
              </w:rPr>
              <w:fldChar w:fldCharType="separate"/>
            </w:r>
            <w:r>
              <w:rPr>
                <w:noProof/>
                <w:webHidden/>
              </w:rPr>
              <w:t>12</w:t>
            </w:r>
            <w:r>
              <w:rPr>
                <w:noProof/>
                <w:webHidden/>
              </w:rPr>
              <w:fldChar w:fldCharType="end"/>
            </w:r>
          </w:hyperlink>
        </w:p>
        <w:p w14:paraId="7C82AA29" w14:textId="152B991E"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596" w:history="1">
            <w:r w:rsidRPr="00BF53ED">
              <w:rPr>
                <w:rStyle w:val="Hyperlink"/>
                <w:noProof/>
              </w:rPr>
              <w:t>Non-pharmacological management</w:t>
            </w:r>
            <w:r>
              <w:rPr>
                <w:noProof/>
                <w:webHidden/>
              </w:rPr>
              <w:tab/>
            </w:r>
            <w:r>
              <w:rPr>
                <w:noProof/>
                <w:webHidden/>
              </w:rPr>
              <w:fldChar w:fldCharType="begin"/>
            </w:r>
            <w:r>
              <w:rPr>
                <w:noProof/>
                <w:webHidden/>
              </w:rPr>
              <w:instrText xml:space="preserve"> PAGEREF _Toc178239596 \h </w:instrText>
            </w:r>
            <w:r>
              <w:rPr>
                <w:noProof/>
                <w:webHidden/>
              </w:rPr>
            </w:r>
            <w:r>
              <w:rPr>
                <w:noProof/>
                <w:webHidden/>
              </w:rPr>
              <w:fldChar w:fldCharType="separate"/>
            </w:r>
            <w:r>
              <w:rPr>
                <w:noProof/>
                <w:webHidden/>
              </w:rPr>
              <w:t>12</w:t>
            </w:r>
            <w:r>
              <w:rPr>
                <w:noProof/>
                <w:webHidden/>
              </w:rPr>
              <w:fldChar w:fldCharType="end"/>
            </w:r>
          </w:hyperlink>
        </w:p>
        <w:p w14:paraId="3BC6EBE5" w14:textId="6DA4E491"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597" w:history="1">
            <w:r w:rsidRPr="00BF53ED">
              <w:rPr>
                <w:rStyle w:val="Hyperlink"/>
                <w:noProof/>
              </w:rPr>
              <w:t>Pharmacological management</w:t>
            </w:r>
            <w:r>
              <w:rPr>
                <w:noProof/>
                <w:webHidden/>
              </w:rPr>
              <w:tab/>
            </w:r>
            <w:r>
              <w:rPr>
                <w:noProof/>
                <w:webHidden/>
              </w:rPr>
              <w:fldChar w:fldCharType="begin"/>
            </w:r>
            <w:r>
              <w:rPr>
                <w:noProof/>
                <w:webHidden/>
              </w:rPr>
              <w:instrText xml:space="preserve"> PAGEREF _Toc178239597 \h </w:instrText>
            </w:r>
            <w:r>
              <w:rPr>
                <w:noProof/>
                <w:webHidden/>
              </w:rPr>
            </w:r>
            <w:r>
              <w:rPr>
                <w:noProof/>
                <w:webHidden/>
              </w:rPr>
              <w:fldChar w:fldCharType="separate"/>
            </w:r>
            <w:r>
              <w:rPr>
                <w:noProof/>
                <w:webHidden/>
              </w:rPr>
              <w:t>12</w:t>
            </w:r>
            <w:r>
              <w:rPr>
                <w:noProof/>
                <w:webHidden/>
              </w:rPr>
              <w:fldChar w:fldCharType="end"/>
            </w:r>
          </w:hyperlink>
        </w:p>
        <w:p w14:paraId="5954738D" w14:textId="14D917D1"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598" w:history="1">
            <w:r w:rsidRPr="00BF53ED">
              <w:rPr>
                <w:rStyle w:val="Hyperlink"/>
                <w:noProof/>
              </w:rPr>
              <w:t>Bariatric surgery</w:t>
            </w:r>
            <w:r>
              <w:rPr>
                <w:noProof/>
                <w:webHidden/>
              </w:rPr>
              <w:tab/>
            </w:r>
            <w:r>
              <w:rPr>
                <w:noProof/>
                <w:webHidden/>
              </w:rPr>
              <w:fldChar w:fldCharType="begin"/>
            </w:r>
            <w:r>
              <w:rPr>
                <w:noProof/>
                <w:webHidden/>
              </w:rPr>
              <w:instrText xml:space="preserve"> PAGEREF _Toc178239598 \h </w:instrText>
            </w:r>
            <w:r>
              <w:rPr>
                <w:noProof/>
                <w:webHidden/>
              </w:rPr>
            </w:r>
            <w:r>
              <w:rPr>
                <w:noProof/>
                <w:webHidden/>
              </w:rPr>
              <w:fldChar w:fldCharType="separate"/>
            </w:r>
            <w:r>
              <w:rPr>
                <w:noProof/>
                <w:webHidden/>
              </w:rPr>
              <w:t>13</w:t>
            </w:r>
            <w:r>
              <w:rPr>
                <w:noProof/>
                <w:webHidden/>
              </w:rPr>
              <w:fldChar w:fldCharType="end"/>
            </w:r>
          </w:hyperlink>
        </w:p>
        <w:p w14:paraId="17E1CD61" w14:textId="2D7048BF"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599" w:history="1">
            <w:r w:rsidRPr="00BF53ED">
              <w:rPr>
                <w:rStyle w:val="Hyperlink"/>
                <w:noProof/>
              </w:rPr>
              <w:t>Clinical rationale for Mounjaro use in obesity</w:t>
            </w:r>
            <w:r>
              <w:rPr>
                <w:noProof/>
                <w:webHidden/>
              </w:rPr>
              <w:tab/>
            </w:r>
            <w:r>
              <w:rPr>
                <w:noProof/>
                <w:webHidden/>
              </w:rPr>
              <w:fldChar w:fldCharType="begin"/>
            </w:r>
            <w:r>
              <w:rPr>
                <w:noProof/>
                <w:webHidden/>
              </w:rPr>
              <w:instrText xml:space="preserve"> PAGEREF _Toc178239599 \h </w:instrText>
            </w:r>
            <w:r>
              <w:rPr>
                <w:noProof/>
                <w:webHidden/>
              </w:rPr>
            </w:r>
            <w:r>
              <w:rPr>
                <w:noProof/>
                <w:webHidden/>
              </w:rPr>
              <w:fldChar w:fldCharType="separate"/>
            </w:r>
            <w:r>
              <w:rPr>
                <w:noProof/>
                <w:webHidden/>
              </w:rPr>
              <w:t>13</w:t>
            </w:r>
            <w:r>
              <w:rPr>
                <w:noProof/>
                <w:webHidden/>
              </w:rPr>
              <w:fldChar w:fldCharType="end"/>
            </w:r>
          </w:hyperlink>
        </w:p>
        <w:p w14:paraId="4C90BDF5" w14:textId="0AF9D85D"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00" w:history="1">
            <w:r w:rsidRPr="00BF53ED">
              <w:rPr>
                <w:rStyle w:val="Hyperlink"/>
                <w:noProof/>
              </w:rPr>
              <w:t>Regulatory status</w:t>
            </w:r>
            <w:r>
              <w:rPr>
                <w:noProof/>
                <w:webHidden/>
              </w:rPr>
              <w:tab/>
            </w:r>
            <w:r>
              <w:rPr>
                <w:noProof/>
                <w:webHidden/>
              </w:rPr>
              <w:fldChar w:fldCharType="begin"/>
            </w:r>
            <w:r>
              <w:rPr>
                <w:noProof/>
                <w:webHidden/>
              </w:rPr>
              <w:instrText xml:space="preserve"> PAGEREF _Toc178239600 \h </w:instrText>
            </w:r>
            <w:r>
              <w:rPr>
                <w:noProof/>
                <w:webHidden/>
              </w:rPr>
            </w:r>
            <w:r>
              <w:rPr>
                <w:noProof/>
                <w:webHidden/>
              </w:rPr>
              <w:fldChar w:fldCharType="separate"/>
            </w:r>
            <w:r>
              <w:rPr>
                <w:noProof/>
                <w:webHidden/>
              </w:rPr>
              <w:t>14</w:t>
            </w:r>
            <w:r>
              <w:rPr>
                <w:noProof/>
                <w:webHidden/>
              </w:rPr>
              <w:fldChar w:fldCharType="end"/>
            </w:r>
          </w:hyperlink>
        </w:p>
        <w:p w14:paraId="67D430ED" w14:textId="53C04D33"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01" w:history="1">
            <w:r w:rsidRPr="00BF53ED">
              <w:rPr>
                <w:rStyle w:val="Hyperlink"/>
                <w:noProof/>
              </w:rPr>
              <w:t>Australian regulatory status</w:t>
            </w:r>
            <w:r>
              <w:rPr>
                <w:noProof/>
                <w:webHidden/>
              </w:rPr>
              <w:tab/>
            </w:r>
            <w:r>
              <w:rPr>
                <w:noProof/>
                <w:webHidden/>
              </w:rPr>
              <w:fldChar w:fldCharType="begin"/>
            </w:r>
            <w:r>
              <w:rPr>
                <w:noProof/>
                <w:webHidden/>
              </w:rPr>
              <w:instrText xml:space="preserve"> PAGEREF _Toc178239601 \h </w:instrText>
            </w:r>
            <w:r>
              <w:rPr>
                <w:noProof/>
                <w:webHidden/>
              </w:rPr>
            </w:r>
            <w:r>
              <w:rPr>
                <w:noProof/>
                <w:webHidden/>
              </w:rPr>
              <w:fldChar w:fldCharType="separate"/>
            </w:r>
            <w:r>
              <w:rPr>
                <w:noProof/>
                <w:webHidden/>
              </w:rPr>
              <w:t>14</w:t>
            </w:r>
            <w:r>
              <w:rPr>
                <w:noProof/>
                <w:webHidden/>
              </w:rPr>
              <w:fldChar w:fldCharType="end"/>
            </w:r>
          </w:hyperlink>
        </w:p>
        <w:p w14:paraId="5265D488" w14:textId="5EE6F73C"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02" w:history="1">
            <w:r w:rsidRPr="00BF53ED">
              <w:rPr>
                <w:rStyle w:val="Hyperlink"/>
                <w:noProof/>
              </w:rPr>
              <w:t>International regulatory status</w:t>
            </w:r>
            <w:r>
              <w:rPr>
                <w:noProof/>
                <w:webHidden/>
              </w:rPr>
              <w:tab/>
            </w:r>
            <w:r>
              <w:rPr>
                <w:noProof/>
                <w:webHidden/>
              </w:rPr>
              <w:fldChar w:fldCharType="begin"/>
            </w:r>
            <w:r>
              <w:rPr>
                <w:noProof/>
                <w:webHidden/>
              </w:rPr>
              <w:instrText xml:space="preserve"> PAGEREF _Toc178239602 \h </w:instrText>
            </w:r>
            <w:r>
              <w:rPr>
                <w:noProof/>
                <w:webHidden/>
              </w:rPr>
            </w:r>
            <w:r>
              <w:rPr>
                <w:noProof/>
                <w:webHidden/>
              </w:rPr>
              <w:fldChar w:fldCharType="separate"/>
            </w:r>
            <w:r>
              <w:rPr>
                <w:noProof/>
                <w:webHidden/>
              </w:rPr>
              <w:t>15</w:t>
            </w:r>
            <w:r>
              <w:rPr>
                <w:noProof/>
                <w:webHidden/>
              </w:rPr>
              <w:fldChar w:fldCharType="end"/>
            </w:r>
          </w:hyperlink>
        </w:p>
        <w:p w14:paraId="2797367B" w14:textId="4131D28F"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03" w:history="1">
            <w:r w:rsidRPr="00BF53ED">
              <w:rPr>
                <w:rStyle w:val="Hyperlink"/>
                <w:noProof/>
              </w:rPr>
              <w:t>Registration timeline</w:t>
            </w:r>
            <w:r>
              <w:rPr>
                <w:noProof/>
                <w:webHidden/>
              </w:rPr>
              <w:tab/>
            </w:r>
            <w:r>
              <w:rPr>
                <w:noProof/>
                <w:webHidden/>
              </w:rPr>
              <w:fldChar w:fldCharType="begin"/>
            </w:r>
            <w:r>
              <w:rPr>
                <w:noProof/>
                <w:webHidden/>
              </w:rPr>
              <w:instrText xml:space="preserve"> PAGEREF _Toc178239603 \h </w:instrText>
            </w:r>
            <w:r>
              <w:rPr>
                <w:noProof/>
                <w:webHidden/>
              </w:rPr>
            </w:r>
            <w:r>
              <w:rPr>
                <w:noProof/>
                <w:webHidden/>
              </w:rPr>
              <w:fldChar w:fldCharType="separate"/>
            </w:r>
            <w:r>
              <w:rPr>
                <w:noProof/>
                <w:webHidden/>
              </w:rPr>
              <w:t>18</w:t>
            </w:r>
            <w:r>
              <w:rPr>
                <w:noProof/>
                <w:webHidden/>
              </w:rPr>
              <w:fldChar w:fldCharType="end"/>
            </w:r>
          </w:hyperlink>
        </w:p>
        <w:p w14:paraId="6F11D4B0" w14:textId="2D27E8DC" w:rsidR="00155131" w:rsidRDefault="0015513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239604" w:history="1">
            <w:r w:rsidRPr="00BF53ED">
              <w:rPr>
                <w:rStyle w:val="Hyperlink"/>
                <w:noProof/>
              </w:rPr>
              <w:t>Evaluation overview</w:t>
            </w:r>
            <w:r>
              <w:rPr>
                <w:noProof/>
                <w:webHidden/>
              </w:rPr>
              <w:tab/>
            </w:r>
            <w:r>
              <w:rPr>
                <w:noProof/>
                <w:webHidden/>
              </w:rPr>
              <w:fldChar w:fldCharType="begin"/>
            </w:r>
            <w:r>
              <w:rPr>
                <w:noProof/>
                <w:webHidden/>
              </w:rPr>
              <w:instrText xml:space="preserve"> PAGEREF _Toc178239604 \h </w:instrText>
            </w:r>
            <w:r>
              <w:rPr>
                <w:noProof/>
                <w:webHidden/>
              </w:rPr>
            </w:r>
            <w:r>
              <w:rPr>
                <w:noProof/>
                <w:webHidden/>
              </w:rPr>
              <w:fldChar w:fldCharType="separate"/>
            </w:r>
            <w:r>
              <w:rPr>
                <w:noProof/>
                <w:webHidden/>
              </w:rPr>
              <w:t>19</w:t>
            </w:r>
            <w:r>
              <w:rPr>
                <w:noProof/>
                <w:webHidden/>
              </w:rPr>
              <w:fldChar w:fldCharType="end"/>
            </w:r>
          </w:hyperlink>
        </w:p>
        <w:p w14:paraId="1A195322" w14:textId="1F85FCE1"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05" w:history="1">
            <w:r w:rsidRPr="00BF53ED">
              <w:rPr>
                <w:rStyle w:val="Hyperlink"/>
                <w:noProof/>
              </w:rPr>
              <w:t>Clinical evaluation summary</w:t>
            </w:r>
            <w:r>
              <w:rPr>
                <w:noProof/>
                <w:webHidden/>
              </w:rPr>
              <w:tab/>
            </w:r>
            <w:r>
              <w:rPr>
                <w:noProof/>
                <w:webHidden/>
              </w:rPr>
              <w:fldChar w:fldCharType="begin"/>
            </w:r>
            <w:r>
              <w:rPr>
                <w:noProof/>
                <w:webHidden/>
              </w:rPr>
              <w:instrText xml:space="preserve"> PAGEREF _Toc178239605 \h </w:instrText>
            </w:r>
            <w:r>
              <w:rPr>
                <w:noProof/>
                <w:webHidden/>
              </w:rPr>
            </w:r>
            <w:r>
              <w:rPr>
                <w:noProof/>
                <w:webHidden/>
              </w:rPr>
              <w:fldChar w:fldCharType="separate"/>
            </w:r>
            <w:r>
              <w:rPr>
                <w:noProof/>
                <w:webHidden/>
              </w:rPr>
              <w:t>19</w:t>
            </w:r>
            <w:r>
              <w:rPr>
                <w:noProof/>
                <w:webHidden/>
              </w:rPr>
              <w:fldChar w:fldCharType="end"/>
            </w:r>
          </w:hyperlink>
        </w:p>
        <w:p w14:paraId="5897081B" w14:textId="0D7DB7A0"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06" w:history="1">
            <w:r w:rsidRPr="00BF53ED">
              <w:rPr>
                <w:rStyle w:val="Hyperlink"/>
                <w:noProof/>
              </w:rPr>
              <w:t>Summary of clinical studies</w:t>
            </w:r>
            <w:r>
              <w:rPr>
                <w:noProof/>
                <w:webHidden/>
              </w:rPr>
              <w:tab/>
            </w:r>
            <w:r>
              <w:rPr>
                <w:noProof/>
                <w:webHidden/>
              </w:rPr>
              <w:fldChar w:fldCharType="begin"/>
            </w:r>
            <w:r>
              <w:rPr>
                <w:noProof/>
                <w:webHidden/>
              </w:rPr>
              <w:instrText xml:space="preserve"> PAGEREF _Toc178239606 \h </w:instrText>
            </w:r>
            <w:r>
              <w:rPr>
                <w:noProof/>
                <w:webHidden/>
              </w:rPr>
            </w:r>
            <w:r>
              <w:rPr>
                <w:noProof/>
                <w:webHidden/>
              </w:rPr>
              <w:fldChar w:fldCharType="separate"/>
            </w:r>
            <w:r>
              <w:rPr>
                <w:noProof/>
                <w:webHidden/>
              </w:rPr>
              <w:t>19</w:t>
            </w:r>
            <w:r>
              <w:rPr>
                <w:noProof/>
                <w:webHidden/>
              </w:rPr>
              <w:fldChar w:fldCharType="end"/>
            </w:r>
          </w:hyperlink>
        </w:p>
        <w:p w14:paraId="351EDBF6" w14:textId="08E6FE00"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07" w:history="1">
            <w:r w:rsidRPr="00BF53ED">
              <w:rPr>
                <w:rStyle w:val="Hyperlink"/>
                <w:noProof/>
              </w:rPr>
              <w:t>Pharmacology</w:t>
            </w:r>
            <w:r>
              <w:rPr>
                <w:noProof/>
                <w:webHidden/>
              </w:rPr>
              <w:tab/>
            </w:r>
            <w:r>
              <w:rPr>
                <w:noProof/>
                <w:webHidden/>
              </w:rPr>
              <w:fldChar w:fldCharType="begin"/>
            </w:r>
            <w:r>
              <w:rPr>
                <w:noProof/>
                <w:webHidden/>
              </w:rPr>
              <w:instrText xml:space="preserve"> PAGEREF _Toc178239607 \h </w:instrText>
            </w:r>
            <w:r>
              <w:rPr>
                <w:noProof/>
                <w:webHidden/>
              </w:rPr>
            </w:r>
            <w:r>
              <w:rPr>
                <w:noProof/>
                <w:webHidden/>
              </w:rPr>
              <w:fldChar w:fldCharType="separate"/>
            </w:r>
            <w:r>
              <w:rPr>
                <w:noProof/>
                <w:webHidden/>
              </w:rPr>
              <w:t>20</w:t>
            </w:r>
            <w:r>
              <w:rPr>
                <w:noProof/>
                <w:webHidden/>
              </w:rPr>
              <w:fldChar w:fldCharType="end"/>
            </w:r>
          </w:hyperlink>
        </w:p>
        <w:p w14:paraId="7BE93246" w14:textId="3FBDF1A4"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08" w:history="1">
            <w:r w:rsidRPr="00BF53ED">
              <w:rPr>
                <w:rStyle w:val="Hyperlink"/>
                <w:noProof/>
              </w:rPr>
              <w:t>Efficacy</w:t>
            </w:r>
            <w:r>
              <w:rPr>
                <w:noProof/>
                <w:webHidden/>
              </w:rPr>
              <w:tab/>
            </w:r>
            <w:r>
              <w:rPr>
                <w:noProof/>
                <w:webHidden/>
              </w:rPr>
              <w:fldChar w:fldCharType="begin"/>
            </w:r>
            <w:r>
              <w:rPr>
                <w:noProof/>
                <w:webHidden/>
              </w:rPr>
              <w:instrText xml:space="preserve"> PAGEREF _Toc178239608 \h </w:instrText>
            </w:r>
            <w:r>
              <w:rPr>
                <w:noProof/>
                <w:webHidden/>
              </w:rPr>
            </w:r>
            <w:r>
              <w:rPr>
                <w:noProof/>
                <w:webHidden/>
              </w:rPr>
              <w:fldChar w:fldCharType="separate"/>
            </w:r>
            <w:r>
              <w:rPr>
                <w:noProof/>
                <w:webHidden/>
              </w:rPr>
              <w:t>23</w:t>
            </w:r>
            <w:r>
              <w:rPr>
                <w:noProof/>
                <w:webHidden/>
              </w:rPr>
              <w:fldChar w:fldCharType="end"/>
            </w:r>
          </w:hyperlink>
        </w:p>
        <w:p w14:paraId="3C3A9354" w14:textId="04D8B6C3"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09" w:history="1">
            <w:r w:rsidRPr="00BF53ED">
              <w:rPr>
                <w:rStyle w:val="Hyperlink"/>
                <w:noProof/>
              </w:rPr>
              <w:t>Methods</w:t>
            </w:r>
            <w:r>
              <w:rPr>
                <w:noProof/>
                <w:webHidden/>
              </w:rPr>
              <w:tab/>
            </w:r>
            <w:r>
              <w:rPr>
                <w:noProof/>
                <w:webHidden/>
              </w:rPr>
              <w:fldChar w:fldCharType="begin"/>
            </w:r>
            <w:r>
              <w:rPr>
                <w:noProof/>
                <w:webHidden/>
              </w:rPr>
              <w:instrText xml:space="preserve"> PAGEREF _Toc178239609 \h </w:instrText>
            </w:r>
            <w:r>
              <w:rPr>
                <w:noProof/>
                <w:webHidden/>
              </w:rPr>
            </w:r>
            <w:r>
              <w:rPr>
                <w:noProof/>
                <w:webHidden/>
              </w:rPr>
              <w:fldChar w:fldCharType="separate"/>
            </w:r>
            <w:r>
              <w:rPr>
                <w:noProof/>
                <w:webHidden/>
              </w:rPr>
              <w:t>24</w:t>
            </w:r>
            <w:r>
              <w:rPr>
                <w:noProof/>
                <w:webHidden/>
              </w:rPr>
              <w:fldChar w:fldCharType="end"/>
            </w:r>
          </w:hyperlink>
        </w:p>
        <w:p w14:paraId="2E32C692" w14:textId="67248E3C"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10" w:history="1">
            <w:r w:rsidRPr="00BF53ED">
              <w:rPr>
                <w:rStyle w:val="Hyperlink"/>
                <w:noProof/>
              </w:rPr>
              <w:t>Results</w:t>
            </w:r>
            <w:r>
              <w:rPr>
                <w:noProof/>
                <w:webHidden/>
              </w:rPr>
              <w:tab/>
            </w:r>
            <w:r>
              <w:rPr>
                <w:noProof/>
                <w:webHidden/>
              </w:rPr>
              <w:fldChar w:fldCharType="begin"/>
            </w:r>
            <w:r>
              <w:rPr>
                <w:noProof/>
                <w:webHidden/>
              </w:rPr>
              <w:instrText xml:space="preserve"> PAGEREF _Toc178239610 \h </w:instrText>
            </w:r>
            <w:r>
              <w:rPr>
                <w:noProof/>
                <w:webHidden/>
              </w:rPr>
            </w:r>
            <w:r>
              <w:rPr>
                <w:noProof/>
                <w:webHidden/>
              </w:rPr>
              <w:fldChar w:fldCharType="separate"/>
            </w:r>
            <w:r>
              <w:rPr>
                <w:noProof/>
                <w:webHidden/>
              </w:rPr>
              <w:t>26</w:t>
            </w:r>
            <w:r>
              <w:rPr>
                <w:noProof/>
                <w:webHidden/>
              </w:rPr>
              <w:fldChar w:fldCharType="end"/>
            </w:r>
          </w:hyperlink>
        </w:p>
        <w:p w14:paraId="6CF8ACB2" w14:textId="1D0329A7"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11" w:history="1">
            <w:r w:rsidRPr="00BF53ED">
              <w:rPr>
                <w:rStyle w:val="Hyperlink"/>
                <w:noProof/>
              </w:rPr>
              <w:t>Results</w:t>
            </w:r>
            <w:r>
              <w:rPr>
                <w:noProof/>
                <w:webHidden/>
              </w:rPr>
              <w:tab/>
            </w:r>
            <w:r>
              <w:rPr>
                <w:noProof/>
                <w:webHidden/>
              </w:rPr>
              <w:fldChar w:fldCharType="begin"/>
            </w:r>
            <w:r>
              <w:rPr>
                <w:noProof/>
                <w:webHidden/>
              </w:rPr>
              <w:instrText xml:space="preserve"> PAGEREF _Toc178239611 \h </w:instrText>
            </w:r>
            <w:r>
              <w:rPr>
                <w:noProof/>
                <w:webHidden/>
              </w:rPr>
            </w:r>
            <w:r>
              <w:rPr>
                <w:noProof/>
                <w:webHidden/>
              </w:rPr>
              <w:fldChar w:fldCharType="separate"/>
            </w:r>
            <w:r>
              <w:rPr>
                <w:noProof/>
                <w:webHidden/>
              </w:rPr>
              <w:t>34</w:t>
            </w:r>
            <w:r>
              <w:rPr>
                <w:noProof/>
                <w:webHidden/>
              </w:rPr>
              <w:fldChar w:fldCharType="end"/>
            </w:r>
          </w:hyperlink>
        </w:p>
        <w:p w14:paraId="1B062AD1" w14:textId="2A84CF00"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12" w:history="1">
            <w:r w:rsidRPr="00BF53ED">
              <w:rPr>
                <w:rStyle w:val="Hyperlink"/>
                <w:noProof/>
              </w:rPr>
              <w:t>Safety</w:t>
            </w:r>
            <w:r>
              <w:rPr>
                <w:noProof/>
                <w:webHidden/>
              </w:rPr>
              <w:tab/>
            </w:r>
            <w:r>
              <w:rPr>
                <w:noProof/>
                <w:webHidden/>
              </w:rPr>
              <w:fldChar w:fldCharType="begin"/>
            </w:r>
            <w:r>
              <w:rPr>
                <w:noProof/>
                <w:webHidden/>
              </w:rPr>
              <w:instrText xml:space="preserve"> PAGEREF _Toc178239612 \h </w:instrText>
            </w:r>
            <w:r>
              <w:rPr>
                <w:noProof/>
                <w:webHidden/>
              </w:rPr>
            </w:r>
            <w:r>
              <w:rPr>
                <w:noProof/>
                <w:webHidden/>
              </w:rPr>
              <w:fldChar w:fldCharType="separate"/>
            </w:r>
            <w:r>
              <w:rPr>
                <w:noProof/>
                <w:webHidden/>
              </w:rPr>
              <w:t>36</w:t>
            </w:r>
            <w:r>
              <w:rPr>
                <w:noProof/>
                <w:webHidden/>
              </w:rPr>
              <w:fldChar w:fldCharType="end"/>
            </w:r>
          </w:hyperlink>
        </w:p>
        <w:p w14:paraId="56A55B08" w14:textId="1B943408"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13" w:history="1">
            <w:r w:rsidRPr="00BF53ED">
              <w:rPr>
                <w:rStyle w:val="Hyperlink"/>
                <w:noProof/>
              </w:rPr>
              <w:t>Patient exposure</w:t>
            </w:r>
            <w:r>
              <w:rPr>
                <w:noProof/>
                <w:webHidden/>
              </w:rPr>
              <w:tab/>
            </w:r>
            <w:r>
              <w:rPr>
                <w:noProof/>
                <w:webHidden/>
              </w:rPr>
              <w:fldChar w:fldCharType="begin"/>
            </w:r>
            <w:r>
              <w:rPr>
                <w:noProof/>
                <w:webHidden/>
              </w:rPr>
              <w:instrText xml:space="preserve"> PAGEREF _Toc178239613 \h </w:instrText>
            </w:r>
            <w:r>
              <w:rPr>
                <w:noProof/>
                <w:webHidden/>
              </w:rPr>
            </w:r>
            <w:r>
              <w:rPr>
                <w:noProof/>
                <w:webHidden/>
              </w:rPr>
              <w:fldChar w:fldCharType="separate"/>
            </w:r>
            <w:r>
              <w:rPr>
                <w:noProof/>
                <w:webHidden/>
              </w:rPr>
              <w:t>36</w:t>
            </w:r>
            <w:r>
              <w:rPr>
                <w:noProof/>
                <w:webHidden/>
              </w:rPr>
              <w:fldChar w:fldCharType="end"/>
            </w:r>
          </w:hyperlink>
        </w:p>
        <w:p w14:paraId="20A22A35" w14:textId="57B00595"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14" w:history="1">
            <w:r w:rsidRPr="00BF53ED">
              <w:rPr>
                <w:rStyle w:val="Hyperlink"/>
                <w:noProof/>
              </w:rPr>
              <w:t>Key safety outcomes for CWM indication: Pooled SURMOUNT-1 and SURMOUNT-2</w:t>
            </w:r>
            <w:r>
              <w:rPr>
                <w:noProof/>
                <w:webHidden/>
              </w:rPr>
              <w:tab/>
            </w:r>
            <w:r>
              <w:rPr>
                <w:noProof/>
                <w:webHidden/>
              </w:rPr>
              <w:fldChar w:fldCharType="begin"/>
            </w:r>
            <w:r>
              <w:rPr>
                <w:noProof/>
                <w:webHidden/>
              </w:rPr>
              <w:instrText xml:space="preserve"> PAGEREF _Toc178239614 \h </w:instrText>
            </w:r>
            <w:r>
              <w:rPr>
                <w:noProof/>
                <w:webHidden/>
              </w:rPr>
            </w:r>
            <w:r>
              <w:rPr>
                <w:noProof/>
                <w:webHidden/>
              </w:rPr>
              <w:fldChar w:fldCharType="separate"/>
            </w:r>
            <w:r>
              <w:rPr>
                <w:noProof/>
                <w:webHidden/>
              </w:rPr>
              <w:t>38</w:t>
            </w:r>
            <w:r>
              <w:rPr>
                <w:noProof/>
                <w:webHidden/>
              </w:rPr>
              <w:fldChar w:fldCharType="end"/>
            </w:r>
          </w:hyperlink>
        </w:p>
        <w:p w14:paraId="083A071A" w14:textId="49BF774D"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15" w:history="1">
            <w:r w:rsidRPr="00BF53ED">
              <w:rPr>
                <w:rStyle w:val="Hyperlink"/>
                <w:noProof/>
                <w:lang w:eastAsia="ja-JP"/>
              </w:rPr>
              <w:t>Post marketing experience</w:t>
            </w:r>
            <w:r>
              <w:rPr>
                <w:noProof/>
                <w:webHidden/>
              </w:rPr>
              <w:tab/>
            </w:r>
            <w:r>
              <w:rPr>
                <w:noProof/>
                <w:webHidden/>
              </w:rPr>
              <w:fldChar w:fldCharType="begin"/>
            </w:r>
            <w:r>
              <w:rPr>
                <w:noProof/>
                <w:webHidden/>
              </w:rPr>
              <w:instrText xml:space="preserve"> PAGEREF _Toc178239615 \h </w:instrText>
            </w:r>
            <w:r>
              <w:rPr>
                <w:noProof/>
                <w:webHidden/>
              </w:rPr>
            </w:r>
            <w:r>
              <w:rPr>
                <w:noProof/>
                <w:webHidden/>
              </w:rPr>
              <w:fldChar w:fldCharType="separate"/>
            </w:r>
            <w:r>
              <w:rPr>
                <w:noProof/>
                <w:webHidden/>
              </w:rPr>
              <w:t>41</w:t>
            </w:r>
            <w:r>
              <w:rPr>
                <w:noProof/>
                <w:webHidden/>
              </w:rPr>
              <w:fldChar w:fldCharType="end"/>
            </w:r>
          </w:hyperlink>
        </w:p>
        <w:p w14:paraId="352F2DBD" w14:textId="5A0511A8"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16" w:history="1">
            <w:r w:rsidRPr="00BF53ED">
              <w:rPr>
                <w:rStyle w:val="Hyperlink"/>
                <w:noProof/>
              </w:rPr>
              <w:t>Risk Management Plan (RMP) evaluation summary</w:t>
            </w:r>
            <w:r>
              <w:rPr>
                <w:noProof/>
                <w:webHidden/>
              </w:rPr>
              <w:tab/>
            </w:r>
            <w:r>
              <w:rPr>
                <w:noProof/>
                <w:webHidden/>
              </w:rPr>
              <w:fldChar w:fldCharType="begin"/>
            </w:r>
            <w:r>
              <w:rPr>
                <w:noProof/>
                <w:webHidden/>
              </w:rPr>
              <w:instrText xml:space="preserve"> PAGEREF _Toc178239616 \h </w:instrText>
            </w:r>
            <w:r>
              <w:rPr>
                <w:noProof/>
                <w:webHidden/>
              </w:rPr>
            </w:r>
            <w:r>
              <w:rPr>
                <w:noProof/>
                <w:webHidden/>
              </w:rPr>
              <w:fldChar w:fldCharType="separate"/>
            </w:r>
            <w:r>
              <w:rPr>
                <w:noProof/>
                <w:webHidden/>
              </w:rPr>
              <w:t>43</w:t>
            </w:r>
            <w:r>
              <w:rPr>
                <w:noProof/>
                <w:webHidden/>
              </w:rPr>
              <w:fldChar w:fldCharType="end"/>
            </w:r>
          </w:hyperlink>
        </w:p>
        <w:p w14:paraId="6DFA7576" w14:textId="2A281E45" w:rsidR="00155131" w:rsidRDefault="0015513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239617" w:history="1">
            <w:r w:rsidRPr="00BF53ED">
              <w:rPr>
                <w:rStyle w:val="Hyperlink"/>
                <w:noProof/>
              </w:rPr>
              <w:t>Risk/benefit analysis</w:t>
            </w:r>
            <w:r>
              <w:rPr>
                <w:noProof/>
                <w:webHidden/>
              </w:rPr>
              <w:tab/>
            </w:r>
            <w:r>
              <w:rPr>
                <w:noProof/>
                <w:webHidden/>
              </w:rPr>
              <w:fldChar w:fldCharType="begin"/>
            </w:r>
            <w:r>
              <w:rPr>
                <w:noProof/>
                <w:webHidden/>
              </w:rPr>
              <w:instrText xml:space="preserve"> PAGEREF _Toc178239617 \h </w:instrText>
            </w:r>
            <w:r>
              <w:rPr>
                <w:noProof/>
                <w:webHidden/>
              </w:rPr>
            </w:r>
            <w:r>
              <w:rPr>
                <w:noProof/>
                <w:webHidden/>
              </w:rPr>
              <w:fldChar w:fldCharType="separate"/>
            </w:r>
            <w:r>
              <w:rPr>
                <w:noProof/>
                <w:webHidden/>
              </w:rPr>
              <w:t>43</w:t>
            </w:r>
            <w:r>
              <w:rPr>
                <w:noProof/>
                <w:webHidden/>
              </w:rPr>
              <w:fldChar w:fldCharType="end"/>
            </w:r>
          </w:hyperlink>
        </w:p>
        <w:p w14:paraId="3C792CD9" w14:textId="6A5C2977"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18" w:history="1">
            <w:r w:rsidRPr="00BF53ED">
              <w:rPr>
                <w:rStyle w:val="Hyperlink"/>
                <w:noProof/>
              </w:rPr>
              <w:t>Efficacy</w:t>
            </w:r>
            <w:r>
              <w:rPr>
                <w:noProof/>
                <w:webHidden/>
              </w:rPr>
              <w:tab/>
            </w:r>
            <w:r>
              <w:rPr>
                <w:noProof/>
                <w:webHidden/>
              </w:rPr>
              <w:fldChar w:fldCharType="begin"/>
            </w:r>
            <w:r>
              <w:rPr>
                <w:noProof/>
                <w:webHidden/>
              </w:rPr>
              <w:instrText xml:space="preserve"> PAGEREF _Toc178239618 \h </w:instrText>
            </w:r>
            <w:r>
              <w:rPr>
                <w:noProof/>
                <w:webHidden/>
              </w:rPr>
            </w:r>
            <w:r>
              <w:rPr>
                <w:noProof/>
                <w:webHidden/>
              </w:rPr>
              <w:fldChar w:fldCharType="separate"/>
            </w:r>
            <w:r>
              <w:rPr>
                <w:noProof/>
                <w:webHidden/>
              </w:rPr>
              <w:t>44</w:t>
            </w:r>
            <w:r>
              <w:rPr>
                <w:noProof/>
                <w:webHidden/>
              </w:rPr>
              <w:fldChar w:fldCharType="end"/>
            </w:r>
          </w:hyperlink>
        </w:p>
        <w:p w14:paraId="0FBA59C6" w14:textId="3866E80D"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19" w:history="1">
            <w:r w:rsidRPr="00BF53ED">
              <w:rPr>
                <w:rStyle w:val="Hyperlink"/>
                <w:noProof/>
              </w:rPr>
              <w:t>Safety</w:t>
            </w:r>
            <w:r>
              <w:rPr>
                <w:noProof/>
                <w:webHidden/>
              </w:rPr>
              <w:tab/>
            </w:r>
            <w:r>
              <w:rPr>
                <w:noProof/>
                <w:webHidden/>
              </w:rPr>
              <w:fldChar w:fldCharType="begin"/>
            </w:r>
            <w:r>
              <w:rPr>
                <w:noProof/>
                <w:webHidden/>
              </w:rPr>
              <w:instrText xml:space="preserve"> PAGEREF _Toc178239619 \h </w:instrText>
            </w:r>
            <w:r>
              <w:rPr>
                <w:noProof/>
                <w:webHidden/>
              </w:rPr>
            </w:r>
            <w:r>
              <w:rPr>
                <w:noProof/>
                <w:webHidden/>
              </w:rPr>
              <w:fldChar w:fldCharType="separate"/>
            </w:r>
            <w:r>
              <w:rPr>
                <w:noProof/>
                <w:webHidden/>
              </w:rPr>
              <w:t>44</w:t>
            </w:r>
            <w:r>
              <w:rPr>
                <w:noProof/>
                <w:webHidden/>
              </w:rPr>
              <w:fldChar w:fldCharType="end"/>
            </w:r>
          </w:hyperlink>
        </w:p>
        <w:p w14:paraId="7B12CBB4" w14:textId="39E5980C"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20" w:history="1">
            <w:r w:rsidRPr="00BF53ED">
              <w:rPr>
                <w:rStyle w:val="Hyperlink"/>
                <w:noProof/>
                <w:lang w:eastAsia="ja-JP"/>
              </w:rPr>
              <w:t xml:space="preserve">Data limitations and </w:t>
            </w:r>
            <w:r w:rsidRPr="00BF53ED">
              <w:rPr>
                <w:rStyle w:val="Hyperlink"/>
                <w:noProof/>
              </w:rPr>
              <w:t>uncertainties</w:t>
            </w:r>
            <w:r>
              <w:rPr>
                <w:noProof/>
                <w:webHidden/>
              </w:rPr>
              <w:tab/>
            </w:r>
            <w:r>
              <w:rPr>
                <w:noProof/>
                <w:webHidden/>
              </w:rPr>
              <w:fldChar w:fldCharType="begin"/>
            </w:r>
            <w:r>
              <w:rPr>
                <w:noProof/>
                <w:webHidden/>
              </w:rPr>
              <w:instrText xml:space="preserve"> PAGEREF _Toc178239620 \h </w:instrText>
            </w:r>
            <w:r>
              <w:rPr>
                <w:noProof/>
                <w:webHidden/>
              </w:rPr>
            </w:r>
            <w:r>
              <w:rPr>
                <w:noProof/>
                <w:webHidden/>
              </w:rPr>
              <w:fldChar w:fldCharType="separate"/>
            </w:r>
            <w:r>
              <w:rPr>
                <w:noProof/>
                <w:webHidden/>
              </w:rPr>
              <w:t>45</w:t>
            </w:r>
            <w:r>
              <w:rPr>
                <w:noProof/>
                <w:webHidden/>
              </w:rPr>
              <w:fldChar w:fldCharType="end"/>
            </w:r>
          </w:hyperlink>
        </w:p>
        <w:p w14:paraId="1B1DC33C" w14:textId="404F7B69"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21" w:history="1">
            <w:r w:rsidRPr="00BF53ED">
              <w:rPr>
                <w:rStyle w:val="Hyperlink"/>
                <w:noProof/>
              </w:rPr>
              <w:t>Ongoing studies</w:t>
            </w:r>
            <w:r>
              <w:rPr>
                <w:noProof/>
                <w:webHidden/>
              </w:rPr>
              <w:tab/>
            </w:r>
            <w:r>
              <w:rPr>
                <w:noProof/>
                <w:webHidden/>
              </w:rPr>
              <w:fldChar w:fldCharType="begin"/>
            </w:r>
            <w:r>
              <w:rPr>
                <w:noProof/>
                <w:webHidden/>
              </w:rPr>
              <w:instrText xml:space="preserve"> PAGEREF _Toc178239621 \h </w:instrText>
            </w:r>
            <w:r>
              <w:rPr>
                <w:noProof/>
                <w:webHidden/>
              </w:rPr>
            </w:r>
            <w:r>
              <w:rPr>
                <w:noProof/>
                <w:webHidden/>
              </w:rPr>
              <w:fldChar w:fldCharType="separate"/>
            </w:r>
            <w:r>
              <w:rPr>
                <w:noProof/>
                <w:webHidden/>
              </w:rPr>
              <w:t>45</w:t>
            </w:r>
            <w:r>
              <w:rPr>
                <w:noProof/>
                <w:webHidden/>
              </w:rPr>
              <w:fldChar w:fldCharType="end"/>
            </w:r>
          </w:hyperlink>
        </w:p>
        <w:p w14:paraId="5FD79E9A" w14:textId="6EEBB714" w:rsidR="00155131" w:rsidRDefault="00155131">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239622" w:history="1">
            <w:r w:rsidRPr="00BF53ED">
              <w:rPr>
                <w:rStyle w:val="Hyperlink"/>
                <w:noProof/>
              </w:rPr>
              <w:t>Advisory Committee considerations</w:t>
            </w:r>
            <w:r>
              <w:rPr>
                <w:noProof/>
                <w:webHidden/>
              </w:rPr>
              <w:tab/>
            </w:r>
            <w:r>
              <w:rPr>
                <w:noProof/>
                <w:webHidden/>
              </w:rPr>
              <w:fldChar w:fldCharType="begin"/>
            </w:r>
            <w:r>
              <w:rPr>
                <w:noProof/>
                <w:webHidden/>
              </w:rPr>
              <w:instrText xml:space="preserve"> PAGEREF _Toc178239622 \h </w:instrText>
            </w:r>
            <w:r>
              <w:rPr>
                <w:noProof/>
                <w:webHidden/>
              </w:rPr>
            </w:r>
            <w:r>
              <w:rPr>
                <w:noProof/>
                <w:webHidden/>
              </w:rPr>
              <w:fldChar w:fldCharType="separate"/>
            </w:r>
            <w:r>
              <w:rPr>
                <w:noProof/>
                <w:webHidden/>
              </w:rPr>
              <w:t>46</w:t>
            </w:r>
            <w:r>
              <w:rPr>
                <w:noProof/>
                <w:webHidden/>
              </w:rPr>
              <w:fldChar w:fldCharType="end"/>
            </w:r>
          </w:hyperlink>
        </w:p>
        <w:p w14:paraId="6DEC508F" w14:textId="70EEED7E"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23" w:history="1">
            <w:r w:rsidRPr="00BF53ED">
              <w:rPr>
                <w:rStyle w:val="Hyperlink"/>
                <w:noProof/>
              </w:rPr>
              <w:t>ACM conclusion</w:t>
            </w:r>
            <w:r>
              <w:rPr>
                <w:noProof/>
                <w:webHidden/>
              </w:rPr>
              <w:tab/>
            </w:r>
            <w:r>
              <w:rPr>
                <w:noProof/>
                <w:webHidden/>
              </w:rPr>
              <w:fldChar w:fldCharType="begin"/>
            </w:r>
            <w:r>
              <w:rPr>
                <w:noProof/>
                <w:webHidden/>
              </w:rPr>
              <w:instrText xml:space="preserve"> PAGEREF _Toc178239623 \h </w:instrText>
            </w:r>
            <w:r>
              <w:rPr>
                <w:noProof/>
                <w:webHidden/>
              </w:rPr>
            </w:r>
            <w:r>
              <w:rPr>
                <w:noProof/>
                <w:webHidden/>
              </w:rPr>
              <w:fldChar w:fldCharType="separate"/>
            </w:r>
            <w:r>
              <w:rPr>
                <w:noProof/>
                <w:webHidden/>
              </w:rPr>
              <w:t>47</w:t>
            </w:r>
            <w:r>
              <w:rPr>
                <w:noProof/>
                <w:webHidden/>
              </w:rPr>
              <w:fldChar w:fldCharType="end"/>
            </w:r>
          </w:hyperlink>
        </w:p>
        <w:p w14:paraId="1DDB7D41" w14:textId="763CFF25" w:rsidR="00155131" w:rsidRDefault="0015513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239624" w:history="1">
            <w:r w:rsidRPr="00BF53ED">
              <w:rPr>
                <w:rStyle w:val="Hyperlink"/>
                <w:noProof/>
              </w:rPr>
              <w:t>Outcome</w:t>
            </w:r>
            <w:r>
              <w:rPr>
                <w:noProof/>
                <w:webHidden/>
              </w:rPr>
              <w:tab/>
            </w:r>
            <w:r>
              <w:rPr>
                <w:noProof/>
                <w:webHidden/>
              </w:rPr>
              <w:fldChar w:fldCharType="begin"/>
            </w:r>
            <w:r>
              <w:rPr>
                <w:noProof/>
                <w:webHidden/>
              </w:rPr>
              <w:instrText xml:space="preserve"> PAGEREF _Toc178239624 \h </w:instrText>
            </w:r>
            <w:r>
              <w:rPr>
                <w:noProof/>
                <w:webHidden/>
              </w:rPr>
            </w:r>
            <w:r>
              <w:rPr>
                <w:noProof/>
                <w:webHidden/>
              </w:rPr>
              <w:fldChar w:fldCharType="separate"/>
            </w:r>
            <w:r>
              <w:rPr>
                <w:noProof/>
                <w:webHidden/>
              </w:rPr>
              <w:t>47</w:t>
            </w:r>
            <w:r>
              <w:rPr>
                <w:noProof/>
                <w:webHidden/>
              </w:rPr>
              <w:fldChar w:fldCharType="end"/>
            </w:r>
          </w:hyperlink>
        </w:p>
        <w:p w14:paraId="0860F178" w14:textId="08A712E2" w:rsidR="00155131" w:rsidRDefault="00155131">
          <w:pPr>
            <w:pStyle w:val="TOC3"/>
            <w:rPr>
              <w:rFonts w:asciiTheme="minorHAnsi" w:eastAsiaTheme="minorEastAsia" w:hAnsiTheme="minorHAnsi" w:cstheme="minorBidi"/>
              <w:b w:val="0"/>
              <w:noProof/>
              <w:color w:val="auto"/>
              <w:kern w:val="2"/>
              <w:szCs w:val="22"/>
              <w:lang w:eastAsia="en-AU"/>
              <w14:ligatures w14:val="standardContextual"/>
            </w:rPr>
          </w:pPr>
          <w:hyperlink w:anchor="_Toc178239625" w:history="1">
            <w:r w:rsidRPr="00BF53ED">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_Toc178239625 \h </w:instrText>
            </w:r>
            <w:r>
              <w:rPr>
                <w:noProof/>
                <w:webHidden/>
              </w:rPr>
            </w:r>
            <w:r>
              <w:rPr>
                <w:noProof/>
                <w:webHidden/>
              </w:rPr>
              <w:fldChar w:fldCharType="separate"/>
            </w:r>
            <w:r>
              <w:rPr>
                <w:noProof/>
                <w:webHidden/>
              </w:rPr>
              <w:t>48</w:t>
            </w:r>
            <w:r>
              <w:rPr>
                <w:noProof/>
                <w:webHidden/>
              </w:rPr>
              <w:fldChar w:fldCharType="end"/>
            </w:r>
          </w:hyperlink>
        </w:p>
        <w:p w14:paraId="0A1C4DAE" w14:textId="4A86FF05" w:rsidR="00155131" w:rsidRDefault="00155131">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239626" w:history="1">
            <w:r w:rsidRPr="00BF53ED">
              <w:rPr>
                <w:rStyle w:val="Hyperlink"/>
                <w:noProof/>
              </w:rPr>
              <w:t>Attachment 1. Product Information</w:t>
            </w:r>
            <w:r>
              <w:rPr>
                <w:noProof/>
                <w:webHidden/>
              </w:rPr>
              <w:tab/>
            </w:r>
            <w:r>
              <w:rPr>
                <w:noProof/>
                <w:webHidden/>
              </w:rPr>
              <w:fldChar w:fldCharType="begin"/>
            </w:r>
            <w:r>
              <w:rPr>
                <w:noProof/>
                <w:webHidden/>
              </w:rPr>
              <w:instrText xml:space="preserve"> PAGEREF _Toc178239626 \h </w:instrText>
            </w:r>
            <w:r>
              <w:rPr>
                <w:noProof/>
                <w:webHidden/>
              </w:rPr>
            </w:r>
            <w:r>
              <w:rPr>
                <w:noProof/>
                <w:webHidden/>
              </w:rPr>
              <w:fldChar w:fldCharType="separate"/>
            </w:r>
            <w:r>
              <w:rPr>
                <w:noProof/>
                <w:webHidden/>
              </w:rPr>
              <w:t>49</w:t>
            </w:r>
            <w:r>
              <w:rPr>
                <w:noProof/>
                <w:webHidden/>
              </w:rPr>
              <w:fldChar w:fldCharType="end"/>
            </w:r>
          </w:hyperlink>
        </w:p>
        <w:p w14:paraId="77659F2D" w14:textId="7ADCD1D1" w:rsidR="00F02AEC" w:rsidRPr="00215D48" w:rsidRDefault="00F02AEC" w:rsidP="00B748B3">
          <w:r w:rsidRPr="00215D48">
            <w:fldChar w:fldCharType="end"/>
          </w:r>
        </w:p>
      </w:sdtContent>
    </w:sdt>
    <w:p w14:paraId="327E1F3A" w14:textId="77777777" w:rsidR="00F46085" w:rsidRDefault="00F46085" w:rsidP="004E5371">
      <w:bookmarkStart w:id="0" w:name="_Toc98931917"/>
      <w:bookmarkStart w:id="1" w:name="_Toc103679287"/>
      <w:bookmarkStart w:id="2" w:name="_Toc323739589"/>
      <w:bookmarkStart w:id="3" w:name="_Toc356305216"/>
      <w:r>
        <w:br w:type="page"/>
      </w:r>
    </w:p>
    <w:p w14:paraId="58578454" w14:textId="23031AB7" w:rsidR="00324B33" w:rsidRPr="00C23AF9" w:rsidRDefault="00324B33" w:rsidP="004E5371">
      <w:pPr>
        <w:pStyle w:val="Heading2"/>
      </w:pPr>
      <w:bookmarkStart w:id="4" w:name="_Toc178239591"/>
      <w:r>
        <w:lastRenderedPageBreak/>
        <w:t>List of abbreviations</w:t>
      </w:r>
      <w:bookmarkEnd w:id="0"/>
      <w:bookmarkEnd w:id="1"/>
      <w:bookmarkEnd w:id="4"/>
    </w:p>
    <w:tbl>
      <w:tblPr>
        <w:tblStyle w:val="TableTGAblue2023"/>
        <w:tblW w:w="5000" w:type="pct"/>
        <w:tblLayout w:type="fixed"/>
        <w:tblLook w:val="04A0" w:firstRow="1" w:lastRow="0" w:firstColumn="1" w:lastColumn="0" w:noHBand="0" w:noVBand="1"/>
      </w:tblPr>
      <w:tblGrid>
        <w:gridCol w:w="1868"/>
        <w:gridCol w:w="7192"/>
      </w:tblGrid>
      <w:tr w:rsidR="00324B33" w:rsidRPr="00D01DDB" w14:paraId="2117AEF6" w14:textId="77777777" w:rsidTr="00BB7A7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031" w:type="pct"/>
          </w:tcPr>
          <w:p w14:paraId="1207B6A7" w14:textId="67F7D360" w:rsidR="00324B33" w:rsidRPr="00D01DDB" w:rsidRDefault="00324B33" w:rsidP="004E5371">
            <w:bookmarkStart w:id="5" w:name="_Hlk175965837"/>
            <w:r w:rsidRPr="00D01DDB">
              <w:t>Abbreviation</w:t>
            </w:r>
          </w:p>
        </w:tc>
        <w:tc>
          <w:tcPr>
            <w:tcW w:w="3969" w:type="pct"/>
          </w:tcPr>
          <w:p w14:paraId="4CF6D0CD" w14:textId="2974FA0B" w:rsidR="00324B33" w:rsidRPr="00D01DDB" w:rsidRDefault="00324B33" w:rsidP="004E5371">
            <w:pPr>
              <w:cnfStyle w:val="100000000000" w:firstRow="1" w:lastRow="0" w:firstColumn="0" w:lastColumn="0" w:oddVBand="0" w:evenVBand="0" w:oddHBand="0" w:evenHBand="0" w:firstRowFirstColumn="0" w:firstRowLastColumn="0" w:lastRowFirstColumn="0" w:lastRowLastColumn="0"/>
            </w:pPr>
            <w:r w:rsidRPr="00D01DDB">
              <w:t>Meaning</w:t>
            </w:r>
          </w:p>
        </w:tc>
      </w:tr>
      <w:tr w:rsidR="00297E86" w:rsidRPr="00D01DDB" w14:paraId="2C8657A9" w14:textId="77777777" w:rsidTr="00BB7A79">
        <w:trPr>
          <w:trHeight w:val="386"/>
        </w:trPr>
        <w:tc>
          <w:tcPr>
            <w:cnfStyle w:val="001000000000" w:firstRow="0" w:lastRow="0" w:firstColumn="1" w:lastColumn="0" w:oddVBand="0" w:evenVBand="0" w:oddHBand="0" w:evenHBand="0" w:firstRowFirstColumn="0" w:firstRowLastColumn="0" w:lastRowFirstColumn="0" w:lastRowLastColumn="0"/>
            <w:tcW w:w="1031" w:type="pct"/>
          </w:tcPr>
          <w:p w14:paraId="346CFA8D" w14:textId="7C9AEAE5" w:rsidR="00297E86" w:rsidRPr="00D01DDB" w:rsidRDefault="00297E86" w:rsidP="004E5371">
            <w:r w:rsidRPr="00D01DDB">
              <w:t>ACM</w:t>
            </w:r>
          </w:p>
        </w:tc>
        <w:tc>
          <w:tcPr>
            <w:tcW w:w="3969" w:type="pct"/>
          </w:tcPr>
          <w:p w14:paraId="53D4D108" w14:textId="4B0F62F0" w:rsidR="00297E86" w:rsidRPr="00D01DDB" w:rsidRDefault="00297E86" w:rsidP="004E5371">
            <w:pPr>
              <w:cnfStyle w:val="000000000000" w:firstRow="0" w:lastRow="0" w:firstColumn="0" w:lastColumn="0" w:oddVBand="0" w:evenVBand="0" w:oddHBand="0" w:evenHBand="0" w:firstRowFirstColumn="0" w:firstRowLastColumn="0" w:lastRowFirstColumn="0" w:lastRowLastColumn="0"/>
            </w:pPr>
            <w:r w:rsidRPr="00D01DDB">
              <w:t>Advisory Committee on Medicines</w:t>
            </w:r>
          </w:p>
        </w:tc>
      </w:tr>
      <w:tr w:rsidR="00297E86" w:rsidRPr="00283D36" w14:paraId="6E92476C"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01244C36" w14:textId="77777777" w:rsidR="00297E86" w:rsidRPr="00283D36" w:rsidRDefault="00297E86" w:rsidP="004E5371">
            <w:r w:rsidRPr="00283D36">
              <w:t>ADA</w:t>
            </w:r>
          </w:p>
        </w:tc>
        <w:tc>
          <w:tcPr>
            <w:tcW w:w="3969" w:type="pct"/>
            <w:noWrap/>
            <w:hideMark/>
          </w:tcPr>
          <w:p w14:paraId="688C6F2F"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pPr>
            <w:r w:rsidRPr="00283D36">
              <w:t>Anti-drug antibodies</w:t>
            </w:r>
          </w:p>
        </w:tc>
      </w:tr>
      <w:tr w:rsidR="00297E86" w:rsidRPr="00455290" w14:paraId="5B65063B"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7CCAEE5F" w14:textId="77777777" w:rsidR="00297E86" w:rsidRPr="00455290" w:rsidRDefault="00297E86" w:rsidP="004E5371">
            <w:pPr>
              <w:rPr>
                <w:rFonts w:eastAsia="Times New Roman" w:cs="Calibri"/>
              </w:rPr>
            </w:pPr>
            <w:r w:rsidRPr="00455290">
              <w:rPr>
                <w:rFonts w:eastAsia="Times New Roman" w:cs="Calibri"/>
              </w:rPr>
              <w:t>ADRs</w:t>
            </w:r>
          </w:p>
        </w:tc>
        <w:tc>
          <w:tcPr>
            <w:tcW w:w="3969" w:type="pct"/>
            <w:noWrap/>
            <w:hideMark/>
          </w:tcPr>
          <w:p w14:paraId="1027A155" w14:textId="77777777" w:rsidR="00297E86" w:rsidRPr="00455290"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Adverse drug reactions</w:t>
            </w:r>
          </w:p>
        </w:tc>
      </w:tr>
      <w:tr w:rsidR="00297E86" w:rsidRPr="00455290" w14:paraId="258DF9B3"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4DACE2CB" w14:textId="77777777" w:rsidR="00297E86" w:rsidRPr="00455290" w:rsidRDefault="00297E86" w:rsidP="004E5371">
            <w:pPr>
              <w:rPr>
                <w:rFonts w:eastAsia="Times New Roman" w:cs="Calibri"/>
              </w:rPr>
            </w:pPr>
            <w:r w:rsidRPr="00455290">
              <w:rPr>
                <w:rFonts w:eastAsia="Times New Roman" w:cs="Calibri"/>
              </w:rPr>
              <w:t>AE</w:t>
            </w:r>
          </w:p>
        </w:tc>
        <w:tc>
          <w:tcPr>
            <w:tcW w:w="3969" w:type="pct"/>
            <w:noWrap/>
            <w:hideMark/>
          </w:tcPr>
          <w:p w14:paraId="7C856C05" w14:textId="77777777" w:rsidR="00297E86" w:rsidRPr="00455290"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Adverse events</w:t>
            </w:r>
          </w:p>
        </w:tc>
      </w:tr>
      <w:tr w:rsidR="00297E86" w:rsidRPr="00455290" w14:paraId="0CB8596A"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2B1017F" w14:textId="77777777" w:rsidR="00297E86" w:rsidRPr="00455290" w:rsidRDefault="00297E86" w:rsidP="004E5371">
            <w:pPr>
              <w:rPr>
                <w:rFonts w:eastAsia="Times New Roman" w:cs="Calibri"/>
              </w:rPr>
            </w:pPr>
            <w:r w:rsidRPr="00455290">
              <w:rPr>
                <w:rFonts w:eastAsia="Times New Roman" w:cs="Calibri"/>
              </w:rPr>
              <w:t>ARGPM</w:t>
            </w:r>
          </w:p>
        </w:tc>
        <w:tc>
          <w:tcPr>
            <w:tcW w:w="3969" w:type="pct"/>
            <w:noWrap/>
            <w:hideMark/>
          </w:tcPr>
          <w:p w14:paraId="6B934B30" w14:textId="77777777" w:rsidR="00297E86" w:rsidRPr="00455290"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Australian Regulatory Guidelines for Prescription Medicines</w:t>
            </w:r>
          </w:p>
        </w:tc>
      </w:tr>
      <w:tr w:rsidR="00297E86" w:rsidRPr="00455290" w14:paraId="72A38112"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4E816704" w14:textId="346558B3" w:rsidR="00297E86" w:rsidRPr="00455290" w:rsidRDefault="00297E86" w:rsidP="004E5371">
            <w:pPr>
              <w:rPr>
                <w:rFonts w:eastAsia="Times New Roman" w:cs="Calibri"/>
              </w:rPr>
            </w:pPr>
            <w:r w:rsidRPr="00D01DDB">
              <w:t>ARTG</w:t>
            </w:r>
          </w:p>
        </w:tc>
        <w:tc>
          <w:tcPr>
            <w:tcW w:w="3969" w:type="pct"/>
            <w:noWrap/>
          </w:tcPr>
          <w:p w14:paraId="5559D73F" w14:textId="2F088A7E" w:rsidR="00297E86" w:rsidRPr="00455290"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t>Australian Register of Therapeutic Goods</w:t>
            </w:r>
          </w:p>
        </w:tc>
      </w:tr>
      <w:tr w:rsidR="00297E86" w:rsidRPr="00455290" w14:paraId="63BA578E"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1E203DE3" w14:textId="2C6D3B3B" w:rsidR="00297E86" w:rsidRPr="00D01DDB" w:rsidRDefault="00297E86" w:rsidP="004E5371">
            <w:r w:rsidRPr="00D01DDB">
              <w:t>ASA</w:t>
            </w:r>
          </w:p>
        </w:tc>
        <w:tc>
          <w:tcPr>
            <w:tcW w:w="3969" w:type="pct"/>
            <w:noWrap/>
          </w:tcPr>
          <w:p w14:paraId="55F2EEA7" w14:textId="75860705" w:rsidR="00297E86" w:rsidRPr="00D01DDB" w:rsidRDefault="00297E86" w:rsidP="004E5371">
            <w:pPr>
              <w:cnfStyle w:val="000000000000" w:firstRow="0" w:lastRow="0" w:firstColumn="0" w:lastColumn="0" w:oddVBand="0" w:evenVBand="0" w:oddHBand="0" w:evenHBand="0" w:firstRowFirstColumn="0" w:firstRowLastColumn="0" w:lastRowFirstColumn="0" w:lastRowLastColumn="0"/>
            </w:pPr>
            <w:r w:rsidRPr="00D01DDB">
              <w:t>Australia</w:t>
            </w:r>
            <w:r>
              <w:noBreakHyphen/>
            </w:r>
            <w:r w:rsidRPr="00D01DDB">
              <w:t>specific annex</w:t>
            </w:r>
          </w:p>
        </w:tc>
      </w:tr>
      <w:tr w:rsidR="00297E86" w:rsidRPr="00455290" w14:paraId="24D0D9D7"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174AFD6B" w14:textId="77777777" w:rsidR="00297E86" w:rsidRPr="00455290" w:rsidRDefault="00297E86" w:rsidP="004E5371">
            <w:pPr>
              <w:rPr>
                <w:rFonts w:eastAsia="Times New Roman" w:cs="Calibri"/>
              </w:rPr>
            </w:pPr>
            <w:r w:rsidRPr="00455290">
              <w:rPr>
                <w:rFonts w:eastAsia="Times New Roman" w:cs="Calibri"/>
              </w:rPr>
              <w:t>AUC</w:t>
            </w:r>
          </w:p>
        </w:tc>
        <w:tc>
          <w:tcPr>
            <w:tcW w:w="3969" w:type="pct"/>
            <w:noWrap/>
            <w:hideMark/>
          </w:tcPr>
          <w:p w14:paraId="32E8B768" w14:textId="77777777" w:rsidR="00297E86" w:rsidRPr="00455290"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Area under the concentration-time curve</w:t>
            </w:r>
          </w:p>
        </w:tc>
      </w:tr>
      <w:tr w:rsidR="00297E86" w:rsidRPr="00455290" w14:paraId="6C9A4F73"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7BF040B8" w14:textId="77777777" w:rsidR="00297E86" w:rsidRPr="00455290" w:rsidRDefault="00297E86" w:rsidP="004E5371">
            <w:pPr>
              <w:rPr>
                <w:rFonts w:eastAsia="Times New Roman" w:cs="Calibri"/>
              </w:rPr>
            </w:pPr>
            <w:r w:rsidRPr="00455290">
              <w:rPr>
                <w:rFonts w:eastAsia="Times New Roman" w:cs="Calibri"/>
              </w:rPr>
              <w:t>AUC</w:t>
            </w:r>
            <w:r w:rsidRPr="00455290">
              <w:rPr>
                <w:rFonts w:eastAsia="Times New Roman" w:cs="Calibri"/>
                <w:vertAlign w:val="subscript"/>
              </w:rPr>
              <w:t>0-tlast</w:t>
            </w:r>
          </w:p>
        </w:tc>
        <w:tc>
          <w:tcPr>
            <w:tcW w:w="3969" w:type="pct"/>
            <w:noWrap/>
            <w:hideMark/>
          </w:tcPr>
          <w:p w14:paraId="4AEFCD0D" w14:textId="77777777" w:rsidR="00297E86" w:rsidRPr="00455290"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455290">
              <w:rPr>
                <w:rFonts w:eastAsia="Times New Roman" w:cs="Calibri"/>
              </w:rPr>
              <w:t>Area under the curve from time 0 to the last quantifiable sample</w:t>
            </w:r>
          </w:p>
        </w:tc>
      </w:tr>
      <w:tr w:rsidR="00297E86" w:rsidRPr="00283D36" w14:paraId="5745EFEA"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0D982E4B" w14:textId="77777777" w:rsidR="00297E86" w:rsidRPr="00283D36" w:rsidRDefault="00297E86" w:rsidP="004E5371">
            <w:pPr>
              <w:rPr>
                <w:rFonts w:eastAsia="Times New Roman" w:cs="Calibri"/>
              </w:rPr>
            </w:pPr>
            <w:r w:rsidRPr="00283D36">
              <w:rPr>
                <w:rFonts w:eastAsia="Times New Roman" w:cs="Calibri"/>
              </w:rPr>
              <w:t>CI</w:t>
            </w:r>
          </w:p>
        </w:tc>
        <w:tc>
          <w:tcPr>
            <w:tcW w:w="3969" w:type="pct"/>
            <w:noWrap/>
            <w:hideMark/>
          </w:tcPr>
          <w:p w14:paraId="22349BB3"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Confidence intervals</w:t>
            </w:r>
          </w:p>
        </w:tc>
      </w:tr>
      <w:tr w:rsidR="00297E86" w:rsidRPr="00283D36" w14:paraId="69400E87"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3111C9F3" w14:textId="77777777" w:rsidR="00297E86" w:rsidRPr="00283D36" w:rsidRDefault="00297E86" w:rsidP="004E5371">
            <w:pPr>
              <w:rPr>
                <w:rFonts w:eastAsia="Times New Roman" w:cs="Calibri"/>
              </w:rPr>
            </w:pPr>
            <w:r w:rsidRPr="00283D36">
              <w:rPr>
                <w:rFonts w:eastAsia="Times New Roman" w:cs="Calibri"/>
              </w:rPr>
              <w:t>Cl/F</w:t>
            </w:r>
          </w:p>
        </w:tc>
        <w:tc>
          <w:tcPr>
            <w:tcW w:w="3969" w:type="pct"/>
            <w:noWrap/>
            <w:hideMark/>
          </w:tcPr>
          <w:p w14:paraId="127D3AA9"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Oral clearance</w:t>
            </w:r>
          </w:p>
        </w:tc>
      </w:tr>
      <w:tr w:rsidR="00297E86" w:rsidRPr="00283D36" w14:paraId="4DF610B5"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38563CD6" w14:textId="77777777" w:rsidR="00297E86" w:rsidRPr="00283D36" w:rsidRDefault="00297E86" w:rsidP="004E5371">
            <w:pPr>
              <w:rPr>
                <w:rFonts w:eastAsia="Times New Roman" w:cs="Calibri"/>
              </w:rPr>
            </w:pPr>
            <w:r w:rsidRPr="00283D36">
              <w:rPr>
                <w:rFonts w:eastAsia="Times New Roman" w:cs="Calibri"/>
              </w:rPr>
              <w:t>C</w:t>
            </w:r>
            <w:r w:rsidRPr="00283D36">
              <w:rPr>
                <w:rFonts w:eastAsia="Times New Roman" w:cs="Calibri"/>
                <w:vertAlign w:val="subscript"/>
              </w:rPr>
              <w:t>max</w:t>
            </w:r>
          </w:p>
        </w:tc>
        <w:tc>
          <w:tcPr>
            <w:tcW w:w="3969" w:type="pct"/>
            <w:noWrap/>
            <w:hideMark/>
          </w:tcPr>
          <w:p w14:paraId="5F68AE5D"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The maximum concentration that a drug attains in a specified compartment</w:t>
            </w:r>
          </w:p>
        </w:tc>
      </w:tr>
      <w:tr w:rsidR="00297E86" w:rsidRPr="00283D36" w14:paraId="0A94D317"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01EC4F24" w14:textId="25EAA6FC" w:rsidR="00297E86" w:rsidRPr="00283D36" w:rsidRDefault="00297E86" w:rsidP="004E5371">
            <w:pPr>
              <w:rPr>
                <w:rFonts w:eastAsia="Times New Roman" w:cs="Calibri"/>
              </w:rPr>
            </w:pPr>
            <w:r w:rsidRPr="00D01DDB">
              <w:t>CMI</w:t>
            </w:r>
          </w:p>
        </w:tc>
        <w:tc>
          <w:tcPr>
            <w:tcW w:w="3969" w:type="pct"/>
            <w:noWrap/>
          </w:tcPr>
          <w:p w14:paraId="61A4CE8D" w14:textId="3614DA3A"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t>Consumer Medicines Information</w:t>
            </w:r>
          </w:p>
        </w:tc>
      </w:tr>
      <w:tr w:rsidR="009A1C1D" w:rsidRPr="00283D36" w14:paraId="163FA1EE"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5F63F10B" w14:textId="06CFDE18" w:rsidR="009A1C1D" w:rsidRPr="00283D36" w:rsidRDefault="009A1C1D" w:rsidP="004E5371">
            <w:pPr>
              <w:rPr>
                <w:rFonts w:eastAsia="Times New Roman" w:cs="Calibri"/>
              </w:rPr>
            </w:pPr>
            <w:r w:rsidRPr="009A1C1D">
              <w:rPr>
                <w:rFonts w:eastAsia="Times New Roman" w:cs="Calibri"/>
              </w:rPr>
              <w:t>GLP-1</w:t>
            </w:r>
          </w:p>
        </w:tc>
        <w:tc>
          <w:tcPr>
            <w:tcW w:w="3969" w:type="pct"/>
            <w:noWrap/>
          </w:tcPr>
          <w:p w14:paraId="18231DEC" w14:textId="348B55E0" w:rsidR="009A1C1D" w:rsidRPr="00283D36" w:rsidRDefault="009A1C1D"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G</w:t>
            </w:r>
            <w:r w:rsidRPr="009A1C1D">
              <w:rPr>
                <w:rFonts w:eastAsia="Times New Roman" w:cs="Calibri"/>
              </w:rPr>
              <w:t xml:space="preserve">lucagon-like peptide-1 </w:t>
            </w:r>
          </w:p>
        </w:tc>
      </w:tr>
      <w:tr w:rsidR="009A1C1D" w:rsidRPr="00283D36" w14:paraId="53564C82"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6C1BB38A" w14:textId="5D9633CB" w:rsidR="009A1C1D" w:rsidRPr="00283D36" w:rsidRDefault="009A1C1D" w:rsidP="004E5371">
            <w:pPr>
              <w:rPr>
                <w:rFonts w:eastAsia="Times New Roman" w:cs="Calibri"/>
              </w:rPr>
            </w:pPr>
            <w:r w:rsidRPr="009A1C1D">
              <w:rPr>
                <w:rFonts w:eastAsia="Times New Roman" w:cs="Calibri"/>
              </w:rPr>
              <w:t>GIP</w:t>
            </w:r>
          </w:p>
        </w:tc>
        <w:tc>
          <w:tcPr>
            <w:tcW w:w="3969" w:type="pct"/>
            <w:noWrap/>
          </w:tcPr>
          <w:p w14:paraId="7DC395C9" w14:textId="41EB1557" w:rsidR="009A1C1D" w:rsidRPr="00283D36" w:rsidRDefault="009A1C1D"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G</w:t>
            </w:r>
            <w:r w:rsidRPr="009A1C1D">
              <w:rPr>
                <w:rFonts w:eastAsia="Times New Roman" w:cs="Calibri"/>
              </w:rPr>
              <w:t>lucose-dependent insulinotropic polypeptide</w:t>
            </w:r>
          </w:p>
        </w:tc>
      </w:tr>
      <w:tr w:rsidR="00297E86" w:rsidRPr="00283D36" w14:paraId="323B738F"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1267AD7D" w14:textId="77777777" w:rsidR="00297E86" w:rsidRPr="00283D36" w:rsidRDefault="00297E86" w:rsidP="004E5371">
            <w:pPr>
              <w:rPr>
                <w:rFonts w:eastAsia="Times New Roman" w:cs="Calibri"/>
              </w:rPr>
            </w:pPr>
            <w:r w:rsidRPr="00283D36">
              <w:rPr>
                <w:rFonts w:eastAsia="Times New Roman" w:cs="Calibri"/>
              </w:rPr>
              <w:t>HR</w:t>
            </w:r>
          </w:p>
        </w:tc>
        <w:tc>
          <w:tcPr>
            <w:tcW w:w="3969" w:type="pct"/>
            <w:noWrap/>
            <w:hideMark/>
          </w:tcPr>
          <w:p w14:paraId="2E774FC1"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Hazard ratio</w:t>
            </w:r>
          </w:p>
        </w:tc>
      </w:tr>
      <w:tr w:rsidR="00297E86" w:rsidRPr="00283D36" w14:paraId="7B7AA9C3"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2DCD03A0" w14:textId="77777777" w:rsidR="00297E86" w:rsidRPr="00283D36" w:rsidRDefault="00297E86" w:rsidP="004E5371">
            <w:pPr>
              <w:rPr>
                <w:rFonts w:eastAsia="Times New Roman" w:cs="Calibri"/>
              </w:rPr>
            </w:pPr>
            <w:r w:rsidRPr="00283D36">
              <w:rPr>
                <w:rFonts w:eastAsia="Times New Roman" w:cs="Calibri"/>
              </w:rPr>
              <w:t>ITT</w:t>
            </w:r>
          </w:p>
        </w:tc>
        <w:tc>
          <w:tcPr>
            <w:tcW w:w="3969" w:type="pct"/>
            <w:noWrap/>
            <w:hideMark/>
          </w:tcPr>
          <w:p w14:paraId="2D10E053"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Intention to treat</w:t>
            </w:r>
          </w:p>
        </w:tc>
      </w:tr>
      <w:tr w:rsidR="00297E86" w:rsidRPr="00283D36" w14:paraId="0ED8ECD4"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2BCFA756" w14:textId="77777777" w:rsidR="00297E86" w:rsidRPr="00283D36" w:rsidRDefault="00297E86" w:rsidP="004E5371">
            <w:pPr>
              <w:rPr>
                <w:rFonts w:eastAsia="Times New Roman" w:cs="Calibri"/>
              </w:rPr>
            </w:pPr>
            <w:r w:rsidRPr="00283D36">
              <w:rPr>
                <w:rFonts w:eastAsia="Times New Roman" w:cs="Calibri"/>
              </w:rPr>
              <w:t>IV</w:t>
            </w:r>
          </w:p>
        </w:tc>
        <w:tc>
          <w:tcPr>
            <w:tcW w:w="3969" w:type="pct"/>
            <w:noWrap/>
            <w:hideMark/>
          </w:tcPr>
          <w:p w14:paraId="58534DB5"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Intravenous</w:t>
            </w:r>
          </w:p>
        </w:tc>
      </w:tr>
      <w:tr w:rsidR="00297E86" w:rsidRPr="00283D36" w14:paraId="334498F5"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33022CDA" w14:textId="77777777" w:rsidR="00297E86" w:rsidRPr="00283D36" w:rsidRDefault="00297E86" w:rsidP="004E5371">
            <w:pPr>
              <w:rPr>
                <w:rFonts w:eastAsia="Times New Roman" w:cs="Calibri"/>
              </w:rPr>
            </w:pPr>
            <w:r w:rsidRPr="00283D36">
              <w:rPr>
                <w:rFonts w:eastAsia="Times New Roman" w:cs="Calibri"/>
              </w:rPr>
              <w:t>LLOD</w:t>
            </w:r>
          </w:p>
        </w:tc>
        <w:tc>
          <w:tcPr>
            <w:tcW w:w="3969" w:type="pct"/>
            <w:noWrap/>
            <w:hideMark/>
          </w:tcPr>
          <w:p w14:paraId="757F64A2"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Lower limit of detection</w:t>
            </w:r>
          </w:p>
        </w:tc>
      </w:tr>
      <w:tr w:rsidR="00297E86" w:rsidRPr="00283D36" w14:paraId="761ED715"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69ACBD74" w14:textId="77777777" w:rsidR="00297E86" w:rsidRPr="00283D36" w:rsidRDefault="00297E86" w:rsidP="004E5371">
            <w:pPr>
              <w:rPr>
                <w:rFonts w:eastAsia="Times New Roman" w:cs="Calibri"/>
              </w:rPr>
            </w:pPr>
            <w:r w:rsidRPr="00283D36">
              <w:rPr>
                <w:rFonts w:eastAsia="Times New Roman" w:cs="Calibri"/>
              </w:rPr>
              <w:t>LSM</w:t>
            </w:r>
          </w:p>
        </w:tc>
        <w:tc>
          <w:tcPr>
            <w:tcW w:w="3969" w:type="pct"/>
            <w:noWrap/>
            <w:hideMark/>
          </w:tcPr>
          <w:p w14:paraId="22ECEBCD"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Least Squares Means</w:t>
            </w:r>
          </w:p>
        </w:tc>
      </w:tr>
      <w:tr w:rsidR="00297E86" w:rsidRPr="00283D36" w14:paraId="73E8CB31"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182E4900" w14:textId="77777777" w:rsidR="00297E86" w:rsidRPr="00283D36" w:rsidRDefault="00297E86" w:rsidP="004E5371">
            <w:pPr>
              <w:rPr>
                <w:rFonts w:eastAsia="Times New Roman" w:cs="Calibri"/>
              </w:rPr>
            </w:pPr>
            <w:r w:rsidRPr="00283D36">
              <w:rPr>
                <w:rFonts w:eastAsia="Times New Roman" w:cs="Calibri"/>
              </w:rPr>
              <w:t>mAb</w:t>
            </w:r>
          </w:p>
        </w:tc>
        <w:tc>
          <w:tcPr>
            <w:tcW w:w="3969" w:type="pct"/>
            <w:noWrap/>
            <w:hideMark/>
          </w:tcPr>
          <w:p w14:paraId="42B34EF4"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Monoclonal antibody</w:t>
            </w:r>
          </w:p>
        </w:tc>
      </w:tr>
      <w:tr w:rsidR="00297E86" w:rsidRPr="00283D36" w14:paraId="311DC2DF"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44C80DDD" w14:textId="77777777" w:rsidR="00297E86" w:rsidRPr="00283D36" w:rsidRDefault="00297E86" w:rsidP="004E5371">
            <w:pPr>
              <w:rPr>
                <w:rFonts w:eastAsia="Times New Roman" w:cs="Calibri"/>
              </w:rPr>
            </w:pPr>
            <w:r w:rsidRPr="00283D36">
              <w:rPr>
                <w:rFonts w:eastAsia="Times New Roman" w:cs="Calibri"/>
              </w:rPr>
              <w:t>MedDRA</w:t>
            </w:r>
          </w:p>
        </w:tc>
        <w:tc>
          <w:tcPr>
            <w:tcW w:w="3969" w:type="pct"/>
            <w:noWrap/>
            <w:hideMark/>
          </w:tcPr>
          <w:p w14:paraId="49C8A2E3"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Medical Dictionary for Medical Activities</w:t>
            </w:r>
          </w:p>
        </w:tc>
      </w:tr>
      <w:tr w:rsidR="00297E86" w:rsidRPr="00283D36" w14:paraId="6510F1B6"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DC9A7C5" w14:textId="77777777" w:rsidR="00297E86" w:rsidRPr="00283D36" w:rsidRDefault="00297E86" w:rsidP="004E5371">
            <w:pPr>
              <w:rPr>
                <w:rFonts w:eastAsia="Times New Roman" w:cs="Calibri"/>
              </w:rPr>
            </w:pPr>
            <w:r w:rsidRPr="00283D36">
              <w:rPr>
                <w:rFonts w:eastAsia="Times New Roman" w:cs="Calibri"/>
              </w:rPr>
              <w:t>OR</w:t>
            </w:r>
          </w:p>
        </w:tc>
        <w:tc>
          <w:tcPr>
            <w:tcW w:w="3969" w:type="pct"/>
            <w:noWrap/>
            <w:hideMark/>
          </w:tcPr>
          <w:p w14:paraId="1C362AB4"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Odds ratio</w:t>
            </w:r>
          </w:p>
        </w:tc>
      </w:tr>
      <w:tr w:rsidR="00297E86" w:rsidRPr="00283D36" w14:paraId="506D3DA4"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615C768" w14:textId="77777777" w:rsidR="00297E86" w:rsidRPr="00283D36" w:rsidRDefault="00297E86" w:rsidP="004E5371">
            <w:pPr>
              <w:rPr>
                <w:rFonts w:eastAsia="Times New Roman" w:cs="Calibri"/>
              </w:rPr>
            </w:pPr>
            <w:r w:rsidRPr="00283D36">
              <w:rPr>
                <w:rFonts w:eastAsia="Times New Roman" w:cs="Calibri"/>
              </w:rPr>
              <w:t>ORR</w:t>
            </w:r>
          </w:p>
        </w:tc>
        <w:tc>
          <w:tcPr>
            <w:tcW w:w="3969" w:type="pct"/>
            <w:noWrap/>
            <w:hideMark/>
          </w:tcPr>
          <w:p w14:paraId="1C8FB707"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Objective response rate</w:t>
            </w:r>
          </w:p>
        </w:tc>
      </w:tr>
      <w:tr w:rsidR="00297E86" w:rsidRPr="00283D36" w14:paraId="12F941CC"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09E29BF7" w14:textId="77777777" w:rsidR="00297E86" w:rsidRPr="00283D36" w:rsidRDefault="00297E86" w:rsidP="004E5371">
            <w:pPr>
              <w:rPr>
                <w:rFonts w:eastAsia="Times New Roman" w:cs="Calibri"/>
              </w:rPr>
            </w:pPr>
            <w:r w:rsidRPr="00283D36">
              <w:rPr>
                <w:rFonts w:eastAsia="Times New Roman" w:cs="Calibri"/>
              </w:rPr>
              <w:t>PBPK</w:t>
            </w:r>
          </w:p>
        </w:tc>
        <w:tc>
          <w:tcPr>
            <w:tcW w:w="3969" w:type="pct"/>
            <w:noWrap/>
            <w:hideMark/>
          </w:tcPr>
          <w:p w14:paraId="55860EF9"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proofErr w:type="gramStart"/>
            <w:r w:rsidRPr="00283D36">
              <w:rPr>
                <w:rFonts w:eastAsia="Times New Roman" w:cs="Calibri"/>
              </w:rPr>
              <w:t>Physiologically-based</w:t>
            </w:r>
            <w:proofErr w:type="gramEnd"/>
            <w:r w:rsidRPr="00283D36">
              <w:rPr>
                <w:rFonts w:eastAsia="Times New Roman" w:cs="Calibri"/>
              </w:rPr>
              <w:t xml:space="preserve"> pharmacokinetic modelling</w:t>
            </w:r>
          </w:p>
        </w:tc>
      </w:tr>
      <w:tr w:rsidR="00297E86" w:rsidRPr="00283D36" w14:paraId="3FE12137"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7F5DF2B1" w14:textId="77777777" w:rsidR="00297E86" w:rsidRPr="00283D36" w:rsidRDefault="00297E86" w:rsidP="004E5371">
            <w:pPr>
              <w:rPr>
                <w:rFonts w:eastAsia="Times New Roman" w:cs="Calibri"/>
              </w:rPr>
            </w:pPr>
            <w:r w:rsidRPr="00283D36">
              <w:rPr>
                <w:rFonts w:eastAsia="Times New Roman" w:cs="Calibri"/>
              </w:rPr>
              <w:t>PD</w:t>
            </w:r>
          </w:p>
        </w:tc>
        <w:tc>
          <w:tcPr>
            <w:tcW w:w="3969" w:type="pct"/>
            <w:noWrap/>
            <w:hideMark/>
          </w:tcPr>
          <w:p w14:paraId="52346A5C"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Pharmacodynamics</w:t>
            </w:r>
          </w:p>
        </w:tc>
      </w:tr>
      <w:tr w:rsidR="00297E86" w:rsidRPr="00283D36" w14:paraId="22CF62F6"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3AC413FF" w14:textId="77777777" w:rsidR="00297E86" w:rsidRPr="00283D36" w:rsidRDefault="00297E86" w:rsidP="004E5371">
            <w:pPr>
              <w:rPr>
                <w:rFonts w:eastAsia="Times New Roman" w:cs="Calibri"/>
              </w:rPr>
            </w:pPr>
            <w:r w:rsidRPr="00283D36">
              <w:rPr>
                <w:rFonts w:eastAsia="Times New Roman" w:cs="Calibri"/>
              </w:rPr>
              <w:t>PFS</w:t>
            </w:r>
          </w:p>
        </w:tc>
        <w:tc>
          <w:tcPr>
            <w:tcW w:w="3969" w:type="pct"/>
            <w:noWrap/>
            <w:hideMark/>
          </w:tcPr>
          <w:p w14:paraId="0F3FEF63"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Progression-free survival</w:t>
            </w:r>
          </w:p>
        </w:tc>
      </w:tr>
      <w:tr w:rsidR="00297E86" w:rsidRPr="00283D36" w14:paraId="2BE3C6A6"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47664993" w14:textId="78C21768" w:rsidR="00297E86" w:rsidRPr="00283D36" w:rsidRDefault="00297E86" w:rsidP="004E5371">
            <w:pPr>
              <w:rPr>
                <w:rFonts w:eastAsia="Times New Roman" w:cs="Calibri"/>
              </w:rPr>
            </w:pPr>
            <w:r w:rsidRPr="00D01DDB">
              <w:t>PI</w:t>
            </w:r>
          </w:p>
        </w:tc>
        <w:tc>
          <w:tcPr>
            <w:tcW w:w="3969" w:type="pct"/>
            <w:noWrap/>
          </w:tcPr>
          <w:p w14:paraId="3A2155C2" w14:textId="4908E5E5"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t>Product Information</w:t>
            </w:r>
          </w:p>
        </w:tc>
      </w:tr>
      <w:tr w:rsidR="00297E86" w:rsidRPr="00283D36" w14:paraId="73F12CB7"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19196F0F" w14:textId="77777777" w:rsidR="00297E86" w:rsidRPr="00283D36" w:rsidRDefault="00297E86" w:rsidP="004E5371">
            <w:pPr>
              <w:rPr>
                <w:rFonts w:eastAsia="Times New Roman" w:cs="Calibri"/>
              </w:rPr>
            </w:pPr>
            <w:r w:rsidRPr="00283D36">
              <w:rPr>
                <w:rFonts w:eastAsia="Times New Roman" w:cs="Calibri"/>
              </w:rPr>
              <w:t>PK</w:t>
            </w:r>
          </w:p>
        </w:tc>
        <w:tc>
          <w:tcPr>
            <w:tcW w:w="3969" w:type="pct"/>
            <w:noWrap/>
            <w:hideMark/>
          </w:tcPr>
          <w:p w14:paraId="7FC6427A"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Pharmacokinetics</w:t>
            </w:r>
          </w:p>
        </w:tc>
      </w:tr>
      <w:tr w:rsidR="00297E86" w:rsidRPr="00283D36" w14:paraId="7291ED15"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064D65FD" w14:textId="77777777" w:rsidR="00297E86" w:rsidRPr="00283D36" w:rsidRDefault="00297E86" w:rsidP="004E5371">
            <w:pPr>
              <w:rPr>
                <w:rFonts w:eastAsia="Times New Roman" w:cs="Calibri"/>
              </w:rPr>
            </w:pPr>
            <w:r w:rsidRPr="00283D36">
              <w:rPr>
                <w:rFonts w:eastAsia="Times New Roman" w:cs="Calibri"/>
              </w:rPr>
              <w:t>popPK</w:t>
            </w:r>
          </w:p>
        </w:tc>
        <w:tc>
          <w:tcPr>
            <w:tcW w:w="3969" w:type="pct"/>
            <w:noWrap/>
            <w:hideMark/>
          </w:tcPr>
          <w:p w14:paraId="624E57FA"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Population pharmacokinetics</w:t>
            </w:r>
          </w:p>
        </w:tc>
      </w:tr>
      <w:tr w:rsidR="00297E86" w:rsidRPr="00283D36" w14:paraId="7A1AB19F"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6341219B" w14:textId="77777777" w:rsidR="00297E86" w:rsidRPr="00283D36" w:rsidRDefault="00297E86" w:rsidP="004E5371">
            <w:pPr>
              <w:rPr>
                <w:rFonts w:eastAsia="Times New Roman" w:cs="Calibri"/>
              </w:rPr>
            </w:pPr>
            <w:r w:rsidRPr="00283D36">
              <w:rPr>
                <w:rFonts w:eastAsia="Times New Roman" w:cs="Calibri"/>
              </w:rPr>
              <w:lastRenderedPageBreak/>
              <w:t>PPS</w:t>
            </w:r>
          </w:p>
        </w:tc>
        <w:tc>
          <w:tcPr>
            <w:tcW w:w="3969" w:type="pct"/>
            <w:noWrap/>
            <w:hideMark/>
          </w:tcPr>
          <w:p w14:paraId="54B33590"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Per protocol set</w:t>
            </w:r>
          </w:p>
        </w:tc>
      </w:tr>
      <w:tr w:rsidR="00297E86" w:rsidRPr="00283D36" w14:paraId="47A89D4A"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2DD9CF78" w14:textId="6C108AC8" w:rsidR="00297E86" w:rsidRPr="00283D36" w:rsidRDefault="00297E86" w:rsidP="004E5371">
            <w:pPr>
              <w:rPr>
                <w:rFonts w:eastAsia="Times New Roman" w:cs="Calibri"/>
              </w:rPr>
            </w:pPr>
            <w:r w:rsidRPr="00D01DDB">
              <w:t>PSUR</w:t>
            </w:r>
          </w:p>
        </w:tc>
        <w:tc>
          <w:tcPr>
            <w:tcW w:w="3969" w:type="pct"/>
            <w:noWrap/>
          </w:tcPr>
          <w:p w14:paraId="17F907B0" w14:textId="51A91144"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t>Periodic safety update report</w:t>
            </w:r>
          </w:p>
        </w:tc>
      </w:tr>
      <w:tr w:rsidR="00297E86" w:rsidRPr="00283D36" w14:paraId="274746E0"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30F9BDB1" w14:textId="19B29275" w:rsidR="00297E86" w:rsidRPr="00D01DDB" w:rsidRDefault="00297E86" w:rsidP="004E5371">
            <w:r w:rsidRPr="00D01DDB">
              <w:t>RMP</w:t>
            </w:r>
          </w:p>
        </w:tc>
        <w:tc>
          <w:tcPr>
            <w:tcW w:w="3969" w:type="pct"/>
            <w:noWrap/>
          </w:tcPr>
          <w:p w14:paraId="77EF02B1" w14:textId="72A9400F" w:rsidR="00297E86" w:rsidRPr="00D01DDB" w:rsidRDefault="00297E86" w:rsidP="004E5371">
            <w:pPr>
              <w:cnfStyle w:val="000000000000" w:firstRow="0" w:lastRow="0" w:firstColumn="0" w:lastColumn="0" w:oddVBand="0" w:evenVBand="0" w:oddHBand="0" w:evenHBand="0" w:firstRowFirstColumn="0" w:firstRowLastColumn="0" w:lastRowFirstColumn="0" w:lastRowLastColumn="0"/>
            </w:pPr>
            <w:r w:rsidRPr="00D01DDB">
              <w:t>Risk management plan</w:t>
            </w:r>
          </w:p>
        </w:tc>
      </w:tr>
      <w:tr w:rsidR="00297E86" w:rsidRPr="00283D36" w14:paraId="2F875600"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6D1D1892" w14:textId="77777777" w:rsidR="00297E86" w:rsidRPr="00283D36" w:rsidRDefault="00297E86" w:rsidP="004E5371">
            <w:pPr>
              <w:rPr>
                <w:rFonts w:eastAsia="Times New Roman" w:cs="Calibri"/>
              </w:rPr>
            </w:pPr>
            <w:r w:rsidRPr="00283D36">
              <w:rPr>
                <w:rFonts w:eastAsia="Times New Roman" w:cs="Calibri"/>
              </w:rPr>
              <w:t>SAEs</w:t>
            </w:r>
          </w:p>
        </w:tc>
        <w:tc>
          <w:tcPr>
            <w:tcW w:w="3969" w:type="pct"/>
            <w:noWrap/>
            <w:hideMark/>
          </w:tcPr>
          <w:p w14:paraId="104483F7"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Serious adverse event(s)</w:t>
            </w:r>
          </w:p>
        </w:tc>
      </w:tr>
      <w:tr w:rsidR="00297E86" w:rsidRPr="00283D36" w14:paraId="20D81BB1"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68BCD936" w14:textId="77777777" w:rsidR="00297E86" w:rsidRPr="00283D36" w:rsidRDefault="00297E86" w:rsidP="004E5371">
            <w:pPr>
              <w:rPr>
                <w:rFonts w:eastAsia="Times New Roman" w:cs="Calibri"/>
              </w:rPr>
            </w:pPr>
            <w:r w:rsidRPr="00283D36">
              <w:rPr>
                <w:rFonts w:eastAsia="Times New Roman" w:cs="Calibri"/>
              </w:rPr>
              <w:t>SD</w:t>
            </w:r>
          </w:p>
        </w:tc>
        <w:tc>
          <w:tcPr>
            <w:tcW w:w="3969" w:type="pct"/>
            <w:noWrap/>
            <w:hideMark/>
          </w:tcPr>
          <w:p w14:paraId="2FE5E03C"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Standard deviation</w:t>
            </w:r>
          </w:p>
        </w:tc>
      </w:tr>
      <w:tr w:rsidR="00303A00" w:rsidRPr="00283D36" w14:paraId="30CC2AAB"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3B49EA33" w14:textId="0ED46A4E" w:rsidR="00303A00" w:rsidRPr="00283D36" w:rsidRDefault="00303A00" w:rsidP="004E5371">
            <w:pPr>
              <w:rPr>
                <w:rFonts w:eastAsia="Times New Roman" w:cs="Calibri"/>
              </w:rPr>
            </w:pPr>
            <w:r w:rsidRPr="00303A00">
              <w:rPr>
                <w:rFonts w:eastAsia="Times New Roman" w:cs="Calibri"/>
              </w:rPr>
              <w:t>SF-36v2</w:t>
            </w:r>
          </w:p>
        </w:tc>
        <w:tc>
          <w:tcPr>
            <w:tcW w:w="3969" w:type="pct"/>
            <w:noWrap/>
          </w:tcPr>
          <w:p w14:paraId="1DAA7EB8" w14:textId="5D1C2972" w:rsidR="00303A00" w:rsidRPr="00283D36" w:rsidRDefault="00CD615C"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CD615C">
              <w:rPr>
                <w:rFonts w:eastAsia="Times New Roman" w:cs="Calibri"/>
              </w:rPr>
              <w:t>Short-Form-36 Health Survey</w:t>
            </w:r>
            <w:r>
              <w:rPr>
                <w:rFonts w:eastAsia="Times New Roman" w:cs="Calibri"/>
              </w:rPr>
              <w:t>;</w:t>
            </w:r>
            <w:r w:rsidRPr="00CD615C">
              <w:rPr>
                <w:rFonts w:eastAsia="Times New Roman" w:cs="Calibri"/>
              </w:rPr>
              <w:t xml:space="preserve"> </w:t>
            </w:r>
            <w:r>
              <w:rPr>
                <w:rFonts w:eastAsia="Times New Roman" w:cs="Calibri"/>
              </w:rPr>
              <w:t xml:space="preserve">a </w:t>
            </w:r>
            <w:r w:rsidR="00BB7A79" w:rsidRPr="00BB7A79">
              <w:rPr>
                <w:rFonts w:eastAsia="Times New Roman" w:cs="Calibri"/>
              </w:rPr>
              <w:t>patient-reported assessmen</w:t>
            </w:r>
            <w:r>
              <w:rPr>
                <w:rFonts w:eastAsia="Times New Roman" w:cs="Calibri"/>
              </w:rPr>
              <w:t>t</w:t>
            </w:r>
            <w:r w:rsidR="00BB7A79" w:rsidRPr="00BB7A79">
              <w:rPr>
                <w:rFonts w:eastAsia="Times New Roman" w:cs="Calibri"/>
              </w:rPr>
              <w:t xml:space="preserve"> </w:t>
            </w:r>
            <w:r w:rsidR="00BB7A79">
              <w:rPr>
                <w:rFonts w:eastAsia="Times New Roman" w:cs="Calibri"/>
              </w:rPr>
              <w:t xml:space="preserve">that </w:t>
            </w:r>
            <w:r w:rsidR="00BB7A79" w:rsidRPr="00BB7A79">
              <w:rPr>
                <w:rFonts w:eastAsia="Times New Roman" w:cs="Calibri"/>
              </w:rPr>
              <w:t>measure</w:t>
            </w:r>
            <w:r>
              <w:rPr>
                <w:rFonts w:eastAsia="Times New Roman" w:cs="Calibri"/>
              </w:rPr>
              <w:t>s</w:t>
            </w:r>
            <w:r w:rsidR="00BB7A79" w:rsidRPr="00BB7A79">
              <w:rPr>
                <w:rFonts w:eastAsia="Times New Roman" w:cs="Calibri"/>
              </w:rPr>
              <w:t xml:space="preserve"> the quality of life and</w:t>
            </w:r>
            <w:r>
              <w:rPr>
                <w:rFonts w:eastAsia="Times New Roman" w:cs="Calibri"/>
              </w:rPr>
              <w:t xml:space="preserve"> the</w:t>
            </w:r>
            <w:r w:rsidR="00BB7A79" w:rsidRPr="00BB7A79">
              <w:rPr>
                <w:rFonts w:eastAsia="Times New Roman" w:cs="Calibri"/>
              </w:rPr>
              <w:t xml:space="preserve"> health and well-being of patients </w:t>
            </w:r>
          </w:p>
        </w:tc>
      </w:tr>
      <w:tr w:rsidR="00297E86" w:rsidRPr="00283D36" w14:paraId="0497ED8E"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4C28323" w14:textId="77777777" w:rsidR="00297E86" w:rsidRPr="00283D36" w:rsidRDefault="00297E86" w:rsidP="004E5371">
            <w:pPr>
              <w:rPr>
                <w:rFonts w:eastAsia="Times New Roman" w:cs="Calibri"/>
              </w:rPr>
            </w:pPr>
            <w:r w:rsidRPr="00283D36">
              <w:rPr>
                <w:rFonts w:eastAsia="Times New Roman" w:cs="Calibri"/>
              </w:rPr>
              <w:t>t</w:t>
            </w:r>
            <w:r w:rsidRPr="00283D36">
              <w:rPr>
                <w:rFonts w:eastAsia="Times New Roman" w:cs="Calibri"/>
                <w:vertAlign w:val="subscript"/>
              </w:rPr>
              <w:t>1/2</w:t>
            </w:r>
          </w:p>
        </w:tc>
        <w:tc>
          <w:tcPr>
            <w:tcW w:w="3969" w:type="pct"/>
            <w:noWrap/>
            <w:hideMark/>
          </w:tcPr>
          <w:p w14:paraId="452DAECE"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Half life</w:t>
            </w:r>
          </w:p>
        </w:tc>
      </w:tr>
      <w:tr w:rsidR="00E056A4" w:rsidRPr="00283D36" w14:paraId="25292E07"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1369EA7D" w14:textId="554839DD" w:rsidR="00E056A4" w:rsidRPr="00283D36" w:rsidRDefault="00E056A4" w:rsidP="004E5371">
            <w:pPr>
              <w:rPr>
                <w:rFonts w:eastAsia="Times New Roman" w:cs="Calibri"/>
              </w:rPr>
            </w:pPr>
            <w:r>
              <w:rPr>
                <w:rFonts w:eastAsia="Times New Roman" w:cs="Calibri"/>
              </w:rPr>
              <w:t>T2DM</w:t>
            </w:r>
          </w:p>
        </w:tc>
        <w:tc>
          <w:tcPr>
            <w:tcW w:w="3969" w:type="pct"/>
            <w:noWrap/>
          </w:tcPr>
          <w:p w14:paraId="61556C50" w14:textId="79D498AB" w:rsidR="00E056A4" w:rsidRPr="00283D36" w:rsidRDefault="00E056A4"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Pr>
                <w:rFonts w:eastAsia="Times New Roman" w:cs="Calibri"/>
              </w:rPr>
              <w:t>Type 2 diabetes mellitus</w:t>
            </w:r>
          </w:p>
        </w:tc>
      </w:tr>
      <w:tr w:rsidR="00297E86" w:rsidRPr="00283D36" w14:paraId="42BA59F0"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3811675" w14:textId="77777777" w:rsidR="00297E86" w:rsidRPr="00283D36" w:rsidRDefault="00297E86" w:rsidP="004E5371">
            <w:pPr>
              <w:rPr>
                <w:rFonts w:eastAsia="Times New Roman" w:cs="Calibri"/>
              </w:rPr>
            </w:pPr>
            <w:r w:rsidRPr="00283D36">
              <w:rPr>
                <w:rFonts w:eastAsia="Times New Roman" w:cs="Calibri"/>
              </w:rPr>
              <w:t>TEAE</w:t>
            </w:r>
          </w:p>
        </w:tc>
        <w:tc>
          <w:tcPr>
            <w:tcW w:w="3969" w:type="pct"/>
            <w:noWrap/>
            <w:hideMark/>
          </w:tcPr>
          <w:p w14:paraId="1A477759"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Treatment emergent adverse event(s)</w:t>
            </w:r>
          </w:p>
        </w:tc>
      </w:tr>
      <w:tr w:rsidR="00297E86" w:rsidRPr="00283D36" w14:paraId="5AB1B5B2"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tcPr>
          <w:p w14:paraId="5EFC41D1" w14:textId="043B3C68" w:rsidR="00297E86" w:rsidRPr="00283D36" w:rsidRDefault="00297E86" w:rsidP="004E5371">
            <w:pPr>
              <w:rPr>
                <w:rFonts w:eastAsia="Times New Roman" w:cs="Calibri"/>
              </w:rPr>
            </w:pPr>
            <w:r w:rsidRPr="00D01DDB">
              <w:t>TGA</w:t>
            </w:r>
          </w:p>
        </w:tc>
        <w:tc>
          <w:tcPr>
            <w:tcW w:w="3969" w:type="pct"/>
            <w:noWrap/>
          </w:tcPr>
          <w:p w14:paraId="0E75DD26" w14:textId="6F891F5F"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D01DDB">
              <w:t>Therapeutic Goods Administration</w:t>
            </w:r>
          </w:p>
        </w:tc>
      </w:tr>
      <w:tr w:rsidR="00297E86" w:rsidRPr="00283D36" w14:paraId="55D35018"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00BC5DF4" w14:textId="77777777" w:rsidR="00297E86" w:rsidRPr="00283D36" w:rsidRDefault="00297E86" w:rsidP="004E5371">
            <w:pPr>
              <w:rPr>
                <w:rFonts w:eastAsia="Times New Roman" w:cs="Calibri"/>
                <w:vertAlign w:val="subscript"/>
              </w:rPr>
            </w:pPr>
            <w:r w:rsidRPr="00283D36">
              <w:rPr>
                <w:rFonts w:eastAsia="Times New Roman" w:cs="Calibri"/>
              </w:rPr>
              <w:t>V</w:t>
            </w:r>
            <w:r w:rsidRPr="00283D36">
              <w:rPr>
                <w:rFonts w:eastAsia="Times New Roman" w:cs="Calibri"/>
                <w:vertAlign w:val="subscript"/>
              </w:rPr>
              <w:t>d</w:t>
            </w:r>
          </w:p>
        </w:tc>
        <w:tc>
          <w:tcPr>
            <w:tcW w:w="3969" w:type="pct"/>
            <w:noWrap/>
            <w:hideMark/>
          </w:tcPr>
          <w:p w14:paraId="556D1BE0"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volume of distribution</w:t>
            </w:r>
          </w:p>
        </w:tc>
      </w:tr>
      <w:tr w:rsidR="00297E86" w:rsidRPr="00283D36" w14:paraId="433E1B27"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26B4875B" w14:textId="77777777" w:rsidR="00297E86" w:rsidRPr="00283D36" w:rsidRDefault="00297E86" w:rsidP="004E5371">
            <w:pPr>
              <w:rPr>
                <w:rFonts w:eastAsia="Times New Roman" w:cs="Calibri"/>
              </w:rPr>
            </w:pPr>
            <w:r w:rsidRPr="00283D36">
              <w:rPr>
                <w:rFonts w:eastAsia="Times New Roman" w:cs="Calibri"/>
              </w:rPr>
              <w:t>V</w:t>
            </w:r>
            <w:r w:rsidRPr="00283D36">
              <w:rPr>
                <w:rFonts w:eastAsia="Times New Roman" w:cs="Calibri"/>
                <w:vertAlign w:val="subscript"/>
              </w:rPr>
              <w:t>ss</w:t>
            </w:r>
            <w:r w:rsidRPr="00283D36">
              <w:rPr>
                <w:rFonts w:eastAsia="Times New Roman" w:cs="Calibri"/>
              </w:rPr>
              <w:t>/F</w:t>
            </w:r>
          </w:p>
        </w:tc>
        <w:tc>
          <w:tcPr>
            <w:tcW w:w="3969" w:type="pct"/>
            <w:noWrap/>
            <w:hideMark/>
          </w:tcPr>
          <w:p w14:paraId="76B97157"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 xml:space="preserve">Apparent volume of distribution at </w:t>
            </w:r>
            <w:proofErr w:type="gramStart"/>
            <w:r w:rsidRPr="00283D36">
              <w:rPr>
                <w:rFonts w:eastAsia="Times New Roman" w:cs="Calibri"/>
              </w:rPr>
              <w:t>steady-state</w:t>
            </w:r>
            <w:proofErr w:type="gramEnd"/>
          </w:p>
        </w:tc>
      </w:tr>
      <w:tr w:rsidR="00297E86" w:rsidRPr="00283D36" w14:paraId="5662FB4B" w14:textId="77777777" w:rsidTr="00BB7A79">
        <w:trPr>
          <w:trHeight w:val="416"/>
        </w:trPr>
        <w:tc>
          <w:tcPr>
            <w:cnfStyle w:val="001000000000" w:firstRow="0" w:lastRow="0" w:firstColumn="1" w:lastColumn="0" w:oddVBand="0" w:evenVBand="0" w:oddHBand="0" w:evenHBand="0" w:firstRowFirstColumn="0" w:firstRowLastColumn="0" w:lastRowFirstColumn="0" w:lastRowLastColumn="0"/>
            <w:tcW w:w="1031" w:type="pct"/>
            <w:noWrap/>
            <w:hideMark/>
          </w:tcPr>
          <w:p w14:paraId="40A48D72" w14:textId="77777777" w:rsidR="00297E86" w:rsidRPr="00283D36" w:rsidRDefault="00297E86" w:rsidP="004E5371">
            <w:pPr>
              <w:rPr>
                <w:rFonts w:eastAsia="Times New Roman" w:cs="Calibri"/>
              </w:rPr>
            </w:pPr>
            <w:r w:rsidRPr="00283D36">
              <w:rPr>
                <w:rFonts w:eastAsia="Times New Roman" w:cs="Calibri"/>
              </w:rPr>
              <w:t>V</w:t>
            </w:r>
            <w:r w:rsidRPr="00283D36">
              <w:rPr>
                <w:rFonts w:eastAsia="Times New Roman" w:cs="Calibri"/>
                <w:vertAlign w:val="subscript"/>
              </w:rPr>
              <w:t>c</w:t>
            </w:r>
            <w:r w:rsidRPr="00283D36">
              <w:rPr>
                <w:rFonts w:eastAsia="Times New Roman" w:cs="Calibri"/>
              </w:rPr>
              <w:t>/F</w:t>
            </w:r>
          </w:p>
        </w:tc>
        <w:tc>
          <w:tcPr>
            <w:tcW w:w="3969" w:type="pct"/>
            <w:noWrap/>
            <w:hideMark/>
          </w:tcPr>
          <w:p w14:paraId="03D325EF" w14:textId="77777777" w:rsidR="00297E86" w:rsidRPr="00283D36" w:rsidRDefault="00297E86" w:rsidP="004E5371">
            <w:pPr>
              <w:cnfStyle w:val="000000000000" w:firstRow="0" w:lastRow="0" w:firstColumn="0" w:lastColumn="0" w:oddVBand="0" w:evenVBand="0" w:oddHBand="0" w:evenHBand="0" w:firstRowFirstColumn="0" w:firstRowLastColumn="0" w:lastRowFirstColumn="0" w:lastRowLastColumn="0"/>
              <w:rPr>
                <w:rFonts w:eastAsia="Times New Roman" w:cs="Calibri"/>
              </w:rPr>
            </w:pPr>
            <w:r w:rsidRPr="00283D36">
              <w:rPr>
                <w:rFonts w:eastAsia="Times New Roman" w:cs="Calibri"/>
              </w:rPr>
              <w:t>Apparent central volume of distribution</w:t>
            </w:r>
          </w:p>
        </w:tc>
      </w:tr>
      <w:bookmarkEnd w:id="5"/>
    </w:tbl>
    <w:p w14:paraId="02FB1F38" w14:textId="77777777" w:rsidR="00324B33" w:rsidRPr="00FD119B" w:rsidRDefault="00324B33" w:rsidP="004E5371">
      <w:r w:rsidRPr="00FD119B">
        <w:br w:type="page"/>
      </w:r>
    </w:p>
    <w:p w14:paraId="44C2A39C" w14:textId="1B1A12FF" w:rsidR="00324B33" w:rsidRDefault="00671D39" w:rsidP="004E5371">
      <w:pPr>
        <w:pStyle w:val="Heading2"/>
      </w:pPr>
      <w:bookmarkStart w:id="6" w:name="_Toc103679288"/>
      <w:bookmarkStart w:id="7" w:name="_Toc178239592"/>
      <w:proofErr w:type="spellStart"/>
      <w:r>
        <w:lastRenderedPageBreak/>
        <w:t>Mounjaro</w:t>
      </w:r>
      <w:proofErr w:type="spellEnd"/>
      <w:r w:rsidR="00297E86">
        <w:t xml:space="preserve"> (</w:t>
      </w:r>
      <w:proofErr w:type="spellStart"/>
      <w:r w:rsidR="00793AB2" w:rsidRPr="000A1CCF">
        <w:t>tirzepatide</w:t>
      </w:r>
      <w:proofErr w:type="spellEnd"/>
      <w:r w:rsidR="00297E86">
        <w:t>)</w:t>
      </w:r>
      <w:r w:rsidR="00324B33">
        <w:t xml:space="preserve"> </w:t>
      </w:r>
      <w:r w:rsidR="00324B33" w:rsidRPr="004E5371">
        <w:t>submission</w:t>
      </w:r>
      <w:bookmarkEnd w:id="6"/>
      <w:bookmarkEnd w:id="7"/>
    </w:p>
    <w:tbl>
      <w:tblPr>
        <w:tblW w:w="5000" w:type="pct"/>
        <w:tblLook w:val="01E0" w:firstRow="1" w:lastRow="1" w:firstColumn="1" w:lastColumn="1" w:noHBand="0" w:noVBand="0"/>
      </w:tblPr>
      <w:tblGrid>
        <w:gridCol w:w="2545"/>
        <w:gridCol w:w="6525"/>
      </w:tblGrid>
      <w:tr w:rsidR="00324B33" w:rsidRPr="00BD5DBD" w14:paraId="77D11C95" w14:textId="77777777" w:rsidTr="009F7D6C">
        <w:tc>
          <w:tcPr>
            <w:tcW w:w="1403" w:type="pct"/>
          </w:tcPr>
          <w:p w14:paraId="10E57D62" w14:textId="37619EAC" w:rsidR="00324B33" w:rsidRPr="003018B0" w:rsidRDefault="00324B33" w:rsidP="00BC38C2">
            <w:pPr>
              <w:rPr>
                <w:b/>
                <w:bCs/>
                <w:i/>
                <w:szCs w:val="22"/>
              </w:rPr>
            </w:pPr>
            <w:r w:rsidRPr="003018B0">
              <w:rPr>
                <w:b/>
                <w:bCs/>
                <w:i/>
                <w:szCs w:val="22"/>
              </w:rPr>
              <w:t>Type of submission:</w:t>
            </w:r>
          </w:p>
        </w:tc>
        <w:tc>
          <w:tcPr>
            <w:tcW w:w="3597" w:type="pct"/>
          </w:tcPr>
          <w:p w14:paraId="4F07C303" w14:textId="373B2EFE" w:rsidR="00324B33" w:rsidRPr="00BD5DBD" w:rsidRDefault="009016C2" w:rsidP="00B748B3">
            <w:pPr>
              <w:rPr>
                <w:szCs w:val="22"/>
              </w:rPr>
            </w:pPr>
            <w:bookmarkStart w:id="8" w:name="_Hlk178235127"/>
            <w:r w:rsidRPr="009016C2">
              <w:rPr>
                <w:szCs w:val="22"/>
              </w:rPr>
              <w:t>Extension of indications</w:t>
            </w:r>
            <w:bookmarkEnd w:id="8"/>
          </w:p>
        </w:tc>
      </w:tr>
      <w:tr w:rsidR="00324B33" w:rsidRPr="00BD5DBD" w14:paraId="13482B61" w14:textId="77777777" w:rsidTr="009F7D6C">
        <w:tc>
          <w:tcPr>
            <w:tcW w:w="1403" w:type="pct"/>
          </w:tcPr>
          <w:p w14:paraId="2C427FCF" w14:textId="01211908" w:rsidR="00324B33" w:rsidRPr="003018B0" w:rsidRDefault="00324B33" w:rsidP="003018B0">
            <w:pPr>
              <w:jc w:val="right"/>
              <w:rPr>
                <w:b/>
                <w:bCs/>
                <w:i/>
                <w:szCs w:val="22"/>
              </w:rPr>
            </w:pPr>
            <w:r w:rsidRPr="003018B0">
              <w:rPr>
                <w:b/>
                <w:bCs/>
                <w:i/>
                <w:szCs w:val="22"/>
              </w:rPr>
              <w:t>Product name:</w:t>
            </w:r>
          </w:p>
        </w:tc>
        <w:tc>
          <w:tcPr>
            <w:tcW w:w="3597" w:type="pct"/>
          </w:tcPr>
          <w:p w14:paraId="0E2DEF76" w14:textId="31C80F4B" w:rsidR="00324B33" w:rsidRPr="00BD5DBD" w:rsidRDefault="00671D39" w:rsidP="00B748B3">
            <w:pPr>
              <w:rPr>
                <w:szCs w:val="22"/>
              </w:rPr>
            </w:pPr>
            <w:r>
              <w:rPr>
                <w:szCs w:val="22"/>
              </w:rPr>
              <w:t>Mounjaro</w:t>
            </w:r>
          </w:p>
        </w:tc>
      </w:tr>
      <w:tr w:rsidR="00324B33" w:rsidRPr="00BD5DBD" w14:paraId="01255B5B" w14:textId="77777777" w:rsidTr="009F7D6C">
        <w:tc>
          <w:tcPr>
            <w:tcW w:w="1403" w:type="pct"/>
          </w:tcPr>
          <w:p w14:paraId="52B4F3D7" w14:textId="2024E8F9" w:rsidR="00324B33" w:rsidRPr="003018B0" w:rsidRDefault="00324B33" w:rsidP="003018B0">
            <w:pPr>
              <w:jc w:val="right"/>
              <w:rPr>
                <w:b/>
                <w:bCs/>
                <w:i/>
                <w:szCs w:val="22"/>
              </w:rPr>
            </w:pPr>
            <w:bookmarkStart w:id="9" w:name="_Hlk175764561"/>
            <w:r w:rsidRPr="003018B0">
              <w:rPr>
                <w:b/>
                <w:bCs/>
                <w:i/>
                <w:szCs w:val="22"/>
              </w:rPr>
              <w:t>Active ingredient</w:t>
            </w:r>
            <w:bookmarkEnd w:id="9"/>
            <w:r w:rsidRPr="003018B0">
              <w:rPr>
                <w:b/>
                <w:bCs/>
                <w:i/>
                <w:szCs w:val="22"/>
              </w:rPr>
              <w:t>:</w:t>
            </w:r>
          </w:p>
        </w:tc>
        <w:tc>
          <w:tcPr>
            <w:tcW w:w="3597" w:type="pct"/>
          </w:tcPr>
          <w:p w14:paraId="02FB6383" w14:textId="5F70D6BD" w:rsidR="00324B33" w:rsidRPr="00BD5DBD" w:rsidRDefault="000A1CCF" w:rsidP="00B748B3">
            <w:pPr>
              <w:rPr>
                <w:szCs w:val="22"/>
              </w:rPr>
            </w:pPr>
            <w:r w:rsidRPr="000A1CCF">
              <w:rPr>
                <w:szCs w:val="22"/>
              </w:rPr>
              <w:t>tirzepatide</w:t>
            </w:r>
          </w:p>
        </w:tc>
      </w:tr>
      <w:tr w:rsidR="00324B33" w:rsidRPr="00BD5DBD" w14:paraId="219A281B" w14:textId="77777777" w:rsidTr="009F7D6C">
        <w:tc>
          <w:tcPr>
            <w:tcW w:w="1403" w:type="pct"/>
          </w:tcPr>
          <w:p w14:paraId="112E5F78" w14:textId="77777777" w:rsidR="00324B33" w:rsidRPr="003018B0" w:rsidRDefault="00324B33" w:rsidP="003018B0">
            <w:pPr>
              <w:jc w:val="right"/>
              <w:rPr>
                <w:b/>
                <w:bCs/>
                <w:i/>
                <w:szCs w:val="22"/>
              </w:rPr>
            </w:pPr>
            <w:r w:rsidRPr="003018B0">
              <w:rPr>
                <w:b/>
                <w:bCs/>
                <w:i/>
                <w:szCs w:val="22"/>
              </w:rPr>
              <w:t>Decision:</w:t>
            </w:r>
          </w:p>
        </w:tc>
        <w:tc>
          <w:tcPr>
            <w:tcW w:w="3597" w:type="pct"/>
          </w:tcPr>
          <w:p w14:paraId="3B114BEA" w14:textId="06EAEFD3" w:rsidR="00324B33" w:rsidRPr="00BD5DBD" w:rsidRDefault="00324B33" w:rsidP="00B748B3">
            <w:pPr>
              <w:rPr>
                <w:szCs w:val="22"/>
              </w:rPr>
            </w:pPr>
            <w:r w:rsidRPr="00BD5DBD">
              <w:rPr>
                <w:szCs w:val="22"/>
              </w:rPr>
              <w:t>Approved</w:t>
            </w:r>
          </w:p>
        </w:tc>
      </w:tr>
      <w:tr w:rsidR="002C6B01" w:rsidRPr="00BD5DBD" w14:paraId="4BF2290C" w14:textId="77777777" w:rsidTr="009F7D6C">
        <w:tc>
          <w:tcPr>
            <w:tcW w:w="1403" w:type="pct"/>
          </w:tcPr>
          <w:p w14:paraId="3D8B7A5F" w14:textId="2533AEE4" w:rsidR="002C6B01" w:rsidRPr="003018B0" w:rsidRDefault="002C6B01" w:rsidP="002C6B01">
            <w:pPr>
              <w:jc w:val="right"/>
              <w:rPr>
                <w:b/>
                <w:bCs/>
                <w:i/>
                <w:szCs w:val="22"/>
              </w:rPr>
            </w:pPr>
            <w:r>
              <w:br w:type="page"/>
            </w:r>
            <w:r w:rsidRPr="002C6B01">
              <w:rPr>
                <w:b/>
                <w:bCs/>
                <w:i/>
                <w:szCs w:val="22"/>
              </w:rPr>
              <w:t>Approved therapeutic use for the current submission:</w:t>
            </w:r>
          </w:p>
        </w:tc>
        <w:tc>
          <w:tcPr>
            <w:tcW w:w="3597" w:type="pct"/>
          </w:tcPr>
          <w:p w14:paraId="4AC91A4C" w14:textId="77777777" w:rsidR="002C6B01" w:rsidRPr="002C6B01" w:rsidRDefault="002C6B01" w:rsidP="002C6B01">
            <w:pPr>
              <w:rPr>
                <w:b/>
                <w:bCs/>
                <w:szCs w:val="22"/>
              </w:rPr>
            </w:pPr>
            <w:r w:rsidRPr="002C6B01">
              <w:rPr>
                <w:b/>
                <w:bCs/>
                <w:szCs w:val="22"/>
              </w:rPr>
              <w:t>Chronic weight management</w:t>
            </w:r>
          </w:p>
          <w:p w14:paraId="2002BBAA" w14:textId="77777777" w:rsidR="002C6B01" w:rsidRDefault="002C6B01" w:rsidP="002C6B01">
            <w:pPr>
              <w:rPr>
                <w:szCs w:val="22"/>
              </w:rPr>
            </w:pPr>
            <w:r>
              <w:rPr>
                <w:szCs w:val="22"/>
              </w:rPr>
              <w:t>Mounjaro</w:t>
            </w:r>
            <w:r w:rsidRPr="000A1CCF">
              <w:rPr>
                <w:szCs w:val="22"/>
              </w:rPr>
              <w:t xml:space="preserve"> is indicated as an adjunct to a reduced-calorie diet and increased physical</w:t>
            </w:r>
            <w:r>
              <w:rPr>
                <w:szCs w:val="22"/>
              </w:rPr>
              <w:t xml:space="preserve"> </w:t>
            </w:r>
            <w:r w:rsidRPr="000A1CCF">
              <w:rPr>
                <w:szCs w:val="22"/>
              </w:rPr>
              <w:t>activity for chronic weight management, including weight loss and weight maintenance,</w:t>
            </w:r>
            <w:r>
              <w:rPr>
                <w:szCs w:val="22"/>
              </w:rPr>
              <w:t xml:space="preserve"> </w:t>
            </w:r>
            <w:r w:rsidRPr="000A1CCF">
              <w:rPr>
                <w:szCs w:val="22"/>
              </w:rPr>
              <w:t>in adults with an initial body mass index (BMI) of:</w:t>
            </w:r>
            <w:r>
              <w:rPr>
                <w:szCs w:val="22"/>
              </w:rPr>
              <w:t xml:space="preserve"> </w:t>
            </w:r>
          </w:p>
          <w:p w14:paraId="23E62B5F" w14:textId="77777777" w:rsidR="002C6B01" w:rsidRPr="000A1CCF" w:rsidRDefault="002C6B01" w:rsidP="002C6B01">
            <w:pPr>
              <w:ind w:left="717"/>
              <w:rPr>
                <w:szCs w:val="22"/>
              </w:rPr>
            </w:pPr>
            <w:r w:rsidRPr="000A1CCF">
              <w:rPr>
                <w:szCs w:val="22"/>
              </w:rPr>
              <w:t>≥30 kg/m</w:t>
            </w:r>
            <w:r w:rsidRPr="003A3BE3">
              <w:rPr>
                <w:szCs w:val="22"/>
                <w:vertAlign w:val="superscript"/>
              </w:rPr>
              <w:t>2</w:t>
            </w:r>
            <w:r w:rsidRPr="000A1CCF">
              <w:rPr>
                <w:szCs w:val="22"/>
              </w:rPr>
              <w:t xml:space="preserve"> (obesity) or</w:t>
            </w:r>
          </w:p>
          <w:p w14:paraId="2AE27012" w14:textId="501AA158" w:rsidR="002C6B01" w:rsidRPr="00F65565" w:rsidRDefault="002C6B01" w:rsidP="00E448C1">
            <w:pPr>
              <w:ind w:left="717"/>
              <w:rPr>
                <w:szCs w:val="22"/>
              </w:rPr>
            </w:pPr>
            <w:r w:rsidRPr="000A1CCF">
              <w:rPr>
                <w:szCs w:val="22"/>
              </w:rPr>
              <w:t>≥27 kg/m</w:t>
            </w:r>
            <w:r w:rsidRPr="003A3BE3">
              <w:rPr>
                <w:szCs w:val="22"/>
                <w:vertAlign w:val="superscript"/>
              </w:rPr>
              <w:t>2</w:t>
            </w:r>
            <w:r w:rsidRPr="000A1CCF">
              <w:rPr>
                <w:szCs w:val="22"/>
              </w:rPr>
              <w:t xml:space="preserve"> to &lt;30 kg/m</w:t>
            </w:r>
            <w:r w:rsidRPr="003A3BE3">
              <w:rPr>
                <w:szCs w:val="22"/>
                <w:vertAlign w:val="superscript"/>
              </w:rPr>
              <w:t>2</w:t>
            </w:r>
            <w:r w:rsidRPr="000A1CCF">
              <w:rPr>
                <w:szCs w:val="22"/>
              </w:rPr>
              <w:t xml:space="preserve"> (overweight) in the presence of at least one weight-related</w:t>
            </w:r>
            <w:r>
              <w:rPr>
                <w:szCs w:val="22"/>
              </w:rPr>
              <w:t xml:space="preserve"> </w:t>
            </w:r>
            <w:r w:rsidRPr="000A1CCF">
              <w:rPr>
                <w:szCs w:val="22"/>
              </w:rPr>
              <w:t>comorbid condition (e.g.,</w:t>
            </w:r>
            <w:r>
              <w:rPr>
                <w:szCs w:val="22"/>
              </w:rPr>
              <w:t xml:space="preserve"> </w:t>
            </w:r>
            <w:r w:rsidRPr="000A1CCF">
              <w:rPr>
                <w:szCs w:val="22"/>
              </w:rPr>
              <w:t>hypertension, dyslipidaemia, obstructive sleep apnoea,</w:t>
            </w:r>
            <w:r>
              <w:rPr>
                <w:szCs w:val="22"/>
              </w:rPr>
              <w:t xml:space="preserve"> </w:t>
            </w:r>
            <w:r w:rsidRPr="000A1CCF">
              <w:rPr>
                <w:szCs w:val="22"/>
              </w:rPr>
              <w:t xml:space="preserve">cardiovascular disease, </w:t>
            </w:r>
            <w:proofErr w:type="gramStart"/>
            <w:r w:rsidRPr="000A1CCF">
              <w:rPr>
                <w:szCs w:val="22"/>
              </w:rPr>
              <w:t>prediabetes</w:t>
            </w:r>
            <w:proofErr w:type="gramEnd"/>
            <w:r w:rsidRPr="000A1CCF">
              <w:rPr>
                <w:szCs w:val="22"/>
              </w:rPr>
              <w:t xml:space="preserve"> or type 2 diabetes mellitus).</w:t>
            </w:r>
          </w:p>
        </w:tc>
      </w:tr>
      <w:tr w:rsidR="002C6B01" w:rsidRPr="00BD5DBD" w14:paraId="32B72632" w14:textId="77777777" w:rsidTr="009F7D6C">
        <w:tc>
          <w:tcPr>
            <w:tcW w:w="1403" w:type="pct"/>
          </w:tcPr>
          <w:p w14:paraId="332A5CD5" w14:textId="65682B5F" w:rsidR="002C6B01" w:rsidRPr="003018B0" w:rsidRDefault="002C6B01" w:rsidP="002C6B01">
            <w:pPr>
              <w:jc w:val="right"/>
              <w:rPr>
                <w:b/>
                <w:bCs/>
              </w:rPr>
            </w:pPr>
            <w:r w:rsidRPr="003018B0">
              <w:rPr>
                <w:b/>
                <w:bCs/>
                <w:i/>
                <w:szCs w:val="22"/>
              </w:rPr>
              <w:t>Date of decision:</w:t>
            </w:r>
          </w:p>
        </w:tc>
        <w:tc>
          <w:tcPr>
            <w:tcW w:w="3597" w:type="pct"/>
          </w:tcPr>
          <w:p w14:paraId="7B381CD6" w14:textId="674ACB41" w:rsidR="002C6B01" w:rsidRPr="00F65565" w:rsidRDefault="002C6B01" w:rsidP="002C6B01">
            <w:pPr>
              <w:rPr>
                <w:szCs w:val="22"/>
              </w:rPr>
            </w:pPr>
            <w:r w:rsidRPr="00F65565">
              <w:rPr>
                <w:szCs w:val="22"/>
              </w:rPr>
              <w:t>9 September 2024</w:t>
            </w:r>
          </w:p>
        </w:tc>
      </w:tr>
      <w:tr w:rsidR="002C6B01" w:rsidRPr="00F46085" w14:paraId="60A25F5A" w14:textId="77777777" w:rsidTr="009F7D6C">
        <w:tc>
          <w:tcPr>
            <w:tcW w:w="1403" w:type="pct"/>
          </w:tcPr>
          <w:p w14:paraId="5C5E4CBA" w14:textId="77777777" w:rsidR="002C6B01" w:rsidRPr="003018B0" w:rsidRDefault="002C6B01" w:rsidP="002C6B01">
            <w:pPr>
              <w:jc w:val="right"/>
              <w:rPr>
                <w:b/>
                <w:bCs/>
                <w:i/>
                <w:szCs w:val="22"/>
              </w:rPr>
            </w:pPr>
            <w:r w:rsidRPr="003018B0">
              <w:rPr>
                <w:b/>
                <w:bCs/>
                <w:i/>
                <w:szCs w:val="22"/>
              </w:rPr>
              <w:t>Date of entry onto ARTG:</w:t>
            </w:r>
          </w:p>
        </w:tc>
        <w:tc>
          <w:tcPr>
            <w:tcW w:w="3597" w:type="pct"/>
          </w:tcPr>
          <w:p w14:paraId="28B270E9" w14:textId="147CE839" w:rsidR="002C6B01" w:rsidRPr="00F65565" w:rsidRDefault="002C6B01" w:rsidP="002C6B01">
            <w:pPr>
              <w:rPr>
                <w:szCs w:val="22"/>
              </w:rPr>
            </w:pPr>
            <w:r w:rsidRPr="00F65565">
              <w:rPr>
                <w:szCs w:val="22"/>
              </w:rPr>
              <w:t>10 September 2024</w:t>
            </w:r>
          </w:p>
        </w:tc>
      </w:tr>
      <w:tr w:rsidR="002C6B01" w:rsidRPr="00BD5DBD" w14:paraId="547E08D7" w14:textId="77777777" w:rsidTr="009F7D6C">
        <w:tc>
          <w:tcPr>
            <w:tcW w:w="1403" w:type="pct"/>
          </w:tcPr>
          <w:p w14:paraId="5030EF30" w14:textId="04932E6A" w:rsidR="002C6B01" w:rsidRPr="003018B0" w:rsidRDefault="002C6B01" w:rsidP="002C6B01">
            <w:pPr>
              <w:jc w:val="right"/>
              <w:rPr>
                <w:b/>
                <w:bCs/>
                <w:i/>
                <w:szCs w:val="22"/>
              </w:rPr>
            </w:pPr>
            <w:r w:rsidRPr="003018B0">
              <w:rPr>
                <w:b/>
                <w:bCs/>
                <w:i/>
                <w:szCs w:val="22"/>
              </w:rPr>
              <w:t>ARTG numbers:</w:t>
            </w:r>
          </w:p>
        </w:tc>
        <w:tc>
          <w:tcPr>
            <w:tcW w:w="3597" w:type="pct"/>
          </w:tcPr>
          <w:p w14:paraId="2F8E2667" w14:textId="722F6ADF" w:rsidR="002C6B01" w:rsidRPr="00352B90" w:rsidRDefault="002C6B01" w:rsidP="00BC38C2">
            <w:pPr>
              <w:pStyle w:val="ListBullet"/>
            </w:pPr>
            <w:r w:rsidRPr="00352B90">
              <w:t>379333 - MOUNJARO tirzepatide 10 mg/0.5 mL solution for injection pre-filled pen</w:t>
            </w:r>
          </w:p>
          <w:p w14:paraId="7B641275" w14:textId="77777777" w:rsidR="002C6B01" w:rsidRPr="00352B90" w:rsidRDefault="002C6B01" w:rsidP="00BC38C2">
            <w:pPr>
              <w:pStyle w:val="ListBullet"/>
            </w:pPr>
            <w:r w:rsidRPr="00352B90">
              <w:t>379332 - MOUNJARO tirzepatide 12.5 mg/0.5 mL solution for injection pre-filled pen</w:t>
            </w:r>
          </w:p>
          <w:p w14:paraId="492518ED" w14:textId="77777777" w:rsidR="002C6B01" w:rsidRPr="00352B90" w:rsidRDefault="002C6B01" w:rsidP="00BC38C2">
            <w:pPr>
              <w:pStyle w:val="ListBullet"/>
            </w:pPr>
            <w:r w:rsidRPr="00352B90">
              <w:t>379334 - MOUNJARO tirzepatide 15 mg/0.5 mL solution for injection pre-filled pen</w:t>
            </w:r>
          </w:p>
          <w:p w14:paraId="2F3A10D8" w14:textId="77777777" w:rsidR="002C6B01" w:rsidRPr="00352B90" w:rsidRDefault="002C6B01" w:rsidP="00BC38C2">
            <w:pPr>
              <w:pStyle w:val="ListBullet"/>
            </w:pPr>
            <w:r w:rsidRPr="00352B90">
              <w:t>382625 - MOUNJARO tirzepatide 2.5 mg/0.5 mL solution for injection pre-filled pen</w:t>
            </w:r>
          </w:p>
          <w:p w14:paraId="61A4F2A7" w14:textId="77777777" w:rsidR="002C6B01" w:rsidRPr="00352B90" w:rsidRDefault="002C6B01" w:rsidP="00BC38C2">
            <w:pPr>
              <w:pStyle w:val="ListBullet"/>
            </w:pPr>
            <w:r w:rsidRPr="00352B90">
              <w:t>379330 - MOUNJARO tirzepatide 5 mg/0.5 mL solution for injection pre-filled pen</w:t>
            </w:r>
          </w:p>
          <w:p w14:paraId="17FDDB81" w14:textId="02D39DB2" w:rsidR="002C6B01" w:rsidRPr="00AE6FE6" w:rsidRDefault="002C6B01" w:rsidP="00BC38C2">
            <w:pPr>
              <w:pStyle w:val="ListBullet"/>
            </w:pPr>
            <w:r w:rsidRPr="00AE6FE6">
              <w:t>379331 - MOUNJARO tirzepatide 7.5 mg/0.5 mL solution for injection pre-filled pen</w:t>
            </w:r>
          </w:p>
          <w:p w14:paraId="00DA928C" w14:textId="77777777" w:rsidR="002C6B01" w:rsidRPr="00352B90" w:rsidRDefault="002C6B01" w:rsidP="00BC38C2">
            <w:pPr>
              <w:pStyle w:val="ListBullet"/>
            </w:pPr>
            <w:r w:rsidRPr="00352B90">
              <w:t xml:space="preserve">407050 - MOUNJARO tirzepatide 5 mg/0.5 mL solution for injection vial </w:t>
            </w:r>
          </w:p>
          <w:p w14:paraId="5C34BE8E" w14:textId="77777777" w:rsidR="002C6B01" w:rsidRPr="00352B90" w:rsidRDefault="002C6B01" w:rsidP="00BC38C2">
            <w:pPr>
              <w:pStyle w:val="ListBullet"/>
            </w:pPr>
            <w:r w:rsidRPr="00352B90">
              <w:t xml:space="preserve">407051 - MOUNJARO tirzepatide 7.5 mg/0.5 mL solution for injection vial </w:t>
            </w:r>
          </w:p>
          <w:p w14:paraId="6E7F222E" w14:textId="77777777" w:rsidR="002C6B01" w:rsidRPr="00352B90" w:rsidRDefault="002C6B01" w:rsidP="00BC38C2">
            <w:pPr>
              <w:pStyle w:val="ListBullet"/>
            </w:pPr>
            <w:r w:rsidRPr="00352B90">
              <w:t xml:space="preserve">407052 - MOUNJARO tirzepatide 12.5 mg/0.5 mL solution for injection vial </w:t>
            </w:r>
          </w:p>
          <w:p w14:paraId="1E4F26CA" w14:textId="77777777" w:rsidR="002C6B01" w:rsidRPr="00352B90" w:rsidRDefault="002C6B01" w:rsidP="00BC38C2">
            <w:pPr>
              <w:pStyle w:val="ListBullet"/>
            </w:pPr>
            <w:r w:rsidRPr="00352B90">
              <w:t xml:space="preserve">407053 - MOUNJARO tirzepatide 10 mg/0.5 mL solution for injection vial </w:t>
            </w:r>
          </w:p>
          <w:p w14:paraId="5D8FD265" w14:textId="77777777" w:rsidR="002C6B01" w:rsidRPr="00352B90" w:rsidRDefault="002C6B01" w:rsidP="00BC38C2">
            <w:pPr>
              <w:pStyle w:val="ListBullet"/>
            </w:pPr>
            <w:r w:rsidRPr="00352B90">
              <w:lastRenderedPageBreak/>
              <w:t xml:space="preserve">407054 - MOUNJARO tirzepatide 15 mg/0.5 mL solution for injection vial </w:t>
            </w:r>
          </w:p>
          <w:p w14:paraId="7207CEC5" w14:textId="226EE38A" w:rsidR="002C6B01" w:rsidRPr="00AE6FE6" w:rsidRDefault="002C6B01" w:rsidP="00BC38C2">
            <w:pPr>
              <w:pStyle w:val="ListBullet"/>
            </w:pPr>
            <w:r w:rsidRPr="00AE6FE6">
              <w:t>407055 - MOUNJARO tirzepatide 2.5 mg/0.5 mL solution for injection vial </w:t>
            </w:r>
          </w:p>
          <w:p w14:paraId="30943D33" w14:textId="77777777" w:rsidR="002C6B01" w:rsidRPr="00352B90" w:rsidRDefault="002C6B01" w:rsidP="00BC38C2">
            <w:pPr>
              <w:pStyle w:val="ListBullet"/>
            </w:pPr>
            <w:r w:rsidRPr="00352B90">
              <w:t>439430 - MOUNJARO KwikPen tirzepatide 4.17 mg/mL solution for injection multidose pre-filled pen</w:t>
            </w:r>
          </w:p>
          <w:p w14:paraId="41FC9B14" w14:textId="77777777" w:rsidR="002C6B01" w:rsidRPr="00352B90" w:rsidRDefault="002C6B01" w:rsidP="00BC38C2">
            <w:pPr>
              <w:pStyle w:val="ListBullet"/>
            </w:pPr>
            <w:r w:rsidRPr="00352B90">
              <w:t>439690 - MOUNJARO KwikPen tirzepatide 8.33 mg/mL solution for injection multidose pre-filled pen</w:t>
            </w:r>
          </w:p>
          <w:p w14:paraId="12D62808" w14:textId="77777777" w:rsidR="002C6B01" w:rsidRPr="00352B90" w:rsidRDefault="002C6B01" w:rsidP="00BC38C2">
            <w:pPr>
              <w:pStyle w:val="ListBullet"/>
            </w:pPr>
            <w:r w:rsidRPr="00352B90">
              <w:t>439691 - MOUNJARO KwikPen tirzepatide 12.5 mg/mL solution for injection multidose pre-filled pen</w:t>
            </w:r>
          </w:p>
          <w:p w14:paraId="3CCA859C" w14:textId="77777777" w:rsidR="002C6B01" w:rsidRPr="00352B90" w:rsidRDefault="002C6B01" w:rsidP="00BC38C2">
            <w:pPr>
              <w:pStyle w:val="ListBullet"/>
            </w:pPr>
            <w:r w:rsidRPr="00352B90">
              <w:t>439692 - MOUNJARO KwikPen tirzepatide 16.67 mg/mL solution for injection multidose pre-filled pen</w:t>
            </w:r>
          </w:p>
          <w:p w14:paraId="40748F2F" w14:textId="77777777" w:rsidR="002C6B01" w:rsidRPr="00352B90" w:rsidRDefault="002C6B01" w:rsidP="00BC38C2">
            <w:pPr>
              <w:pStyle w:val="ListBullet"/>
            </w:pPr>
            <w:r w:rsidRPr="00352B90">
              <w:t>439693 - MOUNJARO KwikPen tirzepatide 20.83 mg/mL solution for injection multidose pre-filled pen</w:t>
            </w:r>
          </w:p>
          <w:p w14:paraId="7D1D466C" w14:textId="77777777" w:rsidR="002C6B01" w:rsidRDefault="002C6B01" w:rsidP="00BC38C2">
            <w:pPr>
              <w:pStyle w:val="ListBullet"/>
            </w:pPr>
            <w:r w:rsidRPr="00352B90">
              <w:t>439694 - MOUNJARO KwikPen tirzepatide 25 mg/mL solution for injection multidose prefilled pen</w:t>
            </w:r>
          </w:p>
          <w:p w14:paraId="0054E912" w14:textId="5C6CE2A8" w:rsidR="002C6B01" w:rsidRPr="00BD5DBD" w:rsidRDefault="002C6B01" w:rsidP="002C6B01">
            <w:pPr>
              <w:spacing w:after="0" w:line="240" w:lineRule="auto"/>
              <w:ind w:left="6"/>
              <w:contextualSpacing/>
              <w:rPr>
                <w:szCs w:val="22"/>
              </w:rPr>
            </w:pPr>
          </w:p>
        </w:tc>
      </w:tr>
      <w:tr w:rsidR="002C6B01" w:rsidRPr="00BD5DBD" w14:paraId="7618393F" w14:textId="77777777" w:rsidTr="009F7D6C">
        <w:tc>
          <w:tcPr>
            <w:tcW w:w="1403" w:type="pct"/>
          </w:tcPr>
          <w:p w14:paraId="02260DE2" w14:textId="7A6523C2" w:rsidR="002C6B01" w:rsidRPr="003018B0" w:rsidRDefault="00155131" w:rsidP="002C6B01">
            <w:pPr>
              <w:jc w:val="right"/>
              <w:rPr>
                <w:b/>
                <w:bCs/>
                <w:i/>
                <w:color w:val="0000FF"/>
                <w:szCs w:val="22"/>
                <w:u w:val="single"/>
              </w:rPr>
            </w:pPr>
            <w:hyperlink r:id="rId18" w:history="1">
              <w:r w:rsidR="002C6B01" w:rsidRPr="003018B0">
                <w:rPr>
                  <w:rStyle w:val="Hyperlink"/>
                  <w:b/>
                  <w:bCs/>
                  <w:i/>
                  <w:szCs w:val="22"/>
                </w:rPr>
                <w:t>Black Triangle Scheme</w:t>
              </w:r>
            </w:hyperlink>
          </w:p>
        </w:tc>
        <w:tc>
          <w:tcPr>
            <w:tcW w:w="3597" w:type="pct"/>
          </w:tcPr>
          <w:p w14:paraId="6FF3C6A2" w14:textId="01D39127" w:rsidR="002C6B01" w:rsidRPr="00BD5DBD" w:rsidRDefault="002C6B01" w:rsidP="002C6B01">
            <w:pPr>
              <w:rPr>
                <w:szCs w:val="22"/>
              </w:rPr>
            </w:pPr>
            <w:r w:rsidRPr="00BD5DBD">
              <w:rPr>
                <w:szCs w:val="22"/>
              </w:rPr>
              <w:t>Yes</w:t>
            </w:r>
          </w:p>
        </w:tc>
      </w:tr>
      <w:tr w:rsidR="002C6B01" w:rsidRPr="00BD5DBD" w14:paraId="179E09FE" w14:textId="77777777" w:rsidTr="009F7D6C">
        <w:trPr>
          <w:trHeight w:val="342"/>
        </w:trPr>
        <w:tc>
          <w:tcPr>
            <w:tcW w:w="1403" w:type="pct"/>
          </w:tcPr>
          <w:p w14:paraId="1A592498" w14:textId="36E992DA" w:rsidR="002C6B01" w:rsidRPr="003018B0" w:rsidRDefault="002C6B01" w:rsidP="002C6B01">
            <w:pPr>
              <w:jc w:val="right"/>
              <w:rPr>
                <w:b/>
                <w:bCs/>
                <w:i/>
                <w:szCs w:val="22"/>
              </w:rPr>
            </w:pPr>
            <w:r w:rsidRPr="003018B0">
              <w:rPr>
                <w:b/>
                <w:bCs/>
                <w:i/>
                <w:szCs w:val="22"/>
              </w:rPr>
              <w:t>Sponsor’s name and address:</w:t>
            </w:r>
          </w:p>
        </w:tc>
        <w:tc>
          <w:tcPr>
            <w:tcW w:w="3597" w:type="pct"/>
          </w:tcPr>
          <w:p w14:paraId="68DD94B0" w14:textId="75ED9F2B" w:rsidR="002C6B01" w:rsidRPr="00BD5DBD" w:rsidRDefault="002C6B01" w:rsidP="002C6B01">
            <w:pPr>
              <w:rPr>
                <w:szCs w:val="22"/>
              </w:rPr>
            </w:pPr>
            <w:r w:rsidRPr="000A1CCF">
              <w:rPr>
                <w:szCs w:val="22"/>
              </w:rPr>
              <w:t>Eli Lilly Australia Pty Ltd</w:t>
            </w:r>
            <w:r>
              <w:rPr>
                <w:szCs w:val="22"/>
              </w:rPr>
              <w:t xml:space="preserve">, </w:t>
            </w:r>
            <w:r w:rsidRPr="000A1CCF">
              <w:rPr>
                <w:szCs w:val="22"/>
              </w:rPr>
              <w:t xml:space="preserve">Level 9, 60 Margaret Street, Sydney, </w:t>
            </w:r>
            <w:r>
              <w:rPr>
                <w:szCs w:val="22"/>
              </w:rPr>
              <w:t>N</w:t>
            </w:r>
            <w:r w:rsidRPr="000A1CCF">
              <w:rPr>
                <w:szCs w:val="22"/>
              </w:rPr>
              <w:t>SW 2000</w:t>
            </w:r>
            <w:r>
              <w:rPr>
                <w:szCs w:val="22"/>
              </w:rPr>
              <w:t xml:space="preserve"> </w:t>
            </w:r>
            <w:r w:rsidRPr="000A1CCF">
              <w:rPr>
                <w:szCs w:val="22"/>
              </w:rPr>
              <w:t>AUSTRALIA</w:t>
            </w:r>
          </w:p>
        </w:tc>
      </w:tr>
      <w:tr w:rsidR="002C6B01" w:rsidRPr="00BD5DBD" w14:paraId="5322B989" w14:textId="77777777" w:rsidTr="009F7D6C">
        <w:tc>
          <w:tcPr>
            <w:tcW w:w="1403" w:type="pct"/>
          </w:tcPr>
          <w:p w14:paraId="24F217E3" w14:textId="04ECD8A9" w:rsidR="002C6B01" w:rsidRPr="003018B0" w:rsidRDefault="002C6B01" w:rsidP="002C6B01">
            <w:pPr>
              <w:jc w:val="right"/>
              <w:rPr>
                <w:b/>
                <w:bCs/>
                <w:i/>
                <w:szCs w:val="22"/>
              </w:rPr>
            </w:pPr>
            <w:r w:rsidRPr="003018B0">
              <w:rPr>
                <w:b/>
                <w:bCs/>
                <w:i/>
                <w:szCs w:val="22"/>
              </w:rPr>
              <w:t>Dose form:</w:t>
            </w:r>
          </w:p>
        </w:tc>
        <w:tc>
          <w:tcPr>
            <w:tcW w:w="3597" w:type="pct"/>
          </w:tcPr>
          <w:p w14:paraId="768B254C" w14:textId="5526093F" w:rsidR="002C6B01" w:rsidRPr="00BD5DBD" w:rsidRDefault="002C6B01" w:rsidP="002C6B01">
            <w:pPr>
              <w:rPr>
                <w:szCs w:val="22"/>
              </w:rPr>
            </w:pPr>
            <w:r>
              <w:rPr>
                <w:szCs w:val="22"/>
              </w:rPr>
              <w:t>C</w:t>
            </w:r>
            <w:r w:rsidRPr="00793AB2">
              <w:rPr>
                <w:szCs w:val="22"/>
              </w:rPr>
              <w:t xml:space="preserve">lear, colourless to slightly yellow, sterile solution </w:t>
            </w:r>
          </w:p>
        </w:tc>
      </w:tr>
      <w:tr w:rsidR="002C6B01" w:rsidRPr="00BD5DBD" w14:paraId="115243E6" w14:textId="77777777" w:rsidTr="009F7D6C">
        <w:tc>
          <w:tcPr>
            <w:tcW w:w="1403" w:type="pct"/>
          </w:tcPr>
          <w:p w14:paraId="7634B062" w14:textId="19270146" w:rsidR="002C6B01" w:rsidRPr="003018B0" w:rsidRDefault="002C6B01" w:rsidP="002C6B01">
            <w:pPr>
              <w:jc w:val="right"/>
              <w:rPr>
                <w:b/>
                <w:bCs/>
                <w:i/>
                <w:szCs w:val="22"/>
              </w:rPr>
            </w:pPr>
            <w:r w:rsidRPr="003018B0">
              <w:rPr>
                <w:b/>
                <w:bCs/>
                <w:i/>
                <w:szCs w:val="22"/>
              </w:rPr>
              <w:t>Strength:</w:t>
            </w:r>
          </w:p>
        </w:tc>
        <w:tc>
          <w:tcPr>
            <w:tcW w:w="3597" w:type="pct"/>
          </w:tcPr>
          <w:tbl>
            <w:tblPr>
              <w:tblStyle w:val="TableGrid"/>
              <w:tblW w:w="6299" w:type="dxa"/>
              <w:tblLook w:val="04A0" w:firstRow="1" w:lastRow="0" w:firstColumn="1" w:lastColumn="0" w:noHBand="0" w:noVBand="1"/>
            </w:tblPr>
            <w:tblGrid>
              <w:gridCol w:w="2367"/>
              <w:gridCol w:w="1977"/>
              <w:gridCol w:w="1955"/>
            </w:tblGrid>
            <w:tr w:rsidR="002C6B01" w:rsidRPr="009F7D6C" w14:paraId="76B6AE26" w14:textId="77777777" w:rsidTr="009F7D6C">
              <w:trPr>
                <w:trHeight w:val="747"/>
              </w:trPr>
              <w:tc>
                <w:tcPr>
                  <w:tcW w:w="2367" w:type="dxa"/>
                  <w:shd w:val="clear" w:color="auto" w:fill="DEEAF6" w:themeFill="accent5" w:themeFillTint="33"/>
                </w:tcPr>
                <w:p w14:paraId="4E4BB7B5" w14:textId="4E3F5093" w:rsidR="002C6B01" w:rsidRPr="009F7D6C" w:rsidRDefault="002C6B01" w:rsidP="002C6B01">
                  <w:pPr>
                    <w:jc w:val="center"/>
                    <w:rPr>
                      <w:b/>
                      <w:color w:val="263287"/>
                      <w:szCs w:val="22"/>
                    </w:rPr>
                  </w:pPr>
                  <w:r w:rsidRPr="009F7D6C">
                    <w:rPr>
                      <w:b/>
                      <w:color w:val="263287"/>
                      <w:szCs w:val="22"/>
                    </w:rPr>
                    <w:t>Autoinjector (single dose pre-filled pen) and single-use vial</w:t>
                  </w:r>
                </w:p>
              </w:tc>
              <w:tc>
                <w:tcPr>
                  <w:tcW w:w="3932" w:type="dxa"/>
                  <w:gridSpan w:val="2"/>
                  <w:shd w:val="clear" w:color="auto" w:fill="DEEAF6" w:themeFill="accent5" w:themeFillTint="33"/>
                </w:tcPr>
                <w:p w14:paraId="0A86F6CC" w14:textId="00895C69" w:rsidR="002C6B01" w:rsidRPr="009F7D6C" w:rsidRDefault="002C6B01" w:rsidP="002C6B01">
                  <w:pPr>
                    <w:tabs>
                      <w:tab w:val="left" w:pos="2402"/>
                    </w:tabs>
                    <w:jc w:val="center"/>
                    <w:rPr>
                      <w:b/>
                      <w:color w:val="263287"/>
                      <w:szCs w:val="22"/>
                    </w:rPr>
                  </w:pPr>
                  <w:r w:rsidRPr="009F7D6C">
                    <w:rPr>
                      <w:b/>
                      <w:color w:val="263287"/>
                      <w:szCs w:val="22"/>
                    </w:rPr>
                    <w:t>Four-dose pre-filled pen (KwikPen</w:t>
                  </w:r>
                  <w:r w:rsidRPr="009F7D6C">
                    <w:rPr>
                      <w:b/>
                      <w:color w:val="263287"/>
                      <w:szCs w:val="22"/>
                      <w:vertAlign w:val="superscript"/>
                    </w:rPr>
                    <w:t>®</w:t>
                  </w:r>
                  <w:r w:rsidRPr="009F7D6C">
                    <w:rPr>
                      <w:b/>
                      <w:color w:val="263287"/>
                      <w:szCs w:val="22"/>
                    </w:rPr>
                    <w:t>)</w:t>
                  </w:r>
                </w:p>
              </w:tc>
            </w:tr>
            <w:tr w:rsidR="002C6B01" w:rsidRPr="009F7D6C" w14:paraId="2C3E33D0" w14:textId="77777777" w:rsidTr="009F7D6C">
              <w:trPr>
                <w:trHeight w:val="502"/>
              </w:trPr>
              <w:tc>
                <w:tcPr>
                  <w:tcW w:w="2367" w:type="dxa"/>
                  <w:shd w:val="clear" w:color="auto" w:fill="DEEAF6" w:themeFill="accent5" w:themeFillTint="33"/>
                </w:tcPr>
                <w:p w14:paraId="50C7F5E8" w14:textId="663E0159" w:rsidR="002C6B01" w:rsidRPr="009F7D6C" w:rsidRDefault="002C6B01" w:rsidP="002C6B01">
                  <w:pPr>
                    <w:jc w:val="center"/>
                    <w:rPr>
                      <w:b/>
                      <w:color w:val="263287"/>
                      <w:szCs w:val="22"/>
                    </w:rPr>
                  </w:pPr>
                  <w:r w:rsidRPr="009F7D6C">
                    <w:rPr>
                      <w:b/>
                      <w:color w:val="263287"/>
                      <w:szCs w:val="22"/>
                    </w:rPr>
                    <w:t>mg tirzepatide/0.5 mL</w:t>
                  </w:r>
                </w:p>
              </w:tc>
              <w:tc>
                <w:tcPr>
                  <w:tcW w:w="1977" w:type="dxa"/>
                  <w:shd w:val="clear" w:color="auto" w:fill="DEEAF6" w:themeFill="accent5" w:themeFillTint="33"/>
                </w:tcPr>
                <w:p w14:paraId="5943DF4E" w14:textId="2E3F0CA3" w:rsidR="002C6B01" w:rsidRPr="009F7D6C" w:rsidRDefault="002C6B01" w:rsidP="002C6B01">
                  <w:pPr>
                    <w:jc w:val="center"/>
                    <w:rPr>
                      <w:b/>
                      <w:color w:val="263287"/>
                      <w:szCs w:val="22"/>
                    </w:rPr>
                  </w:pPr>
                  <w:r w:rsidRPr="009F7D6C">
                    <w:rPr>
                      <w:b/>
                      <w:color w:val="263287"/>
                      <w:szCs w:val="22"/>
                    </w:rPr>
                    <w:t>mg tirzepatide/mL</w:t>
                  </w:r>
                </w:p>
              </w:tc>
              <w:tc>
                <w:tcPr>
                  <w:tcW w:w="1954" w:type="dxa"/>
                  <w:shd w:val="clear" w:color="auto" w:fill="DEEAF6" w:themeFill="accent5" w:themeFillTint="33"/>
                </w:tcPr>
                <w:p w14:paraId="1BDA9977" w14:textId="60321BBD" w:rsidR="002C6B01" w:rsidRPr="009F7D6C" w:rsidRDefault="002C6B01" w:rsidP="002C6B01">
                  <w:pPr>
                    <w:jc w:val="center"/>
                    <w:rPr>
                      <w:b/>
                      <w:color w:val="263287"/>
                      <w:szCs w:val="22"/>
                      <w:lang w:val="sv-SE"/>
                    </w:rPr>
                  </w:pPr>
                  <w:r w:rsidRPr="009F7D6C">
                    <w:rPr>
                      <w:b/>
                      <w:color w:val="263287"/>
                      <w:szCs w:val="22"/>
                      <w:lang w:val="sv-SE"/>
                    </w:rPr>
                    <w:t>mg tirzepatide per 0.6 mL dose</w:t>
                  </w:r>
                </w:p>
              </w:tc>
            </w:tr>
            <w:tr w:rsidR="002C6B01" w:rsidRPr="009F7D6C" w14:paraId="7FB8A3F3" w14:textId="77777777" w:rsidTr="009F7D6C">
              <w:trPr>
                <w:trHeight w:val="244"/>
              </w:trPr>
              <w:tc>
                <w:tcPr>
                  <w:tcW w:w="2367" w:type="dxa"/>
                </w:tcPr>
                <w:p w14:paraId="65C62D84" w14:textId="587E70DA" w:rsidR="002C6B01" w:rsidRPr="009F7D6C" w:rsidRDefault="002C6B01" w:rsidP="002C6B01">
                  <w:pPr>
                    <w:rPr>
                      <w:bCs/>
                      <w:szCs w:val="22"/>
                    </w:rPr>
                  </w:pPr>
                  <w:r w:rsidRPr="009F7D6C">
                    <w:rPr>
                      <w:bCs/>
                      <w:szCs w:val="22"/>
                    </w:rPr>
                    <w:t>2.5</w:t>
                  </w:r>
                </w:p>
              </w:tc>
              <w:tc>
                <w:tcPr>
                  <w:tcW w:w="1977" w:type="dxa"/>
                </w:tcPr>
                <w:p w14:paraId="69567446" w14:textId="23A1AEC1" w:rsidR="002C6B01" w:rsidRPr="009F7D6C" w:rsidRDefault="002C6B01" w:rsidP="002C6B01">
                  <w:pPr>
                    <w:rPr>
                      <w:bCs/>
                      <w:szCs w:val="22"/>
                    </w:rPr>
                  </w:pPr>
                  <w:r w:rsidRPr="009F7D6C">
                    <w:rPr>
                      <w:bCs/>
                      <w:szCs w:val="22"/>
                    </w:rPr>
                    <w:t>4.17</w:t>
                  </w:r>
                </w:p>
              </w:tc>
              <w:tc>
                <w:tcPr>
                  <w:tcW w:w="1954" w:type="dxa"/>
                </w:tcPr>
                <w:p w14:paraId="34B786BC" w14:textId="7CD2038D" w:rsidR="002C6B01" w:rsidRPr="009F7D6C" w:rsidRDefault="002C6B01" w:rsidP="002C6B01">
                  <w:pPr>
                    <w:rPr>
                      <w:bCs/>
                      <w:szCs w:val="22"/>
                    </w:rPr>
                  </w:pPr>
                  <w:r w:rsidRPr="009F7D6C">
                    <w:rPr>
                      <w:bCs/>
                      <w:szCs w:val="22"/>
                    </w:rPr>
                    <w:t>2.5</w:t>
                  </w:r>
                </w:p>
              </w:tc>
            </w:tr>
            <w:tr w:rsidR="002C6B01" w:rsidRPr="009F7D6C" w14:paraId="75FF2C39" w14:textId="77777777" w:rsidTr="009F7D6C">
              <w:trPr>
                <w:trHeight w:val="244"/>
              </w:trPr>
              <w:tc>
                <w:tcPr>
                  <w:tcW w:w="2367" w:type="dxa"/>
                </w:tcPr>
                <w:p w14:paraId="1CA0A2AC" w14:textId="05BC4AFE" w:rsidR="002C6B01" w:rsidRPr="009F7D6C" w:rsidRDefault="002C6B01" w:rsidP="002C6B01">
                  <w:pPr>
                    <w:rPr>
                      <w:bCs/>
                      <w:szCs w:val="22"/>
                    </w:rPr>
                  </w:pPr>
                  <w:r w:rsidRPr="009F7D6C">
                    <w:rPr>
                      <w:bCs/>
                      <w:szCs w:val="22"/>
                    </w:rPr>
                    <w:t>5</w:t>
                  </w:r>
                </w:p>
              </w:tc>
              <w:tc>
                <w:tcPr>
                  <w:tcW w:w="1977" w:type="dxa"/>
                </w:tcPr>
                <w:p w14:paraId="69769052" w14:textId="21347243" w:rsidR="002C6B01" w:rsidRPr="009F7D6C" w:rsidRDefault="002C6B01" w:rsidP="002C6B01">
                  <w:pPr>
                    <w:rPr>
                      <w:bCs/>
                      <w:szCs w:val="22"/>
                    </w:rPr>
                  </w:pPr>
                  <w:r w:rsidRPr="009F7D6C">
                    <w:rPr>
                      <w:bCs/>
                      <w:szCs w:val="22"/>
                    </w:rPr>
                    <w:t>8.33</w:t>
                  </w:r>
                </w:p>
              </w:tc>
              <w:tc>
                <w:tcPr>
                  <w:tcW w:w="1954" w:type="dxa"/>
                </w:tcPr>
                <w:p w14:paraId="048B7B20" w14:textId="1FDF228C" w:rsidR="002C6B01" w:rsidRPr="009F7D6C" w:rsidRDefault="002C6B01" w:rsidP="002C6B01">
                  <w:pPr>
                    <w:rPr>
                      <w:bCs/>
                      <w:szCs w:val="22"/>
                    </w:rPr>
                  </w:pPr>
                  <w:r w:rsidRPr="009F7D6C">
                    <w:rPr>
                      <w:bCs/>
                      <w:szCs w:val="22"/>
                    </w:rPr>
                    <w:t>5</w:t>
                  </w:r>
                </w:p>
              </w:tc>
            </w:tr>
            <w:tr w:rsidR="002C6B01" w:rsidRPr="009F7D6C" w14:paraId="652A7CE8" w14:textId="77777777" w:rsidTr="009F7D6C">
              <w:trPr>
                <w:trHeight w:val="244"/>
              </w:trPr>
              <w:tc>
                <w:tcPr>
                  <w:tcW w:w="2367" w:type="dxa"/>
                </w:tcPr>
                <w:p w14:paraId="22921FB9" w14:textId="2395A60D" w:rsidR="002C6B01" w:rsidRPr="009F7D6C" w:rsidRDefault="002C6B01" w:rsidP="002C6B01">
                  <w:pPr>
                    <w:rPr>
                      <w:bCs/>
                      <w:szCs w:val="22"/>
                    </w:rPr>
                  </w:pPr>
                  <w:r w:rsidRPr="009F7D6C">
                    <w:rPr>
                      <w:bCs/>
                      <w:szCs w:val="22"/>
                    </w:rPr>
                    <w:t>7.5</w:t>
                  </w:r>
                </w:p>
              </w:tc>
              <w:tc>
                <w:tcPr>
                  <w:tcW w:w="1977" w:type="dxa"/>
                </w:tcPr>
                <w:p w14:paraId="59509059" w14:textId="2FC0675E" w:rsidR="002C6B01" w:rsidRPr="009F7D6C" w:rsidRDefault="002C6B01" w:rsidP="002C6B01">
                  <w:pPr>
                    <w:rPr>
                      <w:bCs/>
                      <w:szCs w:val="22"/>
                    </w:rPr>
                  </w:pPr>
                  <w:r w:rsidRPr="009F7D6C">
                    <w:rPr>
                      <w:bCs/>
                      <w:szCs w:val="22"/>
                    </w:rPr>
                    <w:t>12.5</w:t>
                  </w:r>
                </w:p>
              </w:tc>
              <w:tc>
                <w:tcPr>
                  <w:tcW w:w="1954" w:type="dxa"/>
                </w:tcPr>
                <w:p w14:paraId="02BE9A1A" w14:textId="4E3D251B" w:rsidR="002C6B01" w:rsidRPr="009F7D6C" w:rsidRDefault="002C6B01" w:rsidP="002C6B01">
                  <w:pPr>
                    <w:rPr>
                      <w:bCs/>
                      <w:szCs w:val="22"/>
                    </w:rPr>
                  </w:pPr>
                  <w:r w:rsidRPr="009F7D6C">
                    <w:rPr>
                      <w:bCs/>
                      <w:szCs w:val="22"/>
                    </w:rPr>
                    <w:t>7.5</w:t>
                  </w:r>
                </w:p>
              </w:tc>
            </w:tr>
            <w:tr w:rsidR="002C6B01" w:rsidRPr="009F7D6C" w14:paraId="37C23497" w14:textId="77777777" w:rsidTr="009F7D6C">
              <w:trPr>
                <w:trHeight w:val="257"/>
              </w:trPr>
              <w:tc>
                <w:tcPr>
                  <w:tcW w:w="2367" w:type="dxa"/>
                </w:tcPr>
                <w:p w14:paraId="247DA492" w14:textId="3F1007E8" w:rsidR="002C6B01" w:rsidRPr="009F7D6C" w:rsidRDefault="002C6B01" w:rsidP="002C6B01">
                  <w:pPr>
                    <w:rPr>
                      <w:bCs/>
                      <w:szCs w:val="22"/>
                    </w:rPr>
                  </w:pPr>
                  <w:r w:rsidRPr="009F7D6C">
                    <w:rPr>
                      <w:bCs/>
                      <w:szCs w:val="22"/>
                    </w:rPr>
                    <w:t>10</w:t>
                  </w:r>
                </w:p>
              </w:tc>
              <w:tc>
                <w:tcPr>
                  <w:tcW w:w="1977" w:type="dxa"/>
                </w:tcPr>
                <w:p w14:paraId="2A06C998" w14:textId="3B2EC0A3" w:rsidR="002C6B01" w:rsidRPr="009F7D6C" w:rsidRDefault="002C6B01" w:rsidP="002C6B01">
                  <w:pPr>
                    <w:rPr>
                      <w:bCs/>
                      <w:szCs w:val="22"/>
                    </w:rPr>
                  </w:pPr>
                  <w:r w:rsidRPr="009F7D6C">
                    <w:rPr>
                      <w:bCs/>
                      <w:szCs w:val="22"/>
                    </w:rPr>
                    <w:t>16.67</w:t>
                  </w:r>
                </w:p>
              </w:tc>
              <w:tc>
                <w:tcPr>
                  <w:tcW w:w="1954" w:type="dxa"/>
                </w:tcPr>
                <w:p w14:paraId="6170999E" w14:textId="1AC56B41" w:rsidR="002C6B01" w:rsidRPr="009F7D6C" w:rsidRDefault="002C6B01" w:rsidP="002C6B01">
                  <w:pPr>
                    <w:rPr>
                      <w:bCs/>
                      <w:szCs w:val="22"/>
                    </w:rPr>
                  </w:pPr>
                  <w:r w:rsidRPr="009F7D6C">
                    <w:rPr>
                      <w:bCs/>
                      <w:szCs w:val="22"/>
                    </w:rPr>
                    <w:t>10</w:t>
                  </w:r>
                </w:p>
              </w:tc>
            </w:tr>
            <w:tr w:rsidR="002C6B01" w:rsidRPr="009F7D6C" w14:paraId="653042B0" w14:textId="77777777" w:rsidTr="009F7D6C">
              <w:trPr>
                <w:trHeight w:val="244"/>
              </w:trPr>
              <w:tc>
                <w:tcPr>
                  <w:tcW w:w="2367" w:type="dxa"/>
                </w:tcPr>
                <w:p w14:paraId="5DD51C73" w14:textId="650C182F" w:rsidR="002C6B01" w:rsidRPr="009F7D6C" w:rsidRDefault="002C6B01" w:rsidP="002C6B01">
                  <w:pPr>
                    <w:rPr>
                      <w:bCs/>
                      <w:szCs w:val="22"/>
                    </w:rPr>
                  </w:pPr>
                  <w:r w:rsidRPr="009F7D6C">
                    <w:rPr>
                      <w:bCs/>
                      <w:szCs w:val="22"/>
                    </w:rPr>
                    <w:t>12.5</w:t>
                  </w:r>
                </w:p>
              </w:tc>
              <w:tc>
                <w:tcPr>
                  <w:tcW w:w="1977" w:type="dxa"/>
                </w:tcPr>
                <w:p w14:paraId="306857CD" w14:textId="641AE838" w:rsidR="002C6B01" w:rsidRPr="009F7D6C" w:rsidRDefault="002C6B01" w:rsidP="002C6B01">
                  <w:pPr>
                    <w:rPr>
                      <w:bCs/>
                      <w:szCs w:val="22"/>
                    </w:rPr>
                  </w:pPr>
                  <w:r w:rsidRPr="009F7D6C">
                    <w:rPr>
                      <w:bCs/>
                      <w:szCs w:val="22"/>
                    </w:rPr>
                    <w:t>20.83</w:t>
                  </w:r>
                </w:p>
              </w:tc>
              <w:tc>
                <w:tcPr>
                  <w:tcW w:w="1954" w:type="dxa"/>
                </w:tcPr>
                <w:p w14:paraId="2DFD303C" w14:textId="22B06C6A" w:rsidR="002C6B01" w:rsidRPr="009F7D6C" w:rsidRDefault="002C6B01" w:rsidP="002C6B01">
                  <w:pPr>
                    <w:rPr>
                      <w:bCs/>
                      <w:szCs w:val="22"/>
                    </w:rPr>
                  </w:pPr>
                  <w:r w:rsidRPr="009F7D6C">
                    <w:rPr>
                      <w:bCs/>
                      <w:szCs w:val="22"/>
                    </w:rPr>
                    <w:t>12.5</w:t>
                  </w:r>
                </w:p>
              </w:tc>
            </w:tr>
            <w:tr w:rsidR="002C6B01" w:rsidRPr="009F7D6C" w14:paraId="5DC24C66" w14:textId="77777777" w:rsidTr="009F7D6C">
              <w:trPr>
                <w:trHeight w:val="244"/>
              </w:trPr>
              <w:tc>
                <w:tcPr>
                  <w:tcW w:w="2367" w:type="dxa"/>
                </w:tcPr>
                <w:p w14:paraId="5628C54A" w14:textId="1C08B92A" w:rsidR="002C6B01" w:rsidRPr="009F7D6C" w:rsidRDefault="002C6B01" w:rsidP="002C6B01">
                  <w:pPr>
                    <w:rPr>
                      <w:bCs/>
                      <w:szCs w:val="22"/>
                    </w:rPr>
                  </w:pPr>
                  <w:r w:rsidRPr="009F7D6C">
                    <w:rPr>
                      <w:bCs/>
                      <w:szCs w:val="22"/>
                    </w:rPr>
                    <w:t>15</w:t>
                  </w:r>
                </w:p>
              </w:tc>
              <w:tc>
                <w:tcPr>
                  <w:tcW w:w="1977" w:type="dxa"/>
                </w:tcPr>
                <w:p w14:paraId="077B526D" w14:textId="2811231E" w:rsidR="002C6B01" w:rsidRPr="009F7D6C" w:rsidRDefault="002C6B01" w:rsidP="002C6B01">
                  <w:pPr>
                    <w:rPr>
                      <w:bCs/>
                      <w:szCs w:val="22"/>
                    </w:rPr>
                  </w:pPr>
                  <w:r w:rsidRPr="009F7D6C">
                    <w:rPr>
                      <w:bCs/>
                      <w:szCs w:val="22"/>
                    </w:rPr>
                    <w:t>25</w:t>
                  </w:r>
                </w:p>
              </w:tc>
              <w:tc>
                <w:tcPr>
                  <w:tcW w:w="1954" w:type="dxa"/>
                </w:tcPr>
                <w:p w14:paraId="2115D613" w14:textId="653BE324" w:rsidR="002C6B01" w:rsidRPr="009F7D6C" w:rsidRDefault="002C6B01" w:rsidP="002C6B01">
                  <w:pPr>
                    <w:rPr>
                      <w:bCs/>
                      <w:szCs w:val="22"/>
                    </w:rPr>
                  </w:pPr>
                  <w:r w:rsidRPr="009F7D6C">
                    <w:rPr>
                      <w:bCs/>
                      <w:szCs w:val="22"/>
                    </w:rPr>
                    <w:t>15</w:t>
                  </w:r>
                </w:p>
              </w:tc>
            </w:tr>
          </w:tbl>
          <w:p w14:paraId="5E5F83DB" w14:textId="2F8A06FD" w:rsidR="002C6B01" w:rsidRPr="00671D39" w:rsidRDefault="002C6B01" w:rsidP="002C6B01">
            <w:pPr>
              <w:rPr>
                <w:szCs w:val="22"/>
              </w:rPr>
            </w:pPr>
          </w:p>
        </w:tc>
      </w:tr>
      <w:tr w:rsidR="002C6B01" w:rsidRPr="00BD5DBD" w14:paraId="34B07BA6" w14:textId="77777777" w:rsidTr="009F7D6C">
        <w:tc>
          <w:tcPr>
            <w:tcW w:w="1403" w:type="pct"/>
          </w:tcPr>
          <w:p w14:paraId="4B4B64B0" w14:textId="77777777" w:rsidR="002C6B01" w:rsidRPr="003018B0" w:rsidRDefault="002C6B01" w:rsidP="002C6B01">
            <w:pPr>
              <w:jc w:val="right"/>
              <w:rPr>
                <w:b/>
                <w:bCs/>
                <w:i/>
                <w:szCs w:val="22"/>
              </w:rPr>
            </w:pPr>
          </w:p>
          <w:p w14:paraId="1C039224" w14:textId="174BA025" w:rsidR="002C6B01" w:rsidRPr="003018B0" w:rsidRDefault="002C6B01" w:rsidP="002C6B01">
            <w:pPr>
              <w:jc w:val="right"/>
              <w:rPr>
                <w:b/>
                <w:bCs/>
                <w:i/>
                <w:szCs w:val="22"/>
              </w:rPr>
            </w:pPr>
            <w:r w:rsidRPr="003018B0">
              <w:rPr>
                <w:b/>
                <w:bCs/>
                <w:i/>
                <w:szCs w:val="22"/>
              </w:rPr>
              <w:t>Container:</w:t>
            </w:r>
          </w:p>
        </w:tc>
        <w:tc>
          <w:tcPr>
            <w:tcW w:w="3597" w:type="pct"/>
          </w:tcPr>
          <w:p w14:paraId="666A4E52" w14:textId="77777777" w:rsidR="002C6B01" w:rsidRDefault="002C6B01" w:rsidP="002C6B01">
            <w:pPr>
              <w:rPr>
                <w:szCs w:val="22"/>
              </w:rPr>
            </w:pPr>
          </w:p>
          <w:p w14:paraId="6D040212" w14:textId="6395B561" w:rsidR="002C6B01" w:rsidRPr="000A1CCF" w:rsidRDefault="002C6B01" w:rsidP="002C6B01">
            <w:pPr>
              <w:rPr>
                <w:szCs w:val="22"/>
              </w:rPr>
            </w:pPr>
            <w:r>
              <w:rPr>
                <w:szCs w:val="22"/>
              </w:rPr>
              <w:t>Mounjaro</w:t>
            </w:r>
            <w:r w:rsidRPr="000A1CCF">
              <w:rPr>
                <w:szCs w:val="22"/>
              </w:rPr>
              <w:t xml:space="preserve"> is available in vials and as ready-to-use pre-filled pens</w:t>
            </w:r>
            <w:r>
              <w:rPr>
                <w:szCs w:val="22"/>
              </w:rPr>
              <w:t>:</w:t>
            </w:r>
          </w:p>
          <w:p w14:paraId="4F952A98" w14:textId="6444DD34" w:rsidR="002C6B01" w:rsidRPr="000A1CCF" w:rsidRDefault="002C6B01" w:rsidP="00BC38C2">
            <w:pPr>
              <w:pStyle w:val="ListBullet"/>
            </w:pPr>
            <w:r w:rsidRPr="000A1CCF">
              <w:t>Single-use vial: the product is contained in a clear glass vial (Type I) with a</w:t>
            </w:r>
            <w:r>
              <w:t xml:space="preserve"> </w:t>
            </w:r>
            <w:r w:rsidRPr="000A1CCF">
              <w:t>bromobutyl elastomer stopper.</w:t>
            </w:r>
          </w:p>
          <w:p w14:paraId="288FF4F8" w14:textId="0751D7A6" w:rsidR="002C6B01" w:rsidRPr="000A1CCF" w:rsidRDefault="002C6B01" w:rsidP="002C6B01">
            <w:pPr>
              <w:rPr>
                <w:szCs w:val="22"/>
              </w:rPr>
            </w:pPr>
            <w:r w:rsidRPr="000A1CCF">
              <w:rPr>
                <w:szCs w:val="22"/>
              </w:rPr>
              <w:t>Trade packs of 1 vial and starter packs of 1 vial for the 2.5 mg/0.5 mL presentation.</w:t>
            </w:r>
          </w:p>
          <w:p w14:paraId="105DC286" w14:textId="27CEE956" w:rsidR="002C6B01" w:rsidRPr="000A1CCF" w:rsidRDefault="002C6B01" w:rsidP="00BC38C2">
            <w:pPr>
              <w:pStyle w:val="ListBullet"/>
            </w:pPr>
            <w:r w:rsidRPr="000A1CCF">
              <w:t>Multiple-dose, pre-filled pen (</w:t>
            </w:r>
            <w:proofErr w:type="spellStart"/>
            <w:r w:rsidRPr="000A1CCF">
              <w:t>KwikPen</w:t>
            </w:r>
            <w:proofErr w:type="spellEnd"/>
            <w:r w:rsidRPr="000A1CCF">
              <w:t>): the product is contained in a clear glass</w:t>
            </w:r>
            <w:r>
              <w:t xml:space="preserve"> </w:t>
            </w:r>
            <w:r w:rsidRPr="000A1CCF">
              <w:t>cartridge (Type I) encased in a disposable multiple-dose pen.</w:t>
            </w:r>
          </w:p>
          <w:p w14:paraId="23B0C823" w14:textId="0EF5B8CC" w:rsidR="002C6B01" w:rsidRPr="000A1CCF" w:rsidRDefault="002C6B01" w:rsidP="002C6B01">
            <w:pPr>
              <w:rPr>
                <w:szCs w:val="22"/>
              </w:rPr>
            </w:pPr>
            <w:r w:rsidRPr="000A1CCF">
              <w:rPr>
                <w:szCs w:val="22"/>
              </w:rPr>
              <w:t>Trade packs of 1 pre-filled pen and starter packs of 1 pre-filled pen for the 2.5 mg</w:t>
            </w:r>
            <w:r>
              <w:rPr>
                <w:szCs w:val="22"/>
              </w:rPr>
              <w:t xml:space="preserve"> </w:t>
            </w:r>
            <w:r w:rsidRPr="000A1CCF">
              <w:rPr>
                <w:szCs w:val="22"/>
              </w:rPr>
              <w:t>presentation.</w:t>
            </w:r>
          </w:p>
          <w:p w14:paraId="737EB309" w14:textId="65333862" w:rsidR="002C6B01" w:rsidRPr="000A1CCF" w:rsidRDefault="002C6B01" w:rsidP="00BC38C2">
            <w:pPr>
              <w:pStyle w:val="ListBullet"/>
            </w:pPr>
            <w:r w:rsidRPr="000A1CCF">
              <w:lastRenderedPageBreak/>
              <w:t>Single-use pre-filled pen (autoinjector): the product is</w:t>
            </w:r>
            <w:r>
              <w:t xml:space="preserve"> </w:t>
            </w:r>
            <w:r w:rsidRPr="000A1CCF">
              <w:t>contained in a glass syringe</w:t>
            </w:r>
            <w:r>
              <w:t xml:space="preserve"> </w:t>
            </w:r>
            <w:r w:rsidRPr="000A1CCF">
              <w:t>(Type I) encased in a disposable single-dose pen.</w:t>
            </w:r>
          </w:p>
          <w:p w14:paraId="500A42C6" w14:textId="6C879BB6" w:rsidR="002C6B01" w:rsidRPr="00BD5DBD" w:rsidRDefault="002C6B01" w:rsidP="002C6B01">
            <w:pPr>
              <w:rPr>
                <w:szCs w:val="22"/>
              </w:rPr>
            </w:pPr>
            <w:r w:rsidRPr="000A1CCF">
              <w:rPr>
                <w:szCs w:val="22"/>
              </w:rPr>
              <w:t>Trade packs of 2 or 4 pre-filled pens, and starter packs of 2 pre-filled pens for the</w:t>
            </w:r>
            <w:r>
              <w:rPr>
                <w:szCs w:val="22"/>
              </w:rPr>
              <w:t xml:space="preserve"> </w:t>
            </w:r>
            <w:r w:rsidRPr="000A1CCF">
              <w:rPr>
                <w:szCs w:val="22"/>
              </w:rPr>
              <w:t>2.5mg/0.5mL presentation.</w:t>
            </w:r>
          </w:p>
        </w:tc>
      </w:tr>
      <w:tr w:rsidR="002C6B01" w:rsidRPr="00BD5DBD" w14:paraId="5AFDEED3" w14:textId="77777777" w:rsidTr="009F7D6C">
        <w:tc>
          <w:tcPr>
            <w:tcW w:w="1403" w:type="pct"/>
          </w:tcPr>
          <w:p w14:paraId="03884BD1" w14:textId="3A51F027" w:rsidR="002C6B01" w:rsidRPr="002C6B01" w:rsidRDefault="002C6B01" w:rsidP="009F7D6C">
            <w:pPr>
              <w:jc w:val="right"/>
              <w:rPr>
                <w:b/>
                <w:bCs/>
                <w:i/>
                <w:szCs w:val="22"/>
              </w:rPr>
            </w:pPr>
            <w:r w:rsidRPr="002C6B01">
              <w:rPr>
                <w:b/>
                <w:bCs/>
                <w:i/>
                <w:szCs w:val="22"/>
              </w:rPr>
              <w:lastRenderedPageBreak/>
              <w:t>Route of administration:</w:t>
            </w:r>
          </w:p>
        </w:tc>
        <w:tc>
          <w:tcPr>
            <w:tcW w:w="3597" w:type="pct"/>
          </w:tcPr>
          <w:p w14:paraId="1ED1357E" w14:textId="3241A36E" w:rsidR="002C6B01" w:rsidRPr="00BD5DBD" w:rsidRDefault="002C6B01" w:rsidP="002C6B01">
            <w:pPr>
              <w:rPr>
                <w:szCs w:val="22"/>
              </w:rPr>
            </w:pPr>
            <w:r w:rsidRPr="003A3BE3">
              <w:rPr>
                <w:szCs w:val="22"/>
              </w:rPr>
              <w:t>Subcutaneous</w:t>
            </w:r>
            <w:r>
              <w:rPr>
                <w:szCs w:val="22"/>
              </w:rPr>
              <w:t xml:space="preserve"> </w:t>
            </w:r>
            <w:r w:rsidRPr="003A3BE3">
              <w:rPr>
                <w:szCs w:val="22"/>
              </w:rPr>
              <w:t>administration</w:t>
            </w:r>
          </w:p>
        </w:tc>
      </w:tr>
      <w:tr w:rsidR="002C6B01" w:rsidRPr="00BD5DBD" w14:paraId="70D7E9FA" w14:textId="77777777" w:rsidTr="009F7D6C">
        <w:tc>
          <w:tcPr>
            <w:tcW w:w="1403" w:type="pct"/>
          </w:tcPr>
          <w:p w14:paraId="5ABFFC80" w14:textId="77777777" w:rsidR="002C6B01" w:rsidRPr="00BD5DBD" w:rsidRDefault="002C6B01" w:rsidP="009F7D6C">
            <w:pPr>
              <w:jc w:val="right"/>
              <w:rPr>
                <w:i/>
                <w:szCs w:val="22"/>
              </w:rPr>
            </w:pPr>
            <w:r w:rsidRPr="002C6B01">
              <w:rPr>
                <w:b/>
                <w:bCs/>
                <w:i/>
                <w:szCs w:val="22"/>
              </w:rPr>
              <w:t>Dosage</w:t>
            </w:r>
            <w:r w:rsidRPr="00BD5DBD">
              <w:rPr>
                <w:i/>
                <w:szCs w:val="22"/>
              </w:rPr>
              <w:t>:</w:t>
            </w:r>
          </w:p>
        </w:tc>
        <w:tc>
          <w:tcPr>
            <w:tcW w:w="3597" w:type="pct"/>
          </w:tcPr>
          <w:p w14:paraId="609E1455" w14:textId="77777777" w:rsidR="002C6B01" w:rsidRPr="002C6B01" w:rsidRDefault="002C6B01" w:rsidP="002C6B01">
            <w:pPr>
              <w:spacing w:after="0" w:line="240" w:lineRule="auto"/>
              <w:contextualSpacing/>
              <w:rPr>
                <w:szCs w:val="22"/>
              </w:rPr>
            </w:pPr>
            <w:r w:rsidRPr="002C6B01">
              <w:rPr>
                <w:szCs w:val="22"/>
              </w:rPr>
              <w:t>Type 2 Diabetes Mellitus and Chronic Weight Management</w:t>
            </w:r>
          </w:p>
          <w:p w14:paraId="2B7EDCE4" w14:textId="77777777" w:rsidR="002C6B01" w:rsidRPr="002C6B01" w:rsidRDefault="002C6B01" w:rsidP="002C6B01">
            <w:pPr>
              <w:spacing w:after="0" w:line="240" w:lineRule="auto"/>
              <w:contextualSpacing/>
              <w:rPr>
                <w:szCs w:val="22"/>
              </w:rPr>
            </w:pPr>
            <w:r w:rsidRPr="002C6B01">
              <w:rPr>
                <w:szCs w:val="22"/>
              </w:rPr>
              <w:t>Use in Adults (≥ 18 years)</w:t>
            </w:r>
          </w:p>
          <w:p w14:paraId="3CECF2C4" w14:textId="77777777" w:rsidR="002C6B01" w:rsidRPr="00E063C4" w:rsidRDefault="002C6B01" w:rsidP="00BC38C2">
            <w:pPr>
              <w:pStyle w:val="ListBullet"/>
            </w:pPr>
            <w:r w:rsidRPr="00E063C4">
              <w:t>The starting dose of tirzepatide is 2.5 mg once weekly.</w:t>
            </w:r>
          </w:p>
          <w:p w14:paraId="692A1E2B" w14:textId="77777777" w:rsidR="002C6B01" w:rsidRPr="00E063C4" w:rsidRDefault="002C6B01" w:rsidP="00BC38C2">
            <w:pPr>
              <w:pStyle w:val="ListBullet"/>
            </w:pPr>
            <w:r w:rsidRPr="00E063C4">
              <w:t>After 4 weeks, increase the dose to 5 mg once weekly.</w:t>
            </w:r>
          </w:p>
          <w:p w14:paraId="601D4C9E" w14:textId="0F4EF5DC" w:rsidR="002C6B01" w:rsidRPr="00E063C4" w:rsidRDefault="002C6B01" w:rsidP="00BC38C2">
            <w:pPr>
              <w:pStyle w:val="ListBullet"/>
            </w:pPr>
            <w:r w:rsidRPr="00E063C4">
              <w:t>If needed, dose increases can be made in 2.5 mg increments after a minimum of 4 weeks on the current dose.</w:t>
            </w:r>
          </w:p>
          <w:p w14:paraId="5F1125A2" w14:textId="77777777" w:rsidR="002C6B01" w:rsidRPr="00E063C4" w:rsidRDefault="002C6B01" w:rsidP="00BC38C2">
            <w:pPr>
              <w:pStyle w:val="ListBullet"/>
            </w:pPr>
            <w:r w:rsidRPr="00E063C4">
              <w:t xml:space="preserve">The recommended doses are 5 mg, 10 </w:t>
            </w:r>
            <w:proofErr w:type="gramStart"/>
            <w:r w:rsidRPr="00E063C4">
              <w:t>mg</w:t>
            </w:r>
            <w:proofErr w:type="gramEnd"/>
            <w:r w:rsidRPr="00E063C4">
              <w:t xml:space="preserve"> and 15 mg.</w:t>
            </w:r>
          </w:p>
          <w:p w14:paraId="2FDDA8B2" w14:textId="77777777" w:rsidR="002C6B01" w:rsidRPr="00E063C4" w:rsidRDefault="002C6B01" w:rsidP="00BC38C2">
            <w:pPr>
              <w:pStyle w:val="ListBullet"/>
            </w:pPr>
            <w:r w:rsidRPr="00E063C4">
              <w:t>The 2.5 mg, 7.5 mg and 12.5 mg are not maintenance doses.</w:t>
            </w:r>
          </w:p>
          <w:p w14:paraId="2E6A0E26" w14:textId="77777777" w:rsidR="002C6B01" w:rsidRPr="00E063C4" w:rsidRDefault="002C6B01" w:rsidP="00BC38C2">
            <w:pPr>
              <w:pStyle w:val="ListBullet"/>
            </w:pPr>
            <w:r w:rsidRPr="00E063C4">
              <w:t>The maximum dose of tirzepatide is 15 mg once weekly.</w:t>
            </w:r>
          </w:p>
          <w:p w14:paraId="3D0B2D5C" w14:textId="7358BD7B" w:rsidR="002C6B01" w:rsidRPr="00BD5DBD" w:rsidRDefault="002C6B01" w:rsidP="002C6B01">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refer to the Product Information.</w:t>
            </w:r>
          </w:p>
        </w:tc>
      </w:tr>
      <w:tr w:rsidR="002C6B01" w:rsidRPr="00BD5DBD" w14:paraId="7B7BB6AE" w14:textId="77777777" w:rsidTr="009F7D6C">
        <w:tc>
          <w:tcPr>
            <w:tcW w:w="1403" w:type="pct"/>
          </w:tcPr>
          <w:p w14:paraId="3A76AFF7" w14:textId="7C436DD9" w:rsidR="002C6B01" w:rsidRPr="002C6B01" w:rsidRDefault="002C6B01" w:rsidP="002C6B01">
            <w:pPr>
              <w:jc w:val="right"/>
              <w:rPr>
                <w:b/>
                <w:bCs/>
              </w:rPr>
            </w:pPr>
            <w:r w:rsidRPr="002C6B01">
              <w:rPr>
                <w:b/>
                <w:bCs/>
                <w:i/>
                <w:szCs w:val="22"/>
              </w:rPr>
              <w:t>Pregnancy category:</w:t>
            </w:r>
          </w:p>
        </w:tc>
        <w:tc>
          <w:tcPr>
            <w:tcW w:w="3597" w:type="pct"/>
          </w:tcPr>
          <w:p w14:paraId="5D6E9706" w14:textId="757D7F88" w:rsidR="002C6B01" w:rsidRPr="00000E6E" w:rsidRDefault="002C6B01" w:rsidP="002C6B01">
            <w:r w:rsidRPr="003A3BE3">
              <w:rPr>
                <w:b/>
                <w:bCs/>
              </w:rPr>
              <w:t>Category D</w:t>
            </w:r>
            <w:r>
              <w:t xml:space="preserve">: </w:t>
            </w:r>
            <w:r w:rsidRPr="003A3BE3">
              <w:t>Drugs which have caused, are suspected to have caused or may be expected to cause, an increased incidence of human fetal malformations or irreversible damage. These drugs may also have adverse pharmacological effects.</w:t>
            </w:r>
          </w:p>
          <w:p w14:paraId="76497789" w14:textId="18F56A47" w:rsidR="002C6B01" w:rsidRPr="00BD5DBD" w:rsidRDefault="002C6B01" w:rsidP="002C6B01">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3D7A9959" w14:textId="77777777" w:rsidR="00A9448B" w:rsidRDefault="00A9448B" w:rsidP="00BC38C2">
      <w:r>
        <w:br w:type="page"/>
      </w:r>
    </w:p>
    <w:p w14:paraId="51F2479F" w14:textId="3CCFB5CD" w:rsidR="00324B33" w:rsidRDefault="00671D39" w:rsidP="00BC38C2">
      <w:pPr>
        <w:pStyle w:val="Heading3"/>
      </w:pPr>
      <w:bookmarkStart w:id="10" w:name="_Toc178239593"/>
      <w:proofErr w:type="spellStart"/>
      <w:r>
        <w:lastRenderedPageBreak/>
        <w:t>Mounjaro</w:t>
      </w:r>
      <w:proofErr w:type="spellEnd"/>
      <w:r w:rsidR="00D9340C" w:rsidRPr="00D9340C">
        <w:t xml:space="preserve"> (</w:t>
      </w:r>
      <w:proofErr w:type="spellStart"/>
      <w:r w:rsidR="003A3BE3" w:rsidRPr="003A3BE3">
        <w:t>tirzepatide</w:t>
      </w:r>
      <w:proofErr w:type="spellEnd"/>
      <w:r w:rsidR="003A3BE3" w:rsidRPr="003A3BE3">
        <w:t>)</w:t>
      </w:r>
      <w:r w:rsidR="0013592E">
        <w:t xml:space="preserve"> </w:t>
      </w:r>
      <w:r w:rsidR="006F5366">
        <w:t xml:space="preserve">– </w:t>
      </w:r>
      <w:r w:rsidR="006F5366" w:rsidRPr="00BC38C2">
        <w:t>proposed</w:t>
      </w:r>
      <w:r w:rsidR="006F5366">
        <w:t xml:space="preserve"> indication</w:t>
      </w:r>
      <w:bookmarkEnd w:id="10"/>
    </w:p>
    <w:p w14:paraId="1E421F54" w14:textId="4D359E23" w:rsidR="00121DEE" w:rsidRPr="00B820FE" w:rsidRDefault="00D6563B" w:rsidP="00BC38C2">
      <w:pPr>
        <w:rPr>
          <w:rFonts w:cs="Calibri"/>
          <w:szCs w:val="22"/>
        </w:rPr>
      </w:pPr>
      <w:r w:rsidRPr="00D6563B">
        <w:t>Tirzepatide is a</w:t>
      </w:r>
      <w:r>
        <w:t>n</w:t>
      </w:r>
      <w:r w:rsidRPr="00D6563B">
        <w:t xml:space="preserve"> injectable </w:t>
      </w:r>
      <w:r w:rsidR="00A953C9">
        <w:t>g</w:t>
      </w:r>
      <w:r w:rsidR="00A953C9" w:rsidRPr="00A953C9">
        <w:t>lucagon-like peptide-1</w:t>
      </w:r>
      <w:r w:rsidR="00647AD7">
        <w:t xml:space="preserve"> (</w:t>
      </w:r>
      <w:r w:rsidR="00647AD7" w:rsidRPr="00647AD7">
        <w:t>GLP-1</w:t>
      </w:r>
      <w:r w:rsidR="00647AD7">
        <w:t>)</w:t>
      </w:r>
      <w:r w:rsidR="00A953C9">
        <w:t>/</w:t>
      </w:r>
      <w:r w:rsidR="00CD2A3C">
        <w:t>g</w:t>
      </w:r>
      <w:r w:rsidR="00A953C9" w:rsidRPr="00A953C9">
        <w:t xml:space="preserve">lucose-dependent insulinotropic polypeptide </w:t>
      </w:r>
      <w:r w:rsidR="00A953C9">
        <w:t>(</w:t>
      </w:r>
      <w:r w:rsidR="00A953C9" w:rsidRPr="00A953C9">
        <w:t>GIP</w:t>
      </w:r>
      <w:r w:rsidR="00A953C9">
        <w:t>)</w:t>
      </w:r>
      <w:r w:rsidR="00A953C9" w:rsidRPr="00A953C9">
        <w:t xml:space="preserve"> </w:t>
      </w:r>
      <w:r w:rsidR="00121DEE">
        <w:t xml:space="preserve">synthetic </w:t>
      </w:r>
      <w:r w:rsidR="00A953C9" w:rsidRPr="00A953C9">
        <w:t xml:space="preserve">peptide </w:t>
      </w:r>
      <w:r w:rsidR="001E4F12" w:rsidRPr="001E4F12">
        <w:t xml:space="preserve">receptor </w:t>
      </w:r>
      <w:r w:rsidR="00A953C9" w:rsidRPr="00A953C9">
        <w:t>agonist</w:t>
      </w:r>
      <w:r w:rsidR="00A953C9">
        <w:t>.</w:t>
      </w:r>
    </w:p>
    <w:p w14:paraId="59BF31D1" w14:textId="3EE5D634" w:rsidR="001500A8" w:rsidRDefault="00D6563B" w:rsidP="00BC38C2">
      <w:r>
        <w:t>T</w:t>
      </w:r>
      <w:r w:rsidR="00324B33" w:rsidRPr="00065839">
        <w:t xml:space="preserve">his AusPAR describes the </w:t>
      </w:r>
      <w:r w:rsidR="009A0782" w:rsidRPr="00F75C08">
        <w:t xml:space="preserve">evaluation </w:t>
      </w:r>
      <w:r w:rsidR="009A0782">
        <w:t xml:space="preserve">of the </w:t>
      </w:r>
      <w:r w:rsidR="00324B33" w:rsidRPr="00065839">
        <w:t xml:space="preserve">submission by </w:t>
      </w:r>
      <w:r w:rsidR="003A3BE3" w:rsidRPr="003A3BE3">
        <w:t>Eli Lilly Australia Pty Ltd</w:t>
      </w:r>
      <w:r w:rsidR="00324B33" w:rsidRPr="00065839">
        <w:t xml:space="preserve"> (the </w:t>
      </w:r>
      <w:r w:rsidR="00F46085">
        <w:t>Sponsor</w:t>
      </w:r>
      <w:r w:rsidR="00324B33" w:rsidRPr="00065839">
        <w:t xml:space="preserve">) to register </w:t>
      </w:r>
      <w:r w:rsidR="00671D39">
        <w:t>Mounjaro</w:t>
      </w:r>
      <w:r w:rsidR="003A3BE3" w:rsidRPr="003A3BE3">
        <w:t xml:space="preserve"> (tirzepatide</w:t>
      </w:r>
      <w:r w:rsidR="00647AD7">
        <w:t xml:space="preserve">) </w:t>
      </w:r>
      <w:r w:rsidR="00324B33" w:rsidRPr="00065839">
        <w:t>for the following proposed extension of indications:</w:t>
      </w:r>
    </w:p>
    <w:p w14:paraId="7D9CBA5D" w14:textId="77777777" w:rsidR="003A3BE3" w:rsidRPr="00BC38C2" w:rsidRDefault="003A3BE3" w:rsidP="00BC38C2">
      <w:pPr>
        <w:ind w:left="720"/>
        <w:rPr>
          <w:b/>
          <w:bCs/>
          <w:i/>
          <w:iCs/>
        </w:rPr>
      </w:pPr>
      <w:r w:rsidRPr="00BC38C2">
        <w:rPr>
          <w:b/>
          <w:bCs/>
          <w:i/>
          <w:iCs/>
        </w:rPr>
        <w:t>Chronic Weight Management</w:t>
      </w:r>
    </w:p>
    <w:p w14:paraId="2F807D44" w14:textId="3261990E" w:rsidR="003A3BE3" w:rsidRPr="00BC38C2" w:rsidRDefault="00671D39" w:rsidP="00BC38C2">
      <w:pPr>
        <w:ind w:left="720"/>
        <w:rPr>
          <w:i/>
          <w:iCs/>
        </w:rPr>
      </w:pPr>
      <w:r w:rsidRPr="00BC38C2">
        <w:rPr>
          <w:i/>
          <w:iCs/>
        </w:rPr>
        <w:t>Mounjaro</w:t>
      </w:r>
      <w:r w:rsidR="003A3BE3" w:rsidRPr="00BC38C2">
        <w:rPr>
          <w:i/>
          <w:iCs/>
        </w:rPr>
        <w:t xml:space="preserve"> is indicated as an adjunct to a reduced-calorie diet and increased physical</w:t>
      </w:r>
      <w:r w:rsidR="00BC38C2">
        <w:rPr>
          <w:i/>
          <w:iCs/>
        </w:rPr>
        <w:t xml:space="preserve"> </w:t>
      </w:r>
      <w:r w:rsidR="003A3BE3" w:rsidRPr="00BC38C2">
        <w:rPr>
          <w:i/>
          <w:iCs/>
        </w:rPr>
        <w:t>activity for chronic weight management, including weight loss and weight</w:t>
      </w:r>
      <w:r w:rsidR="00BC38C2">
        <w:rPr>
          <w:i/>
          <w:iCs/>
        </w:rPr>
        <w:t xml:space="preserve"> </w:t>
      </w:r>
      <w:r w:rsidR="003A3BE3" w:rsidRPr="00BC38C2">
        <w:rPr>
          <w:i/>
          <w:iCs/>
        </w:rPr>
        <w:t>maintenance, in adults with an initial body mass index (BMI) of:</w:t>
      </w:r>
    </w:p>
    <w:p w14:paraId="6F525455" w14:textId="467FA36C" w:rsidR="003A3BE3" w:rsidRPr="00BC38C2" w:rsidRDefault="003A3BE3" w:rsidP="00BC38C2">
      <w:pPr>
        <w:pStyle w:val="ListBullet2"/>
        <w:rPr>
          <w:i/>
          <w:iCs/>
        </w:rPr>
      </w:pPr>
      <w:r w:rsidRPr="00BC38C2">
        <w:rPr>
          <w:i/>
          <w:iCs/>
        </w:rPr>
        <w:t>≥30 kg/m</w:t>
      </w:r>
      <w:r w:rsidRPr="00BC38C2">
        <w:rPr>
          <w:i/>
          <w:iCs/>
          <w:vertAlign w:val="superscript"/>
        </w:rPr>
        <w:t>2</w:t>
      </w:r>
      <w:r w:rsidRPr="00BC38C2">
        <w:rPr>
          <w:i/>
          <w:iCs/>
        </w:rPr>
        <w:t xml:space="preserve"> (obesity) or</w:t>
      </w:r>
    </w:p>
    <w:p w14:paraId="6DB1808C" w14:textId="30A960A8" w:rsidR="003A3BE3" w:rsidRPr="00BC38C2" w:rsidRDefault="003A3BE3" w:rsidP="00BC38C2">
      <w:pPr>
        <w:pStyle w:val="ListBullet2"/>
        <w:rPr>
          <w:i/>
          <w:iCs/>
        </w:rPr>
      </w:pPr>
      <w:r w:rsidRPr="00BC38C2">
        <w:rPr>
          <w:i/>
          <w:iCs/>
        </w:rPr>
        <w:t>≥27 kg/m</w:t>
      </w:r>
      <w:r w:rsidRPr="00BC38C2">
        <w:rPr>
          <w:i/>
          <w:iCs/>
          <w:vertAlign w:val="superscript"/>
        </w:rPr>
        <w:t>2</w:t>
      </w:r>
      <w:r w:rsidRPr="00BC38C2">
        <w:rPr>
          <w:i/>
          <w:iCs/>
        </w:rPr>
        <w:t xml:space="preserve"> to &lt;30 kg/m</w:t>
      </w:r>
      <w:r w:rsidRPr="00BC38C2">
        <w:rPr>
          <w:i/>
          <w:iCs/>
          <w:vertAlign w:val="superscript"/>
        </w:rPr>
        <w:t>2</w:t>
      </w:r>
      <w:r w:rsidRPr="00BC38C2">
        <w:rPr>
          <w:i/>
          <w:iCs/>
        </w:rPr>
        <w:t xml:space="preserve"> (overweight) in the presence of at least one weight</w:t>
      </w:r>
      <w:r w:rsidR="00A953C9" w:rsidRPr="00BC38C2">
        <w:rPr>
          <w:i/>
          <w:iCs/>
        </w:rPr>
        <w:t>-</w:t>
      </w:r>
      <w:r w:rsidRPr="00BC38C2">
        <w:rPr>
          <w:i/>
          <w:iCs/>
        </w:rPr>
        <w:t>related</w:t>
      </w:r>
      <w:r w:rsidR="00A953C9" w:rsidRPr="00BC38C2">
        <w:rPr>
          <w:i/>
          <w:iCs/>
        </w:rPr>
        <w:t xml:space="preserve"> </w:t>
      </w:r>
      <w:r w:rsidRPr="00BC38C2">
        <w:rPr>
          <w:i/>
          <w:iCs/>
        </w:rPr>
        <w:t>comorbid condition</w:t>
      </w:r>
      <w:r w:rsidR="00A953C9" w:rsidRPr="00BC38C2">
        <w:rPr>
          <w:i/>
          <w:iCs/>
        </w:rPr>
        <w:t>.</w:t>
      </w:r>
    </w:p>
    <w:p w14:paraId="1E63A2AE" w14:textId="1F4FB156" w:rsidR="00CB6813" w:rsidRDefault="00A953C9" w:rsidP="00BC38C2">
      <w:pPr>
        <w:pStyle w:val="Heading3"/>
      </w:pPr>
      <w:bookmarkStart w:id="11" w:name="_Toc314842485"/>
      <w:bookmarkStart w:id="12" w:name="_Toc247691504"/>
      <w:bookmarkStart w:id="13" w:name="_Toc178239594"/>
      <w:r w:rsidRPr="00BC38C2">
        <w:t>Obesity</w:t>
      </w:r>
      <w:bookmarkEnd w:id="13"/>
    </w:p>
    <w:p w14:paraId="7F2075D3" w14:textId="7D8E5E5E" w:rsidR="00C35521" w:rsidRDefault="00C35521" w:rsidP="00BC38C2">
      <w:r>
        <w:t>Obesity is a common, complex, multi-factorial chronic disease with genetic, environmental, physiological, and behavioural determinants that requires long-term care. Obesity is a risk factor for long term health consequences, many of which represent the top causes of mortality globally</w:t>
      </w:r>
      <w:r w:rsidR="00F75C08">
        <w:rPr>
          <w:rStyle w:val="FootnoteReference"/>
        </w:rPr>
        <w:footnoteReference w:id="2"/>
      </w:r>
      <w:r>
        <w:t>. More than 200 health complications have been associated with obesity, including cardiometabolic, inflammatory, degenerative, mechano-physical, neoplastic, and psychological conditions</w:t>
      </w:r>
      <w:r w:rsidR="00F75C08">
        <w:rPr>
          <w:rStyle w:val="FootnoteReference"/>
        </w:rPr>
        <w:footnoteReference w:id="3"/>
      </w:r>
      <w:r w:rsidR="00F75C08">
        <w:t>.</w:t>
      </w:r>
      <w:r>
        <w:t xml:space="preserve"> Obesity is associated with increased risk of morbidity and mortality, and a decreased quality of life</w:t>
      </w:r>
      <w:r w:rsidR="00F75C08">
        <w:rPr>
          <w:rStyle w:val="FootnoteReference"/>
        </w:rPr>
        <w:footnoteReference w:id="4"/>
      </w:r>
      <w:r>
        <w:t>.</w:t>
      </w:r>
    </w:p>
    <w:p w14:paraId="1B551B5D" w14:textId="63BD4791" w:rsidR="00C35521" w:rsidRDefault="00C35521" w:rsidP="00BC38C2">
      <w:r>
        <w:t xml:space="preserve">The definitions of overweight and obesity used are in line with the World Health Organisation where a BMI </w:t>
      </w:r>
      <w:r w:rsidR="003C5D25">
        <w:t xml:space="preserve">of </w:t>
      </w:r>
      <w:r>
        <w:t xml:space="preserve">25 or more is considered </w:t>
      </w:r>
      <w:r w:rsidR="008B7ABB">
        <w:t>as having</w:t>
      </w:r>
      <w:r>
        <w:t xml:space="preserve"> overweight, and </w:t>
      </w:r>
      <w:r w:rsidR="008B7ABB">
        <w:t xml:space="preserve">BMI of </w:t>
      </w:r>
      <w:r>
        <w:t xml:space="preserve">30 or more is </w:t>
      </w:r>
      <w:r w:rsidR="008B7ABB">
        <w:t xml:space="preserve">having </w:t>
      </w:r>
      <w:r>
        <w:t>obes</w:t>
      </w:r>
      <w:r w:rsidR="008B7ABB">
        <w:t>ity</w:t>
      </w:r>
      <w:r>
        <w:t>, a figure which reflects general adiposity, is measured using the following formula:</w:t>
      </w:r>
    </w:p>
    <w:p w14:paraId="54968362" w14:textId="77777777" w:rsidR="008772E1" w:rsidRDefault="00C35521" w:rsidP="00BC38C2">
      <w:pPr>
        <w:jc w:val="center"/>
      </w:pPr>
      <w:r>
        <w:t>BMI (kg/m</w:t>
      </w:r>
      <w:r w:rsidRPr="00C35521">
        <w:rPr>
          <w:vertAlign w:val="superscript"/>
        </w:rPr>
        <w:t>2</w:t>
      </w:r>
      <w:r>
        <w:t>) = weight (kg)/height (m</w:t>
      </w:r>
      <w:r w:rsidRPr="00C35521">
        <w:rPr>
          <w:vertAlign w:val="superscript"/>
        </w:rPr>
        <w:t>2</w:t>
      </w:r>
      <w:r w:rsidR="008772E1" w:rsidRPr="008772E1">
        <w:t>)</w:t>
      </w:r>
    </w:p>
    <w:p w14:paraId="57164D41" w14:textId="4694C6AC" w:rsidR="00C35521" w:rsidRDefault="00C35521" w:rsidP="00BC38C2">
      <w:r>
        <w:t>Another commonly used measure is waist circumference, which reflects central adiposity.</w:t>
      </w:r>
    </w:p>
    <w:p w14:paraId="0D9E909B" w14:textId="1F6308F9" w:rsidR="00C35521" w:rsidRDefault="00C35521" w:rsidP="00BC38C2">
      <w:r>
        <w:t>Several major studies and meta-analyses have found strong associations between BMI and all-cause mortality with BMI showing a J-shaped association with overall mortality</w:t>
      </w:r>
      <w:r w:rsidR="00F75C08">
        <w:t xml:space="preserve"> </w:t>
      </w:r>
      <w:r>
        <w:t>(Figure 1)</w:t>
      </w:r>
      <w:r w:rsidR="00F75C08">
        <w:t xml:space="preserve">, </w:t>
      </w:r>
      <w:r>
        <w:t>with greater mortality at BMI &lt;20 kg/m</w:t>
      </w:r>
      <w:r w:rsidRPr="00E26441">
        <w:rPr>
          <w:vertAlign w:val="superscript"/>
        </w:rPr>
        <w:t>2</w:t>
      </w:r>
      <w:r>
        <w:t xml:space="preserve"> and &gt;25 kg/m</w:t>
      </w:r>
      <w:r w:rsidRPr="00E26441">
        <w:rPr>
          <w:vertAlign w:val="superscript"/>
        </w:rPr>
        <w:t>2</w:t>
      </w:r>
      <w:r>
        <w:t>. The risk is progressive in the high BMI range and particularly notable for those with severe obesity (BMI ≥ 35 kg/m</w:t>
      </w:r>
      <w:r w:rsidRPr="00E26441">
        <w:rPr>
          <w:vertAlign w:val="superscript"/>
        </w:rPr>
        <w:t>2</w:t>
      </w:r>
      <w:r>
        <w:t>)</w:t>
      </w:r>
      <w:r w:rsidR="00A9448B">
        <w:t xml:space="preserve">. </w:t>
      </w:r>
      <w:r>
        <w:t xml:space="preserve">In patients older than 65, a higher waist circumference is a predictor of decreased survival, but a higher BMI is not. </w:t>
      </w:r>
    </w:p>
    <w:p w14:paraId="3644AF30" w14:textId="22B799AA" w:rsidR="00DA77B3" w:rsidRDefault="00946249" w:rsidP="00BC38C2">
      <w:pPr>
        <w:pStyle w:val="FigureTitle"/>
      </w:pPr>
      <w:r>
        <w:lastRenderedPageBreak/>
        <w:t xml:space="preserve">Figure 1. All-cause </w:t>
      </w:r>
      <w:r w:rsidRPr="00BC38C2">
        <w:t>mortality</w:t>
      </w:r>
      <w:r>
        <w:t xml:space="preserve"> vs. BMI </w:t>
      </w:r>
      <w:r w:rsidR="007A7EAC">
        <w:t>in the range 15 to 50 kg/m</w:t>
      </w:r>
      <w:r w:rsidR="007A7EAC" w:rsidRPr="007A7EAC">
        <w:rPr>
          <w:vertAlign w:val="superscript"/>
        </w:rPr>
        <w:t>2</w:t>
      </w:r>
      <w:r w:rsidR="007A7EAC">
        <w:t xml:space="preserve"> (excluding the first 5 years of follow-up)</w:t>
      </w:r>
      <w:r w:rsidR="00E704CC">
        <w:rPr>
          <w:rStyle w:val="FootnoteReference"/>
        </w:rPr>
        <w:footnoteReference w:id="5"/>
      </w:r>
    </w:p>
    <w:p w14:paraId="3CC1678A" w14:textId="2D9C26D6" w:rsidR="006A3DB1" w:rsidRDefault="004254CE" w:rsidP="00BC38C2">
      <w:r>
        <w:rPr>
          <w:noProof/>
        </w:rPr>
        <w:drawing>
          <wp:inline distT="0" distB="0" distL="0" distR="0" wp14:anchorId="5A8A9DC8" wp14:editId="43D4B0E4">
            <wp:extent cx="5763491" cy="6277211"/>
            <wp:effectExtent l="0" t="0" r="8890" b="0"/>
            <wp:docPr id="430850725" name="Picture 2" descr="Figure 1. All-cause mortality vs. BMI in the range 15 to 50 kg/m2 (excluding the first 5 years of follow-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50725" name="Picture 2" descr="Figure 1. All-cause mortality vs. BMI in the range 15 to 50 kg/m2 (excluding the first 5 years of follow-up) "/>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16479" t="9576" r="17367" b="35956"/>
                    <a:stretch/>
                  </pic:blipFill>
                  <pic:spPr bwMode="auto">
                    <a:xfrm>
                      <a:off x="0" y="0"/>
                      <a:ext cx="5785037" cy="6300677"/>
                    </a:xfrm>
                    <a:prstGeom prst="rect">
                      <a:avLst/>
                    </a:prstGeom>
                    <a:ln>
                      <a:noFill/>
                    </a:ln>
                    <a:extLst>
                      <a:ext uri="{53640926-AAD7-44D8-BBD7-CCE9431645EC}">
                        <a14:shadowObscured xmlns:a14="http://schemas.microsoft.com/office/drawing/2010/main"/>
                      </a:ext>
                    </a:extLst>
                  </pic:spPr>
                </pic:pic>
              </a:graphicData>
            </a:graphic>
          </wp:inline>
        </w:drawing>
      </w:r>
    </w:p>
    <w:p w14:paraId="171E438E" w14:textId="0156946D" w:rsidR="00C35521" w:rsidRDefault="00C35521" w:rsidP="00BC38C2">
      <w:r>
        <w:t xml:space="preserve">According to the latest available data from 2018, the Australian Institute of Health and Welfare has estimated that 31% of Australians </w:t>
      </w:r>
      <w:r w:rsidR="00B36881">
        <w:t xml:space="preserve">have </w:t>
      </w:r>
      <w:r>
        <w:t>obes</w:t>
      </w:r>
      <w:r w:rsidR="00B36881">
        <w:t>ity</w:t>
      </w:r>
      <w:r>
        <w:t xml:space="preserve"> and 36% </w:t>
      </w:r>
      <w:r w:rsidR="00B36881">
        <w:t>have</w:t>
      </w:r>
      <w:r>
        <w:t xml:space="preserve"> overweight but not obes</w:t>
      </w:r>
      <w:r w:rsidR="00B36881">
        <w:t>ity</w:t>
      </w:r>
      <w:r>
        <w:t xml:space="preserve">. In the Indigenous population the rates are higher; 45% living with obesity, and 40% overweight, </w:t>
      </w:r>
      <w:r w:rsidR="001B28F4">
        <w:t>without</w:t>
      </w:r>
      <w:r>
        <w:t xml:space="preserve"> obes</w:t>
      </w:r>
      <w:r w:rsidR="00B36881">
        <w:t>ity</w:t>
      </w:r>
      <w:r w:rsidR="00283F05">
        <w:rPr>
          <w:rStyle w:val="FootnoteReference"/>
        </w:rPr>
        <w:footnoteReference w:id="6"/>
      </w:r>
      <w:r>
        <w:t>.</w:t>
      </w:r>
    </w:p>
    <w:p w14:paraId="7F126FBB" w14:textId="290D61DE" w:rsidR="00C35521" w:rsidRDefault="00C35521" w:rsidP="00BC38C2">
      <w:r>
        <w:t xml:space="preserve">Furthermore, 60% of adult men and 66% of adult women have a waist circumference that indicated an increased or substantially increased risk of metabolic complications. Overweight </w:t>
      </w:r>
      <w:r>
        <w:lastRenderedPageBreak/>
        <w:t>and obesity also have financial impacts. Generally, a higher level of obesity was associated with higher probability of health service use</w:t>
      </w:r>
      <w:r w:rsidR="001E4F12">
        <w:t xml:space="preserve"> </w:t>
      </w:r>
      <w:r>
        <w:t>and work productivity loss</w:t>
      </w:r>
      <w:r w:rsidR="001E4F12">
        <w:t xml:space="preserve">. Both </w:t>
      </w:r>
      <w:r>
        <w:t>were higher with increasing levels of obesity</w:t>
      </w:r>
      <w:r w:rsidR="00283F05">
        <w:rPr>
          <w:rStyle w:val="FootnoteReference"/>
        </w:rPr>
        <w:footnoteReference w:id="7"/>
      </w:r>
      <w:r>
        <w:t>. In 2018, obesity cost the Australian community and estimated 11.8 billion dollars, with the expectation of increasing costs over time</w:t>
      </w:r>
      <w:r w:rsidR="00283F05">
        <w:rPr>
          <w:rStyle w:val="FootnoteReference"/>
        </w:rPr>
        <w:footnoteReference w:id="8"/>
      </w:r>
      <w:r>
        <w:t>.</w:t>
      </w:r>
    </w:p>
    <w:p w14:paraId="74320142" w14:textId="53D37B1E" w:rsidR="00C35521" w:rsidRPr="00C35521" w:rsidRDefault="00C35521" w:rsidP="00BC38C2">
      <w:r>
        <w:t>Weight loss in people with obesity has proven medical benefits in reducing the risk of diabetes and other obesity-related complications. The goal of therapy is to prevent, treat, or reverse the complications of obesity and improve quality of life. While improvements in glycaemia and triglycerides begin at 3% and improvements in lipid and blood pressure at 5%, larger weight losses may be needed to produce benefits in some conditions such as obstructive sleep apnoea and non-alcoholic steatotic hepatitis. If sustained weight loss of &gt; 15% is achievable, greater health benefits are likely to be seen as well as patients with obesity being more satisfied with the outcome</w:t>
      </w:r>
      <w:r w:rsidR="00283F05">
        <w:rPr>
          <w:rStyle w:val="FootnoteReference"/>
        </w:rPr>
        <w:footnoteReference w:id="9"/>
      </w:r>
      <w:r w:rsidR="000D7B66">
        <w:t>.</w:t>
      </w:r>
    </w:p>
    <w:p w14:paraId="255E083A" w14:textId="2445C0F7" w:rsidR="00CB6813" w:rsidRDefault="00CB6813" w:rsidP="00BC38C2">
      <w:pPr>
        <w:pStyle w:val="Heading3"/>
      </w:pPr>
      <w:bookmarkStart w:id="14" w:name="_Toc178239595"/>
      <w:r>
        <w:t>Current treatment options</w:t>
      </w:r>
      <w:r w:rsidR="0013592E">
        <w:t xml:space="preserve"> for </w:t>
      </w:r>
      <w:r w:rsidR="00E26441">
        <w:t>obesity</w:t>
      </w:r>
      <w:bookmarkEnd w:id="14"/>
    </w:p>
    <w:p w14:paraId="0CCC45A3" w14:textId="7E0348FA" w:rsidR="00E26441" w:rsidRDefault="00E26441" w:rsidP="00BC38C2">
      <w:pPr>
        <w:pStyle w:val="Heading4"/>
      </w:pPr>
      <w:bookmarkStart w:id="15" w:name="_Toc178239596"/>
      <w:r>
        <w:t>Non-pharmacological management</w:t>
      </w:r>
      <w:bookmarkEnd w:id="15"/>
    </w:p>
    <w:p w14:paraId="139836B7" w14:textId="3517B863" w:rsidR="00E26441" w:rsidRDefault="00E26441" w:rsidP="00BC38C2">
      <w:r>
        <w:t>All patients should receive advice regarding diet</w:t>
      </w:r>
      <w:r w:rsidR="001E4F12">
        <w:t xml:space="preserve"> </w:t>
      </w:r>
      <w:r>
        <w:t>and exercise, including structured programs. Diets include low-calorie, low-fat/low-calorie, moderate-fat/low-calorie, or low-carbohydrate diets, and may include meal replacement regimens, such as very low energy diet products. Diets can be consumed conventionally or on a time-restricted basis (intermittent fasting). Behavioural techniques may also be beneficial. The behavioural modification component facilitates adherence to diet and exercise regimens, and includes regular self-monitoring of food intake, physical activity, and weight. With non-pharmacological management, weight loss of 5</w:t>
      </w:r>
      <w:r w:rsidR="001E4F12">
        <w:t>%</w:t>
      </w:r>
      <w:r>
        <w:t xml:space="preserve"> to 10% is typical but difficult to maintain</w:t>
      </w:r>
      <w:r w:rsidR="00671D39">
        <w:rPr>
          <w:rStyle w:val="FootnoteReference"/>
        </w:rPr>
        <w:footnoteReference w:id="10"/>
      </w:r>
      <w:r>
        <w:t>.</w:t>
      </w:r>
    </w:p>
    <w:p w14:paraId="5177BC4F" w14:textId="5B74329E" w:rsidR="00E26441" w:rsidRDefault="00E26441" w:rsidP="00BC38C2">
      <w:pPr>
        <w:pStyle w:val="Heading4"/>
      </w:pPr>
      <w:bookmarkStart w:id="16" w:name="_Toc178239597"/>
      <w:r>
        <w:t>Pharmacological management</w:t>
      </w:r>
      <w:bookmarkEnd w:id="16"/>
    </w:p>
    <w:p w14:paraId="20287520" w14:textId="558DB85C" w:rsidR="00E26441" w:rsidRDefault="00E26441" w:rsidP="00BC38C2">
      <w:r>
        <w:t>For optimal weight loss, drug therapy should be used alongside non-pharmacological management</w:t>
      </w:r>
      <w:r w:rsidR="00237029">
        <w:rPr>
          <w:rStyle w:val="FootnoteReference"/>
        </w:rPr>
        <w:footnoteReference w:id="11"/>
      </w:r>
      <w:r>
        <w:t>. The choice of anti-obesity drug depends upon medication efficacy and adverse effects, patient</w:t>
      </w:r>
      <w:r w:rsidR="00D508E5">
        <w:t xml:space="preserve"> </w:t>
      </w:r>
      <w:r>
        <w:t xml:space="preserve">comorbidities and preferences, and costs and availability. The following options have been indicated for </w:t>
      </w:r>
      <w:r w:rsidR="006C0E6D">
        <w:t xml:space="preserve">patients with </w:t>
      </w:r>
      <w:r>
        <w:t>obes</w:t>
      </w:r>
      <w:r w:rsidR="006C0E6D">
        <w:t>ity</w:t>
      </w:r>
      <w:r>
        <w:t xml:space="preserve"> or overweight in Australia:</w:t>
      </w:r>
    </w:p>
    <w:p w14:paraId="3884ED6E" w14:textId="767F7B4E" w:rsidR="008772E1" w:rsidRDefault="00E26441" w:rsidP="00BC38C2">
      <w:r w:rsidRPr="000D7B66">
        <w:t xml:space="preserve">Orlistat is a selective inhibitor of </w:t>
      </w:r>
      <w:r w:rsidR="001E4F12" w:rsidRPr="000D7B66">
        <w:t>gastrointestinal (</w:t>
      </w:r>
      <w:r w:rsidRPr="000D7B66">
        <w:t>GI</w:t>
      </w:r>
      <w:r w:rsidR="001E4F12" w:rsidRPr="000D7B66">
        <w:t>)</w:t>
      </w:r>
      <w:r w:rsidRPr="000D7B66">
        <w:t xml:space="preserve"> lipase activity and reduces the absorption of dietary fat. According to the product </w:t>
      </w:r>
      <w:r w:rsidR="001E4F12" w:rsidRPr="000D7B66">
        <w:t xml:space="preserve">information (PI) </w:t>
      </w:r>
      <w:r w:rsidRPr="000D7B66">
        <w:t>for both Prolistat and Xenical, orlistat i</w:t>
      </w:r>
      <w:r w:rsidR="00BC38C2">
        <w:t>s:</w:t>
      </w:r>
    </w:p>
    <w:p w14:paraId="4B220F63" w14:textId="69862C32" w:rsidR="00E26441" w:rsidRPr="00BC38C2" w:rsidRDefault="00E26441" w:rsidP="00BC38C2">
      <w:pPr>
        <w:ind w:left="720"/>
        <w:rPr>
          <w:i/>
          <w:iCs/>
        </w:rPr>
      </w:pPr>
      <w:r w:rsidRPr="00BC38C2">
        <w:rPr>
          <w:i/>
          <w:iCs/>
        </w:rPr>
        <w:lastRenderedPageBreak/>
        <w:t>“</w:t>
      </w:r>
      <w:proofErr w:type="gramStart"/>
      <w:r w:rsidRPr="00BC38C2">
        <w:rPr>
          <w:i/>
          <w:iCs/>
        </w:rPr>
        <w:t>indicated</w:t>
      </w:r>
      <w:proofErr w:type="gramEnd"/>
      <w:r w:rsidRPr="00BC38C2">
        <w:rPr>
          <w:i/>
          <w:iCs/>
        </w:rPr>
        <w:t xml:space="preserve"> for the treatment of obese patients with a body mass index (BMI) ≥ 30, and overweight patients with a BMI ≥ 27 in the presence of other risk factors, in conjunction with a mildly hypocaloric diet”.</w:t>
      </w:r>
    </w:p>
    <w:p w14:paraId="3EC72668" w14:textId="04899BBE" w:rsidR="008772E1" w:rsidRDefault="00E26441" w:rsidP="00BC38C2">
      <w:r w:rsidRPr="000D7B66">
        <w:t>Phentermine</w:t>
      </w:r>
      <w:r w:rsidR="00626946" w:rsidRPr="000D7B66">
        <w:t xml:space="preserve"> is </w:t>
      </w:r>
      <w:r w:rsidRPr="000D7B66">
        <w:t>a sympathomimetic agent that suppresses appetite. According to the product PIs for the numerous phentermine products available in Australia, it is</w:t>
      </w:r>
      <w:r w:rsidR="00BC38C2">
        <w:t>:</w:t>
      </w:r>
    </w:p>
    <w:p w14:paraId="74B51CBB" w14:textId="3690AF9A" w:rsidR="00E26441" w:rsidRPr="00BC38C2" w:rsidRDefault="008772E1" w:rsidP="00BC38C2">
      <w:pPr>
        <w:ind w:left="720"/>
        <w:rPr>
          <w:i/>
          <w:iCs/>
        </w:rPr>
      </w:pPr>
      <w:r w:rsidRPr="00BC38C2">
        <w:rPr>
          <w:i/>
          <w:iCs/>
        </w:rPr>
        <w:t>“</w:t>
      </w:r>
      <w:proofErr w:type="gramStart"/>
      <w:r w:rsidR="00E26441" w:rsidRPr="00BC38C2">
        <w:rPr>
          <w:i/>
          <w:iCs/>
        </w:rPr>
        <w:t>an</w:t>
      </w:r>
      <w:proofErr w:type="gramEnd"/>
      <w:r w:rsidR="00E26441" w:rsidRPr="00BC38C2">
        <w:rPr>
          <w:i/>
          <w:iCs/>
        </w:rPr>
        <w:t xml:space="preserve"> anorectic agent indicated in the management of obesity as a short-term adjunct in a medically monitored comprehensive regimen of weight reduction based, for example, on exercise, diet (caloric/kilojoule restriction) and behaviour modification in obese patients with a BMI</w:t>
      </w:r>
      <w:r w:rsidR="001E4F12" w:rsidRPr="00BC38C2">
        <w:rPr>
          <w:i/>
          <w:iCs/>
        </w:rPr>
        <w:t xml:space="preserve"> </w:t>
      </w:r>
      <w:r w:rsidR="00E26441" w:rsidRPr="00BC38C2">
        <w:rPr>
          <w:i/>
          <w:iCs/>
        </w:rPr>
        <w:t>of 30 kg/m</w:t>
      </w:r>
      <w:r w:rsidR="00E26441" w:rsidRPr="00BC38C2">
        <w:rPr>
          <w:i/>
          <w:iCs/>
          <w:vertAlign w:val="superscript"/>
        </w:rPr>
        <w:t>2</w:t>
      </w:r>
      <w:r w:rsidR="00E26441" w:rsidRPr="00BC38C2">
        <w:rPr>
          <w:i/>
          <w:iCs/>
        </w:rPr>
        <w:t xml:space="preserve"> or greater. It can also be initiated in overweight patients with a lower BMI (25 to 29.9 kg/m</w:t>
      </w:r>
      <w:r w:rsidR="00E26441" w:rsidRPr="00BC38C2">
        <w:rPr>
          <w:i/>
          <w:iCs/>
          <w:vertAlign w:val="superscript"/>
        </w:rPr>
        <w:t>2</w:t>
      </w:r>
      <w:r w:rsidR="00E26441" w:rsidRPr="00BC38C2">
        <w:rPr>
          <w:i/>
          <w:iCs/>
        </w:rPr>
        <w:t>) if there is a higher risk due to comorbidities</w:t>
      </w:r>
      <w:r w:rsidRPr="00BC38C2">
        <w:rPr>
          <w:i/>
          <w:iCs/>
        </w:rPr>
        <w:t>”</w:t>
      </w:r>
      <w:r w:rsidR="00E26441" w:rsidRPr="00BC38C2">
        <w:rPr>
          <w:i/>
          <w:iCs/>
        </w:rPr>
        <w:t>.</w:t>
      </w:r>
    </w:p>
    <w:p w14:paraId="0042E972" w14:textId="4BCBF287" w:rsidR="008772E1" w:rsidRDefault="00E26441" w:rsidP="00BC38C2">
      <w:r w:rsidRPr="000D7B66">
        <w:t>Naltrexone-bupropion has been proposed to work in multiple pathways in the brain, including an increase in the firing rate of hypothalamic pro-opiomelanocortin neurons which are associated with the regulation of appetite. According to the product PI, it is</w:t>
      </w:r>
      <w:r w:rsidR="00BC38C2">
        <w:t>:</w:t>
      </w:r>
    </w:p>
    <w:p w14:paraId="631C34FB" w14:textId="53248B28" w:rsidR="00E26441" w:rsidRPr="00BC38C2" w:rsidRDefault="00E26441" w:rsidP="00BC38C2">
      <w:pPr>
        <w:ind w:left="720"/>
        <w:rPr>
          <w:i/>
          <w:iCs/>
        </w:rPr>
      </w:pPr>
      <w:r w:rsidRPr="00BC38C2">
        <w:rPr>
          <w:i/>
          <w:iCs/>
        </w:rPr>
        <w:t xml:space="preserve">“indicated, as an adjunct to a reduced-calorie diet and increased physical activity, for the management of weight in adult patients (≥18 years) with an initial </w:t>
      </w:r>
      <w:r w:rsidR="008772E1" w:rsidRPr="00BC38C2">
        <w:rPr>
          <w:i/>
          <w:iCs/>
        </w:rPr>
        <w:t>b</w:t>
      </w:r>
      <w:r w:rsidRPr="00BC38C2">
        <w:rPr>
          <w:i/>
          <w:iCs/>
        </w:rPr>
        <w:t xml:space="preserve">ody </w:t>
      </w:r>
      <w:r w:rsidR="008772E1" w:rsidRPr="00BC38C2">
        <w:rPr>
          <w:i/>
          <w:iCs/>
        </w:rPr>
        <w:t>m</w:t>
      </w:r>
      <w:r w:rsidRPr="00BC38C2">
        <w:rPr>
          <w:i/>
          <w:iCs/>
        </w:rPr>
        <w:t>ass</w:t>
      </w:r>
      <w:r w:rsidR="008772E1" w:rsidRPr="00BC38C2">
        <w:rPr>
          <w:i/>
          <w:iCs/>
        </w:rPr>
        <w:t xml:space="preserve"> i</w:t>
      </w:r>
      <w:r w:rsidRPr="00BC38C2">
        <w:rPr>
          <w:i/>
          <w:iCs/>
        </w:rPr>
        <w:t>ndex (BMI) of ≥ 30 kg/m</w:t>
      </w:r>
      <w:r w:rsidRPr="00BC38C2">
        <w:rPr>
          <w:i/>
          <w:iCs/>
          <w:vertAlign w:val="superscript"/>
        </w:rPr>
        <w:t>2</w:t>
      </w:r>
      <w:r w:rsidRPr="00BC38C2">
        <w:rPr>
          <w:i/>
          <w:iCs/>
        </w:rPr>
        <w:t xml:space="preserve"> (obese), or </w:t>
      </w:r>
      <w:r w:rsidR="008772E1" w:rsidRPr="00BC38C2">
        <w:rPr>
          <w:i/>
          <w:iCs/>
        </w:rPr>
        <w:t xml:space="preserve"> </w:t>
      </w:r>
      <w:r w:rsidRPr="00BC38C2">
        <w:rPr>
          <w:i/>
          <w:iCs/>
        </w:rPr>
        <w:t>≥27 kg/m</w:t>
      </w:r>
      <w:r w:rsidRPr="00BC38C2">
        <w:rPr>
          <w:i/>
          <w:iCs/>
          <w:vertAlign w:val="superscript"/>
        </w:rPr>
        <w:t>2</w:t>
      </w:r>
      <w:r w:rsidRPr="00BC38C2">
        <w:rPr>
          <w:i/>
          <w:iCs/>
        </w:rPr>
        <w:t xml:space="preserve"> to &lt; 30 kg/m</w:t>
      </w:r>
      <w:r w:rsidRPr="00BC38C2">
        <w:rPr>
          <w:i/>
          <w:iCs/>
          <w:vertAlign w:val="superscript"/>
        </w:rPr>
        <w:t>2</w:t>
      </w:r>
      <w:r w:rsidRPr="00BC38C2">
        <w:rPr>
          <w:i/>
          <w:iCs/>
        </w:rPr>
        <w:t xml:space="preserve"> (overweight) in the presence of one or more weight-related co-morbidities (e.g., type 2 diabetes, dyslipidaemia, or controlled hypertension). Treatment should be discontinued after 16 weeks if patients have not lost at least 5% of their initial body weight.”</w:t>
      </w:r>
    </w:p>
    <w:p w14:paraId="7A966F7E" w14:textId="24DA5E94" w:rsidR="008772E1" w:rsidRDefault="00E26441" w:rsidP="00BC38C2">
      <w:r w:rsidRPr="000D7B66">
        <w:t>Liraglutide</w:t>
      </w:r>
      <w:r w:rsidR="00626946" w:rsidRPr="000D7B66">
        <w:t xml:space="preserve"> and </w:t>
      </w:r>
      <w:r w:rsidRPr="000D7B66">
        <w:t xml:space="preserve">semaglutide act as a GLP-1 </w:t>
      </w:r>
      <w:r w:rsidR="00EB12D2">
        <w:t>receptor</w:t>
      </w:r>
      <w:r w:rsidRPr="000D7B66">
        <w:t xml:space="preserve"> agonist. According to the product PIs</w:t>
      </w:r>
      <w:r w:rsidR="00626946" w:rsidRPr="000D7B66">
        <w:t xml:space="preserve">, </w:t>
      </w:r>
      <w:r w:rsidRPr="000D7B66">
        <w:t>they are</w:t>
      </w:r>
      <w:r w:rsidR="00BC38C2">
        <w:t>:</w:t>
      </w:r>
    </w:p>
    <w:p w14:paraId="4C29758C" w14:textId="686B12DA" w:rsidR="00E26441" w:rsidRPr="00BC38C2" w:rsidRDefault="00E26441" w:rsidP="00BC38C2">
      <w:pPr>
        <w:ind w:left="720"/>
        <w:rPr>
          <w:i/>
          <w:iCs/>
        </w:rPr>
      </w:pPr>
      <w:r w:rsidRPr="00BC38C2">
        <w:rPr>
          <w:i/>
          <w:iCs/>
        </w:rPr>
        <w:t>“</w:t>
      </w:r>
      <w:proofErr w:type="gramStart"/>
      <w:r w:rsidRPr="00BC38C2">
        <w:rPr>
          <w:i/>
          <w:iCs/>
        </w:rPr>
        <w:t>indicated</w:t>
      </w:r>
      <w:proofErr w:type="gramEnd"/>
      <w:r w:rsidRPr="00BC38C2">
        <w:rPr>
          <w:i/>
          <w:iCs/>
        </w:rPr>
        <w:t xml:space="preserve"> as an adjunct to a reduced-energy diet and increased physical activity for chronic weight management (including weight loss and weight maintenance) in adults with an initial BMI</w:t>
      </w:r>
      <w:r w:rsidR="001E4F12" w:rsidRPr="00BC38C2">
        <w:rPr>
          <w:i/>
          <w:iCs/>
        </w:rPr>
        <w:t xml:space="preserve"> </w:t>
      </w:r>
      <w:r w:rsidRPr="00BC38C2">
        <w:rPr>
          <w:i/>
          <w:iCs/>
        </w:rPr>
        <w:t>of ≥30 kg/m</w:t>
      </w:r>
      <w:r w:rsidRPr="00BC38C2">
        <w:rPr>
          <w:i/>
          <w:iCs/>
          <w:vertAlign w:val="superscript"/>
        </w:rPr>
        <w:t>2</w:t>
      </w:r>
      <w:r w:rsidRPr="00BC38C2">
        <w:rPr>
          <w:i/>
          <w:iCs/>
        </w:rPr>
        <w:t xml:space="preserve"> (obesity), or ≥27 kg/m</w:t>
      </w:r>
      <w:r w:rsidRPr="00BC38C2">
        <w:rPr>
          <w:i/>
          <w:iCs/>
          <w:vertAlign w:val="superscript"/>
        </w:rPr>
        <w:t>2</w:t>
      </w:r>
      <w:r w:rsidRPr="00BC38C2">
        <w:rPr>
          <w:i/>
          <w:iCs/>
        </w:rPr>
        <w:t xml:space="preserve"> to &lt;30 kg/m</w:t>
      </w:r>
      <w:r w:rsidRPr="00BC38C2">
        <w:rPr>
          <w:i/>
          <w:iCs/>
          <w:vertAlign w:val="superscript"/>
        </w:rPr>
        <w:t>2</w:t>
      </w:r>
      <w:r w:rsidRPr="00BC38C2">
        <w:rPr>
          <w:i/>
          <w:iCs/>
        </w:rPr>
        <w:t xml:space="preserve"> (overweight) in the presence of at least one weight related comorbidity</w:t>
      </w:r>
      <w:r w:rsidR="00626946" w:rsidRPr="00BC38C2">
        <w:rPr>
          <w:i/>
          <w:iCs/>
        </w:rPr>
        <w:t>”</w:t>
      </w:r>
      <w:r w:rsidRPr="00BC38C2">
        <w:rPr>
          <w:i/>
          <w:iCs/>
        </w:rPr>
        <w:t>.</w:t>
      </w:r>
    </w:p>
    <w:p w14:paraId="6D8F5911" w14:textId="488762F3" w:rsidR="00E26441" w:rsidRDefault="00E26441" w:rsidP="00BC38C2">
      <w:pPr>
        <w:pStyle w:val="Heading4"/>
      </w:pPr>
      <w:bookmarkStart w:id="17" w:name="_Toc178239598"/>
      <w:r>
        <w:t>Bariatric surgery</w:t>
      </w:r>
      <w:bookmarkEnd w:id="17"/>
    </w:p>
    <w:p w14:paraId="0206BB21" w14:textId="23EF908E" w:rsidR="00E26441" w:rsidRDefault="00E26441" w:rsidP="00BC38C2">
      <w:r>
        <w:t>Bariatric surgery is an effective strategy for weight reduction for people with severe obesity (BMI ≥ 35.0 kg m</w:t>
      </w:r>
      <w:r w:rsidRPr="00E063C4">
        <w:rPr>
          <w:vertAlign w:val="superscript"/>
        </w:rPr>
        <w:t>2</w:t>
      </w:r>
      <w:r>
        <w:t>), and long-term studies demonstrate that it is associated with improvements in several CVD risk factors</w:t>
      </w:r>
      <w:r w:rsidR="002443C8">
        <w:rPr>
          <w:rStyle w:val="FootnoteReference"/>
        </w:rPr>
        <w:footnoteReference w:id="12"/>
      </w:r>
      <w:r>
        <w:t>. Procedures such as adjustable gastric banding, Roux-en-Y gastric bypass and sleeve gastrectomy occur. Surgery typically is reserved for patients with BMIs &gt; 40 kg/m</w:t>
      </w:r>
      <w:r w:rsidRPr="00E063C4">
        <w:rPr>
          <w:vertAlign w:val="superscript"/>
        </w:rPr>
        <w:t>2</w:t>
      </w:r>
      <w:r>
        <w:t xml:space="preserve"> or a BMI &gt; 35 kg/m</w:t>
      </w:r>
      <w:r w:rsidRPr="00E063C4">
        <w:rPr>
          <w:vertAlign w:val="superscript"/>
        </w:rPr>
        <w:t>2</w:t>
      </w:r>
      <w:r>
        <w:t xml:space="preserve"> with relevant comorbidities. Careful selection of patients is essential to both reduce the risk of peri- and post-operative complications and to also ensure favourable weight loss outcomes</w:t>
      </w:r>
      <w:r w:rsidR="00A9448B">
        <w:t xml:space="preserve">. </w:t>
      </w:r>
      <w:r>
        <w:t>Bariatric surgical approaches can achieve up to 40 percent weight loss at 12 to 18 months post-procedure, generally with better long-term weight loss maintenance than nonsurgical approaches.</w:t>
      </w:r>
    </w:p>
    <w:p w14:paraId="70E0F249" w14:textId="627F65CF" w:rsidR="00CD2A3C" w:rsidRDefault="00CD2A3C" w:rsidP="00BC38C2">
      <w:pPr>
        <w:pStyle w:val="Heading3"/>
      </w:pPr>
      <w:bookmarkStart w:id="18" w:name="_Toc178239599"/>
      <w:r>
        <w:t xml:space="preserve">Clinical </w:t>
      </w:r>
      <w:r w:rsidR="00E056A4">
        <w:t>r</w:t>
      </w:r>
      <w:r>
        <w:t xml:space="preserve">ationale for </w:t>
      </w:r>
      <w:proofErr w:type="spellStart"/>
      <w:r w:rsidR="00671D39" w:rsidRPr="00BC38C2">
        <w:t>Mounjaro</w:t>
      </w:r>
      <w:proofErr w:type="spellEnd"/>
      <w:r>
        <w:t xml:space="preserve"> use in </w:t>
      </w:r>
      <w:proofErr w:type="gramStart"/>
      <w:r>
        <w:t>obesity</w:t>
      </w:r>
      <w:bookmarkEnd w:id="18"/>
      <w:proofErr w:type="gramEnd"/>
    </w:p>
    <w:p w14:paraId="2F2C5735" w14:textId="703BB0D6" w:rsidR="00EC128E" w:rsidRDefault="00CD2A3C" w:rsidP="00BC38C2">
      <w:pPr>
        <w:rPr>
          <w:rFonts w:ascii="TimesNewRomanPSMT" w:hAnsi="TimesNewRomanPSMT" w:cs="TimesNewRomanPSMT"/>
          <w:color w:val="000000"/>
          <w:sz w:val="24"/>
          <w:szCs w:val="24"/>
        </w:rPr>
      </w:pPr>
      <w:r>
        <w:t>Tirzepatide is a synthetic peptide, engineered from the native GIP peptide sequence</w:t>
      </w:r>
      <w:r w:rsidR="00626946">
        <w:t xml:space="preserve"> and </w:t>
      </w:r>
      <w:r>
        <w:t xml:space="preserve">modified to bind to both GIP and GLP-1 receptors. </w:t>
      </w:r>
      <w:r w:rsidRPr="00CD2A3C">
        <w:t>GIP and GLP-1</w:t>
      </w:r>
      <w:r>
        <w:t xml:space="preserve"> are </w:t>
      </w:r>
      <w:r w:rsidRPr="00CD2A3C">
        <w:t xml:space="preserve">nutrient-stimulated </w:t>
      </w:r>
      <w:r>
        <w:t xml:space="preserve">gastrointestinal hormones known as incretins by virtue of their ability to stimulate insulin </w:t>
      </w:r>
      <w:r>
        <w:lastRenderedPageBreak/>
        <w:t>secretion post-prandially. They also regulate the physiological response to food, including sensation of satiety and nutrient disposal</w:t>
      </w:r>
      <w:r w:rsidR="00283F05">
        <w:rPr>
          <w:rStyle w:val="FootnoteReference"/>
        </w:rPr>
        <w:footnoteReference w:id="13"/>
      </w:r>
      <w:r w:rsidR="00283F05">
        <w:t>.</w:t>
      </w:r>
    </w:p>
    <w:p w14:paraId="280C41A7" w14:textId="388395BA" w:rsidR="00CD2A3C" w:rsidRDefault="00EC128E" w:rsidP="00BC38C2">
      <w:r w:rsidRPr="00EC128E">
        <w:t>Tirzepatide was found to reduce overall appetite and food and caloric intake compared with</w:t>
      </w:r>
      <w:r>
        <w:t xml:space="preserve"> </w:t>
      </w:r>
      <w:r w:rsidRPr="00EC128E">
        <w:t>placebo in a trial</w:t>
      </w:r>
      <w:r w:rsidR="00CF0E8A">
        <w:t xml:space="preserve"> where</w:t>
      </w:r>
      <w:r w:rsidRPr="00EC128E">
        <w:t xml:space="preserve"> participants </w:t>
      </w:r>
      <w:r w:rsidR="00CF0E8A">
        <w:t>had</w:t>
      </w:r>
      <w:r w:rsidRPr="00EC128E">
        <w:t xml:space="preserve"> </w:t>
      </w:r>
      <w:r>
        <w:t>type 2 diabetes (</w:t>
      </w:r>
      <w:r w:rsidRPr="00EC128E">
        <w:t>T2DM</w:t>
      </w:r>
      <w:r>
        <w:t>)</w:t>
      </w:r>
      <w:r w:rsidRPr="00EC128E">
        <w:t xml:space="preserve">. </w:t>
      </w:r>
      <w:r>
        <w:t>T</w:t>
      </w:r>
      <w:r w:rsidRPr="00EC128E">
        <w:t>irzepatide led to greater weight reduction than the GLP-1 receptor agonist</w:t>
      </w:r>
      <w:r>
        <w:t xml:space="preserve"> </w:t>
      </w:r>
      <w:r w:rsidRPr="00EC128E">
        <w:t>semaglutide, despite both agents having similar impact on food and caloric intake. Thus,</w:t>
      </w:r>
      <w:r>
        <w:t xml:space="preserve"> </w:t>
      </w:r>
      <w:r w:rsidRPr="00EC128E">
        <w:t>tirzepatide may be promoting weight reduction through additional mechanisms</w:t>
      </w:r>
      <w:r>
        <w:t xml:space="preserve"> </w:t>
      </w:r>
      <w:r w:rsidRPr="00EC128E">
        <w:t>beyond caloric intake reduction</w:t>
      </w:r>
      <w:r w:rsidR="00283F05">
        <w:rPr>
          <w:rStyle w:val="FootnoteReference"/>
        </w:rPr>
        <w:footnoteReference w:id="14"/>
      </w:r>
      <w:r w:rsidRPr="00EC128E">
        <w:t>.</w:t>
      </w:r>
    </w:p>
    <w:p w14:paraId="3649BA25" w14:textId="2D080019" w:rsidR="00CD2A3C" w:rsidRDefault="00CD2A3C" w:rsidP="00BC38C2">
      <w:r>
        <w:t xml:space="preserve">Activation of GLP-1 receptor signaling stimulates anorexigenic pathways in the brain, leading to loss of appetite, a reduction in food intake and </w:t>
      </w:r>
      <w:r w:rsidR="00CF0E8A">
        <w:t xml:space="preserve">a reduction </w:t>
      </w:r>
      <w:r>
        <w:t>in body weight</w:t>
      </w:r>
      <w:r w:rsidR="00DE7FCD">
        <w:rPr>
          <w:rStyle w:val="FootnoteReference"/>
        </w:rPr>
        <w:footnoteReference w:id="15"/>
      </w:r>
      <w:r>
        <w:t xml:space="preserve">. </w:t>
      </w:r>
      <w:r w:rsidR="001E4F12">
        <w:t>I</w:t>
      </w:r>
      <w:r w:rsidR="001E4F12" w:rsidRPr="001E4F12">
        <w:t>n preclinical models</w:t>
      </w:r>
      <w:r w:rsidR="001E4F12">
        <w:t>,</w:t>
      </w:r>
      <w:r w:rsidR="001E4F12" w:rsidRPr="001E4F12">
        <w:t xml:space="preserve"> </w:t>
      </w:r>
      <w:r w:rsidR="001E4F12">
        <w:t xml:space="preserve">stimulation of both the </w:t>
      </w:r>
      <w:r>
        <w:t>GIP and GLP-1 receptors reduces food intake and body weight more than selective GLP-1 receptor agonis</w:t>
      </w:r>
      <w:r w:rsidR="001E4F12">
        <w:t>ts</w:t>
      </w:r>
      <w:r w:rsidR="00AA2723">
        <w:rPr>
          <w:rStyle w:val="FootnoteReference"/>
        </w:rPr>
        <w:footnoteReference w:id="16"/>
      </w:r>
      <w:r>
        <w:t>.</w:t>
      </w:r>
    </w:p>
    <w:p w14:paraId="2924A11C" w14:textId="17292681" w:rsidR="00CD2A3C" w:rsidRDefault="003C5D25" w:rsidP="00BC38C2">
      <w:r>
        <w:t>Based on the known physiology and pharmacology of GIP and GLP-1, dual signaling</w:t>
      </w:r>
      <w:r w:rsidR="00E063C4">
        <w:t xml:space="preserve"> by tirzepatide</w:t>
      </w:r>
      <w:r>
        <w:t xml:space="preserve"> is expected to result in improved control of carbohydrate and lipid metabolism and body weight</w:t>
      </w:r>
      <w:r w:rsidR="00E056A4">
        <w:t xml:space="preserve"> </w:t>
      </w:r>
      <w:r>
        <w:t>beyond that observed with selective GLP-1 receptor agonists</w:t>
      </w:r>
      <w:r w:rsidR="001E4F12">
        <w:t xml:space="preserve"> alone</w:t>
      </w:r>
      <w:r w:rsidR="00E056A4">
        <w:t>.</w:t>
      </w:r>
      <w:r>
        <w:t xml:space="preserve"> </w:t>
      </w:r>
      <w:r w:rsidR="00E056A4">
        <w:t xml:space="preserve">This is </w:t>
      </w:r>
      <w:r>
        <w:t>supported by both preclinical and clinical investigations of tirzepatide in T2DM and chronic weight management</w:t>
      </w:r>
      <w:r w:rsidR="00AA2723">
        <w:rPr>
          <w:rStyle w:val="FootnoteReference"/>
        </w:rPr>
        <w:footnoteReference w:id="17"/>
      </w:r>
      <w:r>
        <w:t>.</w:t>
      </w:r>
    </w:p>
    <w:p w14:paraId="0D615854" w14:textId="37F4EEB4" w:rsidR="00324B33" w:rsidRPr="003F31A2" w:rsidRDefault="00324B33" w:rsidP="00BC38C2">
      <w:pPr>
        <w:pStyle w:val="Heading3"/>
      </w:pPr>
      <w:bookmarkStart w:id="19" w:name="_Toc103679291"/>
      <w:bookmarkStart w:id="20" w:name="_Toc178239600"/>
      <w:r>
        <w:t xml:space="preserve">Regulatory </w:t>
      </w:r>
      <w:r w:rsidRPr="00BC38C2">
        <w:t>status</w:t>
      </w:r>
      <w:bookmarkEnd w:id="11"/>
      <w:bookmarkEnd w:id="12"/>
      <w:bookmarkEnd w:id="19"/>
      <w:bookmarkEnd w:id="20"/>
    </w:p>
    <w:p w14:paraId="72C889D6" w14:textId="54C861C4" w:rsidR="0017005C" w:rsidRPr="00BD5DBD" w:rsidRDefault="0017005C" w:rsidP="00BC38C2">
      <w:pPr>
        <w:pStyle w:val="Heading4"/>
      </w:pPr>
      <w:bookmarkStart w:id="21" w:name="_Toc178239601"/>
      <w:r w:rsidRPr="00BD5DBD">
        <w:t>Australian regulatory</w:t>
      </w:r>
      <w:r>
        <w:t xml:space="preserve"> </w:t>
      </w:r>
      <w:r w:rsidRPr="00BC38C2">
        <w:t>sta</w:t>
      </w:r>
      <w:r w:rsidR="0025785B" w:rsidRPr="00BC38C2">
        <w:t>t</w:t>
      </w:r>
      <w:r w:rsidRPr="00BC38C2">
        <w:t>us</w:t>
      </w:r>
      <w:bookmarkEnd w:id="21"/>
    </w:p>
    <w:p w14:paraId="3431C068" w14:textId="30CDEB8B" w:rsidR="00647AD7" w:rsidRPr="00647AD7" w:rsidRDefault="00671D39" w:rsidP="00BC38C2">
      <w:pPr>
        <w:rPr>
          <w:szCs w:val="22"/>
        </w:rPr>
      </w:pPr>
      <w:r>
        <w:rPr>
          <w:szCs w:val="22"/>
        </w:rPr>
        <w:t>Mounjaro</w:t>
      </w:r>
      <w:r w:rsidR="00CF6A55" w:rsidRPr="00BD5DBD">
        <w:rPr>
          <w:szCs w:val="22"/>
        </w:rPr>
        <w:t xml:space="preserve"> received initial registration </w:t>
      </w:r>
      <w:r w:rsidR="00CF6A55">
        <w:rPr>
          <w:szCs w:val="22"/>
        </w:rPr>
        <w:t>in</w:t>
      </w:r>
      <w:r w:rsidR="00CF6A55" w:rsidRPr="00BD5DBD">
        <w:rPr>
          <w:szCs w:val="22"/>
        </w:rPr>
        <w:t xml:space="preserve"> the </w:t>
      </w:r>
      <w:hyperlink r:id="rId23" w:history="1">
        <w:r w:rsidR="00CF6A55" w:rsidRPr="00BD5DBD">
          <w:rPr>
            <w:rStyle w:val="Hyperlink"/>
            <w:szCs w:val="22"/>
          </w:rPr>
          <w:t>Australian Register of Therapeutic Goods</w:t>
        </w:r>
      </w:hyperlink>
      <w:r w:rsidR="00CF6A55" w:rsidRPr="00BD5DBD">
        <w:rPr>
          <w:szCs w:val="22"/>
        </w:rPr>
        <w:t xml:space="preserve"> (</w:t>
      </w:r>
      <w:hyperlink r:id="rId24" w:history="1">
        <w:r w:rsidR="00CF6A55" w:rsidRPr="00BD5DBD">
          <w:rPr>
            <w:rStyle w:val="Hyperlink"/>
            <w:szCs w:val="22"/>
          </w:rPr>
          <w:t>ARTG</w:t>
        </w:r>
      </w:hyperlink>
      <w:r w:rsidR="00CF6A55" w:rsidRPr="00BD5DBD">
        <w:rPr>
          <w:szCs w:val="22"/>
        </w:rPr>
        <w:t>) on</w:t>
      </w:r>
      <w:r w:rsidR="00CF6A55">
        <w:rPr>
          <w:szCs w:val="22"/>
        </w:rPr>
        <w:t xml:space="preserve"> </w:t>
      </w:r>
      <w:r w:rsidR="000B1E74" w:rsidRPr="000B1E74">
        <w:rPr>
          <w:szCs w:val="22"/>
        </w:rPr>
        <w:t>23 December 2022</w:t>
      </w:r>
      <w:r w:rsidR="00CF6A55">
        <w:rPr>
          <w:szCs w:val="22"/>
        </w:rPr>
        <w:t>.</w:t>
      </w:r>
      <w:r w:rsidR="00CF6A55" w:rsidRPr="00BD5DBD">
        <w:rPr>
          <w:szCs w:val="22"/>
        </w:rPr>
        <w:t xml:space="preserve"> </w:t>
      </w:r>
      <w:r w:rsidR="00CF6A55">
        <w:rPr>
          <w:szCs w:val="22"/>
        </w:rPr>
        <w:t>I</w:t>
      </w:r>
      <w:r w:rsidR="00CF6A55" w:rsidRPr="00BD5DBD">
        <w:rPr>
          <w:szCs w:val="22"/>
        </w:rPr>
        <w:t xml:space="preserve">t was approved for the </w:t>
      </w:r>
      <w:r w:rsidR="00647AD7" w:rsidRPr="00647AD7">
        <w:rPr>
          <w:szCs w:val="22"/>
        </w:rPr>
        <w:t>treatment</w:t>
      </w:r>
      <w:r w:rsidR="00B356E3">
        <w:rPr>
          <w:szCs w:val="22"/>
        </w:rPr>
        <w:t xml:space="preserve">, in adults, </w:t>
      </w:r>
      <w:r w:rsidR="00647AD7" w:rsidRPr="00647AD7">
        <w:rPr>
          <w:szCs w:val="22"/>
        </w:rPr>
        <w:t>of insufficiently controlled type 2 diabetes mellitus as an adjunct to diet &amp; exercise, as monotherapy (metformin not tolerated/contraindicated), or in addition to other products</w:t>
      </w:r>
      <w:r w:rsidR="000B1E74">
        <w:rPr>
          <w:rStyle w:val="FootnoteReference"/>
          <w:szCs w:val="22"/>
        </w:rPr>
        <w:footnoteReference w:id="18"/>
      </w:r>
      <w:r w:rsidR="00647AD7" w:rsidRPr="00647AD7">
        <w:rPr>
          <w:szCs w:val="22"/>
        </w:rPr>
        <w:t>.</w:t>
      </w:r>
    </w:p>
    <w:p w14:paraId="71BF29A3" w14:textId="73AF323D" w:rsidR="00CF6A55" w:rsidRPr="00BD5DBD" w:rsidRDefault="00647AD7" w:rsidP="00BC38C2">
      <w:r w:rsidRPr="00647AD7">
        <w:t>There are several GLP-1 receptor agonists registered in Australia: these include liraglutide (first registered in 2010), dulaglutide (first registered in 2015) and semaglutide (first registered in 2019).</w:t>
      </w:r>
    </w:p>
    <w:p w14:paraId="546C1031" w14:textId="06203EA9" w:rsidR="0017005C" w:rsidRDefault="0009070F" w:rsidP="00BC38C2">
      <w:pPr>
        <w:pStyle w:val="Heading4"/>
      </w:pPr>
      <w:bookmarkStart w:id="22" w:name="_Toc178239602"/>
      <w:r>
        <w:lastRenderedPageBreak/>
        <w:t>International</w:t>
      </w:r>
      <w:r w:rsidR="0017005C" w:rsidRPr="00BD5DBD">
        <w:t xml:space="preserve"> regulatory</w:t>
      </w:r>
      <w:r w:rsidR="0017005C">
        <w:t xml:space="preserve"> </w:t>
      </w:r>
      <w:r w:rsidR="0017005C" w:rsidRPr="00BC38C2">
        <w:t>status</w:t>
      </w:r>
      <w:bookmarkEnd w:id="22"/>
    </w:p>
    <w:p w14:paraId="19B9E0AC" w14:textId="0DF9A041" w:rsidR="00324B33" w:rsidRDefault="00324B33" w:rsidP="00BC38C2">
      <w:pPr>
        <w:pStyle w:val="TableTitle"/>
      </w:pPr>
      <w:bookmarkStart w:id="23" w:name="_Ref99705479"/>
      <w:r>
        <w:t xml:space="preserve">Table </w:t>
      </w:r>
      <w:r>
        <w:fldChar w:fldCharType="begin"/>
      </w:r>
      <w:r>
        <w:instrText xml:space="preserve"> SEQ Table \* ARABIC </w:instrText>
      </w:r>
      <w:r>
        <w:fldChar w:fldCharType="separate"/>
      </w:r>
      <w:r w:rsidR="008B1CB5">
        <w:rPr>
          <w:noProof/>
        </w:rPr>
        <w:t>1</w:t>
      </w:r>
      <w:r>
        <w:rPr>
          <w:noProof/>
        </w:rPr>
        <w:fldChar w:fldCharType="end"/>
      </w:r>
      <w:bookmarkEnd w:id="23"/>
      <w:r>
        <w:t xml:space="preserve">: </w:t>
      </w:r>
      <w:r w:rsidR="00303A00" w:rsidRPr="00303A00">
        <w:t xml:space="preserve">Marketing Authorisation Applications have </w:t>
      </w:r>
      <w:r w:rsidR="00303A00" w:rsidRPr="00BC38C2">
        <w:t>been</w:t>
      </w:r>
      <w:r w:rsidR="00303A00" w:rsidRPr="00303A00">
        <w:t xml:space="preserve"> submitted in the following jurisdictions</w:t>
      </w:r>
      <w:r w:rsidR="00303A00">
        <w:t>:</w:t>
      </w:r>
      <w:r w:rsidR="00E12E7C">
        <w:t xml:space="preserve"> </w:t>
      </w:r>
    </w:p>
    <w:tbl>
      <w:tblPr>
        <w:tblStyle w:val="TableTGAblue2023"/>
        <w:tblW w:w="5000" w:type="pct"/>
        <w:tblLook w:val="04A0" w:firstRow="1" w:lastRow="0" w:firstColumn="1" w:lastColumn="0" w:noHBand="0" w:noVBand="1"/>
      </w:tblPr>
      <w:tblGrid>
        <w:gridCol w:w="1455"/>
        <w:gridCol w:w="1759"/>
        <w:gridCol w:w="1584"/>
        <w:gridCol w:w="1316"/>
        <w:gridCol w:w="2946"/>
      </w:tblGrid>
      <w:tr w:rsidR="00492C9D" w:rsidRPr="00B44481" w14:paraId="405E5D78" w14:textId="16839333" w:rsidTr="00A94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Pr>
          <w:p w14:paraId="185B099B" w14:textId="7A4C0E6C" w:rsidR="00492C9D" w:rsidRPr="00A9448B" w:rsidRDefault="00492C9D" w:rsidP="00077AD3">
            <w:r w:rsidRPr="00A9448B">
              <w:t>Region</w:t>
            </w:r>
          </w:p>
        </w:tc>
        <w:tc>
          <w:tcPr>
            <w:tcW w:w="862" w:type="pct"/>
          </w:tcPr>
          <w:p w14:paraId="778C35C7" w14:textId="3D2E9D84" w:rsidR="00492C9D" w:rsidRPr="00A9448B" w:rsidRDefault="00492C9D" w:rsidP="00077AD3">
            <w:pPr>
              <w:cnfStyle w:val="100000000000" w:firstRow="1" w:lastRow="0" w:firstColumn="0" w:lastColumn="0" w:oddVBand="0" w:evenVBand="0" w:oddHBand="0" w:evenHBand="0" w:firstRowFirstColumn="0" w:firstRowLastColumn="0" w:lastRowFirstColumn="0" w:lastRowLastColumn="0"/>
            </w:pPr>
            <w:r w:rsidRPr="00A9448B">
              <w:t>Regulatory agency</w:t>
            </w:r>
          </w:p>
        </w:tc>
        <w:tc>
          <w:tcPr>
            <w:tcW w:w="778" w:type="pct"/>
          </w:tcPr>
          <w:p w14:paraId="58F81584" w14:textId="22F79F96" w:rsidR="00492C9D" w:rsidRPr="00A9448B" w:rsidRDefault="00492C9D" w:rsidP="00077AD3">
            <w:pPr>
              <w:cnfStyle w:val="100000000000" w:firstRow="1" w:lastRow="0" w:firstColumn="0" w:lastColumn="0" w:oddVBand="0" w:evenVBand="0" w:oddHBand="0" w:evenHBand="0" w:firstRowFirstColumn="0" w:firstRowLastColumn="0" w:lastRowFirstColumn="0" w:lastRowLastColumn="0"/>
            </w:pPr>
            <w:r w:rsidRPr="00A9448B">
              <w:t>Registration Status</w:t>
            </w:r>
          </w:p>
        </w:tc>
        <w:tc>
          <w:tcPr>
            <w:tcW w:w="712" w:type="pct"/>
          </w:tcPr>
          <w:p w14:paraId="45D806B8" w14:textId="6A3D11C1" w:rsidR="00492C9D" w:rsidRPr="00A9448B" w:rsidRDefault="00492C9D" w:rsidP="00077AD3">
            <w:pPr>
              <w:cnfStyle w:val="100000000000" w:firstRow="1" w:lastRow="0" w:firstColumn="0" w:lastColumn="0" w:oddVBand="0" w:evenVBand="0" w:oddHBand="0" w:evenHBand="0" w:firstRowFirstColumn="0" w:firstRowLastColumn="0" w:lastRowFirstColumn="0" w:lastRowLastColumn="0"/>
            </w:pPr>
            <w:r w:rsidRPr="00A9448B">
              <w:t>Approval Date</w:t>
            </w:r>
          </w:p>
        </w:tc>
        <w:tc>
          <w:tcPr>
            <w:tcW w:w="1931" w:type="pct"/>
          </w:tcPr>
          <w:p w14:paraId="50B2D435" w14:textId="1FEF9947" w:rsidR="00492C9D" w:rsidRPr="00A9448B" w:rsidRDefault="00492C9D" w:rsidP="00077AD3">
            <w:pPr>
              <w:cnfStyle w:val="100000000000" w:firstRow="1" w:lastRow="0" w:firstColumn="0" w:lastColumn="0" w:oddVBand="0" w:evenVBand="0" w:oddHBand="0" w:evenHBand="0" w:firstRowFirstColumn="0" w:firstRowLastColumn="0" w:lastRowFirstColumn="0" w:lastRowLastColumn="0"/>
            </w:pPr>
            <w:r w:rsidRPr="00A9448B">
              <w:t>Indications</w:t>
            </w:r>
          </w:p>
        </w:tc>
      </w:tr>
      <w:tr w:rsidR="00492C9D" w:rsidRPr="00B44481" w14:paraId="38D24E86" w14:textId="77777777" w:rsidTr="00A9448B">
        <w:tc>
          <w:tcPr>
            <w:cnfStyle w:val="001000000000" w:firstRow="0" w:lastRow="0" w:firstColumn="1" w:lastColumn="0" w:oddVBand="0" w:evenVBand="0" w:oddHBand="0" w:evenHBand="0" w:firstRowFirstColumn="0" w:firstRowLastColumn="0" w:lastRowFirstColumn="0" w:lastRowLastColumn="0"/>
            <w:tcW w:w="716" w:type="pct"/>
          </w:tcPr>
          <w:p w14:paraId="4C540DE5" w14:textId="45D197A2" w:rsidR="00492C9D" w:rsidRPr="00A9448B" w:rsidRDefault="00492C9D" w:rsidP="00077AD3">
            <w:r w:rsidRPr="00A9448B">
              <w:t>United States of America</w:t>
            </w:r>
          </w:p>
        </w:tc>
        <w:tc>
          <w:tcPr>
            <w:tcW w:w="862" w:type="pct"/>
          </w:tcPr>
          <w:p w14:paraId="4FA5DDA9" w14:textId="659B0101"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USA Food and Drug Administration (FDA)</w:t>
            </w:r>
          </w:p>
        </w:tc>
        <w:tc>
          <w:tcPr>
            <w:tcW w:w="778" w:type="pct"/>
          </w:tcPr>
          <w:p w14:paraId="29358393" w14:textId="73244892"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Initiated rolling submission SURMOUNT-1 17 Nov 2022 submission completed with SURMOUNT-2 on 8 May 2023</w:t>
            </w:r>
          </w:p>
        </w:tc>
        <w:tc>
          <w:tcPr>
            <w:tcW w:w="712" w:type="pct"/>
          </w:tcPr>
          <w:p w14:paraId="04F8A72C" w14:textId="0ACF7C74" w:rsidR="00492C9D" w:rsidRPr="00077AD3" w:rsidRDefault="00DE7922" w:rsidP="00077AD3">
            <w:pPr>
              <w:cnfStyle w:val="000000000000" w:firstRow="0" w:lastRow="0" w:firstColumn="0" w:lastColumn="0" w:oddVBand="0" w:evenVBand="0" w:oddHBand="0" w:evenHBand="0" w:firstRowFirstColumn="0" w:firstRowLastColumn="0" w:lastRowFirstColumn="0" w:lastRowLastColumn="0"/>
              <w:rPr>
                <w:lang w:val="en-US"/>
              </w:rPr>
            </w:pPr>
            <w:r w:rsidRPr="00A9448B">
              <w:rPr>
                <w:lang w:val="en-US"/>
              </w:rPr>
              <w:t>08 November</w:t>
            </w:r>
            <w:r w:rsidR="00077AD3">
              <w:rPr>
                <w:lang w:val="en-US"/>
              </w:rPr>
              <w:t xml:space="preserve"> </w:t>
            </w:r>
            <w:r w:rsidRPr="00A9448B">
              <w:rPr>
                <w:lang w:val="en-US"/>
              </w:rPr>
              <w:t>2023</w:t>
            </w:r>
          </w:p>
        </w:tc>
        <w:tc>
          <w:tcPr>
            <w:tcW w:w="1931" w:type="pct"/>
          </w:tcPr>
          <w:p w14:paraId="2FAB02C9" w14:textId="77777777" w:rsidR="00077AD3" w:rsidRDefault="00492C9D" w:rsidP="00077AD3">
            <w:pPr>
              <w:cnfStyle w:val="000000000000" w:firstRow="0" w:lastRow="0" w:firstColumn="0" w:lastColumn="0" w:oddVBand="0" w:evenVBand="0" w:oddHBand="0" w:evenHBand="0" w:firstRowFirstColumn="0" w:firstRowLastColumn="0" w:lastRowFirstColumn="0" w:lastRowLastColumn="0"/>
            </w:pPr>
            <w:r w:rsidRPr="00A9448B">
              <w:t>NOTE: this has been submitted in the US as a new medicine under a new trade name.</w:t>
            </w:r>
          </w:p>
          <w:p w14:paraId="7E442578" w14:textId="6D1A93F5" w:rsidR="00492C9D" w:rsidRPr="00A9448B" w:rsidRDefault="00DE7922" w:rsidP="00077AD3">
            <w:pPr>
              <w:cnfStyle w:val="000000000000" w:firstRow="0" w:lastRow="0" w:firstColumn="0" w:lastColumn="0" w:oddVBand="0" w:evenVBand="0" w:oddHBand="0" w:evenHBand="0" w:firstRowFirstColumn="0" w:firstRowLastColumn="0" w:lastRowFirstColumn="0" w:lastRowLastColumn="0"/>
            </w:pPr>
            <w:r w:rsidRPr="00A9448B">
              <w:t>ZEPBOUND</w:t>
            </w:r>
            <w:r w:rsidR="00492C9D" w:rsidRPr="00A9448B">
              <w:t xml:space="preserve"> is indicated as an adjunct to a reduced-calorie diet and increased physical activity for chronic weight management in adults with an initial BMI of:</w:t>
            </w:r>
          </w:p>
          <w:p w14:paraId="175E6934" w14:textId="66733779" w:rsidR="00492C9D" w:rsidRPr="00077AD3"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077AD3">
              <w:t>30 kg/m</w:t>
            </w:r>
            <w:r w:rsidRPr="00077AD3">
              <w:rPr>
                <w:vertAlign w:val="superscript"/>
              </w:rPr>
              <w:t>2</w:t>
            </w:r>
            <w:r w:rsidRPr="00077AD3">
              <w:t xml:space="preserve"> or greater (obesity) or</w:t>
            </w:r>
          </w:p>
          <w:p w14:paraId="05055674" w14:textId="18FED36E" w:rsidR="00492C9D" w:rsidRPr="00A9448B"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077AD3">
              <w:t>27 kg/m</w:t>
            </w:r>
            <w:r w:rsidRPr="00077AD3">
              <w:rPr>
                <w:vertAlign w:val="superscript"/>
              </w:rPr>
              <w:t>2</w:t>
            </w:r>
            <w:r w:rsidRPr="00077AD3">
              <w:t xml:space="preserve"> or greater (overweight) in the presence of at least one weight-related comorbid condition (e.g., hypertension, dyslipidaemia, prediabetes, type 2 diabetes mellitus, obstructive sleep apnoea or cardiovascular disease).</w:t>
            </w:r>
          </w:p>
        </w:tc>
      </w:tr>
      <w:tr w:rsidR="00492C9D" w:rsidRPr="00B44481" w14:paraId="18B6E2AA" w14:textId="7783D66F" w:rsidTr="00A9448B">
        <w:tc>
          <w:tcPr>
            <w:cnfStyle w:val="001000000000" w:firstRow="0" w:lastRow="0" w:firstColumn="1" w:lastColumn="0" w:oddVBand="0" w:evenVBand="0" w:oddHBand="0" w:evenHBand="0" w:firstRowFirstColumn="0" w:firstRowLastColumn="0" w:lastRowFirstColumn="0" w:lastRowLastColumn="0"/>
            <w:tcW w:w="716" w:type="pct"/>
          </w:tcPr>
          <w:p w14:paraId="7F348960" w14:textId="0B03D107" w:rsidR="00492C9D" w:rsidRPr="00A9448B" w:rsidRDefault="00492C9D" w:rsidP="00077AD3">
            <w:r w:rsidRPr="00A9448B">
              <w:lastRenderedPageBreak/>
              <w:t>European Union</w:t>
            </w:r>
          </w:p>
        </w:tc>
        <w:tc>
          <w:tcPr>
            <w:tcW w:w="862" w:type="pct"/>
          </w:tcPr>
          <w:p w14:paraId="16CBC99B" w14:textId="4BFBD021"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European</w:t>
            </w:r>
            <w:r w:rsidR="00077AD3">
              <w:t xml:space="preserve"> </w:t>
            </w:r>
            <w:r w:rsidRPr="00A9448B">
              <w:t>Medicines</w:t>
            </w:r>
            <w:r w:rsidR="00077AD3">
              <w:t xml:space="preserve"> </w:t>
            </w:r>
            <w:r w:rsidRPr="00A9448B">
              <w:t>Agency</w:t>
            </w:r>
            <w:r w:rsidR="00077AD3">
              <w:t xml:space="preserve"> </w:t>
            </w:r>
            <w:r w:rsidRPr="00A9448B">
              <w:t>(EMA)</w:t>
            </w:r>
          </w:p>
          <w:p w14:paraId="6FA475CE" w14:textId="2AE6A8BD"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Centralised</w:t>
            </w:r>
            <w:r w:rsidR="00077AD3">
              <w:t xml:space="preserve"> </w:t>
            </w:r>
            <w:r w:rsidRPr="00A9448B">
              <w:t>Rapporteur:</w:t>
            </w:r>
            <w:r w:rsidR="00077AD3">
              <w:t xml:space="preserve"> </w:t>
            </w:r>
            <w:r w:rsidRPr="00A9448B">
              <w:t>Martina Weise</w:t>
            </w:r>
            <w:r w:rsidR="00077AD3">
              <w:t xml:space="preserve"> </w:t>
            </w:r>
            <w:r w:rsidRPr="00A9448B">
              <w:t>(Germany)</w:t>
            </w:r>
          </w:p>
          <w:p w14:paraId="1D871E57" w14:textId="558C7785" w:rsidR="00492C9D" w:rsidRPr="00077AD3" w:rsidRDefault="00492C9D" w:rsidP="00077AD3">
            <w:pPr>
              <w:cnfStyle w:val="000000000000" w:firstRow="0" w:lastRow="0" w:firstColumn="0" w:lastColumn="0" w:oddVBand="0" w:evenVBand="0" w:oddHBand="0" w:evenHBand="0" w:firstRowFirstColumn="0" w:firstRowLastColumn="0" w:lastRowFirstColumn="0" w:lastRowLastColumn="0"/>
            </w:pPr>
            <w:r w:rsidRPr="00A9448B">
              <w:t>PRAC rapporteur:</w:t>
            </w:r>
            <w:r w:rsidR="00077AD3">
              <w:t xml:space="preserve"> </w:t>
            </w:r>
            <w:r w:rsidRPr="00A9448B">
              <w:rPr>
                <w:lang w:val="sv-SE"/>
              </w:rPr>
              <w:t>Menno van der Elst</w:t>
            </w:r>
            <w:r w:rsidR="00077AD3">
              <w:rPr>
                <w:lang w:val="sv-SE"/>
              </w:rPr>
              <w:t xml:space="preserve"> </w:t>
            </w:r>
            <w:r w:rsidRPr="00A9448B">
              <w:rPr>
                <w:lang w:val="sv-SE"/>
              </w:rPr>
              <w:t>(Netherlands)</w:t>
            </w:r>
          </w:p>
        </w:tc>
        <w:tc>
          <w:tcPr>
            <w:tcW w:w="778" w:type="pct"/>
          </w:tcPr>
          <w:p w14:paraId="63A3A9D3" w14:textId="7B4BAD26"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Submitted</w:t>
            </w:r>
            <w:r w:rsidR="00077AD3">
              <w:t xml:space="preserve"> </w:t>
            </w:r>
            <w:r w:rsidRPr="00A9448B">
              <w:t>8th March 2023</w:t>
            </w:r>
          </w:p>
        </w:tc>
        <w:tc>
          <w:tcPr>
            <w:tcW w:w="712" w:type="pct"/>
          </w:tcPr>
          <w:p w14:paraId="57AE5EC3" w14:textId="77002220" w:rsidR="00492C9D" w:rsidRPr="00077AD3" w:rsidRDefault="009761E0" w:rsidP="00077AD3">
            <w:pPr>
              <w:cnfStyle w:val="000000000000" w:firstRow="0" w:lastRow="0" w:firstColumn="0" w:lastColumn="0" w:oddVBand="0" w:evenVBand="0" w:oddHBand="0" w:evenHBand="0" w:firstRowFirstColumn="0" w:firstRowLastColumn="0" w:lastRowFirstColumn="0" w:lastRowLastColumn="0"/>
              <w:rPr>
                <w:lang w:val="en-US"/>
              </w:rPr>
            </w:pPr>
            <w:r w:rsidRPr="00A9448B">
              <w:rPr>
                <w:lang w:val="en-US"/>
              </w:rPr>
              <w:t>11 December</w:t>
            </w:r>
            <w:r w:rsidR="00077AD3">
              <w:rPr>
                <w:lang w:val="en-US"/>
              </w:rPr>
              <w:t xml:space="preserve"> </w:t>
            </w:r>
            <w:r w:rsidRPr="00A9448B">
              <w:rPr>
                <w:lang w:val="en-US"/>
              </w:rPr>
              <w:t>2023</w:t>
            </w:r>
          </w:p>
        </w:tc>
        <w:tc>
          <w:tcPr>
            <w:tcW w:w="1931" w:type="pct"/>
          </w:tcPr>
          <w:p w14:paraId="61DD1714" w14:textId="01A2A55C" w:rsidR="00492C9D" w:rsidRPr="00077AD3" w:rsidRDefault="00492C9D" w:rsidP="00077AD3">
            <w:pPr>
              <w:cnfStyle w:val="000000000000" w:firstRow="0" w:lastRow="0" w:firstColumn="0" w:lastColumn="0" w:oddVBand="0" w:evenVBand="0" w:oddHBand="0" w:evenHBand="0" w:firstRowFirstColumn="0" w:firstRowLastColumn="0" w:lastRowFirstColumn="0" w:lastRowLastColumn="0"/>
              <w:rPr>
                <w:b/>
              </w:rPr>
            </w:pPr>
            <w:r w:rsidRPr="00077AD3">
              <w:rPr>
                <w:b/>
              </w:rPr>
              <w:t>Chronic weight management</w:t>
            </w:r>
          </w:p>
          <w:p w14:paraId="78276BFD" w14:textId="71408044"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Mounjaro is indicated as an adjunct to a reduced-calorie diet and increased physical activity for weight management</w:t>
            </w:r>
            <w:r w:rsidR="006F2DC0" w:rsidRPr="00A9448B">
              <w:t>, including weight loss and weight maintenance,</w:t>
            </w:r>
            <w:r w:rsidRPr="00A9448B">
              <w:t xml:space="preserve"> in adults with an initial BMI of:</w:t>
            </w:r>
          </w:p>
          <w:p w14:paraId="1B66AE11" w14:textId="0E558B86" w:rsidR="00492C9D" w:rsidRPr="00A9448B"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A9448B">
              <w:t>30 kg/m</w:t>
            </w:r>
            <w:r w:rsidRPr="00A9448B">
              <w:rPr>
                <w:vertAlign w:val="superscript"/>
              </w:rPr>
              <w:t>2</w:t>
            </w:r>
            <w:r w:rsidRPr="00A9448B">
              <w:t xml:space="preserve"> or greater (obesity) or</w:t>
            </w:r>
          </w:p>
          <w:p w14:paraId="17C650B8" w14:textId="7D8F1C45" w:rsidR="00492C9D" w:rsidRPr="00A9448B"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A9448B">
              <w:t>27 kg/m</w:t>
            </w:r>
            <w:r w:rsidRPr="00A9448B">
              <w:rPr>
                <w:vertAlign w:val="superscript"/>
              </w:rPr>
              <w:t>2</w:t>
            </w:r>
            <w:r w:rsidRPr="00A9448B">
              <w:t xml:space="preserve"> or greater (overweight) in the presence of at least one weight-related comorbid condition (e.g., hypertension, dyslipidaemia, obstructive sleep apnoea</w:t>
            </w:r>
            <w:r w:rsidR="000C1300" w:rsidRPr="00A9448B">
              <w:t>,</w:t>
            </w:r>
            <w:r w:rsidRPr="00A9448B">
              <w:t xml:space="preserve"> cardiovascular disease</w:t>
            </w:r>
            <w:r w:rsidR="000C1300" w:rsidRPr="00A9448B">
              <w:t xml:space="preserve">, </w:t>
            </w:r>
            <w:proofErr w:type="gramStart"/>
            <w:r w:rsidR="000C1300" w:rsidRPr="00A9448B">
              <w:t>prediabetes</w:t>
            </w:r>
            <w:proofErr w:type="gramEnd"/>
            <w:r w:rsidR="000C1300" w:rsidRPr="00A9448B">
              <w:t xml:space="preserve"> or type 2 diabetes mellitus,</w:t>
            </w:r>
            <w:r w:rsidRPr="00A9448B">
              <w:t>).</w:t>
            </w:r>
          </w:p>
        </w:tc>
      </w:tr>
      <w:tr w:rsidR="00492C9D" w:rsidRPr="00B44481" w14:paraId="48980EF7" w14:textId="77777777" w:rsidTr="00A9448B">
        <w:tc>
          <w:tcPr>
            <w:cnfStyle w:val="001000000000" w:firstRow="0" w:lastRow="0" w:firstColumn="1" w:lastColumn="0" w:oddVBand="0" w:evenVBand="0" w:oddHBand="0" w:evenHBand="0" w:firstRowFirstColumn="0" w:firstRowLastColumn="0" w:lastRowFirstColumn="0" w:lastRowLastColumn="0"/>
            <w:tcW w:w="716" w:type="pct"/>
          </w:tcPr>
          <w:p w14:paraId="54D175A0" w14:textId="5CEF5519" w:rsidR="00492C9D" w:rsidRPr="00A9448B" w:rsidRDefault="00492C9D" w:rsidP="00077AD3">
            <w:r w:rsidRPr="00A9448B">
              <w:lastRenderedPageBreak/>
              <w:t>Switzerland</w:t>
            </w:r>
          </w:p>
        </w:tc>
        <w:tc>
          <w:tcPr>
            <w:tcW w:w="862" w:type="pct"/>
          </w:tcPr>
          <w:p w14:paraId="029A5352" w14:textId="18EBEBFA"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SwissMedic</w:t>
            </w:r>
          </w:p>
        </w:tc>
        <w:tc>
          <w:tcPr>
            <w:tcW w:w="778" w:type="pct"/>
          </w:tcPr>
          <w:p w14:paraId="757B1C3F" w14:textId="20EADDD9"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6 July 2023</w:t>
            </w:r>
          </w:p>
        </w:tc>
        <w:tc>
          <w:tcPr>
            <w:tcW w:w="712" w:type="pct"/>
          </w:tcPr>
          <w:p w14:paraId="50DEEA48" w14:textId="3F90FBE2" w:rsidR="00492C9D" w:rsidRPr="00A9448B" w:rsidRDefault="000E5FBD" w:rsidP="00077AD3">
            <w:pPr>
              <w:cnfStyle w:val="000000000000" w:firstRow="0" w:lastRow="0" w:firstColumn="0" w:lastColumn="0" w:oddVBand="0" w:evenVBand="0" w:oddHBand="0" w:evenHBand="0" w:firstRowFirstColumn="0" w:firstRowLastColumn="0" w:lastRowFirstColumn="0" w:lastRowLastColumn="0"/>
              <w:rPr>
                <w:bCs/>
              </w:rPr>
            </w:pPr>
            <w:r w:rsidRPr="00A9448B">
              <w:rPr>
                <w:bCs/>
              </w:rPr>
              <w:t>pending</w:t>
            </w:r>
          </w:p>
        </w:tc>
        <w:tc>
          <w:tcPr>
            <w:tcW w:w="1931" w:type="pct"/>
          </w:tcPr>
          <w:p w14:paraId="34EA7F1D" w14:textId="16839459" w:rsidR="00492C9D" w:rsidRPr="00077AD3" w:rsidRDefault="00492C9D" w:rsidP="00077AD3">
            <w:pPr>
              <w:cnfStyle w:val="000000000000" w:firstRow="0" w:lastRow="0" w:firstColumn="0" w:lastColumn="0" w:oddVBand="0" w:evenVBand="0" w:oddHBand="0" w:evenHBand="0" w:firstRowFirstColumn="0" w:firstRowLastColumn="0" w:lastRowFirstColumn="0" w:lastRowLastColumn="0"/>
              <w:rPr>
                <w:b/>
              </w:rPr>
            </w:pPr>
            <w:r w:rsidRPr="00077AD3">
              <w:rPr>
                <w:b/>
              </w:rPr>
              <w:t>Chronic weight management</w:t>
            </w:r>
          </w:p>
          <w:p w14:paraId="5FE8B100" w14:textId="1B797E07"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 xml:space="preserve">Mounjaro is indicated as an adjunct to a reduced-calorie diet and increased physical activity for chronic weight management, including weight loss and weight maintenance, in adults with an initial Body Mass Index (BMI) of </w:t>
            </w:r>
          </w:p>
          <w:p w14:paraId="60823F5F" w14:textId="3BF1B2B2" w:rsidR="00492C9D" w:rsidRPr="00A9448B"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A9448B">
              <w:t>≥30 kg/m</w:t>
            </w:r>
            <w:r w:rsidRPr="00A9448B">
              <w:rPr>
                <w:vertAlign w:val="superscript"/>
              </w:rPr>
              <w:t>2</w:t>
            </w:r>
            <w:r w:rsidRPr="00A9448B">
              <w:t xml:space="preserve"> (obesity) or</w:t>
            </w:r>
          </w:p>
          <w:p w14:paraId="0EF78438" w14:textId="2615B075" w:rsidR="00492C9D" w:rsidRPr="00A9448B"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A9448B">
              <w:t>≥27 kg/m</w:t>
            </w:r>
            <w:r w:rsidRPr="00A9448B">
              <w:rPr>
                <w:vertAlign w:val="superscript"/>
              </w:rPr>
              <w:t>2</w:t>
            </w:r>
            <w:r w:rsidRPr="00A9448B">
              <w:t xml:space="preserve"> to &lt; 30kg/m</w:t>
            </w:r>
            <w:r w:rsidRPr="00A9448B">
              <w:rPr>
                <w:vertAlign w:val="superscript"/>
              </w:rPr>
              <w:t>2</w:t>
            </w:r>
            <w:r w:rsidRPr="00A9448B">
              <w:t xml:space="preserve"> (overweight) in the presence of at least one weight-related comorbid condition (e.g., hypertension, dyslipidaemia, obstructive sleep apnoea, cardiovascular disease, </w:t>
            </w:r>
            <w:proofErr w:type="gramStart"/>
            <w:r w:rsidRPr="00A9448B">
              <w:t>prediabetes</w:t>
            </w:r>
            <w:proofErr w:type="gramEnd"/>
            <w:r w:rsidRPr="00A9448B">
              <w:t xml:space="preserve"> or type 2 diabetes mellitus).</w:t>
            </w:r>
          </w:p>
        </w:tc>
      </w:tr>
      <w:tr w:rsidR="00492C9D" w:rsidRPr="00B44481" w14:paraId="7650187C" w14:textId="77777777" w:rsidTr="00A9448B">
        <w:tc>
          <w:tcPr>
            <w:cnfStyle w:val="001000000000" w:firstRow="0" w:lastRow="0" w:firstColumn="1" w:lastColumn="0" w:oddVBand="0" w:evenVBand="0" w:oddHBand="0" w:evenHBand="0" w:firstRowFirstColumn="0" w:firstRowLastColumn="0" w:lastRowFirstColumn="0" w:lastRowLastColumn="0"/>
            <w:tcW w:w="716" w:type="pct"/>
          </w:tcPr>
          <w:p w14:paraId="0C830388" w14:textId="7AC2EE4F" w:rsidR="00492C9D" w:rsidRPr="00A9448B" w:rsidRDefault="00492C9D" w:rsidP="00077AD3">
            <w:r w:rsidRPr="00A9448B">
              <w:lastRenderedPageBreak/>
              <w:t>United Kingdom</w:t>
            </w:r>
          </w:p>
        </w:tc>
        <w:tc>
          <w:tcPr>
            <w:tcW w:w="862" w:type="pct"/>
          </w:tcPr>
          <w:p w14:paraId="6879877D" w14:textId="291F5006"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Medicines and Healthcare products</w:t>
            </w:r>
          </w:p>
          <w:p w14:paraId="194FB8AE" w14:textId="1593B450"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Regulatory Agency</w:t>
            </w:r>
          </w:p>
          <w:p w14:paraId="192B3E2B" w14:textId="226C9EC4"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(MHRA)</w:t>
            </w:r>
          </w:p>
        </w:tc>
        <w:tc>
          <w:tcPr>
            <w:tcW w:w="778" w:type="pct"/>
          </w:tcPr>
          <w:p w14:paraId="2AFCAF38" w14:textId="1999DBC9"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Initiated submission with SURMOUNT-1 on 27th April 2023 SURMOUNT-2 submitted on 16th June 2023</w:t>
            </w:r>
          </w:p>
        </w:tc>
        <w:tc>
          <w:tcPr>
            <w:tcW w:w="712" w:type="pct"/>
          </w:tcPr>
          <w:p w14:paraId="2B284DEA" w14:textId="0C58595C" w:rsidR="00492C9D" w:rsidRPr="00077AD3" w:rsidRDefault="00F83074" w:rsidP="00077AD3">
            <w:pPr>
              <w:cnfStyle w:val="000000000000" w:firstRow="0" w:lastRow="0" w:firstColumn="0" w:lastColumn="0" w:oddVBand="0" w:evenVBand="0" w:oddHBand="0" w:evenHBand="0" w:firstRowFirstColumn="0" w:firstRowLastColumn="0" w:lastRowFirstColumn="0" w:lastRowLastColumn="0"/>
              <w:rPr>
                <w:lang w:val="en-US"/>
              </w:rPr>
            </w:pPr>
            <w:r w:rsidRPr="00A9448B">
              <w:rPr>
                <w:lang w:val="en-US"/>
              </w:rPr>
              <w:t>08 November</w:t>
            </w:r>
            <w:r w:rsidR="00077AD3">
              <w:rPr>
                <w:lang w:val="en-US"/>
              </w:rPr>
              <w:t xml:space="preserve"> </w:t>
            </w:r>
            <w:r w:rsidRPr="00A9448B">
              <w:rPr>
                <w:lang w:val="en-US"/>
              </w:rPr>
              <w:t>2023</w:t>
            </w:r>
          </w:p>
        </w:tc>
        <w:tc>
          <w:tcPr>
            <w:tcW w:w="1931" w:type="pct"/>
          </w:tcPr>
          <w:p w14:paraId="148DF326" w14:textId="3468E109" w:rsidR="00492C9D" w:rsidRPr="00A9448B" w:rsidRDefault="00492C9D" w:rsidP="00077AD3">
            <w:pPr>
              <w:cnfStyle w:val="000000000000" w:firstRow="0" w:lastRow="0" w:firstColumn="0" w:lastColumn="0" w:oddVBand="0" w:evenVBand="0" w:oddHBand="0" w:evenHBand="0" w:firstRowFirstColumn="0" w:firstRowLastColumn="0" w:lastRowFirstColumn="0" w:lastRowLastColumn="0"/>
            </w:pPr>
            <w:r w:rsidRPr="00A9448B">
              <w:t>Mounjaro is indicated as an adjunct to diet and exercise:</w:t>
            </w:r>
          </w:p>
          <w:p w14:paraId="0CE6E306" w14:textId="5911CE10" w:rsidR="00492C9D" w:rsidRPr="00A9448B" w:rsidRDefault="00492C9D" w:rsidP="00077AD3">
            <w:pPr>
              <w:pStyle w:val="Numberbullet0"/>
              <w:cnfStyle w:val="000000000000" w:firstRow="0" w:lastRow="0" w:firstColumn="0" w:lastColumn="0" w:oddVBand="0" w:evenVBand="0" w:oddHBand="0" w:evenHBand="0" w:firstRowFirstColumn="0" w:firstRowLastColumn="0" w:lastRowFirstColumn="0" w:lastRowLastColumn="0"/>
            </w:pPr>
            <w:r w:rsidRPr="00A9448B">
              <w:t>For the treatment of adults with insufficiently controlled type 2 diabetes mellitus:</w:t>
            </w:r>
          </w:p>
          <w:p w14:paraId="687AC564" w14:textId="32FE3357" w:rsidR="00492C9D" w:rsidRPr="00A9448B" w:rsidRDefault="00492C9D" w:rsidP="00077AD3">
            <w:pPr>
              <w:pStyle w:val="ListBullet2"/>
              <w:cnfStyle w:val="000000000000" w:firstRow="0" w:lastRow="0" w:firstColumn="0" w:lastColumn="0" w:oddVBand="0" w:evenVBand="0" w:oddHBand="0" w:evenHBand="0" w:firstRowFirstColumn="0" w:firstRowLastColumn="0" w:lastRowFirstColumn="0" w:lastRowLastColumn="0"/>
            </w:pPr>
            <w:r w:rsidRPr="00A9448B">
              <w:t>as monotherapy when metformin is considered inappropriate due to intolerance or contraindications</w:t>
            </w:r>
          </w:p>
          <w:p w14:paraId="3E3F5D7B" w14:textId="500F34C6" w:rsidR="00492C9D" w:rsidRPr="00A9448B" w:rsidRDefault="00492C9D" w:rsidP="00077AD3">
            <w:pPr>
              <w:pStyle w:val="ListBullet2"/>
              <w:cnfStyle w:val="000000000000" w:firstRow="0" w:lastRow="0" w:firstColumn="0" w:lastColumn="0" w:oddVBand="0" w:evenVBand="0" w:oddHBand="0" w:evenHBand="0" w:firstRowFirstColumn="0" w:firstRowLastColumn="0" w:lastRowFirstColumn="0" w:lastRowLastColumn="0"/>
            </w:pPr>
            <w:r w:rsidRPr="00A9448B">
              <w:t>in addition to other medicinal products for the treatment of diabetes.</w:t>
            </w:r>
          </w:p>
          <w:p w14:paraId="24B991CD" w14:textId="47ED2EDF" w:rsidR="00492C9D" w:rsidRPr="00077AD3" w:rsidRDefault="00492C9D" w:rsidP="00077AD3">
            <w:pPr>
              <w:pStyle w:val="Numberbullet0"/>
              <w:cnfStyle w:val="000000000000" w:firstRow="0" w:lastRow="0" w:firstColumn="0" w:lastColumn="0" w:oddVBand="0" w:evenVBand="0" w:oddHBand="0" w:evenHBand="0" w:firstRowFirstColumn="0" w:firstRowLastColumn="0" w:lastRowFirstColumn="0" w:lastRowLastColumn="0"/>
              <w:rPr>
                <w:lang w:val="en-US"/>
              </w:rPr>
            </w:pPr>
            <w:r w:rsidRPr="00A9448B">
              <w:t xml:space="preserve">For weight management, including weight loss and weight maintenance, </w:t>
            </w:r>
            <w:r w:rsidR="00E63997" w:rsidRPr="00A9448B">
              <w:rPr>
                <w:lang w:val="en-US"/>
              </w:rPr>
              <w:t>as an adjunct to a reduced-calorie diet and increased</w:t>
            </w:r>
            <w:r w:rsidR="00077AD3">
              <w:rPr>
                <w:lang w:val="en-US"/>
              </w:rPr>
              <w:t xml:space="preserve"> </w:t>
            </w:r>
            <w:r w:rsidR="00E63997" w:rsidRPr="00077AD3">
              <w:rPr>
                <w:color w:val="000000"/>
                <w:lang w:val="en-US"/>
              </w:rPr>
              <w:t xml:space="preserve">physical activity </w:t>
            </w:r>
            <w:r w:rsidRPr="00077AD3">
              <w:rPr>
                <w:color w:val="000000"/>
              </w:rPr>
              <w:t>in adults with an initial Body Mass Index (BMI) of:</w:t>
            </w:r>
          </w:p>
          <w:p w14:paraId="7E1B33C5" w14:textId="2EA1C474" w:rsidR="00492C9D" w:rsidRPr="00A9448B"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A9448B">
              <w:t>30mg/ m</w:t>
            </w:r>
            <w:r w:rsidRPr="00A9448B">
              <w:rPr>
                <w:vertAlign w:val="superscript"/>
              </w:rPr>
              <w:t>2</w:t>
            </w:r>
            <w:r w:rsidRPr="00A9448B">
              <w:t xml:space="preserve"> (obesity) or</w:t>
            </w:r>
          </w:p>
          <w:p w14:paraId="3ADAC8A4" w14:textId="356E6916" w:rsidR="00492C9D" w:rsidRPr="00A9448B" w:rsidRDefault="00492C9D" w:rsidP="00077AD3">
            <w:pPr>
              <w:pStyle w:val="ListBullet"/>
              <w:cnfStyle w:val="000000000000" w:firstRow="0" w:lastRow="0" w:firstColumn="0" w:lastColumn="0" w:oddVBand="0" w:evenVBand="0" w:oddHBand="0" w:evenHBand="0" w:firstRowFirstColumn="0" w:firstRowLastColumn="0" w:lastRowFirstColumn="0" w:lastRowLastColumn="0"/>
            </w:pPr>
            <w:r w:rsidRPr="00A9448B">
              <w:t>≥ 27 kg/m</w:t>
            </w:r>
            <w:r w:rsidRPr="00A9448B">
              <w:rPr>
                <w:vertAlign w:val="superscript"/>
              </w:rPr>
              <w:t>2</w:t>
            </w:r>
            <w:r w:rsidRPr="00A9448B">
              <w:t xml:space="preserve"> to &lt; 30 kg/m</w:t>
            </w:r>
            <w:r w:rsidRPr="00A9448B">
              <w:rPr>
                <w:vertAlign w:val="superscript"/>
              </w:rPr>
              <w:t>2</w:t>
            </w:r>
            <w:r w:rsidRPr="00A9448B">
              <w:t xml:space="preserve"> (overweight) in the presence of at least one weight-related comorbid condition (e.g., hypertension, dyslipidaemia, obstructive sleep apnoea, cardiovascular disease, prediabetes, or type 2 diabetes mellitus)</w:t>
            </w:r>
          </w:p>
        </w:tc>
      </w:tr>
    </w:tbl>
    <w:p w14:paraId="6D92589C" w14:textId="67C24CA1" w:rsidR="00324B33" w:rsidRDefault="00324B33" w:rsidP="00077AD3">
      <w:pPr>
        <w:pStyle w:val="Heading3"/>
      </w:pPr>
      <w:bookmarkStart w:id="24" w:name="_Toc504480011"/>
      <w:bookmarkStart w:id="25" w:name="_Toc103679293"/>
      <w:bookmarkStart w:id="26" w:name="_Toc178239603"/>
      <w:r>
        <w:t>Registration timeline</w:t>
      </w:r>
      <w:bookmarkEnd w:id="24"/>
      <w:bookmarkEnd w:id="25"/>
      <w:bookmarkEnd w:id="26"/>
    </w:p>
    <w:p w14:paraId="6BB76942" w14:textId="49C62989" w:rsidR="00477C4E" w:rsidRPr="00BD5DBD" w:rsidRDefault="00477C4E" w:rsidP="00077AD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5263E729" w14:textId="33E2DDD0" w:rsidR="005B02A2" w:rsidRPr="003C1192" w:rsidRDefault="00324B33" w:rsidP="00B748B3">
      <w:pPr>
        <w:pStyle w:val="TableTitle"/>
        <w:rPr>
          <w:iCs/>
        </w:rPr>
      </w:pPr>
      <w:r w:rsidRPr="002C1232">
        <w:lastRenderedPageBreak/>
        <w:t xml:space="preserve">Table </w:t>
      </w:r>
      <w:r>
        <w:fldChar w:fldCharType="begin"/>
      </w:r>
      <w:r>
        <w:instrText xml:space="preserve"> SEQ Table \* ARABIC </w:instrText>
      </w:r>
      <w:r>
        <w:fldChar w:fldCharType="separate"/>
      </w:r>
      <w:r w:rsidR="008B1CB5" w:rsidRPr="002C1232">
        <w:t>2</w:t>
      </w:r>
      <w:r>
        <w:fldChar w:fldCharType="end"/>
      </w:r>
      <w:r w:rsidRPr="002C1232">
        <w:t xml:space="preserve">: Timeline for </w:t>
      </w:r>
      <w:r w:rsidR="00A50C50">
        <w:t>Mounjaro s</w:t>
      </w:r>
      <w:r w:rsidRPr="002C1232">
        <w:t xml:space="preserve">ubmission </w:t>
      </w:r>
      <w:r w:rsidR="009750C4" w:rsidRPr="009750C4">
        <w:t>PM-2023-03723-1-5</w:t>
      </w:r>
      <w:r w:rsidR="00155131">
        <w:fldChar w:fldCharType="begin"/>
      </w:r>
      <w:r w:rsidR="00155131">
        <w:instrText xml:space="preserve"> DOCVARIABLE vault_nd_b7cbde31-b5ef-4215-868b-5b7ee3fa5686 \* MERGEFORMAT </w:instrText>
      </w:r>
      <w:r w:rsidR="00155131">
        <w:fldChar w:fldCharType="separate"/>
      </w:r>
      <w:r w:rsidR="00FF43B4">
        <w:t xml:space="preserve"> </w:t>
      </w:r>
      <w:r w:rsidR="00155131">
        <w:fldChar w:fldCharType="end"/>
      </w:r>
    </w:p>
    <w:tbl>
      <w:tblPr>
        <w:tblStyle w:val="TableTGAblue2023"/>
        <w:tblW w:w="9002" w:type="dxa"/>
        <w:tblLook w:val="04A0" w:firstRow="1" w:lastRow="0" w:firstColumn="1" w:lastColumn="0" w:noHBand="0" w:noVBand="1"/>
      </w:tblPr>
      <w:tblGrid>
        <w:gridCol w:w="6025"/>
        <w:gridCol w:w="2977"/>
      </w:tblGrid>
      <w:tr w:rsidR="00324B33" w:rsidRPr="00D01DDB" w14:paraId="6C59BE9C" w14:textId="77777777" w:rsidTr="00B85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Pr>
          <w:p w14:paraId="16D80E78" w14:textId="3EC0CCAF" w:rsidR="00324B33" w:rsidRPr="00D01DDB" w:rsidRDefault="00324B33" w:rsidP="00B748B3">
            <w:pPr>
              <w:rPr>
                <w:szCs w:val="22"/>
              </w:rPr>
            </w:pPr>
            <w:r w:rsidRPr="00D01DDB">
              <w:rPr>
                <w:szCs w:val="22"/>
              </w:rPr>
              <w:t>Description</w:t>
            </w:r>
          </w:p>
        </w:tc>
        <w:tc>
          <w:tcPr>
            <w:tcW w:w="2977" w:type="dxa"/>
          </w:tcPr>
          <w:p w14:paraId="79AFDC4B" w14:textId="05792035" w:rsidR="00324B33" w:rsidRPr="00D01DDB" w:rsidRDefault="00324B33" w:rsidP="00B748B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B8511A">
        <w:tc>
          <w:tcPr>
            <w:cnfStyle w:val="001000000000" w:firstRow="0" w:lastRow="0" w:firstColumn="1" w:lastColumn="0" w:oddVBand="0" w:evenVBand="0" w:oddHBand="0" w:evenHBand="0" w:firstRowFirstColumn="0" w:firstRowLastColumn="0" w:lastRowFirstColumn="0" w:lastRowLastColumn="0"/>
            <w:tcW w:w="6025" w:type="dxa"/>
          </w:tcPr>
          <w:p w14:paraId="759D2A12" w14:textId="0D705F83" w:rsidR="00324B33" w:rsidRPr="00E679D1" w:rsidRDefault="00324B33" w:rsidP="00B748B3">
            <w:r w:rsidRPr="00E679D1">
              <w:t>Submission dossier accepted and first round evaluation commenced</w:t>
            </w:r>
          </w:p>
        </w:tc>
        <w:tc>
          <w:tcPr>
            <w:tcW w:w="2977" w:type="dxa"/>
          </w:tcPr>
          <w:p w14:paraId="2963D9D8" w14:textId="0BBC6F92" w:rsidR="00324B33" w:rsidRPr="00D01DDB" w:rsidRDefault="00B820FE" w:rsidP="00B748B3">
            <w:pPr>
              <w:cnfStyle w:val="000000000000" w:firstRow="0" w:lastRow="0" w:firstColumn="0" w:lastColumn="0" w:oddVBand="0" w:evenVBand="0" w:oddHBand="0" w:evenHBand="0" w:firstRowFirstColumn="0" w:firstRowLastColumn="0" w:lastRowFirstColumn="0" w:lastRowLastColumn="0"/>
              <w:rPr>
                <w:szCs w:val="22"/>
              </w:rPr>
            </w:pPr>
            <w:r>
              <w:rPr>
                <w:szCs w:val="22"/>
              </w:rPr>
              <w:t>3 October 2023</w:t>
            </w:r>
          </w:p>
        </w:tc>
      </w:tr>
      <w:tr w:rsidR="00324B33" w:rsidRPr="00D01DDB" w14:paraId="767E33A4" w14:textId="77777777" w:rsidTr="00B8511A">
        <w:tc>
          <w:tcPr>
            <w:cnfStyle w:val="001000000000" w:firstRow="0" w:lastRow="0" w:firstColumn="1" w:lastColumn="0" w:oddVBand="0" w:evenVBand="0" w:oddHBand="0" w:evenHBand="0" w:firstRowFirstColumn="0" w:firstRowLastColumn="0" w:lastRowFirstColumn="0" w:lastRowLastColumn="0"/>
            <w:tcW w:w="6025" w:type="dxa"/>
          </w:tcPr>
          <w:p w14:paraId="4AFC5B50" w14:textId="224AF283" w:rsidR="00324B33" w:rsidRPr="00E679D1" w:rsidRDefault="00D9340C" w:rsidP="00B748B3">
            <w:r>
              <w:t>E</w:t>
            </w:r>
            <w:r w:rsidR="00324B33" w:rsidRPr="00E679D1">
              <w:t>valuation completed</w:t>
            </w:r>
          </w:p>
        </w:tc>
        <w:tc>
          <w:tcPr>
            <w:tcW w:w="2977" w:type="dxa"/>
          </w:tcPr>
          <w:p w14:paraId="4E47DF62" w14:textId="53FEC8EF" w:rsidR="00324B33" w:rsidRPr="00D01DDB" w:rsidRDefault="00B820FE" w:rsidP="00B748B3">
            <w:pPr>
              <w:cnfStyle w:val="000000000000" w:firstRow="0" w:lastRow="0" w:firstColumn="0" w:lastColumn="0" w:oddVBand="0" w:evenVBand="0" w:oddHBand="0" w:evenHBand="0" w:firstRowFirstColumn="0" w:firstRowLastColumn="0" w:lastRowFirstColumn="0" w:lastRowLastColumn="0"/>
              <w:rPr>
                <w:szCs w:val="22"/>
              </w:rPr>
            </w:pPr>
            <w:r>
              <w:rPr>
                <w:szCs w:val="22"/>
              </w:rPr>
              <w:t>5 June 2024</w:t>
            </w:r>
          </w:p>
        </w:tc>
      </w:tr>
      <w:tr w:rsidR="00324B33" w:rsidRPr="00D01DDB" w14:paraId="302FCB45" w14:textId="77777777" w:rsidTr="00B8511A">
        <w:tc>
          <w:tcPr>
            <w:cnfStyle w:val="001000000000" w:firstRow="0" w:lastRow="0" w:firstColumn="1" w:lastColumn="0" w:oddVBand="0" w:evenVBand="0" w:oddHBand="0" w:evenHBand="0" w:firstRowFirstColumn="0" w:firstRowLastColumn="0" w:lastRowFirstColumn="0" w:lastRowLastColumn="0"/>
            <w:tcW w:w="6025" w:type="dxa"/>
          </w:tcPr>
          <w:p w14:paraId="716E9DC1" w14:textId="5F7E651F" w:rsidR="00324B33" w:rsidRPr="00D01DDB" w:rsidRDefault="00F46085" w:rsidP="00B748B3">
            <w:pPr>
              <w:rPr>
                <w:szCs w:val="22"/>
              </w:rPr>
            </w:pPr>
            <w:r>
              <w:rPr>
                <w:szCs w:val="22"/>
              </w:rPr>
              <w:t>Delegate</w:t>
            </w:r>
            <w:r w:rsidR="00324B33" w:rsidRPr="00D01DDB">
              <w:rPr>
                <w:szCs w:val="22"/>
              </w:rPr>
              <w:t>’s</w:t>
            </w:r>
            <w:r w:rsidR="00500D68">
              <w:rPr>
                <w:rStyle w:val="FootnoteReference"/>
                <w:szCs w:val="22"/>
              </w:rPr>
              <w:footnoteReference w:id="19"/>
            </w:r>
            <w:r w:rsidR="00324B33" w:rsidRPr="00D01DDB">
              <w:rPr>
                <w:szCs w:val="22"/>
              </w:rPr>
              <w:t xml:space="preserve"> Overall benefit-risk assessment </w:t>
            </w:r>
            <w:r w:rsidR="00324B33" w:rsidRPr="00B820FE">
              <w:rPr>
                <w:color w:val="auto"/>
                <w:szCs w:val="22"/>
              </w:rPr>
              <w:t xml:space="preserve">and request for Advisory Committee advice </w:t>
            </w:r>
          </w:p>
        </w:tc>
        <w:tc>
          <w:tcPr>
            <w:tcW w:w="2977" w:type="dxa"/>
          </w:tcPr>
          <w:p w14:paraId="3BA6EF79" w14:textId="61966FCA" w:rsidR="00324B33" w:rsidRPr="00D01DDB" w:rsidRDefault="00B820FE" w:rsidP="00B748B3">
            <w:pPr>
              <w:cnfStyle w:val="000000000000" w:firstRow="0" w:lastRow="0" w:firstColumn="0" w:lastColumn="0" w:oddVBand="0" w:evenVBand="0" w:oddHBand="0" w:evenHBand="0" w:firstRowFirstColumn="0" w:firstRowLastColumn="0" w:lastRowFirstColumn="0" w:lastRowLastColumn="0"/>
              <w:rPr>
                <w:szCs w:val="22"/>
              </w:rPr>
            </w:pPr>
            <w:r>
              <w:rPr>
                <w:szCs w:val="22"/>
              </w:rPr>
              <w:t>2 July 2024</w:t>
            </w:r>
          </w:p>
        </w:tc>
      </w:tr>
      <w:tr w:rsidR="00324B33" w:rsidRPr="00D01DDB" w14:paraId="5754F7AC" w14:textId="77777777" w:rsidTr="00B8511A">
        <w:tc>
          <w:tcPr>
            <w:cnfStyle w:val="001000000000" w:firstRow="0" w:lastRow="0" w:firstColumn="1" w:lastColumn="0" w:oddVBand="0" w:evenVBand="0" w:oddHBand="0" w:evenHBand="0" w:firstRowFirstColumn="0" w:firstRowLastColumn="0" w:lastRowFirstColumn="0" w:lastRowLastColumn="0"/>
            <w:tcW w:w="6025" w:type="dxa"/>
          </w:tcPr>
          <w:p w14:paraId="789DE187" w14:textId="123446EE" w:rsidR="00324B33" w:rsidRPr="00E679D1" w:rsidRDefault="00324B33" w:rsidP="00B748B3">
            <w:r w:rsidRPr="00E679D1">
              <w:t>Advisory Committee meeting</w:t>
            </w:r>
          </w:p>
        </w:tc>
        <w:tc>
          <w:tcPr>
            <w:tcW w:w="2977" w:type="dxa"/>
          </w:tcPr>
          <w:p w14:paraId="5BE1EDE7" w14:textId="29F90F99" w:rsidR="00324B33" w:rsidRPr="00D01DDB" w:rsidRDefault="00B820FE" w:rsidP="00B748B3">
            <w:pPr>
              <w:cnfStyle w:val="000000000000" w:firstRow="0" w:lastRow="0" w:firstColumn="0" w:lastColumn="0" w:oddVBand="0" w:evenVBand="0" w:oddHBand="0" w:evenHBand="0" w:firstRowFirstColumn="0" w:firstRowLastColumn="0" w:lastRowFirstColumn="0" w:lastRowLastColumn="0"/>
              <w:rPr>
                <w:szCs w:val="22"/>
              </w:rPr>
            </w:pPr>
            <w:r>
              <w:rPr>
                <w:szCs w:val="22"/>
              </w:rPr>
              <w:t>19 August 2024</w:t>
            </w:r>
          </w:p>
        </w:tc>
      </w:tr>
      <w:tr w:rsidR="00324B33" w:rsidRPr="00D01DDB" w14:paraId="6E5D32FE" w14:textId="77777777" w:rsidTr="00B8511A">
        <w:tc>
          <w:tcPr>
            <w:cnfStyle w:val="001000000000" w:firstRow="0" w:lastRow="0" w:firstColumn="1" w:lastColumn="0" w:oddVBand="0" w:evenVBand="0" w:oddHBand="0" w:evenHBand="0" w:firstRowFirstColumn="0" w:firstRowLastColumn="0" w:lastRowFirstColumn="0" w:lastRowLastColumn="0"/>
            <w:tcW w:w="6025" w:type="dxa"/>
          </w:tcPr>
          <w:p w14:paraId="4E95C44C" w14:textId="7A91C710" w:rsidR="00324B33" w:rsidRPr="00E679D1" w:rsidRDefault="00324B33" w:rsidP="00B748B3">
            <w:r w:rsidRPr="00E679D1">
              <w:t>Registration decision (Outcome)</w:t>
            </w:r>
          </w:p>
        </w:tc>
        <w:tc>
          <w:tcPr>
            <w:tcW w:w="2977" w:type="dxa"/>
          </w:tcPr>
          <w:p w14:paraId="62987ABD" w14:textId="44923A20" w:rsidR="00324B33" w:rsidRPr="00D01DDB" w:rsidRDefault="00A9448B" w:rsidP="00B748B3">
            <w:pPr>
              <w:cnfStyle w:val="000000000000" w:firstRow="0" w:lastRow="0" w:firstColumn="0" w:lastColumn="0" w:oddVBand="0" w:evenVBand="0" w:oddHBand="0" w:evenHBand="0" w:firstRowFirstColumn="0" w:firstRowLastColumn="0" w:lastRowFirstColumn="0" w:lastRowLastColumn="0"/>
              <w:rPr>
                <w:szCs w:val="22"/>
              </w:rPr>
            </w:pPr>
            <w:r>
              <w:rPr>
                <w:szCs w:val="22"/>
              </w:rPr>
              <w:t>9 September 2024</w:t>
            </w:r>
          </w:p>
        </w:tc>
      </w:tr>
      <w:tr w:rsidR="00324B33" w:rsidRPr="00D01DDB" w14:paraId="6DDCDDA4" w14:textId="77777777" w:rsidTr="00B8511A">
        <w:tc>
          <w:tcPr>
            <w:cnfStyle w:val="001000000000" w:firstRow="0" w:lastRow="0" w:firstColumn="1" w:lastColumn="0" w:oddVBand="0" w:evenVBand="0" w:oddHBand="0" w:evenHBand="0" w:firstRowFirstColumn="0" w:firstRowLastColumn="0" w:lastRowFirstColumn="0" w:lastRowLastColumn="0"/>
            <w:tcW w:w="6025" w:type="dxa"/>
          </w:tcPr>
          <w:p w14:paraId="192FD19D" w14:textId="38C0F35C" w:rsidR="00324B33" w:rsidRPr="00A9448B" w:rsidRDefault="00B80D2A" w:rsidP="00B748B3">
            <w:r w:rsidRPr="00A9448B">
              <w:t>Registration in the ARTG</w:t>
            </w:r>
          </w:p>
        </w:tc>
        <w:tc>
          <w:tcPr>
            <w:tcW w:w="2977" w:type="dxa"/>
          </w:tcPr>
          <w:p w14:paraId="5A8923FD" w14:textId="41D177BD" w:rsidR="00324B33" w:rsidRPr="00D01DDB" w:rsidRDefault="007A0B77" w:rsidP="00B748B3">
            <w:pPr>
              <w:cnfStyle w:val="000000000000" w:firstRow="0" w:lastRow="0" w:firstColumn="0" w:lastColumn="0" w:oddVBand="0" w:evenVBand="0" w:oddHBand="0" w:evenHBand="0" w:firstRowFirstColumn="0" w:firstRowLastColumn="0" w:lastRowFirstColumn="0" w:lastRowLastColumn="0"/>
              <w:rPr>
                <w:szCs w:val="22"/>
              </w:rPr>
            </w:pPr>
            <w:r>
              <w:rPr>
                <w:szCs w:val="22"/>
              </w:rPr>
              <w:t>10 September 2024</w:t>
            </w:r>
          </w:p>
        </w:tc>
      </w:tr>
      <w:tr w:rsidR="00324B33" w:rsidRPr="00D01DDB" w14:paraId="56D922E2" w14:textId="77777777" w:rsidTr="00B8511A">
        <w:tc>
          <w:tcPr>
            <w:cnfStyle w:val="001000000000" w:firstRow="0" w:lastRow="0" w:firstColumn="1" w:lastColumn="0" w:oddVBand="0" w:evenVBand="0" w:oddHBand="0" w:evenHBand="0" w:firstRowFirstColumn="0" w:firstRowLastColumn="0" w:lastRowFirstColumn="0" w:lastRowLastColumn="0"/>
            <w:tcW w:w="6025" w:type="dxa"/>
          </w:tcPr>
          <w:p w14:paraId="787FD8DD" w14:textId="613EDDB6" w:rsidR="00324B33" w:rsidRPr="00E679D1" w:rsidRDefault="00324B33" w:rsidP="00B748B3">
            <w:r w:rsidRPr="00E679D1">
              <w:t>Number of working days from submission dossier acceptance to registration decision</w:t>
            </w:r>
            <w:r w:rsidR="00303A00">
              <w:t xml:space="preserve"> (the s</w:t>
            </w:r>
            <w:r w:rsidR="00303A00" w:rsidRPr="00303A00">
              <w:t>tatutory timeframe for standard submissions is 255 working days</w:t>
            </w:r>
            <w:r w:rsidR="00303A00">
              <w:t>)</w:t>
            </w:r>
          </w:p>
        </w:tc>
        <w:tc>
          <w:tcPr>
            <w:tcW w:w="2977" w:type="dxa"/>
          </w:tcPr>
          <w:p w14:paraId="5BAF9FA1" w14:textId="59906996" w:rsidR="00324B33" w:rsidRPr="00D01DDB" w:rsidRDefault="00B820FE" w:rsidP="00B748B3">
            <w:pPr>
              <w:cnfStyle w:val="000000000000" w:firstRow="0" w:lastRow="0" w:firstColumn="0" w:lastColumn="0" w:oddVBand="0" w:evenVBand="0" w:oddHBand="0" w:evenHBand="0" w:firstRowFirstColumn="0" w:firstRowLastColumn="0" w:lastRowFirstColumn="0" w:lastRowLastColumn="0"/>
              <w:rPr>
                <w:szCs w:val="22"/>
              </w:rPr>
            </w:pPr>
            <w:r>
              <w:rPr>
                <w:szCs w:val="22"/>
              </w:rPr>
              <w:t>230</w:t>
            </w:r>
          </w:p>
        </w:tc>
      </w:tr>
    </w:tbl>
    <w:p w14:paraId="220925F1" w14:textId="65526536" w:rsidR="00C22214" w:rsidRDefault="00A9448B" w:rsidP="00077AD3">
      <w:pPr>
        <w:pStyle w:val="Heading2"/>
      </w:pPr>
      <w:bookmarkStart w:id="27" w:name="_Toc196046504"/>
      <w:bookmarkStart w:id="28" w:name="_Toc247691527"/>
      <w:bookmarkStart w:id="29" w:name="_Toc314842510"/>
      <w:bookmarkStart w:id="30" w:name="_Toc103679294"/>
      <w:bookmarkStart w:id="31" w:name="_Toc178239604"/>
      <w:r>
        <w:t>Evaluation</w:t>
      </w:r>
      <w:r w:rsidR="00C22214" w:rsidRPr="00006FAB">
        <w:t xml:space="preserve"> </w:t>
      </w:r>
      <w:r w:rsidR="00C22214" w:rsidRPr="00077AD3">
        <w:t>overview</w:t>
      </w:r>
      <w:bookmarkEnd w:id="27"/>
      <w:bookmarkEnd w:id="28"/>
      <w:bookmarkEnd w:id="29"/>
      <w:bookmarkEnd w:id="30"/>
      <w:bookmarkEnd w:id="31"/>
    </w:p>
    <w:p w14:paraId="35B580A5" w14:textId="208C2F82" w:rsidR="00C22214" w:rsidRDefault="00C22214" w:rsidP="00077AD3">
      <w:pPr>
        <w:pStyle w:val="Heading3"/>
      </w:pPr>
      <w:bookmarkStart w:id="32" w:name="_Toc247691530"/>
      <w:bookmarkStart w:id="33" w:name="_Toc314842513"/>
      <w:bookmarkStart w:id="34" w:name="_Toc103679297"/>
      <w:bookmarkStart w:id="35" w:name="_Toc178239605"/>
      <w:r>
        <w:t>Clinical</w:t>
      </w:r>
      <w:bookmarkEnd w:id="32"/>
      <w:bookmarkEnd w:id="33"/>
      <w:bookmarkEnd w:id="34"/>
      <w:r w:rsidR="00F956CF">
        <w:t xml:space="preserve"> </w:t>
      </w:r>
      <w:r w:rsidR="00F956CF" w:rsidRPr="00F956CF">
        <w:t xml:space="preserve">evaluation </w:t>
      </w:r>
      <w:r w:rsidR="00F956CF" w:rsidRPr="00077AD3">
        <w:t>summary</w:t>
      </w:r>
      <w:bookmarkEnd w:id="35"/>
    </w:p>
    <w:p w14:paraId="32B0DEDA" w14:textId="61CE8C5B" w:rsidR="00C22214" w:rsidRDefault="00C22214" w:rsidP="00077AD3">
      <w:pPr>
        <w:pStyle w:val="Heading4"/>
      </w:pPr>
      <w:bookmarkStart w:id="36" w:name="_Toc98931928"/>
      <w:bookmarkStart w:id="37" w:name="_Toc178239606"/>
      <w:r>
        <w:t xml:space="preserve">Summary of </w:t>
      </w:r>
      <w:r w:rsidRPr="00077AD3">
        <w:t>clinical</w:t>
      </w:r>
      <w:r>
        <w:t xml:space="preserve"> studies</w:t>
      </w:r>
      <w:bookmarkEnd w:id="36"/>
      <w:bookmarkEnd w:id="37"/>
    </w:p>
    <w:p w14:paraId="44EDE8A9" w14:textId="74385622" w:rsidR="00B820FE" w:rsidRPr="00077AD3" w:rsidRDefault="00B820FE" w:rsidP="00077AD3">
      <w:pPr>
        <w:rPr>
          <w:lang w:eastAsia="ja-JP"/>
        </w:rPr>
      </w:pPr>
      <w:r w:rsidRPr="00B820FE">
        <w:rPr>
          <w:lang w:eastAsia="ja-JP"/>
        </w:rPr>
        <w:t>The following</w:t>
      </w:r>
      <w:r w:rsidRPr="00B820FE">
        <w:rPr>
          <w:color w:val="000000"/>
        </w:rPr>
        <w:t xml:space="preserve"> clinical studies</w:t>
      </w:r>
      <w:r w:rsidRPr="00B820FE">
        <w:rPr>
          <w:lang w:eastAsia="ja-JP"/>
        </w:rPr>
        <w:t xml:space="preserve"> </w:t>
      </w:r>
      <w:r w:rsidR="00473972">
        <w:rPr>
          <w:lang w:eastAsia="ja-JP"/>
        </w:rPr>
        <w:t xml:space="preserve">have </w:t>
      </w:r>
      <w:r w:rsidRPr="00B820FE">
        <w:rPr>
          <w:lang w:eastAsia="ja-JP"/>
        </w:rPr>
        <w:t>not been previously submitted to the TGA for evaluation</w:t>
      </w:r>
      <w:r w:rsidR="00A50C50">
        <w:rPr>
          <w:lang w:eastAsia="ja-JP"/>
        </w:rPr>
        <w:t>.</w:t>
      </w:r>
    </w:p>
    <w:p w14:paraId="76037023" w14:textId="78FE050B" w:rsidR="00B820FE" w:rsidRPr="00B820FE" w:rsidRDefault="00B820FE" w:rsidP="00077AD3">
      <w:pPr>
        <w:pStyle w:val="Heading5"/>
        <w:rPr>
          <w:lang w:eastAsia="ja-JP"/>
        </w:rPr>
      </w:pPr>
      <w:r w:rsidRPr="00B820FE">
        <w:rPr>
          <w:lang w:eastAsia="ja-JP"/>
        </w:rPr>
        <w:t xml:space="preserve">Clinical </w:t>
      </w:r>
      <w:r w:rsidRPr="00077AD3">
        <w:t>pharmacology</w:t>
      </w:r>
      <w:r w:rsidRPr="00B820FE">
        <w:rPr>
          <w:lang w:eastAsia="ja-JP"/>
        </w:rPr>
        <w:t xml:space="preserve"> studies</w:t>
      </w:r>
    </w:p>
    <w:p w14:paraId="7CF1D942" w14:textId="77777777" w:rsidR="00B820FE" w:rsidRPr="00473972" w:rsidRDefault="00155131" w:rsidP="00077AD3">
      <w:pPr>
        <w:pStyle w:val="ListBullet"/>
        <w:rPr>
          <w:rFonts w:cs="Calibri"/>
        </w:rPr>
      </w:pPr>
      <w:hyperlink r:id="rId26" w:history="1">
        <w:r w:rsidR="00B820FE" w:rsidRPr="00473972">
          <w:rPr>
            <w:rFonts w:cs="Calibri"/>
          </w:rPr>
          <w:t>Study I8F-MC-GPHU</w:t>
        </w:r>
      </w:hyperlink>
      <w:r w:rsidR="00B820FE" w:rsidRPr="00473972">
        <w:rPr>
          <w:rFonts w:cs="Calibri"/>
        </w:rPr>
        <w:t xml:space="preserve"> – assessing the effect of tirzepatide on gastric emptying in participants with obesity.</w:t>
      </w:r>
    </w:p>
    <w:p w14:paraId="6528C491" w14:textId="3B3DFCAB" w:rsidR="00B820FE" w:rsidRPr="00473972" w:rsidRDefault="00155131" w:rsidP="00077AD3">
      <w:pPr>
        <w:pStyle w:val="ListBullet"/>
        <w:rPr>
          <w:rFonts w:cs="Calibri"/>
        </w:rPr>
      </w:pPr>
      <w:hyperlink r:id="rId27" w:history="1">
        <w:r w:rsidR="00B820FE" w:rsidRPr="00473972">
          <w:rPr>
            <w:rFonts w:cs="Calibri"/>
          </w:rPr>
          <w:t>Study I8F-MC-GPHT</w:t>
        </w:r>
      </w:hyperlink>
      <w:r w:rsidR="00B820FE" w:rsidRPr="00473972">
        <w:rPr>
          <w:rFonts w:cs="Calibri"/>
        </w:rPr>
        <w:t xml:space="preserve"> – assessing safety, tolerability, </w:t>
      </w:r>
      <w:r w:rsidR="00AF4834">
        <w:rPr>
          <w:rFonts w:cs="Calibri"/>
        </w:rPr>
        <w:t>pharmacokinetics (</w:t>
      </w:r>
      <w:r w:rsidR="00B820FE" w:rsidRPr="00473972">
        <w:rPr>
          <w:rFonts w:cs="Calibri"/>
        </w:rPr>
        <w:t>PK</w:t>
      </w:r>
      <w:r w:rsidR="00AF4834">
        <w:rPr>
          <w:rFonts w:cs="Calibri"/>
        </w:rPr>
        <w:t>)</w:t>
      </w:r>
      <w:r w:rsidR="00B820FE" w:rsidRPr="00473972">
        <w:rPr>
          <w:rFonts w:cs="Calibri"/>
        </w:rPr>
        <w:t xml:space="preserve"> and </w:t>
      </w:r>
      <w:r w:rsidR="00AF4834">
        <w:rPr>
          <w:rFonts w:cs="Calibri"/>
        </w:rPr>
        <w:t>pharmacodynamics (</w:t>
      </w:r>
      <w:r w:rsidR="00B820FE" w:rsidRPr="00473972">
        <w:rPr>
          <w:rFonts w:cs="Calibri"/>
        </w:rPr>
        <w:t>PD</w:t>
      </w:r>
      <w:r w:rsidR="00AF4834">
        <w:rPr>
          <w:rFonts w:cs="Calibri"/>
        </w:rPr>
        <w:t>)</w:t>
      </w:r>
      <w:r w:rsidR="00B820FE" w:rsidRPr="00473972">
        <w:rPr>
          <w:rFonts w:cs="Calibri"/>
        </w:rPr>
        <w:t xml:space="preserve"> of tirzepatide in Chinese patients with T2DM.</w:t>
      </w:r>
    </w:p>
    <w:p w14:paraId="6809D7CC" w14:textId="77777777" w:rsidR="00B820FE" w:rsidRPr="00473972" w:rsidRDefault="00155131" w:rsidP="00077AD3">
      <w:pPr>
        <w:pStyle w:val="ListBullet"/>
        <w:rPr>
          <w:rFonts w:cs="Calibri"/>
        </w:rPr>
      </w:pPr>
      <w:hyperlink r:id="rId28" w:history="1">
        <w:r w:rsidR="00B820FE" w:rsidRPr="00473972">
          <w:rPr>
            <w:rFonts w:cs="Calibri"/>
          </w:rPr>
          <w:t>Study I8F-MC-GPHG</w:t>
        </w:r>
      </w:hyperlink>
      <w:r w:rsidR="00B820FE" w:rsidRPr="00473972">
        <w:rPr>
          <w:rFonts w:cs="Calibri"/>
        </w:rPr>
        <w:t xml:space="preserve"> – assessing the counter-regulatory response to hypoglycaemia in T2DM from tirzepatide and placebo.</w:t>
      </w:r>
    </w:p>
    <w:p w14:paraId="5CA8A73E" w14:textId="141D7E1F" w:rsidR="00B820FE" w:rsidRPr="00B820FE" w:rsidRDefault="00B820FE" w:rsidP="00077AD3">
      <w:pPr>
        <w:pStyle w:val="Heading5"/>
        <w:rPr>
          <w:lang w:eastAsia="ja-JP"/>
        </w:rPr>
      </w:pPr>
      <w:r w:rsidRPr="00B820FE">
        <w:rPr>
          <w:lang w:eastAsia="ja-JP"/>
        </w:rPr>
        <w:t>Phase 3 studies</w:t>
      </w:r>
    </w:p>
    <w:p w14:paraId="4D24D236" w14:textId="52CB958E" w:rsidR="00B820FE" w:rsidRPr="00473972" w:rsidRDefault="00B820FE" w:rsidP="00077AD3">
      <w:pPr>
        <w:pStyle w:val="ListBullet"/>
        <w:rPr>
          <w:rFonts w:cs="Calibri"/>
        </w:rPr>
      </w:pPr>
      <w:r w:rsidRPr="00473972">
        <w:rPr>
          <w:rFonts w:cs="Calibri"/>
        </w:rPr>
        <w:t xml:space="preserve">Global, pivotal Phase 3 study in participants with obesity or overweight, without diabetes mellitus </w:t>
      </w:r>
      <w:hyperlink r:id="rId29" w:history="1">
        <w:r w:rsidRPr="00473972">
          <w:rPr>
            <w:rFonts w:cs="Calibri"/>
          </w:rPr>
          <w:t>Study I8F-MC-GPHK</w:t>
        </w:r>
      </w:hyperlink>
      <w:r w:rsidRPr="00473972">
        <w:rPr>
          <w:rFonts w:cs="Calibri"/>
        </w:rPr>
        <w:t xml:space="preserve"> (SURMOUNT-1)</w:t>
      </w:r>
      <w:r w:rsidR="00077AD3">
        <w:rPr>
          <w:rFonts w:cs="Calibri"/>
        </w:rPr>
        <w:t>.</w:t>
      </w:r>
    </w:p>
    <w:p w14:paraId="18A12F8C" w14:textId="597AB055" w:rsidR="00B820FE" w:rsidRPr="00473972" w:rsidRDefault="00B820FE" w:rsidP="00077AD3">
      <w:pPr>
        <w:pStyle w:val="ListBullet"/>
      </w:pPr>
      <w:r w:rsidRPr="00473972">
        <w:t xml:space="preserve">Placebo-controlled, double-blinded study of the safety and efficacy of tirzepatide 10 and 15 mg QW, compared with placebo, when used in conjunction with a reduced-calorie diet and increased physical activity for weight management </w:t>
      </w:r>
      <w:hyperlink r:id="rId30" w:history="1">
        <w:r w:rsidRPr="00473972">
          <w:t>Study I8F-MC-GPHL</w:t>
        </w:r>
      </w:hyperlink>
      <w:r w:rsidRPr="00473972">
        <w:t xml:space="preserve"> (SURMOUNT-2)</w:t>
      </w:r>
      <w:r w:rsidR="00077AD3">
        <w:t>.</w:t>
      </w:r>
    </w:p>
    <w:p w14:paraId="7AA9BDBC" w14:textId="5257FA82" w:rsidR="00B820FE" w:rsidRPr="00473972" w:rsidRDefault="00155131" w:rsidP="00077AD3">
      <w:pPr>
        <w:pStyle w:val="ListBullet"/>
        <w:rPr>
          <w:rFonts w:cs="Calibri"/>
        </w:rPr>
      </w:pPr>
      <w:hyperlink r:id="rId31" w:history="1">
        <w:r w:rsidR="00B820FE" w:rsidRPr="00473972">
          <w:rPr>
            <w:rFonts w:cs="Calibri"/>
          </w:rPr>
          <w:t>Study I8F-MC-GPHO</w:t>
        </w:r>
      </w:hyperlink>
      <w:r w:rsidR="00B820FE" w:rsidRPr="00473972">
        <w:rPr>
          <w:rFonts w:cs="Calibri"/>
        </w:rPr>
        <w:t xml:space="preserve"> (SURPASS-AP-Combo) used the tirzepatide 5, 10, and 15 mg maintenance doses and the same tirzepatide dose-escalation scheme used in the global Phase 3 studies. Data not previously provided.</w:t>
      </w:r>
    </w:p>
    <w:p w14:paraId="5CE0D81F" w14:textId="6ABD8A15" w:rsidR="00B820FE" w:rsidRPr="00B820FE" w:rsidRDefault="00B820FE" w:rsidP="00077AD3">
      <w:pPr>
        <w:rPr>
          <w:rFonts w:cs="Calibri"/>
          <w:lang w:eastAsia="ja-JP"/>
        </w:rPr>
      </w:pPr>
      <w:r w:rsidRPr="0069540D">
        <w:rPr>
          <w:rFonts w:cs="Calibri"/>
          <w:color w:val="000000" w:themeColor="text1"/>
          <w:lang w:eastAsia="ja-JP"/>
        </w:rPr>
        <w:t xml:space="preserve">The </w:t>
      </w:r>
      <w:r w:rsidR="00F46085">
        <w:rPr>
          <w:rFonts w:cs="Calibri"/>
          <w:color w:val="000000" w:themeColor="text1"/>
          <w:lang w:eastAsia="ja-JP"/>
        </w:rPr>
        <w:t>Sponsor</w:t>
      </w:r>
      <w:r w:rsidRPr="0069540D">
        <w:rPr>
          <w:rFonts w:cs="Calibri"/>
          <w:color w:val="000000" w:themeColor="text1"/>
          <w:lang w:eastAsia="ja-JP"/>
        </w:rPr>
        <w:t xml:space="preserve"> has also provided </w:t>
      </w:r>
      <w:r w:rsidRPr="00077AD3">
        <w:rPr>
          <w:rFonts w:cs="Calibri"/>
          <w:lang w:eastAsia="ja-JP"/>
        </w:rPr>
        <w:t>population PK analysis and exposure-response analyses of tirzepatide for chronic weight management</w:t>
      </w:r>
      <w:r w:rsidRPr="00B820FE">
        <w:rPr>
          <w:rFonts w:cs="Calibri"/>
          <w:color w:val="000000" w:themeColor="text1"/>
          <w:lang w:eastAsia="ja-JP"/>
        </w:rPr>
        <w:t xml:space="preserve">, based on </w:t>
      </w:r>
      <w:r w:rsidRPr="00B820FE">
        <w:rPr>
          <w:rFonts w:cs="Calibri"/>
          <w:lang w:eastAsia="ja-JP"/>
        </w:rPr>
        <w:t>data from the SURMOUNT-1 study.</w:t>
      </w:r>
    </w:p>
    <w:p w14:paraId="794E1E50" w14:textId="090FF732" w:rsidR="00B820FE" w:rsidRDefault="00B820FE" w:rsidP="00077AD3">
      <w:r w:rsidRPr="00B820FE">
        <w:t xml:space="preserve">Nineteen completed clinical studies were included in the </w:t>
      </w:r>
      <w:r w:rsidR="004C1CA6">
        <w:t>initial</w:t>
      </w:r>
      <w:r w:rsidRPr="00B820FE">
        <w:t xml:space="preserve"> submission for </w:t>
      </w:r>
      <w:r w:rsidR="00671D39">
        <w:t>Mounjaro</w:t>
      </w:r>
      <w:r w:rsidRPr="00B820FE">
        <w:t xml:space="preserve"> </w:t>
      </w:r>
      <w:r w:rsidR="004C1CA6">
        <w:t xml:space="preserve">and </w:t>
      </w:r>
      <w:r w:rsidRPr="00B820FE">
        <w:t xml:space="preserve">have </w:t>
      </w:r>
      <w:r w:rsidR="004C1CA6" w:rsidRPr="004C1CA6">
        <w:t>been previously reviewed by the TGA</w:t>
      </w:r>
      <w:r w:rsidR="004C1CA6">
        <w:t>.</w:t>
      </w:r>
      <w:r w:rsidR="004C1CA6">
        <w:rPr>
          <w:rStyle w:val="FootnoteReference"/>
          <w:rFonts w:cs="Calibri"/>
        </w:rPr>
        <w:footnoteReference w:id="20"/>
      </w:r>
    </w:p>
    <w:p w14:paraId="7AF9E5E0" w14:textId="75A08B83" w:rsidR="00B820FE" w:rsidRPr="00842E1E" w:rsidRDefault="00B820FE" w:rsidP="00077AD3">
      <w:pPr>
        <w:pStyle w:val="Heading4"/>
      </w:pPr>
      <w:bookmarkStart w:id="38" w:name="_Toc178239607"/>
      <w:r w:rsidRPr="00077AD3">
        <w:t>Pharmacology</w:t>
      </w:r>
      <w:bookmarkEnd w:id="38"/>
    </w:p>
    <w:p w14:paraId="797CD49D" w14:textId="1D0D6BF1" w:rsidR="00B820FE" w:rsidRPr="00B820FE" w:rsidRDefault="00B820FE" w:rsidP="00077AD3">
      <w:pPr>
        <w:pStyle w:val="Heading5"/>
      </w:pPr>
      <w:r w:rsidRPr="00077AD3">
        <w:t>Pharmacokinetics</w:t>
      </w:r>
    </w:p>
    <w:p w14:paraId="328B40F4" w14:textId="4E615A00" w:rsidR="004C1CA6" w:rsidRPr="003F3DBC" w:rsidRDefault="00155131" w:rsidP="00077AD3">
      <w:pPr>
        <w:pStyle w:val="Heading6"/>
        <w:rPr>
          <w:rFonts w:cs="Calibri"/>
          <w:lang w:eastAsia="ja-JP"/>
        </w:rPr>
      </w:pPr>
      <w:hyperlink r:id="rId32" w:history="1">
        <w:r w:rsidR="00B820FE" w:rsidRPr="003F3DBC">
          <w:rPr>
            <w:rFonts w:cs="Calibri"/>
            <w:lang w:eastAsia="ja-JP"/>
          </w:rPr>
          <w:t>Study I8F-MC-</w:t>
        </w:r>
        <w:r w:rsidR="00B820FE" w:rsidRPr="00077AD3">
          <w:t>GPHU</w:t>
        </w:r>
      </w:hyperlink>
    </w:p>
    <w:p w14:paraId="4C301A1B" w14:textId="23478CBC" w:rsidR="00B820FE" w:rsidRPr="00077AD3" w:rsidRDefault="00B820FE" w:rsidP="00077AD3">
      <w:pPr>
        <w:rPr>
          <w:b/>
          <w:bCs/>
        </w:rPr>
      </w:pPr>
      <w:r w:rsidRPr="00077AD3">
        <w:rPr>
          <w:b/>
          <w:bCs/>
        </w:rPr>
        <w:t>The Impact of Tirzepatide on Gastric Emptying (GE) in Overweight/Obese Non-diabetic Subjects and in Overweight/Obese Subjects with Type 2 Diabetes Mellitus</w:t>
      </w:r>
    </w:p>
    <w:p w14:paraId="6C665B8B" w14:textId="696ADC22" w:rsidR="00B820FE" w:rsidRPr="00B820FE" w:rsidRDefault="00B820FE" w:rsidP="00077AD3">
      <w:pPr>
        <w:pStyle w:val="ListBullet"/>
      </w:pPr>
      <w:r w:rsidRPr="00B820FE">
        <w:t>Th</w:t>
      </w:r>
      <w:r w:rsidR="008304E7">
        <w:t>e</w:t>
      </w:r>
      <w:r w:rsidRPr="00B820FE">
        <w:t xml:space="preserve"> primary objective of this study was to assess the effect of tirzepatide on the PK profile of paracetamol, used in the study as a marker for gastric emptying (GE).</w:t>
      </w:r>
    </w:p>
    <w:p w14:paraId="2DD2C641" w14:textId="438C0215" w:rsidR="00B820FE" w:rsidRPr="00B820FE" w:rsidRDefault="00B820FE" w:rsidP="00077AD3">
      <w:pPr>
        <w:pStyle w:val="ListBullet"/>
      </w:pPr>
      <w:r w:rsidRPr="00B820FE">
        <w:t xml:space="preserve">A total of 36 participants with obesity or overweight (18 with /18 without T2DM) aged 28-65 years, with a </w:t>
      </w:r>
      <w:r w:rsidR="001E4F12">
        <w:t xml:space="preserve">BMI </w:t>
      </w:r>
      <w:r w:rsidRPr="00B820FE">
        <w:t>of 27.12 to 44.87 kg/m</w:t>
      </w:r>
      <w:r w:rsidRPr="0069540D">
        <w:rPr>
          <w:vertAlign w:val="superscript"/>
        </w:rPr>
        <w:t>2</w:t>
      </w:r>
      <w:r w:rsidRPr="00B820FE">
        <w:t xml:space="preserve"> were enrolled.</w:t>
      </w:r>
    </w:p>
    <w:p w14:paraId="0A0C6EAD" w14:textId="2FB39704" w:rsidR="00B820FE" w:rsidRPr="00B820FE" w:rsidRDefault="00B820FE" w:rsidP="00077AD3">
      <w:pPr>
        <w:pStyle w:val="Heading6"/>
        <w:rPr>
          <w:rFonts w:eastAsiaTheme="minorHAnsi"/>
        </w:rPr>
      </w:pPr>
      <w:r w:rsidRPr="00077AD3">
        <w:rPr>
          <w:rFonts w:eastAsiaTheme="minorHAnsi"/>
        </w:rPr>
        <w:t>Results</w:t>
      </w:r>
    </w:p>
    <w:p w14:paraId="19FEAC21" w14:textId="047D03E1" w:rsidR="00B820FE" w:rsidRPr="00B820FE" w:rsidRDefault="00B820FE" w:rsidP="00077AD3">
      <w:pPr>
        <w:pStyle w:val="ListBullet"/>
      </w:pPr>
      <w:r w:rsidRPr="00B820FE">
        <w:t>Peak plasma concentration of paracetamol (C</w:t>
      </w:r>
      <w:r w:rsidRPr="00B820FE">
        <w:rPr>
          <w:vertAlign w:val="subscript"/>
        </w:rPr>
        <w:t>max</w:t>
      </w:r>
      <w:r w:rsidRPr="00B820FE">
        <w:t>) was reduced by 55% and 32% when paracetamol was administered in the presence of 5 mg (Day 2) or 15 mg (Day 37) tirzepatide, respectively, compared to dosing with when given alone (Day -1)</w:t>
      </w:r>
      <w:r w:rsidR="00A9448B" w:rsidRPr="00B820FE">
        <w:t xml:space="preserve">. </w:t>
      </w:r>
      <w:r w:rsidRPr="00B820FE">
        <w:t>This is indicative of tirzepatide delaying GE, and the effect diminishes with repeated dosing over time.</w:t>
      </w:r>
    </w:p>
    <w:p w14:paraId="5A1E3A30" w14:textId="6BA6450E" w:rsidR="00B820FE" w:rsidRPr="00B820FE" w:rsidRDefault="00B820FE" w:rsidP="00077AD3">
      <w:pPr>
        <w:pStyle w:val="ListBullet"/>
      </w:pPr>
      <w:r w:rsidRPr="00B820FE">
        <w:t>The C</w:t>
      </w:r>
      <w:r w:rsidRPr="00B820FE">
        <w:rPr>
          <w:vertAlign w:val="subscript"/>
        </w:rPr>
        <w:t>max</w:t>
      </w:r>
      <w:r w:rsidRPr="00B820FE">
        <w:t xml:space="preserve"> of paracetamol was reduced by a similar extent when paracetamol was administered in the presence of 5 mg tirzepatide compared to when administered alone between non-diabetic and T2DM subjects on Day 2. The reduction was greater for T2DM subjects than non-diabetic subjects when paracetamol was administered in the presence of 15 mg tirzepatide compared to when administered alone (20% for non-diabetic versus 43% for T2DM subjects) on Day 37.</w:t>
      </w:r>
    </w:p>
    <w:p w14:paraId="54AB3939" w14:textId="77777777" w:rsidR="00B820FE" w:rsidRPr="00B820FE" w:rsidRDefault="00B820FE" w:rsidP="00077AD3">
      <w:pPr>
        <w:pStyle w:val="ListBullet"/>
      </w:pPr>
      <w:r w:rsidRPr="00B820FE">
        <w:t>Overall exposure to paracetamol, as measured by AUC(0-t</w:t>
      </w:r>
      <w:r w:rsidRPr="00B820FE">
        <w:rPr>
          <w:vertAlign w:val="subscript"/>
        </w:rPr>
        <w:t>last</w:t>
      </w:r>
      <w:r w:rsidRPr="00B820FE">
        <w:t>), changed similarly for non-diabetic and T2DM subjects. The t</w:t>
      </w:r>
      <w:r w:rsidRPr="00B820FE">
        <w:rPr>
          <w:vertAlign w:val="subscript"/>
        </w:rPr>
        <w:t>max</w:t>
      </w:r>
      <w:r w:rsidRPr="00B820FE">
        <w:t xml:space="preserve"> changed similarly for non-diabetic and T2DM subjects.</w:t>
      </w:r>
    </w:p>
    <w:p w14:paraId="47BF2E3A" w14:textId="39DD34EF" w:rsidR="00B820FE" w:rsidRPr="00B820FE" w:rsidRDefault="00B820FE" w:rsidP="00077AD3">
      <w:r w:rsidRPr="00B820FE">
        <w:t>This study demonstrated that the PK profiles and parameters of tirzepatide were generally similar between non-diabetic subjects and subjects with T2DM.</w:t>
      </w:r>
    </w:p>
    <w:p w14:paraId="742055C1" w14:textId="3AD15E60" w:rsidR="0069540D" w:rsidRPr="00E056A4" w:rsidRDefault="00155131" w:rsidP="00077AD3">
      <w:pPr>
        <w:pStyle w:val="Heading6"/>
        <w:rPr>
          <w:rFonts w:cs="Calibri"/>
          <w:lang w:eastAsia="ja-JP"/>
        </w:rPr>
      </w:pPr>
      <w:hyperlink r:id="rId33" w:history="1">
        <w:r w:rsidR="00B820FE" w:rsidRPr="00E056A4">
          <w:rPr>
            <w:rFonts w:cs="Calibri"/>
            <w:lang w:eastAsia="ja-JP"/>
          </w:rPr>
          <w:t>Study I8F-MC-</w:t>
        </w:r>
        <w:r w:rsidR="00B820FE" w:rsidRPr="00077AD3">
          <w:t>GPHT</w:t>
        </w:r>
      </w:hyperlink>
    </w:p>
    <w:p w14:paraId="0C5D3DD7" w14:textId="3F8C3CA5" w:rsidR="00B820FE" w:rsidRPr="00077AD3" w:rsidRDefault="00B820FE" w:rsidP="00077AD3">
      <w:pPr>
        <w:rPr>
          <w:b/>
          <w:bCs/>
          <w:color w:val="000000" w:themeColor="text1"/>
          <w:lang w:eastAsia="ja-JP"/>
        </w:rPr>
      </w:pPr>
      <w:r w:rsidRPr="00077AD3">
        <w:rPr>
          <w:b/>
          <w:bCs/>
        </w:rPr>
        <w:t>A Multiple Dose Titration Study in Chinese Patients with Type 2 DM to Investigate the Safety, Tolerability, Pharmacokinetics, Pharmacodynamics, and Efficacy of Tirzepatide</w:t>
      </w:r>
      <w:r w:rsidR="00AF4834" w:rsidRPr="00077AD3">
        <w:rPr>
          <w:b/>
          <w:bCs/>
        </w:rPr>
        <w:t>.</w:t>
      </w:r>
    </w:p>
    <w:p w14:paraId="701A219E" w14:textId="62E38AEA" w:rsidR="00B820FE" w:rsidRPr="00B820FE" w:rsidRDefault="00B820FE" w:rsidP="00077AD3">
      <w:pPr>
        <w:pStyle w:val="ListBullet"/>
      </w:pPr>
      <w:r w:rsidRPr="00B820FE">
        <w:t xml:space="preserve">A total of 24 native Chinese participants with T2DM, (13 males,11 females), aged 50 - 66 years with </w:t>
      </w:r>
      <w:r w:rsidR="00AF4834">
        <w:t xml:space="preserve">a </w:t>
      </w:r>
      <w:r w:rsidRPr="00B820FE">
        <w:t>BMI of 23.1-31.2 kg/m</w:t>
      </w:r>
      <w:r w:rsidR="006F5366" w:rsidRPr="006F5366">
        <w:rPr>
          <w:vertAlign w:val="superscript"/>
        </w:rPr>
        <w:t>2</w:t>
      </w:r>
      <w:r w:rsidRPr="00B820FE">
        <w:t xml:space="preserve"> received </w:t>
      </w:r>
      <w:r w:rsidR="00AF4834">
        <w:t xml:space="preserve">a </w:t>
      </w:r>
      <w:r w:rsidRPr="00B820FE">
        <w:t>dose-escalation regimen or placebo.</w:t>
      </w:r>
    </w:p>
    <w:p w14:paraId="3588934D" w14:textId="7C432FF0" w:rsidR="00B820FE" w:rsidRPr="00B820FE" w:rsidRDefault="00B820FE" w:rsidP="00077AD3">
      <w:pPr>
        <w:pStyle w:val="Heading6"/>
        <w:rPr>
          <w:rFonts w:eastAsiaTheme="minorHAnsi"/>
        </w:rPr>
      </w:pPr>
      <w:r w:rsidRPr="00077AD3">
        <w:rPr>
          <w:rFonts w:eastAsiaTheme="minorHAnsi"/>
        </w:rPr>
        <w:lastRenderedPageBreak/>
        <w:t>Results</w:t>
      </w:r>
    </w:p>
    <w:p w14:paraId="5387AFD6" w14:textId="3B0F7C2C" w:rsidR="00B820FE" w:rsidRPr="00B820FE" w:rsidRDefault="00B820FE" w:rsidP="00077AD3">
      <w:pPr>
        <w:pStyle w:val="ListBullet"/>
      </w:pPr>
      <w:r w:rsidRPr="00B820FE">
        <w:t>Tirzepatide PK in Chinese participants with T2DM was consistent with findings from Study I8F-MC-GPGA (GPGA)</w:t>
      </w:r>
      <w:r w:rsidR="00077AD3">
        <w:t>.</w:t>
      </w:r>
    </w:p>
    <w:p w14:paraId="17718DCB" w14:textId="5C1B7116" w:rsidR="00B820FE" w:rsidRPr="00B820FE" w:rsidRDefault="00B820FE" w:rsidP="00077AD3">
      <w:pPr>
        <w:pStyle w:val="ListBullet"/>
      </w:pPr>
      <w:r w:rsidRPr="00B820FE">
        <w:t>The PD results were also consistent with Study GPGA</w:t>
      </w:r>
      <w:r w:rsidR="00077AD3">
        <w:t>.</w:t>
      </w:r>
    </w:p>
    <w:p w14:paraId="7A59718B" w14:textId="77777777" w:rsidR="00B820FE" w:rsidRPr="00B820FE" w:rsidRDefault="00B820FE" w:rsidP="00077AD3">
      <w:r w:rsidRPr="00B820FE">
        <w:t>The PK/PD profiles of tirzepatide at doses and escalation schemes investigated support the development of tirzepatide for once weekly dosing in Chinese participants with T2DM.</w:t>
      </w:r>
    </w:p>
    <w:p w14:paraId="5465E8AA" w14:textId="77777777" w:rsidR="00B820FE" w:rsidRDefault="00B820FE" w:rsidP="00077AD3">
      <w:r w:rsidRPr="00B820FE">
        <w:t>The PK/PD profiles based on Study GPHT were in accordance with expectations based on global Phase 1 Study GPGA in healthy participants.</w:t>
      </w:r>
    </w:p>
    <w:p w14:paraId="28683778" w14:textId="336E0CA0" w:rsidR="00E056A4" w:rsidRPr="00E056A4" w:rsidRDefault="00155131" w:rsidP="00077AD3">
      <w:pPr>
        <w:pStyle w:val="Heading6"/>
        <w:rPr>
          <w:rFonts w:cs="Calibri"/>
          <w:szCs w:val="22"/>
          <w:lang w:eastAsia="ja-JP"/>
        </w:rPr>
      </w:pPr>
      <w:hyperlink r:id="rId34" w:history="1">
        <w:r w:rsidR="00B820FE" w:rsidRPr="00E056A4">
          <w:rPr>
            <w:rFonts w:cs="Calibri"/>
            <w:szCs w:val="22"/>
            <w:lang w:eastAsia="ja-JP"/>
          </w:rPr>
          <w:t>Study I8F-</w:t>
        </w:r>
        <w:r w:rsidR="00B820FE" w:rsidRPr="00077AD3">
          <w:t>MC</w:t>
        </w:r>
        <w:r w:rsidR="00B820FE" w:rsidRPr="00E056A4">
          <w:rPr>
            <w:rFonts w:cs="Calibri"/>
            <w:szCs w:val="22"/>
            <w:lang w:eastAsia="ja-JP"/>
          </w:rPr>
          <w:t>-GPHG</w:t>
        </w:r>
      </w:hyperlink>
    </w:p>
    <w:p w14:paraId="649BB5AC" w14:textId="1D2D08A4" w:rsidR="00B820FE" w:rsidRPr="00077AD3" w:rsidRDefault="00B820FE" w:rsidP="00077AD3">
      <w:pPr>
        <w:rPr>
          <w:b/>
          <w:bCs/>
          <w:lang w:eastAsia="ja-JP"/>
        </w:rPr>
      </w:pPr>
      <w:r w:rsidRPr="00077AD3">
        <w:rPr>
          <w:b/>
          <w:bCs/>
          <w:lang w:eastAsia="ja-JP"/>
        </w:rPr>
        <w:t>A Randomi</w:t>
      </w:r>
      <w:r w:rsidR="005038D2" w:rsidRPr="00077AD3">
        <w:rPr>
          <w:b/>
          <w:bCs/>
          <w:lang w:eastAsia="ja-JP"/>
        </w:rPr>
        <w:t>s</w:t>
      </w:r>
      <w:r w:rsidRPr="00077AD3">
        <w:rPr>
          <w:b/>
          <w:bCs/>
          <w:lang w:eastAsia="ja-JP"/>
        </w:rPr>
        <w:t>ed, Placebo-Controlled, Crossover Study to Investigate the Effect of Once-Weekly Tirzepatide on the Counter-Regulatory Response to Hypoglycaemia in Patients with Type 2 Diabetes Mellitus</w:t>
      </w:r>
    </w:p>
    <w:p w14:paraId="44956140" w14:textId="303C727E" w:rsidR="00B820FE" w:rsidRPr="00B820FE" w:rsidRDefault="00B820FE" w:rsidP="00077AD3">
      <w:pPr>
        <w:pStyle w:val="ListBullet"/>
      </w:pPr>
      <w:r w:rsidRPr="00B820FE">
        <w:t>42 participants with T2DM between aged 40 - 67 years, BMI 24.4 - 41.7 kg/m</w:t>
      </w:r>
      <w:r w:rsidRPr="00B8511A">
        <w:rPr>
          <w:vertAlign w:val="superscript"/>
        </w:rPr>
        <w:t>2</w:t>
      </w:r>
      <w:r w:rsidRPr="00B820FE">
        <w:t>, participated.</w:t>
      </w:r>
    </w:p>
    <w:p w14:paraId="459ED427" w14:textId="6E64F303" w:rsidR="00B820FE" w:rsidRPr="00077AD3" w:rsidRDefault="00B820FE" w:rsidP="00077AD3">
      <w:pPr>
        <w:pStyle w:val="Heading6"/>
      </w:pPr>
      <w:r w:rsidRPr="00077AD3">
        <w:t>Results</w:t>
      </w:r>
    </w:p>
    <w:p w14:paraId="793DAA04" w14:textId="6A2D4B22" w:rsidR="00B820FE" w:rsidRPr="00B820FE" w:rsidRDefault="00B820FE" w:rsidP="00077AD3">
      <w:pPr>
        <w:pStyle w:val="ListBullet"/>
      </w:pPr>
      <w:r w:rsidRPr="00B820FE">
        <w:t xml:space="preserve">The change in mean glucagon concentration in response to induced hypoglycaemia from the target PG plateau of 5.5 mmol/L to the nadir plateau of 2.5 mmol/L was not statistically significantly different when receiving </w:t>
      </w:r>
      <w:proofErr w:type="spellStart"/>
      <w:r w:rsidRPr="00B820FE">
        <w:t>tirzepatide</w:t>
      </w:r>
      <w:proofErr w:type="spellEnd"/>
      <w:r w:rsidRPr="00B820FE">
        <w:t xml:space="preserve"> compared to placebo.</w:t>
      </w:r>
    </w:p>
    <w:p w14:paraId="4DB05117" w14:textId="3645C879" w:rsidR="00B820FE" w:rsidRPr="00B820FE" w:rsidRDefault="00B820FE" w:rsidP="00077AD3">
      <w:pPr>
        <w:pStyle w:val="ListBullet"/>
      </w:pPr>
      <w:r w:rsidRPr="00B820FE">
        <w:t>A sensitivity analysis including only those patients who reached the target PG nadir concentration of 2.5 mmol/L showed similar results.</w:t>
      </w:r>
    </w:p>
    <w:p w14:paraId="0023C018" w14:textId="6B5E8D31" w:rsidR="00B820FE" w:rsidRPr="00B820FE" w:rsidRDefault="00B820FE" w:rsidP="00077AD3">
      <w:pPr>
        <w:pStyle w:val="ListBullet"/>
      </w:pPr>
      <w:r w:rsidRPr="00B820FE">
        <w:t>There was no statistically significant difference in change in glucagon concentration from the target PG plateau of 5.5 mmol/L to the target PG plateau of 3.5 mmol/L and recovery to 4.0 mmol/L when receiving tirzepatide compared to placebo.</w:t>
      </w:r>
    </w:p>
    <w:p w14:paraId="768CF8EF" w14:textId="72745891" w:rsidR="00B820FE" w:rsidRDefault="00B820FE" w:rsidP="00077AD3">
      <w:pPr>
        <w:pStyle w:val="Heading5"/>
      </w:pPr>
      <w:r w:rsidRPr="00B820FE">
        <w:t xml:space="preserve">Pharmacokinetics </w:t>
      </w:r>
      <w:r w:rsidR="00385B6E">
        <w:t>–</w:t>
      </w:r>
      <w:r w:rsidRPr="00B820FE">
        <w:t xml:space="preserve"> </w:t>
      </w:r>
      <w:r w:rsidRPr="00077AD3">
        <w:t>summary</w:t>
      </w:r>
    </w:p>
    <w:p w14:paraId="1936ED14" w14:textId="6C933FA8" w:rsidR="00B820FE" w:rsidRDefault="00B820FE" w:rsidP="00077AD3">
      <w:r w:rsidRPr="00B820FE">
        <w:t xml:space="preserve">Tirzepatide </w:t>
      </w:r>
      <w:r w:rsidR="00A9448B" w:rsidRPr="00B820FE">
        <w:t>PKs</w:t>
      </w:r>
      <w:r w:rsidRPr="00B820FE">
        <w:t xml:space="preserve"> </w:t>
      </w:r>
      <w:r w:rsidR="00385B6E">
        <w:t>were</w:t>
      </w:r>
      <w:r w:rsidRPr="00B820FE">
        <w:t xml:space="preserve"> generally similar between healthy participants and participants with obesity or overweight with or without T2DM.</w:t>
      </w:r>
    </w:p>
    <w:p w14:paraId="6B31CAB1" w14:textId="0C9977BB" w:rsidR="00B820FE" w:rsidRPr="00B820FE" w:rsidRDefault="00B820FE" w:rsidP="00077AD3">
      <w:pPr>
        <w:pStyle w:val="Heading6"/>
      </w:pPr>
      <w:r w:rsidRPr="00077AD3">
        <w:t>Absorption</w:t>
      </w:r>
    </w:p>
    <w:p w14:paraId="69263B02" w14:textId="54D5426D" w:rsidR="00AF4834" w:rsidRPr="00077AD3" w:rsidRDefault="00B820FE" w:rsidP="00077AD3">
      <w:pPr>
        <w:rPr>
          <w:lang w:eastAsia="ja-JP"/>
        </w:rPr>
      </w:pPr>
      <w:r w:rsidRPr="00B820FE">
        <w:t xml:space="preserve">Following subcutaneous administration of tirzepatide, median </w:t>
      </w:r>
      <w:r w:rsidR="00385B6E" w:rsidRPr="00385B6E">
        <w:t>T</w:t>
      </w:r>
      <w:r w:rsidR="00385B6E" w:rsidRPr="00B820FE">
        <w:rPr>
          <w:vertAlign w:val="subscript"/>
        </w:rPr>
        <w:t>max</w:t>
      </w:r>
      <w:r w:rsidRPr="00B820FE">
        <w:t xml:space="preserve"> was achieved approximately 24 hours (range 8 to 72 hours) post dose. The absolute bioavailability of a 5-mg subcutaneous dose of tirzepatide in healthy participants was 80%. </w:t>
      </w:r>
      <w:r w:rsidRPr="00B820FE">
        <w:rPr>
          <w:lang w:eastAsia="ja-JP"/>
        </w:rPr>
        <w:t>The exposure to tirzepatide increased proportionally with increasing doses in the 0.25- to 15-mg dose range.</w:t>
      </w:r>
    </w:p>
    <w:p w14:paraId="74410095" w14:textId="77777777" w:rsidR="00B820FE" w:rsidRPr="00B820FE" w:rsidRDefault="00B820FE" w:rsidP="00077AD3">
      <w:r w:rsidRPr="00B820FE">
        <w:t>Data from a relative bioavailability study demonstrated that tirzepatide can be injected subcutaneously in the abdomen, upper arm, or thigh, without need for any dose adjustment.</w:t>
      </w:r>
    </w:p>
    <w:p w14:paraId="7CC0438B" w14:textId="1FCE43BF" w:rsidR="00B820FE" w:rsidRPr="00B820FE" w:rsidRDefault="00B820FE" w:rsidP="00077AD3">
      <w:pPr>
        <w:rPr>
          <w:lang w:eastAsia="ja-JP"/>
        </w:rPr>
      </w:pPr>
      <w:r w:rsidRPr="00B820FE">
        <w:rPr>
          <w:lang w:eastAsia="ja-JP"/>
        </w:rPr>
        <w:t>Accumulation after multiple-dose administration was approximately</w:t>
      </w:r>
      <w:r w:rsidR="00624192">
        <w:rPr>
          <w:lang w:eastAsia="ja-JP"/>
        </w:rPr>
        <w:t xml:space="preserve"> </w:t>
      </w:r>
      <w:r w:rsidRPr="00B820FE">
        <w:rPr>
          <w:lang w:eastAsia="ja-JP"/>
        </w:rPr>
        <w:t>1.75-fold and was</w:t>
      </w:r>
      <w:r w:rsidR="00624192">
        <w:rPr>
          <w:lang w:eastAsia="ja-JP"/>
        </w:rPr>
        <w:t xml:space="preserve"> </w:t>
      </w:r>
      <w:r w:rsidRPr="00B820FE">
        <w:rPr>
          <w:lang w:eastAsia="ja-JP"/>
        </w:rPr>
        <w:t>predictable based on single-dose data, indicating that PK was time</w:t>
      </w:r>
      <w:r w:rsidR="00624192">
        <w:rPr>
          <w:lang w:eastAsia="ja-JP"/>
        </w:rPr>
        <w:t>-</w:t>
      </w:r>
      <w:r w:rsidRPr="00B820FE">
        <w:rPr>
          <w:lang w:eastAsia="ja-JP"/>
        </w:rPr>
        <w:t>independent.</w:t>
      </w:r>
    </w:p>
    <w:p w14:paraId="76EC2F97" w14:textId="70031FE0" w:rsidR="00B820FE" w:rsidRPr="00B820FE" w:rsidRDefault="00B820FE" w:rsidP="00077AD3">
      <w:pPr>
        <w:pStyle w:val="Heading6"/>
      </w:pPr>
      <w:r w:rsidRPr="00077AD3">
        <w:t>Distribution</w:t>
      </w:r>
    </w:p>
    <w:p w14:paraId="5DEABD0C" w14:textId="4709B82C" w:rsidR="00B820FE" w:rsidRPr="00B820FE" w:rsidRDefault="00B820FE" w:rsidP="00077AD3">
      <w:pPr>
        <w:rPr>
          <w:lang w:eastAsia="ja-JP"/>
        </w:rPr>
      </w:pPr>
      <w:r w:rsidRPr="00B820FE">
        <w:rPr>
          <w:lang w:eastAsia="ja-JP"/>
        </w:rPr>
        <w:t xml:space="preserve">The mean apparent volume of distribution after multiple dosing in participants with obesity or overweight was 9.7L; for those with T2DM, the figure was 10.3L. </w:t>
      </w:r>
      <w:r w:rsidRPr="00B820FE">
        <w:t>Tirzepatide was highly protein bound in human plasma with a mean percent bound of 99.06%.</w:t>
      </w:r>
    </w:p>
    <w:p w14:paraId="116365AE" w14:textId="2BD486BB" w:rsidR="00B820FE" w:rsidRPr="00B820FE" w:rsidRDefault="00B820FE" w:rsidP="00077AD3">
      <w:pPr>
        <w:pStyle w:val="Heading6"/>
      </w:pPr>
      <w:r w:rsidRPr="00077AD3">
        <w:lastRenderedPageBreak/>
        <w:t>Metabolism</w:t>
      </w:r>
    </w:p>
    <w:p w14:paraId="2D408267" w14:textId="77777777" w:rsidR="00B820FE" w:rsidRPr="00B820FE" w:rsidRDefault="00B820FE" w:rsidP="00077AD3">
      <w:pPr>
        <w:rPr>
          <w:lang w:eastAsia="ja-JP"/>
        </w:rPr>
      </w:pPr>
      <w:r w:rsidRPr="00B820FE">
        <w:rPr>
          <w:lang w:eastAsia="ja-JP"/>
        </w:rPr>
        <w:t>Tirzepatide was primarily metabolised via proteolytic cleavages of the peptide backbone, β-oxidation of the C20 fatty diacid moiety, and amide hydrolysis.</w:t>
      </w:r>
    </w:p>
    <w:p w14:paraId="1ED77A1E" w14:textId="700EC865" w:rsidR="00B820FE" w:rsidRPr="00B820FE" w:rsidRDefault="00B820FE" w:rsidP="00077AD3">
      <w:pPr>
        <w:pStyle w:val="Heading6"/>
      </w:pPr>
      <w:r w:rsidRPr="00077AD3">
        <w:t>Elimination</w:t>
      </w:r>
    </w:p>
    <w:p w14:paraId="4B749C6D" w14:textId="440552D6" w:rsidR="00B820FE" w:rsidRPr="00B820FE" w:rsidRDefault="00B820FE" w:rsidP="00077AD3">
      <w:pPr>
        <w:rPr>
          <w:lang w:eastAsia="ja-JP"/>
        </w:rPr>
      </w:pPr>
      <w:r w:rsidRPr="00B820FE">
        <w:rPr>
          <w:lang w:eastAsia="ja-JP"/>
        </w:rPr>
        <w:t xml:space="preserve">Based on population PK </w:t>
      </w:r>
      <w:r w:rsidRPr="00B820FE">
        <w:rPr>
          <w:i/>
          <w:iCs/>
          <w:lang w:eastAsia="ja-JP"/>
        </w:rPr>
        <w:t>post hoc</w:t>
      </w:r>
      <w:r w:rsidRPr="00B820FE">
        <w:rPr>
          <w:lang w:eastAsia="ja-JP"/>
        </w:rPr>
        <w:t xml:space="preserve"> parameters, the estimated apparent total body clearance of tirzepatide calculated after extravascular administration (CL/F) in T2DM patients following multiple doses was 0.0606 L/h resulting in a mean terminal half-life of 5.4 days. For those with obesity or overweight, the figure was calculated at 5.7 days. Renal excretion is the primary route of elimination.</w:t>
      </w:r>
    </w:p>
    <w:p w14:paraId="53A1DF08" w14:textId="1401929A" w:rsidR="00B820FE" w:rsidRPr="00B820FE" w:rsidRDefault="00B820FE" w:rsidP="00077AD3">
      <w:pPr>
        <w:pStyle w:val="Heading5"/>
      </w:pPr>
      <w:r w:rsidRPr="00B820FE">
        <w:t xml:space="preserve">Population </w:t>
      </w:r>
      <w:r w:rsidRPr="00077AD3">
        <w:t>Pharmacokinetics</w:t>
      </w:r>
    </w:p>
    <w:p w14:paraId="03F62328" w14:textId="657DF63A" w:rsidR="00B820FE" w:rsidRPr="00B820FE" w:rsidRDefault="00B820FE" w:rsidP="00077AD3">
      <w:pPr>
        <w:pStyle w:val="Heading6"/>
      </w:pPr>
      <w:r w:rsidRPr="00B820FE">
        <w:t xml:space="preserve">Pop PK analysis </w:t>
      </w:r>
      <w:r w:rsidRPr="00B820FE">
        <w:rPr>
          <w:lang w:eastAsia="ja-JP"/>
        </w:rPr>
        <w:t>VV-</w:t>
      </w:r>
      <w:r w:rsidRPr="00077AD3">
        <w:t>CLIN</w:t>
      </w:r>
      <w:r w:rsidRPr="00B820FE">
        <w:rPr>
          <w:lang w:eastAsia="ja-JP"/>
        </w:rPr>
        <w:t>-062365</w:t>
      </w:r>
    </w:p>
    <w:p w14:paraId="14AF6291" w14:textId="77777777" w:rsidR="00B820FE" w:rsidRDefault="00B820FE" w:rsidP="00077AD3">
      <w:r w:rsidRPr="00B820FE">
        <w:t>The population PK/PD model established based on data submitted in the original T2DM application served as the base model for the population PK/PD analysis for chronic weight management (CWM). SURMOUNT-1 was used for establishing population PK and exposure-response relationship for CWM.</w:t>
      </w:r>
    </w:p>
    <w:p w14:paraId="27650E86" w14:textId="77777777" w:rsidR="00B820FE" w:rsidRDefault="00B820FE" w:rsidP="00077AD3">
      <w:r w:rsidRPr="00B820FE">
        <w:t>The population PK modelling results from participants with obesity or overweight were comparable to the previous population PK analyses of patients with T2DM.</w:t>
      </w:r>
    </w:p>
    <w:p w14:paraId="6AEAE6D8" w14:textId="77777777" w:rsidR="00B820FE" w:rsidRDefault="00B820FE" w:rsidP="00077AD3">
      <w:r w:rsidRPr="00B820FE">
        <w:t>No patient-specific characteristics or tirzepatide administration conditions were associated with clinically relevant changes in tirzepatide PK, efficacy, tolerability, or safety. Based on the evaluation of the influence of intrinsic and extrinsic factors on tirzepatide PK concentrations and body weight across time, dose adjustments are not required for QW SC tirzepatide based on body weight, age, sex, race, renal impairment, or hepatic impairment in participants with obesity or overweight.</w:t>
      </w:r>
    </w:p>
    <w:p w14:paraId="50A6E733" w14:textId="77777777" w:rsidR="00B820FE" w:rsidRPr="00B820FE" w:rsidRDefault="00B820FE" w:rsidP="00077AD3">
      <w:r w:rsidRPr="00B820FE">
        <w:t>The results of the modelling and simulations supported that dose-escalation up to tirzepatide 5, 10, or 15 mg QW was well tolerated and associated with significant reductions in body weight. Changes to dose escalation scheme are not required for tirzepatide treatment for CWM.</w:t>
      </w:r>
    </w:p>
    <w:p w14:paraId="2E007DC0" w14:textId="7CAEE075" w:rsidR="00B820FE" w:rsidRDefault="00B820FE" w:rsidP="00077AD3">
      <w:r w:rsidRPr="00B820FE">
        <w:t xml:space="preserve">Based on the evaluation of the influence of </w:t>
      </w:r>
      <w:r w:rsidR="00B748B3">
        <w:t>a</w:t>
      </w:r>
      <w:r w:rsidR="00B748B3" w:rsidRPr="00B748B3">
        <w:t>nti-drug antibodies</w:t>
      </w:r>
      <w:r w:rsidR="00B748B3">
        <w:t xml:space="preserve"> (</w:t>
      </w:r>
      <w:r w:rsidRPr="00B820FE">
        <w:t>ADA</w:t>
      </w:r>
      <w:r w:rsidR="00B748B3">
        <w:t>)</w:t>
      </w:r>
      <w:r w:rsidRPr="00B820FE">
        <w:t xml:space="preserve"> status and ADA titre on tirzepatide PK, dose adjustments are not required for tirzepatide QW SC doses.</w:t>
      </w:r>
    </w:p>
    <w:p w14:paraId="63E4E9A4" w14:textId="147D2B00" w:rsidR="00B820FE" w:rsidRPr="00B820FE" w:rsidRDefault="00B820FE" w:rsidP="00077AD3">
      <w:pPr>
        <w:pStyle w:val="Heading6"/>
      </w:pPr>
      <w:r w:rsidRPr="00B820FE">
        <w:t xml:space="preserve">Effect of intrinsic factors on </w:t>
      </w:r>
      <w:proofErr w:type="spellStart"/>
      <w:r w:rsidRPr="00B820FE">
        <w:t>tirzepatide</w:t>
      </w:r>
      <w:proofErr w:type="spellEnd"/>
      <w:r w:rsidRPr="00B820FE">
        <w:t xml:space="preserve"> PK</w:t>
      </w:r>
    </w:p>
    <w:p w14:paraId="5FE42FF0" w14:textId="77777777" w:rsidR="00B820FE" w:rsidRDefault="00B820FE" w:rsidP="00077AD3">
      <w:r w:rsidRPr="00B820FE">
        <w:t>No dose adjustment of tirzepatide is needed based on body weight, age, sex, race, ethnicity, or renal or hepatic impairment.</w:t>
      </w:r>
    </w:p>
    <w:p w14:paraId="500FF196" w14:textId="5F49A7F3" w:rsidR="00B820FE" w:rsidRPr="00B820FE" w:rsidRDefault="00B820FE" w:rsidP="00077AD3">
      <w:pPr>
        <w:pStyle w:val="Heading6"/>
      </w:pPr>
      <w:r w:rsidRPr="00B820FE">
        <w:t xml:space="preserve">Effect of extrinsic </w:t>
      </w:r>
      <w:r w:rsidRPr="00077AD3">
        <w:t>factors</w:t>
      </w:r>
      <w:r w:rsidRPr="00B820FE">
        <w:t xml:space="preserve"> on </w:t>
      </w:r>
      <w:proofErr w:type="spellStart"/>
      <w:r w:rsidRPr="00B820FE">
        <w:t>tirzepatide</w:t>
      </w:r>
      <w:proofErr w:type="spellEnd"/>
      <w:r w:rsidRPr="00B820FE">
        <w:t xml:space="preserve"> PK</w:t>
      </w:r>
    </w:p>
    <w:p w14:paraId="0EB3FACF" w14:textId="77777777" w:rsidR="00B820FE" w:rsidRDefault="00B820FE" w:rsidP="00077AD3">
      <w:r w:rsidRPr="00B820FE">
        <w:t xml:space="preserve">Concomitantly administered drugs are not expected to influence tirzepatide PK. </w:t>
      </w:r>
    </w:p>
    <w:p w14:paraId="29A99F95" w14:textId="77777777" w:rsidR="00B820FE" w:rsidRPr="00B820FE" w:rsidRDefault="00B820FE" w:rsidP="00077AD3">
      <w:pPr>
        <w:pStyle w:val="Heading7"/>
      </w:pPr>
      <w:r w:rsidRPr="00B820FE">
        <w:t>Effects of tirzepatide on oral concomitant drugs</w:t>
      </w:r>
    </w:p>
    <w:p w14:paraId="6B5BDC6F" w14:textId="77777777" w:rsidR="00B820FE" w:rsidRPr="00B820FE" w:rsidRDefault="00B820FE" w:rsidP="00077AD3">
      <w:r w:rsidRPr="00B820FE">
        <w:t>The drug-drug interactions mediated by tirzepatide, if any, are expected only because the GLP-1 receptor agonist class is known to cause gastric emptying delay, which can influence the rate of absorption (C</w:t>
      </w:r>
      <w:r w:rsidRPr="00B820FE">
        <w:rPr>
          <w:vertAlign w:val="subscript"/>
        </w:rPr>
        <w:t xml:space="preserve">max, </w:t>
      </w:r>
      <w:r w:rsidRPr="00B820FE">
        <w:t>t</w:t>
      </w:r>
      <w:r w:rsidRPr="00B820FE">
        <w:rPr>
          <w:vertAlign w:val="subscript"/>
        </w:rPr>
        <w:t>max</w:t>
      </w:r>
      <w:r w:rsidRPr="00B820FE">
        <w:t>) without greatly influencing overall extent of absorption (AUC) of orally administered concomitant drugs. This impact is expected to diminish with subsequent doses of tirzepatide; thus, long-term impact of tirzepatide on the exposure of oral medications is not expected.</w:t>
      </w:r>
    </w:p>
    <w:p w14:paraId="3E248F34" w14:textId="42376EE2" w:rsidR="00B820FE" w:rsidRPr="00077AD3" w:rsidRDefault="00B820FE" w:rsidP="00077AD3">
      <w:pPr>
        <w:pStyle w:val="Heading5"/>
      </w:pPr>
      <w:r w:rsidRPr="00077AD3">
        <w:lastRenderedPageBreak/>
        <w:t>Pharmacodynamics</w:t>
      </w:r>
    </w:p>
    <w:p w14:paraId="1B96818E" w14:textId="17BD4452" w:rsidR="00B820FE" w:rsidRDefault="00A9448B" w:rsidP="00077AD3">
      <w:proofErr w:type="spellStart"/>
      <w:r w:rsidRPr="00B820FE">
        <w:rPr>
          <w:lang w:val="en-GB"/>
        </w:rPr>
        <w:t>Tirzepatide</w:t>
      </w:r>
      <w:proofErr w:type="spellEnd"/>
      <w:r>
        <w:rPr>
          <w:lang w:val="en-GB"/>
        </w:rPr>
        <w:t>, a</w:t>
      </w:r>
      <w:r w:rsidR="00B820FE" w:rsidRPr="00B820FE">
        <w:rPr>
          <w:lang w:val="en-GB"/>
        </w:rPr>
        <w:t xml:space="preserve"> synthetic peptide with agonist activity at both the human glucose-dependent insulinotropic polypeptide (GIP) and human glucagon-like peptide-1 (GLP</w:t>
      </w:r>
      <w:r w:rsidR="00B820FE" w:rsidRPr="00B820FE">
        <w:rPr>
          <w:lang w:val="en-GB"/>
        </w:rPr>
        <w:noBreakHyphen/>
        <w:t xml:space="preserve">1) receptors. </w:t>
      </w:r>
      <w:r w:rsidR="00B820FE" w:rsidRPr="00B820FE">
        <w:t>Tirzepatide reduces body weight and improves body weight control through multiple mechanisms. Tirzepatide reduces appetite, which is centrally regulated, thereby decreasing food and caloric intake</w:t>
      </w:r>
      <w:r w:rsidR="0021382A">
        <w:t xml:space="preserve"> </w:t>
      </w:r>
      <w:r w:rsidR="00B820FE" w:rsidRPr="00B820FE">
        <w:t xml:space="preserve">(Table </w:t>
      </w:r>
      <w:r w:rsidR="00303A00">
        <w:t>3</w:t>
      </w:r>
      <w:r w:rsidR="00B820FE" w:rsidRPr="00B820FE">
        <w:t>)</w:t>
      </w:r>
      <w:r w:rsidR="0021382A">
        <w:t>.</w:t>
      </w:r>
    </w:p>
    <w:p w14:paraId="77F4D8E2" w14:textId="445925EF" w:rsidR="00B820FE" w:rsidRDefault="00B820FE" w:rsidP="00077AD3">
      <w:pPr>
        <w:pStyle w:val="TableTitle"/>
      </w:pPr>
      <w:r w:rsidRPr="00B820FE">
        <w:t xml:space="preserve">Table </w:t>
      </w:r>
      <w:r w:rsidR="00303A00">
        <w:t>3</w:t>
      </w:r>
      <w:r w:rsidRPr="00B820FE">
        <w:t xml:space="preserve">: Known physiological functions of GIP and GLP-1 in glucose </w:t>
      </w:r>
      <w:r w:rsidR="000F2FDF">
        <w:t xml:space="preserve">metabolism and </w:t>
      </w:r>
      <w:r w:rsidRPr="00B820FE">
        <w:t>energy.</w:t>
      </w:r>
    </w:p>
    <w:tbl>
      <w:tblPr>
        <w:tblStyle w:val="TableTGAblue2023"/>
        <w:tblW w:w="0" w:type="auto"/>
        <w:tblLook w:val="04A0" w:firstRow="1" w:lastRow="0" w:firstColumn="1" w:lastColumn="0" w:noHBand="0" w:noVBand="1"/>
      </w:tblPr>
      <w:tblGrid>
        <w:gridCol w:w="3020"/>
        <w:gridCol w:w="3020"/>
        <w:gridCol w:w="3020"/>
      </w:tblGrid>
      <w:tr w:rsidR="00AF4834" w14:paraId="1CD3FCB6" w14:textId="77777777" w:rsidTr="000A3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263287"/>
            </w:tcBorders>
            <w:shd w:val="clear" w:color="auto" w:fill="DEEAF6"/>
          </w:tcPr>
          <w:p w14:paraId="7A5FBB3F" w14:textId="2C55625C" w:rsidR="00AF4834" w:rsidRPr="0078290A" w:rsidRDefault="00AF4834" w:rsidP="000A3BA0">
            <w:pPr>
              <w:rPr>
                <w:b w:val="0"/>
                <w:lang w:eastAsia="ja-JP"/>
              </w:rPr>
            </w:pPr>
            <w:r w:rsidRPr="0078290A">
              <w:rPr>
                <w:lang w:eastAsia="ja-JP"/>
              </w:rPr>
              <w:t>Location of action</w:t>
            </w:r>
          </w:p>
        </w:tc>
        <w:tc>
          <w:tcPr>
            <w:tcW w:w="3020" w:type="dxa"/>
            <w:tcBorders>
              <w:bottom w:val="single" w:sz="4" w:space="0" w:color="263287"/>
            </w:tcBorders>
            <w:shd w:val="clear" w:color="auto" w:fill="DEEAF6"/>
          </w:tcPr>
          <w:p w14:paraId="459F60D7" w14:textId="16A26B34" w:rsidR="00AF4834" w:rsidRPr="0078290A" w:rsidRDefault="00AF4834" w:rsidP="000A3BA0">
            <w:pPr>
              <w:cnfStyle w:val="100000000000" w:firstRow="1" w:lastRow="0" w:firstColumn="0" w:lastColumn="0" w:oddVBand="0" w:evenVBand="0" w:oddHBand="0" w:evenHBand="0" w:firstRowFirstColumn="0" w:firstRowLastColumn="0" w:lastRowFirstColumn="0" w:lastRowLastColumn="0"/>
              <w:rPr>
                <w:b w:val="0"/>
                <w:lang w:eastAsia="ja-JP"/>
              </w:rPr>
            </w:pPr>
            <w:r w:rsidRPr="0078290A">
              <w:rPr>
                <w:lang w:eastAsia="ja-JP"/>
              </w:rPr>
              <w:t>GLP-1</w:t>
            </w:r>
          </w:p>
        </w:tc>
        <w:tc>
          <w:tcPr>
            <w:tcW w:w="3020" w:type="dxa"/>
            <w:tcBorders>
              <w:bottom w:val="single" w:sz="4" w:space="0" w:color="263287"/>
            </w:tcBorders>
            <w:shd w:val="clear" w:color="auto" w:fill="DEEAF6"/>
          </w:tcPr>
          <w:p w14:paraId="0E52E2D0" w14:textId="10A87161" w:rsidR="00AF4834" w:rsidRPr="0078290A" w:rsidRDefault="00AF4834" w:rsidP="000A3BA0">
            <w:pPr>
              <w:cnfStyle w:val="100000000000" w:firstRow="1" w:lastRow="0" w:firstColumn="0" w:lastColumn="0" w:oddVBand="0" w:evenVBand="0" w:oddHBand="0" w:evenHBand="0" w:firstRowFirstColumn="0" w:firstRowLastColumn="0" w:lastRowFirstColumn="0" w:lastRowLastColumn="0"/>
              <w:rPr>
                <w:b w:val="0"/>
                <w:lang w:eastAsia="ja-JP"/>
              </w:rPr>
            </w:pPr>
            <w:r w:rsidRPr="0078290A">
              <w:rPr>
                <w:lang w:eastAsia="ja-JP"/>
              </w:rPr>
              <w:t>GIP</w:t>
            </w:r>
          </w:p>
        </w:tc>
      </w:tr>
      <w:tr w:rsidR="00AF4834" w14:paraId="4D9EDEF1" w14:textId="77777777" w:rsidTr="000A3BA0">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DEEAF6"/>
          </w:tcPr>
          <w:p w14:paraId="5DBA42BB" w14:textId="357CF7FE" w:rsidR="00AF4834" w:rsidRPr="000A3BA0" w:rsidRDefault="00AF4834" w:rsidP="000A3BA0">
            <w:pPr>
              <w:rPr>
                <w:b/>
                <w:bCs/>
              </w:rPr>
            </w:pPr>
            <w:r w:rsidRPr="000A3BA0">
              <w:rPr>
                <w:b/>
                <w:bCs/>
                <w:color w:val="263287"/>
                <w:lang w:eastAsia="ja-JP"/>
              </w:rPr>
              <w:t>Pancreas (glucose-dependent actions)</w:t>
            </w:r>
          </w:p>
        </w:tc>
      </w:tr>
      <w:tr w:rsidR="00AF4834" w14:paraId="5DBCCFCE" w14:textId="77777777" w:rsidTr="000A3BA0">
        <w:tc>
          <w:tcPr>
            <w:cnfStyle w:val="001000000000" w:firstRow="0" w:lastRow="0" w:firstColumn="1" w:lastColumn="0" w:oddVBand="0" w:evenVBand="0" w:oddHBand="0" w:evenHBand="0" w:firstRowFirstColumn="0" w:firstRowLastColumn="0" w:lastRowFirstColumn="0" w:lastRowLastColumn="0"/>
            <w:tcW w:w="3020" w:type="dxa"/>
            <w:shd w:val="clear" w:color="auto" w:fill="DEEAF6"/>
          </w:tcPr>
          <w:p w14:paraId="62DBA9AD" w14:textId="67C8027A" w:rsidR="00AF4834" w:rsidRPr="000A3BA0" w:rsidRDefault="00AF4834" w:rsidP="000A3BA0">
            <w:pPr>
              <w:rPr>
                <w:b/>
                <w:bCs/>
                <w:color w:val="263287"/>
                <w:lang w:eastAsia="ja-JP"/>
              </w:rPr>
            </w:pPr>
            <w:r w:rsidRPr="000A3BA0">
              <w:rPr>
                <w:b/>
                <w:bCs/>
                <w:color w:val="263287"/>
                <w:lang w:eastAsia="ja-JP"/>
              </w:rPr>
              <w:t>β cells</w:t>
            </w:r>
          </w:p>
        </w:tc>
        <w:tc>
          <w:tcPr>
            <w:tcW w:w="6040" w:type="dxa"/>
            <w:gridSpan w:val="2"/>
          </w:tcPr>
          <w:p w14:paraId="1E2DCA76" w14:textId="639CDED7"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Increased insulin synthesis, increased insulin secretion, increased β cell proliferation, increased glucose sensing under hyperglycaemic states.</w:t>
            </w:r>
          </w:p>
        </w:tc>
      </w:tr>
      <w:tr w:rsidR="00AF4834" w14:paraId="0790BA00" w14:textId="77777777" w:rsidTr="000A3BA0">
        <w:tc>
          <w:tcPr>
            <w:cnfStyle w:val="001000000000" w:firstRow="0" w:lastRow="0" w:firstColumn="1" w:lastColumn="0" w:oddVBand="0" w:evenVBand="0" w:oddHBand="0" w:evenHBand="0" w:firstRowFirstColumn="0" w:firstRowLastColumn="0" w:lastRowFirstColumn="0" w:lastRowLastColumn="0"/>
            <w:tcW w:w="3020" w:type="dxa"/>
            <w:shd w:val="clear" w:color="auto" w:fill="DEEAF6"/>
          </w:tcPr>
          <w:p w14:paraId="2F7D01DB" w14:textId="67B27719" w:rsidR="00AF4834" w:rsidRPr="000A3BA0" w:rsidRDefault="00AF4834" w:rsidP="000A3BA0">
            <w:pPr>
              <w:rPr>
                <w:b/>
                <w:bCs/>
                <w:color w:val="263287"/>
                <w:lang w:eastAsia="ja-JP"/>
              </w:rPr>
            </w:pPr>
            <w:r w:rsidRPr="000A3BA0">
              <w:rPr>
                <w:b/>
                <w:bCs/>
                <w:color w:val="263287"/>
                <w:lang w:eastAsia="ja-JP"/>
              </w:rPr>
              <w:t>α cells</w:t>
            </w:r>
          </w:p>
        </w:tc>
        <w:tc>
          <w:tcPr>
            <w:tcW w:w="3020" w:type="dxa"/>
          </w:tcPr>
          <w:p w14:paraId="69BCF73D" w14:textId="490BF946"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Decreased glucagon secretion under hyperglycaemic states.</w:t>
            </w:r>
          </w:p>
        </w:tc>
        <w:tc>
          <w:tcPr>
            <w:tcW w:w="3020" w:type="dxa"/>
          </w:tcPr>
          <w:p w14:paraId="1165C058" w14:textId="48089FF1"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Increased glucagon secretion under euglycaemic or hypoglycaemic states.</w:t>
            </w:r>
          </w:p>
        </w:tc>
      </w:tr>
      <w:tr w:rsidR="00AF4834" w14:paraId="2189D6D7" w14:textId="77777777" w:rsidTr="000A3BA0">
        <w:tc>
          <w:tcPr>
            <w:cnfStyle w:val="001000000000" w:firstRow="0" w:lastRow="0" w:firstColumn="1" w:lastColumn="0" w:oddVBand="0" w:evenVBand="0" w:oddHBand="0" w:evenHBand="0" w:firstRowFirstColumn="0" w:firstRowLastColumn="0" w:lastRowFirstColumn="0" w:lastRowLastColumn="0"/>
            <w:tcW w:w="3020" w:type="dxa"/>
            <w:shd w:val="clear" w:color="auto" w:fill="DEEAF6"/>
          </w:tcPr>
          <w:p w14:paraId="563C5728" w14:textId="2B689288" w:rsidR="00AF4834" w:rsidRPr="000A3BA0" w:rsidRDefault="00AF4834" w:rsidP="000A3BA0">
            <w:pPr>
              <w:rPr>
                <w:b/>
                <w:bCs/>
                <w:color w:val="263287"/>
                <w:lang w:eastAsia="ja-JP"/>
              </w:rPr>
            </w:pPr>
            <w:r w:rsidRPr="000A3BA0">
              <w:rPr>
                <w:b/>
                <w:bCs/>
                <w:color w:val="263287"/>
                <w:lang w:eastAsia="ja-JP"/>
              </w:rPr>
              <w:t>Gastrointestinal system</w:t>
            </w:r>
          </w:p>
        </w:tc>
        <w:tc>
          <w:tcPr>
            <w:tcW w:w="3020" w:type="dxa"/>
          </w:tcPr>
          <w:p w14:paraId="63E88C78" w14:textId="1EB4D647"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Decreased GI motility, delayed gastric emptying</w:t>
            </w:r>
          </w:p>
        </w:tc>
        <w:tc>
          <w:tcPr>
            <w:tcW w:w="3020" w:type="dxa"/>
          </w:tcPr>
          <w:p w14:paraId="6B61C9DB" w14:textId="289D3714"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N/A</w:t>
            </w:r>
          </w:p>
        </w:tc>
      </w:tr>
      <w:tr w:rsidR="00AF4834" w14:paraId="7FC5F043" w14:textId="77777777" w:rsidTr="000A3BA0">
        <w:tc>
          <w:tcPr>
            <w:cnfStyle w:val="001000000000" w:firstRow="0" w:lastRow="0" w:firstColumn="1" w:lastColumn="0" w:oddVBand="0" w:evenVBand="0" w:oddHBand="0" w:evenHBand="0" w:firstRowFirstColumn="0" w:firstRowLastColumn="0" w:lastRowFirstColumn="0" w:lastRowLastColumn="0"/>
            <w:tcW w:w="3020" w:type="dxa"/>
            <w:shd w:val="clear" w:color="auto" w:fill="DEEAF6"/>
          </w:tcPr>
          <w:p w14:paraId="4003A862" w14:textId="02EE4203" w:rsidR="00AF4834" w:rsidRPr="000A3BA0" w:rsidRDefault="00AF4834" w:rsidP="000A3BA0">
            <w:pPr>
              <w:rPr>
                <w:b/>
                <w:bCs/>
                <w:color w:val="263287"/>
                <w:lang w:eastAsia="ja-JP"/>
              </w:rPr>
            </w:pPr>
            <w:r w:rsidRPr="000A3BA0">
              <w:rPr>
                <w:b/>
                <w:bCs/>
                <w:color w:val="263287"/>
                <w:lang w:eastAsia="ja-JP"/>
              </w:rPr>
              <w:t>Adipose tissues</w:t>
            </w:r>
          </w:p>
        </w:tc>
        <w:tc>
          <w:tcPr>
            <w:tcW w:w="3020" w:type="dxa"/>
          </w:tcPr>
          <w:p w14:paraId="675F8CDE" w14:textId="37B2CF3F"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N/A</w:t>
            </w:r>
          </w:p>
        </w:tc>
        <w:tc>
          <w:tcPr>
            <w:tcW w:w="3020" w:type="dxa"/>
          </w:tcPr>
          <w:p w14:paraId="57AC159C" w14:textId="6CE79B62"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Increased intravascular lipolysis and increased fatty acid uptake</w:t>
            </w:r>
            <w:r w:rsidR="00A9448B" w:rsidRPr="00AF4834">
              <w:rPr>
                <w:bCs/>
              </w:rPr>
              <w:t xml:space="preserve">. </w:t>
            </w:r>
          </w:p>
        </w:tc>
      </w:tr>
      <w:tr w:rsidR="00AF4834" w14:paraId="205DACC0" w14:textId="77777777" w:rsidTr="000A3BA0">
        <w:tc>
          <w:tcPr>
            <w:cnfStyle w:val="001000000000" w:firstRow="0" w:lastRow="0" w:firstColumn="1" w:lastColumn="0" w:oddVBand="0" w:evenVBand="0" w:oddHBand="0" w:evenHBand="0" w:firstRowFirstColumn="0" w:firstRowLastColumn="0" w:lastRowFirstColumn="0" w:lastRowLastColumn="0"/>
            <w:tcW w:w="3020" w:type="dxa"/>
            <w:shd w:val="clear" w:color="auto" w:fill="DEEAF6"/>
          </w:tcPr>
          <w:p w14:paraId="679F3E70" w14:textId="6368D631" w:rsidR="00AF4834" w:rsidRPr="000A3BA0" w:rsidRDefault="00AF4834" w:rsidP="000A3BA0">
            <w:pPr>
              <w:rPr>
                <w:b/>
                <w:bCs/>
                <w:color w:val="263287"/>
                <w:lang w:eastAsia="ja-JP"/>
              </w:rPr>
            </w:pPr>
            <w:r w:rsidRPr="000A3BA0">
              <w:rPr>
                <w:b/>
                <w:bCs/>
                <w:color w:val="263287"/>
                <w:lang w:eastAsia="ja-JP"/>
              </w:rPr>
              <w:t>Brain</w:t>
            </w:r>
          </w:p>
        </w:tc>
        <w:tc>
          <w:tcPr>
            <w:tcW w:w="3020" w:type="dxa"/>
          </w:tcPr>
          <w:p w14:paraId="632B3184" w14:textId="7DDB3CB8"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Decreased appetite, increased satiety</w:t>
            </w:r>
          </w:p>
        </w:tc>
        <w:tc>
          <w:tcPr>
            <w:tcW w:w="3020" w:type="dxa"/>
          </w:tcPr>
          <w:p w14:paraId="0B178533" w14:textId="5BBA96B2" w:rsidR="00AF4834" w:rsidRPr="00AF4834" w:rsidRDefault="00AF4834" w:rsidP="000A3BA0">
            <w:pPr>
              <w:cnfStyle w:val="000000000000" w:firstRow="0" w:lastRow="0" w:firstColumn="0" w:lastColumn="0" w:oddVBand="0" w:evenVBand="0" w:oddHBand="0" w:evenHBand="0" w:firstRowFirstColumn="0" w:firstRowLastColumn="0" w:lastRowFirstColumn="0" w:lastRowLastColumn="0"/>
              <w:rPr>
                <w:bCs/>
              </w:rPr>
            </w:pPr>
            <w:r w:rsidRPr="00AF4834">
              <w:rPr>
                <w:bCs/>
              </w:rPr>
              <w:t>N/A</w:t>
            </w:r>
          </w:p>
        </w:tc>
      </w:tr>
    </w:tbl>
    <w:p w14:paraId="098C8E50" w14:textId="77777777" w:rsidR="00B820FE" w:rsidRPr="00744D3B" w:rsidRDefault="00B820FE" w:rsidP="000A3BA0">
      <w:pPr>
        <w:pStyle w:val="ListBullet"/>
      </w:pPr>
      <w:r w:rsidRPr="00B820FE">
        <w:t>Effect on body weight: Tirzepatide reduces and controls body weight. Tirzepatide decreases appetite and food and caloric intake. There is an exposure-response relationship for body weight over the dose range of tirzepatide 5 to 15 mg QW.</w:t>
      </w:r>
    </w:p>
    <w:p w14:paraId="65188A82" w14:textId="007366A1" w:rsidR="00A4014D" w:rsidRDefault="00B820FE" w:rsidP="000A3BA0">
      <w:pPr>
        <w:pStyle w:val="ListBullet"/>
      </w:pPr>
      <w:r w:rsidRPr="00B820FE">
        <w:t xml:space="preserve">Effects on glucose sensitivity and insulin secretion </w:t>
      </w:r>
      <w:r w:rsidR="00410332" w:rsidRPr="00400698">
        <w:rPr>
          <w:shd w:val="clear" w:color="auto" w:fill="FFFFFF" w:themeFill="background1"/>
          <w:lang w:val="en"/>
        </w:rPr>
        <w:t>β</w:t>
      </w:r>
      <w:r w:rsidRPr="00B820FE">
        <w:t>-cell glucose sensitivity: Tirzepatide enhances first- and second-phase insulin secretion and reduces glucagon levels, both in a glucose-dependent manner.</w:t>
      </w:r>
    </w:p>
    <w:p w14:paraId="03059FE0" w14:textId="6634DB4B" w:rsidR="00447C79" w:rsidRDefault="00B820FE" w:rsidP="000A3BA0">
      <w:pPr>
        <w:pStyle w:val="ListBullet"/>
      </w:pPr>
      <w:r w:rsidRPr="00B820FE">
        <w:t>Effects on gastric emptying: Tirzepatide delays gastric emptying. The delay is largest after the first dose and diminishes over time.</w:t>
      </w:r>
    </w:p>
    <w:p w14:paraId="23211AC0" w14:textId="3AD76C85" w:rsidR="00B820FE" w:rsidRPr="00B820FE" w:rsidRDefault="00B820FE" w:rsidP="000A3BA0">
      <w:pPr>
        <w:pStyle w:val="Heading3"/>
      </w:pPr>
      <w:bookmarkStart w:id="39" w:name="_Toc178239608"/>
      <w:r w:rsidRPr="000A3BA0">
        <w:t>Efficacy</w:t>
      </w:r>
      <w:bookmarkEnd w:id="39"/>
    </w:p>
    <w:p w14:paraId="1BB27E9A" w14:textId="3178460C" w:rsidR="00447C79" w:rsidRDefault="00B820FE" w:rsidP="000A3BA0">
      <w:pPr>
        <w:rPr>
          <w:b/>
          <w:bCs/>
          <w:lang w:eastAsia="ja-JP"/>
        </w:rPr>
      </w:pPr>
      <w:r w:rsidRPr="00B820FE">
        <w:rPr>
          <w:lang w:eastAsia="ja-JP"/>
        </w:rPr>
        <w:t>Two Phase 3, double-blind, placebo-controlled studies (SURMOUNT-1, SURMOUNT-2) are included in this submission. Both included 72 weeks of exposure and a 4-week safety follow-up period</w:t>
      </w:r>
      <w:r w:rsidR="0021382A">
        <w:rPr>
          <w:lang w:eastAsia="ja-JP"/>
        </w:rPr>
        <w:t xml:space="preserve"> </w:t>
      </w:r>
      <w:r w:rsidRPr="00B820FE">
        <w:rPr>
          <w:lang w:eastAsia="ja-JP"/>
        </w:rPr>
        <w:t xml:space="preserve">(Table </w:t>
      </w:r>
      <w:r w:rsidR="00303A00">
        <w:rPr>
          <w:lang w:eastAsia="ja-JP"/>
        </w:rPr>
        <w:t>4</w:t>
      </w:r>
      <w:r w:rsidRPr="00B820FE">
        <w:rPr>
          <w:lang w:eastAsia="ja-JP"/>
        </w:rPr>
        <w:t>)</w:t>
      </w:r>
      <w:r w:rsidR="0021382A">
        <w:rPr>
          <w:lang w:eastAsia="ja-JP"/>
        </w:rPr>
        <w:t>.</w:t>
      </w:r>
    </w:p>
    <w:p w14:paraId="0D4316A0" w14:textId="78A66004" w:rsidR="00B820FE" w:rsidRPr="00B820FE" w:rsidRDefault="00B820FE" w:rsidP="000A3BA0">
      <w:pPr>
        <w:pStyle w:val="TableTitle"/>
        <w:rPr>
          <w:lang w:eastAsia="ja-JP"/>
        </w:rPr>
      </w:pPr>
      <w:r w:rsidRPr="00B820FE">
        <w:rPr>
          <w:lang w:eastAsia="ja-JP"/>
        </w:rPr>
        <w:lastRenderedPageBreak/>
        <w:t xml:space="preserve">Table </w:t>
      </w:r>
      <w:r w:rsidR="00303A00">
        <w:rPr>
          <w:lang w:eastAsia="ja-JP"/>
        </w:rPr>
        <w:t>4</w:t>
      </w:r>
      <w:r w:rsidRPr="00B820FE">
        <w:rPr>
          <w:lang w:eastAsia="ja-JP"/>
        </w:rPr>
        <w:t xml:space="preserve">: Study design </w:t>
      </w:r>
      <w:r w:rsidRPr="000A3BA0">
        <w:t>features</w:t>
      </w:r>
      <w:bookmarkStart w:id="40" w:name="_Hlk170375959"/>
      <w:r w:rsidRPr="00B820FE">
        <w:rPr>
          <w:lang w:eastAsia="ja-JP"/>
        </w:rPr>
        <w:t xml:space="preserve">: SURMOUNT 1 and 2 </w:t>
      </w:r>
      <w:bookmarkEnd w:id="40"/>
      <w:r w:rsidRPr="00B820FE">
        <w:rPr>
          <w:lang w:eastAsia="ja-JP"/>
        </w:rPr>
        <w:t>studies.</w:t>
      </w:r>
    </w:p>
    <w:p w14:paraId="61C7A202" w14:textId="3D3032DA" w:rsidR="00B820FE" w:rsidRPr="00B820FE" w:rsidRDefault="00B820FE" w:rsidP="000A3BA0">
      <w:r w:rsidRPr="00B820FE">
        <w:rPr>
          <w:noProof/>
        </w:rPr>
        <w:drawing>
          <wp:inline distT="0" distB="0" distL="0" distR="0" wp14:anchorId="5BE89C98" wp14:editId="4727F6BF">
            <wp:extent cx="5885784" cy="2811780"/>
            <wp:effectExtent l="0" t="0" r="1270" b="7620"/>
            <wp:docPr id="4" name="Picture 4" descr="Table 4: Study design features: SURMOUNT 1 and 2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4: Study design features: SURMOUNT 1 and 2 studies."/>
                    <pic:cNvPicPr/>
                  </pic:nvPicPr>
                  <pic:blipFill>
                    <a:blip r:embed="rId35">
                      <a:extLst>
                        <a:ext uri="{28A0092B-C50C-407E-A947-70E740481C1C}">
                          <a14:useLocalDpi xmlns:a14="http://schemas.microsoft.com/office/drawing/2010/main" val="0"/>
                        </a:ext>
                      </a:extLst>
                    </a:blip>
                    <a:stretch>
                      <a:fillRect/>
                    </a:stretch>
                  </pic:blipFill>
                  <pic:spPr>
                    <a:xfrm>
                      <a:off x="0" y="0"/>
                      <a:ext cx="5923949" cy="2830012"/>
                    </a:xfrm>
                    <a:prstGeom prst="rect">
                      <a:avLst/>
                    </a:prstGeom>
                  </pic:spPr>
                </pic:pic>
              </a:graphicData>
            </a:graphic>
          </wp:inline>
        </w:drawing>
      </w:r>
    </w:p>
    <w:p w14:paraId="429F152C" w14:textId="3DC59E1F" w:rsidR="00B820FE" w:rsidRDefault="00773545" w:rsidP="000A3BA0">
      <w:pPr>
        <w:pStyle w:val="TableDescription"/>
      </w:pPr>
      <w:r w:rsidRPr="00773545">
        <w:rPr>
          <w:vertAlign w:val="superscript"/>
        </w:rPr>
        <w:t>a</w:t>
      </w:r>
      <w:r w:rsidRPr="00773545">
        <w:t xml:space="preserve">Information in this table for SURMOUNT-1 is </w:t>
      </w:r>
      <w:r w:rsidRPr="000A3BA0">
        <w:t>for</w:t>
      </w:r>
      <w:r w:rsidRPr="00773545">
        <w:t xml:space="preserve"> the completed primary study period.</w:t>
      </w:r>
      <w:r>
        <w:t xml:space="preserve"> </w:t>
      </w:r>
      <w:r w:rsidR="00B820FE" w:rsidRPr="00B820FE">
        <w:t>N = number of participants in category; PBO = placebo; T2DM = type 2 diabetes mellitus; TZP = tirzepatide.</w:t>
      </w:r>
    </w:p>
    <w:p w14:paraId="6BFC08C8" w14:textId="3A0183E9" w:rsidR="00B820FE" w:rsidRPr="00B820FE" w:rsidRDefault="00B820FE" w:rsidP="000A3BA0">
      <w:pPr>
        <w:pStyle w:val="Heading4"/>
      </w:pPr>
      <w:bookmarkStart w:id="41" w:name="_Toc178239609"/>
      <w:r w:rsidRPr="00B820FE">
        <w:t>Methods</w:t>
      </w:r>
      <w:bookmarkEnd w:id="41"/>
    </w:p>
    <w:p w14:paraId="3EE9CBA7" w14:textId="2C937F1C" w:rsidR="00B820FE" w:rsidRPr="00B820FE" w:rsidRDefault="00B820FE" w:rsidP="000A3BA0">
      <w:pPr>
        <w:pStyle w:val="Heading5"/>
      </w:pPr>
      <w:r w:rsidRPr="00B820FE">
        <w:t>Patient populations</w:t>
      </w:r>
    </w:p>
    <w:p w14:paraId="2A36AE32" w14:textId="0A831550" w:rsidR="00B820FE" w:rsidRPr="00B820FE" w:rsidRDefault="00B820FE" w:rsidP="000A3BA0">
      <w:r w:rsidRPr="00B820FE">
        <w:t>SURMOUNT-1 and SURMOUNT-2 included a broad and diverse target treatment population of patients with obesity or overweight, with (SURMOUNT</w:t>
      </w:r>
      <w:r w:rsidR="00822453">
        <w:t>-</w:t>
      </w:r>
      <w:r w:rsidRPr="00B820FE">
        <w:t>2) and without (SURMO</w:t>
      </w:r>
      <w:r w:rsidR="00822453">
        <w:t>U</w:t>
      </w:r>
      <w:r w:rsidRPr="00B820FE">
        <w:t>NT</w:t>
      </w:r>
      <w:r w:rsidR="00822453">
        <w:t>-</w:t>
      </w:r>
      <w:r w:rsidRPr="00B820FE">
        <w:t xml:space="preserve">1) T2DM. </w:t>
      </w:r>
      <w:r w:rsidRPr="00B820FE">
        <w:rPr>
          <w:lang w:eastAsia="ja-JP"/>
        </w:rPr>
        <w:t>All participants were at least 18 years of age.</w:t>
      </w:r>
    </w:p>
    <w:p w14:paraId="0EC5768E" w14:textId="34FED220" w:rsidR="00B820FE" w:rsidRPr="00B820FE" w:rsidRDefault="00B820FE" w:rsidP="000A3BA0">
      <w:r w:rsidRPr="00B820FE">
        <w:t>Participants were required to meet 1 of the criteria of</w:t>
      </w:r>
      <w:r w:rsidR="000A3BA0">
        <w:t>:</w:t>
      </w:r>
    </w:p>
    <w:p w14:paraId="4861D684" w14:textId="77777777" w:rsidR="00B820FE" w:rsidRPr="00B820FE" w:rsidRDefault="00B820FE" w:rsidP="000A3BA0">
      <w:pPr>
        <w:pStyle w:val="ListBullet"/>
      </w:pPr>
      <w:r w:rsidRPr="00B820FE">
        <w:t>obesity, defined as having a BMI of 30 kg/m</w:t>
      </w:r>
      <w:r w:rsidRPr="00B820FE">
        <w:rPr>
          <w:vertAlign w:val="superscript"/>
        </w:rPr>
        <w:t>2</w:t>
      </w:r>
      <w:r w:rsidRPr="00B820FE">
        <w:t xml:space="preserve"> or more, or</w:t>
      </w:r>
    </w:p>
    <w:p w14:paraId="6C6F50E1" w14:textId="77777777" w:rsidR="00B820FE" w:rsidRPr="00B820FE" w:rsidRDefault="00B820FE" w:rsidP="000A3BA0">
      <w:pPr>
        <w:pStyle w:val="ListBullet"/>
      </w:pPr>
      <w:r w:rsidRPr="00B820FE">
        <w:t>overweight, defined as having a BMI of 27 kg/m</w:t>
      </w:r>
      <w:r w:rsidRPr="00B8511A">
        <w:rPr>
          <w:vertAlign w:val="superscript"/>
        </w:rPr>
        <w:t>2</w:t>
      </w:r>
      <w:r w:rsidRPr="00B820FE">
        <w:t xml:space="preserve"> or more with at least 1 weight-related comorbid condition, including, but not limited to,</w:t>
      </w:r>
    </w:p>
    <w:p w14:paraId="057EBA28" w14:textId="77777777" w:rsidR="00B820FE" w:rsidRPr="00B820FE" w:rsidRDefault="00B820FE" w:rsidP="000A3BA0">
      <w:pPr>
        <w:pStyle w:val="ListBullet2"/>
      </w:pPr>
      <w:r w:rsidRPr="00B820FE">
        <w:t>obstructive sleep apnoea</w:t>
      </w:r>
    </w:p>
    <w:p w14:paraId="69B85217" w14:textId="77777777" w:rsidR="00B820FE" w:rsidRPr="00B820FE" w:rsidRDefault="00B820FE" w:rsidP="000A3BA0">
      <w:pPr>
        <w:pStyle w:val="ListBullet2"/>
      </w:pPr>
      <w:r w:rsidRPr="00B820FE">
        <w:t>hypertension</w:t>
      </w:r>
    </w:p>
    <w:p w14:paraId="5F323A15" w14:textId="77777777" w:rsidR="00B820FE" w:rsidRPr="00B820FE" w:rsidRDefault="00B820FE" w:rsidP="000A3BA0">
      <w:pPr>
        <w:pStyle w:val="ListBullet2"/>
      </w:pPr>
      <w:r w:rsidRPr="00B820FE">
        <w:t>dyslipidaemia, or</w:t>
      </w:r>
    </w:p>
    <w:p w14:paraId="24EB2FE4" w14:textId="77777777" w:rsidR="00B820FE" w:rsidRPr="00B820FE" w:rsidRDefault="00B820FE" w:rsidP="000A3BA0">
      <w:pPr>
        <w:pStyle w:val="ListBullet2"/>
      </w:pPr>
      <w:r w:rsidRPr="00B820FE">
        <w:t>cardiovascular disease.</w:t>
      </w:r>
    </w:p>
    <w:p w14:paraId="310094F8" w14:textId="7720D0A2" w:rsidR="0021382A" w:rsidRPr="000A3BA0" w:rsidRDefault="00B820FE" w:rsidP="000A3BA0">
      <w:r w:rsidRPr="00B820FE">
        <w:t>Participants in both SURMOUNT-1 and -2 were required to have a history of at least 1 self-reported unsuccessful dietary effort to reduce body weight.</w:t>
      </w:r>
    </w:p>
    <w:p w14:paraId="227ECBB4" w14:textId="20FF3288" w:rsidR="00B820FE" w:rsidRPr="00B820FE" w:rsidRDefault="00B820FE" w:rsidP="000A3BA0">
      <w:pPr>
        <w:pStyle w:val="Heading5"/>
        <w:rPr>
          <w:rFonts w:cs="CIDFont+F4"/>
        </w:rPr>
      </w:pPr>
      <w:r w:rsidRPr="00B820FE">
        <w:t xml:space="preserve">Study </w:t>
      </w:r>
      <w:proofErr w:type="gramStart"/>
      <w:r w:rsidRPr="00B820FE">
        <w:t>treatments</w:t>
      </w:r>
      <w:proofErr w:type="gramEnd"/>
    </w:p>
    <w:p w14:paraId="75598557" w14:textId="3BCCBF7E" w:rsidR="00B820FE" w:rsidRPr="00B820FE" w:rsidRDefault="00B820FE" w:rsidP="000A3BA0">
      <w:pPr>
        <w:rPr>
          <w:lang w:eastAsia="ja-JP"/>
        </w:rPr>
      </w:pPr>
      <w:r w:rsidRPr="00B820FE">
        <w:rPr>
          <w:lang w:eastAsia="ja-JP"/>
        </w:rPr>
        <w:t>Participants were randomised into four groups: tirzepatide QW 5 mg (SURMOUNT-1 only); 10 mg; 15 mg; or placebo.</w:t>
      </w:r>
      <w:r w:rsidRPr="00B820FE">
        <w:t xml:space="preserve"> A dosing algorithm (Table </w:t>
      </w:r>
      <w:r w:rsidR="00303A00">
        <w:t>5</w:t>
      </w:r>
      <w:r w:rsidRPr="00B820FE">
        <w:t>) starting at a dose of 2.5 mg with dose escalation of 2.5-mg increments every 4 weeks up to the target dose was utilised. The maximum dose was 15mg weekly.</w:t>
      </w:r>
      <w:r w:rsidRPr="00B820FE">
        <w:rPr>
          <w:lang w:eastAsia="ja-JP"/>
        </w:rPr>
        <w:t xml:space="preserve"> The study intervention was provided in autoinjectors (single-dose pens).</w:t>
      </w:r>
    </w:p>
    <w:p w14:paraId="065D495A" w14:textId="4788D1D9" w:rsidR="00B820FE" w:rsidRDefault="00B820FE" w:rsidP="000A3BA0">
      <w:pPr>
        <w:pStyle w:val="TableTitle"/>
        <w:rPr>
          <w:lang w:eastAsia="ja-JP"/>
        </w:rPr>
      </w:pPr>
      <w:r w:rsidRPr="00B820FE">
        <w:rPr>
          <w:color w:val="000000"/>
        </w:rPr>
        <w:lastRenderedPageBreak/>
        <w:t xml:space="preserve">Table </w:t>
      </w:r>
      <w:r w:rsidR="00303A00">
        <w:rPr>
          <w:color w:val="000000"/>
        </w:rPr>
        <w:t>5</w:t>
      </w:r>
      <w:r w:rsidRPr="00B820FE">
        <w:rPr>
          <w:color w:val="000000"/>
        </w:rPr>
        <w:t xml:space="preserve">: </w:t>
      </w:r>
      <w:r w:rsidRPr="00B820FE">
        <w:t xml:space="preserve">Tirzepatide Dose-Escalation Scheme in </w:t>
      </w:r>
      <w:r w:rsidRPr="00B820FE">
        <w:rPr>
          <w:lang w:eastAsia="ja-JP"/>
        </w:rPr>
        <w:t>SURMOUNT</w:t>
      </w:r>
      <w:r w:rsidR="00C534A7">
        <w:rPr>
          <w:lang w:eastAsia="ja-JP"/>
        </w:rPr>
        <w:t>-</w:t>
      </w:r>
      <w:r w:rsidRPr="00B820FE">
        <w:rPr>
          <w:lang w:eastAsia="ja-JP"/>
        </w:rPr>
        <w:t xml:space="preserve">1 </w:t>
      </w:r>
      <w:r w:rsidRPr="000A3BA0">
        <w:t>and</w:t>
      </w:r>
      <w:r w:rsidRPr="00B820FE">
        <w:rPr>
          <w:lang w:eastAsia="ja-JP"/>
        </w:rPr>
        <w:t xml:space="preserve"> </w:t>
      </w:r>
      <w:r w:rsidR="00C534A7">
        <w:rPr>
          <w:lang w:eastAsia="ja-JP"/>
        </w:rPr>
        <w:t>SURMOUNT-</w:t>
      </w:r>
      <w:r w:rsidRPr="00B820FE">
        <w:rPr>
          <w:lang w:eastAsia="ja-JP"/>
        </w:rPr>
        <w:t>2 studies.</w:t>
      </w:r>
    </w:p>
    <w:tbl>
      <w:tblPr>
        <w:tblStyle w:val="TableTGAblue2023"/>
        <w:tblW w:w="8804" w:type="dxa"/>
        <w:tblLook w:val="04A0" w:firstRow="1" w:lastRow="0" w:firstColumn="1" w:lastColumn="0" w:noHBand="0" w:noVBand="1"/>
      </w:tblPr>
      <w:tblGrid>
        <w:gridCol w:w="1945"/>
        <w:gridCol w:w="1006"/>
        <w:gridCol w:w="1006"/>
        <w:gridCol w:w="1064"/>
        <w:gridCol w:w="1134"/>
        <w:gridCol w:w="1216"/>
        <w:gridCol w:w="1412"/>
        <w:gridCol w:w="21"/>
      </w:tblGrid>
      <w:tr w:rsidR="00F4228A" w:rsidRPr="00F4228A" w14:paraId="6B8135EA" w14:textId="77777777" w:rsidTr="000A3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650D36F2" w14:textId="74D90ADF" w:rsidR="00F4228A" w:rsidRPr="00F4228A" w:rsidRDefault="00F4228A" w:rsidP="000A3BA0">
            <w:pPr>
              <w:rPr>
                <w:lang w:eastAsia="ja-JP"/>
              </w:rPr>
            </w:pPr>
            <w:r w:rsidRPr="00F4228A">
              <w:rPr>
                <w:lang w:eastAsia="ja-JP"/>
              </w:rPr>
              <w:t>Treatment Group</w:t>
            </w:r>
            <w:r w:rsidR="00624192">
              <w:rPr>
                <w:lang w:eastAsia="ja-JP"/>
              </w:rPr>
              <w:t xml:space="preserve"> –</w:t>
            </w:r>
            <w:r w:rsidR="00624192">
              <w:t xml:space="preserve"> </w:t>
            </w:r>
            <w:r w:rsidR="00624192" w:rsidRPr="00624192">
              <w:rPr>
                <w:lang w:eastAsia="ja-JP"/>
              </w:rPr>
              <w:t>Tir</w:t>
            </w:r>
            <w:r w:rsidR="00624192">
              <w:rPr>
                <w:lang w:eastAsia="ja-JP"/>
              </w:rPr>
              <w:t>z</w:t>
            </w:r>
            <w:r w:rsidR="00624192" w:rsidRPr="00624192">
              <w:rPr>
                <w:lang w:eastAsia="ja-JP"/>
              </w:rPr>
              <w:t>epatide</w:t>
            </w:r>
            <w:r w:rsidR="00624192">
              <w:rPr>
                <w:lang w:eastAsia="ja-JP"/>
              </w:rPr>
              <w:t xml:space="preserve"> (mg)</w:t>
            </w:r>
          </w:p>
        </w:tc>
        <w:tc>
          <w:tcPr>
            <w:tcW w:w="6739" w:type="dxa"/>
            <w:gridSpan w:val="7"/>
          </w:tcPr>
          <w:p w14:paraId="7FC60A2C" w14:textId="5CB8A965" w:rsidR="00F4228A" w:rsidRPr="00F4228A" w:rsidRDefault="00F4228A" w:rsidP="000A3BA0">
            <w:pPr>
              <w:cnfStyle w:val="100000000000" w:firstRow="1" w:lastRow="0" w:firstColumn="0" w:lastColumn="0" w:oddVBand="0" w:evenVBand="0" w:oddHBand="0" w:evenHBand="0" w:firstRowFirstColumn="0" w:firstRowLastColumn="0" w:lastRowFirstColumn="0" w:lastRowLastColumn="0"/>
              <w:rPr>
                <w:lang w:eastAsia="ja-JP"/>
              </w:rPr>
            </w:pPr>
            <w:r w:rsidRPr="00F4228A">
              <w:rPr>
                <w:lang w:eastAsia="ja-JP"/>
              </w:rPr>
              <w:t>Treatment Period Intervals</w:t>
            </w:r>
          </w:p>
        </w:tc>
      </w:tr>
      <w:tr w:rsidR="00F4228A" w:rsidRPr="00F4228A" w14:paraId="4FE25ABF" w14:textId="77777777" w:rsidTr="000A3BA0">
        <w:trPr>
          <w:gridAfter w:val="1"/>
          <w:wAfter w:w="26" w:type="dxa"/>
        </w:trPr>
        <w:tc>
          <w:tcPr>
            <w:cnfStyle w:val="001000000000" w:firstRow="0" w:lastRow="0" w:firstColumn="1" w:lastColumn="0" w:oddVBand="0" w:evenVBand="0" w:oddHBand="0" w:evenHBand="0" w:firstRowFirstColumn="0" w:firstRowLastColumn="0" w:lastRowFirstColumn="0" w:lastRowLastColumn="0"/>
            <w:tcW w:w="2065" w:type="dxa"/>
            <w:vMerge/>
          </w:tcPr>
          <w:p w14:paraId="56FE3CA1" w14:textId="3BDDBBBE" w:rsidR="00F4228A" w:rsidRPr="00F4228A" w:rsidRDefault="00F4228A" w:rsidP="000A3BA0">
            <w:pPr>
              <w:rPr>
                <w:lang w:eastAsia="ja-JP"/>
              </w:rPr>
            </w:pPr>
          </w:p>
        </w:tc>
        <w:tc>
          <w:tcPr>
            <w:tcW w:w="990" w:type="dxa"/>
            <w:shd w:val="clear" w:color="auto" w:fill="DEEAF6"/>
          </w:tcPr>
          <w:p w14:paraId="08CA6956" w14:textId="16C36793"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Weeks</w:t>
            </w:r>
          </w:p>
          <w:p w14:paraId="7268D89B" w14:textId="61694126"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0 to 4</w:t>
            </w:r>
          </w:p>
        </w:tc>
        <w:tc>
          <w:tcPr>
            <w:tcW w:w="900" w:type="dxa"/>
            <w:shd w:val="clear" w:color="auto" w:fill="DEEAF6"/>
          </w:tcPr>
          <w:p w14:paraId="594A8CA3" w14:textId="1DF54B57"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Weeks</w:t>
            </w:r>
          </w:p>
          <w:p w14:paraId="3B4AB6A2" w14:textId="7619DD45"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4 to 8</w:t>
            </w:r>
          </w:p>
        </w:tc>
        <w:tc>
          <w:tcPr>
            <w:tcW w:w="1080" w:type="dxa"/>
            <w:shd w:val="clear" w:color="auto" w:fill="DEEAF6"/>
          </w:tcPr>
          <w:p w14:paraId="1A2CD492" w14:textId="6657F7BC"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Weeks</w:t>
            </w:r>
          </w:p>
          <w:p w14:paraId="3C4D364D" w14:textId="1C022AB3"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8 to 12</w:t>
            </w:r>
          </w:p>
        </w:tc>
        <w:tc>
          <w:tcPr>
            <w:tcW w:w="1170" w:type="dxa"/>
            <w:shd w:val="clear" w:color="auto" w:fill="DEEAF6"/>
          </w:tcPr>
          <w:p w14:paraId="6A8CCF8E" w14:textId="57C7CACD"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Weeks</w:t>
            </w:r>
          </w:p>
          <w:p w14:paraId="7928EC74" w14:textId="44E399B7"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12 to 16</w:t>
            </w:r>
          </w:p>
        </w:tc>
        <w:tc>
          <w:tcPr>
            <w:tcW w:w="1274" w:type="dxa"/>
            <w:shd w:val="clear" w:color="auto" w:fill="DEEAF6"/>
          </w:tcPr>
          <w:p w14:paraId="1757596D" w14:textId="26BBFCB5"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Weeks</w:t>
            </w:r>
          </w:p>
          <w:p w14:paraId="32041F18" w14:textId="37035EC4"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16 to 20</w:t>
            </w:r>
          </w:p>
        </w:tc>
        <w:tc>
          <w:tcPr>
            <w:tcW w:w="1299" w:type="dxa"/>
            <w:shd w:val="clear" w:color="auto" w:fill="DEEAF6"/>
          </w:tcPr>
          <w:p w14:paraId="6329A66C" w14:textId="5722E993"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color w:val="263287"/>
                <w:lang w:eastAsia="ja-JP"/>
              </w:rPr>
            </w:pPr>
            <w:r w:rsidRPr="000A3BA0">
              <w:rPr>
                <w:b/>
                <w:bCs/>
                <w:color w:val="263287"/>
                <w:lang w:eastAsia="ja-JP"/>
              </w:rPr>
              <w:t>Week 20 through End of Treatment Period</w:t>
            </w:r>
          </w:p>
        </w:tc>
      </w:tr>
      <w:tr w:rsidR="00F4228A" w:rsidRPr="00F4228A" w14:paraId="613E8B77" w14:textId="77777777" w:rsidTr="000A3BA0">
        <w:trPr>
          <w:gridAfter w:val="1"/>
          <w:wAfter w:w="26" w:type="dxa"/>
        </w:trPr>
        <w:tc>
          <w:tcPr>
            <w:cnfStyle w:val="001000000000" w:firstRow="0" w:lastRow="0" w:firstColumn="1" w:lastColumn="0" w:oddVBand="0" w:evenVBand="0" w:oddHBand="0" w:evenHBand="0" w:firstRowFirstColumn="0" w:firstRowLastColumn="0" w:lastRowFirstColumn="0" w:lastRowLastColumn="0"/>
            <w:tcW w:w="2065" w:type="dxa"/>
            <w:shd w:val="clear" w:color="auto" w:fill="DEEAF6"/>
          </w:tcPr>
          <w:p w14:paraId="39C01F3D" w14:textId="4F8E6DBB" w:rsidR="00F4228A" w:rsidRPr="000A3BA0" w:rsidRDefault="00F4228A" w:rsidP="000A3BA0">
            <w:pPr>
              <w:rPr>
                <w:b/>
                <w:bCs/>
                <w:color w:val="263287"/>
                <w:lang w:eastAsia="ja-JP"/>
              </w:rPr>
            </w:pPr>
            <w:r w:rsidRPr="000A3BA0">
              <w:rPr>
                <w:b/>
                <w:bCs/>
                <w:color w:val="263287"/>
                <w:lang w:eastAsia="ja-JP"/>
              </w:rPr>
              <w:t>5mg</w:t>
            </w:r>
          </w:p>
        </w:tc>
        <w:tc>
          <w:tcPr>
            <w:tcW w:w="990" w:type="dxa"/>
          </w:tcPr>
          <w:p w14:paraId="1A7B3670" w14:textId="74803E7E"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2.5 mg</w:t>
            </w:r>
          </w:p>
        </w:tc>
        <w:tc>
          <w:tcPr>
            <w:tcW w:w="900" w:type="dxa"/>
          </w:tcPr>
          <w:p w14:paraId="03E420E9" w14:textId="74AF52F5"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5 mg</w:t>
            </w:r>
          </w:p>
        </w:tc>
        <w:tc>
          <w:tcPr>
            <w:tcW w:w="1080" w:type="dxa"/>
          </w:tcPr>
          <w:p w14:paraId="61CF434A" w14:textId="0FFE0659"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5 mg</w:t>
            </w:r>
          </w:p>
        </w:tc>
        <w:tc>
          <w:tcPr>
            <w:tcW w:w="1170" w:type="dxa"/>
          </w:tcPr>
          <w:p w14:paraId="67555402" w14:textId="35F76EF3"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5 mg</w:t>
            </w:r>
          </w:p>
        </w:tc>
        <w:tc>
          <w:tcPr>
            <w:tcW w:w="1274" w:type="dxa"/>
          </w:tcPr>
          <w:p w14:paraId="4F84C0AB" w14:textId="36BA061E"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5 mg</w:t>
            </w:r>
          </w:p>
        </w:tc>
        <w:tc>
          <w:tcPr>
            <w:tcW w:w="1299" w:type="dxa"/>
          </w:tcPr>
          <w:p w14:paraId="32E04833" w14:textId="312B4B18"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5 mg</w:t>
            </w:r>
          </w:p>
        </w:tc>
      </w:tr>
      <w:tr w:rsidR="00F4228A" w:rsidRPr="00F4228A" w14:paraId="01387420" w14:textId="77777777" w:rsidTr="000A3BA0">
        <w:trPr>
          <w:gridAfter w:val="1"/>
          <w:wAfter w:w="26" w:type="dxa"/>
        </w:trPr>
        <w:tc>
          <w:tcPr>
            <w:cnfStyle w:val="001000000000" w:firstRow="0" w:lastRow="0" w:firstColumn="1" w:lastColumn="0" w:oddVBand="0" w:evenVBand="0" w:oddHBand="0" w:evenHBand="0" w:firstRowFirstColumn="0" w:firstRowLastColumn="0" w:lastRowFirstColumn="0" w:lastRowLastColumn="0"/>
            <w:tcW w:w="2065" w:type="dxa"/>
            <w:shd w:val="clear" w:color="auto" w:fill="DEEAF6"/>
          </w:tcPr>
          <w:p w14:paraId="37794440" w14:textId="4582F90F" w:rsidR="00F4228A" w:rsidRPr="000A3BA0" w:rsidRDefault="00F4228A" w:rsidP="000A3BA0">
            <w:pPr>
              <w:rPr>
                <w:b/>
                <w:bCs/>
                <w:color w:val="263287"/>
                <w:lang w:eastAsia="ja-JP"/>
              </w:rPr>
            </w:pPr>
            <w:r w:rsidRPr="000A3BA0">
              <w:rPr>
                <w:b/>
                <w:bCs/>
                <w:color w:val="263287"/>
                <w:lang w:eastAsia="ja-JP"/>
              </w:rPr>
              <w:t>10mg</w:t>
            </w:r>
          </w:p>
        </w:tc>
        <w:tc>
          <w:tcPr>
            <w:tcW w:w="990" w:type="dxa"/>
          </w:tcPr>
          <w:p w14:paraId="423C13EE" w14:textId="4AA3B68A"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2.5 mg</w:t>
            </w:r>
          </w:p>
        </w:tc>
        <w:tc>
          <w:tcPr>
            <w:tcW w:w="900" w:type="dxa"/>
          </w:tcPr>
          <w:p w14:paraId="15D572A5" w14:textId="73CB1379"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5 mg</w:t>
            </w:r>
          </w:p>
        </w:tc>
        <w:tc>
          <w:tcPr>
            <w:tcW w:w="1080" w:type="dxa"/>
          </w:tcPr>
          <w:p w14:paraId="389BEDF9" w14:textId="500033A7"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7.5 mg</w:t>
            </w:r>
          </w:p>
        </w:tc>
        <w:tc>
          <w:tcPr>
            <w:tcW w:w="1170" w:type="dxa"/>
          </w:tcPr>
          <w:p w14:paraId="51052E9D" w14:textId="03EEF905"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10 mg</w:t>
            </w:r>
          </w:p>
        </w:tc>
        <w:tc>
          <w:tcPr>
            <w:tcW w:w="1274" w:type="dxa"/>
          </w:tcPr>
          <w:p w14:paraId="4EDA2FF9" w14:textId="4265CA9A"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10 mg</w:t>
            </w:r>
          </w:p>
        </w:tc>
        <w:tc>
          <w:tcPr>
            <w:tcW w:w="1299" w:type="dxa"/>
          </w:tcPr>
          <w:p w14:paraId="236F55BA" w14:textId="4672BF69"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10 mg</w:t>
            </w:r>
          </w:p>
        </w:tc>
      </w:tr>
      <w:tr w:rsidR="00F4228A" w:rsidRPr="00F4228A" w14:paraId="46830570" w14:textId="77777777" w:rsidTr="000A3BA0">
        <w:trPr>
          <w:gridAfter w:val="1"/>
          <w:wAfter w:w="26" w:type="dxa"/>
        </w:trPr>
        <w:tc>
          <w:tcPr>
            <w:cnfStyle w:val="001000000000" w:firstRow="0" w:lastRow="0" w:firstColumn="1" w:lastColumn="0" w:oddVBand="0" w:evenVBand="0" w:oddHBand="0" w:evenHBand="0" w:firstRowFirstColumn="0" w:firstRowLastColumn="0" w:lastRowFirstColumn="0" w:lastRowLastColumn="0"/>
            <w:tcW w:w="2065" w:type="dxa"/>
            <w:shd w:val="clear" w:color="auto" w:fill="DEEAF6"/>
          </w:tcPr>
          <w:p w14:paraId="6DCBA1E6" w14:textId="28E93C84" w:rsidR="00F4228A" w:rsidRPr="000A3BA0" w:rsidRDefault="00F4228A" w:rsidP="000A3BA0">
            <w:pPr>
              <w:rPr>
                <w:b/>
                <w:bCs/>
                <w:color w:val="263287"/>
                <w:lang w:eastAsia="ja-JP"/>
              </w:rPr>
            </w:pPr>
            <w:r w:rsidRPr="000A3BA0">
              <w:rPr>
                <w:b/>
                <w:bCs/>
                <w:color w:val="263287"/>
                <w:lang w:eastAsia="ja-JP"/>
              </w:rPr>
              <w:t>15 mg</w:t>
            </w:r>
          </w:p>
        </w:tc>
        <w:tc>
          <w:tcPr>
            <w:tcW w:w="990" w:type="dxa"/>
          </w:tcPr>
          <w:p w14:paraId="380EF030" w14:textId="432BE5AE"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2.5 mg</w:t>
            </w:r>
          </w:p>
        </w:tc>
        <w:tc>
          <w:tcPr>
            <w:tcW w:w="900" w:type="dxa"/>
          </w:tcPr>
          <w:p w14:paraId="30213B94" w14:textId="6D641C99"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5 mg</w:t>
            </w:r>
          </w:p>
        </w:tc>
        <w:tc>
          <w:tcPr>
            <w:tcW w:w="1080" w:type="dxa"/>
          </w:tcPr>
          <w:p w14:paraId="05F763F4" w14:textId="3C5B66BA"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7.5 mg</w:t>
            </w:r>
          </w:p>
        </w:tc>
        <w:tc>
          <w:tcPr>
            <w:tcW w:w="1170" w:type="dxa"/>
          </w:tcPr>
          <w:p w14:paraId="7EC22A2E" w14:textId="78AE8301"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10 mg</w:t>
            </w:r>
          </w:p>
        </w:tc>
        <w:tc>
          <w:tcPr>
            <w:tcW w:w="1274" w:type="dxa"/>
          </w:tcPr>
          <w:p w14:paraId="79D91CCB" w14:textId="232896BC"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1</w:t>
            </w:r>
            <w:r w:rsidR="00066361" w:rsidRPr="000A3BA0">
              <w:rPr>
                <w:b/>
                <w:bCs/>
                <w:lang w:eastAsia="ja-JP"/>
              </w:rPr>
              <w:t>2.5</w:t>
            </w:r>
            <w:r w:rsidRPr="000A3BA0">
              <w:rPr>
                <w:b/>
                <w:bCs/>
                <w:lang w:eastAsia="ja-JP"/>
              </w:rPr>
              <w:t xml:space="preserve"> mg</w:t>
            </w:r>
          </w:p>
        </w:tc>
        <w:tc>
          <w:tcPr>
            <w:tcW w:w="1299" w:type="dxa"/>
          </w:tcPr>
          <w:p w14:paraId="1932A224" w14:textId="672B6710" w:rsidR="00F4228A" w:rsidRPr="000A3BA0" w:rsidRDefault="00F4228A" w:rsidP="000A3BA0">
            <w:pPr>
              <w:cnfStyle w:val="000000000000" w:firstRow="0" w:lastRow="0" w:firstColumn="0" w:lastColumn="0" w:oddVBand="0" w:evenVBand="0" w:oddHBand="0" w:evenHBand="0" w:firstRowFirstColumn="0" w:firstRowLastColumn="0" w:lastRowFirstColumn="0" w:lastRowLastColumn="0"/>
              <w:rPr>
                <w:b/>
                <w:bCs/>
                <w:lang w:eastAsia="ja-JP"/>
              </w:rPr>
            </w:pPr>
            <w:r w:rsidRPr="000A3BA0">
              <w:rPr>
                <w:b/>
                <w:bCs/>
                <w:lang w:eastAsia="ja-JP"/>
              </w:rPr>
              <w:t>1</w:t>
            </w:r>
            <w:r w:rsidR="00066361" w:rsidRPr="000A3BA0">
              <w:rPr>
                <w:b/>
                <w:bCs/>
                <w:lang w:eastAsia="ja-JP"/>
              </w:rPr>
              <w:t>5</w:t>
            </w:r>
            <w:r w:rsidRPr="000A3BA0">
              <w:rPr>
                <w:b/>
                <w:bCs/>
                <w:lang w:eastAsia="ja-JP"/>
              </w:rPr>
              <w:t xml:space="preserve"> mg</w:t>
            </w:r>
          </w:p>
        </w:tc>
      </w:tr>
    </w:tbl>
    <w:p w14:paraId="2E8C0B9F" w14:textId="0AEB3F49" w:rsidR="00B820FE" w:rsidRDefault="00B820FE" w:rsidP="000A3BA0">
      <w:pPr>
        <w:spacing w:before="240"/>
      </w:pPr>
      <w:r w:rsidRPr="00B820FE">
        <w:t>The longest dose-escalation period was 20 weeks. Therefore, the 72-week treatment duration allowed the evaluation of maintenance doses for 68 weeks (5 mg), 60 weeks (10 mg), and 52 weeks (15 mg).</w:t>
      </w:r>
    </w:p>
    <w:p w14:paraId="4DA68E2E" w14:textId="6D1ECB5D" w:rsidR="00B820FE" w:rsidRDefault="00B820FE" w:rsidP="000A3BA0">
      <w:pPr>
        <w:rPr>
          <w:lang w:eastAsia="ja-JP"/>
        </w:rPr>
      </w:pPr>
      <w:r w:rsidRPr="00B820FE">
        <w:rPr>
          <w:lang w:eastAsia="ja-JP"/>
        </w:rPr>
        <w:t>For all participants, lifestyle modification was advised. This consisted of a hypocaloric diet with a 500-kcal/day deficit that was individually calculated, and an increase in physical activity to moderate intensity for ≥150 minutes per week. Lifestyle counselling was administered throughout the study.</w:t>
      </w:r>
    </w:p>
    <w:p w14:paraId="09A95621" w14:textId="59F004BC" w:rsidR="00B820FE" w:rsidRPr="00B820FE" w:rsidRDefault="00B820FE" w:rsidP="000A3BA0">
      <w:pPr>
        <w:pStyle w:val="Heading5"/>
        <w:rPr>
          <w:color w:val="000000"/>
        </w:rPr>
      </w:pPr>
      <w:r w:rsidRPr="00B820FE">
        <w:t>Outcomes</w:t>
      </w:r>
    </w:p>
    <w:p w14:paraId="4059D42E" w14:textId="77777777" w:rsidR="00B820FE" w:rsidRPr="00B820FE" w:rsidRDefault="00B820FE" w:rsidP="000A3BA0">
      <w:pPr>
        <w:rPr>
          <w:lang w:eastAsia="ja-JP"/>
        </w:rPr>
      </w:pPr>
      <w:r w:rsidRPr="00B820FE">
        <w:rPr>
          <w:lang w:eastAsia="ja-JP"/>
        </w:rPr>
        <w:t>The primary efficacy assessment in both studies was body weight: % change in body weight from randomisation and percentage of participants who achieve ≥5% body weight reduction at 72 weeks.</w:t>
      </w:r>
    </w:p>
    <w:p w14:paraId="512DB849" w14:textId="77777777" w:rsidR="00B820FE" w:rsidRPr="00B820FE" w:rsidRDefault="00B820FE" w:rsidP="000A3BA0">
      <w:r w:rsidRPr="00B820FE">
        <w:t>Additional clinical endpoints included:</w:t>
      </w:r>
    </w:p>
    <w:p w14:paraId="62039E9C" w14:textId="77777777" w:rsidR="00B820FE" w:rsidRPr="00B820FE" w:rsidRDefault="00B820FE" w:rsidP="000A3BA0">
      <w:pPr>
        <w:pStyle w:val="ListBullet"/>
      </w:pPr>
      <w:r w:rsidRPr="00B820FE">
        <w:t>Percentage of patients reaching ≥ 10%, ≥ 15% and ≥20% body weight reduction</w:t>
      </w:r>
    </w:p>
    <w:p w14:paraId="3FE8BB8F" w14:textId="77777777" w:rsidR="00B820FE" w:rsidRPr="00B820FE" w:rsidRDefault="00B820FE" w:rsidP="000A3BA0">
      <w:pPr>
        <w:pStyle w:val="ListBullet"/>
      </w:pPr>
      <w:r w:rsidRPr="00B820FE">
        <w:t>Change in waist circumference.</w:t>
      </w:r>
    </w:p>
    <w:p w14:paraId="5E704493" w14:textId="77777777" w:rsidR="00B820FE" w:rsidRPr="00B820FE" w:rsidRDefault="00B820FE" w:rsidP="000A3BA0">
      <w:pPr>
        <w:pStyle w:val="ListBullet"/>
      </w:pPr>
      <w:r w:rsidRPr="00B820FE">
        <w:t>Change in triglycerides, non-HDL cholesterol, and HDL cholesterol.</w:t>
      </w:r>
    </w:p>
    <w:p w14:paraId="14039D43" w14:textId="336B2173" w:rsidR="00B820FE" w:rsidRPr="00B820FE" w:rsidRDefault="00B820FE" w:rsidP="000A3BA0">
      <w:pPr>
        <w:pStyle w:val="ListBullet"/>
      </w:pPr>
      <w:r w:rsidRPr="00B820FE">
        <w:t xml:space="preserve">Change in systolic and diastolic </w:t>
      </w:r>
      <w:r w:rsidR="00C16915">
        <w:t>blood pressure</w:t>
      </w:r>
      <w:r w:rsidRPr="00B820FE">
        <w:t>.</w:t>
      </w:r>
    </w:p>
    <w:p w14:paraId="69B4CF5B" w14:textId="77777777" w:rsidR="00B820FE" w:rsidRPr="00B820FE" w:rsidRDefault="00B820FE" w:rsidP="000A3BA0">
      <w:pPr>
        <w:pStyle w:val="ListBullet"/>
      </w:pPr>
      <w:r w:rsidRPr="00B820FE">
        <w:t>Change in fasting insulin.</w:t>
      </w:r>
    </w:p>
    <w:p w14:paraId="5883C2DA" w14:textId="77777777" w:rsidR="00B820FE" w:rsidRPr="00B820FE" w:rsidRDefault="00B820FE" w:rsidP="000A3BA0">
      <w:pPr>
        <w:pStyle w:val="ListBullet"/>
      </w:pPr>
      <w:r w:rsidRPr="00B820FE">
        <w:t>Change in HbA1c.</w:t>
      </w:r>
    </w:p>
    <w:p w14:paraId="51D71B82" w14:textId="77777777" w:rsidR="00B820FE" w:rsidRPr="00B820FE" w:rsidRDefault="00B820FE" w:rsidP="000A3BA0">
      <w:pPr>
        <w:rPr>
          <w:lang w:eastAsia="ja-JP"/>
        </w:rPr>
      </w:pPr>
      <w:r w:rsidRPr="00B820FE">
        <w:t>P</w:t>
      </w:r>
      <w:r w:rsidRPr="00B820FE">
        <w:rPr>
          <w:lang w:eastAsia="ja-JP"/>
        </w:rPr>
        <w:t>atient-reported outcomes assessments included:</w:t>
      </w:r>
    </w:p>
    <w:p w14:paraId="44471CCC" w14:textId="61C8760E" w:rsidR="00B820FE" w:rsidRPr="00B820FE" w:rsidRDefault="00B820FE" w:rsidP="000A3BA0">
      <w:pPr>
        <w:pStyle w:val="ListBullet"/>
      </w:pPr>
      <w:r w:rsidRPr="00B820FE">
        <w:t>Short Form-36</w:t>
      </w:r>
      <w:r w:rsidR="00AA3DBD">
        <w:t xml:space="preserve"> (</w:t>
      </w:r>
      <w:r w:rsidR="00AA3DBD" w:rsidRPr="00AA3DBD">
        <w:rPr>
          <w:lang w:val="en-US"/>
        </w:rPr>
        <w:t>SF-36v2</w:t>
      </w:r>
      <w:r w:rsidR="00AA3DBD">
        <w:rPr>
          <w:lang w:val="en-US"/>
        </w:rPr>
        <w:t>)</w:t>
      </w:r>
      <w:r w:rsidR="00AA3DBD" w:rsidRPr="00AA3DBD">
        <w:rPr>
          <w:lang w:val="en-US"/>
        </w:rPr>
        <w:t xml:space="preserve"> and</w:t>
      </w:r>
    </w:p>
    <w:p w14:paraId="77289E64" w14:textId="77777777" w:rsidR="00B820FE" w:rsidRPr="00B820FE" w:rsidRDefault="00B820FE" w:rsidP="000A3BA0">
      <w:pPr>
        <w:pStyle w:val="ListBullet"/>
      </w:pPr>
      <w:r w:rsidRPr="00B820FE">
        <w:t>Impact of Weight on Quality of Life – Lite Clinical Trials Version (IWQOL-Lite-CT)</w:t>
      </w:r>
    </w:p>
    <w:p w14:paraId="6C514BD3" w14:textId="30318A7C" w:rsidR="00B820FE" w:rsidRPr="00B820FE" w:rsidRDefault="00B820FE" w:rsidP="000A3BA0">
      <w:pPr>
        <w:pStyle w:val="Heading5"/>
      </w:pPr>
      <w:r w:rsidRPr="00B820FE">
        <w:rPr>
          <w:lang w:eastAsia="ja-JP"/>
        </w:rPr>
        <w:t xml:space="preserve">Description of </w:t>
      </w:r>
      <w:r w:rsidR="000A3BA0">
        <w:rPr>
          <w:lang w:eastAsia="ja-JP"/>
        </w:rPr>
        <w:t>a</w:t>
      </w:r>
      <w:r w:rsidRPr="00B820FE">
        <w:rPr>
          <w:lang w:eastAsia="ja-JP"/>
        </w:rPr>
        <w:t xml:space="preserve">nalysis </w:t>
      </w:r>
      <w:r w:rsidR="000A3BA0">
        <w:rPr>
          <w:lang w:eastAsia="ja-JP"/>
        </w:rPr>
        <w:t>d</w:t>
      </w:r>
      <w:r w:rsidRPr="00B820FE">
        <w:rPr>
          <w:lang w:eastAsia="ja-JP"/>
        </w:rPr>
        <w:t>atasets</w:t>
      </w:r>
    </w:p>
    <w:p w14:paraId="05D6D445" w14:textId="674F5F8D" w:rsidR="00B820FE" w:rsidRPr="00B820FE" w:rsidRDefault="00B820FE" w:rsidP="000A3BA0">
      <w:pPr>
        <w:rPr>
          <w:lang w:eastAsia="ja-JP"/>
        </w:rPr>
      </w:pPr>
      <w:r w:rsidRPr="00B820FE">
        <w:rPr>
          <w:lang w:eastAsia="ja-JP"/>
        </w:rPr>
        <w:t xml:space="preserve">Treatment compliance in this study was defined as taking at least 75% of the required doses of the study drug. Data set definitions are shown in </w:t>
      </w:r>
      <w:r w:rsidR="00624192">
        <w:rPr>
          <w:lang w:eastAsia="ja-JP"/>
        </w:rPr>
        <w:t>T</w:t>
      </w:r>
      <w:r w:rsidRPr="00B820FE">
        <w:rPr>
          <w:lang w:eastAsia="ja-JP"/>
        </w:rPr>
        <w:t xml:space="preserve">able </w:t>
      </w:r>
      <w:r w:rsidR="00CD615C">
        <w:rPr>
          <w:lang w:eastAsia="ja-JP"/>
        </w:rPr>
        <w:t>6</w:t>
      </w:r>
      <w:r w:rsidRPr="00B820FE">
        <w:rPr>
          <w:lang w:eastAsia="ja-JP"/>
        </w:rPr>
        <w:t>.</w:t>
      </w:r>
    </w:p>
    <w:p w14:paraId="1D99FCDD" w14:textId="77777777" w:rsidR="00B820FE" w:rsidRPr="00B820FE" w:rsidRDefault="00B820FE" w:rsidP="000A3BA0">
      <w:r w:rsidRPr="00B820FE">
        <w:t>There were 2 estimands of interest in evaluating primary and key secondary outcomes.</w:t>
      </w:r>
    </w:p>
    <w:p w14:paraId="3485D70E" w14:textId="45A60513" w:rsidR="00CD615C" w:rsidRPr="000A3BA0" w:rsidRDefault="00B820FE" w:rsidP="000A3BA0">
      <w:pPr>
        <w:pStyle w:val="ListBullet"/>
      </w:pPr>
      <w:r w:rsidRPr="00B820FE">
        <w:t>Th</w:t>
      </w:r>
      <w:r w:rsidRPr="00624192">
        <w:t>e efficacy estimand r</w:t>
      </w:r>
      <w:r w:rsidRPr="00B820FE">
        <w:t>epresent</w:t>
      </w:r>
      <w:r w:rsidR="004058A1">
        <w:t>s</w:t>
      </w:r>
      <w:r w:rsidRPr="00B820FE">
        <w:t xml:space="preserve"> on-treatment efficacy not confounded by discontinuation of study drug. The efficacy analysis set was used. This estimand, reflects the effect of a </w:t>
      </w:r>
      <w:r w:rsidRPr="00B820FE">
        <w:lastRenderedPageBreak/>
        <w:t>treatment for patients who are willing and able to take the drug as prescribed. The analyses for the efficacy estimand were conducted using the EAS.</w:t>
      </w:r>
    </w:p>
    <w:p w14:paraId="3851F8D1" w14:textId="614BD060" w:rsidR="00B820FE" w:rsidRPr="00B820FE" w:rsidRDefault="00B820FE" w:rsidP="000A3BA0">
      <w:pPr>
        <w:pStyle w:val="ListBullet"/>
        <w:rPr>
          <w:color w:val="000000"/>
        </w:rPr>
      </w:pPr>
      <w:r w:rsidRPr="00744D3B">
        <w:t xml:space="preserve">The </w:t>
      </w:r>
      <w:r w:rsidRPr="00744D3B">
        <w:rPr>
          <w:rFonts w:eastAsia="TimesNewRoman,Italic"/>
        </w:rPr>
        <w:t>treatment-regimen estimand</w:t>
      </w:r>
      <w:r w:rsidRPr="00744D3B">
        <w:rPr>
          <w:rFonts w:eastAsia="TimesNewRoman,Italic"/>
          <w:i/>
          <w:iCs/>
        </w:rPr>
        <w:t xml:space="preserve"> </w:t>
      </w:r>
      <w:r w:rsidRPr="00744D3B">
        <w:t>represent</w:t>
      </w:r>
      <w:r w:rsidR="006A47D5">
        <w:t>s</w:t>
      </w:r>
      <w:r w:rsidRPr="00744D3B">
        <w:t xml:space="preserve"> efficacy irrespective of adherence to study drug. </w:t>
      </w:r>
      <w:r w:rsidRPr="00B820FE">
        <w:t>This likely indicates how a drug will work in a more real-life setting,</w:t>
      </w:r>
      <w:r w:rsidRPr="00B820FE">
        <w:rPr>
          <w:color w:val="000000"/>
        </w:rPr>
        <w:t xml:space="preserve"> The analyses for the treatment-regimen estimand were conducted using the </w:t>
      </w:r>
      <w:r w:rsidR="00C16915">
        <w:rPr>
          <w:color w:val="000000"/>
        </w:rPr>
        <w:t>full analysis set</w:t>
      </w:r>
      <w:r w:rsidRPr="00B820FE">
        <w:rPr>
          <w:color w:val="000000"/>
        </w:rPr>
        <w:t>.</w:t>
      </w:r>
    </w:p>
    <w:p w14:paraId="3BC32C76" w14:textId="1EFA79FB" w:rsidR="00B820FE" w:rsidRPr="00B820FE" w:rsidRDefault="00B820FE" w:rsidP="000A3BA0">
      <w:pPr>
        <w:pStyle w:val="TableTitle"/>
        <w:rPr>
          <w:lang w:eastAsia="ja-JP"/>
        </w:rPr>
      </w:pPr>
      <w:r w:rsidRPr="00B820FE">
        <w:t xml:space="preserve">Table </w:t>
      </w:r>
      <w:r w:rsidR="00CD615C">
        <w:t>6</w:t>
      </w:r>
      <w:r w:rsidRPr="00B820FE">
        <w:t xml:space="preserve">: </w:t>
      </w:r>
      <w:bookmarkStart w:id="42" w:name="_Toc161760629"/>
      <w:r w:rsidRPr="00B820FE">
        <w:rPr>
          <w:lang w:eastAsia="ja-JP"/>
        </w:rPr>
        <w:t xml:space="preserve">Description of Analysis </w:t>
      </w:r>
      <w:r w:rsidRPr="000A3BA0">
        <w:t>Datasets</w:t>
      </w:r>
      <w:bookmarkEnd w:id="42"/>
    </w:p>
    <w:p w14:paraId="498D9018" w14:textId="2FD49F67" w:rsidR="00B820FE" w:rsidRPr="00B820FE" w:rsidRDefault="00B820FE" w:rsidP="000A3BA0">
      <w:pPr>
        <w:rPr>
          <w:rFonts w:cs="Calibri"/>
          <w:b/>
        </w:rPr>
      </w:pPr>
      <w:r w:rsidRPr="00B820FE">
        <w:rPr>
          <w:noProof/>
          <w:lang w:eastAsia="ja-JP"/>
        </w:rPr>
        <w:drawing>
          <wp:inline distT="0" distB="0" distL="0" distR="0" wp14:anchorId="3F5763EB" wp14:editId="1CDA99F9">
            <wp:extent cx="5897245" cy="1905000"/>
            <wp:effectExtent l="0" t="0" r="8255" b="0"/>
            <wp:docPr id="14" name="Picture 14" descr="Table 6: Description of Analysis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6: Description of Analysis Datasets"/>
                    <pic:cNvPicPr/>
                  </pic:nvPicPr>
                  <pic:blipFill>
                    <a:blip r:embed="rId36">
                      <a:extLst>
                        <a:ext uri="{BEBA8EAE-BF5A-486C-A8C5-ECC9F3942E4B}">
                          <a14:imgProps xmlns:a14="http://schemas.microsoft.com/office/drawing/2010/main">
                            <a14:imgLayer r:embed="rId37">
                              <a14:imgEffect>
                                <a14:brightnessContrast contrast="-40000"/>
                              </a14:imgEffect>
                            </a14:imgLayer>
                          </a14:imgProps>
                        </a:ext>
                      </a:extLst>
                    </a:blip>
                    <a:stretch>
                      <a:fillRect/>
                    </a:stretch>
                  </pic:blipFill>
                  <pic:spPr>
                    <a:xfrm>
                      <a:off x="0" y="0"/>
                      <a:ext cx="5944635" cy="1920308"/>
                    </a:xfrm>
                    <a:prstGeom prst="rect">
                      <a:avLst/>
                    </a:prstGeom>
                  </pic:spPr>
                </pic:pic>
              </a:graphicData>
            </a:graphic>
          </wp:inline>
        </w:drawing>
      </w:r>
    </w:p>
    <w:p w14:paraId="75E2598D" w14:textId="73851B3B" w:rsidR="00B820FE" w:rsidRPr="00B820FE" w:rsidRDefault="00B820FE" w:rsidP="000A3BA0">
      <w:pPr>
        <w:rPr>
          <w:b/>
          <w:bCs/>
        </w:rPr>
      </w:pPr>
      <w:r w:rsidRPr="00B820FE">
        <w:t>Disposition of participants</w:t>
      </w:r>
      <w:r w:rsidR="0021382A">
        <w:t xml:space="preserve">: </w:t>
      </w:r>
      <w:r w:rsidRPr="00B820FE">
        <w:t>In SURMOUNT-1 and SURMOUNT-2, 2539 participants and 938 participants, respectively, were randomi</w:t>
      </w:r>
      <w:r w:rsidR="005038D2">
        <w:t>s</w:t>
      </w:r>
      <w:r w:rsidRPr="00B820FE">
        <w:t>ed. All randomi</w:t>
      </w:r>
      <w:r w:rsidR="005038D2">
        <w:t>s</w:t>
      </w:r>
      <w:r w:rsidRPr="00B820FE">
        <w:t>ed participants received at least 1 dose of study drug</w:t>
      </w:r>
      <w:r w:rsidR="00744D3B">
        <w:t xml:space="preserve"> </w:t>
      </w:r>
      <w:r w:rsidRPr="00B820FE">
        <w:t>(Table</w:t>
      </w:r>
      <w:r w:rsidR="00CD615C">
        <w:t xml:space="preserve"> 7</w:t>
      </w:r>
      <w:r w:rsidRPr="00B820FE">
        <w:t>)</w:t>
      </w:r>
      <w:r w:rsidR="00744D3B">
        <w:t>.</w:t>
      </w:r>
    </w:p>
    <w:p w14:paraId="0792765B" w14:textId="5833BC62" w:rsidR="00B820FE" w:rsidRPr="00B820FE" w:rsidRDefault="00B820FE" w:rsidP="000A3BA0">
      <w:pPr>
        <w:pStyle w:val="TableTitle"/>
      </w:pPr>
      <w:r w:rsidRPr="00B820FE">
        <w:t xml:space="preserve">Table </w:t>
      </w:r>
      <w:r w:rsidR="00CD615C">
        <w:t>7</w:t>
      </w:r>
      <w:r w:rsidRPr="00B820FE">
        <w:t xml:space="preserve">: Summary of SURMOUNT-1 and </w:t>
      </w:r>
      <w:r w:rsidRPr="000A3BA0">
        <w:t>SURMOUNT</w:t>
      </w:r>
      <w:r w:rsidRPr="00B820FE">
        <w:t>-2 participant disposition.</w:t>
      </w:r>
    </w:p>
    <w:p w14:paraId="18D3258D" w14:textId="0AF400F2" w:rsidR="00B820FE" w:rsidRPr="00B820FE" w:rsidRDefault="00B820FE" w:rsidP="000A3BA0">
      <w:r w:rsidRPr="00B820FE">
        <w:rPr>
          <w:noProof/>
        </w:rPr>
        <w:drawing>
          <wp:inline distT="0" distB="0" distL="0" distR="0" wp14:anchorId="38664C94" wp14:editId="690BBBC4">
            <wp:extent cx="5650293" cy="1960419"/>
            <wp:effectExtent l="0" t="0" r="7620" b="1905"/>
            <wp:docPr id="7" name="Picture 7" descr="Table 7: Summary of SURMOUNT-1 and SURMOUNT-2 participa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7: Summary of SURMOUNT-1 and SURMOUNT-2 participant disposition."/>
                    <pic:cNvPicPr/>
                  </pic:nvPicPr>
                  <pic:blipFill>
                    <a:blip r:embed="rId38">
                      <a:extLst>
                        <a:ext uri="{28A0092B-C50C-407E-A947-70E740481C1C}">
                          <a14:useLocalDpi xmlns:a14="http://schemas.microsoft.com/office/drawing/2010/main" val="0"/>
                        </a:ext>
                      </a:extLst>
                    </a:blip>
                    <a:stretch>
                      <a:fillRect/>
                    </a:stretch>
                  </pic:blipFill>
                  <pic:spPr>
                    <a:xfrm>
                      <a:off x="0" y="0"/>
                      <a:ext cx="5692443" cy="1975043"/>
                    </a:xfrm>
                    <a:prstGeom prst="rect">
                      <a:avLst/>
                    </a:prstGeom>
                  </pic:spPr>
                </pic:pic>
              </a:graphicData>
            </a:graphic>
          </wp:inline>
        </w:drawing>
      </w:r>
    </w:p>
    <w:p w14:paraId="7754574E" w14:textId="5DF5F347" w:rsidR="00B820FE" w:rsidRPr="00B820FE" w:rsidRDefault="00773545" w:rsidP="000A3BA0">
      <w:pPr>
        <w:pStyle w:val="TableDescription"/>
      </w:pPr>
      <w:r w:rsidRPr="00773545">
        <w:rPr>
          <w:vertAlign w:val="superscript"/>
        </w:rPr>
        <w:t>a</w:t>
      </w:r>
      <w:r w:rsidR="00246999">
        <w:rPr>
          <w:vertAlign w:val="superscript"/>
        </w:rPr>
        <w:t xml:space="preserve"> </w:t>
      </w:r>
      <w:r w:rsidRPr="00773545">
        <w:t>applies to SURMOUNT-1 only</w:t>
      </w:r>
      <w:r>
        <w:t xml:space="preserve">. </w:t>
      </w:r>
      <w:r w:rsidR="00B820FE" w:rsidRPr="00B820FE">
        <w:t>n = number of participants within category; N = number of participants randomi</w:t>
      </w:r>
      <w:r w:rsidR="005038D2">
        <w:t>s</w:t>
      </w:r>
      <w:r w:rsidR="00B820FE" w:rsidRPr="00B820FE">
        <w:t xml:space="preserve">ed; NA = not applicable; </w:t>
      </w:r>
      <w:r w:rsidR="00B820FE" w:rsidRPr="000A3BA0">
        <w:t>TZP</w:t>
      </w:r>
      <w:r w:rsidR="00B820FE" w:rsidRPr="00B820FE">
        <w:t xml:space="preserve"> = </w:t>
      </w:r>
      <w:proofErr w:type="spellStart"/>
      <w:r w:rsidR="00B820FE" w:rsidRPr="00B820FE">
        <w:t>tirzepatide</w:t>
      </w:r>
      <w:proofErr w:type="spellEnd"/>
    </w:p>
    <w:p w14:paraId="79A6374E" w14:textId="62847AD1" w:rsidR="00B820FE" w:rsidRPr="00B820FE" w:rsidRDefault="00B820FE" w:rsidP="000A3BA0">
      <w:pPr>
        <w:pStyle w:val="Heading4"/>
      </w:pPr>
      <w:bookmarkStart w:id="43" w:name="_Toc178239610"/>
      <w:r w:rsidRPr="00B820FE">
        <w:t>Results</w:t>
      </w:r>
      <w:bookmarkEnd w:id="43"/>
    </w:p>
    <w:p w14:paraId="78A4A1CB" w14:textId="1E5586F8" w:rsidR="00B820FE" w:rsidRPr="00B820FE" w:rsidRDefault="00B820FE" w:rsidP="000A3BA0">
      <w:pPr>
        <w:pStyle w:val="Heading5"/>
      </w:pPr>
      <w:r w:rsidRPr="00B820FE">
        <w:t>SURMOUNT</w:t>
      </w:r>
      <w:r w:rsidR="00946A0F">
        <w:t>-</w:t>
      </w:r>
      <w:r w:rsidRPr="00B820FE">
        <w:t>1 (</w:t>
      </w:r>
      <w:r w:rsidRPr="00B820FE">
        <w:rPr>
          <w:lang w:eastAsia="ja-JP"/>
        </w:rPr>
        <w:t>Study I8F-MC-GPHK)</w:t>
      </w:r>
      <w:r w:rsidR="000A3BA0" w:rsidRPr="00B820FE">
        <w:t xml:space="preserve"> </w:t>
      </w:r>
    </w:p>
    <w:p w14:paraId="5EDFEFB1" w14:textId="4AC17EAB" w:rsidR="00B820FE" w:rsidRPr="00B820FE" w:rsidRDefault="00B820FE" w:rsidP="000A3BA0">
      <w:pPr>
        <w:rPr>
          <w:lang w:eastAsia="ja-JP"/>
        </w:rPr>
      </w:pPr>
      <w:r w:rsidRPr="00B820FE">
        <w:rPr>
          <w:lang w:eastAsia="ja-JP"/>
        </w:rPr>
        <w:t>Demographic and baseline clinical characteristics were comparable across the treatment groups. The mean age was 45 years, mean BMI was 38 kg/m</w:t>
      </w:r>
      <w:r w:rsidRPr="00B8511A">
        <w:rPr>
          <w:vertAlign w:val="superscript"/>
          <w:lang w:eastAsia="ja-JP"/>
        </w:rPr>
        <w:t>2</w:t>
      </w:r>
      <w:r w:rsidRPr="00B820FE">
        <w:rPr>
          <w:lang w:eastAsia="ja-JP"/>
        </w:rPr>
        <w:t>, mean weight was 104.8 kg, 94.5% of participants had a BMI 30.0 kg/m</w:t>
      </w:r>
      <w:r w:rsidRPr="0021382A">
        <w:rPr>
          <w:vertAlign w:val="superscript"/>
          <w:lang w:eastAsia="ja-JP"/>
        </w:rPr>
        <w:t>2</w:t>
      </w:r>
      <w:r w:rsidRPr="00B820FE">
        <w:rPr>
          <w:lang w:eastAsia="ja-JP"/>
        </w:rPr>
        <w:t xml:space="preserve"> or higher and 67.5% of participants were female.</w:t>
      </w:r>
      <w:bookmarkStart w:id="44" w:name="_Hlk170470102"/>
    </w:p>
    <w:bookmarkEnd w:id="44"/>
    <w:p w14:paraId="4FFB3862" w14:textId="3F096C7E" w:rsidR="00B820FE" w:rsidRPr="00B820FE" w:rsidRDefault="00B820FE" w:rsidP="000A3BA0">
      <w:r w:rsidRPr="00B820FE">
        <w:t>At baseline, nearly 2/3 of participants had ≥ 1 weight-related comorbidities, including hypertension (32.3%), dyslipidaemia (29.8%), obstructive sleep apnoea (7.8%), and atherosclerotic cardiovascular disease (3.1%), and 40.6% had prediabetes (baseline FSG, HbA1c, and oral glucose tolerance test).</w:t>
      </w:r>
    </w:p>
    <w:p w14:paraId="73AEF4B2" w14:textId="12DA5D65" w:rsidR="00B820FE" w:rsidRPr="00B820FE" w:rsidRDefault="00B820FE" w:rsidP="000A3BA0">
      <w:r w:rsidRPr="00B820FE">
        <w:lastRenderedPageBreak/>
        <w:t xml:space="preserve">Tirzepatide 5, 10, and 15 mg achieved superiority over placebo on the coprimary endpoints and all key secondary endpoints, which were controlled for type 1 error, using the treatment-regimen and efficacy estimands. (Table </w:t>
      </w:r>
      <w:r w:rsidR="00CD615C">
        <w:t>8</w:t>
      </w:r>
      <w:r w:rsidRPr="00B820FE">
        <w:t>, Figure 2)</w:t>
      </w:r>
      <w:r w:rsidR="000A3BA0">
        <w:t>.</w:t>
      </w:r>
    </w:p>
    <w:p w14:paraId="19EE3C7D" w14:textId="77777777" w:rsidR="00B820FE" w:rsidRDefault="00B820FE" w:rsidP="000A3BA0">
      <w:r w:rsidRPr="00B820FE">
        <w:t>Tirzepatide led to statistically and clinically meaningful weight reductions across doses. The mean % weight reduction for 5, 10, and 15 mg at 72 weeks was 15%, 19.5%, and 20.8%, respectively, for the treatment-regimen estimand and 16%, 21.4%, and 22.5%, respectively, for the efficacy estimand.</w:t>
      </w:r>
    </w:p>
    <w:p w14:paraId="63934992" w14:textId="3DDAA0C2" w:rsidR="00B820FE" w:rsidRPr="00B820FE" w:rsidRDefault="00B820FE" w:rsidP="000A3BA0">
      <w:r w:rsidRPr="00B820FE">
        <w:t xml:space="preserve">Significantly higher percentages of participants treated with tirzepatide 5, 10, or 15 mg compared to placebo achieved </w:t>
      </w:r>
      <w:r w:rsidR="0074166A" w:rsidRPr="00B820FE">
        <w:t>≥</w:t>
      </w:r>
      <w:r w:rsidR="00784A39">
        <w:t xml:space="preserve"> 5%, </w:t>
      </w:r>
      <w:r w:rsidRPr="00B820FE">
        <w:t>≥ 10%, ≥ 15% and ≥20% body weight reductions at 72 weeks.</w:t>
      </w:r>
    </w:p>
    <w:p w14:paraId="247A4ECA" w14:textId="54C9CB9A" w:rsidR="00B820FE" w:rsidRPr="00B820FE" w:rsidRDefault="00B820FE" w:rsidP="000A3BA0">
      <w:pPr>
        <w:pStyle w:val="TableTitle"/>
      </w:pPr>
      <w:r w:rsidRPr="00B820FE">
        <w:t xml:space="preserve">Table </w:t>
      </w:r>
      <w:r w:rsidR="00660980">
        <w:t>8</w:t>
      </w:r>
      <w:r w:rsidRPr="00B820FE">
        <w:t xml:space="preserve">: </w:t>
      </w:r>
      <w:r w:rsidRPr="000A3BA0">
        <w:t>Summary</w:t>
      </w:r>
      <w:r w:rsidRPr="00B820FE">
        <w:t xml:space="preserve"> of Body Weight Measures at Week 72 in SURMOUNT-1 mITT Population Full Analysis Set; Efficacy Analysis Set</w:t>
      </w:r>
    </w:p>
    <w:p w14:paraId="032D72AE" w14:textId="77777777" w:rsidR="00B820FE" w:rsidRPr="00B820FE" w:rsidRDefault="00B820FE" w:rsidP="000A3BA0">
      <w:r w:rsidRPr="00B820FE">
        <w:rPr>
          <w:noProof/>
        </w:rPr>
        <w:drawing>
          <wp:inline distT="0" distB="0" distL="0" distR="0" wp14:anchorId="2A5879DF" wp14:editId="753812E7">
            <wp:extent cx="5750560" cy="3574473"/>
            <wp:effectExtent l="0" t="0" r="2540" b="6985"/>
            <wp:docPr id="795293315" name="Picture 795293315" descr="Table 8: Summary of Body Weight Measures at Week 72 in SURMOUNT-1 mITT Population Full Analysis Set;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93315" name="Picture 795293315" descr="Table 8: Summary of Body Weight Measures at Week 72 in SURMOUNT-1 mITT Population Full Analysis Set; Efficacy Analysis Set"/>
                    <pic:cNvPicPr/>
                  </pic:nvPicPr>
                  <pic:blipFill>
                    <a:blip r:embed="rId39">
                      <a:extLst>
                        <a:ext uri="{28A0092B-C50C-407E-A947-70E740481C1C}">
                          <a14:useLocalDpi xmlns:a14="http://schemas.microsoft.com/office/drawing/2010/main" val="0"/>
                        </a:ext>
                      </a:extLst>
                    </a:blip>
                    <a:stretch>
                      <a:fillRect/>
                    </a:stretch>
                  </pic:blipFill>
                  <pic:spPr>
                    <a:xfrm>
                      <a:off x="0" y="0"/>
                      <a:ext cx="5783776" cy="3595119"/>
                    </a:xfrm>
                    <a:prstGeom prst="rect">
                      <a:avLst/>
                    </a:prstGeom>
                  </pic:spPr>
                </pic:pic>
              </a:graphicData>
            </a:graphic>
          </wp:inline>
        </w:drawing>
      </w:r>
    </w:p>
    <w:p w14:paraId="019521C8" w14:textId="77777777" w:rsidR="00B820FE" w:rsidRPr="00B820FE" w:rsidRDefault="00B820FE" w:rsidP="000A3BA0">
      <w:r w:rsidRPr="00B820FE">
        <w:rPr>
          <w:noProof/>
        </w:rPr>
        <w:drawing>
          <wp:inline distT="0" distB="0" distL="0" distR="0" wp14:anchorId="30E311BD" wp14:editId="70A5ED04">
            <wp:extent cx="5742922" cy="976746"/>
            <wp:effectExtent l="0" t="0" r="0" b="0"/>
            <wp:docPr id="15" name="Picture 15" descr="Table 8: Summary of Body Weight Measures at Week 72 in SURMOUNT-1 mITT Population Full Analysis Set;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8: Summary of Body Weight Measures at Week 72 in SURMOUNT-1 mITT Population Full Analysis Set; Efficacy Analysis Set"/>
                    <pic:cNvPicPr/>
                  </pic:nvPicPr>
                  <pic:blipFill>
                    <a:blip r:embed="rId40">
                      <a:extLst>
                        <a:ext uri="{28A0092B-C50C-407E-A947-70E740481C1C}">
                          <a14:useLocalDpi xmlns:a14="http://schemas.microsoft.com/office/drawing/2010/main" val="0"/>
                        </a:ext>
                      </a:extLst>
                    </a:blip>
                    <a:stretch>
                      <a:fillRect/>
                    </a:stretch>
                  </pic:blipFill>
                  <pic:spPr>
                    <a:xfrm>
                      <a:off x="0" y="0"/>
                      <a:ext cx="5827199" cy="991080"/>
                    </a:xfrm>
                    <a:prstGeom prst="rect">
                      <a:avLst/>
                    </a:prstGeom>
                  </pic:spPr>
                </pic:pic>
              </a:graphicData>
            </a:graphic>
          </wp:inline>
        </w:drawing>
      </w:r>
    </w:p>
    <w:p w14:paraId="513D9B59" w14:textId="77777777" w:rsidR="00B820FE" w:rsidRPr="00B820FE" w:rsidRDefault="00B820FE" w:rsidP="000A3BA0">
      <w:pPr>
        <w:pStyle w:val="TableDescription"/>
      </w:pPr>
      <w:r w:rsidRPr="00B820FE">
        <w:t xml:space="preserve">Abbreviations: ANCOVA = analysis of covariance; CI = confidence interval; mITT = modified intent-to-treat; MMRM = mixed model for </w:t>
      </w:r>
      <w:r w:rsidRPr="000A3BA0">
        <w:t>repeated</w:t>
      </w:r>
      <w:r w:rsidRPr="00B820FE">
        <w:t xml:space="preserve"> measures; N = number of participants who were randomly assigned and received at least 1 dose of study drug; TZP = tirzepatide.</w:t>
      </w:r>
    </w:p>
    <w:p w14:paraId="437D7DD1" w14:textId="77777777" w:rsidR="00B820FE" w:rsidRPr="00B820FE" w:rsidRDefault="00B820FE" w:rsidP="000A3BA0">
      <w:pPr>
        <w:pStyle w:val="TableDescription"/>
      </w:pPr>
      <w:r w:rsidRPr="00B820FE">
        <w:rPr>
          <w:vertAlign w:val="superscript"/>
        </w:rPr>
        <w:t xml:space="preserve">a </w:t>
      </w:r>
      <w:r w:rsidRPr="00B820FE">
        <w:t xml:space="preserve">ANCOVA with hybrid imputation for missing body weight data at 72 weeks. </w:t>
      </w:r>
      <w:r w:rsidRPr="00B820FE">
        <w:rPr>
          <w:vertAlign w:val="superscript"/>
        </w:rPr>
        <w:t xml:space="preserve">b </w:t>
      </w:r>
      <w:r w:rsidRPr="00B820FE">
        <w:t xml:space="preserve">MMRM analysis. </w:t>
      </w:r>
      <w:r w:rsidRPr="00B820FE">
        <w:rPr>
          <w:vertAlign w:val="superscript"/>
        </w:rPr>
        <w:t xml:space="preserve">c </w:t>
      </w:r>
      <w:r w:rsidRPr="00B820FE">
        <w:t xml:space="preserve">Logistic regression with missing body weight imputed using hybrid imputation at 72 weeks. </w:t>
      </w:r>
      <w:r w:rsidRPr="00B820FE">
        <w:rPr>
          <w:vertAlign w:val="superscript"/>
        </w:rPr>
        <w:t xml:space="preserve">d </w:t>
      </w:r>
      <w:r w:rsidRPr="00B820FE">
        <w:t xml:space="preserve">Logistic </w:t>
      </w:r>
      <w:r w:rsidRPr="000A3BA0">
        <w:t>regression</w:t>
      </w:r>
      <w:r w:rsidRPr="00B820FE">
        <w:t xml:space="preserve"> with missing value imputed using MMRM analysis at 72 weeks. Note: Shown are least squares mean. ***p-Value &lt;.001 versus placebo for objectives controlled for type 1 error. ###p-Value &lt;.001 versus placebo for objectives not controlled for type 1 error. p-Value &lt;.001 versus baseline within each treatment group.</w:t>
      </w:r>
    </w:p>
    <w:p w14:paraId="40509584" w14:textId="3C93193F" w:rsidR="00B820FE" w:rsidRPr="00B820FE" w:rsidRDefault="00B820FE" w:rsidP="000A3BA0">
      <w:pPr>
        <w:pStyle w:val="FigureTitle"/>
      </w:pPr>
      <w:r w:rsidRPr="00B820FE">
        <w:lastRenderedPageBreak/>
        <w:t>Figure 2: Percent change</w:t>
      </w:r>
      <w:r w:rsidR="00452D12">
        <w:t xml:space="preserve"> in body weight</w:t>
      </w:r>
      <w:r w:rsidRPr="00B820FE">
        <w:t xml:space="preserve"> from baseline at Week 72: mITT Population Full Analysis Set; Efficacy Analysis Set</w:t>
      </w:r>
    </w:p>
    <w:p w14:paraId="6E84B394" w14:textId="77777777" w:rsidR="00B820FE" w:rsidRPr="00B820FE" w:rsidRDefault="00B820FE" w:rsidP="000A3BA0">
      <w:pPr>
        <w:rPr>
          <w:b/>
          <w:bCs/>
        </w:rPr>
      </w:pPr>
      <w:r w:rsidRPr="00B820FE">
        <w:rPr>
          <w:noProof/>
        </w:rPr>
        <w:drawing>
          <wp:inline distT="0" distB="0" distL="0" distR="0" wp14:anchorId="49C2FD0F" wp14:editId="254DD2B9">
            <wp:extent cx="3899523" cy="8172450"/>
            <wp:effectExtent l="19050" t="19050" r="25400" b="19050"/>
            <wp:docPr id="20" name="Picture 20" descr="Figure 2: Percent change in body weight from baseline at Week 72: mITT Population Full Analysis Set;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Percent change in body weight from baseline at Week 72: mITT Population Full Analysis Set; Efficacy Analysis Set"/>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26717" cy="8229443"/>
                    </a:xfrm>
                    <a:prstGeom prst="rect">
                      <a:avLst/>
                    </a:prstGeom>
                    <a:ln>
                      <a:solidFill>
                        <a:schemeClr val="tx1"/>
                      </a:solidFill>
                    </a:ln>
                  </pic:spPr>
                </pic:pic>
              </a:graphicData>
            </a:graphic>
          </wp:inline>
        </w:drawing>
      </w:r>
    </w:p>
    <w:p w14:paraId="73EA31AB" w14:textId="77777777" w:rsidR="00B820FE" w:rsidRPr="00744D3B" w:rsidRDefault="00B820FE" w:rsidP="000A3BA0">
      <w:pPr>
        <w:pStyle w:val="FigureDescription"/>
      </w:pPr>
      <w:r w:rsidRPr="00744D3B">
        <w:t>T2DM = type 2 diabetes mellitus; TZP = tirzepatide. ***p-value &lt;.001 versus placebo, controlled for type 1 error.</w:t>
      </w:r>
    </w:p>
    <w:p w14:paraId="7A806587" w14:textId="2C7A8C6E" w:rsidR="00B820FE" w:rsidRDefault="00B820FE" w:rsidP="00544F03">
      <w:pPr>
        <w:pageBreakBefore/>
        <w:autoSpaceDE w:val="0"/>
        <w:autoSpaceDN w:val="0"/>
        <w:adjustRightInd w:val="0"/>
        <w:spacing w:after="0" w:line="240" w:lineRule="auto"/>
        <w:rPr>
          <w:rFonts w:cs="Calibri"/>
          <w:szCs w:val="22"/>
        </w:rPr>
      </w:pPr>
      <w:proofErr w:type="spellStart"/>
      <w:r w:rsidRPr="00B820FE">
        <w:rPr>
          <w:rFonts w:cs="Calibri"/>
          <w:szCs w:val="22"/>
        </w:rPr>
        <w:lastRenderedPageBreak/>
        <w:t>Tirzepatide</w:t>
      </w:r>
      <w:proofErr w:type="spellEnd"/>
      <w:r w:rsidRPr="00B820FE">
        <w:rPr>
          <w:rFonts w:cs="Calibri"/>
          <w:szCs w:val="22"/>
        </w:rPr>
        <w:t xml:space="preserve"> significantly reduced mean body weight from baseline and relative to placebo starting at Week 4, the first time point assessed on treatment. The body weight for participants in the tirzepatide 5-mg group continued to decrease through Week 60 and stabili</w:t>
      </w:r>
      <w:r w:rsidR="005038D2">
        <w:rPr>
          <w:rFonts w:cs="Calibri"/>
          <w:szCs w:val="22"/>
        </w:rPr>
        <w:t>s</w:t>
      </w:r>
      <w:r w:rsidRPr="00B820FE">
        <w:rPr>
          <w:rFonts w:cs="Calibri"/>
          <w:szCs w:val="22"/>
        </w:rPr>
        <w:t>ed by Week 72</w:t>
      </w:r>
      <w:r w:rsidR="009A1D1F">
        <w:rPr>
          <w:rFonts w:cs="Calibri"/>
          <w:szCs w:val="22"/>
        </w:rPr>
        <w:t>.</w:t>
      </w:r>
      <w:r w:rsidR="001C7E24">
        <w:rPr>
          <w:rFonts w:cs="Calibri"/>
          <w:szCs w:val="22"/>
        </w:rPr>
        <w:t xml:space="preserve"> </w:t>
      </w:r>
      <w:r w:rsidR="009A1D1F" w:rsidRPr="009A1D1F">
        <w:rPr>
          <w:rFonts w:cs="Calibri"/>
          <w:szCs w:val="22"/>
          <w:lang w:val="en-US"/>
        </w:rPr>
        <w:t>In the tirzepatide 10- and 15-mg groups, the weight</w:t>
      </w:r>
      <w:r w:rsidR="009A1D1F">
        <w:rPr>
          <w:rFonts w:cs="Calibri"/>
          <w:szCs w:val="22"/>
          <w:lang w:val="en-US"/>
        </w:rPr>
        <w:t xml:space="preserve"> </w:t>
      </w:r>
      <w:r w:rsidR="009A1D1F" w:rsidRPr="009A1D1F">
        <w:rPr>
          <w:rFonts w:cs="Calibri"/>
          <w:szCs w:val="22"/>
          <w:lang w:val="en-US"/>
        </w:rPr>
        <w:t>reduction attenuated but continued through the 72-week primary endpoint visit</w:t>
      </w:r>
      <w:r w:rsidRPr="00B820FE">
        <w:rPr>
          <w:rFonts w:cs="Calibri"/>
          <w:szCs w:val="22"/>
        </w:rPr>
        <w:t xml:space="preserve"> (Figure 3)</w:t>
      </w:r>
      <w:r w:rsidR="0021382A">
        <w:rPr>
          <w:rFonts w:cs="Calibri"/>
          <w:szCs w:val="22"/>
        </w:rPr>
        <w:t>.</w:t>
      </w:r>
    </w:p>
    <w:p w14:paraId="2AC3E85A" w14:textId="4C2E1AF3" w:rsidR="00B820FE" w:rsidRPr="00B820FE" w:rsidRDefault="00B820FE" w:rsidP="00544F03">
      <w:pPr>
        <w:pStyle w:val="FigureTitle"/>
        <w:rPr>
          <w:rFonts w:cs="CIDFont+F1"/>
        </w:rPr>
      </w:pPr>
      <w:r w:rsidRPr="00B820FE">
        <w:lastRenderedPageBreak/>
        <w:t xml:space="preserve">Figure 3: Estimated cumulative distribution of </w:t>
      </w:r>
      <w:r w:rsidRPr="00544F03">
        <w:t>percent</w:t>
      </w:r>
      <w:r w:rsidRPr="00B820FE">
        <w:t xml:space="preserve"> change from baseline in body weight at 72 weeks </w:t>
      </w:r>
      <w:r w:rsidRPr="00544F03">
        <w:t>in</w:t>
      </w:r>
      <w:r w:rsidRPr="00B820FE">
        <w:t xml:space="preserve"> SURMOUNT-1 &amp; 2: mITT population, efficacy analysis set</w:t>
      </w:r>
      <w:r w:rsidRPr="00B820FE">
        <w:rPr>
          <w:rFonts w:cs="CIDFont+F1"/>
        </w:rPr>
        <w:t>.</w:t>
      </w:r>
    </w:p>
    <w:p w14:paraId="52F72917" w14:textId="5EBF896A" w:rsidR="0021382A" w:rsidRDefault="00452D12" w:rsidP="00544F03">
      <w:pPr>
        <w:rPr>
          <w:rFonts w:cs="Calibri"/>
          <w:szCs w:val="22"/>
        </w:rPr>
      </w:pPr>
      <w:r>
        <w:rPr>
          <w:noProof/>
        </w:rPr>
        <w:drawing>
          <wp:inline distT="0" distB="0" distL="0" distR="0" wp14:anchorId="750781A5" wp14:editId="170B57E8">
            <wp:extent cx="8637115" cy="4155719"/>
            <wp:effectExtent l="0" t="7302" r="4762" b="4763"/>
            <wp:docPr id="577254598" name="Picture 1" descr="Figure 3: Estimated cumulative distribution of percent change from baseline in body weight at 72 weeks in SURMOUNT-1 &amp; 2: mITT population,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54598" name="Picture 1" descr="Figure 3: Estimated cumulative distribution of percent change from baseline in body weight at 72 weeks in SURMOUNT-1 &amp; 2: mITT population, efficacy analysis set."/>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rot="16200000">
                      <a:off x="0" y="0"/>
                      <a:ext cx="8722259" cy="4196686"/>
                    </a:xfrm>
                    <a:prstGeom prst="rect">
                      <a:avLst/>
                    </a:prstGeom>
                  </pic:spPr>
                </pic:pic>
              </a:graphicData>
            </a:graphic>
          </wp:inline>
        </w:drawing>
      </w:r>
    </w:p>
    <w:p w14:paraId="4D53D67E" w14:textId="245881A2" w:rsidR="00452D12" w:rsidRDefault="00B820FE" w:rsidP="00544F03">
      <w:r w:rsidRPr="00B820FE">
        <w:lastRenderedPageBreak/>
        <w:t>For tirzepatide 5, 10, and 15 mg there was a significant (p-value &lt;0.001) difference from placebo at 72 weeks for mean change from baseline in the following parameters:</w:t>
      </w:r>
    </w:p>
    <w:p w14:paraId="3DAF7F7B" w14:textId="27B25A5C" w:rsidR="00B820FE" w:rsidRPr="00B820FE" w:rsidRDefault="00760215" w:rsidP="00544F03">
      <w:pPr>
        <w:pStyle w:val="ListBullet"/>
      </w:pPr>
      <w:r>
        <w:t xml:space="preserve">Decrease in </w:t>
      </w:r>
      <w:r w:rsidR="00B820FE" w:rsidRPr="00B820FE">
        <w:t>lipid parameters: triglycerides (-22.7%), non-high-density lipoprotein cholesterol (-9.7%) and an increase in high-density lipoprotein cholesterol (7.7%)</w:t>
      </w:r>
    </w:p>
    <w:p w14:paraId="10BA7484" w14:textId="674C374A" w:rsidR="00B820FE" w:rsidRPr="00B820FE" w:rsidRDefault="00B820FE" w:rsidP="00544F03">
      <w:pPr>
        <w:pStyle w:val="ListBullet"/>
      </w:pPr>
      <w:r w:rsidRPr="00B820FE">
        <w:t>S</w:t>
      </w:r>
      <w:r w:rsidR="00C16915">
        <w:t xml:space="preserve">ystolic blood pressure </w:t>
      </w:r>
      <w:r w:rsidRPr="00B820FE">
        <w:t>(-6.8 mmHg)</w:t>
      </w:r>
    </w:p>
    <w:p w14:paraId="5C14B5D5" w14:textId="77777777" w:rsidR="00B820FE" w:rsidRPr="00B820FE" w:rsidRDefault="00B820FE" w:rsidP="00544F03">
      <w:pPr>
        <w:pStyle w:val="ListBullet"/>
      </w:pPr>
      <w:r w:rsidRPr="00B820FE">
        <w:t>fasting insulin (-41.2%).</w:t>
      </w:r>
    </w:p>
    <w:p w14:paraId="219089F7" w14:textId="465DC2BE" w:rsidR="00B820FE" w:rsidRPr="00B820FE" w:rsidRDefault="00B820FE" w:rsidP="00544F03">
      <w:pPr>
        <w:pStyle w:val="ListBullet"/>
      </w:pPr>
      <w:r w:rsidRPr="00B820FE">
        <w:t>haemoglobin A1C from baseline compared with placebo (-0.3% [-3.6 mmol/mol], -0.4% [-4.6 mmol/mol], and -0.4% [-4.8 mmol/mol], respectively).</w:t>
      </w:r>
    </w:p>
    <w:p w14:paraId="091B4908" w14:textId="4261C5FE" w:rsidR="00307694" w:rsidRPr="00544F03" w:rsidRDefault="001E6A3B" w:rsidP="00544F03">
      <w:r w:rsidRPr="00E448C1">
        <w:t>The estimated cumulative distribution of percent change from baseline in body weight at 72 weeks shows left-shifted curves favouring each tirzepatide dose (5, 10, and 15 mg) compared with placebo for body weight reduction</w:t>
      </w:r>
      <w:r w:rsidR="00307694" w:rsidRPr="00E448C1">
        <w:t xml:space="preserve"> (Figure 3).</w:t>
      </w:r>
    </w:p>
    <w:p w14:paraId="653765AB" w14:textId="212BBAFD" w:rsidR="0021382A" w:rsidRPr="00544F03" w:rsidRDefault="00B820FE" w:rsidP="00544F03">
      <w:r w:rsidRPr="00B820FE">
        <w:t>The DXA addendum showed mean percent reduction from baseline in total body fat mass was significantly greater for pooled tirzepatide 5, 10, and 15 mg (-33.9) compared with placebo (-8.2)</w:t>
      </w:r>
      <w:r w:rsidR="00544F03">
        <w:t>.</w:t>
      </w:r>
    </w:p>
    <w:p w14:paraId="28EDF561" w14:textId="20676426" w:rsidR="00B820FE" w:rsidRDefault="00B820FE" w:rsidP="00544F03">
      <w:r w:rsidRPr="00B820FE">
        <w:t xml:space="preserve">All doses of tirzepatide showed significant improvements compared to placebo for all eight domains (physical functioning, role-physical, bodily pain, general health, vitality, social functioning, role-emotional, mental health) of the </w:t>
      </w:r>
      <w:r w:rsidR="00D501C0" w:rsidRPr="003F4DB8">
        <w:t>Short-Form-36 Health Survey, Version 2</w:t>
      </w:r>
      <w:r w:rsidR="00D501C0">
        <w:t xml:space="preserve"> (</w:t>
      </w:r>
      <w:r w:rsidRPr="00B820FE">
        <w:t>SF-36v</w:t>
      </w:r>
      <w:r w:rsidR="00D501C0">
        <w:t>)</w:t>
      </w:r>
      <w:r w:rsidRPr="00B820FE">
        <w:t>2, (</w:t>
      </w:r>
      <w:r w:rsidR="00E467A5">
        <w:t>F</w:t>
      </w:r>
      <w:r w:rsidRPr="00B820FE">
        <w:t>igure 4) and for both mental and physical component scores and in the IWQOL-Lite-CT (Physical Function, Physical, Psychosocial composites, total scores).</w:t>
      </w:r>
    </w:p>
    <w:p w14:paraId="4BEB44D5" w14:textId="645D7B02" w:rsidR="00B820FE" w:rsidRDefault="00B820FE" w:rsidP="00544F03">
      <w:pPr>
        <w:pStyle w:val="FigureTitle"/>
      </w:pPr>
      <w:r w:rsidRPr="00B820FE">
        <w:lastRenderedPageBreak/>
        <w:t xml:space="preserve">Figure 4: Change from baseline in SF-36v2 acute form domains and component summary scores at Week 72:  mITT population, efficacy analysis </w:t>
      </w:r>
      <w:proofErr w:type="gramStart"/>
      <w:r w:rsidRPr="00B820FE">
        <w:t>set</w:t>
      </w:r>
      <w:proofErr w:type="gramEnd"/>
    </w:p>
    <w:p w14:paraId="5264FD6F" w14:textId="29689E63" w:rsidR="00B356E3" w:rsidRDefault="00B356E3" w:rsidP="00544F03">
      <w:pPr>
        <w:rPr>
          <w:rFonts w:cs="Calibri"/>
          <w:b/>
          <w:bCs/>
          <w:szCs w:val="22"/>
        </w:rPr>
      </w:pPr>
      <w:r>
        <w:rPr>
          <w:noProof/>
        </w:rPr>
        <w:drawing>
          <wp:inline distT="0" distB="0" distL="0" distR="0" wp14:anchorId="101A8E03" wp14:editId="69E86BDC">
            <wp:extent cx="8154774" cy="3056017"/>
            <wp:effectExtent l="0" t="3175" r="0" b="0"/>
            <wp:docPr id="1243854172" name="Picture 1" descr="Figure 4: Change from baseline in SF-36v2 acute form domains and component summary scores at Week 72:  mITT population,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54172" name="Picture 1" descr="Figure 4: Change from baseline in SF-36v2 acute form domains and component summary scores at Week 72:  mITT population, efficacy analysis set"/>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rot="16200000">
                      <a:off x="0" y="0"/>
                      <a:ext cx="8234819" cy="3086014"/>
                    </a:xfrm>
                    <a:prstGeom prst="rect">
                      <a:avLst/>
                    </a:prstGeom>
                  </pic:spPr>
                </pic:pic>
              </a:graphicData>
            </a:graphic>
          </wp:inline>
        </w:drawing>
      </w:r>
      <w:r>
        <w:rPr>
          <w:noProof/>
        </w:rPr>
        <w:drawing>
          <wp:inline distT="0" distB="0" distL="0" distR="0" wp14:anchorId="2D90F5BC" wp14:editId="63A7129D">
            <wp:extent cx="4551915" cy="339763"/>
            <wp:effectExtent l="0" t="8573" r="0" b="0"/>
            <wp:docPr id="1554779694" name="Picture 1" descr="Legend: Figure 4: Change from baseline in SF-36v2 acute form domains and component summary scores at Week 72:  mITT population,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79694" name="Picture 1" descr="Legend: Figure 4: Change from baseline in SF-36v2 acute form domains and component summary scores at Week 72:  mITT population, efficacy analysis set"/>
                    <pic:cNvPicPr/>
                  </pic:nvPicPr>
                  <pic:blipFill>
                    <a:blip r:embed="rId47"/>
                    <a:stretch>
                      <a:fillRect/>
                    </a:stretch>
                  </pic:blipFill>
                  <pic:spPr>
                    <a:xfrm rot="16200000">
                      <a:off x="0" y="0"/>
                      <a:ext cx="5504317" cy="410852"/>
                    </a:xfrm>
                    <a:prstGeom prst="rect">
                      <a:avLst/>
                    </a:prstGeom>
                  </pic:spPr>
                </pic:pic>
              </a:graphicData>
            </a:graphic>
          </wp:inline>
        </w:drawing>
      </w:r>
    </w:p>
    <w:p w14:paraId="17123538" w14:textId="2C0141CF" w:rsidR="003F4DB8" w:rsidRDefault="003F4DB8" w:rsidP="00544F03">
      <w:pPr>
        <w:pStyle w:val="TableDescription"/>
      </w:pPr>
      <w:r w:rsidRPr="003F4DB8">
        <w:t>SF-36v2 = Short-Form-36 Health Survey, Version 2; T2DM = type 2 diabetes mellitus; TZP = tirzepatide. #p-Value &lt;.05, ##p-value &lt;.01, ###p-value &lt;.001 versus placebo, not controlled for type 1 error.</w:t>
      </w:r>
    </w:p>
    <w:p w14:paraId="10D7FB9D" w14:textId="764348EC" w:rsidR="00B356E3" w:rsidRPr="00B820FE" w:rsidRDefault="00B356E3" w:rsidP="00544F03">
      <w:pPr>
        <w:rPr>
          <w:rFonts w:cs="Calibri"/>
          <w:b/>
          <w:bCs/>
          <w:szCs w:val="22"/>
        </w:rPr>
      </w:pPr>
      <w:r>
        <w:rPr>
          <w:noProof/>
        </w:rPr>
        <w:lastRenderedPageBreak/>
        <w:drawing>
          <wp:inline distT="0" distB="0" distL="0" distR="0" wp14:anchorId="0E517034" wp14:editId="408B5EFC">
            <wp:extent cx="8535730" cy="3765320"/>
            <wp:effectExtent l="4127" t="0" r="2858" b="2857"/>
            <wp:docPr id="480980402" name="Picture 1" descr="Figure 4: Change from baseline in SF-36v2 acute form domains and component summary scores at Week 72:  mITT population,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80402" name="Picture 1" descr="Figure 4: Change from baseline in SF-36v2 acute form domains and component summary scores at Week 72:  mITT population, efficacy analysis set"/>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rot="16200000">
                      <a:off x="0" y="0"/>
                      <a:ext cx="8573052" cy="3781784"/>
                    </a:xfrm>
                    <a:prstGeom prst="rect">
                      <a:avLst/>
                    </a:prstGeom>
                  </pic:spPr>
                </pic:pic>
              </a:graphicData>
            </a:graphic>
          </wp:inline>
        </w:drawing>
      </w:r>
    </w:p>
    <w:p w14:paraId="28C2682C" w14:textId="77777777" w:rsidR="00B820FE" w:rsidRDefault="00B820FE" w:rsidP="00544F03">
      <w:pPr>
        <w:pStyle w:val="TableDescription"/>
      </w:pPr>
      <w:r w:rsidRPr="00B820FE">
        <w:t>SF-36v2 = Short-Form-36 Health Survey, Version 2; T2DM = type 2 diabetes mellitus; TZP = tirzepatide.</w:t>
      </w:r>
      <w:r w:rsidRPr="00B820FE">
        <w:rPr>
          <w:vertAlign w:val="superscript"/>
        </w:rPr>
        <w:t xml:space="preserve"> #</w:t>
      </w:r>
      <w:r w:rsidRPr="00B820FE">
        <w:t xml:space="preserve">p-Value &lt;.05, </w:t>
      </w:r>
      <w:r w:rsidRPr="00B820FE">
        <w:rPr>
          <w:vertAlign w:val="superscript"/>
        </w:rPr>
        <w:t>##</w:t>
      </w:r>
      <w:r w:rsidRPr="00B820FE">
        <w:t xml:space="preserve">p-value &lt;.01, </w:t>
      </w:r>
      <w:r w:rsidRPr="00B820FE">
        <w:rPr>
          <w:vertAlign w:val="superscript"/>
        </w:rPr>
        <w:t>###</w:t>
      </w:r>
      <w:r w:rsidRPr="00B820FE">
        <w:t>p-value &lt;.001 versus placebo, not controlled for type 1 error.</w:t>
      </w:r>
    </w:p>
    <w:p w14:paraId="382753BB" w14:textId="77666C2C" w:rsidR="0021382A" w:rsidRDefault="00B820FE" w:rsidP="00D36D26">
      <w:pPr>
        <w:pStyle w:val="Heading4"/>
      </w:pPr>
      <w:bookmarkStart w:id="45" w:name="_Toc178239611"/>
      <w:r w:rsidRPr="00D36D26">
        <w:lastRenderedPageBreak/>
        <w:t>Results</w:t>
      </w:r>
      <w:bookmarkEnd w:id="45"/>
    </w:p>
    <w:p w14:paraId="45232B70" w14:textId="7314E8D9" w:rsidR="00B820FE" w:rsidRPr="00075EFA" w:rsidRDefault="00B820FE" w:rsidP="00D36D26">
      <w:pPr>
        <w:pStyle w:val="Heading5"/>
      </w:pPr>
      <w:r w:rsidRPr="00075EFA">
        <w:t>SURMOUNT 2 (Study I8F-MC-GPHL)</w:t>
      </w:r>
    </w:p>
    <w:p w14:paraId="71463E27" w14:textId="1CB96869" w:rsidR="00B820FE" w:rsidRPr="00B820FE" w:rsidRDefault="00B820FE" w:rsidP="002B3C94">
      <w:pPr>
        <w:rPr>
          <w:lang w:eastAsia="ja-JP"/>
        </w:rPr>
      </w:pPr>
      <w:r w:rsidRPr="002B3C94">
        <w:rPr>
          <w:lang w:eastAsia="ja-JP"/>
        </w:rPr>
        <w:t>Demographic and baseline clinical characteristics were comparable across the treatment groups.</w:t>
      </w:r>
      <w:r w:rsidRPr="00B820FE">
        <w:rPr>
          <w:lang w:eastAsia="ja-JP"/>
        </w:rPr>
        <w:t xml:space="preserve"> The mean age was 54 years, mean BMI was 36.1 kg/m</w:t>
      </w:r>
      <w:r w:rsidRPr="00B820FE">
        <w:rPr>
          <w:vertAlign w:val="superscript"/>
          <w:lang w:eastAsia="ja-JP"/>
        </w:rPr>
        <w:t>2</w:t>
      </w:r>
      <w:r w:rsidRPr="00B820FE">
        <w:rPr>
          <w:lang w:eastAsia="ja-JP"/>
        </w:rPr>
        <w:t>, mean weight was 100.7 kg, 82.6% of participants had a BMI 30.0 kg/m</w:t>
      </w:r>
      <w:r w:rsidRPr="00B820FE">
        <w:rPr>
          <w:vertAlign w:val="superscript"/>
          <w:lang w:eastAsia="ja-JP"/>
        </w:rPr>
        <w:t>2</w:t>
      </w:r>
      <w:r w:rsidRPr="00B820FE">
        <w:rPr>
          <w:lang w:eastAsia="ja-JP"/>
        </w:rPr>
        <w:t xml:space="preserve"> or higher and 50.7% of participants were female. The mean duration of diabetes was 8.5 years, and the mean baseline glycated haemoglobin (HbA1c) was 8.0%.</w:t>
      </w:r>
    </w:p>
    <w:p w14:paraId="2ECB4F89" w14:textId="2706BB1D" w:rsidR="00B820FE" w:rsidRDefault="00B820FE" w:rsidP="002B3C94">
      <w:r w:rsidRPr="00B820FE">
        <w:t>At baseline, 87.4% of participants in SURMOUNT-2 had 1 or more weight-related comorbidities in addition to T2DM, including hypertension (66.1%), dyslipidaemia (61.1%), obstructive sleep apnoea (8.3%) and atherosclerotic cardiovascular disease (10.3%).</w:t>
      </w:r>
    </w:p>
    <w:p w14:paraId="48B70DDD" w14:textId="5652D8EE" w:rsidR="00B820FE" w:rsidRPr="00B820FE" w:rsidRDefault="00B820FE" w:rsidP="00395F2D">
      <w:r w:rsidRPr="00B820FE">
        <w:t xml:space="preserve">In comparison with placebo, tirzepatide 10 &amp; 15 mg each achieved superiority with treatment-regimen and efficacy estimands on the type 1 error-controlled coprimary endpoints. (Table </w:t>
      </w:r>
      <w:r w:rsidR="002F226E">
        <w:t>9</w:t>
      </w:r>
      <w:r w:rsidRPr="00B820FE">
        <w:t>, Figure 2)</w:t>
      </w:r>
      <w:r w:rsidR="00BF23D4">
        <w:t>.</w:t>
      </w:r>
    </w:p>
    <w:p w14:paraId="319BC1FC" w14:textId="77777777" w:rsidR="00B820FE" w:rsidRPr="00B820FE" w:rsidRDefault="00B820FE" w:rsidP="00395F2D">
      <w:r w:rsidRPr="00B820FE">
        <w:t>Tirzepatide led to statistically and clinically meaningful weight reductions across doses. The mean % weight reduction for tirzepatide 10, and 15 mg at 72 weeks was, 12.8%, and 14.7%, respectively, for the treatment-regimen estimand and 13.4%, and 15.7%, respectively, for the efficacy estimand.</w:t>
      </w:r>
    </w:p>
    <w:p w14:paraId="3F6DAD33" w14:textId="5B092C20" w:rsidR="00B820FE" w:rsidRPr="00B820FE" w:rsidRDefault="00B820FE" w:rsidP="00395F2D">
      <w:r w:rsidRPr="00B820FE">
        <w:t xml:space="preserve">Significantly higher percentages of participants treated with tirzepatide 10, or 15 mg compared to placebo achieved </w:t>
      </w:r>
      <w:r w:rsidR="00F56718" w:rsidRPr="00B820FE">
        <w:t>≥</w:t>
      </w:r>
      <w:r w:rsidR="00F56718">
        <w:t xml:space="preserve"> 5%, </w:t>
      </w:r>
      <w:r w:rsidRPr="00B820FE">
        <w:t>≥ 10%, ≥ 15% and ≥20% body weight reductions at 72 weeks.</w:t>
      </w:r>
    </w:p>
    <w:p w14:paraId="6D9A5065" w14:textId="77777777" w:rsidR="00B820FE" w:rsidRPr="00B820FE" w:rsidRDefault="00B820FE" w:rsidP="00395F2D">
      <w:r w:rsidRPr="00B820FE">
        <w:t>For tirzepatide 10, and 15 mg there was a significant (p-value &lt;0.001) difference from placebo at 72 weeks for mean change from baseline in the following parameters:</w:t>
      </w:r>
    </w:p>
    <w:p w14:paraId="3C3FB804" w14:textId="69BCDE7D" w:rsidR="00EB78ED" w:rsidRPr="00B820FE" w:rsidRDefault="00B820FE" w:rsidP="00395F2D">
      <w:pPr>
        <w:pStyle w:val="ListBullet"/>
      </w:pPr>
      <w:r w:rsidRPr="00B820FE">
        <w:t>HbA1c (-1.97% [-21.57 mmol/mol] and -2.06% [-22.5 mmol/mol], respectively). At 72 weeks, up to 90.7%, 86.7%, and 55.3% of participants randomly assigned to tirzepatide and 29.3%, 15.5%, and 2.8% of participants randomly assigned to placebo achieved HbA1c targets of &lt;7%, ≤6.5%, and &lt;5.7%, respectively.</w:t>
      </w:r>
    </w:p>
    <w:p w14:paraId="2B53DA04" w14:textId="528592C9" w:rsidR="00EB78ED" w:rsidRPr="00E448C1" w:rsidRDefault="00EB78ED" w:rsidP="00395F2D">
      <w:pPr>
        <w:pStyle w:val="ListBullet"/>
        <w:rPr>
          <w:rFonts w:cs="Calibri"/>
          <w:szCs w:val="22"/>
        </w:rPr>
      </w:pPr>
      <w:r w:rsidRPr="00E448C1">
        <w:t>Pooled tirzepatide 10 and 15 mg achieved superiority compared with placebo for mean percent change in lipid parameters, including decrease in triglycerides (-24.2%), decrease in non</w:t>
      </w:r>
      <w:r w:rsidR="000D4477" w:rsidRPr="00E448C1">
        <w:t>-</w:t>
      </w:r>
      <w:r w:rsidRPr="00E448C1">
        <w:t>high</w:t>
      </w:r>
      <w:r w:rsidR="000D4477" w:rsidRPr="00E448C1">
        <w:t xml:space="preserve"> </w:t>
      </w:r>
      <w:r w:rsidRPr="00E448C1">
        <w:t xml:space="preserve">density lipoprotein cholesterol (non-HDL-C, -8.7%), and increase in HDL-C (7.0%). Superiority was also observed for pooled tirzepatide </w:t>
      </w:r>
      <w:proofErr w:type="gramStart"/>
      <w:r w:rsidRPr="00E448C1">
        <w:t>10</w:t>
      </w:r>
      <w:proofErr w:type="gramEnd"/>
      <w:r w:rsidRPr="00E448C1">
        <w:t xml:space="preserve"> and 15 mg compared with placebo for mean change in systolic blood pressure (-6.2 mm Hg).</w:t>
      </w:r>
    </w:p>
    <w:p w14:paraId="2371E0EF" w14:textId="705E4A01" w:rsidR="00B820FE" w:rsidRPr="00B820FE" w:rsidRDefault="00B820FE" w:rsidP="00395F2D">
      <w:r w:rsidRPr="00B820FE">
        <w:t>The estimated cumulative distribution of percent change from baseline in body weight at 72 weeks shows left-shifted curves favouring tirzepatide compared with placebo, with a visually greater shift in the 15-mg dose compared with 10-mg dose. The beneficial effects of tirzepatide on reduction of body weight persisted over 72 weeks</w:t>
      </w:r>
      <w:r w:rsidR="00307694">
        <w:t xml:space="preserve"> </w:t>
      </w:r>
      <w:r w:rsidRPr="00B820FE">
        <w:t>(Figure 3)</w:t>
      </w:r>
      <w:r w:rsidR="00307694">
        <w:t>.</w:t>
      </w:r>
    </w:p>
    <w:p w14:paraId="3943CB2D" w14:textId="3F7FB3EF" w:rsidR="00B820FE" w:rsidRPr="00B820FE" w:rsidRDefault="00B820FE" w:rsidP="00395F2D">
      <w:r w:rsidRPr="00B820FE">
        <w:t xml:space="preserve">Both doses of </w:t>
      </w:r>
      <w:proofErr w:type="spellStart"/>
      <w:r w:rsidRPr="00B820FE">
        <w:t>tirzepatide</w:t>
      </w:r>
      <w:proofErr w:type="spellEnd"/>
      <w:r w:rsidRPr="00B820FE">
        <w:t xml:space="preserve"> showed significant improvements compared to placebo for all eight domains (physical functioning, role-physical, bodily pain, general health, vitality, social functioning, role-emotional, mental health) of the SF-36v2, (Figure 4) and for both mental and physical component scores, and in the IWQOL-Lite-CT (Physical Function composite, Physical composite, Psychosocial composite, and total scores).</w:t>
      </w:r>
    </w:p>
    <w:p w14:paraId="78D64B7F" w14:textId="03483C7D" w:rsidR="00B820FE" w:rsidRPr="00B820FE" w:rsidRDefault="00B820FE" w:rsidP="00395F2D">
      <w:pPr>
        <w:pStyle w:val="TableTitle"/>
      </w:pPr>
      <w:r w:rsidRPr="00B820FE">
        <w:lastRenderedPageBreak/>
        <w:t xml:space="preserve">Table </w:t>
      </w:r>
      <w:r w:rsidR="002F226E">
        <w:t>9</w:t>
      </w:r>
      <w:r w:rsidRPr="00B820FE">
        <w:t>: Summary of Body Weight Measures at Week 72 in SURMOUNT-2 mITT Population Full Analysis Set; Efficacy Analysis Set</w:t>
      </w:r>
    </w:p>
    <w:p w14:paraId="501B3249" w14:textId="77777777" w:rsidR="00B820FE" w:rsidRPr="00B820FE" w:rsidRDefault="00B820FE" w:rsidP="00395F2D">
      <w:r w:rsidRPr="00B820FE">
        <w:rPr>
          <w:noProof/>
        </w:rPr>
        <w:drawing>
          <wp:inline distT="0" distB="0" distL="0" distR="0" wp14:anchorId="500A4F2D" wp14:editId="14F63C9C">
            <wp:extent cx="5675297" cy="5135880"/>
            <wp:effectExtent l="0" t="0" r="1905" b="7620"/>
            <wp:docPr id="19" name="Picture 19" descr="Table 9: Summary of Body Weight Measures at Week 72 in SURMOUNT-2 mITT Population Full Analysis Set;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9: Summary of Body Weight Measures at Week 72 in SURMOUNT-2 mITT Population Full Analysis Set; Efficacy Analysis Set"/>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23679" cy="5179663"/>
                    </a:xfrm>
                    <a:prstGeom prst="rect">
                      <a:avLst/>
                    </a:prstGeom>
                  </pic:spPr>
                </pic:pic>
              </a:graphicData>
            </a:graphic>
          </wp:inline>
        </w:drawing>
      </w:r>
    </w:p>
    <w:p w14:paraId="3E64EAC5" w14:textId="77777777" w:rsidR="00B820FE" w:rsidRPr="00B820FE" w:rsidRDefault="00B820FE" w:rsidP="00395F2D">
      <w:pPr>
        <w:pStyle w:val="TableDescription"/>
      </w:pPr>
      <w:r w:rsidRPr="00B820FE">
        <w:t xml:space="preserve">Abbreviations: ANCOVA = analysis of </w:t>
      </w:r>
      <w:r w:rsidRPr="00395F2D">
        <w:t>covariance</w:t>
      </w:r>
      <w:r w:rsidRPr="00B820FE">
        <w:t>; CI = confidence interval; mITT = modified intent-to-treat; MMRM = mixed model for repeated measures; N = number of participants who were randomly assigned and received at least 1 dose of study drug; TZP = tirzepatide.</w:t>
      </w:r>
    </w:p>
    <w:p w14:paraId="408F4FA6" w14:textId="77777777" w:rsidR="00B820FE" w:rsidRDefault="00B820FE" w:rsidP="00395F2D">
      <w:pPr>
        <w:pStyle w:val="TableDescription"/>
      </w:pPr>
      <w:r w:rsidRPr="00B820FE">
        <w:rPr>
          <w:vertAlign w:val="superscript"/>
        </w:rPr>
        <w:t xml:space="preserve">a </w:t>
      </w:r>
      <w:r w:rsidRPr="00B820FE">
        <w:t xml:space="preserve">ANCOVA with hybrid imputation for missing body weight data at 72 weeks. </w:t>
      </w:r>
      <w:r w:rsidRPr="00B820FE">
        <w:rPr>
          <w:vertAlign w:val="superscript"/>
        </w:rPr>
        <w:t xml:space="preserve">b </w:t>
      </w:r>
      <w:r w:rsidRPr="00B820FE">
        <w:t xml:space="preserve">MMRM analysis. </w:t>
      </w:r>
      <w:r w:rsidRPr="00B820FE">
        <w:rPr>
          <w:vertAlign w:val="superscript"/>
        </w:rPr>
        <w:t xml:space="preserve">c </w:t>
      </w:r>
      <w:r w:rsidRPr="00B820FE">
        <w:t xml:space="preserve">Logistic regression with missing body weight imputed using hybrid imputation at 72 weeks. </w:t>
      </w:r>
      <w:r w:rsidRPr="00B820FE">
        <w:rPr>
          <w:vertAlign w:val="superscript"/>
        </w:rPr>
        <w:t xml:space="preserve">d </w:t>
      </w:r>
      <w:r w:rsidRPr="00B820FE">
        <w:t xml:space="preserve">Logistic regression with missing value imputed using MMRM analysis at 72 weeks. Note: Shown are least squares mean. ***p-Value &lt;.001 versus placebo for objectives controlled for type 1 error. ###p-Value &lt;.001 versus placebo for objectives </w:t>
      </w:r>
      <w:r w:rsidRPr="00395F2D">
        <w:t>not</w:t>
      </w:r>
      <w:r w:rsidRPr="00B820FE">
        <w:t xml:space="preserve"> controlled for type 1 error. p-Value &lt;.001 versus baseline within each treatment group.</w:t>
      </w:r>
    </w:p>
    <w:p w14:paraId="54EF631A" w14:textId="72413DC9" w:rsidR="00B820FE" w:rsidRPr="00B820FE" w:rsidRDefault="00B820FE" w:rsidP="00395F2D">
      <w:pPr>
        <w:pStyle w:val="Heading5"/>
      </w:pPr>
      <w:r w:rsidRPr="00B820FE">
        <w:t xml:space="preserve">Comparison of </w:t>
      </w:r>
      <w:r w:rsidR="00395F2D">
        <w:t>r</w:t>
      </w:r>
      <w:r w:rsidRPr="00B820FE">
        <w:t xml:space="preserve">esults in </w:t>
      </w:r>
      <w:r w:rsidR="00395F2D">
        <w:t>s</w:t>
      </w:r>
      <w:r w:rsidRPr="00B820FE">
        <w:t>ubpopulations</w:t>
      </w:r>
    </w:p>
    <w:p w14:paraId="7EB9C770" w14:textId="2583E987" w:rsidR="00B820FE" w:rsidRPr="00B820FE" w:rsidRDefault="00B820FE" w:rsidP="00395F2D">
      <w:r w:rsidRPr="00B820FE">
        <w:t>Subgroup analyses were conducted to determine whether demographic features and other intrinsic and extrinsic factors at baseline affected the primary outcome treatment effect</w:t>
      </w:r>
      <w:r w:rsidR="00A9448B" w:rsidRPr="00B820FE">
        <w:t xml:space="preserve">. </w:t>
      </w:r>
      <w:r w:rsidRPr="00B820FE">
        <w:t>Overall, all tirzepatide doses of 5 (SURMOUNT-1 only), 10, and 15 mg were efficacious in all subgroups, irrespective of age, race, sex, ethnicity, region of enrolment, baseline BMI, glycaemic status at randomi</w:t>
      </w:r>
      <w:r w:rsidR="005038D2">
        <w:t>s</w:t>
      </w:r>
      <w:r w:rsidRPr="00B820FE">
        <w:t xml:space="preserve">ation (SURMOUNT-1 only), baseline HbA1c category (SURMOUNT-2 only), or type of antihyperglycemic medications used </w:t>
      </w:r>
      <w:r w:rsidR="002A4BFE">
        <w:t>(</w:t>
      </w:r>
      <w:r w:rsidRPr="00B820FE">
        <w:t xml:space="preserve">SURMOUNT-2 only) for mean percent body weight </w:t>
      </w:r>
      <w:r w:rsidRPr="00B820FE">
        <w:rPr>
          <w:lang w:eastAsia="ja-JP"/>
        </w:rPr>
        <w:t xml:space="preserve"> change or percentage of participants achieving ≥5% body weight </w:t>
      </w:r>
      <w:r w:rsidR="002A4BFE">
        <w:rPr>
          <w:lang w:eastAsia="ja-JP"/>
        </w:rPr>
        <w:t xml:space="preserve">reduction </w:t>
      </w:r>
      <w:r w:rsidRPr="00B820FE">
        <w:rPr>
          <w:lang w:eastAsia="ja-JP"/>
        </w:rPr>
        <w:t xml:space="preserve">at the primary endpoint </w:t>
      </w:r>
      <w:r w:rsidRPr="00B820FE">
        <w:t xml:space="preserve">visit, using the treatment-regimen and efficacy </w:t>
      </w:r>
      <w:proofErr w:type="spellStart"/>
      <w:r w:rsidRPr="00B820FE">
        <w:t>estimands</w:t>
      </w:r>
      <w:proofErr w:type="spellEnd"/>
      <w:r w:rsidRPr="00B820FE">
        <w:t>.</w:t>
      </w:r>
    </w:p>
    <w:p w14:paraId="0F06B1C4" w14:textId="50A297CA" w:rsidR="00B820FE" w:rsidRPr="00B820FE" w:rsidRDefault="00B820FE" w:rsidP="00395F2D">
      <w:pPr>
        <w:pStyle w:val="Heading3"/>
      </w:pPr>
      <w:bookmarkStart w:id="46" w:name="_Toc178239612"/>
      <w:r w:rsidRPr="00B820FE">
        <w:lastRenderedPageBreak/>
        <w:t>Safety</w:t>
      </w:r>
      <w:bookmarkEnd w:id="46"/>
    </w:p>
    <w:p w14:paraId="0EDE7184" w14:textId="4FC20467" w:rsidR="00B820FE" w:rsidRPr="00B820FE" w:rsidRDefault="00B820FE" w:rsidP="00395F2D">
      <w:pPr>
        <w:pStyle w:val="Heading4"/>
      </w:pPr>
      <w:bookmarkStart w:id="47" w:name="_Toc178239613"/>
      <w:r w:rsidRPr="00B820FE">
        <w:t>Patient exposure</w:t>
      </w:r>
      <w:bookmarkEnd w:id="47"/>
    </w:p>
    <w:p w14:paraId="06B5891B" w14:textId="711F759C" w:rsidR="00B820FE" w:rsidRPr="00B820FE" w:rsidRDefault="00B820FE" w:rsidP="00395F2D">
      <w:r w:rsidRPr="00B820FE">
        <w:t>The safety profile of tirzepatide was assessed in all treated participants with baseline BMI &gt; 27kg/m</w:t>
      </w:r>
      <w:r w:rsidRPr="00B820FE">
        <w:rPr>
          <w:vertAlign w:val="superscript"/>
        </w:rPr>
        <w:t>2</w:t>
      </w:r>
      <w:r w:rsidRPr="00B820FE">
        <w:t>, and includes data fr</w:t>
      </w:r>
      <w:r w:rsidR="005038D2">
        <w:t>o</w:t>
      </w:r>
      <w:r w:rsidRPr="00B820FE">
        <w:t>m the following studies</w:t>
      </w:r>
      <w:r w:rsidR="00B748B3">
        <w:t>:</w:t>
      </w:r>
    </w:p>
    <w:p w14:paraId="7D599477" w14:textId="6CEE8B0C" w:rsidR="00B820FE" w:rsidRDefault="00B820FE" w:rsidP="00395F2D">
      <w:pPr>
        <w:pStyle w:val="ListBullet"/>
      </w:pPr>
      <w:r w:rsidRPr="00B820FE">
        <w:t>Phase 3 Study I8F-MC-GPHK (SURMOUNT-1), in participants with obesity or overweight and without diabetes (primary study period; all enrolled participants)</w:t>
      </w:r>
      <w:r w:rsidR="00395F2D">
        <w:t>.</w:t>
      </w:r>
    </w:p>
    <w:p w14:paraId="70A19A41" w14:textId="77777777" w:rsidR="00B820FE" w:rsidRPr="00B820FE" w:rsidRDefault="00B820FE" w:rsidP="00395F2D">
      <w:pPr>
        <w:pStyle w:val="ListBullet"/>
      </w:pPr>
      <w:r w:rsidRPr="00B820FE">
        <w:t>Phase 3 Study I8F-MC-GPHN (SURMOUNT-4), in participants with obesity or overweight and without diabetes (open-label lead-in period; all enrolled participants)</w:t>
      </w:r>
    </w:p>
    <w:p w14:paraId="02A7A7BA" w14:textId="040767F9" w:rsidR="00B820FE" w:rsidRPr="00B820FE" w:rsidRDefault="00B820FE" w:rsidP="00395F2D">
      <w:pPr>
        <w:pStyle w:val="ListBullet"/>
      </w:pPr>
      <w:r w:rsidRPr="00B820FE">
        <w:t>two Phase 2, 7 Phase 3 SURPASS studies from original T2DM application (only participants with BMI ≥ 27kg/m</w:t>
      </w:r>
      <w:r w:rsidRPr="00B820FE">
        <w:rPr>
          <w:vertAlign w:val="superscript"/>
        </w:rPr>
        <w:t>2</w:t>
      </w:r>
      <w:r w:rsidRPr="00B820FE">
        <w:t>)</w:t>
      </w:r>
      <w:r w:rsidR="00395F2D">
        <w:t>.</w:t>
      </w:r>
    </w:p>
    <w:p w14:paraId="74DA44A3" w14:textId="77777777" w:rsidR="00B820FE" w:rsidRPr="00B820FE" w:rsidRDefault="00B820FE" w:rsidP="00395F2D">
      <w:pPr>
        <w:pStyle w:val="ListBullet"/>
      </w:pPr>
      <w:r w:rsidRPr="00B820FE">
        <w:t>Phase 3 Study I8F-MC-GPHO (SURPASS-AP-Combo), in participants with diabetes (only participants with BMI ≥27 kg/m</w:t>
      </w:r>
      <w:r w:rsidRPr="00B820FE">
        <w:rPr>
          <w:vertAlign w:val="superscript"/>
        </w:rPr>
        <w:t>2</w:t>
      </w:r>
      <w:r w:rsidRPr="00B820FE">
        <w:t>).</w:t>
      </w:r>
    </w:p>
    <w:p w14:paraId="748818A6" w14:textId="138A88D8" w:rsidR="00B820FE" w:rsidRDefault="00B820FE" w:rsidP="00395F2D">
      <w:r w:rsidRPr="00B820FE">
        <w:t xml:space="preserve">The total exposure to tirzepatide in Phase 2 and Phase 3 studies (excluding SURMOUNT-2; see table 6 for the list of included studies) was 7354 participants with obesity for a total of 7071 patient-years. 3492 participants received tirzepatide for at least 52 weeks in the Phase 2 and 3 studies, with 2027 receiving tirzepatide for at least 72 weeks. Of those participants who had received tirzepatide, there were 4676 (4167 patient-years) </w:t>
      </w:r>
      <w:r w:rsidR="00D61EBB">
        <w:t xml:space="preserve">participants </w:t>
      </w:r>
      <w:r w:rsidR="00852EA2">
        <w:t xml:space="preserve">with </w:t>
      </w:r>
      <w:r w:rsidRPr="00B820FE">
        <w:t xml:space="preserve">overweight/obese with T2DM versus 2678 (2904 patient-years) </w:t>
      </w:r>
      <w:r w:rsidR="00852EA2">
        <w:t xml:space="preserve">participants with </w:t>
      </w:r>
      <w:r w:rsidRPr="00B820FE">
        <w:t>overweight/obese without T2DM</w:t>
      </w:r>
      <w:bookmarkStart w:id="48" w:name="_Hlk170483592"/>
      <w:r w:rsidR="00B748B3">
        <w:t xml:space="preserve"> (T</w:t>
      </w:r>
      <w:r w:rsidRPr="00B820FE">
        <w:t xml:space="preserve">able </w:t>
      </w:r>
      <w:r w:rsidR="002F226E">
        <w:t>10</w:t>
      </w:r>
      <w:r w:rsidR="005038D2">
        <w:t>)</w:t>
      </w:r>
      <w:r w:rsidR="00B748B3">
        <w:t>.</w:t>
      </w:r>
    </w:p>
    <w:bookmarkEnd w:id="48"/>
    <w:p w14:paraId="24269DC1" w14:textId="7344EC11" w:rsidR="00B820FE" w:rsidRPr="00B820FE" w:rsidRDefault="00B820FE" w:rsidP="00395F2D">
      <w:pPr>
        <w:pStyle w:val="TableTitle"/>
        <w:rPr>
          <w:lang w:eastAsia="ja-JP"/>
        </w:rPr>
      </w:pPr>
      <w:r w:rsidRPr="00B820FE">
        <w:lastRenderedPageBreak/>
        <w:t xml:space="preserve">Table </w:t>
      </w:r>
      <w:r w:rsidR="002F226E">
        <w:t>10</w:t>
      </w:r>
      <w:r w:rsidR="005038D2">
        <w:t>.</w:t>
      </w:r>
      <w:r w:rsidRPr="00B820FE">
        <w:t xml:space="preserve"> </w:t>
      </w:r>
      <w:r w:rsidRPr="00B820FE">
        <w:rPr>
          <w:lang w:eastAsia="ja-JP"/>
        </w:rPr>
        <w:t>Summary of Exposure to Tirzepatide and Comparators in Completed Phase 2 and 3 Studies (Safety Population</w:t>
      </w:r>
      <w:r w:rsidR="00203A36">
        <w:rPr>
          <w:lang w:eastAsia="ja-JP"/>
        </w:rPr>
        <w:t xml:space="preserve">, excluding SURMOUNT-2=study </w:t>
      </w:r>
      <w:r w:rsidR="00203A36" w:rsidRPr="00203A36">
        <w:rPr>
          <w:lang w:eastAsia="ja-JP"/>
        </w:rPr>
        <w:t>I8F-MC-GPHL</w:t>
      </w:r>
      <w:r w:rsidRPr="00B820FE">
        <w:rPr>
          <w:lang w:eastAsia="ja-JP"/>
        </w:rPr>
        <w:t>) - Phase 2/3 Studies in Participants with Baseline BMI ≥27 kg/m</w:t>
      </w:r>
      <w:r w:rsidRPr="00B820FE">
        <w:rPr>
          <w:vertAlign w:val="superscript"/>
          <w:lang w:eastAsia="ja-JP"/>
        </w:rPr>
        <w:t>2</w:t>
      </w:r>
      <w:r w:rsidRPr="00B820FE">
        <w:rPr>
          <w:lang w:eastAsia="ja-JP"/>
        </w:rPr>
        <w:t>.</w:t>
      </w:r>
    </w:p>
    <w:p w14:paraId="3BC4DBC2" w14:textId="77777777" w:rsidR="00DB6FD0" w:rsidRDefault="00B820FE" w:rsidP="00395F2D">
      <w:r w:rsidRPr="00B820FE">
        <w:rPr>
          <w:noProof/>
          <w:lang w:eastAsia="ja-JP"/>
        </w:rPr>
        <w:drawing>
          <wp:inline distT="0" distB="0" distL="0" distR="0" wp14:anchorId="69B8FA67" wp14:editId="019716F1">
            <wp:extent cx="7695106" cy="3376094"/>
            <wp:effectExtent l="6985" t="0" r="8255" b="8255"/>
            <wp:docPr id="38" name="Picture 38" descr="Table 10. Summary of Exposure to Tirzepatide and Comparators in Completed Phase 2 and 3 Studies (Safety Population, excluding SURMOUNT-2=study I8F-MC-GPHL) - Phase 2/3 Studies in Participants with Baseline BMI ≥27 kg/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 10. Summary of Exposure to Tirzepatide and Comparators in Completed Phase 2 and 3 Studies (Safety Population, excluding SURMOUNT-2=study I8F-MC-GPHL) - Phase 2/3 Studies in Participants with Baseline BMI ≥27 kg/m2."/>
                    <pic:cNvPicPr/>
                  </pic:nvPicPr>
                  <pic:blipFill>
                    <a:blip r:embed="rId52">
                      <a:extLst>
                        <a:ext uri="{28A0092B-C50C-407E-A947-70E740481C1C}">
                          <a14:useLocalDpi xmlns:a14="http://schemas.microsoft.com/office/drawing/2010/main" val="0"/>
                        </a:ext>
                      </a:extLst>
                    </a:blip>
                    <a:stretch>
                      <a:fillRect/>
                    </a:stretch>
                  </pic:blipFill>
                  <pic:spPr>
                    <a:xfrm rot="16200000">
                      <a:off x="0" y="0"/>
                      <a:ext cx="7742711" cy="3396980"/>
                    </a:xfrm>
                    <a:prstGeom prst="rect">
                      <a:avLst/>
                    </a:prstGeom>
                  </pic:spPr>
                </pic:pic>
              </a:graphicData>
            </a:graphic>
          </wp:inline>
        </w:drawing>
      </w:r>
    </w:p>
    <w:p w14:paraId="787EBBEB" w14:textId="732B9255" w:rsidR="00B820FE" w:rsidRDefault="00B820FE" w:rsidP="00395F2D">
      <w:pPr>
        <w:pStyle w:val="TableDescription"/>
      </w:pPr>
      <w:r w:rsidRPr="00B820FE">
        <w:t xml:space="preserve">BMI = body mass index; N = number of participants; NA = not applicable; TZP = tirzepatide. *a - Exposure to study drug is defined as time in days from date of first dose of study treatment to date of last dose of study treatment plus 7 days for non-insulin treatments, and plus 1 day for </w:t>
      </w:r>
      <w:r w:rsidRPr="00395F2D">
        <w:t>insulin</w:t>
      </w:r>
      <w:r w:rsidRPr="00B820FE">
        <w:t xml:space="preserve"> treatments. *b - Time on observation is defined as sum of time in days from date of randomi</w:t>
      </w:r>
      <w:r w:rsidR="005038D2">
        <w:t>s</w:t>
      </w:r>
      <w:r w:rsidRPr="00B820FE">
        <w:t>ation to the end of study / 365.25.</w:t>
      </w:r>
    </w:p>
    <w:p w14:paraId="30FC192A" w14:textId="2EB546BE" w:rsidR="00B820FE" w:rsidRPr="00B820FE" w:rsidRDefault="00B820FE" w:rsidP="00395F2D">
      <w:pPr>
        <w:rPr>
          <w:lang w:eastAsia="ja-JP"/>
        </w:rPr>
      </w:pPr>
      <w:r w:rsidRPr="00B820FE">
        <w:rPr>
          <w:lang w:eastAsia="ja-JP"/>
        </w:rPr>
        <w:lastRenderedPageBreak/>
        <w:t>The patient exposure to tirzepatide in the SURMOUNT-2 study was 623 (800.17 total patient years). This includes 564 participants who received tirzepatide for at least 52 weeks, and 481 who received tirzepatide for at least 72 weeks.</w:t>
      </w:r>
    </w:p>
    <w:p w14:paraId="525E1E39" w14:textId="6FB1A787" w:rsidR="00B820FE" w:rsidRDefault="00B820FE" w:rsidP="00395F2D">
      <w:r w:rsidRPr="00B820FE">
        <w:t>Study GPHO (SURPASS-AP-Combo) was a Phase 3, randomi</w:t>
      </w:r>
      <w:r w:rsidR="005038D2">
        <w:t>s</w:t>
      </w:r>
      <w:r w:rsidRPr="00B820FE">
        <w:t>ed, open-label, parallel-group study that investigated the effects of treatment with tirzepatide 5, 10, and 15 mg QW compared with titrated insulin glargine in participants with T2DM who had inadequate glycaemic control on stable doses of metformin with/without a sulfonylurea. The study has completed since the T2DM application. Of 907 participants exposed to study treatment for up to 40 weeks, 687 receiv</w:t>
      </w:r>
      <w:r w:rsidR="00B748B3">
        <w:t>ed</w:t>
      </w:r>
      <w:r w:rsidRPr="00B820FE">
        <w:t xml:space="preserve"> ≥ 1 </w:t>
      </w:r>
      <w:proofErr w:type="gramStart"/>
      <w:r w:rsidRPr="00B820FE">
        <w:t>dose</w:t>
      </w:r>
      <w:proofErr w:type="gramEnd"/>
      <w:r w:rsidRPr="00B820FE">
        <w:t xml:space="preserve"> of tirzepatide. Of the 907 participants, 477 had a BMI of ≥ 27 kg/m</w:t>
      </w:r>
      <w:r w:rsidRPr="00B8511A">
        <w:rPr>
          <w:vertAlign w:val="superscript"/>
        </w:rPr>
        <w:t>2</w:t>
      </w:r>
      <w:r w:rsidRPr="00B820FE">
        <w:t xml:space="preserve">, with 364 receiving at least 1 dose of </w:t>
      </w:r>
      <w:proofErr w:type="spellStart"/>
      <w:r w:rsidRPr="00B820FE">
        <w:t>tirzepatide</w:t>
      </w:r>
      <w:proofErr w:type="spellEnd"/>
      <w:r w:rsidRPr="00B820FE">
        <w:t>.</w:t>
      </w:r>
    </w:p>
    <w:p w14:paraId="7FBA52DC" w14:textId="4723E1DF" w:rsidR="00B820FE" w:rsidRDefault="00B820FE" w:rsidP="00395F2D">
      <w:r w:rsidRPr="00B820FE">
        <w:t>SURMOUNT-4 (study GPHN), a Phase 3, randomi</w:t>
      </w:r>
      <w:r w:rsidR="005038D2">
        <w:t>s</w:t>
      </w:r>
      <w:r w:rsidRPr="00B820FE">
        <w:t>ed, double-blinded, placebo-controlled, 88-week study, is investigating the impact of MTD of tirzepatide (10 or 15 mg QW), compared with placebo, on the maintenance of weight reduction after an initial 36-week open-label tirzepatide lead-in treatment period</w:t>
      </w:r>
      <w:r w:rsidR="001970B9">
        <w:t>.</w:t>
      </w:r>
      <w:r w:rsidRPr="00B820FE">
        <w:t xml:space="preserve"> Participants in the study have obesity or are overweight with at least 1 weight-related comorbid condition and do not have diabetes mellitus. Safety data from the 36-week open-label period are included in safety assessments, while the double-blinded treatment period is still ongoing. A total of 782 participants were treated with tirzepatide for up to 36 weeks in the open-label period.</w:t>
      </w:r>
    </w:p>
    <w:p w14:paraId="2A09C02D" w14:textId="4AE7429C" w:rsidR="00B820FE" w:rsidRDefault="00B820FE" w:rsidP="00395F2D">
      <w:r w:rsidRPr="00B820FE">
        <w:t>In all Phase 3 studies, participants were assigned to fixed dose groups (5, 10, and 15 mg) at randomi</w:t>
      </w:r>
      <w:r w:rsidR="005038D2">
        <w:t>s</w:t>
      </w:r>
      <w:r w:rsidRPr="00B820FE">
        <w:t>ation except for SURMOUNT-4 where participants were required to escalate the dose to a</w:t>
      </w:r>
      <w:r w:rsidR="00C70C2A">
        <w:t>n</w:t>
      </w:r>
      <w:r w:rsidRPr="00B820FE">
        <w:t xml:space="preserve"> MTD of 10 mg or 15 mg. All Phase 3 studies used the same dose-escalation scheme allowing for the integration and analyses of data for each tirzepatide dose group separately as necessary.</w:t>
      </w:r>
    </w:p>
    <w:p w14:paraId="531E5ABC" w14:textId="6A615AD6" w:rsidR="00B820FE" w:rsidRDefault="00B820FE" w:rsidP="00395F2D">
      <w:pPr>
        <w:pStyle w:val="Heading4"/>
      </w:pPr>
      <w:bookmarkStart w:id="49" w:name="_Toc178239614"/>
      <w:r w:rsidRPr="00B820FE">
        <w:t xml:space="preserve">Key </w:t>
      </w:r>
      <w:r w:rsidR="00395F2D">
        <w:t>s</w:t>
      </w:r>
      <w:r w:rsidRPr="00B820FE">
        <w:t xml:space="preserve">afety </w:t>
      </w:r>
      <w:r w:rsidR="00395F2D">
        <w:t>o</w:t>
      </w:r>
      <w:r w:rsidRPr="00B820FE">
        <w:t>utcomes for CWM indication: Pooled SURMOUNT-1 and SURMOUNT-2</w:t>
      </w:r>
      <w:bookmarkEnd w:id="49"/>
    </w:p>
    <w:p w14:paraId="4E8BB6B6" w14:textId="310D911D" w:rsidR="00B820FE" w:rsidRDefault="00B820FE" w:rsidP="00395F2D">
      <w:r w:rsidRPr="00B820FE">
        <w:t>The pooling of SURMOUNT-1 and SURMOUNT-2 was appropriate given the similar safety profile observed across studies, similarity of study designs, and same BMI inclusion criteria for both studies. Treatment comparisons are made for tirzepatide 5, (Only in SURMOUNT 1) 10, 15 mg, and all tirzepatide doses pooled (TZP_ALL), compared with placebo</w:t>
      </w:r>
      <w:r w:rsidR="00A9448B" w:rsidRPr="00B820FE">
        <w:t>.</w:t>
      </w:r>
    </w:p>
    <w:p w14:paraId="60ED4AD8" w14:textId="77777777" w:rsidR="00B820FE" w:rsidRDefault="00B820FE" w:rsidP="00395F2D">
      <w:r w:rsidRPr="00B820FE">
        <w:t>Across SURMOUNT-1 and SURMOUNT-2, 2519 participants with obesity or overweight, with and without T2DM, received tirzepatide for 3201.7 patient-years of exposure. Of these, 2236 participants received tirzepatide for at least 52 weeks, and 1926 participants received tirzepatide for at least 72 weeks. Additionally, 958 participants received placebo for 1155.3 patient-years of exposure.</w:t>
      </w:r>
    </w:p>
    <w:p w14:paraId="0A5D1B6F" w14:textId="4DADF465" w:rsidR="00B820FE" w:rsidRPr="00B820FE" w:rsidRDefault="00B820FE" w:rsidP="00395F2D">
      <w:pPr>
        <w:pStyle w:val="Heading5"/>
      </w:pPr>
      <w:r w:rsidRPr="00B820FE">
        <w:t xml:space="preserve">Adverse </w:t>
      </w:r>
      <w:r w:rsidR="00395F2D">
        <w:t>e</w:t>
      </w:r>
      <w:r w:rsidRPr="00B820FE">
        <w:t xml:space="preserve">vent </w:t>
      </w:r>
      <w:r w:rsidR="00395F2D">
        <w:t>p</w:t>
      </w:r>
      <w:r w:rsidRPr="00B820FE">
        <w:t>rofile</w:t>
      </w:r>
    </w:p>
    <w:p w14:paraId="30F2386F" w14:textId="0669DA7A" w:rsidR="00B820FE" w:rsidRDefault="00B820FE" w:rsidP="00395F2D">
      <w:r w:rsidRPr="00B820FE">
        <w:t>Across these 2 studies, the percentage of participants who reported at least 1 TEAE was higher in the TZP_ALL group (79.0%) than in the placebo group (73.3%</w:t>
      </w:r>
      <w:r w:rsidR="00B748B3">
        <w:t>) (</w:t>
      </w:r>
      <w:r w:rsidRPr="00B820FE">
        <w:t>Table</w:t>
      </w:r>
      <w:r w:rsidR="002F226E">
        <w:t xml:space="preserve"> 11</w:t>
      </w:r>
      <w:r w:rsidR="00B748B3">
        <w:t>)</w:t>
      </w:r>
      <w:r w:rsidRPr="00B820FE">
        <w:t xml:space="preserve">. Among the most frequently reported TEAEs, the majority were GI related </w:t>
      </w:r>
      <w:r w:rsidRPr="00B820FE">
        <w:rPr>
          <w:lang w:eastAsia="ja-JP"/>
        </w:rPr>
        <w:t>(TZP_ALL, 55.66%; placebo, 29.65%).</w:t>
      </w:r>
      <w:r w:rsidRPr="00B820FE">
        <w:t xml:space="preserve"> </w:t>
      </w:r>
      <w:r w:rsidR="000F33C0">
        <w:t>(</w:t>
      </w:r>
      <w:r w:rsidRPr="00B820FE">
        <w:t xml:space="preserve">Table </w:t>
      </w:r>
      <w:r w:rsidR="000F33C0">
        <w:t>1</w:t>
      </w:r>
      <w:r w:rsidR="00A52D0A">
        <w:t>2</w:t>
      </w:r>
      <w:r w:rsidR="000F33C0">
        <w:t>)</w:t>
      </w:r>
      <w:r w:rsidRPr="00B820FE">
        <w:t>.</w:t>
      </w:r>
    </w:p>
    <w:p w14:paraId="576BBC43" w14:textId="6E96BB9F" w:rsidR="00B820FE" w:rsidRPr="00B820FE" w:rsidRDefault="00B820FE" w:rsidP="00395F2D">
      <w:pPr>
        <w:pStyle w:val="TableTitle"/>
      </w:pPr>
      <w:r w:rsidRPr="00B820FE">
        <w:lastRenderedPageBreak/>
        <w:t xml:space="preserve">Table </w:t>
      </w:r>
      <w:r w:rsidR="00A52D0A">
        <w:t>11</w:t>
      </w:r>
      <w:r w:rsidR="000F33C0">
        <w:t>.</w:t>
      </w:r>
      <w:r w:rsidRPr="00B820FE">
        <w:t xml:space="preserve"> Overview of </w:t>
      </w:r>
      <w:r w:rsidRPr="00395F2D">
        <w:t>Adverse</w:t>
      </w:r>
      <w:r w:rsidRPr="00B820FE">
        <w:t xml:space="preserve"> Events Safety Population SURMOUNT-1 + SURMOUNT-2 Analysis Set</w:t>
      </w:r>
    </w:p>
    <w:p w14:paraId="5B222A2F" w14:textId="77777777" w:rsidR="00B820FE" w:rsidRDefault="00B820FE" w:rsidP="00395F2D">
      <w:r w:rsidRPr="00B820FE">
        <w:rPr>
          <w:noProof/>
        </w:rPr>
        <w:drawing>
          <wp:inline distT="0" distB="0" distL="0" distR="0" wp14:anchorId="4348DEE3" wp14:editId="7B7B460A">
            <wp:extent cx="5655835" cy="1765300"/>
            <wp:effectExtent l="19050" t="19050" r="21590" b="25400"/>
            <wp:docPr id="41" name="Picture 41" descr="Table 11. Overview of Adverse Events Safety Population SURMOUNT-1 + SURMOUNT-2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 11. Overview of Adverse Events Safety Population SURMOUNT-1 + SURMOUNT-2 Analysis Set"/>
                    <pic:cNvPicPr/>
                  </pic:nvPicPr>
                  <pic:blipFill>
                    <a:blip r:embed="rId53">
                      <a:extLst>
                        <a:ext uri="{28A0092B-C50C-407E-A947-70E740481C1C}">
                          <a14:useLocalDpi xmlns:a14="http://schemas.microsoft.com/office/drawing/2010/main" val="0"/>
                        </a:ext>
                      </a:extLst>
                    </a:blip>
                    <a:stretch>
                      <a:fillRect/>
                    </a:stretch>
                  </pic:blipFill>
                  <pic:spPr>
                    <a:xfrm>
                      <a:off x="0" y="0"/>
                      <a:ext cx="5686644" cy="1774916"/>
                    </a:xfrm>
                    <a:prstGeom prst="rect">
                      <a:avLst/>
                    </a:prstGeom>
                    <a:ln>
                      <a:solidFill>
                        <a:schemeClr val="tx1"/>
                      </a:solidFill>
                    </a:ln>
                  </pic:spPr>
                </pic:pic>
              </a:graphicData>
            </a:graphic>
          </wp:inline>
        </w:drawing>
      </w:r>
    </w:p>
    <w:p w14:paraId="029A0FA0" w14:textId="0F4F5ADC" w:rsidR="00B748B3" w:rsidRPr="00B820FE" w:rsidRDefault="00B748B3" w:rsidP="00395F2D">
      <w:pPr>
        <w:pStyle w:val="TableTitle"/>
        <w:rPr>
          <w:lang w:eastAsia="ja-JP"/>
        </w:rPr>
      </w:pPr>
      <w:r w:rsidRPr="00B820FE">
        <w:rPr>
          <w:color w:val="000000"/>
        </w:rPr>
        <w:t xml:space="preserve">Table </w:t>
      </w:r>
      <w:r w:rsidR="000F33C0">
        <w:rPr>
          <w:color w:val="000000"/>
        </w:rPr>
        <w:t>1</w:t>
      </w:r>
      <w:r w:rsidR="00A52D0A">
        <w:rPr>
          <w:color w:val="000000"/>
        </w:rPr>
        <w:t>2</w:t>
      </w:r>
      <w:r w:rsidRPr="00B820FE">
        <w:rPr>
          <w:color w:val="000000"/>
        </w:rPr>
        <w:t>:</w:t>
      </w:r>
      <w:bookmarkStart w:id="50" w:name="_Toc161760642"/>
      <w:r w:rsidRPr="00B820FE">
        <w:t xml:space="preserve"> </w:t>
      </w:r>
      <w:r w:rsidRPr="00B820FE">
        <w:rPr>
          <w:lang w:eastAsia="ja-JP"/>
        </w:rPr>
        <w:t xml:space="preserve">TEAEs Occurring in ≥5% </w:t>
      </w:r>
      <w:r w:rsidRPr="00395F2D">
        <w:t>of</w:t>
      </w:r>
      <w:r w:rsidRPr="00B820FE">
        <w:rPr>
          <w:lang w:eastAsia="ja-JP"/>
        </w:rPr>
        <w:t xml:space="preserve"> Participants in Any Group (Safety Population: SURMOUNT-1 + SURMOUNT-2 Analysis Set)</w:t>
      </w:r>
      <w:bookmarkEnd w:id="50"/>
    </w:p>
    <w:p w14:paraId="6B561FB3" w14:textId="77777777" w:rsidR="00B748B3" w:rsidRPr="00B820FE" w:rsidRDefault="00B748B3" w:rsidP="00395F2D">
      <w:pPr>
        <w:rPr>
          <w:lang w:eastAsia="ja-JP"/>
        </w:rPr>
      </w:pPr>
      <w:r w:rsidRPr="00B820FE">
        <w:rPr>
          <w:noProof/>
          <w:lang w:eastAsia="ja-JP"/>
        </w:rPr>
        <w:drawing>
          <wp:inline distT="0" distB="0" distL="0" distR="0" wp14:anchorId="5C1EF82D" wp14:editId="3DDD3433">
            <wp:extent cx="5505450" cy="2271850"/>
            <wp:effectExtent l="0" t="0" r="0" b="0"/>
            <wp:docPr id="40" name="Picture 40" descr="Table 12: TEAEs Occurring in ≥5% of Participants in Any Group (Safety Population: SURMOUNT-1 + SURMOUNT-2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12: TEAEs Occurring in ≥5% of Participants in Any Group (Safety Population: SURMOUNT-1 + SURMOUNT-2 Analysis Set)"/>
                    <pic:cNvPicPr/>
                  </pic:nvPicPr>
                  <pic:blipFill>
                    <a:blip r:embed="rId54">
                      <a:extLst>
                        <a:ext uri="{28A0092B-C50C-407E-A947-70E740481C1C}">
                          <a14:useLocalDpi xmlns:a14="http://schemas.microsoft.com/office/drawing/2010/main" val="0"/>
                        </a:ext>
                      </a:extLst>
                    </a:blip>
                    <a:stretch>
                      <a:fillRect/>
                    </a:stretch>
                  </pic:blipFill>
                  <pic:spPr>
                    <a:xfrm>
                      <a:off x="0" y="0"/>
                      <a:ext cx="5519115" cy="2277489"/>
                    </a:xfrm>
                    <a:prstGeom prst="rect">
                      <a:avLst/>
                    </a:prstGeom>
                  </pic:spPr>
                </pic:pic>
              </a:graphicData>
            </a:graphic>
          </wp:inline>
        </w:drawing>
      </w:r>
    </w:p>
    <w:p w14:paraId="620B072B" w14:textId="51801370" w:rsidR="00B748B3" w:rsidRPr="00B820FE" w:rsidRDefault="00B748B3" w:rsidP="00395F2D">
      <w:pPr>
        <w:pStyle w:val="TableDescription"/>
      </w:pPr>
      <w:r w:rsidRPr="00B820FE">
        <w:t xml:space="preserve">Abbreviations: COVID-19 = coronavirus disease 2019; N = number of participants in treatment group; n = number of participants with at least 1 treatment-emergent </w:t>
      </w:r>
      <w:r w:rsidRPr="00395F2D">
        <w:t>adverse</w:t>
      </w:r>
      <w:r w:rsidRPr="00B820FE">
        <w:t xml:space="preserve"> event; TZP = tirzepatide. </w:t>
      </w:r>
      <w:r w:rsidRPr="00B820FE">
        <w:rPr>
          <w:vertAlign w:val="superscript"/>
        </w:rPr>
        <w:t>a</w:t>
      </w:r>
      <w:r w:rsidRPr="00B820FE">
        <w:t xml:space="preserve"> The TZP 5-mg group is only from SURMOUNT-1.</w:t>
      </w:r>
      <w:r w:rsidR="00AD564D">
        <w:t xml:space="preserve"> </w:t>
      </w:r>
      <w:r w:rsidR="00AD564D" w:rsidRPr="00AD564D">
        <w:rPr>
          <w:vertAlign w:val="superscript"/>
          <w:lang w:val="en-US"/>
        </w:rPr>
        <w:t>b</w:t>
      </w:r>
      <w:r w:rsidR="00AD564D" w:rsidRPr="00AD564D">
        <w:rPr>
          <w:lang w:val="en-US"/>
        </w:rPr>
        <w:t xml:space="preserve"> </w:t>
      </w:r>
      <w:proofErr w:type="gramStart"/>
      <w:r w:rsidR="00AD564D" w:rsidRPr="00AD564D">
        <w:rPr>
          <w:lang w:val="en-US"/>
        </w:rPr>
        <w:t>The</w:t>
      </w:r>
      <w:proofErr w:type="gramEnd"/>
      <w:r w:rsidR="00AD564D" w:rsidRPr="00AD564D">
        <w:rPr>
          <w:lang w:val="en-US"/>
        </w:rPr>
        <w:t xml:space="preserve"> p-values are from the Cochran-Mantel-Haenszel test of general association stratified by study.</w:t>
      </w:r>
    </w:p>
    <w:p w14:paraId="48B930BB" w14:textId="77777777" w:rsidR="00B820FE" w:rsidRDefault="00B820FE" w:rsidP="00395F2D">
      <w:r w:rsidRPr="00B820FE">
        <w:t>The percentages of participants in the SURMOUNT-1 + SURMOUNT-2 Analysis Set who reported at least 1 SAE were similar in the TZP_ALL (6.39%) and placebo (6.99%) groups. The most frequently reported SAEs were in the SOC of Infections and infestations (TZP_ALL, 2.02%; placebo, 1.98%). SAEs reported by at least 0.2% (n=5) in the TZP_ALL group included  COVID-19 pneumonia (TZP_ALL, 0.52%; placebo, 0.63%),</w:t>
      </w:r>
      <w:r w:rsidRPr="00B820FE">
        <w:rPr>
          <w:rFonts w:eastAsia="SymbolMT"/>
        </w:rPr>
        <w:t xml:space="preserve"> </w:t>
      </w:r>
      <w:r w:rsidRPr="00B820FE">
        <w:t>COVID-19 (TZP_ALL, 0.36%; placebo, 0.63%), cholelithiasis (TZP_ALL, 0.48%; placebo, 0.42%), cholecystitis acute (TZP_ALL, 0.28%; placebo, 0.21%), appendicitis (TZP_ALL, 0.28%; placebo, 0.31%),</w:t>
      </w:r>
      <w:r w:rsidRPr="00B820FE">
        <w:rPr>
          <w:rFonts w:eastAsia="SymbolMT"/>
        </w:rPr>
        <w:t xml:space="preserve"> </w:t>
      </w:r>
      <w:r w:rsidRPr="00B820FE">
        <w:t>acute kidney injury (TZP_ALL, 0.24%; placebo, 0.21%), and prostate cancer (TZP_ALL, 0.22%; placebo, 0.28%).</w:t>
      </w:r>
    </w:p>
    <w:p w14:paraId="038F3FBE" w14:textId="5E579503" w:rsidR="00B820FE" w:rsidRDefault="00B820FE" w:rsidP="00395F2D">
      <w:r w:rsidRPr="00B820FE">
        <w:t xml:space="preserve">There </w:t>
      </w:r>
      <w:proofErr w:type="gramStart"/>
      <w:r w:rsidRPr="00B820FE">
        <w:t>were</w:t>
      </w:r>
      <w:proofErr w:type="gramEnd"/>
      <w:r w:rsidRPr="00B820FE">
        <w:t xml:space="preserve"> a total of 13 deaths (TZP_ALL, 9 [0.36%]; placebo, 4 [0.42%]) in the SURMOUNT-1 + SURMOUNT-2 Analysis Set</w:t>
      </w:r>
      <w:r w:rsidR="00D160AB">
        <w:t>.</w:t>
      </w:r>
      <w:r w:rsidRPr="00B820FE">
        <w:t xml:space="preserve"> There was no pattern in the causes of death observed among tirzepatide-treated participants in SURMOUNT-1 and SURMOUNT-2.</w:t>
      </w:r>
    </w:p>
    <w:p w14:paraId="298D0C47" w14:textId="4FFE8F49" w:rsidR="00B820FE" w:rsidRPr="00B820FE" w:rsidRDefault="00B820FE" w:rsidP="00395F2D">
      <w:r w:rsidRPr="00B820FE">
        <w:t>The percentages of participants in the SURMOUNT-1 + SURMOUNT-2 Analysis Set who prematurely discontinued study drug due to an AE was higher for tirzepatide-treated participants [153 participants (6.07%)] compared to placebo-treated participants: [33 participants (3.44%)]</w:t>
      </w:r>
      <w:r w:rsidR="00F41F45">
        <w:t>.</w:t>
      </w:r>
    </w:p>
    <w:p w14:paraId="60B64954" w14:textId="77777777" w:rsidR="00B820FE" w:rsidRDefault="00B820FE" w:rsidP="00395F2D">
      <w:pPr>
        <w:rPr>
          <w:lang w:eastAsia="ja-JP"/>
        </w:rPr>
      </w:pPr>
      <w:bookmarkStart w:id="51" w:name="_Toc12019956"/>
      <w:r w:rsidRPr="00B820FE">
        <w:rPr>
          <w:lang w:eastAsia="ja-JP"/>
        </w:rPr>
        <w:t xml:space="preserve">The additional clinical pharmacology studies I8F-MC-GPHU(n=36), </w:t>
      </w:r>
      <w:r w:rsidRPr="00B820FE">
        <w:t>I8F-MC-GPHT</w:t>
      </w:r>
      <w:r w:rsidRPr="00B820FE">
        <w:rPr>
          <w:lang w:eastAsia="ja-JP"/>
        </w:rPr>
        <w:t xml:space="preserve"> (n=22), and Study I8F-MC-GPHG (n=33) also provided safety data, with no unexpected safety concerns identified.</w:t>
      </w:r>
    </w:p>
    <w:p w14:paraId="4C281187" w14:textId="2C35A473" w:rsidR="00B820FE" w:rsidRPr="00B820FE" w:rsidRDefault="00B820FE" w:rsidP="00395F2D">
      <w:pPr>
        <w:pStyle w:val="Heading5"/>
      </w:pPr>
      <w:r w:rsidRPr="00B820FE">
        <w:lastRenderedPageBreak/>
        <w:t>Adverse events of special interest</w:t>
      </w:r>
    </w:p>
    <w:p w14:paraId="3835451B" w14:textId="201567B8" w:rsidR="00B820FE" w:rsidRPr="00B820FE" w:rsidRDefault="00B820FE" w:rsidP="00395F2D">
      <w:r w:rsidRPr="00B820FE">
        <w:t xml:space="preserve">Based on the established safety profiles of </w:t>
      </w:r>
      <w:r w:rsidR="00671D39">
        <w:t>Mounjaro</w:t>
      </w:r>
      <w:r w:rsidRPr="00B820FE">
        <w:t xml:space="preserve"> and currently marketed incretin-based therapies for CWM in this population, mechanism of action of tirzepatide, and safety risks associated with the obesity and overweight population, several safety topics were considered in the determination of key risks, including, but not limited to,</w:t>
      </w:r>
    </w:p>
    <w:p w14:paraId="6EA8E736" w14:textId="77777777" w:rsidR="00B820FE" w:rsidRPr="00B820FE" w:rsidRDefault="00B820FE" w:rsidP="00395F2D">
      <w:pPr>
        <w:pStyle w:val="ListBullet"/>
      </w:pPr>
      <w:r w:rsidRPr="00B820FE">
        <w:t>GI adverse events</w:t>
      </w:r>
    </w:p>
    <w:p w14:paraId="60BAEA9E" w14:textId="77777777" w:rsidR="00B820FE" w:rsidRPr="00B820FE" w:rsidRDefault="00B820FE" w:rsidP="00395F2D">
      <w:pPr>
        <w:pStyle w:val="ListBullet"/>
      </w:pPr>
      <w:r w:rsidRPr="00B820FE">
        <w:t>gallbladder disorders</w:t>
      </w:r>
    </w:p>
    <w:p w14:paraId="7DC78DBB" w14:textId="77777777" w:rsidR="00B820FE" w:rsidRPr="00B820FE" w:rsidRDefault="00B820FE" w:rsidP="00395F2D">
      <w:pPr>
        <w:pStyle w:val="ListBullet"/>
      </w:pPr>
      <w:r w:rsidRPr="00B820FE">
        <w:t>major depressive disorders/suicidality</w:t>
      </w:r>
    </w:p>
    <w:p w14:paraId="6B953312" w14:textId="77777777" w:rsidR="00B820FE" w:rsidRPr="00B820FE" w:rsidRDefault="00B820FE" w:rsidP="00395F2D">
      <w:pPr>
        <w:pStyle w:val="ListBullet"/>
      </w:pPr>
      <w:r w:rsidRPr="00B820FE">
        <w:t>exocrine pancreas safety</w:t>
      </w:r>
    </w:p>
    <w:p w14:paraId="55D5285B" w14:textId="77777777" w:rsidR="00B820FE" w:rsidRPr="00B820FE" w:rsidRDefault="00B820FE" w:rsidP="00395F2D">
      <w:pPr>
        <w:pStyle w:val="ListBullet"/>
      </w:pPr>
      <w:r w:rsidRPr="00B820FE">
        <w:t>CV safety</w:t>
      </w:r>
    </w:p>
    <w:p w14:paraId="6D7A1DC5" w14:textId="6CC3777E" w:rsidR="00B820FE" w:rsidRPr="00B820FE" w:rsidRDefault="00B820FE" w:rsidP="00395F2D">
      <w:pPr>
        <w:pStyle w:val="ListBullet"/>
      </w:pPr>
      <w:r w:rsidRPr="00B820FE">
        <w:t xml:space="preserve">thyroid C-cell safety </w:t>
      </w:r>
    </w:p>
    <w:p w14:paraId="00D5124B" w14:textId="77777777" w:rsidR="00B820FE" w:rsidRPr="00B820FE" w:rsidRDefault="00B820FE" w:rsidP="00395F2D">
      <w:pPr>
        <w:pStyle w:val="ListBullet"/>
      </w:pPr>
      <w:r w:rsidRPr="00B820FE">
        <w:t>hypersensitivity reactions.</w:t>
      </w:r>
    </w:p>
    <w:p w14:paraId="092B8750" w14:textId="3CAD047C" w:rsidR="00B820FE" w:rsidRPr="00B748B3" w:rsidRDefault="00B820FE" w:rsidP="00395F2D">
      <w:r w:rsidRPr="00B748B3">
        <w:t xml:space="preserve">The most frequently reported AEs were in the </w:t>
      </w:r>
      <w:r w:rsidR="00B748B3">
        <w:t>g</w:t>
      </w:r>
      <w:r w:rsidRPr="00B748B3">
        <w:t xml:space="preserve">astrointestinal disorders </w:t>
      </w:r>
      <w:r w:rsidR="00B748B3">
        <w:t>system orders class</w:t>
      </w:r>
      <w:r w:rsidRPr="00B748B3">
        <w:t>. These events occurred more frequently during the dose-escalation period and were mostly mild to moderate in severity. Discontinuation from study drug due to GI AEs was less than 5%.</w:t>
      </w:r>
    </w:p>
    <w:p w14:paraId="7242C9A8" w14:textId="20C078CA" w:rsidR="00B748B3" w:rsidRPr="00395F2D" w:rsidRDefault="00B820FE" w:rsidP="00395F2D">
      <w:r w:rsidRPr="00B748B3">
        <w:t>Across SURMOUNT-1 and SURMOUNT-2, TE gallbladder-related disorders were reported in 1.98% of the tirzepatide-treated participants and in 1.67% of the placebo-treated participants. A total of 28 tirzepatide-treated participants (1.11%) and 8 placebo-treated participants (0.84%) reported serious or severe gallbladder-related events.</w:t>
      </w:r>
    </w:p>
    <w:p w14:paraId="2DCF0643" w14:textId="4051CA6D" w:rsidR="00B820FE" w:rsidRDefault="00B820FE" w:rsidP="00395F2D">
      <w:r w:rsidRPr="00B820FE">
        <w:t>Depression and depressive symptoms were common at baseline based on medical history and as assessed by depression score. In both SURMOUNT-1 and SURMOUNT-2, TEAEs for both the Depression and Suicide/Self-injury SMQ were similar in the tirzepatide groups and the placebo group</w:t>
      </w:r>
      <w:r w:rsidR="00A9448B" w:rsidRPr="00B820FE">
        <w:t xml:space="preserve">. </w:t>
      </w:r>
      <w:r w:rsidRPr="00B820FE">
        <w:t>The percentage of participants with severe or serious events was 0.20% (5 participants) with tirzepatide and 0.10% (1 participant) with placebo. All had preexisting mental health issues.</w:t>
      </w:r>
    </w:p>
    <w:p w14:paraId="7A300776" w14:textId="563E1361" w:rsidR="00B820FE" w:rsidRPr="00C77374" w:rsidRDefault="00B820FE" w:rsidP="00395F2D">
      <w:r w:rsidRPr="00C77374">
        <w:t xml:space="preserve">Across SURMOUNT-1 and SURMOUNT-2, the frequency of acute pancreatitis cases was low; exposure-adjusted incidence rates were 0.14 patient per 100 patient-years for tirzepatide and 0.15 patient per 100 patient-years for placebo. All events were mild to moderate in severity. The risk of acute pancreatitis was </w:t>
      </w:r>
      <w:proofErr w:type="gramStart"/>
      <w:r w:rsidRPr="00C77374">
        <w:t>similar to</w:t>
      </w:r>
      <w:proofErr w:type="gramEnd"/>
      <w:r w:rsidRPr="00C77374">
        <w:t xml:space="preserve"> that reported with the GLP-1 receptor agonist class; 0.2 patients per 100 patient-years reported in the Wegovy label for semaglutide 2.4 mg-treated participants.</w:t>
      </w:r>
    </w:p>
    <w:p w14:paraId="1FFBA2B4" w14:textId="2B41BA05" w:rsidR="00B820FE" w:rsidRDefault="00B820FE" w:rsidP="00395F2D">
      <w:r w:rsidRPr="00B820FE">
        <w:t xml:space="preserve">Treatment with </w:t>
      </w:r>
      <w:proofErr w:type="spellStart"/>
      <w:r w:rsidRPr="00B820FE">
        <w:t>tirzepatide</w:t>
      </w:r>
      <w:proofErr w:type="spellEnd"/>
      <w:r w:rsidRPr="00B820FE">
        <w:t xml:space="preserve"> resulted in mean increases from baseline in pancreatic amylase of 20% to 25% and lipase of 28% to 35%, in the absence of other signs and symptoms of acute pancreatitis</w:t>
      </w:r>
      <w:r w:rsidR="003A0249">
        <w:t>.</w:t>
      </w:r>
      <w:r w:rsidRPr="00B820FE">
        <w:t xml:space="preserve"> </w:t>
      </w:r>
      <w:r w:rsidR="003A0249">
        <w:t>E</w:t>
      </w:r>
      <w:r w:rsidRPr="00B820FE">
        <w:t>levations of pancreatic enzyme levels alone were not predictive of acute pancreatitis.</w:t>
      </w:r>
      <w:r w:rsidR="00B748B3">
        <w:t xml:space="preserve"> </w:t>
      </w:r>
      <w:r w:rsidRPr="00B820FE">
        <w:t>Across SURMOUNT-1 and SURMOUNT-2, one case of pancreatic cancer was reported by a participant in the placebo group in SURMOUNT-1.</w:t>
      </w:r>
    </w:p>
    <w:p w14:paraId="139D9960" w14:textId="3D6D771F" w:rsidR="00B820FE" w:rsidRDefault="00B820FE" w:rsidP="00395F2D">
      <w:r w:rsidRPr="00B820FE">
        <w:t xml:space="preserve">One known effect of GLP-1 receptor agonists is to increase </w:t>
      </w:r>
      <w:r w:rsidR="00C16915">
        <w:t>heart rate</w:t>
      </w:r>
      <w:r w:rsidRPr="00B820FE">
        <w:t xml:space="preserve">, with either no change or a mild reduction in </w:t>
      </w:r>
      <w:r w:rsidR="00C16915">
        <w:t>blood pressure</w:t>
      </w:r>
      <w:r w:rsidRPr="00B820FE">
        <w:t xml:space="preserve">. At the time of the safety follow-up, the mean pulse rate in the tirzepatide groups was approximately 2 to 3 bpm lower than placebo and baseline values. Treatment with all doses of tirzepatide is associated with decreases in </w:t>
      </w:r>
      <w:r w:rsidR="00C16915" w:rsidRPr="00C16915">
        <w:t xml:space="preserve">blood pressure </w:t>
      </w:r>
      <w:r w:rsidRPr="00B820FE">
        <w:t>(systolic and diastolic) compared with placebo.</w:t>
      </w:r>
    </w:p>
    <w:p w14:paraId="2011C461" w14:textId="4EC88E5C" w:rsidR="00B820FE" w:rsidRDefault="00B820FE" w:rsidP="00395F2D">
      <w:r w:rsidRPr="00B820FE">
        <w:t xml:space="preserve">Across SURMOUNT-1 and SURMOUNT-2, participants in TZP_ALL (3.97%) and placebo (4.07%) experienced at least 1 TEAE of arrhythmia and </w:t>
      </w:r>
      <w:r w:rsidRPr="00FF64A1">
        <w:t>cardiac</w:t>
      </w:r>
      <w:r w:rsidRPr="00B820FE">
        <w:t xml:space="preserve"> conduction disorders. Of those</w:t>
      </w:r>
      <w:r w:rsidR="00FE7AC0">
        <w:t>,</w:t>
      </w:r>
      <w:r w:rsidRPr="00B820FE">
        <w:t xml:space="preserve"> </w:t>
      </w:r>
      <w:r w:rsidRPr="00B820FE">
        <w:lastRenderedPageBreak/>
        <w:t>tirzepatide</w:t>
      </w:r>
      <w:r w:rsidR="00FF64A1">
        <w:t>,</w:t>
      </w:r>
      <w:r w:rsidRPr="00B820FE">
        <w:t xml:space="preserve"> 0.32%</w:t>
      </w:r>
      <w:r w:rsidR="00FF64A1">
        <w:t xml:space="preserve">, </w:t>
      </w:r>
      <w:r w:rsidRPr="00B820FE">
        <w:t>and placebo</w:t>
      </w:r>
      <w:r w:rsidR="00FF64A1">
        <w:t xml:space="preserve">, </w:t>
      </w:r>
      <w:r w:rsidRPr="00B820FE">
        <w:t>0.21%</w:t>
      </w:r>
      <w:r w:rsidR="00FF64A1">
        <w:t xml:space="preserve">, </w:t>
      </w:r>
      <w:r w:rsidRPr="00B820FE">
        <w:t xml:space="preserve">were classified </w:t>
      </w:r>
      <w:r w:rsidR="00FE7AC0">
        <w:t xml:space="preserve">as </w:t>
      </w:r>
      <w:r w:rsidRPr="00B820FE">
        <w:t>serious or severe. Fewer participants experienced at least 1 MACE with tirzepatide</w:t>
      </w:r>
      <w:r w:rsidR="00FF64A1">
        <w:t>,</w:t>
      </w:r>
      <w:r w:rsidRPr="00B820FE">
        <w:t xml:space="preserve"> 0.64%</w:t>
      </w:r>
      <w:r w:rsidR="00FF64A1">
        <w:t>,</w:t>
      </w:r>
      <w:r w:rsidRPr="00B820FE">
        <w:t xml:space="preserve"> compared with placebo</w:t>
      </w:r>
      <w:r w:rsidR="00FF64A1">
        <w:t xml:space="preserve">, </w:t>
      </w:r>
      <w:r w:rsidRPr="00B820FE">
        <w:t>0.94%</w:t>
      </w:r>
      <w:r w:rsidR="00395F2D">
        <w:t>.</w:t>
      </w:r>
    </w:p>
    <w:p w14:paraId="64A7822C" w14:textId="138A1481" w:rsidR="00B820FE" w:rsidRDefault="00B820FE" w:rsidP="00395F2D">
      <w:r w:rsidRPr="00075EFA">
        <w:t>Thyroid C-cell tumour is an important potential risk</w:t>
      </w:r>
      <w:r w:rsidR="00FA7D5A">
        <w:t xml:space="preserve"> </w:t>
      </w:r>
      <w:r w:rsidRPr="00075EFA">
        <w:t xml:space="preserve">based </w:t>
      </w:r>
      <w:r w:rsidR="00FA7D5A">
        <w:t>on</w:t>
      </w:r>
      <w:r w:rsidRPr="00075EFA">
        <w:t xml:space="preserve"> observations in rodents with</w:t>
      </w:r>
      <w:r w:rsidRPr="00B820FE">
        <w:t xml:space="preserve"> tirzepatide and other selective long-acting GLP-1 receptor agonists in near-lifetime exposure carcinogenicity studies. No cases of MTC were observed in SURMOUNT-1 and SURMOUNT-2. Similarly, with other GLP-1 receptor agonists, clinical data to date have not demonstrated that the effect observed in rodents translates to humans. Thus, </w:t>
      </w:r>
      <w:proofErr w:type="gramStart"/>
      <w:r w:rsidRPr="00B820FE">
        <w:t>at this time</w:t>
      </w:r>
      <w:proofErr w:type="gramEnd"/>
      <w:r w:rsidRPr="00B820FE">
        <w:t>, when considering clinical data across the GLP-1 receptor agonist class, there is insufficient evidence to attribute thyroid C-cell disease to tirzepatide.</w:t>
      </w:r>
    </w:p>
    <w:p w14:paraId="0939B006" w14:textId="1BE1F783" w:rsidR="00B820FE" w:rsidRDefault="00B820FE" w:rsidP="00395F2D">
      <w:pPr>
        <w:rPr>
          <w:lang w:eastAsia="ja-JP"/>
        </w:rPr>
      </w:pPr>
      <w:r w:rsidRPr="00B820FE">
        <w:rPr>
          <w:lang w:eastAsia="ja-JP"/>
        </w:rPr>
        <w:t xml:space="preserve">The percentage of </w:t>
      </w:r>
      <w:proofErr w:type="spellStart"/>
      <w:r w:rsidRPr="00B820FE">
        <w:rPr>
          <w:lang w:eastAsia="ja-JP"/>
        </w:rPr>
        <w:t>tirzepatide</w:t>
      </w:r>
      <w:proofErr w:type="spellEnd"/>
      <w:r w:rsidRPr="00B820FE">
        <w:rPr>
          <w:lang w:eastAsia="ja-JP"/>
        </w:rPr>
        <w:t>-treated participants in the SURMOUNT-1 and 2 Analysis Set that were treatment</w:t>
      </w:r>
      <w:r w:rsidR="00FF64A1">
        <w:rPr>
          <w:lang w:eastAsia="ja-JP"/>
        </w:rPr>
        <w:t>-</w:t>
      </w:r>
      <w:r w:rsidRPr="00B820FE">
        <w:rPr>
          <w:lang w:eastAsia="ja-JP"/>
        </w:rPr>
        <w:t>emergent ADA+ was 64.5%. A higher % of tirzepatide-treated treatment-emergent ADA+ participants (6.2%) experienced hypersensitivity reactions compared to treatment-emergent ADA- participants (3.0%) during the planned treatment period. A higher percentage of tirzepatide-treated treatment-emergent ADA+ participants (11.3%) experienced injection site reactions compared to treatment-emergent ADA- participants (1.0%) during the planned treatment period.</w:t>
      </w:r>
    </w:p>
    <w:p w14:paraId="05228816" w14:textId="23ED05C5" w:rsidR="00B820FE" w:rsidRPr="00B820FE" w:rsidRDefault="00B820FE" w:rsidP="00395F2D">
      <w:pPr>
        <w:rPr>
          <w:lang w:eastAsia="ja-JP"/>
        </w:rPr>
      </w:pPr>
      <w:r w:rsidRPr="00B820FE">
        <w:rPr>
          <w:lang w:eastAsia="ja-JP"/>
        </w:rPr>
        <w:t>Treatment-emergent hepatic events were reported for similar percentages of participants in the TZP_ALL and placebo groups (TZP_ALL, 1.95%; placebo, 2.09%).</w:t>
      </w:r>
    </w:p>
    <w:p w14:paraId="18CB666C" w14:textId="77777777" w:rsidR="00B820FE" w:rsidRPr="00B820FE" w:rsidRDefault="00B820FE" w:rsidP="00395F2D">
      <w:pPr>
        <w:rPr>
          <w:lang w:eastAsia="ja-JP"/>
        </w:rPr>
      </w:pPr>
      <w:r w:rsidRPr="00B820FE">
        <w:rPr>
          <w:lang w:eastAsia="ja-JP"/>
        </w:rPr>
        <w:t>For the SURMOUNT-1 + SURMOUNT-2 Analysis Set, a total of 19 (0.75%) tirzepatide-treated and 6 (0.63%) placebo-treated participants experienced at least 1 treatment-emergent renal event.</w:t>
      </w:r>
    </w:p>
    <w:p w14:paraId="4E24FA13" w14:textId="729531D7" w:rsidR="00B820FE" w:rsidRPr="00B820FE" w:rsidRDefault="00B820FE" w:rsidP="00395F2D">
      <w:r w:rsidRPr="00B820FE">
        <w:t>Of the 1896 participants exposed to tirzepatide in SURMOUNT-1, one (0.05%) participant reported one episode of severe hypoglycaemia, whilst an inpatient with multiorgan failure. There were 34</w:t>
      </w:r>
      <w:r w:rsidR="00EC6D3F">
        <w:t xml:space="preserve"> </w:t>
      </w:r>
      <w:r w:rsidR="000501D2">
        <w:t>(</w:t>
      </w:r>
      <w:r w:rsidR="00EC6D3F">
        <w:t>1.8%</w:t>
      </w:r>
      <w:r w:rsidR="000501D2">
        <w:t>)</w:t>
      </w:r>
      <w:r w:rsidRPr="00B820FE">
        <w:t xml:space="preserve"> hypoglycaemic events in tirzepatide-treated participants in SURMOUNT-1, most (76%) were not associated with reported symptoms. No participants in SURMOUNT-2 reported severe hypoglycaemia, whilst non-severe hypoglycaemia was reported in TZP_ALL, 26 [4.17%]; and placebo, 4 [1.27%]).</w:t>
      </w:r>
    </w:p>
    <w:p w14:paraId="7B9A979F" w14:textId="77777777" w:rsidR="00B820FE" w:rsidRDefault="00B820FE" w:rsidP="00395F2D">
      <w:pPr>
        <w:rPr>
          <w:color w:val="000000"/>
        </w:rPr>
      </w:pPr>
      <w:r w:rsidRPr="00B820FE">
        <w:t xml:space="preserve">Generally, the safety profile of tirzepatide as an adjunct to a reduced-calorie diet and increased physical activity for CWM in adults is consistent with the established safety profile of tirzepatide based on the T2DM program. </w:t>
      </w:r>
      <w:bookmarkStart w:id="52" w:name="_Toc161760592"/>
      <w:r w:rsidRPr="00B820FE">
        <w:t>Available evidence does not support a need for additional safety considerations in special populations. However, the duration of the clinical studies does not allow identification of long-latency events, such as malignant neoplasms.</w:t>
      </w:r>
      <w:r w:rsidRPr="00B820FE">
        <w:rPr>
          <w:color w:val="000000"/>
        </w:rPr>
        <w:t xml:space="preserve"> Women who were pregnant or breastfeeding were excluded from clinical studies. Although some women did become pregnant during clinical trial participation there are limited data in this population.</w:t>
      </w:r>
    </w:p>
    <w:p w14:paraId="74B79E1A" w14:textId="24A6CFA0" w:rsidR="00B820FE" w:rsidRPr="00B820FE" w:rsidRDefault="00B820FE" w:rsidP="00395F2D">
      <w:pPr>
        <w:pStyle w:val="Heading4"/>
      </w:pPr>
      <w:bookmarkStart w:id="53" w:name="_Toc178239615"/>
      <w:r w:rsidRPr="00B820FE">
        <w:rPr>
          <w:lang w:eastAsia="ja-JP"/>
        </w:rPr>
        <w:t xml:space="preserve">Post marketing </w:t>
      </w:r>
      <w:proofErr w:type="gramStart"/>
      <w:r w:rsidRPr="00B820FE">
        <w:rPr>
          <w:lang w:eastAsia="ja-JP"/>
        </w:rPr>
        <w:t>experience</w:t>
      </w:r>
      <w:bookmarkEnd w:id="52"/>
      <w:bookmarkEnd w:id="53"/>
      <w:proofErr w:type="gramEnd"/>
    </w:p>
    <w:p w14:paraId="433948A7" w14:textId="2089BA52" w:rsidR="00B820FE" w:rsidRPr="00B820FE" w:rsidRDefault="00B820FE" w:rsidP="00395F2D">
      <w:pPr>
        <w:rPr>
          <w:lang w:eastAsia="ja-JP"/>
        </w:rPr>
      </w:pPr>
      <w:r w:rsidRPr="00B820FE">
        <w:rPr>
          <w:lang w:eastAsia="ja-JP"/>
        </w:rPr>
        <w:t>Since tirzepatide was first authori</w:t>
      </w:r>
      <w:r w:rsidR="005038D2">
        <w:rPr>
          <w:lang w:eastAsia="ja-JP"/>
        </w:rPr>
        <w:t>s</w:t>
      </w:r>
      <w:r w:rsidRPr="00B820FE">
        <w:rPr>
          <w:lang w:eastAsia="ja-JP"/>
        </w:rPr>
        <w:t>ed on 13 May 2022 in the US as an adjunct to diet and exercise to improve glycaemic control in adults with type 2 diabetes mellitus, tirzepatide has been authorised for T2DM in 34 countries. Cumulatively, (up until 28 February 2023) there have been an estimated 1,461,200 patients exposed to tirzepatide (any dose) with 399,500 patient-years of exposure.</w:t>
      </w:r>
    </w:p>
    <w:p w14:paraId="07A4F63A" w14:textId="62248F25" w:rsidR="00B820FE" w:rsidRPr="00B820FE" w:rsidRDefault="00B820FE" w:rsidP="00395F2D">
      <w:r w:rsidRPr="00B820FE">
        <w:t>There have been 18,704 AEs reported from 8966 cases. Amongst these, 781 were SAEs reported from 509 cases based on spontaneous reports. The most frequently reported SAEs by individual MedDRA PT were pancreatitis (n = 69; reporting rate: 0.005%); vomiting (n = 44; reporting rate: 0.003%); diarrhea (n = 39; reporting rate: 0.003%); nausea (n = 33; reporting rate: 0.002%); dehydration (n = 31; reporting rate: 0.002%); and acute kidney injury (n = 23; reporting rate: 0.002%)</w:t>
      </w:r>
      <w:r w:rsidR="000F33C0">
        <w:t xml:space="preserve"> (Table 1</w:t>
      </w:r>
      <w:r w:rsidR="00A52D0A">
        <w:t>3</w:t>
      </w:r>
      <w:r w:rsidR="000F33C0">
        <w:t>)</w:t>
      </w:r>
      <w:r w:rsidRPr="00B820FE">
        <w:t>.</w:t>
      </w:r>
    </w:p>
    <w:p w14:paraId="5E86D474" w14:textId="6A7003CA" w:rsidR="00B820FE" w:rsidRPr="00B820FE" w:rsidRDefault="00B820FE" w:rsidP="00395F2D">
      <w:pPr>
        <w:pStyle w:val="TableTitle"/>
        <w:rPr>
          <w:lang w:eastAsia="ja-JP"/>
        </w:rPr>
      </w:pPr>
      <w:bookmarkStart w:id="54" w:name="_Toc161760647"/>
      <w:r w:rsidRPr="00B820FE">
        <w:lastRenderedPageBreak/>
        <w:t xml:space="preserve">Table </w:t>
      </w:r>
      <w:r w:rsidR="00DB6FD0">
        <w:t>1</w:t>
      </w:r>
      <w:r w:rsidR="00A52D0A">
        <w:t>3</w:t>
      </w:r>
      <w:r w:rsidRPr="00B820FE">
        <w:t xml:space="preserve">:  </w:t>
      </w:r>
      <w:r w:rsidRPr="00B820FE">
        <w:rPr>
          <w:lang w:eastAsia="ja-JP"/>
        </w:rPr>
        <w:t>Adverse Events of Special Interest in Post-Marketing Data</w:t>
      </w:r>
      <w:bookmarkEnd w:id="54"/>
    </w:p>
    <w:p w14:paraId="7591479F" w14:textId="77777777" w:rsidR="00B820FE" w:rsidRPr="00B820FE" w:rsidRDefault="00B820FE" w:rsidP="00395F2D">
      <w:pPr>
        <w:rPr>
          <w:lang w:eastAsia="ja-JP"/>
        </w:rPr>
      </w:pPr>
      <w:r w:rsidRPr="00B820FE">
        <w:rPr>
          <w:noProof/>
          <w:lang w:eastAsia="ja-JP"/>
        </w:rPr>
        <w:drawing>
          <wp:inline distT="0" distB="0" distL="0" distR="0" wp14:anchorId="64A19A31" wp14:editId="3419BB7B">
            <wp:extent cx="5731510" cy="3835400"/>
            <wp:effectExtent l="0" t="0" r="2540" b="0"/>
            <wp:docPr id="42" name="Picture 42" descr="Table 13:  Adverse Events of Special Interest in Post-Marke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13:  Adverse Events of Special Interest in Post-Marketing Data"/>
                    <pic:cNvPicPr/>
                  </pic:nvPicPr>
                  <pic:blipFill>
                    <a:blip r:embed="rId55">
                      <a:extLst>
                        <a:ext uri="{28A0092B-C50C-407E-A947-70E740481C1C}">
                          <a14:useLocalDpi xmlns:a14="http://schemas.microsoft.com/office/drawing/2010/main" val="0"/>
                        </a:ext>
                      </a:extLst>
                    </a:blip>
                    <a:stretch>
                      <a:fillRect/>
                    </a:stretch>
                  </pic:blipFill>
                  <pic:spPr>
                    <a:xfrm>
                      <a:off x="0" y="0"/>
                      <a:ext cx="5731510" cy="3835400"/>
                    </a:xfrm>
                    <a:prstGeom prst="rect">
                      <a:avLst/>
                    </a:prstGeom>
                  </pic:spPr>
                </pic:pic>
              </a:graphicData>
            </a:graphic>
          </wp:inline>
        </w:drawing>
      </w:r>
    </w:p>
    <w:p w14:paraId="617584AA" w14:textId="77777777" w:rsidR="00B820FE" w:rsidRPr="00B820FE" w:rsidRDefault="00B820FE" w:rsidP="00395F2D">
      <w:pPr>
        <w:rPr>
          <w:lang w:eastAsia="ja-JP"/>
        </w:rPr>
      </w:pPr>
      <w:r w:rsidRPr="00B820FE">
        <w:rPr>
          <w:noProof/>
          <w:lang w:eastAsia="ja-JP"/>
        </w:rPr>
        <w:drawing>
          <wp:inline distT="0" distB="0" distL="0" distR="0" wp14:anchorId="29D08B2E" wp14:editId="3D976526">
            <wp:extent cx="5731510" cy="3886200"/>
            <wp:effectExtent l="0" t="0" r="2540" b="0"/>
            <wp:docPr id="43" name="Picture 43" descr="Table 13:  Adverse Events of Special Interest in Post-Marke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13:  Adverse Events of Special Interest in Post-Marketing Data"/>
                    <pic:cNvPicPr/>
                  </pic:nvPicPr>
                  <pic:blipFill>
                    <a:blip r:embed="rId56">
                      <a:extLst>
                        <a:ext uri="{28A0092B-C50C-407E-A947-70E740481C1C}">
                          <a14:useLocalDpi xmlns:a14="http://schemas.microsoft.com/office/drawing/2010/main" val="0"/>
                        </a:ext>
                      </a:extLst>
                    </a:blip>
                    <a:stretch>
                      <a:fillRect/>
                    </a:stretch>
                  </pic:blipFill>
                  <pic:spPr>
                    <a:xfrm>
                      <a:off x="0" y="0"/>
                      <a:ext cx="5739771" cy="3891801"/>
                    </a:xfrm>
                    <a:prstGeom prst="rect">
                      <a:avLst/>
                    </a:prstGeom>
                  </pic:spPr>
                </pic:pic>
              </a:graphicData>
            </a:graphic>
          </wp:inline>
        </w:drawing>
      </w:r>
    </w:p>
    <w:p w14:paraId="746F48CB" w14:textId="5A797E14" w:rsidR="00B820FE" w:rsidRPr="00B820FE" w:rsidRDefault="00B820FE" w:rsidP="00395F2D">
      <w:pPr>
        <w:pStyle w:val="TableDescription"/>
      </w:pPr>
      <w:r w:rsidRPr="00B820FE">
        <w:t xml:space="preserve">AESI = adverse event of special interest; HLT = High-Level Term; LSS = Lilly Safety System; MACE = major adverse cardiovascular event; MedDRA = Medical Dictionary for Regulatory Activities; PT = Preferred Term; SMQ = Standardised MedDRA Query; </w:t>
      </w:r>
      <w:r w:rsidRPr="00395F2D">
        <w:t>SOC</w:t>
      </w:r>
      <w:r w:rsidRPr="00B820FE">
        <w:t xml:space="preserve"> = System Organ Class. </w:t>
      </w:r>
      <w:r w:rsidRPr="00B820FE">
        <w:rPr>
          <w:vertAlign w:val="superscript"/>
        </w:rPr>
        <w:t>a</w:t>
      </w:r>
      <w:r w:rsidRPr="00B820FE">
        <w:t xml:space="preserve"> Case reports with amputations/peripheral revasculari</w:t>
      </w:r>
      <w:r w:rsidR="005038D2">
        <w:t>s</w:t>
      </w:r>
      <w:r w:rsidRPr="00B820FE">
        <w:t>ation could not be identified without a full text review of narratives in the LSS, as these are the surgical procedures and not coded as adverse events.</w:t>
      </w:r>
    </w:p>
    <w:p w14:paraId="6C48882F" w14:textId="77777777" w:rsidR="00B820FE" w:rsidRDefault="00B820FE" w:rsidP="00395F2D">
      <w:pPr>
        <w:rPr>
          <w:lang w:eastAsia="ja-JP"/>
        </w:rPr>
      </w:pPr>
      <w:r w:rsidRPr="00B820FE">
        <w:lastRenderedPageBreak/>
        <w:t>Whilst the overall post marketing safety profile is consistent with the safety observed in the completed clinical trial program,</w:t>
      </w:r>
      <w:r w:rsidRPr="00B820FE">
        <w:rPr>
          <w:lang w:eastAsia="ja-JP"/>
        </w:rPr>
        <w:t xml:space="preserve"> based on post-market data, anaphylaxis was identified as a safety signal. </w:t>
      </w:r>
    </w:p>
    <w:p w14:paraId="359D5767" w14:textId="2A0BFB59" w:rsidR="00B820FE" w:rsidRPr="00B820FE" w:rsidRDefault="00B820FE" w:rsidP="00395F2D">
      <w:pPr>
        <w:pStyle w:val="Heading3"/>
      </w:pPr>
      <w:bookmarkStart w:id="55" w:name="_Toc178239616"/>
      <w:r w:rsidRPr="00B820FE">
        <w:t>Risk Management Plan (RMP) evaluation</w:t>
      </w:r>
      <w:bookmarkEnd w:id="51"/>
      <w:r w:rsidR="00F46085">
        <w:t xml:space="preserve"> </w:t>
      </w:r>
      <w:proofErr w:type="gramStart"/>
      <w:r w:rsidR="00F46085" w:rsidRPr="00395F2D">
        <w:t>summary</w:t>
      </w:r>
      <w:bookmarkEnd w:id="55"/>
      <w:proofErr w:type="gramEnd"/>
    </w:p>
    <w:p w14:paraId="702EECA5" w14:textId="535A194F" w:rsidR="00B820FE" w:rsidRPr="00C47C0B" w:rsidRDefault="00B820FE" w:rsidP="00395F2D">
      <w:bookmarkStart w:id="56" w:name="_Hlk151726191"/>
      <w:bookmarkStart w:id="57" w:name="_Hlk151714100"/>
      <w:r w:rsidRPr="00C47C0B">
        <w:t>In support of this application</w:t>
      </w:r>
      <w:bookmarkEnd w:id="56"/>
      <w:r w:rsidRPr="00C47C0B">
        <w:t xml:space="preserve">, the </w:t>
      </w:r>
      <w:r w:rsidR="00F46085" w:rsidRPr="00C47C0B">
        <w:t>Sponsor</w:t>
      </w:r>
      <w:r w:rsidRPr="00C47C0B">
        <w:t xml:space="preserve"> has submitted </w:t>
      </w:r>
      <w:bookmarkStart w:id="58" w:name="_Hlk163829124"/>
      <w:bookmarkStart w:id="59" w:name="_Hlk163829067"/>
      <w:r w:rsidRPr="00C47C0B">
        <w:t xml:space="preserve">EU-RMP </w:t>
      </w:r>
      <w:bookmarkStart w:id="60" w:name="_Hlk151714130"/>
      <w:r w:rsidRPr="00C47C0B">
        <w:rPr>
          <w:rFonts w:cs="Times New Roman"/>
          <w:kern w:val="2"/>
          <w:sz w:val="23"/>
          <w:szCs w:val="24"/>
        </w:rPr>
        <w:fldChar w:fldCharType="begin"/>
      </w:r>
      <w:r w:rsidRPr="00C47C0B">
        <w:instrText>HYPERLINK "docubridge://open/Server=Production&amp;Id=F7599fc415c084756a4dee248ad43927c&amp;NodeId=Nfb323ecf0cc94d54b78a325618d59621&amp;Page=0"</w:instrText>
      </w:r>
      <w:r w:rsidRPr="00C47C0B">
        <w:rPr>
          <w:rFonts w:cs="Times New Roman"/>
          <w:kern w:val="2"/>
          <w:sz w:val="23"/>
          <w:szCs w:val="24"/>
        </w:rPr>
        <w:fldChar w:fldCharType="separate"/>
      </w:r>
      <w:r w:rsidRPr="00C47C0B">
        <w:rPr>
          <w:rStyle w:val="Hyperlink"/>
          <w:rFonts w:cs="Calibri"/>
          <w:color w:val="000000" w:themeColor="text1"/>
          <w:szCs w:val="22"/>
          <w:u w:val="none"/>
        </w:rPr>
        <w:t>version 2.1</w:t>
      </w:r>
      <w:r w:rsidRPr="00C47C0B">
        <w:rPr>
          <w:rStyle w:val="Hyperlink"/>
          <w:rFonts w:cs="Calibri"/>
          <w:color w:val="000000" w:themeColor="text1"/>
          <w:szCs w:val="22"/>
          <w:u w:val="none"/>
        </w:rPr>
        <w:fldChar w:fldCharType="end"/>
      </w:r>
      <w:bookmarkEnd w:id="60"/>
      <w:r w:rsidRPr="00C47C0B">
        <w:t xml:space="preserve"> (dated 03 Mar 2023; D</w:t>
      </w:r>
      <w:r w:rsidR="00C16915" w:rsidRPr="00C47C0B">
        <w:t>ata Lock Point</w:t>
      </w:r>
      <w:r w:rsidRPr="00C47C0B">
        <w:t xml:space="preserve"> 10 June 2022) </w:t>
      </w:r>
      <w:bookmarkEnd w:id="58"/>
      <w:r w:rsidRPr="00C47C0B">
        <w:t xml:space="preserve">and ASA </w:t>
      </w:r>
      <w:bookmarkStart w:id="61" w:name="_Hlk151714143"/>
      <w:r w:rsidRPr="00395F2D">
        <w:t>version 2.0</w:t>
      </w:r>
      <w:r w:rsidRPr="00C47C0B">
        <w:t xml:space="preserve"> </w:t>
      </w:r>
      <w:bookmarkEnd w:id="61"/>
      <w:r w:rsidRPr="00C47C0B">
        <w:t>(dated 17 August 2023).</w:t>
      </w:r>
      <w:bookmarkEnd w:id="59"/>
      <w:r w:rsidRPr="00C47C0B">
        <w:t xml:space="preserve"> </w:t>
      </w:r>
      <w:bookmarkStart w:id="62" w:name="_Hlk163829516"/>
      <w:r w:rsidRPr="00C47C0B">
        <w:t xml:space="preserve">At Round 2, the </w:t>
      </w:r>
      <w:r w:rsidR="00F46085" w:rsidRPr="00C47C0B">
        <w:t>Sponsor</w:t>
      </w:r>
      <w:r w:rsidRPr="00C47C0B">
        <w:t xml:space="preserve"> has submitted ASA </w:t>
      </w:r>
      <w:hyperlink r:id="rId57" w:history="1">
        <w:r w:rsidRPr="00C47C0B">
          <w:rPr>
            <w:rStyle w:val="Hyperlink"/>
            <w:rFonts w:cs="Calibri"/>
            <w:color w:val="000000" w:themeColor="text1"/>
            <w:szCs w:val="22"/>
            <w:u w:val="none"/>
          </w:rPr>
          <w:t>version 3.0</w:t>
        </w:r>
      </w:hyperlink>
      <w:r w:rsidRPr="00C47C0B">
        <w:t xml:space="preserve"> (dated 26 March 2024). </w:t>
      </w:r>
      <w:bookmarkStart w:id="63" w:name="_Hlk169700526"/>
      <w:bookmarkEnd w:id="62"/>
      <w:r w:rsidRPr="00C47C0B">
        <w:t xml:space="preserve">In its Milestone 5 response, the </w:t>
      </w:r>
      <w:r w:rsidR="00F46085" w:rsidRPr="00C47C0B">
        <w:t>Sponsor</w:t>
      </w:r>
      <w:r w:rsidRPr="00C47C0B">
        <w:t xml:space="preserve"> has submitted ASA </w:t>
      </w:r>
      <w:hyperlink r:id="rId58" w:history="1">
        <w:r w:rsidRPr="00C47C0B">
          <w:rPr>
            <w:rStyle w:val="Hyperlink"/>
            <w:rFonts w:cs="Calibri"/>
            <w:color w:val="000000" w:themeColor="text1"/>
            <w:szCs w:val="22"/>
            <w:u w:val="none"/>
          </w:rPr>
          <w:t>version 4.0</w:t>
        </w:r>
      </w:hyperlink>
      <w:r w:rsidRPr="00C47C0B">
        <w:t xml:space="preserve"> (dated 12 June 2024).</w:t>
      </w:r>
    </w:p>
    <w:bookmarkEnd w:id="57"/>
    <w:bookmarkEnd w:id="63"/>
    <w:p w14:paraId="53397B2A" w14:textId="655A0E26" w:rsidR="00B820FE" w:rsidRPr="00B820FE" w:rsidRDefault="00B820FE" w:rsidP="00395F2D">
      <w:r w:rsidRPr="00B820FE">
        <w:t xml:space="preserve">The proposed summary of safety concerns and their associated risk monitoring and mitigation strategies are summarised in </w:t>
      </w:r>
      <w:r w:rsidR="00075EFA">
        <w:t>T</w:t>
      </w:r>
      <w:r w:rsidRPr="00B820FE">
        <w:t>able 1</w:t>
      </w:r>
      <w:r w:rsidR="00A52D0A">
        <w:t>4</w:t>
      </w:r>
      <w:r w:rsidRPr="00B820FE">
        <w:t>.</w:t>
      </w:r>
    </w:p>
    <w:p w14:paraId="5F36D299" w14:textId="0FF165C8" w:rsidR="00B820FE" w:rsidRPr="00B820FE" w:rsidRDefault="00B820FE" w:rsidP="00395F2D">
      <w:pPr>
        <w:pStyle w:val="TableTitle"/>
      </w:pPr>
      <w:r w:rsidRPr="00B820FE">
        <w:t>Table 1</w:t>
      </w:r>
      <w:r w:rsidR="00A52D0A">
        <w:t>4</w:t>
      </w:r>
      <w:r w:rsidRPr="00B820FE">
        <w:t xml:space="preserve">: </w:t>
      </w:r>
      <w:r w:rsidR="000F33C0">
        <w:t>S</w:t>
      </w:r>
      <w:r w:rsidRPr="00B820FE">
        <w:t>ummary safety concerns and risk monitoring and mitigation strategies</w:t>
      </w:r>
    </w:p>
    <w:p w14:paraId="553A1757" w14:textId="77777777" w:rsidR="00B820FE" w:rsidRPr="00B820FE" w:rsidRDefault="00B820FE" w:rsidP="00395F2D">
      <w:r w:rsidRPr="00B820FE">
        <w:rPr>
          <w:noProof/>
        </w:rPr>
        <w:drawing>
          <wp:inline distT="0" distB="0" distL="0" distR="0" wp14:anchorId="5EC46891" wp14:editId="00108D8C">
            <wp:extent cx="5598795" cy="1969477"/>
            <wp:effectExtent l="0" t="0" r="1905" b="0"/>
            <wp:docPr id="45" name="Picture 45" descr="Table 14: Summary safety concerns and risk monitoring and mitigation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14: Summary safety concerns and risk monitoring and mitigation strategies"/>
                    <pic:cNvPicPr/>
                  </pic:nvPicPr>
                  <pic:blipFill>
                    <a:blip r:embed="rId59">
                      <a:extLst>
                        <a:ext uri="{28A0092B-C50C-407E-A947-70E740481C1C}">
                          <a14:useLocalDpi xmlns:a14="http://schemas.microsoft.com/office/drawing/2010/main" val="0"/>
                        </a:ext>
                      </a:extLst>
                    </a:blip>
                    <a:stretch>
                      <a:fillRect/>
                    </a:stretch>
                  </pic:blipFill>
                  <pic:spPr>
                    <a:xfrm>
                      <a:off x="0" y="0"/>
                      <a:ext cx="5648524" cy="1986970"/>
                    </a:xfrm>
                    <a:prstGeom prst="rect">
                      <a:avLst/>
                    </a:prstGeom>
                  </pic:spPr>
                </pic:pic>
              </a:graphicData>
            </a:graphic>
          </wp:inline>
        </w:drawing>
      </w:r>
    </w:p>
    <w:p w14:paraId="309E43B1" w14:textId="77777777" w:rsidR="00B820FE" w:rsidRPr="00B820FE" w:rsidRDefault="00B820FE" w:rsidP="00395F2D">
      <w:pPr>
        <w:pStyle w:val="TableDescription"/>
      </w:pPr>
      <w:r w:rsidRPr="00B820FE">
        <w:t xml:space="preserve">* Specific adverse </w:t>
      </w:r>
      <w:r w:rsidRPr="00395F2D">
        <w:t>reaction</w:t>
      </w:r>
      <w:r w:rsidRPr="00B820FE">
        <w:t xml:space="preserve"> follow-up forms, </w:t>
      </w:r>
      <w:r w:rsidRPr="00B820FE">
        <w:rPr>
          <w:vertAlign w:val="superscript"/>
        </w:rPr>
        <w:t xml:space="preserve">† </w:t>
      </w:r>
      <w:r w:rsidRPr="00B820FE">
        <w:t xml:space="preserve">Medullary Thyroid Carcinoma Database Linkage Study (I8F-MC-B014), </w:t>
      </w:r>
      <w:r w:rsidRPr="00B820FE">
        <w:rPr>
          <w:vertAlign w:val="superscript"/>
        </w:rPr>
        <w:t xml:space="preserve">‡ </w:t>
      </w:r>
      <w:r w:rsidRPr="00B820FE">
        <w:t xml:space="preserve">Pancreatic Malignancy Study (I8F-MC-B011), </w:t>
      </w:r>
      <w:r w:rsidRPr="00B820FE">
        <w:rPr>
          <w:vertAlign w:val="superscript"/>
        </w:rPr>
        <w:t xml:space="preserve">§ </w:t>
      </w:r>
      <w:r w:rsidRPr="00B820FE">
        <w:t xml:space="preserve">Retinopathy addendum to SURPASS-CVOT (I8F-MC-GPGN) </w:t>
      </w:r>
      <w:r w:rsidRPr="00B820FE">
        <w:rPr>
          <w:vertAlign w:val="superscript"/>
        </w:rPr>
        <w:t xml:space="preserve">ǁ </w:t>
      </w:r>
      <w:r w:rsidRPr="00B820FE">
        <w:t>Categorised as ‘Missing information’ in the EU-RMP.</w:t>
      </w:r>
    </w:p>
    <w:p w14:paraId="4297A409" w14:textId="77777777" w:rsidR="00B820FE" w:rsidRPr="00B820FE" w:rsidRDefault="00B820FE" w:rsidP="00395F2D">
      <w:r w:rsidRPr="00B820FE">
        <w:t>The summary of safety concerns in the ASA aligns with the EU-RMP. Additional safety concerns relating to the proposed extension of indication have not been identified. The summary of safety concerns is acceptable from an RMP perspective.</w:t>
      </w:r>
    </w:p>
    <w:p w14:paraId="4E7CB2BA" w14:textId="36E74D7D" w:rsidR="00B820FE" w:rsidRPr="00B820FE" w:rsidRDefault="00B820FE" w:rsidP="00395F2D">
      <w:r w:rsidRPr="00B820FE">
        <w:t xml:space="preserve">The </w:t>
      </w:r>
      <w:r w:rsidR="00F46085">
        <w:t>Sponsor</w:t>
      </w:r>
      <w:r w:rsidRPr="00B820FE">
        <w:t xml:space="preserve"> proposes routine pharmacovigilance for all safety concerns. This includes specific adverse reaction follow-up forms </w:t>
      </w:r>
      <w:bookmarkStart w:id="64" w:name="_Hlk152080814"/>
      <w:r w:rsidRPr="00B820FE">
        <w:t>for the important potential risks of ‘Medullary thyroid cancer’ and ‘Pancreatic malignancy’</w:t>
      </w:r>
      <w:bookmarkEnd w:id="64"/>
      <w:r w:rsidRPr="00B820FE">
        <w:t xml:space="preserve"> and for missing information ‘Use in pregnancy and lactation’ as routine pharmacovigilance activities. Additional pharmacovigilance activities have been proposed </w:t>
      </w:r>
      <w:bookmarkStart w:id="65" w:name="_Hlk152080918"/>
      <w:r w:rsidRPr="00B820FE">
        <w:t>for the important potential risks of ‘Medullary thyroid cancer</w:t>
      </w:r>
      <w:r w:rsidR="00A9448B" w:rsidRPr="00B820FE">
        <w:t>,’</w:t>
      </w:r>
      <w:r w:rsidRPr="00B820FE">
        <w:t xml:space="preserve"> ‘Pancreatic malignancy’ and ‘Diabetic retinopathy complications. </w:t>
      </w:r>
      <w:bookmarkEnd w:id="65"/>
      <w:r w:rsidRPr="00B820FE">
        <w:t xml:space="preserve">The pharmacovigilance plan remains acceptable as no new safety concerns have been identified </w:t>
      </w:r>
      <w:proofErr w:type="gramStart"/>
      <w:r w:rsidRPr="00B820FE">
        <w:t>as a result of</w:t>
      </w:r>
      <w:proofErr w:type="gramEnd"/>
      <w:r w:rsidRPr="00B820FE">
        <w:t xml:space="preserve"> the proposed extension of indication.</w:t>
      </w:r>
    </w:p>
    <w:p w14:paraId="20E17206" w14:textId="153AD5C3" w:rsidR="00B820FE" w:rsidRDefault="00B820FE" w:rsidP="00395F2D">
      <w:r w:rsidRPr="00B820FE">
        <w:t>The risk minimisation plan aligns with the EU-RMP and is acceptable.</w:t>
      </w:r>
      <w:bookmarkStart w:id="66" w:name="_Toc12019957"/>
    </w:p>
    <w:p w14:paraId="03E00B9A" w14:textId="24C6DB06" w:rsidR="00B820FE" w:rsidRPr="00B820FE" w:rsidRDefault="00A52D0A" w:rsidP="00395F2D">
      <w:pPr>
        <w:pStyle w:val="Heading2"/>
      </w:pPr>
      <w:bookmarkStart w:id="67" w:name="_Toc178239617"/>
      <w:bookmarkEnd w:id="66"/>
      <w:r>
        <w:t xml:space="preserve">Risk/benefit </w:t>
      </w:r>
      <w:proofErr w:type="gramStart"/>
      <w:r w:rsidR="005A3AEC" w:rsidRPr="00395F2D">
        <w:t>analysis</w:t>
      </w:r>
      <w:bookmarkEnd w:id="67"/>
      <w:proofErr w:type="gramEnd"/>
    </w:p>
    <w:p w14:paraId="4529C7FF" w14:textId="7D3CE080" w:rsidR="00B820FE" w:rsidRPr="00B820FE" w:rsidRDefault="00B820FE" w:rsidP="00395F2D">
      <w:r w:rsidRPr="00B820FE">
        <w:rPr>
          <w:lang w:eastAsia="ja-JP"/>
        </w:rPr>
        <w:t>Obesity</w:t>
      </w:r>
      <w:r w:rsidR="00184431">
        <w:rPr>
          <w:lang w:eastAsia="ja-JP"/>
        </w:rPr>
        <w:t xml:space="preserve"> is</w:t>
      </w:r>
      <w:r w:rsidRPr="00B820FE">
        <w:rPr>
          <w:lang w:eastAsia="ja-JP"/>
        </w:rPr>
        <w:t xml:space="preserve"> a common,</w:t>
      </w:r>
      <w:r w:rsidRPr="00B820FE">
        <w:t xml:space="preserve"> complex, disease and is associated with poorer long-term health, quality of life and has financial consequences for the </w:t>
      </w:r>
      <w:r w:rsidR="00184431">
        <w:t xml:space="preserve">affected </w:t>
      </w:r>
      <w:r w:rsidRPr="00B820FE">
        <w:t>person, as well as a significant financial cost to the Australian community</w:t>
      </w:r>
      <w:r w:rsidR="00A9448B" w:rsidRPr="00B820FE">
        <w:t xml:space="preserve">. </w:t>
      </w:r>
      <w:r w:rsidRPr="00B820FE">
        <w:t>Weight loss in people with obesity has proven medical benefits in reducing obesity-related complications, and whilst improvements are seen with as little as 5% reduction in weight, larger amounts of weight losses may be needed to produce greater health benefits and assist patients with obesity being more satisfied with the outcome.</w:t>
      </w:r>
    </w:p>
    <w:p w14:paraId="6EEA4C30" w14:textId="68860326" w:rsidR="00B820FE" w:rsidRPr="00B820FE" w:rsidRDefault="00B820FE" w:rsidP="00395F2D">
      <w:r w:rsidRPr="00B820FE">
        <w:lastRenderedPageBreak/>
        <w:t>Tirzepatide is a single molecule that combines GIP and GLP-1 receptor agonism resulting in synergistic effects on appetite, food intake, and metabolic function. Tirzepatide is currently approved for use as an adjunct to diet and exercise to improve glycaemic control in adults with T2DM in Australia and many other countries. The present application is for the use of tirzepatide as an adjunct to a reduced-calorie diet and increased physical activity for chronic weight management in adults with obesity or overweight with weight-related comorbidities.</w:t>
      </w:r>
    </w:p>
    <w:p w14:paraId="3349101E" w14:textId="225B27D6" w:rsidR="00B820FE" w:rsidRPr="00B820FE" w:rsidRDefault="00B820FE" w:rsidP="00395F2D">
      <w:pPr>
        <w:pStyle w:val="Heading3"/>
      </w:pPr>
      <w:bookmarkStart w:id="68" w:name="_Toc178239618"/>
      <w:r w:rsidRPr="00B820FE">
        <w:t>Efficacy</w:t>
      </w:r>
      <w:bookmarkEnd w:id="68"/>
    </w:p>
    <w:p w14:paraId="14FC2B5D" w14:textId="4270683B" w:rsidR="00B820FE" w:rsidRDefault="00B820FE" w:rsidP="00395F2D">
      <w:r w:rsidRPr="00B820FE">
        <w:rPr>
          <w:lang w:eastAsia="ja-JP"/>
        </w:rPr>
        <w:t xml:space="preserve">This submission included data from two pivotal Phase 3 studies: </w:t>
      </w:r>
      <w:r w:rsidRPr="00B820FE">
        <w:t>SURMOUNT-1 and SURMOUNT-2; both phase 3, multicentre, multinational, randomi</w:t>
      </w:r>
      <w:r w:rsidR="005038D2">
        <w:t>s</w:t>
      </w:r>
      <w:r w:rsidRPr="00B820FE">
        <w:t xml:space="preserve">ed, placebo-controlled, double-blinded studies that were designed to establish superiority of once-weekly tirzepatide compared with placebo on the coprimary efficacy endpoints and key secondary endpoints in participants with obesity, or overweight with weight-related comorbidities, with and without T2DM. </w:t>
      </w:r>
      <w:r w:rsidRPr="00B820FE">
        <w:rPr>
          <w:lang w:eastAsia="ja-JP"/>
        </w:rPr>
        <w:t xml:space="preserve">The primary and secondary objectives and endpoints were satisfactory and clinically relevant. A total of 3477 participants (with 2519 randomised to treatment with tirzepatide) were included across the two studies. Participants were </w:t>
      </w:r>
      <w:r w:rsidRPr="00B820FE">
        <w:t>broad and diverse population of patients with obesity or overweight, likely reflecting those who would receive this treatment.</w:t>
      </w:r>
    </w:p>
    <w:p w14:paraId="09457F9F" w14:textId="0A32D479" w:rsidR="00066386" w:rsidRDefault="00B820FE" w:rsidP="00395F2D">
      <w:r w:rsidRPr="00B820FE">
        <w:rPr>
          <w:lang w:eastAsia="ja-JP"/>
        </w:rPr>
        <w:t xml:space="preserve">Both SURMOUNT-1 and SURMOUNT-2 have demonstrated statistically superior and clinically meaningful weight loss compared to placebo in </w:t>
      </w:r>
      <w:r w:rsidRPr="00B820FE">
        <w:rPr>
          <w:iCs/>
          <w:lang w:eastAsia="ja-JP"/>
        </w:rPr>
        <w:t>patients (BMI ≥ 27 kg/m</w:t>
      </w:r>
      <w:r w:rsidRPr="00B820FE">
        <w:rPr>
          <w:iCs/>
          <w:vertAlign w:val="superscript"/>
          <w:lang w:eastAsia="ja-JP"/>
        </w:rPr>
        <w:t>2</w:t>
      </w:r>
      <w:r w:rsidRPr="00B820FE">
        <w:rPr>
          <w:iCs/>
          <w:lang w:eastAsia="ja-JP"/>
        </w:rPr>
        <w:t xml:space="preserve"> to &lt; 30 kg/m</w:t>
      </w:r>
      <w:r w:rsidRPr="00B820FE">
        <w:rPr>
          <w:iCs/>
          <w:vertAlign w:val="superscript"/>
          <w:lang w:eastAsia="ja-JP"/>
        </w:rPr>
        <w:t>2</w:t>
      </w:r>
      <w:r w:rsidRPr="00B820FE">
        <w:rPr>
          <w:iCs/>
          <w:lang w:eastAsia="ja-JP"/>
        </w:rPr>
        <w:t>) with at least one weight-related comorbidity and in patients with obesity (BMI ≥ 30 kg/m</w:t>
      </w:r>
      <w:r w:rsidRPr="00B820FE">
        <w:rPr>
          <w:iCs/>
          <w:vertAlign w:val="superscript"/>
          <w:lang w:eastAsia="ja-JP"/>
        </w:rPr>
        <w:t>2</w:t>
      </w:r>
      <w:r w:rsidRPr="00B820FE">
        <w:rPr>
          <w:iCs/>
          <w:lang w:eastAsia="ja-JP"/>
        </w:rPr>
        <w:t xml:space="preserve">) </w:t>
      </w:r>
      <w:r w:rsidRPr="00B820FE">
        <w:rPr>
          <w:lang w:eastAsia="ja-JP"/>
        </w:rPr>
        <w:t>with or without T2DM. A h</w:t>
      </w:r>
      <w:r w:rsidRPr="00B820FE">
        <w:rPr>
          <w:iCs/>
          <w:lang w:eastAsia="ja-JP"/>
        </w:rPr>
        <w:t xml:space="preserve">igher proportion of patients achieved ≥5%, ≥10%, ≥15% and ≥20% weight loss with all doses of tirzepatide compared with placebo. </w:t>
      </w:r>
      <w:r w:rsidRPr="00B820FE">
        <w:t>Clinically meaningful reductions in body weight began early in treatment and continued through the end of study treatment (Figure 3)</w:t>
      </w:r>
      <w:r w:rsidR="00066386">
        <w:t>.</w:t>
      </w:r>
    </w:p>
    <w:p w14:paraId="291847CF" w14:textId="0FC33FAD" w:rsidR="00B820FE" w:rsidRPr="00B820FE" w:rsidRDefault="00B820FE" w:rsidP="00395F2D">
      <w:pPr>
        <w:rPr>
          <w:rFonts w:cs="CIDFont+F4"/>
        </w:rPr>
      </w:pPr>
      <w:r w:rsidRPr="00B820FE">
        <w:t>The percent reductions in body weight increase with increasing dose of tirzepatide with more participants achieving higher % w</w:t>
      </w:r>
      <w:r w:rsidR="00F30A58">
        <w:t>eight</w:t>
      </w:r>
      <w:r w:rsidRPr="00B820FE">
        <w:t xml:space="preserve"> reductions on the highest dose</w:t>
      </w:r>
      <w:r w:rsidRPr="00B820FE">
        <w:rPr>
          <w:rFonts w:cs="CIDFont+F4"/>
        </w:rPr>
        <w:t xml:space="preserve">. </w:t>
      </w:r>
      <w:r w:rsidRPr="00B820FE">
        <w:rPr>
          <w:lang w:eastAsia="ja-JP"/>
        </w:rPr>
        <w:t xml:space="preserve">Other cardiometabolic markers also showed improvements, including waist circumstance, blood pressure, lipids and HbA1c. Patient reported outcomes were also improved by treatment with </w:t>
      </w:r>
      <w:proofErr w:type="spellStart"/>
      <w:r w:rsidRPr="00B820FE">
        <w:rPr>
          <w:lang w:eastAsia="ja-JP"/>
        </w:rPr>
        <w:t>tirzepatide</w:t>
      </w:r>
      <w:proofErr w:type="spellEnd"/>
      <w:r w:rsidRPr="00B820FE">
        <w:rPr>
          <w:lang w:eastAsia="ja-JP"/>
        </w:rPr>
        <w:t>.</w:t>
      </w:r>
    </w:p>
    <w:p w14:paraId="23878C72" w14:textId="724F3619" w:rsidR="00B820FE" w:rsidRPr="00B820FE" w:rsidRDefault="00B820FE" w:rsidP="00395F2D">
      <w:r w:rsidRPr="00B820FE">
        <w:t>Percent body weight reductions, and cardiometabolic marker reductions were generally greater in participants with obesity or overweight without T2DM than in participants with obesity or overweight with T2DM, a finding which is consistent with other incretin-based therapy studies. (Figure 2) In SURMOUNT-1 and 2, 91% and 83% achieved a body weight reduction of at least 5%. Approximately half of participants in the 10- and 15-mg dose groups in SURMOUNT-1 and approximately one third of participants in the 15- mg dose group in SURMOUNT-2 reduced weight by at least 20%.</w:t>
      </w:r>
    </w:p>
    <w:p w14:paraId="2223A664" w14:textId="5F6166EE" w:rsidR="00B820FE" w:rsidRPr="00B820FE" w:rsidRDefault="00B820FE" w:rsidP="00395F2D">
      <w:pPr>
        <w:pStyle w:val="Heading3"/>
      </w:pPr>
      <w:bookmarkStart w:id="69" w:name="_Toc178239619"/>
      <w:r w:rsidRPr="00B820FE">
        <w:t>Safety</w:t>
      </w:r>
      <w:bookmarkEnd w:id="69"/>
    </w:p>
    <w:p w14:paraId="4CB30DEA" w14:textId="36EFA034" w:rsidR="00B820FE" w:rsidRPr="00B820FE" w:rsidRDefault="00B820FE" w:rsidP="00395F2D">
      <w:r w:rsidRPr="00B820FE">
        <w:t>The safety profile of tirzepatide was characteri</w:t>
      </w:r>
      <w:r w:rsidR="005038D2">
        <w:t>s</w:t>
      </w:r>
      <w:r w:rsidRPr="00B820FE">
        <w:t>ed in 7354 participants with obesity or overweight treated with tirzepatide in the Phase 2 and 3 studies, representing 7071.3 patient-years of exposure to tirzepatide. Across the pivotal studies, SURMOUNT-1, and SURMOUNT-2, 2519 participants with obesity or overweight, with and without T2DM, received tirzepatide for 3201.7 patient-years of exposure, including 2236 participants who received tirzepatide for at least 52 weeks, and 1926 participants who received tirzepatide for at least 72 weeks.</w:t>
      </w:r>
    </w:p>
    <w:p w14:paraId="0C299DB5" w14:textId="77777777" w:rsidR="00B820FE" w:rsidRPr="00B820FE" w:rsidRDefault="00B820FE" w:rsidP="00395F2D">
      <w:pPr>
        <w:rPr>
          <w:iCs/>
        </w:rPr>
      </w:pPr>
      <w:r w:rsidRPr="00B820FE">
        <w:t xml:space="preserve">In general, the safety profile of tirzepatide for chronic weight management appears </w:t>
      </w:r>
      <w:proofErr w:type="gramStart"/>
      <w:r w:rsidRPr="00B820FE">
        <w:t>similar to</w:t>
      </w:r>
      <w:proofErr w:type="gramEnd"/>
      <w:r w:rsidRPr="00B820FE">
        <w:t xml:space="preserve"> the effect seen in subjects with T2DM in the original application. </w:t>
      </w:r>
      <w:proofErr w:type="gramStart"/>
      <w:r w:rsidRPr="00B820FE">
        <w:t>Similar to</w:t>
      </w:r>
      <w:proofErr w:type="gramEnd"/>
      <w:r w:rsidRPr="00B820FE">
        <w:t xml:space="preserve"> the GLP-1 receptor agonist class, and the previous tirzepatide application, </w:t>
      </w:r>
      <w:r w:rsidRPr="00B820FE">
        <w:rPr>
          <w:iCs/>
        </w:rPr>
        <w:t xml:space="preserve">the most frequently reported adverse </w:t>
      </w:r>
      <w:r w:rsidRPr="00B820FE">
        <w:rPr>
          <w:iCs/>
        </w:rPr>
        <w:lastRenderedPageBreak/>
        <w:t xml:space="preserve">reactions (gastrointestinal disorders) were mostly mild or moderate in severity, occurred more frequently with dose escalation and eased over time. </w:t>
      </w:r>
      <w:r w:rsidRPr="00B820FE">
        <w:t>The % of patients with TEAS and discontinuations of study treatment due to AE (most commonly GI events) was low, but increased dose-dependently with tirzepatide. Serious adverse events were uncommon. A small number of deaths were recorded, however there was no clear relationship to treatment with tirzepatide.</w:t>
      </w:r>
    </w:p>
    <w:p w14:paraId="3393D81C" w14:textId="77777777" w:rsidR="00B820FE" w:rsidRPr="00B820FE" w:rsidRDefault="00B820FE" w:rsidP="00395F2D">
      <w:r w:rsidRPr="00B820FE">
        <w:t xml:space="preserve">Overall, the safety profile demonstrated across the tirzepatide Phase 3 studies is consistent with, and </w:t>
      </w:r>
      <w:proofErr w:type="gramStart"/>
      <w:r w:rsidRPr="00B820FE">
        <w:t>similar to</w:t>
      </w:r>
      <w:proofErr w:type="gramEnd"/>
      <w:r w:rsidRPr="00B820FE">
        <w:t>, the known safety profile of the GLP-1 receptor agonist class in those with obesity and the safety profile of tirzepatide in the original T2DM application.</w:t>
      </w:r>
    </w:p>
    <w:p w14:paraId="49D67C38" w14:textId="22CD0F90" w:rsidR="00B820FE" w:rsidRPr="00B820FE" w:rsidRDefault="00B820FE" w:rsidP="00395F2D">
      <w:r w:rsidRPr="00B820FE">
        <w:t>The post marketing safety data identified the additional risk of anaphylaxis. No other new risks or change of known risks were identified.</w:t>
      </w:r>
    </w:p>
    <w:p w14:paraId="6F5A6599" w14:textId="0EA8DE4E" w:rsidR="00B820FE" w:rsidRPr="00B820FE" w:rsidRDefault="00B820FE" w:rsidP="00395F2D">
      <w:pPr>
        <w:pStyle w:val="Heading4"/>
        <w:rPr>
          <w:lang w:eastAsia="ja-JP"/>
        </w:rPr>
      </w:pPr>
      <w:bookmarkStart w:id="70" w:name="_Toc178239620"/>
      <w:r w:rsidRPr="00B820FE">
        <w:rPr>
          <w:lang w:eastAsia="ja-JP"/>
        </w:rPr>
        <w:t xml:space="preserve">Data limitations and </w:t>
      </w:r>
      <w:r w:rsidR="00395F2D" w:rsidRPr="00395F2D">
        <w:t>u</w:t>
      </w:r>
      <w:r w:rsidRPr="00395F2D">
        <w:t>ncertainties</w:t>
      </w:r>
      <w:bookmarkEnd w:id="70"/>
    </w:p>
    <w:p w14:paraId="79F89291" w14:textId="77777777" w:rsidR="00B820FE" w:rsidRPr="00B820FE" w:rsidRDefault="00B820FE" w:rsidP="00395F2D">
      <w:pPr>
        <w:rPr>
          <w:lang w:eastAsia="ja-JP"/>
        </w:rPr>
      </w:pPr>
      <w:r w:rsidRPr="00B820FE">
        <w:rPr>
          <w:lang w:eastAsia="ja-JP"/>
        </w:rPr>
        <w:t>Limitations of the studies as mentioned previously are that those who participated in the study may have been more committed to weight management than those in the general population; and that it is also likely that the blinding within the study could have been undone by the more pronounced weight loss and/or gastrointestinal adverse effects in the tirzepatide treatment groups.</w:t>
      </w:r>
    </w:p>
    <w:p w14:paraId="501BCBC5" w14:textId="77777777" w:rsidR="00B820FE" w:rsidRPr="00B820FE" w:rsidRDefault="00B820FE" w:rsidP="00395F2D">
      <w:r w:rsidRPr="00B820FE">
        <w:t>Because of protocol exclusion criteria, there are no data on patients with a history of chronic or acute pancreatitis, clinically significant gastric emptying abnormality, gastric outlet obstruction, or significant and/or unstable major depressive disorder or other severe psychiatric disorders.</w:t>
      </w:r>
    </w:p>
    <w:p w14:paraId="55653196" w14:textId="361C6402" w:rsidR="00B820FE" w:rsidRPr="00B820FE" w:rsidRDefault="00B820FE" w:rsidP="00395F2D">
      <w:r w:rsidRPr="00B820FE">
        <w:t>Women who were pregnant or breastfeeding were excluded from clinical studies. Thus, there is no data in this population.</w:t>
      </w:r>
    </w:p>
    <w:p w14:paraId="262C2C59" w14:textId="77777777" w:rsidR="00B820FE" w:rsidRPr="00B820FE" w:rsidRDefault="00B820FE" w:rsidP="00395F2D">
      <w:r w:rsidRPr="00B820FE">
        <w:t>The duration of the clinical studies does not allow identification of long-latency events, such as malignancy.</w:t>
      </w:r>
    </w:p>
    <w:p w14:paraId="07AE188B" w14:textId="0A2F6598" w:rsidR="00B820FE" w:rsidRPr="00B820FE" w:rsidRDefault="00B820FE" w:rsidP="00395F2D">
      <w:r w:rsidRPr="00B820FE">
        <w:t>It is unclear as to the duration of treatment required, but is likely to be long-term, given evidence that rebound weight gain is likely.</w:t>
      </w:r>
    </w:p>
    <w:p w14:paraId="3CF0478A" w14:textId="305F2D04" w:rsidR="00B820FE" w:rsidRPr="00B820FE" w:rsidRDefault="00B820FE" w:rsidP="00395F2D">
      <w:pPr>
        <w:rPr>
          <w:lang w:eastAsia="ja-JP"/>
        </w:rPr>
      </w:pPr>
      <w:r w:rsidRPr="00B820FE">
        <w:rPr>
          <w:lang w:eastAsia="ja-JP"/>
        </w:rPr>
        <w:t>Whilst treatment with tirzepatide is associated with significant weight loss, and improved cardiometabolic measures, it is unclear how/if long-term morbidity and mortality will be impacted.</w:t>
      </w:r>
    </w:p>
    <w:p w14:paraId="27406356" w14:textId="35B9E453" w:rsidR="00B820FE" w:rsidRPr="00B820FE" w:rsidRDefault="00B820FE" w:rsidP="00395F2D">
      <w:pPr>
        <w:pStyle w:val="Heading4"/>
      </w:pPr>
      <w:bookmarkStart w:id="71" w:name="_Toc178239621"/>
      <w:r w:rsidRPr="00B820FE">
        <w:t>Ongoing studies</w:t>
      </w:r>
      <w:bookmarkEnd w:id="71"/>
    </w:p>
    <w:p w14:paraId="6C2FA7F1" w14:textId="45105473" w:rsidR="00B820FE" w:rsidRPr="00B820FE" w:rsidRDefault="00B820FE" w:rsidP="00395F2D">
      <w:r w:rsidRPr="00B820FE">
        <w:t>Tirzepatide is also being assessed in 13 ongoing studies across 4 indications.</w:t>
      </w:r>
    </w:p>
    <w:p w14:paraId="7B4AB040" w14:textId="77777777" w:rsidR="00B820FE" w:rsidRPr="00B820FE" w:rsidRDefault="00B820FE" w:rsidP="00395F2D">
      <w:pPr>
        <w:pStyle w:val="ListBullet"/>
      </w:pPr>
      <w:r w:rsidRPr="00B820FE">
        <w:t xml:space="preserve">Chronic Weight Management: 8 studies, including two </w:t>
      </w:r>
      <w:proofErr w:type="gramStart"/>
      <w:r w:rsidRPr="00B820FE">
        <w:t>Phase</w:t>
      </w:r>
      <w:proofErr w:type="gramEnd"/>
      <w:r w:rsidRPr="00B820FE">
        <w:t xml:space="preserve"> 1 and six Phase 3 studies.</w:t>
      </w:r>
    </w:p>
    <w:p w14:paraId="7F6EC8D5" w14:textId="37F3386F" w:rsidR="00ED1BBD" w:rsidRDefault="00B820FE" w:rsidP="00395F2D">
      <w:pPr>
        <w:pStyle w:val="ListBullet"/>
      </w:pPr>
      <w:r w:rsidRPr="00B820FE">
        <w:t>T2DM: three Phase 3 studies, including 1 CV outcome trial and 1 study in paediatric</w:t>
      </w:r>
      <w:r w:rsidR="00ED1BBD">
        <w:t xml:space="preserve"> p</w:t>
      </w:r>
      <w:r w:rsidRPr="00B820FE">
        <w:t>articipants</w:t>
      </w:r>
      <w:r w:rsidR="00395F2D">
        <w:t>.</w:t>
      </w:r>
    </w:p>
    <w:p w14:paraId="0AD0673E" w14:textId="08C8B90B" w:rsidR="00B820FE" w:rsidRPr="00B820FE" w:rsidRDefault="00B820FE" w:rsidP="00395F2D">
      <w:pPr>
        <w:pStyle w:val="ListBullet"/>
      </w:pPr>
      <w:r w:rsidRPr="00B820FE">
        <w:t>heart failure with preserved ejection fraction: one Phase 3 study,</w:t>
      </w:r>
    </w:p>
    <w:p w14:paraId="669E0B5D" w14:textId="176F8FC0" w:rsidR="00B820FE" w:rsidRPr="00B820FE" w:rsidRDefault="00B820FE" w:rsidP="00395F2D">
      <w:pPr>
        <w:pStyle w:val="ListBullet"/>
      </w:pPr>
      <w:r w:rsidRPr="00B820FE">
        <w:t>non-alcoholic steatohepatitis: one Phase 2 study</w:t>
      </w:r>
      <w:r w:rsidR="00395F2D">
        <w:t>.</w:t>
      </w:r>
    </w:p>
    <w:p w14:paraId="5826CF84" w14:textId="72FAB19A" w:rsidR="00B820FE" w:rsidRPr="00531886" w:rsidRDefault="00B820FE" w:rsidP="00395F2D">
      <w:pPr>
        <w:pStyle w:val="Heading5"/>
        <w:rPr>
          <w:color w:val="000000"/>
        </w:rPr>
      </w:pPr>
      <w:r w:rsidRPr="00531886">
        <w:t>Conclusions and recommendation</w:t>
      </w:r>
    </w:p>
    <w:p w14:paraId="63F3E7E6" w14:textId="3D1F3127" w:rsidR="00B820FE" w:rsidRPr="00B820FE" w:rsidRDefault="00B820FE" w:rsidP="00395F2D">
      <w:r w:rsidRPr="00B820FE">
        <w:t xml:space="preserve">Existing treatments leave an unmet need for patients who </w:t>
      </w:r>
      <w:r w:rsidR="00013DFF">
        <w:t>have</w:t>
      </w:r>
      <w:r w:rsidRPr="00B820FE">
        <w:t xml:space="preserve"> obes</w:t>
      </w:r>
      <w:r w:rsidR="00013DFF">
        <w:t>ity</w:t>
      </w:r>
      <w:r w:rsidRPr="00B820FE">
        <w:t xml:space="preserve"> or overweight with comorbidities. Treatment with tirzepatide demonstrated superior and clinically relevant efficacy on body weight reduction and cardiometabolic complications. The safety profile is well understood, and that for chronic weight management appears </w:t>
      </w:r>
      <w:proofErr w:type="gramStart"/>
      <w:r w:rsidRPr="00B820FE">
        <w:t>similar to</w:t>
      </w:r>
      <w:proofErr w:type="gramEnd"/>
      <w:r w:rsidRPr="00B820FE">
        <w:t xml:space="preserve"> the effect seen in </w:t>
      </w:r>
      <w:r w:rsidRPr="00B820FE">
        <w:lastRenderedPageBreak/>
        <w:t>subjects with T2DM in the original application. Apart from a new risk of anaphylaxis, no new concerns identified in this submission.</w:t>
      </w:r>
    </w:p>
    <w:p w14:paraId="094C7024" w14:textId="768FD9CB" w:rsidR="00075EFA" w:rsidRPr="00B820FE" w:rsidRDefault="00B820FE" w:rsidP="00395F2D">
      <w:pPr>
        <w:rPr>
          <w:lang w:val="en-US"/>
        </w:rPr>
      </w:pPr>
      <w:r w:rsidRPr="00B820FE">
        <w:t xml:space="preserve">Pending advice from ACM, and completion of PI negotiations, the </w:t>
      </w:r>
      <w:r w:rsidR="00F46085">
        <w:t>Delegate</w:t>
      </w:r>
      <w:r w:rsidRPr="00B820FE">
        <w:t xml:space="preserve"> </w:t>
      </w:r>
      <w:r w:rsidRPr="00B820FE">
        <w:rPr>
          <w:lang w:val="en-US"/>
        </w:rPr>
        <w:t>considers the benefit/risk profile for tirzepatide to be positive and recommends approval with the following indication:</w:t>
      </w:r>
    </w:p>
    <w:p w14:paraId="66F8F961" w14:textId="77777777" w:rsidR="00B820FE" w:rsidRPr="00F24489" w:rsidRDefault="00B820FE" w:rsidP="00F24489">
      <w:pPr>
        <w:ind w:left="720"/>
        <w:rPr>
          <w:i/>
          <w:iCs/>
          <w:lang w:eastAsia="ja-JP"/>
        </w:rPr>
      </w:pPr>
      <w:r w:rsidRPr="00F24489">
        <w:rPr>
          <w:i/>
          <w:iCs/>
          <w:lang w:eastAsia="ja-JP"/>
        </w:rPr>
        <w:t>Chronic Weight Management</w:t>
      </w:r>
    </w:p>
    <w:p w14:paraId="7883DF44" w14:textId="6409AE04" w:rsidR="00B820FE" w:rsidRPr="00F24489" w:rsidRDefault="00671D39" w:rsidP="00F24489">
      <w:pPr>
        <w:ind w:left="720"/>
        <w:rPr>
          <w:i/>
          <w:iCs/>
          <w:lang w:eastAsia="ja-JP"/>
        </w:rPr>
      </w:pPr>
      <w:r w:rsidRPr="00F24489">
        <w:rPr>
          <w:i/>
          <w:iCs/>
          <w:lang w:eastAsia="ja-JP"/>
        </w:rPr>
        <w:t>Mounjaro</w:t>
      </w:r>
      <w:r w:rsidR="00B820FE" w:rsidRPr="00F24489">
        <w:rPr>
          <w:i/>
          <w:iCs/>
          <w:lang w:eastAsia="ja-JP"/>
        </w:rPr>
        <w:t xml:space="preserve"> is indicated as an adjunct to a reduced-calorie diet and increased physical activity for chronic weight management, including weight loss and weight maintenance, in adults with an initial body mass index (BMI) of:</w:t>
      </w:r>
    </w:p>
    <w:p w14:paraId="76193C85" w14:textId="77777777" w:rsidR="00B820FE" w:rsidRPr="00F24489" w:rsidRDefault="00B820FE" w:rsidP="00F24489">
      <w:pPr>
        <w:ind w:left="720"/>
        <w:rPr>
          <w:i/>
          <w:iCs/>
        </w:rPr>
      </w:pPr>
      <w:r w:rsidRPr="00F24489">
        <w:rPr>
          <w:i/>
          <w:iCs/>
        </w:rPr>
        <w:t>≥30 kg/m</w:t>
      </w:r>
      <w:r w:rsidRPr="00F24489">
        <w:rPr>
          <w:i/>
          <w:iCs/>
          <w:vertAlign w:val="superscript"/>
        </w:rPr>
        <w:t>2</w:t>
      </w:r>
      <w:r w:rsidRPr="00F24489">
        <w:rPr>
          <w:i/>
          <w:iCs/>
        </w:rPr>
        <w:t xml:space="preserve"> (obesity) or</w:t>
      </w:r>
    </w:p>
    <w:p w14:paraId="4133AE3B" w14:textId="4B4FB3C5" w:rsidR="00B820FE" w:rsidRPr="00F24489" w:rsidRDefault="00B820FE" w:rsidP="00F24489">
      <w:pPr>
        <w:ind w:left="720"/>
        <w:rPr>
          <w:i/>
          <w:iCs/>
        </w:rPr>
      </w:pPr>
      <w:r w:rsidRPr="00F24489">
        <w:rPr>
          <w:i/>
          <w:iCs/>
        </w:rPr>
        <w:t>≥27 kg/m</w:t>
      </w:r>
      <w:r w:rsidRPr="00F24489">
        <w:rPr>
          <w:i/>
          <w:iCs/>
          <w:vertAlign w:val="superscript"/>
        </w:rPr>
        <w:t>2</w:t>
      </w:r>
      <w:r w:rsidRPr="00F24489">
        <w:rPr>
          <w:i/>
          <w:iCs/>
        </w:rPr>
        <w:t xml:space="preserve"> to &lt;30 kg/m</w:t>
      </w:r>
      <w:r w:rsidRPr="00F24489">
        <w:rPr>
          <w:i/>
          <w:iCs/>
          <w:vertAlign w:val="superscript"/>
        </w:rPr>
        <w:t>2</w:t>
      </w:r>
      <w:r w:rsidRPr="00F24489">
        <w:rPr>
          <w:i/>
          <w:iCs/>
        </w:rPr>
        <w:t xml:space="preserve"> (overweight) in the presence of at least one weight-related comorbid condition. (e.g., hypertension, obstructive sleep apnoea, cardiovascular </w:t>
      </w:r>
      <w:proofErr w:type="gramStart"/>
      <w:r w:rsidRPr="00F24489">
        <w:rPr>
          <w:i/>
          <w:iCs/>
        </w:rPr>
        <w:t>disease</w:t>
      </w:r>
      <w:proofErr w:type="gramEnd"/>
      <w:r w:rsidRPr="00F24489">
        <w:rPr>
          <w:i/>
          <w:iCs/>
        </w:rPr>
        <w:t xml:space="preserve"> or type 2 diabetes mellitus).</w:t>
      </w:r>
    </w:p>
    <w:p w14:paraId="76AFE745" w14:textId="77777777" w:rsidR="00B820FE" w:rsidRDefault="00B820FE" w:rsidP="00F24489">
      <w:r w:rsidRPr="00075EFA">
        <w:t>This would be in addition to the previously registered indication:</w:t>
      </w:r>
    </w:p>
    <w:p w14:paraId="55483A1A" w14:textId="72DCDFBE" w:rsidR="00B820FE" w:rsidRPr="00F24489" w:rsidRDefault="00671D39" w:rsidP="00F24489">
      <w:pPr>
        <w:ind w:left="720"/>
        <w:rPr>
          <w:i/>
          <w:iCs/>
          <w:lang w:eastAsia="ja-JP"/>
        </w:rPr>
      </w:pPr>
      <w:r w:rsidRPr="00F24489">
        <w:rPr>
          <w:i/>
          <w:iCs/>
          <w:lang w:eastAsia="ja-JP"/>
        </w:rPr>
        <w:t>Mounjaro</w:t>
      </w:r>
      <w:r w:rsidR="00B820FE" w:rsidRPr="00F24489">
        <w:rPr>
          <w:i/>
          <w:iCs/>
          <w:lang w:eastAsia="ja-JP"/>
        </w:rPr>
        <w:t xml:space="preserve"> is indicated for the treatment of adults with insufficiently controlled type 2 diabetes mellitus as an adjunct to diet and exercise:</w:t>
      </w:r>
    </w:p>
    <w:p w14:paraId="4EE9D0FC" w14:textId="77777777" w:rsidR="00B820FE" w:rsidRPr="00F24489" w:rsidRDefault="00B820FE" w:rsidP="00F24489">
      <w:pPr>
        <w:ind w:left="720"/>
        <w:rPr>
          <w:i/>
          <w:iCs/>
        </w:rPr>
      </w:pPr>
      <w:r w:rsidRPr="00F24489">
        <w:rPr>
          <w:i/>
          <w:iCs/>
        </w:rPr>
        <w:t>as monotherapy when metformin is not tolerated or contraindicated.</w:t>
      </w:r>
    </w:p>
    <w:p w14:paraId="7B032FB5" w14:textId="77777777" w:rsidR="00B820FE" w:rsidRPr="00F24489" w:rsidRDefault="00B820FE" w:rsidP="00F24489">
      <w:pPr>
        <w:ind w:left="720"/>
        <w:rPr>
          <w:i/>
          <w:iCs/>
        </w:rPr>
      </w:pPr>
      <w:r w:rsidRPr="00F24489">
        <w:rPr>
          <w:i/>
          <w:iCs/>
        </w:rPr>
        <w:t>in addition to other medicinal products for the treatment of type 2 diabetes.</w:t>
      </w:r>
      <w:bookmarkStart w:id="72" w:name="_Toc12019960"/>
    </w:p>
    <w:p w14:paraId="2516FA62" w14:textId="3BDCF273" w:rsidR="001008ED" w:rsidRPr="00F73346" w:rsidRDefault="001008ED" w:rsidP="00F24489">
      <w:pPr>
        <w:pStyle w:val="Heading3"/>
      </w:pPr>
      <w:bookmarkStart w:id="73" w:name="_Toc98931936"/>
      <w:bookmarkStart w:id="74" w:name="_Toc176217426"/>
      <w:bookmarkStart w:id="75" w:name="_Toc178239622"/>
      <w:r w:rsidRPr="00F73346">
        <w:t xml:space="preserve">Advisory Committee </w:t>
      </w:r>
      <w:r w:rsidRPr="00F24489">
        <w:t>considerations</w:t>
      </w:r>
      <w:bookmarkEnd w:id="73"/>
      <w:bookmarkEnd w:id="74"/>
      <w:bookmarkEnd w:id="75"/>
    </w:p>
    <w:p w14:paraId="7D9039B8" w14:textId="249C5686" w:rsidR="001008ED" w:rsidRDefault="001008ED" w:rsidP="00F24489">
      <w:r w:rsidRPr="00BD5DBD">
        <w:t xml:space="preserve">The </w:t>
      </w:r>
      <w:hyperlink r:id="rId60" w:history="1">
        <w:r w:rsidRPr="00BD5DBD">
          <w:rPr>
            <w:rStyle w:val="Hyperlink"/>
            <w:szCs w:val="22"/>
          </w:rPr>
          <w:t>Advisory Committee on Medicines (ACM)</w:t>
        </w:r>
      </w:hyperlink>
      <w:r w:rsidRPr="00BD5DBD">
        <w:t>, having considered the evaluations and the Delegate’s overview, as well as the sponsor’s response to these documents, advised the following</w:t>
      </w:r>
      <w:r>
        <w:t>:</w:t>
      </w:r>
    </w:p>
    <w:p w14:paraId="67EE4982" w14:textId="77777777" w:rsidR="001008ED" w:rsidRPr="00F24489" w:rsidRDefault="001008ED" w:rsidP="00F24489">
      <w:pPr>
        <w:pStyle w:val="Numberbullet0"/>
        <w:numPr>
          <w:ilvl w:val="0"/>
          <w:numId w:val="47"/>
        </w:numPr>
        <w:rPr>
          <w:b/>
          <w:bCs/>
          <w:lang w:eastAsia="en-AU"/>
        </w:rPr>
      </w:pPr>
      <w:r w:rsidRPr="00F24489">
        <w:rPr>
          <w:b/>
          <w:bCs/>
          <w:lang w:eastAsia="en-AU"/>
        </w:rPr>
        <w:t>What is the ACM’s advice regarding whether to approve/not approve the registration of tirzepatide for a chronic weight management (CWM) indication?</w:t>
      </w:r>
    </w:p>
    <w:p w14:paraId="3B86E6CE" w14:textId="77777777" w:rsidR="001008ED" w:rsidRPr="001008ED" w:rsidRDefault="001008ED" w:rsidP="00F24489">
      <w:r w:rsidRPr="001008ED">
        <w:t>The ACM agreed there was sufficient evidence of clinical efficacy for use in CWM.</w:t>
      </w:r>
    </w:p>
    <w:p w14:paraId="415139DD" w14:textId="77777777" w:rsidR="001008ED" w:rsidRPr="001008ED" w:rsidRDefault="001008ED" w:rsidP="00F24489">
      <w:r w:rsidRPr="001008ED">
        <w:t>The ACM advised that registration of tirzepatide for CWM would be in line with other comparable jurisdictions.</w:t>
      </w:r>
    </w:p>
    <w:p w14:paraId="6425A2A2" w14:textId="77777777" w:rsidR="001008ED" w:rsidRPr="001008ED" w:rsidRDefault="001008ED" w:rsidP="00F24489">
      <w:pPr>
        <w:rPr>
          <w:lang w:eastAsia="en-AU"/>
        </w:rPr>
      </w:pPr>
      <w:r w:rsidRPr="001008ED">
        <w:rPr>
          <w:lang w:eastAsia="en-AU"/>
        </w:rPr>
        <w:t>The ACM noted the unknown impact of longer-term use of tirzepatide regarding malignancy and other serious adverse events. The ACM agreed with the delegate’s proposal to include tirzepatide for CWM in the Black Triangle Scheme.</w:t>
      </w:r>
    </w:p>
    <w:p w14:paraId="12DD0868" w14:textId="77777777" w:rsidR="001008ED" w:rsidRPr="001008ED" w:rsidRDefault="001008ED" w:rsidP="00F24489">
      <w:r w:rsidRPr="001008ED">
        <w:t>The ACM was agnostic on inclusion of examples of comorbid conditions in the indication wording, as these are open to interpretation and relevance will vary for a particular patient. The ACM noted that both the USA and the EU include examples of comorbid conditions. The examples relate only to metabolic status, and do not include depression or respiratory conditions.</w:t>
      </w:r>
    </w:p>
    <w:p w14:paraId="4498324E" w14:textId="77777777" w:rsidR="001008ED" w:rsidRPr="001008ED" w:rsidRDefault="001008ED" w:rsidP="00F24489">
      <w:r w:rsidRPr="001008ED">
        <w:t>The ACM noted that the initial BMI criteria in the proposed indication are now typical of criteria for weight-loss medicines.</w:t>
      </w:r>
    </w:p>
    <w:p w14:paraId="1DCEC0D7" w14:textId="0DB2B417" w:rsidR="001008ED" w:rsidRPr="00F24489" w:rsidRDefault="001008ED" w:rsidP="00F24489">
      <w:pPr>
        <w:pStyle w:val="Numberbullet0"/>
        <w:rPr>
          <w:b/>
          <w:bCs/>
          <w:i/>
          <w:iCs/>
          <w:lang w:eastAsia="en-AU"/>
        </w:rPr>
      </w:pPr>
      <w:r w:rsidRPr="00F24489">
        <w:rPr>
          <w:b/>
          <w:bCs/>
          <w:i/>
          <w:iCs/>
          <w:lang w:eastAsia="en-AU"/>
        </w:rPr>
        <w:t>Could the ACM provide advice on the level of risk they believe would be associated with the use of MOUNJARO for CWM in Australia?</w:t>
      </w:r>
    </w:p>
    <w:p w14:paraId="1FC8BE2A" w14:textId="178D080B" w:rsidR="001008ED" w:rsidRPr="001008ED" w:rsidRDefault="001008ED" w:rsidP="00F24489">
      <w:pPr>
        <w:rPr>
          <w:lang w:eastAsia="en-AU"/>
        </w:rPr>
      </w:pPr>
      <w:r w:rsidRPr="001008ED">
        <w:rPr>
          <w:lang w:eastAsia="en-AU"/>
        </w:rPr>
        <w:t>The ACM considered the overall safety profile of tirzepatide to be acceptable, given the mechanism of action and clinical population.</w:t>
      </w:r>
    </w:p>
    <w:p w14:paraId="733424BA" w14:textId="77777777" w:rsidR="001008ED" w:rsidRPr="001008ED" w:rsidRDefault="001008ED" w:rsidP="00F24489">
      <w:pPr>
        <w:rPr>
          <w:lang w:eastAsia="en-AU"/>
        </w:rPr>
      </w:pPr>
      <w:r w:rsidRPr="001008ED">
        <w:rPr>
          <w:lang w:eastAsia="en-AU"/>
        </w:rPr>
        <w:lastRenderedPageBreak/>
        <w:t>The ACM were of the view that long-term efficacy and safety will require additional studies. The ACM noted the SURMOUNT-MMO study, a 5-year prospective, placebo-controlled trial, is ongoing and projected to be completed in 2027. This study is expected to provide robust data on long-term efficacy and safety, potential reduction in morbidity and mortality, and other clinical benefits.</w:t>
      </w:r>
    </w:p>
    <w:p w14:paraId="3271DABF" w14:textId="77777777" w:rsidR="001008ED" w:rsidRPr="001008ED" w:rsidRDefault="001008ED" w:rsidP="00F24489">
      <w:pPr>
        <w:rPr>
          <w:lang w:eastAsia="en-AU"/>
        </w:rPr>
      </w:pPr>
      <w:r w:rsidRPr="001008ED">
        <w:rPr>
          <w:lang w:eastAsia="en-AU"/>
        </w:rPr>
        <w:t>The ACM raised concern about the potential for off-label use, especially in those with eating disorders and athletes, which the sponsor acknowledged in response to the clinical evaluation report.</w:t>
      </w:r>
    </w:p>
    <w:p w14:paraId="54E1AFDF" w14:textId="77777777" w:rsidR="001008ED" w:rsidRPr="00F24489" w:rsidRDefault="001008ED" w:rsidP="00F24489">
      <w:pPr>
        <w:pStyle w:val="Numberbullet0"/>
        <w:rPr>
          <w:b/>
          <w:bCs/>
          <w:i/>
          <w:iCs/>
          <w:lang w:eastAsia="en-AU"/>
        </w:rPr>
      </w:pPr>
      <w:r w:rsidRPr="00F24489">
        <w:rPr>
          <w:b/>
          <w:bCs/>
          <w:i/>
          <w:iCs/>
          <w:lang w:eastAsia="en-AU"/>
        </w:rPr>
        <w:t>Does the ACM feel the proposed Risk Management Plan (RMP) is adequate to further characterise risks including long-term risks?</w:t>
      </w:r>
    </w:p>
    <w:p w14:paraId="7124D9B9" w14:textId="77777777" w:rsidR="001008ED" w:rsidRPr="001008ED" w:rsidRDefault="001008ED" w:rsidP="00F24489">
      <w:pPr>
        <w:rPr>
          <w:lang w:eastAsia="en-AU"/>
        </w:rPr>
      </w:pPr>
      <w:r w:rsidRPr="001008ED">
        <w:rPr>
          <w:lang w:eastAsia="en-AU"/>
        </w:rPr>
        <w:t>The ACM considered the proposed RMP to be adequate.</w:t>
      </w:r>
    </w:p>
    <w:p w14:paraId="2DC174A3" w14:textId="77777777" w:rsidR="001008ED" w:rsidRPr="001008ED" w:rsidRDefault="001008ED" w:rsidP="00F24489">
      <w:pPr>
        <w:rPr>
          <w:lang w:eastAsia="en-AU"/>
        </w:rPr>
      </w:pPr>
      <w:r w:rsidRPr="001008ED">
        <w:rPr>
          <w:lang w:eastAsia="en-AU"/>
        </w:rPr>
        <w:t>The ACM again noted the potential for off-label use, and that this may impact the adequacy of post market data and long-term monitoring. Additionally, the ACM noted that where patients take tirzepatide intermittently, this could impact post-market data and monitoring. Rebound weight gain may result in prolonged use and is an area with little data.</w:t>
      </w:r>
    </w:p>
    <w:p w14:paraId="71A45060" w14:textId="4BB0795D" w:rsidR="001008ED" w:rsidRPr="001008ED" w:rsidRDefault="001008ED" w:rsidP="00F24489">
      <w:pPr>
        <w:rPr>
          <w:lang w:eastAsia="en-AU"/>
        </w:rPr>
      </w:pPr>
      <w:r w:rsidRPr="001008ED">
        <w:rPr>
          <w:lang w:eastAsia="en-AU"/>
        </w:rPr>
        <w:t>The ACM noted reports of pancreatitis in medical media. The ACM raised the need to inform clinicians about potential safety risks, including potential abdominal discomfort due to slowing down of gastric emptying. The ACM agreed that tirzepatide should not be prescribed to patients with existing steatohepatitis, gastroparesis, or similar comorbidities, it would likely worsen their symptoms.</w:t>
      </w:r>
    </w:p>
    <w:p w14:paraId="2D25835A" w14:textId="46FAD80A" w:rsidR="001008ED" w:rsidRPr="00F24489" w:rsidRDefault="001008ED" w:rsidP="00F24489">
      <w:pPr>
        <w:pStyle w:val="Numberbullet0"/>
        <w:rPr>
          <w:b/>
          <w:bCs/>
          <w:i/>
          <w:iCs/>
          <w:lang w:eastAsia="en-AU"/>
        </w:rPr>
      </w:pPr>
      <w:r w:rsidRPr="00F24489">
        <w:rPr>
          <w:b/>
          <w:bCs/>
          <w:i/>
          <w:iCs/>
          <w:lang w:eastAsia="en-AU"/>
        </w:rPr>
        <w:t xml:space="preserve">The ACM is also requested to provide advice on any other issues that may be relevant to a decision on </w:t>
      </w:r>
      <w:proofErr w:type="gramStart"/>
      <w:r w:rsidRPr="00F24489">
        <w:rPr>
          <w:b/>
          <w:bCs/>
          <w:i/>
          <w:iCs/>
          <w:lang w:eastAsia="en-AU"/>
        </w:rPr>
        <w:t>whether or not</w:t>
      </w:r>
      <w:proofErr w:type="gramEnd"/>
      <w:r w:rsidRPr="00F24489">
        <w:rPr>
          <w:b/>
          <w:bCs/>
          <w:i/>
          <w:iCs/>
          <w:lang w:eastAsia="en-AU"/>
        </w:rPr>
        <w:t xml:space="preserve"> to approve this application.</w:t>
      </w:r>
    </w:p>
    <w:p w14:paraId="3E7CAFF1" w14:textId="77777777" w:rsidR="001008ED" w:rsidRPr="001008ED" w:rsidRDefault="001008ED" w:rsidP="00F24489">
      <w:r w:rsidRPr="001008ED">
        <w:t>The ACM highlighted issues with use of the Black Triangle Scheme in practice. The ACM advised that there is no Black Triangle Scheme prompt in current prescribing software to alert clinicians. Clinicians are only aware a medicine is in the Black Triangle Scheme if they view the PI or CMI. Additionally, the ACM noted that there is no existing list of Black Triangle Scheme medicines on the TGA website.</w:t>
      </w:r>
    </w:p>
    <w:p w14:paraId="50767A6E" w14:textId="775D6B19" w:rsidR="001008ED" w:rsidRPr="001008ED" w:rsidRDefault="001008ED" w:rsidP="00F24489">
      <w:pPr>
        <w:pStyle w:val="Heading4"/>
      </w:pPr>
      <w:bookmarkStart w:id="76" w:name="_Toc174027022"/>
      <w:bookmarkStart w:id="77" w:name="_Toc178239623"/>
      <w:r w:rsidRPr="001008ED">
        <w:t xml:space="preserve">ACM </w:t>
      </w:r>
      <w:r w:rsidRPr="00F24489">
        <w:t>conclusion</w:t>
      </w:r>
      <w:bookmarkEnd w:id="76"/>
      <w:bookmarkEnd w:id="77"/>
    </w:p>
    <w:p w14:paraId="6C43AB8B" w14:textId="77777777" w:rsidR="001008ED" w:rsidRPr="001008ED" w:rsidRDefault="001008ED" w:rsidP="00F24489">
      <w:r w:rsidRPr="001008ED">
        <w:t>The ACM considered this product to have an overall positive benefit-risk profile for the indication:</w:t>
      </w:r>
    </w:p>
    <w:p w14:paraId="7B18EEAD" w14:textId="7F20A50E" w:rsidR="001008ED" w:rsidRPr="00F24489" w:rsidRDefault="001008ED" w:rsidP="00F24489">
      <w:pPr>
        <w:ind w:left="360"/>
        <w:rPr>
          <w:i/>
          <w:iCs/>
        </w:rPr>
      </w:pPr>
      <w:r w:rsidRPr="00F24489">
        <w:rPr>
          <w:i/>
          <w:iCs/>
        </w:rPr>
        <w:t>Mounjaro is indicated as an adjunct to a reduced-calorie diet and increased physical activity for chronic weight management, including weight loss and weight maintenance, in adults with an initial body mass index (BMI) of:</w:t>
      </w:r>
    </w:p>
    <w:p w14:paraId="0689545E" w14:textId="22690785" w:rsidR="001008ED" w:rsidRPr="00F24489" w:rsidRDefault="001008ED" w:rsidP="00F24489">
      <w:pPr>
        <w:pStyle w:val="ListBullet"/>
        <w:ind w:left="720"/>
        <w:rPr>
          <w:i/>
          <w:iCs/>
        </w:rPr>
      </w:pPr>
      <w:r w:rsidRPr="00F24489">
        <w:rPr>
          <w:i/>
          <w:iCs/>
        </w:rPr>
        <w:t>≥30 kg/m</w:t>
      </w:r>
      <w:r w:rsidRPr="00F24489">
        <w:rPr>
          <w:i/>
          <w:iCs/>
          <w:vertAlign w:val="superscript"/>
        </w:rPr>
        <w:t>2</w:t>
      </w:r>
      <w:r w:rsidRPr="00F24489">
        <w:rPr>
          <w:i/>
          <w:iCs/>
        </w:rPr>
        <w:t xml:space="preserve"> (obesity) or</w:t>
      </w:r>
    </w:p>
    <w:p w14:paraId="5D7654D1" w14:textId="32522F7E" w:rsidR="001008ED" w:rsidRPr="00F24489" w:rsidRDefault="001008ED" w:rsidP="00F24489">
      <w:pPr>
        <w:pStyle w:val="ListBullet"/>
        <w:ind w:left="720"/>
        <w:rPr>
          <w:i/>
          <w:iCs/>
        </w:rPr>
      </w:pPr>
      <w:r w:rsidRPr="00F24489">
        <w:rPr>
          <w:i/>
          <w:iCs/>
        </w:rPr>
        <w:t>≥27 kg/m</w:t>
      </w:r>
      <w:r w:rsidRPr="00F24489">
        <w:rPr>
          <w:i/>
          <w:iCs/>
          <w:vertAlign w:val="superscript"/>
        </w:rPr>
        <w:t>2</w:t>
      </w:r>
      <w:r w:rsidRPr="00F24489">
        <w:rPr>
          <w:i/>
          <w:iCs/>
        </w:rPr>
        <w:t xml:space="preserve"> to &lt;30 kg/m</w:t>
      </w:r>
      <w:r w:rsidRPr="00F24489">
        <w:rPr>
          <w:i/>
          <w:iCs/>
          <w:vertAlign w:val="superscript"/>
        </w:rPr>
        <w:t xml:space="preserve">2 </w:t>
      </w:r>
      <w:r w:rsidRPr="00F24489">
        <w:rPr>
          <w:i/>
          <w:iCs/>
        </w:rPr>
        <w:t>(overweight) in the presence of at least one weight-related comorbid condition.</w:t>
      </w:r>
    </w:p>
    <w:p w14:paraId="307F236C" w14:textId="15F4B4C4" w:rsidR="00C22214" w:rsidRPr="002E238E" w:rsidRDefault="00C22214" w:rsidP="00F24489">
      <w:pPr>
        <w:pStyle w:val="Heading2"/>
      </w:pPr>
      <w:bookmarkStart w:id="78" w:name="_Toc247691532"/>
      <w:bookmarkStart w:id="79" w:name="_Toc314842516"/>
      <w:bookmarkStart w:id="80" w:name="_Toc103679300"/>
      <w:bookmarkStart w:id="81" w:name="_Toc178239624"/>
      <w:bookmarkEnd w:id="72"/>
      <w:r w:rsidRPr="00F24489">
        <w:t>Outcome</w:t>
      </w:r>
      <w:bookmarkEnd w:id="78"/>
      <w:bookmarkEnd w:id="79"/>
      <w:bookmarkEnd w:id="80"/>
      <w:bookmarkEnd w:id="81"/>
    </w:p>
    <w:p w14:paraId="4EF22939" w14:textId="7709C3E3" w:rsidR="00C22214" w:rsidRPr="0017005C" w:rsidRDefault="00C22214" w:rsidP="00F24489">
      <w:r w:rsidRPr="0017005C">
        <w:t xml:space="preserve">Based on a review of quality, safety, and efficacy, the TGA </w:t>
      </w:r>
      <w:r w:rsidR="00B46DFB">
        <w:t>decided to</w:t>
      </w:r>
      <w:r w:rsidRPr="0017005C">
        <w:t xml:space="preserve"> regist</w:t>
      </w:r>
      <w:r w:rsidR="00B46DFB">
        <w:t>er</w:t>
      </w:r>
      <w:r w:rsidRPr="0017005C">
        <w:t xml:space="preserve"> </w:t>
      </w:r>
      <w:r w:rsidR="00B109C7" w:rsidRPr="00B109C7">
        <w:rPr>
          <w:i/>
          <w:iCs/>
        </w:rPr>
        <w:t xml:space="preserve">MOUNJARO </w:t>
      </w:r>
      <w:r w:rsidRPr="0017005C">
        <w:t>(</w:t>
      </w:r>
      <w:r w:rsidR="00B109C7" w:rsidRPr="00B109C7">
        <w:t>tirzepatide</w:t>
      </w:r>
      <w:r w:rsidRPr="0017005C">
        <w:t>) indicated for the following extension of indications:</w:t>
      </w:r>
    </w:p>
    <w:p w14:paraId="648EE6C3" w14:textId="77777777" w:rsidR="00B109C7" w:rsidRPr="00F24489" w:rsidRDefault="00B109C7" w:rsidP="00F24489">
      <w:pPr>
        <w:keepNext/>
        <w:ind w:left="720"/>
        <w:rPr>
          <w:b/>
          <w:bCs/>
          <w:i/>
          <w:iCs/>
        </w:rPr>
      </w:pPr>
      <w:r w:rsidRPr="00F24489">
        <w:rPr>
          <w:b/>
          <w:bCs/>
          <w:i/>
          <w:iCs/>
        </w:rPr>
        <w:lastRenderedPageBreak/>
        <w:t>Chronic Weight Management</w:t>
      </w:r>
    </w:p>
    <w:p w14:paraId="67C1A566" w14:textId="2D577C1F" w:rsidR="00D87BD7" w:rsidRPr="00F24489" w:rsidRDefault="00B109C7" w:rsidP="00F24489">
      <w:pPr>
        <w:ind w:left="720"/>
        <w:rPr>
          <w:i/>
          <w:iCs/>
        </w:rPr>
      </w:pPr>
      <w:bookmarkStart w:id="82" w:name="_Hlk176092985"/>
      <w:r w:rsidRPr="00F24489">
        <w:rPr>
          <w:i/>
          <w:iCs/>
        </w:rPr>
        <w:t xml:space="preserve">MOUNJARO </w:t>
      </w:r>
      <w:bookmarkEnd w:id="82"/>
      <w:r w:rsidRPr="00F24489">
        <w:rPr>
          <w:i/>
          <w:iCs/>
        </w:rPr>
        <w:t>is indicated as an adjunct to a reduced-calorie diet and increased physical</w:t>
      </w:r>
      <w:r w:rsidR="00F24489">
        <w:rPr>
          <w:i/>
          <w:iCs/>
        </w:rPr>
        <w:t xml:space="preserve"> </w:t>
      </w:r>
      <w:r w:rsidRPr="00F24489">
        <w:rPr>
          <w:i/>
          <w:iCs/>
        </w:rPr>
        <w:t>activity for chronic weight management, including weight loss and weight maintenance,</w:t>
      </w:r>
      <w:r w:rsidR="00F24489">
        <w:rPr>
          <w:i/>
          <w:iCs/>
        </w:rPr>
        <w:t xml:space="preserve"> </w:t>
      </w:r>
      <w:r w:rsidRPr="00F24489">
        <w:rPr>
          <w:i/>
          <w:iCs/>
        </w:rPr>
        <w:t>in adults with an initial body mass index (BMI) of:</w:t>
      </w:r>
    </w:p>
    <w:p w14:paraId="5FB40A30" w14:textId="77777777" w:rsidR="00B109C7" w:rsidRPr="00F24489" w:rsidRDefault="00B109C7" w:rsidP="00F24489">
      <w:pPr>
        <w:pStyle w:val="ListBullet2"/>
        <w:rPr>
          <w:i/>
          <w:iCs/>
        </w:rPr>
      </w:pPr>
      <w:r w:rsidRPr="00F24489">
        <w:rPr>
          <w:i/>
          <w:iCs/>
        </w:rPr>
        <w:t>≥30 kg/m</w:t>
      </w:r>
      <w:r w:rsidRPr="00F24489">
        <w:rPr>
          <w:i/>
          <w:iCs/>
          <w:vertAlign w:val="superscript"/>
        </w:rPr>
        <w:t>2</w:t>
      </w:r>
      <w:r w:rsidRPr="00F24489">
        <w:rPr>
          <w:i/>
          <w:iCs/>
        </w:rPr>
        <w:t xml:space="preserve"> (obesity) or</w:t>
      </w:r>
    </w:p>
    <w:p w14:paraId="0DBF6408" w14:textId="75F026BA" w:rsidR="00B109C7" w:rsidRPr="00F24489" w:rsidRDefault="00B109C7" w:rsidP="00F24489">
      <w:pPr>
        <w:pStyle w:val="ListBullet2"/>
        <w:rPr>
          <w:i/>
          <w:iCs/>
        </w:rPr>
      </w:pPr>
      <w:r w:rsidRPr="00F24489">
        <w:rPr>
          <w:i/>
          <w:iCs/>
        </w:rPr>
        <w:t>≥27 kg/m</w:t>
      </w:r>
      <w:r w:rsidRPr="00F24489">
        <w:rPr>
          <w:i/>
          <w:iCs/>
          <w:vertAlign w:val="superscript"/>
        </w:rPr>
        <w:t>2</w:t>
      </w:r>
      <w:r w:rsidRPr="00F24489">
        <w:rPr>
          <w:i/>
          <w:iCs/>
        </w:rPr>
        <w:t xml:space="preserve"> to &lt;30 kg/m</w:t>
      </w:r>
      <w:r w:rsidRPr="00F24489">
        <w:rPr>
          <w:i/>
          <w:iCs/>
          <w:vertAlign w:val="superscript"/>
        </w:rPr>
        <w:t>2</w:t>
      </w:r>
      <w:r w:rsidRPr="00F24489">
        <w:rPr>
          <w:i/>
          <w:iCs/>
        </w:rPr>
        <w:t xml:space="preserve"> (overweight) in the presence of at least one weight-related comorbid condition (e.g., hypertension, dyslipidaemia, obstructive sleep apnoea, cardiovascular disease, </w:t>
      </w:r>
      <w:proofErr w:type="gramStart"/>
      <w:r w:rsidRPr="00F24489">
        <w:rPr>
          <w:i/>
          <w:iCs/>
        </w:rPr>
        <w:t>prediabetes</w:t>
      </w:r>
      <w:proofErr w:type="gramEnd"/>
      <w:r w:rsidRPr="00F24489">
        <w:rPr>
          <w:i/>
          <w:iCs/>
        </w:rPr>
        <w:t xml:space="preserve"> or type 2 diabetes mellitus).</w:t>
      </w:r>
    </w:p>
    <w:p w14:paraId="30336955" w14:textId="29EBAC90" w:rsidR="00B109C7" w:rsidRDefault="00B109C7" w:rsidP="00F24489">
      <w:pPr>
        <w:rPr>
          <w:rFonts w:cs="Cambria"/>
        </w:rPr>
      </w:pPr>
      <w:r>
        <w:rPr>
          <w:rFonts w:cs="Cambria"/>
        </w:rPr>
        <w:t xml:space="preserve">The </w:t>
      </w:r>
      <w:r w:rsidRPr="00F24489">
        <w:rPr>
          <w:b/>
          <w:bCs/>
        </w:rPr>
        <w:t>full indications</w:t>
      </w:r>
      <w:r>
        <w:t xml:space="preserve"> </w:t>
      </w:r>
      <w:r>
        <w:rPr>
          <w:rFonts w:cs="Cambria"/>
        </w:rPr>
        <w:t>are now:</w:t>
      </w:r>
    </w:p>
    <w:p w14:paraId="34068C08" w14:textId="77777777" w:rsidR="00B109C7" w:rsidRPr="00F24489" w:rsidRDefault="00B109C7" w:rsidP="00F24489">
      <w:pPr>
        <w:ind w:left="720"/>
        <w:rPr>
          <w:b/>
          <w:bCs/>
          <w:i/>
          <w:iCs/>
        </w:rPr>
      </w:pPr>
      <w:r w:rsidRPr="00F24489">
        <w:rPr>
          <w:b/>
          <w:bCs/>
          <w:i/>
          <w:iCs/>
        </w:rPr>
        <w:t>Type 2 Diabetes Mellitus:</w:t>
      </w:r>
    </w:p>
    <w:p w14:paraId="276391E0" w14:textId="0FFBD972" w:rsidR="00B109C7" w:rsidRPr="00F24489" w:rsidRDefault="00B109C7" w:rsidP="00F24489">
      <w:pPr>
        <w:ind w:left="720"/>
        <w:rPr>
          <w:i/>
          <w:iCs/>
        </w:rPr>
      </w:pPr>
      <w:r w:rsidRPr="00F24489">
        <w:rPr>
          <w:i/>
          <w:iCs/>
        </w:rPr>
        <w:t>MOUNJARO is indicated for the treatment of adults with insufficiently controlled type 2</w:t>
      </w:r>
      <w:r w:rsidR="00F24489">
        <w:rPr>
          <w:i/>
          <w:iCs/>
        </w:rPr>
        <w:t xml:space="preserve"> </w:t>
      </w:r>
      <w:r w:rsidRPr="00F24489">
        <w:rPr>
          <w:i/>
          <w:iCs/>
        </w:rPr>
        <w:t xml:space="preserve">diabetes mellitus as an adjunct to diet and </w:t>
      </w:r>
      <w:proofErr w:type="gramStart"/>
      <w:r w:rsidRPr="00F24489">
        <w:rPr>
          <w:i/>
          <w:iCs/>
        </w:rPr>
        <w:t>exercise</w:t>
      </w:r>
      <w:proofErr w:type="gramEnd"/>
    </w:p>
    <w:p w14:paraId="31DFFBBE" w14:textId="57AC06E4" w:rsidR="00B109C7" w:rsidRPr="00F24489" w:rsidRDefault="00B109C7" w:rsidP="00F24489">
      <w:pPr>
        <w:pStyle w:val="ListBullet2"/>
        <w:rPr>
          <w:i/>
          <w:iCs/>
        </w:rPr>
      </w:pPr>
      <w:r w:rsidRPr="00F24489">
        <w:rPr>
          <w:i/>
          <w:iCs/>
        </w:rPr>
        <w:t>as monotherapy when metformin is not tolerated or contraindicated.</w:t>
      </w:r>
    </w:p>
    <w:p w14:paraId="78C978CB" w14:textId="46FBB483" w:rsidR="00B109C7" w:rsidRPr="00F24489" w:rsidRDefault="00B109C7" w:rsidP="00F24489">
      <w:pPr>
        <w:pStyle w:val="ListBullet2"/>
        <w:rPr>
          <w:i/>
          <w:iCs/>
        </w:rPr>
      </w:pPr>
      <w:r w:rsidRPr="00F24489">
        <w:rPr>
          <w:i/>
          <w:iCs/>
        </w:rPr>
        <w:t>in addition to other medicinal products for the treatment of type 2 diabetes.</w:t>
      </w:r>
    </w:p>
    <w:p w14:paraId="642BFC9B" w14:textId="77777777" w:rsidR="00B109C7" w:rsidRPr="00F24489" w:rsidRDefault="00B109C7" w:rsidP="00F24489">
      <w:pPr>
        <w:ind w:left="720"/>
        <w:rPr>
          <w:b/>
          <w:bCs/>
          <w:i/>
          <w:iCs/>
        </w:rPr>
      </w:pPr>
      <w:r w:rsidRPr="00F24489">
        <w:rPr>
          <w:b/>
          <w:bCs/>
          <w:i/>
          <w:iCs/>
        </w:rPr>
        <w:t>Chronic Weight Management</w:t>
      </w:r>
    </w:p>
    <w:p w14:paraId="7E77DD5D" w14:textId="44B91274" w:rsidR="00B109C7" w:rsidRPr="00F24489" w:rsidRDefault="00B109C7" w:rsidP="00F24489">
      <w:pPr>
        <w:ind w:left="720"/>
        <w:rPr>
          <w:i/>
          <w:iCs/>
        </w:rPr>
      </w:pPr>
      <w:r w:rsidRPr="00F24489">
        <w:rPr>
          <w:i/>
          <w:iCs/>
        </w:rPr>
        <w:t>MOUNJARO is indicated as an adjunct to a reduced-calorie diet and increased physical</w:t>
      </w:r>
      <w:r w:rsidR="00F24489">
        <w:rPr>
          <w:i/>
          <w:iCs/>
        </w:rPr>
        <w:t xml:space="preserve"> </w:t>
      </w:r>
      <w:r w:rsidRPr="00F24489">
        <w:rPr>
          <w:i/>
          <w:iCs/>
        </w:rPr>
        <w:t>activity for chronic weight management, including weight loss and weight maintenance,</w:t>
      </w:r>
      <w:r w:rsidR="00F24489">
        <w:rPr>
          <w:i/>
          <w:iCs/>
        </w:rPr>
        <w:t xml:space="preserve"> </w:t>
      </w:r>
      <w:r w:rsidRPr="00F24489">
        <w:rPr>
          <w:i/>
          <w:iCs/>
        </w:rPr>
        <w:t>in adults with an initial body mass index (BMI) of:</w:t>
      </w:r>
    </w:p>
    <w:p w14:paraId="57742B33" w14:textId="4CE86036" w:rsidR="00B109C7" w:rsidRDefault="00B109C7" w:rsidP="00F24489">
      <w:pPr>
        <w:pStyle w:val="ListBullet2"/>
      </w:pPr>
      <w:r>
        <w:t>≥30 kg/m</w:t>
      </w:r>
      <w:r w:rsidRPr="00D87BD7">
        <w:rPr>
          <w:vertAlign w:val="superscript"/>
        </w:rPr>
        <w:t>2</w:t>
      </w:r>
      <w:r>
        <w:t xml:space="preserve"> (</w:t>
      </w:r>
      <w:r w:rsidRPr="00F24489">
        <w:t>obesity</w:t>
      </w:r>
      <w:r>
        <w:t>) or</w:t>
      </w:r>
    </w:p>
    <w:p w14:paraId="3B245AB5" w14:textId="1A92F637" w:rsidR="00C22214" w:rsidRPr="00BD5DBD" w:rsidRDefault="00B109C7" w:rsidP="00F24489">
      <w:pPr>
        <w:pStyle w:val="ListBullet2"/>
      </w:pPr>
      <w:r>
        <w:t>≥27 kg/m</w:t>
      </w:r>
      <w:r w:rsidRPr="00D87BD7">
        <w:rPr>
          <w:vertAlign w:val="superscript"/>
        </w:rPr>
        <w:t>2</w:t>
      </w:r>
      <w:r>
        <w:t xml:space="preserve"> to &lt;30 kg/m</w:t>
      </w:r>
      <w:r w:rsidRPr="00D2548A">
        <w:rPr>
          <w:vertAlign w:val="superscript"/>
        </w:rPr>
        <w:t>2</w:t>
      </w:r>
      <w:r>
        <w:t xml:space="preserve"> (overweight) in the </w:t>
      </w:r>
      <w:r w:rsidRPr="00F24489">
        <w:t>presence</w:t>
      </w:r>
      <w:r>
        <w:t xml:space="preserve"> of at least one weight</w:t>
      </w:r>
      <w:r w:rsidR="00D2548A">
        <w:t xml:space="preserve"> </w:t>
      </w:r>
      <w:r>
        <w:t>related</w:t>
      </w:r>
      <w:r w:rsidR="00D2548A">
        <w:t xml:space="preserve"> </w:t>
      </w:r>
      <w:r>
        <w:t xml:space="preserve">comorbid condition </w:t>
      </w:r>
      <w:r w:rsidRPr="00F24489">
        <w:rPr>
          <w:i/>
          <w:iCs/>
        </w:rPr>
        <w:t>(e.g., hypertension, dyslipidaemia, obstructive sleep</w:t>
      </w:r>
      <w:r w:rsidR="00D2548A" w:rsidRPr="00F24489">
        <w:rPr>
          <w:i/>
          <w:iCs/>
        </w:rPr>
        <w:t xml:space="preserve"> </w:t>
      </w:r>
      <w:r w:rsidRPr="00F24489">
        <w:rPr>
          <w:i/>
          <w:iCs/>
        </w:rPr>
        <w:t xml:space="preserve">apnoea, cardiovascular disease, </w:t>
      </w:r>
      <w:proofErr w:type="gramStart"/>
      <w:r w:rsidRPr="00F24489">
        <w:rPr>
          <w:i/>
          <w:iCs/>
        </w:rPr>
        <w:t>prediabetes</w:t>
      </w:r>
      <w:proofErr w:type="gramEnd"/>
      <w:r w:rsidRPr="00F24489">
        <w:rPr>
          <w:i/>
          <w:iCs/>
        </w:rPr>
        <w:t xml:space="preserve"> or type 2 diabetes mellitus)</w:t>
      </w:r>
      <w:r>
        <w:t>.</w:t>
      </w:r>
    </w:p>
    <w:p w14:paraId="0D732DA4" w14:textId="486FA555" w:rsidR="00854D98" w:rsidRDefault="00854D98" w:rsidP="00F24489">
      <w:pPr>
        <w:pStyle w:val="Heading4"/>
      </w:pPr>
      <w:bookmarkStart w:id="83" w:name="_Toc103679301"/>
      <w:bookmarkStart w:id="84" w:name="_Toc178239625"/>
      <w:r w:rsidRPr="00D23139">
        <w:t xml:space="preserve">Specific conditions of </w:t>
      </w:r>
      <w:r w:rsidRPr="00F24489">
        <w:t>registration</w:t>
      </w:r>
      <w:r w:rsidRPr="00D23139">
        <w:t xml:space="preserve"> applying to these goods</w:t>
      </w:r>
      <w:bookmarkEnd w:id="83"/>
      <w:bookmarkEnd w:id="84"/>
    </w:p>
    <w:p w14:paraId="6E2298BB" w14:textId="76BCB37C" w:rsidR="00D87BD7" w:rsidRDefault="00D87BD7" w:rsidP="00F24489">
      <w:r>
        <w:t>Mounjaro (Tirzepatide) is to be included in the Black Triangle Scheme. The PI and CMI</w:t>
      </w:r>
      <w:r w:rsidR="005338BB">
        <w:t xml:space="preserve"> </w:t>
      </w:r>
      <w:r>
        <w:t>for Mounjaro must include the black triangle symbol and mandatory accompanying text</w:t>
      </w:r>
      <w:r w:rsidR="005338BB">
        <w:t xml:space="preserve"> </w:t>
      </w:r>
      <w:r>
        <w:t>for five years, which starts from the date the new indication is registered.</w:t>
      </w:r>
    </w:p>
    <w:p w14:paraId="33017A27" w14:textId="7728739C" w:rsidR="00D87BD7" w:rsidRDefault="00D87BD7" w:rsidP="00F24489">
      <w:r>
        <w:t>The Tirzepatide EU-Risk Management Plan (RMP) (version 2.1, dated 03 Mar 2023,</w:t>
      </w:r>
      <w:r w:rsidR="005338BB">
        <w:t xml:space="preserve"> </w:t>
      </w:r>
      <w:r>
        <w:t>data lock point 10 June 2022), with Australian Specific Annex (version 4.0, dated 12</w:t>
      </w:r>
      <w:r w:rsidR="005338BB">
        <w:t xml:space="preserve"> </w:t>
      </w:r>
      <w:r>
        <w:t>June 2024), and any subsequent revisions, as agreed with the TGA will be implemented in Australia.</w:t>
      </w:r>
    </w:p>
    <w:p w14:paraId="7BDCB5B4" w14:textId="7EF0066B" w:rsidR="00D87BD7" w:rsidRDefault="00D87BD7" w:rsidP="00F24489">
      <w:r>
        <w:t>An obligatory component of risk management plans is routine pharmacovigilance.</w:t>
      </w:r>
      <w:r w:rsidR="005338BB">
        <w:t xml:space="preserve"> </w:t>
      </w:r>
      <w:r>
        <w:t>Routine pharmacovigilance includes the submission of periodic safety update reports</w:t>
      </w:r>
      <w:r w:rsidR="005338BB">
        <w:t xml:space="preserve"> </w:t>
      </w:r>
      <w:r>
        <w:t>(PSURs).</w:t>
      </w:r>
    </w:p>
    <w:p w14:paraId="3940E6D9" w14:textId="4D032E21" w:rsidR="00D87BD7" w:rsidRDefault="00D87BD7" w:rsidP="00F24489">
      <w:r>
        <w:t>Reports are to be provided in line with the current published list of EU reference dates</w:t>
      </w:r>
      <w:r w:rsidR="005338BB">
        <w:t xml:space="preserve"> </w:t>
      </w:r>
      <w:r>
        <w:t xml:space="preserve">and </w:t>
      </w:r>
      <w:r w:rsidR="005338BB">
        <w:t>f</w:t>
      </w:r>
      <w:r>
        <w:t>requency of submission of PSURs until the period covered by such reports is not</w:t>
      </w:r>
      <w:r w:rsidR="005338BB">
        <w:t xml:space="preserve"> </w:t>
      </w:r>
      <w:r>
        <w:t>less than three years from the date of this approval letter. Each report must be</w:t>
      </w:r>
      <w:r w:rsidR="005338BB">
        <w:t xml:space="preserve"> </w:t>
      </w:r>
      <w:r>
        <w:t>submitted within ninety calendar days of the data lock point for that report.</w:t>
      </w:r>
    </w:p>
    <w:p w14:paraId="11F14C84" w14:textId="631CFC90" w:rsidR="00D87BD7" w:rsidRPr="00D87BD7" w:rsidRDefault="00D87BD7" w:rsidP="00F24489">
      <w:r>
        <w:t>The reports are to at least meet the requirements for PSURs as described in the</w:t>
      </w:r>
      <w:r w:rsidR="005338BB">
        <w:t xml:space="preserve"> </w:t>
      </w:r>
      <w:r>
        <w:t>European Medicines Agency’s Guideline on good pharmacovigilance practices (GVP)</w:t>
      </w:r>
      <w:r w:rsidR="005338BB">
        <w:t xml:space="preserve"> </w:t>
      </w:r>
      <w:r>
        <w:t>Module VII-periodic safety update report (Rev 1), Part VII.B Structures and processes.</w:t>
      </w:r>
      <w:r w:rsidR="005338BB">
        <w:t xml:space="preserve"> </w:t>
      </w:r>
      <w:r>
        <w:t>Note that submission of a PSUR does not constitute an application to vary the</w:t>
      </w:r>
      <w:r w:rsidR="005338BB">
        <w:t xml:space="preserve"> </w:t>
      </w:r>
      <w:r>
        <w:t>registration.</w:t>
      </w:r>
    </w:p>
    <w:p w14:paraId="451DC3FC" w14:textId="7BEA4A97" w:rsidR="00C22214" w:rsidRDefault="00C22214" w:rsidP="00F24489">
      <w:pPr>
        <w:pStyle w:val="Heading2"/>
      </w:pPr>
      <w:bookmarkStart w:id="85" w:name="_Toc103679303"/>
      <w:bookmarkStart w:id="86" w:name="_Toc178239626"/>
      <w:r>
        <w:lastRenderedPageBreak/>
        <w:t>Attachment 1. Product Information</w:t>
      </w:r>
      <w:bookmarkEnd w:id="85"/>
      <w:bookmarkEnd w:id="86"/>
    </w:p>
    <w:p w14:paraId="74F59983" w14:textId="746DB863" w:rsidR="00675F81" w:rsidRPr="00F24489" w:rsidRDefault="00675F81" w:rsidP="00B748B3">
      <w:r w:rsidRPr="00BD5DBD">
        <w:rPr>
          <w:szCs w:val="22"/>
        </w:rPr>
        <w:t xml:space="preserve">The </w:t>
      </w:r>
      <w:hyperlink r:id="rId61" w:history="1">
        <w:r w:rsidRPr="00BD5DBD">
          <w:rPr>
            <w:rStyle w:val="Hyperlink"/>
            <w:szCs w:val="22"/>
          </w:rPr>
          <w:t>Product Information</w:t>
        </w:r>
      </w:hyperlink>
      <w:r w:rsidRPr="00BD5DBD">
        <w:rPr>
          <w:szCs w:val="22"/>
        </w:rPr>
        <w:t xml:space="preserve"> (</w:t>
      </w:r>
      <w:hyperlink r:id="rId62"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for</w:t>
      </w:r>
      <w:r w:rsidR="00F46085">
        <w:rPr>
          <w:szCs w:val="22"/>
        </w:rPr>
        <w:t xml:space="preserve"> </w:t>
      </w:r>
      <w:r w:rsidR="00671D39">
        <w:t>Mounjaro</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63" w:history="1">
        <w:r w:rsidRPr="00BD5DBD">
          <w:rPr>
            <w:rStyle w:val="Hyperlink"/>
            <w:szCs w:val="22"/>
          </w:rPr>
          <w:t>Consumer Medicines Information</w:t>
        </w:r>
      </w:hyperlink>
      <w:r w:rsidRPr="00BD5DBD">
        <w:rPr>
          <w:szCs w:val="22"/>
        </w:rPr>
        <w:t xml:space="preserve"> (CMI), please refer to the TGA </w:t>
      </w:r>
      <w:hyperlink r:id="rId64" w:history="1">
        <w:r w:rsidRPr="00BD5DBD">
          <w:rPr>
            <w:rStyle w:val="Hyperlink"/>
            <w:szCs w:val="22"/>
          </w:rPr>
          <w:t>PI/CMI search facility</w:t>
        </w:r>
        <w:r w:rsidRPr="00F24489">
          <w:t>.</w:t>
        </w:r>
      </w:hyperlink>
    </w:p>
    <w:p w14:paraId="3B62A964" w14:textId="77777777" w:rsidR="00F24489" w:rsidRPr="00BD5DBD" w:rsidRDefault="00F24489" w:rsidP="00B748B3">
      <w:pPr>
        <w:rPr>
          <w:szCs w:val="22"/>
        </w:rPr>
      </w:pPr>
    </w:p>
    <w:p w14:paraId="53357BF3" w14:textId="276457B5" w:rsidR="00C22214" w:rsidRDefault="00C22214" w:rsidP="00B748B3">
      <w:pPr>
        <w:rPr>
          <w:lang w:eastAsia="ja-JP"/>
        </w:rPr>
        <w:sectPr w:rsidR="00C22214" w:rsidSect="007452E8">
          <w:headerReference w:type="default" r:id="rId65"/>
          <w:footerReference w:type="default" r:id="rId66"/>
          <w:pgSz w:w="11906" w:h="16838" w:code="9"/>
          <w:pgMar w:top="1134" w:right="1418" w:bottom="1361" w:left="1418" w:header="573" w:footer="567" w:gutter="0"/>
          <w:cols w:space="708"/>
          <w:docGrid w:linePitch="360"/>
        </w:sectPr>
      </w:pPr>
    </w:p>
    <w:tbl>
      <w:tblPr>
        <w:tblW w:w="9145" w:type="dxa"/>
        <w:tblLayout w:type="fixed"/>
        <w:tblCellMar>
          <w:left w:w="0" w:type="dxa"/>
          <w:right w:w="0" w:type="dxa"/>
        </w:tblCellMar>
        <w:tblLook w:val="04A0" w:firstRow="1" w:lastRow="0" w:firstColumn="1" w:lastColumn="0" w:noHBand="0" w:noVBand="1"/>
      </w:tblPr>
      <w:tblGrid>
        <w:gridCol w:w="9145"/>
      </w:tblGrid>
      <w:tr w:rsidR="00F02AEC" w:rsidRPr="001D70FA" w14:paraId="3C0C07BF" w14:textId="77777777" w:rsidTr="000F33C0">
        <w:trPr>
          <w:trHeight w:hRule="exact" w:val="565"/>
        </w:trPr>
        <w:tc>
          <w:tcPr>
            <w:tcW w:w="9145" w:type="dxa"/>
          </w:tcPr>
          <w:bookmarkEnd w:id="2"/>
          <w:bookmarkEnd w:id="3"/>
          <w:p w14:paraId="7E090B86" w14:textId="77777777" w:rsidR="00F02AEC" w:rsidRPr="001D70FA" w:rsidRDefault="00F02AEC" w:rsidP="000F33C0">
            <w:pPr>
              <w:pStyle w:val="TGASignoff"/>
              <w:rPr>
                <w:rFonts w:cs="Arial"/>
              </w:rPr>
            </w:pPr>
            <w:r w:rsidRPr="001D70FA">
              <w:rPr>
                <w:rFonts w:cs="Arial"/>
              </w:rPr>
              <w:lastRenderedPageBreak/>
              <w:t>Therapeutic Goods Administration</w:t>
            </w:r>
          </w:p>
        </w:tc>
      </w:tr>
      <w:tr w:rsidR="00F02AEC" w:rsidRPr="001D70FA" w14:paraId="70F47EA1" w14:textId="77777777" w:rsidTr="000F33C0">
        <w:trPr>
          <w:trHeight w:val="963"/>
        </w:trPr>
        <w:tc>
          <w:tcPr>
            <w:tcW w:w="9145" w:type="dxa"/>
            <w:tcMar>
              <w:top w:w="28" w:type="dxa"/>
            </w:tcMar>
          </w:tcPr>
          <w:p w14:paraId="3491EBCD" w14:textId="77777777" w:rsidR="00F02AEC" w:rsidRPr="001D70FA" w:rsidRDefault="00F02AEC" w:rsidP="000F33C0">
            <w:pPr>
              <w:pStyle w:val="Address"/>
              <w:jc w:val="center"/>
              <w:rPr>
                <w:rFonts w:cs="Arial"/>
              </w:rPr>
            </w:pPr>
            <w:r w:rsidRPr="001D70FA">
              <w:rPr>
                <w:rFonts w:cs="Arial"/>
              </w:rPr>
              <w:t>PO Box 100 Woden ACT 2606 Australia</w:t>
            </w:r>
          </w:p>
          <w:p w14:paraId="5D0FE0E7" w14:textId="53CB9479" w:rsidR="00F02AEC" w:rsidRPr="001D70FA" w:rsidRDefault="00F02AEC" w:rsidP="000F33C0">
            <w:pPr>
              <w:pStyle w:val="Address"/>
              <w:jc w:val="center"/>
              <w:rPr>
                <w:rFonts w:cs="Arial"/>
                <w:sz w:val="22"/>
                <w:szCs w:val="22"/>
              </w:rPr>
            </w:pPr>
            <w:r w:rsidRPr="001D70FA">
              <w:rPr>
                <w:rFonts w:cs="Arial"/>
              </w:rPr>
              <w:t xml:space="preserve">Email: </w:t>
            </w:r>
            <w:hyperlink r:id="rId67" w:history="1">
              <w:r w:rsidRPr="001D70FA">
                <w:rPr>
                  <w:rStyle w:val="Hyperlink"/>
                  <w:rFonts w:ascii="Arial" w:hAnsi="Arial" w:cs="Arial"/>
                </w:rPr>
                <w:t>info@tga.gov.au</w:t>
              </w:r>
            </w:hyperlink>
            <w:r w:rsidRPr="001D70FA">
              <w:rPr>
                <w:rFonts w:cs="Arial"/>
              </w:rPr>
              <w:t xml:space="preserve">  Phone: 1800 020 </w:t>
            </w:r>
            <w:proofErr w:type="gramStart"/>
            <w:r w:rsidRPr="001D70FA">
              <w:rPr>
                <w:rFonts w:cs="Arial"/>
              </w:rPr>
              <w:t>653  Fax</w:t>
            </w:r>
            <w:proofErr w:type="gramEnd"/>
            <w:r w:rsidRPr="001D70FA">
              <w:rPr>
                <w:rFonts w:cs="Arial"/>
              </w:rPr>
              <w:t>: 02 6203 1605</w:t>
            </w:r>
          </w:p>
          <w:p w14:paraId="4533D80F" w14:textId="1519D7A3" w:rsidR="00F02AEC" w:rsidRPr="001D70FA" w:rsidRDefault="00155131" w:rsidP="000F33C0">
            <w:pPr>
              <w:pStyle w:val="Address"/>
              <w:jc w:val="center"/>
              <w:rPr>
                <w:rStyle w:val="Hyperlink"/>
                <w:rFonts w:ascii="Arial" w:hAnsi="Arial" w:cs="Arial"/>
                <w:b/>
                <w:color w:val="auto"/>
                <w:sz w:val="22"/>
              </w:rPr>
            </w:pPr>
            <w:hyperlink r:id="rId68" w:history="1">
              <w:r w:rsidR="00F02AEC" w:rsidRPr="001D70FA">
                <w:rPr>
                  <w:rStyle w:val="Hyperlink"/>
                  <w:rFonts w:ascii="Arial" w:hAnsi="Arial" w:cs="Arial"/>
                  <w:b/>
                </w:rPr>
                <w:t>https://www.tga.gov.au</w:t>
              </w:r>
            </w:hyperlink>
          </w:p>
        </w:tc>
      </w:tr>
      <w:tr w:rsidR="00F02AEC" w:rsidRPr="001D70FA" w14:paraId="2AD74347" w14:textId="77777777" w:rsidTr="000F33C0">
        <w:trPr>
          <w:trHeight w:val="251"/>
        </w:trPr>
        <w:tc>
          <w:tcPr>
            <w:tcW w:w="9145" w:type="dxa"/>
            <w:tcMar>
              <w:top w:w="28" w:type="dxa"/>
            </w:tcMar>
          </w:tcPr>
          <w:p w14:paraId="6EAAD5C1" w14:textId="46D2D679" w:rsidR="00F02AEC" w:rsidRPr="001D70FA" w:rsidRDefault="00F02AEC" w:rsidP="00B748B3">
            <w:pPr>
              <w:pStyle w:val="Address"/>
              <w:rPr>
                <w:rFonts w:cs="Arial"/>
              </w:rPr>
            </w:pPr>
          </w:p>
        </w:tc>
      </w:tr>
    </w:tbl>
    <w:p w14:paraId="788B80FD" w14:textId="77777777" w:rsidR="007452E8" w:rsidRDefault="007452E8" w:rsidP="00F24489"/>
    <w:sectPr w:rsidR="007452E8" w:rsidSect="007452E8">
      <w:headerReference w:type="first" r:id="rId69"/>
      <w:footerReference w:type="first" r:id="rId7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C5656" w14:textId="77777777" w:rsidR="00800393" w:rsidRDefault="00800393" w:rsidP="00F02AEC">
      <w:pPr>
        <w:spacing w:after="0" w:line="240" w:lineRule="auto"/>
      </w:pPr>
      <w:r>
        <w:separator/>
      </w:r>
    </w:p>
  </w:endnote>
  <w:endnote w:type="continuationSeparator" w:id="0">
    <w:p w14:paraId="27FF9679" w14:textId="77777777" w:rsidR="00800393" w:rsidRDefault="00800393" w:rsidP="00F02AEC">
      <w:pPr>
        <w:spacing w:after="0" w:line="240" w:lineRule="auto"/>
      </w:pPr>
      <w:r>
        <w:continuationSeparator/>
      </w:r>
    </w:p>
  </w:endnote>
  <w:endnote w:type="continuationNotice" w:id="1">
    <w:p w14:paraId="0F3979E4" w14:textId="77777777" w:rsidR="00800393" w:rsidRDefault="008003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TimesNewRoman,Italic">
    <w:altName w:val="Yu Gothic"/>
    <w:panose1 w:val="00000000000000000000"/>
    <w:charset w:val="80"/>
    <w:family w:val="auto"/>
    <w:notTrueType/>
    <w:pitch w:val="default"/>
    <w:sig w:usb0="00000001" w:usb1="08070000" w:usb2="00000010" w:usb3="00000000" w:csb0="00020000" w:csb1="00000000"/>
  </w:font>
  <w:font w:name="CIDFont+F1">
    <w:altName w:val="Calibri"/>
    <w:panose1 w:val="00000000000000000000"/>
    <w:charset w:val="00"/>
    <w:family w:val="auto"/>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D5F5813" w:rsidR="007452E8" w:rsidRPr="004A3084" w:rsidRDefault="007452E8" w:rsidP="007452E8">
          <w:pPr>
            <w:pStyle w:val="Footer"/>
          </w:pPr>
          <w:r w:rsidRPr="00487162">
            <w:t>AusPA</w:t>
          </w:r>
          <w:r>
            <w:t xml:space="preserve">R </w:t>
          </w:r>
          <w:r w:rsidR="009750C4">
            <w:t>–</w:t>
          </w:r>
          <w:r>
            <w:t xml:space="preserve"> </w:t>
          </w:r>
          <w:r w:rsidR="00671D39">
            <w:t>Mounjaro</w:t>
          </w:r>
          <w:r w:rsidR="009750C4">
            <w:t xml:space="preserve"> </w:t>
          </w:r>
          <w:r>
            <w:t>-</w:t>
          </w:r>
          <w:r w:rsidRPr="00460036">
            <w:t xml:space="preserve"> </w:t>
          </w:r>
          <w:r w:rsidR="009750C4" w:rsidRPr="009750C4">
            <w:t>tirzepatide</w:t>
          </w:r>
          <w:r w:rsidRPr="00460036">
            <w:t xml:space="preserve"> </w:t>
          </w:r>
          <w:r w:rsidR="008C754C">
            <w:t>-</w:t>
          </w:r>
          <w:r>
            <w:t xml:space="preserve"> </w:t>
          </w:r>
          <w:r w:rsidR="009750C4" w:rsidRPr="009750C4">
            <w:t>Eli Lilly Australia Pty Ltd</w:t>
          </w:r>
          <w:r>
            <w:t xml:space="preserve"> </w:t>
          </w:r>
          <w:r w:rsidR="009750C4">
            <w:t>–</w:t>
          </w:r>
          <w:r>
            <w:t xml:space="preserve"> </w:t>
          </w:r>
          <w:r w:rsidR="009750C4">
            <w:t xml:space="preserve">Type C - </w:t>
          </w:r>
          <w:r w:rsidR="009750C4" w:rsidRPr="009750C4">
            <w:t>PM-2023-03723-1-5</w:t>
          </w:r>
          <w:r>
            <w:br/>
          </w:r>
          <w:r w:rsidRPr="00487162">
            <w:t>Date of Finalisation</w:t>
          </w:r>
          <w:r w:rsidR="000F4D17">
            <w:t>: 20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 xml:space="preserve"> NUMPAGES  </w:instrText>
              </w:r>
              <w:r>
                <w:fldChar w:fldCharType="separate"/>
              </w:r>
              <w:r w:rsidR="006D6B44">
                <w:rPr>
                  <w:noProof/>
                </w:rPr>
                <w:t>17</w:t>
              </w:r>
              <w:r>
                <w:rPr>
                  <w:noProof/>
                </w:rPr>
                <w:fldChar w:fldCharType="end"/>
              </w:r>
            </w:p>
          </w:sdtContent>
        </w:sdt>
      </w:tc>
    </w:tr>
  </w:tbl>
  <w:p w14:paraId="1A4EDE60" w14:textId="77777777" w:rsidR="007452E8" w:rsidRPr="004E5371" w:rsidRDefault="007452E8" w:rsidP="004E5371">
    <w:pPr>
      <w:pStyle w:val="Footer"/>
      <w:rPr>
        <w:rStyle w:val="Hyperlink"/>
        <w:color w:val="333F4A"/>
        <w:u w:val="non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C4366" w14:textId="77777777" w:rsidR="00800393" w:rsidRDefault="00800393" w:rsidP="00F02AEC">
      <w:pPr>
        <w:spacing w:after="0" w:line="240" w:lineRule="auto"/>
      </w:pPr>
      <w:r>
        <w:separator/>
      </w:r>
    </w:p>
  </w:footnote>
  <w:footnote w:type="continuationSeparator" w:id="0">
    <w:p w14:paraId="792CB26E" w14:textId="77777777" w:rsidR="00800393" w:rsidRDefault="00800393" w:rsidP="00F02AEC">
      <w:pPr>
        <w:spacing w:after="0" w:line="240" w:lineRule="auto"/>
      </w:pPr>
      <w:r>
        <w:continuationSeparator/>
      </w:r>
    </w:p>
  </w:footnote>
  <w:footnote w:type="continuationNotice" w:id="1">
    <w:p w14:paraId="46CFA9B6" w14:textId="77777777" w:rsidR="00800393" w:rsidRDefault="00800393">
      <w:pPr>
        <w:spacing w:after="0" w:line="240" w:lineRule="auto"/>
      </w:pPr>
    </w:p>
  </w:footnote>
  <w:footnote w:id="2">
    <w:p w14:paraId="13DCBD43" w14:textId="7FD2A83F" w:rsidR="00F75C08" w:rsidRDefault="00F75C08">
      <w:pPr>
        <w:pStyle w:val="FootnoteText"/>
      </w:pPr>
      <w:r>
        <w:rPr>
          <w:rStyle w:val="FootnoteReference"/>
        </w:rPr>
        <w:footnoteRef/>
      </w:r>
      <w:r>
        <w:t xml:space="preserve"> World Health Organization. </w:t>
      </w:r>
      <w:r w:rsidRPr="00F75C08">
        <w:t>Obesity and overweight</w:t>
      </w:r>
      <w:r>
        <w:t xml:space="preserve">. 1 March 2024. </w:t>
      </w:r>
      <w:hyperlink r:id="rId1" w:history="1">
        <w:r w:rsidRPr="00F86B0A">
          <w:rPr>
            <w:rStyle w:val="Hyperlink"/>
          </w:rPr>
          <w:t>https://www.who.int/news-room/fact-sheets/detail/obesity-and-overweight</w:t>
        </w:r>
      </w:hyperlink>
      <w:r>
        <w:t xml:space="preserve"> </w:t>
      </w:r>
    </w:p>
  </w:footnote>
  <w:footnote w:id="3">
    <w:p w14:paraId="67B249E6" w14:textId="13D5756C" w:rsidR="00F75C08" w:rsidRDefault="00F75C08">
      <w:pPr>
        <w:pStyle w:val="FootnoteText"/>
      </w:pPr>
      <w:r>
        <w:rPr>
          <w:rStyle w:val="FootnoteReference"/>
        </w:rPr>
        <w:footnoteRef/>
      </w:r>
      <w:r>
        <w:t xml:space="preserve"> </w:t>
      </w:r>
      <w:r w:rsidRPr="00F75C08">
        <w:t xml:space="preserve">Wilding JPH, Batterham RL, Calanna S, et al.; STEP 1 Study Group. </w:t>
      </w:r>
      <w:proofErr w:type="gramStart"/>
      <w:r w:rsidRPr="00F75C08">
        <w:t>Once-weekly</w:t>
      </w:r>
      <w:proofErr w:type="gramEnd"/>
      <w:r w:rsidRPr="00F75C08">
        <w:t xml:space="preserve"> semaglutide in adults with overweight or obesity. NEJM. 2021;384(11):989-1002</w:t>
      </w:r>
    </w:p>
  </w:footnote>
  <w:footnote w:id="4">
    <w:p w14:paraId="68E14FB0" w14:textId="19F5E34B" w:rsidR="00F75C08" w:rsidRDefault="00F75C08">
      <w:pPr>
        <w:pStyle w:val="FootnoteText"/>
      </w:pPr>
      <w:r>
        <w:rPr>
          <w:rStyle w:val="FootnoteReference"/>
        </w:rPr>
        <w:footnoteRef/>
      </w:r>
      <w:r>
        <w:t xml:space="preserve"> </w:t>
      </w:r>
      <w:r w:rsidRPr="00F75C08">
        <w:t>Poon JL, Marshall C, Johnson C, Pegram HC, Hunter M, Kan H, Ahmad NN. A qualitative study to examine meaningful change in physical function associated with weight-loss. Qual Life Res. 2023 May;32(5):1329-1340. doi: 10.1007/s11136-022-03191-2. Epub 2022 Jul 22. PMID: 35867321; PMCID: PMC9305034.</w:t>
      </w:r>
    </w:p>
  </w:footnote>
  <w:footnote w:id="5">
    <w:p w14:paraId="788ED87A" w14:textId="53AF5897" w:rsidR="00E704CC" w:rsidRDefault="00E704CC">
      <w:pPr>
        <w:pStyle w:val="FootnoteText"/>
      </w:pPr>
      <w:r>
        <w:rPr>
          <w:rStyle w:val="FootnoteReference"/>
        </w:rPr>
        <w:footnoteRef/>
      </w:r>
      <w:r>
        <w:t xml:space="preserve"> </w:t>
      </w:r>
      <w:r w:rsidRPr="00E704CC">
        <w:t xml:space="preserve">Prospective Studies Collaboration; Whitlock G, Lewington S, Sherliker P, Clarke R, Emberson J, Halsey J, Qizilbash N, Collins R, Peto R. Body-mass </w:t>
      </w:r>
      <w:proofErr w:type="gramStart"/>
      <w:r w:rsidRPr="00E704CC">
        <w:t>index</w:t>
      </w:r>
      <w:proofErr w:type="gramEnd"/>
      <w:r w:rsidRPr="00E704CC">
        <w:t xml:space="preserve"> and cause-specific mortality in 900 000 adults: collaborative analyses of 57 prospective studies. Lancet. 2009 Mar 28;373(9669):1083-96. doi: 10.1016/S0140-6736(09)60318-4. Epub 2009 Mar 18. PMID: 19299006; PMCID: PMC2662372.</w:t>
      </w:r>
    </w:p>
  </w:footnote>
  <w:footnote w:id="6">
    <w:p w14:paraId="4ADBD367" w14:textId="44C8FF9B" w:rsidR="00283F05" w:rsidRDefault="00283F05">
      <w:pPr>
        <w:pStyle w:val="FootnoteText"/>
      </w:pPr>
      <w:r>
        <w:rPr>
          <w:rStyle w:val="FootnoteReference"/>
        </w:rPr>
        <w:footnoteRef/>
      </w:r>
      <w:r>
        <w:t xml:space="preserve"> </w:t>
      </w:r>
      <w:r w:rsidRPr="00283F05">
        <w:t>Australian Institute of Health and Welfare (AIHW)</w:t>
      </w:r>
      <w:r>
        <w:t xml:space="preserve">. Overweight and Obesity. 14 June 2024. </w:t>
      </w:r>
      <w:hyperlink r:id="rId2" w:history="1">
        <w:r w:rsidRPr="00F86B0A">
          <w:rPr>
            <w:rStyle w:val="Hyperlink"/>
          </w:rPr>
          <w:t>https://www.aihw.gov.au/reports/overweight-obesity/overweight-and-obesity/contents/about</w:t>
        </w:r>
      </w:hyperlink>
    </w:p>
  </w:footnote>
  <w:footnote w:id="7">
    <w:p w14:paraId="49CB9BFD" w14:textId="4212535D" w:rsidR="00283F05" w:rsidRDefault="00283F05">
      <w:pPr>
        <w:pStyle w:val="FootnoteText"/>
      </w:pPr>
      <w:r>
        <w:rPr>
          <w:rStyle w:val="FootnoteReference"/>
        </w:rPr>
        <w:footnoteRef/>
      </w:r>
      <w:r>
        <w:t xml:space="preserve"> </w:t>
      </w:r>
      <w:r w:rsidRPr="00283F05">
        <w:t>Ishida M, D'Souza M, Zhao Y, et al. The association between obesity, health service use, and work productivity in Australia: a cross-sectional quantile regression analysis [published correction appears in Sci Rep. 2023 May 31;13(1):8839. doi: 10.1038/s41598-023-35911-0].</w:t>
      </w:r>
    </w:p>
  </w:footnote>
  <w:footnote w:id="8">
    <w:p w14:paraId="0A676693" w14:textId="68971714" w:rsidR="00283F05" w:rsidRDefault="00283F05">
      <w:pPr>
        <w:pStyle w:val="FootnoteText"/>
      </w:pPr>
      <w:r>
        <w:rPr>
          <w:rStyle w:val="FootnoteReference"/>
        </w:rPr>
        <w:footnoteRef/>
      </w:r>
      <w:r>
        <w:t xml:space="preserve"> </w:t>
      </w:r>
      <w:r w:rsidRPr="00283F05">
        <w:t>Commonwealth of Australia 2022. The National Obesity Strategy 2022-2032. Health Ministers Meeting</w:t>
      </w:r>
      <w:r>
        <w:t xml:space="preserve">. </w:t>
      </w:r>
      <w:hyperlink r:id="rId3" w:history="1">
        <w:r w:rsidRPr="00F86B0A">
          <w:rPr>
            <w:rStyle w:val="Hyperlink"/>
          </w:rPr>
          <w:t>https://www.health.gov.au/sites/default/files/documents/2022/03/national-obesity-strategy-2022-2032_0.pdf</w:t>
        </w:r>
      </w:hyperlink>
      <w:r>
        <w:t xml:space="preserve"> </w:t>
      </w:r>
    </w:p>
  </w:footnote>
  <w:footnote w:id="9">
    <w:p w14:paraId="7DA661A7" w14:textId="700EE8E7" w:rsidR="00283F05" w:rsidRDefault="00283F05">
      <w:pPr>
        <w:pStyle w:val="FootnoteText"/>
      </w:pPr>
      <w:r>
        <w:rPr>
          <w:rStyle w:val="FootnoteReference"/>
        </w:rPr>
        <w:footnoteRef/>
      </w:r>
      <w:r>
        <w:t xml:space="preserve"> </w:t>
      </w:r>
      <w:r w:rsidRPr="00283F05">
        <w:t xml:space="preserve">Perreault L, Apovian C 2024, Obesity in adults: Overview of management. UptoDate </w:t>
      </w:r>
      <w:hyperlink r:id="rId4" w:history="1">
        <w:r w:rsidRPr="00F86B0A">
          <w:rPr>
            <w:rStyle w:val="Hyperlink"/>
          </w:rPr>
          <w:t>www.uptodate.com/contents/overweight-and-obesity-in-adults</w:t>
        </w:r>
      </w:hyperlink>
      <w:r>
        <w:t xml:space="preserve"> </w:t>
      </w:r>
    </w:p>
  </w:footnote>
  <w:footnote w:id="10">
    <w:p w14:paraId="5254D860" w14:textId="2BEE69D6" w:rsidR="00671D39" w:rsidRDefault="00671D39">
      <w:pPr>
        <w:pStyle w:val="FootnoteText"/>
      </w:pPr>
      <w:r>
        <w:rPr>
          <w:rStyle w:val="FootnoteReference"/>
        </w:rPr>
        <w:footnoteRef/>
      </w:r>
      <w:r>
        <w:t xml:space="preserve"> </w:t>
      </w:r>
      <w:r w:rsidRPr="00671D39">
        <w:t xml:space="preserve">Higuera-Hernández MF, Reyes-Cuapio E, Gutiérrez-Mendoza M, Rocha NB, Veras AB, Budde H, Jesse J, Zaldívar-Rae J, Blanco-Centurión C, Machado S, Murillo-Rodríguez E. Fighting obesity: Non-pharmacological interventions. Clin Nutr ESPEN. 2018 </w:t>
      </w:r>
      <w:proofErr w:type="gramStart"/>
      <w:r w:rsidRPr="00671D39">
        <w:t>Jun;25:50</w:t>
      </w:r>
      <w:proofErr w:type="gramEnd"/>
      <w:r w:rsidRPr="00671D39">
        <w:t>-55. doi: 10.1016/j.clnesp.2018.04.005. Epub 2018 Apr 18. PMID: 29779818.</w:t>
      </w:r>
    </w:p>
  </w:footnote>
  <w:footnote w:id="11">
    <w:p w14:paraId="54D20DB5" w14:textId="2C9A72C5" w:rsidR="00237029" w:rsidRDefault="00237029">
      <w:pPr>
        <w:pStyle w:val="FootnoteText"/>
      </w:pPr>
      <w:r>
        <w:rPr>
          <w:rStyle w:val="FootnoteReference"/>
        </w:rPr>
        <w:footnoteRef/>
      </w:r>
      <w:r>
        <w:t xml:space="preserve"> </w:t>
      </w:r>
      <w:r w:rsidRPr="00237029">
        <w:t xml:space="preserve">Chakhtoura M, Haber R, Ghezzawi M, Rhayem C, Tcheroyan R, Mantzoros CS. Pharmacotherapy of obesity: an update on the available medications and drugs under investigation. EClinicalMedicine. 2023 Mar </w:t>
      </w:r>
      <w:proofErr w:type="gramStart"/>
      <w:r w:rsidRPr="00237029">
        <w:t>20;58:101882</w:t>
      </w:r>
      <w:proofErr w:type="gramEnd"/>
      <w:r w:rsidRPr="00237029">
        <w:t>. doi: 10.1016/j.eclinm.2023.101882. PMID: 36992862; PMCID: PMC</w:t>
      </w:r>
      <w:proofErr w:type="gramStart"/>
      <w:r w:rsidRPr="00237029">
        <w:t>10041469.</w:t>
      </w:r>
      <w:r w:rsidR="002443C8">
        <w:t>+</w:t>
      </w:r>
      <w:proofErr w:type="gramEnd"/>
      <w:r w:rsidR="002443C8">
        <w:t>9</w:t>
      </w:r>
    </w:p>
  </w:footnote>
  <w:footnote w:id="12">
    <w:p w14:paraId="3040917D" w14:textId="1BB8D3E6" w:rsidR="002443C8" w:rsidRDefault="002443C8">
      <w:pPr>
        <w:pStyle w:val="FootnoteText"/>
      </w:pPr>
      <w:r>
        <w:rPr>
          <w:rStyle w:val="FootnoteReference"/>
        </w:rPr>
        <w:footnoteRef/>
      </w:r>
      <w:r>
        <w:t xml:space="preserve"> </w:t>
      </w:r>
      <w:r w:rsidR="00AA2723" w:rsidRPr="00AA2723">
        <w:t>Colquitt JL, Pickett K, Loveman E, Frampton GK. Surgery for weight loss in adults. Cochrane Database Syst Rev. 2014 Aug 8;2014(8):CD003641. doi: 10.1002/14651858.CD003641.pub4. PMID: 25105982; PMCID: PMC9028049.</w:t>
      </w:r>
    </w:p>
  </w:footnote>
  <w:footnote w:id="13">
    <w:p w14:paraId="4F883813" w14:textId="1C08E8C9" w:rsidR="00283F05" w:rsidRPr="001C5282" w:rsidRDefault="00283F05" w:rsidP="00283F05">
      <w:pPr>
        <w:pStyle w:val="FootnoteText"/>
        <w:rPr>
          <w:lang w:val="sv-SE"/>
        </w:rPr>
      </w:pPr>
      <w:r>
        <w:rPr>
          <w:rStyle w:val="FootnoteReference"/>
        </w:rPr>
        <w:footnoteRef/>
      </w:r>
      <w:r>
        <w:t xml:space="preserve"> Baggio LL, Drucker DJ. Biology of incretins: GLP-1 and GIP. </w:t>
      </w:r>
      <w:r w:rsidRPr="003767D2">
        <w:rPr>
          <w:lang w:val="sv-SE"/>
        </w:rPr>
        <w:t xml:space="preserve">Gastroenterology. 2007;132(6):2131-2157. </w:t>
      </w:r>
      <w:r w:rsidR="00155131">
        <w:fldChar w:fldCharType="begin"/>
      </w:r>
      <w:r w:rsidR="00155131">
        <w:instrText>HYPERLINK "https://doi.org/10.1053/j.gastro.2007.03.054"</w:instrText>
      </w:r>
      <w:r w:rsidR="00155131">
        <w:fldChar w:fldCharType="separate"/>
      </w:r>
      <w:r w:rsidRPr="001C5282">
        <w:rPr>
          <w:rStyle w:val="Hyperlink"/>
          <w:lang w:val="sv-SE"/>
        </w:rPr>
        <w:t>https://doi.org/10.1053/j.gastro.2007.03.054</w:t>
      </w:r>
      <w:r w:rsidR="00155131">
        <w:rPr>
          <w:rStyle w:val="Hyperlink"/>
          <w:lang w:val="sv-SE"/>
        </w:rPr>
        <w:fldChar w:fldCharType="end"/>
      </w:r>
      <w:r w:rsidRPr="001C5282">
        <w:rPr>
          <w:lang w:val="sv-SE"/>
        </w:rPr>
        <w:t xml:space="preserve"> </w:t>
      </w:r>
    </w:p>
  </w:footnote>
  <w:footnote w:id="14">
    <w:p w14:paraId="26FEDC27" w14:textId="6B80C4F4" w:rsidR="00283F05" w:rsidRDefault="00283F05" w:rsidP="00283F05">
      <w:pPr>
        <w:pStyle w:val="FootnoteText"/>
      </w:pPr>
      <w:r>
        <w:rPr>
          <w:rStyle w:val="FootnoteReference"/>
        </w:rPr>
        <w:footnoteRef/>
      </w:r>
      <w:r>
        <w:t xml:space="preserve"> Heise T, De Vries H, Coskun T, et al. 338-OR: Tirzepatide reduces appetite, energy intake, and fat mass in people with T2D [abstract]. Diabetes. 2022;71(Suppl 1):338-OR. https://doi.org/10.2337/db22-338-OR</w:t>
      </w:r>
    </w:p>
  </w:footnote>
  <w:footnote w:id="15">
    <w:p w14:paraId="688C1B9F" w14:textId="24D46C55" w:rsidR="00DE7FCD" w:rsidRDefault="00DE7FCD" w:rsidP="00DE7FCD">
      <w:pPr>
        <w:pStyle w:val="FootnoteText"/>
      </w:pPr>
      <w:r>
        <w:rPr>
          <w:rStyle w:val="FootnoteReference"/>
        </w:rPr>
        <w:footnoteRef/>
      </w:r>
      <w:r>
        <w:t xml:space="preserve"> Andersen A, Lund A, Knop FK, Vilsboll T. Glucagon-like peptide 1 in health and disease. Nat Rev Endocrinol. 018;14(7):390-403. https://doi.org/10.1038/s41574-018-0016-2.</w:t>
      </w:r>
    </w:p>
  </w:footnote>
  <w:footnote w:id="16">
    <w:p w14:paraId="4D2F9E35" w14:textId="4A891948" w:rsidR="00AA2723" w:rsidRDefault="00AA2723">
      <w:pPr>
        <w:pStyle w:val="FootnoteText"/>
      </w:pPr>
      <w:r>
        <w:rPr>
          <w:rStyle w:val="FootnoteReference"/>
        </w:rPr>
        <w:footnoteRef/>
      </w:r>
      <w:r>
        <w:t xml:space="preserve"> </w:t>
      </w:r>
      <w:r w:rsidRPr="00AA2723">
        <w:t xml:space="preserve">Zaffina I, Pelle MC, Armentaro G, Giofrè F, Cassano V, Sciacqua A, Arturi F. Effect of dual glucose-dependent insulinotropic peptide/glucagon-like peptide-1 receptor agonist on weight loss in subjects with obesity. Front Endocrinol (Lausanne). 2023 Feb </w:t>
      </w:r>
      <w:proofErr w:type="gramStart"/>
      <w:r w:rsidRPr="00AA2723">
        <w:t>22;14:1095753</w:t>
      </w:r>
      <w:proofErr w:type="gramEnd"/>
      <w:r w:rsidRPr="00AA2723">
        <w:t>. doi: 10.3389/fendo.2023.1095753. PMID: 36909312; PMCID: PMC9992880.</w:t>
      </w:r>
    </w:p>
  </w:footnote>
  <w:footnote w:id="17">
    <w:p w14:paraId="6107461A" w14:textId="41E8392A" w:rsidR="00AA2723" w:rsidRDefault="00AA2723">
      <w:pPr>
        <w:pStyle w:val="FootnoteText"/>
      </w:pPr>
      <w:r>
        <w:rPr>
          <w:rStyle w:val="FootnoteReference"/>
        </w:rPr>
        <w:footnoteRef/>
      </w:r>
      <w:r>
        <w:t xml:space="preserve"> </w:t>
      </w:r>
      <w:r w:rsidRPr="00AA2723">
        <w:t>Coskun T, Urva S, Roell WC, Qu H, Loghin C, Moyers JS, O'Farrell LS, Briere DA, Sloop KW, Thomas MK, Pirro V, Wainscott DB, Willard FS, Abernathy M, Morford L, Du Y, Benson C, Gimeno RE, Haupt A, Milicevic Z. LY3437943, a novel triple glucagon, GIP, and GLP-1 receptor agonist for glycemic control and weight loss: From discovery to clinical proof of concept. Cell Metab. 2022 Sep 6;34(9):1234-1247.e9. doi: 10.1016/j.cmet.2022.07.013. Epub 2022 Aug 18. PMID: 35985340.</w:t>
      </w:r>
    </w:p>
  </w:footnote>
  <w:footnote w:id="18">
    <w:p w14:paraId="7EC3D0AB" w14:textId="00CE7AC1" w:rsidR="000B1E74" w:rsidRDefault="000B1E74">
      <w:pPr>
        <w:pStyle w:val="FootnoteText"/>
      </w:pPr>
      <w:r>
        <w:rPr>
          <w:rStyle w:val="FootnoteReference"/>
        </w:rPr>
        <w:footnoteRef/>
      </w:r>
      <w:r>
        <w:t xml:space="preserve"> </w:t>
      </w:r>
      <w:hyperlink r:id="rId5" w:history="1">
        <w:r>
          <w:rPr>
            <w:rStyle w:val="Hyperlink"/>
          </w:rPr>
          <w:t xml:space="preserve">Australian Public Assessment Report for </w:t>
        </w:r>
        <w:r w:rsidR="00671D39">
          <w:rPr>
            <w:rStyle w:val="Hyperlink"/>
          </w:rPr>
          <w:t>Mounjaro</w:t>
        </w:r>
        <w:r>
          <w:rPr>
            <w:rStyle w:val="Hyperlink"/>
          </w:rPr>
          <w:t xml:space="preserve"> (Tirzepatide), November 2023</w:t>
        </w:r>
      </w:hyperlink>
      <w:r>
        <w:t xml:space="preserve"> </w:t>
      </w:r>
    </w:p>
  </w:footnote>
  <w:footnote w:id="19">
    <w:p w14:paraId="224CD836" w14:textId="3360B5BB" w:rsidR="00500D68" w:rsidRDefault="00500D68">
      <w:pPr>
        <w:pStyle w:val="FootnoteText"/>
      </w:pPr>
      <w:r>
        <w:rPr>
          <w:rStyle w:val="FootnoteReference"/>
        </w:rPr>
        <w:footnoteRef/>
      </w:r>
      <w:r>
        <w:t xml:space="preserve"> </w:t>
      </w:r>
      <w:r w:rsidR="00AD0111" w:rsidRPr="00AD0111">
        <w:t xml:space="preserve"> </w:t>
      </w:r>
      <w:r w:rsidR="00A25E6E" w:rsidRPr="00A25E6E">
        <w:t>The ‘</w:t>
      </w:r>
      <w:r w:rsidR="00F46085">
        <w:t>Delegate</w:t>
      </w:r>
      <w:r w:rsidR="00A25E6E" w:rsidRPr="00A25E6E">
        <w:t xml:space="preserve">’ </w:t>
      </w:r>
      <w:r w:rsidR="00624192">
        <w:t xml:space="preserve">refers to the </w:t>
      </w:r>
      <w:r w:rsidR="00F46085">
        <w:t>Delegate</w:t>
      </w:r>
      <w:r w:rsidR="00A25E6E" w:rsidRPr="00A25E6E">
        <w:t xml:space="preserve"> of the Secretary of the Department of Health and Aged Care who made the final decision to either include the new medicine/indication on the ARTG or reject the submission, under section 25 of the Therapeutic Goods Act</w:t>
      </w:r>
    </w:p>
  </w:footnote>
  <w:footnote w:id="20">
    <w:p w14:paraId="45F01557" w14:textId="6259244C" w:rsidR="004C1CA6" w:rsidRDefault="004C1CA6">
      <w:pPr>
        <w:pStyle w:val="FootnoteText"/>
      </w:pPr>
      <w:r>
        <w:rPr>
          <w:rStyle w:val="FootnoteReference"/>
        </w:rPr>
        <w:footnoteRef/>
      </w:r>
      <w:r>
        <w:t xml:space="preserve"> </w:t>
      </w:r>
      <w:hyperlink r:id="rId6" w:history="1">
        <w:r w:rsidR="00671D39">
          <w:rPr>
            <w:rStyle w:val="Hyperlink"/>
          </w:rPr>
          <w:t>Mounjaro</w:t>
        </w:r>
        <w:r>
          <w:rPr>
            <w:rStyle w:val="Hyperlink"/>
          </w:rPr>
          <w:t xml:space="preserve"> AusPAR, initial submission, 13 November 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155131"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3C3B"/>
    <w:multiLevelType w:val="hybridMultilevel"/>
    <w:tmpl w:val="BA02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61866"/>
    <w:multiLevelType w:val="hybridMultilevel"/>
    <w:tmpl w:val="27B25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8B3437"/>
    <w:multiLevelType w:val="hybridMultilevel"/>
    <w:tmpl w:val="5A68CCF6"/>
    <w:lvl w:ilvl="0" w:tplc="AB7E6A86">
      <w:start w:val="1"/>
      <w:numFmt w:val="bullet"/>
      <w:pStyle w:val="ListParagraph"/>
      <w:lvlText w:val=""/>
      <w:lvlJc w:val="left"/>
      <w:pPr>
        <w:ind w:left="558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D3D026E"/>
    <w:multiLevelType w:val="hybridMultilevel"/>
    <w:tmpl w:val="E010799A"/>
    <w:lvl w:ilvl="0" w:tplc="AAF4C904">
      <w:start w:val="1"/>
      <w:numFmt w:val="bullet"/>
      <w:lvlText w:val=""/>
      <w:lvlJc w:val="left"/>
      <w:pPr>
        <w:ind w:left="720" w:hanging="360"/>
      </w:pPr>
      <w:rPr>
        <w:rFonts w:ascii="Symbol" w:hAnsi="Symbol"/>
      </w:rPr>
    </w:lvl>
    <w:lvl w:ilvl="1" w:tplc="587A9D4A">
      <w:start w:val="1"/>
      <w:numFmt w:val="bullet"/>
      <w:lvlText w:val=""/>
      <w:lvlJc w:val="left"/>
      <w:pPr>
        <w:ind w:left="720" w:hanging="360"/>
      </w:pPr>
      <w:rPr>
        <w:rFonts w:ascii="Symbol" w:hAnsi="Symbol"/>
      </w:rPr>
    </w:lvl>
    <w:lvl w:ilvl="2" w:tplc="BC22DCAC">
      <w:start w:val="1"/>
      <w:numFmt w:val="bullet"/>
      <w:lvlText w:val=""/>
      <w:lvlJc w:val="left"/>
      <w:pPr>
        <w:ind w:left="720" w:hanging="360"/>
      </w:pPr>
      <w:rPr>
        <w:rFonts w:ascii="Symbol" w:hAnsi="Symbol"/>
      </w:rPr>
    </w:lvl>
    <w:lvl w:ilvl="3" w:tplc="47481D72">
      <w:start w:val="1"/>
      <w:numFmt w:val="bullet"/>
      <w:lvlText w:val=""/>
      <w:lvlJc w:val="left"/>
      <w:pPr>
        <w:ind w:left="720" w:hanging="360"/>
      </w:pPr>
      <w:rPr>
        <w:rFonts w:ascii="Symbol" w:hAnsi="Symbol"/>
      </w:rPr>
    </w:lvl>
    <w:lvl w:ilvl="4" w:tplc="E5C68666">
      <w:start w:val="1"/>
      <w:numFmt w:val="bullet"/>
      <w:lvlText w:val=""/>
      <w:lvlJc w:val="left"/>
      <w:pPr>
        <w:ind w:left="720" w:hanging="360"/>
      </w:pPr>
      <w:rPr>
        <w:rFonts w:ascii="Symbol" w:hAnsi="Symbol"/>
      </w:rPr>
    </w:lvl>
    <w:lvl w:ilvl="5" w:tplc="60786CAC">
      <w:start w:val="1"/>
      <w:numFmt w:val="bullet"/>
      <w:lvlText w:val=""/>
      <w:lvlJc w:val="left"/>
      <w:pPr>
        <w:ind w:left="720" w:hanging="360"/>
      </w:pPr>
      <w:rPr>
        <w:rFonts w:ascii="Symbol" w:hAnsi="Symbol"/>
      </w:rPr>
    </w:lvl>
    <w:lvl w:ilvl="6" w:tplc="96DE3DE8">
      <w:start w:val="1"/>
      <w:numFmt w:val="bullet"/>
      <w:lvlText w:val=""/>
      <w:lvlJc w:val="left"/>
      <w:pPr>
        <w:ind w:left="720" w:hanging="360"/>
      </w:pPr>
      <w:rPr>
        <w:rFonts w:ascii="Symbol" w:hAnsi="Symbol"/>
      </w:rPr>
    </w:lvl>
    <w:lvl w:ilvl="7" w:tplc="49688098">
      <w:start w:val="1"/>
      <w:numFmt w:val="bullet"/>
      <w:lvlText w:val=""/>
      <w:lvlJc w:val="left"/>
      <w:pPr>
        <w:ind w:left="720" w:hanging="360"/>
      </w:pPr>
      <w:rPr>
        <w:rFonts w:ascii="Symbol" w:hAnsi="Symbol"/>
      </w:rPr>
    </w:lvl>
    <w:lvl w:ilvl="8" w:tplc="ACE8C42A">
      <w:start w:val="1"/>
      <w:numFmt w:val="bullet"/>
      <w:lvlText w:val=""/>
      <w:lvlJc w:val="left"/>
      <w:pPr>
        <w:ind w:left="720" w:hanging="360"/>
      </w:pPr>
      <w:rPr>
        <w:rFonts w:ascii="Symbol" w:hAnsi="Symbol"/>
      </w:rPr>
    </w:lvl>
  </w:abstractNum>
  <w:abstractNum w:abstractNumId="4" w15:restartNumberingAfterBreak="0">
    <w:nsid w:val="0E9108CD"/>
    <w:multiLevelType w:val="hybridMultilevel"/>
    <w:tmpl w:val="D3B07FD4"/>
    <w:lvl w:ilvl="0" w:tplc="44E6B49E">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D0182"/>
    <w:multiLevelType w:val="hybridMultilevel"/>
    <w:tmpl w:val="093A5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5F76BBA"/>
    <w:multiLevelType w:val="hybridMultilevel"/>
    <w:tmpl w:val="0EA89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B433B0"/>
    <w:multiLevelType w:val="hybridMultilevel"/>
    <w:tmpl w:val="5E5C58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AA56CC7"/>
    <w:multiLevelType w:val="hybridMultilevel"/>
    <w:tmpl w:val="CE16E0F6"/>
    <w:lvl w:ilvl="0" w:tplc="EB688728">
      <w:start w:val="1"/>
      <w:numFmt w:val="bullet"/>
      <w:lvlText w:val=""/>
      <w:lvlJc w:val="left"/>
      <w:pPr>
        <w:ind w:left="720" w:hanging="360"/>
      </w:pPr>
      <w:rPr>
        <w:rFonts w:ascii="Symbol" w:hAnsi="Symbol"/>
      </w:rPr>
    </w:lvl>
    <w:lvl w:ilvl="1" w:tplc="73FE69C8">
      <w:start w:val="1"/>
      <w:numFmt w:val="bullet"/>
      <w:lvlText w:val=""/>
      <w:lvlJc w:val="left"/>
      <w:pPr>
        <w:ind w:left="720" w:hanging="360"/>
      </w:pPr>
      <w:rPr>
        <w:rFonts w:ascii="Symbol" w:hAnsi="Symbol"/>
      </w:rPr>
    </w:lvl>
    <w:lvl w:ilvl="2" w:tplc="99D40A04">
      <w:start w:val="1"/>
      <w:numFmt w:val="bullet"/>
      <w:lvlText w:val=""/>
      <w:lvlJc w:val="left"/>
      <w:pPr>
        <w:ind w:left="720" w:hanging="360"/>
      </w:pPr>
      <w:rPr>
        <w:rFonts w:ascii="Symbol" w:hAnsi="Symbol"/>
      </w:rPr>
    </w:lvl>
    <w:lvl w:ilvl="3" w:tplc="7E7E29F6">
      <w:start w:val="1"/>
      <w:numFmt w:val="bullet"/>
      <w:lvlText w:val=""/>
      <w:lvlJc w:val="left"/>
      <w:pPr>
        <w:ind w:left="720" w:hanging="360"/>
      </w:pPr>
      <w:rPr>
        <w:rFonts w:ascii="Symbol" w:hAnsi="Symbol"/>
      </w:rPr>
    </w:lvl>
    <w:lvl w:ilvl="4" w:tplc="50EAB948">
      <w:start w:val="1"/>
      <w:numFmt w:val="bullet"/>
      <w:lvlText w:val=""/>
      <w:lvlJc w:val="left"/>
      <w:pPr>
        <w:ind w:left="720" w:hanging="360"/>
      </w:pPr>
      <w:rPr>
        <w:rFonts w:ascii="Symbol" w:hAnsi="Symbol"/>
      </w:rPr>
    </w:lvl>
    <w:lvl w:ilvl="5" w:tplc="B4B61ACC">
      <w:start w:val="1"/>
      <w:numFmt w:val="bullet"/>
      <w:lvlText w:val=""/>
      <w:lvlJc w:val="left"/>
      <w:pPr>
        <w:ind w:left="720" w:hanging="360"/>
      </w:pPr>
      <w:rPr>
        <w:rFonts w:ascii="Symbol" w:hAnsi="Symbol"/>
      </w:rPr>
    </w:lvl>
    <w:lvl w:ilvl="6" w:tplc="5978D514">
      <w:start w:val="1"/>
      <w:numFmt w:val="bullet"/>
      <w:lvlText w:val=""/>
      <w:lvlJc w:val="left"/>
      <w:pPr>
        <w:ind w:left="720" w:hanging="360"/>
      </w:pPr>
      <w:rPr>
        <w:rFonts w:ascii="Symbol" w:hAnsi="Symbol"/>
      </w:rPr>
    </w:lvl>
    <w:lvl w:ilvl="7" w:tplc="DAD00994">
      <w:start w:val="1"/>
      <w:numFmt w:val="bullet"/>
      <w:lvlText w:val=""/>
      <w:lvlJc w:val="left"/>
      <w:pPr>
        <w:ind w:left="720" w:hanging="360"/>
      </w:pPr>
      <w:rPr>
        <w:rFonts w:ascii="Symbol" w:hAnsi="Symbol"/>
      </w:rPr>
    </w:lvl>
    <w:lvl w:ilvl="8" w:tplc="F6C0CFEA">
      <w:start w:val="1"/>
      <w:numFmt w:val="bullet"/>
      <w:lvlText w:val=""/>
      <w:lvlJc w:val="left"/>
      <w:pPr>
        <w:ind w:left="720" w:hanging="360"/>
      </w:pPr>
      <w:rPr>
        <w:rFonts w:ascii="Symbol" w:hAnsi="Symbol"/>
      </w:rPr>
    </w:lvl>
  </w:abstractNum>
  <w:abstractNum w:abstractNumId="12" w15:restartNumberingAfterBreak="0">
    <w:nsid w:val="233E3AAA"/>
    <w:multiLevelType w:val="hybridMultilevel"/>
    <w:tmpl w:val="B54CAC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2973672A"/>
    <w:multiLevelType w:val="hybridMultilevel"/>
    <w:tmpl w:val="DA30F33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0379F6"/>
    <w:multiLevelType w:val="hybridMultilevel"/>
    <w:tmpl w:val="47F86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1748AF"/>
    <w:multiLevelType w:val="hybridMultilevel"/>
    <w:tmpl w:val="265E5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2612AC"/>
    <w:multiLevelType w:val="hybridMultilevel"/>
    <w:tmpl w:val="2BF6D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BE62D8"/>
    <w:multiLevelType w:val="multilevel"/>
    <w:tmpl w:val="6FD2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779ED"/>
    <w:multiLevelType w:val="multilevel"/>
    <w:tmpl w:val="957E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084EE0"/>
    <w:multiLevelType w:val="hybridMultilevel"/>
    <w:tmpl w:val="E2206B96"/>
    <w:lvl w:ilvl="0" w:tplc="DA4649F4">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 w15:restartNumberingAfterBreak="0">
    <w:nsid w:val="47C937A1"/>
    <w:multiLevelType w:val="hybridMultilevel"/>
    <w:tmpl w:val="A5B206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183BDF"/>
    <w:multiLevelType w:val="hybridMultilevel"/>
    <w:tmpl w:val="1F58B70E"/>
    <w:lvl w:ilvl="0" w:tplc="1C22831A">
      <w:start w:val="1"/>
      <w:numFmt w:val="bullet"/>
      <w:lvlText w:val=""/>
      <w:lvlJc w:val="left"/>
      <w:pPr>
        <w:ind w:left="720" w:hanging="360"/>
      </w:pPr>
      <w:rPr>
        <w:rFonts w:ascii="Symbol" w:hAnsi="Symbol"/>
      </w:rPr>
    </w:lvl>
    <w:lvl w:ilvl="1" w:tplc="220A6082">
      <w:start w:val="1"/>
      <w:numFmt w:val="bullet"/>
      <w:lvlText w:val=""/>
      <w:lvlJc w:val="left"/>
      <w:pPr>
        <w:ind w:left="720" w:hanging="360"/>
      </w:pPr>
      <w:rPr>
        <w:rFonts w:ascii="Symbol" w:hAnsi="Symbol"/>
      </w:rPr>
    </w:lvl>
    <w:lvl w:ilvl="2" w:tplc="D3CE2964">
      <w:start w:val="1"/>
      <w:numFmt w:val="bullet"/>
      <w:lvlText w:val=""/>
      <w:lvlJc w:val="left"/>
      <w:pPr>
        <w:ind w:left="720" w:hanging="360"/>
      </w:pPr>
      <w:rPr>
        <w:rFonts w:ascii="Symbol" w:hAnsi="Symbol"/>
      </w:rPr>
    </w:lvl>
    <w:lvl w:ilvl="3" w:tplc="7026C1EA">
      <w:start w:val="1"/>
      <w:numFmt w:val="bullet"/>
      <w:lvlText w:val=""/>
      <w:lvlJc w:val="left"/>
      <w:pPr>
        <w:ind w:left="720" w:hanging="360"/>
      </w:pPr>
      <w:rPr>
        <w:rFonts w:ascii="Symbol" w:hAnsi="Symbol"/>
      </w:rPr>
    </w:lvl>
    <w:lvl w:ilvl="4" w:tplc="D854A06A">
      <w:start w:val="1"/>
      <w:numFmt w:val="bullet"/>
      <w:lvlText w:val=""/>
      <w:lvlJc w:val="left"/>
      <w:pPr>
        <w:ind w:left="720" w:hanging="360"/>
      </w:pPr>
      <w:rPr>
        <w:rFonts w:ascii="Symbol" w:hAnsi="Symbol"/>
      </w:rPr>
    </w:lvl>
    <w:lvl w:ilvl="5" w:tplc="69D2080C">
      <w:start w:val="1"/>
      <w:numFmt w:val="bullet"/>
      <w:lvlText w:val=""/>
      <w:lvlJc w:val="left"/>
      <w:pPr>
        <w:ind w:left="720" w:hanging="360"/>
      </w:pPr>
      <w:rPr>
        <w:rFonts w:ascii="Symbol" w:hAnsi="Symbol"/>
      </w:rPr>
    </w:lvl>
    <w:lvl w:ilvl="6" w:tplc="2E421D1E">
      <w:start w:val="1"/>
      <w:numFmt w:val="bullet"/>
      <w:lvlText w:val=""/>
      <w:lvlJc w:val="left"/>
      <w:pPr>
        <w:ind w:left="720" w:hanging="360"/>
      </w:pPr>
      <w:rPr>
        <w:rFonts w:ascii="Symbol" w:hAnsi="Symbol"/>
      </w:rPr>
    </w:lvl>
    <w:lvl w:ilvl="7" w:tplc="864C86BE">
      <w:start w:val="1"/>
      <w:numFmt w:val="bullet"/>
      <w:lvlText w:val=""/>
      <w:lvlJc w:val="left"/>
      <w:pPr>
        <w:ind w:left="720" w:hanging="360"/>
      </w:pPr>
      <w:rPr>
        <w:rFonts w:ascii="Symbol" w:hAnsi="Symbol"/>
      </w:rPr>
    </w:lvl>
    <w:lvl w:ilvl="8" w:tplc="9D1E2EA0">
      <w:start w:val="1"/>
      <w:numFmt w:val="bullet"/>
      <w:lvlText w:val=""/>
      <w:lvlJc w:val="left"/>
      <w:pPr>
        <w:ind w:left="720" w:hanging="360"/>
      </w:pPr>
      <w:rPr>
        <w:rFonts w:ascii="Symbol" w:hAnsi="Symbol"/>
      </w:rPr>
    </w:lvl>
  </w:abstractNum>
  <w:abstractNum w:abstractNumId="24" w15:restartNumberingAfterBreak="0">
    <w:nsid w:val="4A684654"/>
    <w:multiLevelType w:val="hybridMultilevel"/>
    <w:tmpl w:val="85048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6" w15:restartNumberingAfterBreak="0">
    <w:nsid w:val="501C108C"/>
    <w:multiLevelType w:val="hybridMultilevel"/>
    <w:tmpl w:val="47E20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643716"/>
    <w:multiLevelType w:val="hybridMultilevel"/>
    <w:tmpl w:val="2DEC282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1AC67B8"/>
    <w:multiLevelType w:val="hybridMultilevel"/>
    <w:tmpl w:val="B7B89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1B0609"/>
    <w:multiLevelType w:val="hybridMultilevel"/>
    <w:tmpl w:val="8A4AD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F6522B"/>
    <w:multiLevelType w:val="hybridMultilevel"/>
    <w:tmpl w:val="9F200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4F0344"/>
    <w:multiLevelType w:val="hybridMultilevel"/>
    <w:tmpl w:val="0B0E7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0A5E72"/>
    <w:multiLevelType w:val="hybridMultilevel"/>
    <w:tmpl w:val="7EB45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D6640E"/>
    <w:multiLevelType w:val="hybridMultilevel"/>
    <w:tmpl w:val="56763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783617"/>
    <w:multiLevelType w:val="hybridMultilevel"/>
    <w:tmpl w:val="99C6C3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CB6E1F"/>
    <w:multiLevelType w:val="hybridMultilevel"/>
    <w:tmpl w:val="B874D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0B3568"/>
    <w:multiLevelType w:val="hybridMultilevel"/>
    <w:tmpl w:val="2FD67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23095E"/>
    <w:multiLevelType w:val="multilevel"/>
    <w:tmpl w:val="FB8C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7E1C30"/>
    <w:multiLevelType w:val="hybridMultilevel"/>
    <w:tmpl w:val="095A1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0C5F16"/>
    <w:multiLevelType w:val="hybridMultilevel"/>
    <w:tmpl w:val="51409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8216411"/>
    <w:multiLevelType w:val="hybridMultilevel"/>
    <w:tmpl w:val="1FB0F5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8D6CB3"/>
    <w:multiLevelType w:val="hybridMultilevel"/>
    <w:tmpl w:val="A12A632A"/>
    <w:lvl w:ilvl="0" w:tplc="AECC4100">
      <w:start w:val="1"/>
      <w:numFmt w:val="bullet"/>
      <w:lvlText w:val=" "/>
      <w:lvlJc w:val="left"/>
      <w:pPr>
        <w:tabs>
          <w:tab w:val="num" w:pos="720"/>
        </w:tabs>
        <w:ind w:left="720" w:hanging="360"/>
      </w:pPr>
      <w:rPr>
        <w:rFonts w:ascii="Calibri" w:hAnsi="Calibri" w:hint="default"/>
      </w:rPr>
    </w:lvl>
    <w:lvl w:ilvl="1" w:tplc="1FD0F94A" w:tentative="1">
      <w:start w:val="1"/>
      <w:numFmt w:val="bullet"/>
      <w:lvlText w:val=" "/>
      <w:lvlJc w:val="left"/>
      <w:pPr>
        <w:tabs>
          <w:tab w:val="num" w:pos="1440"/>
        </w:tabs>
        <w:ind w:left="1440" w:hanging="360"/>
      </w:pPr>
      <w:rPr>
        <w:rFonts w:ascii="Calibri" w:hAnsi="Calibri" w:hint="default"/>
      </w:rPr>
    </w:lvl>
    <w:lvl w:ilvl="2" w:tplc="37D41AFC" w:tentative="1">
      <w:start w:val="1"/>
      <w:numFmt w:val="bullet"/>
      <w:lvlText w:val=" "/>
      <w:lvlJc w:val="left"/>
      <w:pPr>
        <w:tabs>
          <w:tab w:val="num" w:pos="2160"/>
        </w:tabs>
        <w:ind w:left="2160" w:hanging="360"/>
      </w:pPr>
      <w:rPr>
        <w:rFonts w:ascii="Calibri" w:hAnsi="Calibri" w:hint="default"/>
      </w:rPr>
    </w:lvl>
    <w:lvl w:ilvl="3" w:tplc="B80887CA" w:tentative="1">
      <w:start w:val="1"/>
      <w:numFmt w:val="bullet"/>
      <w:lvlText w:val=" "/>
      <w:lvlJc w:val="left"/>
      <w:pPr>
        <w:tabs>
          <w:tab w:val="num" w:pos="2880"/>
        </w:tabs>
        <w:ind w:left="2880" w:hanging="360"/>
      </w:pPr>
      <w:rPr>
        <w:rFonts w:ascii="Calibri" w:hAnsi="Calibri" w:hint="default"/>
      </w:rPr>
    </w:lvl>
    <w:lvl w:ilvl="4" w:tplc="B3B2294E" w:tentative="1">
      <w:start w:val="1"/>
      <w:numFmt w:val="bullet"/>
      <w:lvlText w:val=" "/>
      <w:lvlJc w:val="left"/>
      <w:pPr>
        <w:tabs>
          <w:tab w:val="num" w:pos="3600"/>
        </w:tabs>
        <w:ind w:left="3600" w:hanging="360"/>
      </w:pPr>
      <w:rPr>
        <w:rFonts w:ascii="Calibri" w:hAnsi="Calibri" w:hint="default"/>
      </w:rPr>
    </w:lvl>
    <w:lvl w:ilvl="5" w:tplc="DC96F932" w:tentative="1">
      <w:start w:val="1"/>
      <w:numFmt w:val="bullet"/>
      <w:lvlText w:val=" "/>
      <w:lvlJc w:val="left"/>
      <w:pPr>
        <w:tabs>
          <w:tab w:val="num" w:pos="4320"/>
        </w:tabs>
        <w:ind w:left="4320" w:hanging="360"/>
      </w:pPr>
      <w:rPr>
        <w:rFonts w:ascii="Calibri" w:hAnsi="Calibri" w:hint="default"/>
      </w:rPr>
    </w:lvl>
    <w:lvl w:ilvl="6" w:tplc="7D44096C" w:tentative="1">
      <w:start w:val="1"/>
      <w:numFmt w:val="bullet"/>
      <w:lvlText w:val=" "/>
      <w:lvlJc w:val="left"/>
      <w:pPr>
        <w:tabs>
          <w:tab w:val="num" w:pos="5040"/>
        </w:tabs>
        <w:ind w:left="5040" w:hanging="360"/>
      </w:pPr>
      <w:rPr>
        <w:rFonts w:ascii="Calibri" w:hAnsi="Calibri" w:hint="default"/>
      </w:rPr>
    </w:lvl>
    <w:lvl w:ilvl="7" w:tplc="B704B30C" w:tentative="1">
      <w:start w:val="1"/>
      <w:numFmt w:val="bullet"/>
      <w:lvlText w:val=" "/>
      <w:lvlJc w:val="left"/>
      <w:pPr>
        <w:tabs>
          <w:tab w:val="num" w:pos="5760"/>
        </w:tabs>
        <w:ind w:left="5760" w:hanging="360"/>
      </w:pPr>
      <w:rPr>
        <w:rFonts w:ascii="Calibri" w:hAnsi="Calibri" w:hint="default"/>
      </w:rPr>
    </w:lvl>
    <w:lvl w:ilvl="8" w:tplc="4A6C914C" w:tentative="1">
      <w:start w:val="1"/>
      <w:numFmt w:val="bullet"/>
      <w:lvlText w:val=" "/>
      <w:lvlJc w:val="left"/>
      <w:pPr>
        <w:tabs>
          <w:tab w:val="num" w:pos="6480"/>
        </w:tabs>
        <w:ind w:left="6480" w:hanging="360"/>
      </w:pPr>
      <w:rPr>
        <w:rFonts w:ascii="Calibri" w:hAnsi="Calibri" w:hint="default"/>
      </w:rPr>
    </w:lvl>
  </w:abstractNum>
  <w:abstractNum w:abstractNumId="43" w15:restartNumberingAfterBreak="0">
    <w:nsid w:val="7A4575AE"/>
    <w:multiLevelType w:val="hybridMultilevel"/>
    <w:tmpl w:val="E4AE93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CE36E02"/>
    <w:multiLevelType w:val="hybridMultilevel"/>
    <w:tmpl w:val="8B945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D0F08E3"/>
    <w:multiLevelType w:val="hybridMultilevel"/>
    <w:tmpl w:val="5F48A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01755113">
    <w:abstractNumId w:val="9"/>
  </w:num>
  <w:num w:numId="2" w16cid:durableId="1519931739">
    <w:abstractNumId w:val="6"/>
  </w:num>
  <w:num w:numId="3" w16cid:durableId="612640643">
    <w:abstractNumId w:val="8"/>
  </w:num>
  <w:num w:numId="4" w16cid:durableId="1524974232">
    <w:abstractNumId w:val="27"/>
  </w:num>
  <w:num w:numId="5" w16cid:durableId="2000886021">
    <w:abstractNumId w:val="13"/>
  </w:num>
  <w:num w:numId="6" w16cid:durableId="572161517">
    <w:abstractNumId w:val="25"/>
  </w:num>
  <w:num w:numId="7" w16cid:durableId="469326822">
    <w:abstractNumId w:val="16"/>
  </w:num>
  <w:num w:numId="8" w16cid:durableId="1445493118">
    <w:abstractNumId w:val="20"/>
  </w:num>
  <w:num w:numId="9" w16cid:durableId="127599174">
    <w:abstractNumId w:val="22"/>
  </w:num>
  <w:num w:numId="10" w16cid:durableId="1141658790">
    <w:abstractNumId w:val="15"/>
  </w:num>
  <w:num w:numId="11" w16cid:durableId="1806508463">
    <w:abstractNumId w:val="33"/>
  </w:num>
  <w:num w:numId="12" w16cid:durableId="440296525">
    <w:abstractNumId w:val="36"/>
  </w:num>
  <w:num w:numId="13" w16cid:durableId="745423886">
    <w:abstractNumId w:val="26"/>
  </w:num>
  <w:num w:numId="14" w16cid:durableId="44261114">
    <w:abstractNumId w:val="44"/>
  </w:num>
  <w:num w:numId="15" w16cid:durableId="1642688073">
    <w:abstractNumId w:val="40"/>
  </w:num>
  <w:num w:numId="16" w16cid:durableId="826672147">
    <w:abstractNumId w:val="34"/>
  </w:num>
  <w:num w:numId="17" w16cid:durableId="1542782997">
    <w:abstractNumId w:val="29"/>
  </w:num>
  <w:num w:numId="18" w16cid:durableId="1618874978">
    <w:abstractNumId w:val="5"/>
  </w:num>
  <w:num w:numId="19" w16cid:durableId="1691837192">
    <w:abstractNumId w:val="30"/>
  </w:num>
  <w:num w:numId="20" w16cid:durableId="1479419168">
    <w:abstractNumId w:val="24"/>
  </w:num>
  <w:num w:numId="21" w16cid:durableId="2111731778">
    <w:abstractNumId w:val="45"/>
  </w:num>
  <w:num w:numId="22" w16cid:durableId="775640231">
    <w:abstractNumId w:val="35"/>
  </w:num>
  <w:num w:numId="23" w16cid:durableId="628556393">
    <w:abstractNumId w:val="14"/>
  </w:num>
  <w:num w:numId="24" w16cid:durableId="1553614461">
    <w:abstractNumId w:val="28"/>
  </w:num>
  <w:num w:numId="25" w16cid:durableId="1679120005">
    <w:abstractNumId w:val="2"/>
  </w:num>
  <w:num w:numId="26" w16cid:durableId="1050880585">
    <w:abstractNumId w:val="37"/>
  </w:num>
  <w:num w:numId="27" w16cid:durableId="945042397">
    <w:abstractNumId w:val="31"/>
  </w:num>
  <w:num w:numId="28" w16cid:durableId="877208447">
    <w:abstractNumId w:val="4"/>
  </w:num>
  <w:num w:numId="29" w16cid:durableId="203376009">
    <w:abstractNumId w:val="39"/>
  </w:num>
  <w:num w:numId="30" w16cid:durableId="2077778739">
    <w:abstractNumId w:val="32"/>
  </w:num>
  <w:num w:numId="31" w16cid:durableId="1427728774">
    <w:abstractNumId w:val="21"/>
  </w:num>
  <w:num w:numId="32" w16cid:durableId="955676756">
    <w:abstractNumId w:val="0"/>
  </w:num>
  <w:num w:numId="33" w16cid:durableId="1202132428">
    <w:abstractNumId w:val="17"/>
  </w:num>
  <w:num w:numId="34" w16cid:durableId="484904092">
    <w:abstractNumId w:val="43"/>
  </w:num>
  <w:num w:numId="35" w16cid:durableId="1217546047">
    <w:abstractNumId w:val="10"/>
  </w:num>
  <w:num w:numId="36" w16cid:durableId="1901090518">
    <w:abstractNumId w:val="12"/>
  </w:num>
  <w:num w:numId="37" w16cid:durableId="1759474776">
    <w:abstractNumId w:val="7"/>
  </w:num>
  <w:num w:numId="38" w16cid:durableId="839124805">
    <w:abstractNumId w:val="1"/>
  </w:num>
  <w:num w:numId="39" w16cid:durableId="1561095390">
    <w:abstractNumId w:val="41"/>
  </w:num>
  <w:num w:numId="40" w16cid:durableId="2069843158">
    <w:abstractNumId w:val="42"/>
  </w:num>
  <w:num w:numId="41" w16cid:durableId="1995793779">
    <w:abstractNumId w:val="11"/>
  </w:num>
  <w:num w:numId="42" w16cid:durableId="2060979303">
    <w:abstractNumId w:val="23"/>
  </w:num>
  <w:num w:numId="43" w16cid:durableId="66076955">
    <w:abstractNumId w:val="3"/>
  </w:num>
  <w:num w:numId="44" w16cid:durableId="25064189">
    <w:abstractNumId w:val="19"/>
  </w:num>
  <w:num w:numId="45" w16cid:durableId="2103988682">
    <w:abstractNumId w:val="18"/>
  </w:num>
  <w:num w:numId="46" w16cid:durableId="1929652468">
    <w:abstractNumId w:val="38"/>
  </w:num>
  <w:num w:numId="47" w16cid:durableId="14615289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42ea7a7-d573-437f-919e-42c5ed538359" w:val=" "/>
    <w:docVar w:name="vault_nd_07e29319-c25f-4f88-b815-f9206a140c64" w:val=" "/>
    <w:docVar w:name="vault_nd_09bd81b4-977d-4a64-a2ac-f19168c59a28" w:val=" "/>
    <w:docVar w:name="vault_nd_0ecbc443-34ae-4809-be42-925350c0a5bb" w:val=" "/>
    <w:docVar w:name="vault_nd_0f71ae1e-9a9e-44a7-9275-7d8717484334" w:val=" "/>
    <w:docVar w:name="vault_nd_1c1f6d8f-8419-4e0a-ae09-52b55123f673" w:val=" "/>
    <w:docVar w:name="vault_nd_1c56c469-d271-4367-9f72-5ee2dca107a5" w:val=" "/>
    <w:docVar w:name="vault_nd_1d27dbf2-d73a-44db-927e-2b67a84425a8" w:val=" "/>
    <w:docVar w:name="vault_nd_20784799-72eb-4a19-a124-28c40b8bf444" w:val=" "/>
    <w:docVar w:name="vault_nd_31cca7a4-4267-47c1-a5dc-4f02e3c641f5" w:val=" "/>
    <w:docVar w:name="vault_nd_32db81b2-d557-4029-8ec9-fd67ef8ec311" w:val=" "/>
    <w:docVar w:name="vault_nd_3a2f079b-db6d-46bc-9dff-930fe9aa6a9b" w:val=" "/>
    <w:docVar w:name="vault_nd_3c0131bb-1270-4501-a317-e6ae52bc4bc5" w:val=" "/>
    <w:docVar w:name="vault_nd_3c761eaa-7d26-4e69-9061-48e6a47d3cab" w:val=" "/>
    <w:docVar w:name="vault_nd_47849b33-ce88-43e7-9cec-9366c5ca7bab" w:val=" "/>
    <w:docVar w:name="vault_nd_4c719862-328b-4009-8302-fce9037b9fd9" w:val=" "/>
    <w:docVar w:name="vault_nd_4ca5d539-2510-453f-bf49-a088800915d3" w:val=" "/>
    <w:docVar w:name="vault_nd_50457011-fbc6-4707-9b73-86bd1fc1fe06" w:val=" "/>
    <w:docVar w:name="vault_nd_53d1985b-7b7a-481f-b5eb-135b7cd8cf20" w:val=" "/>
    <w:docVar w:name="vault_nd_5522a06f-e529-4618-a6f6-0c71669abea7" w:val=" "/>
    <w:docVar w:name="vault_nd_577069be-9313-4fdc-927a-196ba036f56b" w:val=" "/>
    <w:docVar w:name="vault_nd_5c7e9877-46e0-4326-a703-8b1e95f1f32f" w:val=" "/>
    <w:docVar w:name="vault_nd_5d232aeb-ccba-4a29-9448-64dd309afb1a" w:val=" "/>
    <w:docVar w:name="vault_nd_5fbadb51-abf2-4b60-85f0-40ce4efd8893" w:val=" "/>
    <w:docVar w:name="vault_nd_6269f26b-8aa4-44d3-9e41-8829cd3ce6dc" w:val=" "/>
    <w:docVar w:name="vault_nd_6a1569ff-1e37-4c67-8f3a-8451866a4275" w:val=" "/>
    <w:docVar w:name="vault_nd_7404759e-5fc6-4441-abf8-8c99400b2646" w:val=" "/>
    <w:docVar w:name="vault_nd_76d0e211-869e-46d9-9d2b-52e8934c9b49" w:val=" "/>
    <w:docVar w:name="vault_nd_7bdb0a36-b3f0-41f0-b459-dfecfdc090b3" w:val=" "/>
    <w:docVar w:name="vault_nd_7c301766-78f5-49e1-9ed0-32113f903d84" w:val=" "/>
    <w:docVar w:name="vault_nd_7eb5b648-605c-4785-a3a1-0cf390cca2fe" w:val=" "/>
    <w:docVar w:name="vault_nd_854478c2-2260-4bc5-8c3c-2e73a81c333b" w:val=" "/>
    <w:docVar w:name="vault_nd_855d03ff-b476-44fb-a7e4-41fad96d7b6f" w:val=" "/>
    <w:docVar w:name="vault_nd_89f020f7-9c58-44ff-b766-0ecbf7adff3c" w:val=" "/>
    <w:docVar w:name="vault_nd_8a4138db-5430-42e1-9b7c-d0791f92e765" w:val=" "/>
    <w:docVar w:name="vault_nd_8a586d41-3a40-4f53-a810-f90b01b8b016" w:val=" "/>
    <w:docVar w:name="vault_nd_8ae91185-d2fb-4f29-b33e-123009d1590c" w:val=" "/>
    <w:docVar w:name="vault_nd_913dbe50-bb05-4cd4-8d96-87697f3c770a" w:val=" "/>
    <w:docVar w:name="vault_nd_934e9e8a-b9cd-42c2-87b4-80ddeb1c60e1" w:val=" "/>
    <w:docVar w:name="vault_nd_93fe17c7-1681-49e6-822b-5e8b449e301e" w:val=" "/>
    <w:docVar w:name="vault_nd_969cee43-676a-426b-bbab-58ccf28babfb" w:val=" "/>
    <w:docVar w:name="vault_nd_973a796e-e19e-48e5-89b4-c8acf0c8455c" w:val=" "/>
    <w:docVar w:name="vault_nd_9d232273-536f-443e-9a3e-a744e408f30c" w:val=" "/>
    <w:docVar w:name="vault_nd_a2e0fe6e-4465-4d5e-a13b-7a3461de3da4" w:val=" "/>
    <w:docVar w:name="vault_nd_ab19c427-4853-450f-bdb4-e70460595aca" w:val=" "/>
    <w:docVar w:name="vault_nd_b197bcd3-d001-4219-8d4a-c4891b4b9013" w:val=" "/>
    <w:docVar w:name="vault_nd_b642b8c5-5431-4a92-9c81-bb51218cb678" w:val=" "/>
    <w:docVar w:name="vault_nd_b7cbde31-b5ef-4215-868b-5b7ee3fa5686" w:val=" "/>
    <w:docVar w:name="vault_nd_c1c842c3-e1d8-48f0-9f33-acdfdffe1d24" w:val=" "/>
    <w:docVar w:name="vault_nd_c28d92fc-edee-4bfb-a91e-a83eb958dff4" w:val=" "/>
    <w:docVar w:name="vault_nd_c88be039-0ea9-45d0-9018-ac5c9f6f0c1f" w:val=" "/>
    <w:docVar w:name="vault_nd_cbbd6980-ae65-4a8e-9de6-b62129989a86" w:val=" "/>
    <w:docVar w:name="vault_nd_d0789b1e-7576-49ba-beeb-1377adf0e92f" w:val=" "/>
    <w:docVar w:name="vault_nd_d3105b01-3a15-4224-87c2-e57bb124cafb" w:val=" "/>
    <w:docVar w:name="vault_nd_d4aaedf4-1e23-4dfa-8b04-fc70f095f311" w:val=" "/>
    <w:docVar w:name="vault_nd_d7b1dd70-9b24-4a47-ba84-a750cbbfca88" w:val=" "/>
    <w:docVar w:name="vault_nd_da592a26-3b5a-41ca-9ef5-a56a7408ad4d" w:val=" "/>
    <w:docVar w:name="vault_nd_dace84f9-cdc5-47eb-9097-c2576c4610e8" w:val=" "/>
    <w:docVar w:name="vault_nd_dd48e2ea-c121-4391-8e47-a9076d3fa063" w:val=" "/>
    <w:docVar w:name="vault_nd_de68db60-f87a-40e0-bfe5-ec5c7c3ef8a7" w:val=" "/>
    <w:docVar w:name="vault_nd_e299eef3-e028-4c86-bbe6-db0872f9d586" w:val=" "/>
    <w:docVar w:name="vault_nd_e38e8a10-e468-492e-bddf-cad5321b00ef" w:val=" "/>
    <w:docVar w:name="vault_nd_e90aebaf-cde1-4de5-b297-fadeb791e389" w:val=" "/>
    <w:docVar w:name="vault_nd_e941df73-70f3-4720-a7c9-5304b22068ca" w:val=" "/>
    <w:docVar w:name="vault_nd_efa47275-635d-494e-965e-edc79e70217f" w:val=" "/>
    <w:docVar w:name="vault_nd_efbfc6c0-2d2b-4ce9-b752-1205754d744c" w:val=" "/>
    <w:docVar w:name="vault_nd_f106d8c5-930c-44d8-875d-195391d1a500" w:val=" "/>
    <w:docVar w:name="vault_nd_f24f9a5d-8bcd-4ca7-8199-9d7fb2790415" w:val=" "/>
    <w:docVar w:name="vault_nd_fc36429a-ddb9-4630-a8e7-b12eb833ce1a" w:val=" "/>
    <w:docVar w:name="vault_nd_fc3a2477-5e74-4644-a474-0aa2313796df" w:val=" "/>
    <w:docVar w:name="vault_nd_fc6b5ac1-32c5-463a-b90d-93ea8a51e17d" w:val=" "/>
  </w:docVars>
  <w:rsids>
    <w:rsidRoot w:val="00346EC2"/>
    <w:rsid w:val="000002E3"/>
    <w:rsid w:val="00000E6E"/>
    <w:rsid w:val="00004431"/>
    <w:rsid w:val="00005062"/>
    <w:rsid w:val="0001064C"/>
    <w:rsid w:val="00011883"/>
    <w:rsid w:val="00011AB4"/>
    <w:rsid w:val="00011DD1"/>
    <w:rsid w:val="0001384A"/>
    <w:rsid w:val="00013DFF"/>
    <w:rsid w:val="00014DD0"/>
    <w:rsid w:val="00032A0F"/>
    <w:rsid w:val="000336A6"/>
    <w:rsid w:val="00040D8D"/>
    <w:rsid w:val="0004148D"/>
    <w:rsid w:val="00041582"/>
    <w:rsid w:val="00041B1B"/>
    <w:rsid w:val="00046423"/>
    <w:rsid w:val="00047C9A"/>
    <w:rsid w:val="000501D2"/>
    <w:rsid w:val="0006104E"/>
    <w:rsid w:val="000640BD"/>
    <w:rsid w:val="00065839"/>
    <w:rsid w:val="00065FDF"/>
    <w:rsid w:val="00066361"/>
    <w:rsid w:val="00066386"/>
    <w:rsid w:val="0007009A"/>
    <w:rsid w:val="00075EFA"/>
    <w:rsid w:val="00077844"/>
    <w:rsid w:val="00077AD3"/>
    <w:rsid w:val="000836AF"/>
    <w:rsid w:val="000850B1"/>
    <w:rsid w:val="000904B4"/>
    <w:rsid w:val="00090510"/>
    <w:rsid w:val="0009070F"/>
    <w:rsid w:val="000917AE"/>
    <w:rsid w:val="000924FB"/>
    <w:rsid w:val="00094B81"/>
    <w:rsid w:val="000975AA"/>
    <w:rsid w:val="000A0C74"/>
    <w:rsid w:val="000A1CCF"/>
    <w:rsid w:val="000A3BA0"/>
    <w:rsid w:val="000B1E74"/>
    <w:rsid w:val="000B37CC"/>
    <w:rsid w:val="000B6B15"/>
    <w:rsid w:val="000C0D5C"/>
    <w:rsid w:val="000C1300"/>
    <w:rsid w:val="000C236A"/>
    <w:rsid w:val="000C25A7"/>
    <w:rsid w:val="000C6207"/>
    <w:rsid w:val="000D1040"/>
    <w:rsid w:val="000D4477"/>
    <w:rsid w:val="000D4ACC"/>
    <w:rsid w:val="000D78EC"/>
    <w:rsid w:val="000D7934"/>
    <w:rsid w:val="000D7B66"/>
    <w:rsid w:val="000E2597"/>
    <w:rsid w:val="000E25ED"/>
    <w:rsid w:val="000E2724"/>
    <w:rsid w:val="000E5FBD"/>
    <w:rsid w:val="000E6746"/>
    <w:rsid w:val="000F2FDF"/>
    <w:rsid w:val="000F33C0"/>
    <w:rsid w:val="000F44E8"/>
    <w:rsid w:val="000F4D17"/>
    <w:rsid w:val="000F7736"/>
    <w:rsid w:val="000F7B51"/>
    <w:rsid w:val="001008ED"/>
    <w:rsid w:val="00101BEE"/>
    <w:rsid w:val="00101CE6"/>
    <w:rsid w:val="00101FB1"/>
    <w:rsid w:val="00104773"/>
    <w:rsid w:val="0010558A"/>
    <w:rsid w:val="001101FF"/>
    <w:rsid w:val="00110249"/>
    <w:rsid w:val="00113F9F"/>
    <w:rsid w:val="00121DEE"/>
    <w:rsid w:val="001222D1"/>
    <w:rsid w:val="00124112"/>
    <w:rsid w:val="0012473C"/>
    <w:rsid w:val="00127A74"/>
    <w:rsid w:val="0013132F"/>
    <w:rsid w:val="0013306D"/>
    <w:rsid w:val="00133F0F"/>
    <w:rsid w:val="0013528C"/>
    <w:rsid w:val="0013592E"/>
    <w:rsid w:val="001442A2"/>
    <w:rsid w:val="0014660E"/>
    <w:rsid w:val="001468CA"/>
    <w:rsid w:val="001500A8"/>
    <w:rsid w:val="001516B3"/>
    <w:rsid w:val="00155131"/>
    <w:rsid w:val="00155D85"/>
    <w:rsid w:val="00163458"/>
    <w:rsid w:val="00163DEC"/>
    <w:rsid w:val="00165D28"/>
    <w:rsid w:val="0017005C"/>
    <w:rsid w:val="00173F4E"/>
    <w:rsid w:val="00175CD8"/>
    <w:rsid w:val="00182BD8"/>
    <w:rsid w:val="00184431"/>
    <w:rsid w:val="001847A9"/>
    <w:rsid w:val="001857D1"/>
    <w:rsid w:val="0019395D"/>
    <w:rsid w:val="001941E5"/>
    <w:rsid w:val="001970B9"/>
    <w:rsid w:val="001A0C75"/>
    <w:rsid w:val="001A0D6D"/>
    <w:rsid w:val="001A1D98"/>
    <w:rsid w:val="001A26EE"/>
    <w:rsid w:val="001A76F9"/>
    <w:rsid w:val="001B06FF"/>
    <w:rsid w:val="001B1703"/>
    <w:rsid w:val="001B28F4"/>
    <w:rsid w:val="001B4687"/>
    <w:rsid w:val="001C1C2E"/>
    <w:rsid w:val="001C31A1"/>
    <w:rsid w:val="001C3FA2"/>
    <w:rsid w:val="001C5282"/>
    <w:rsid w:val="001C5EE2"/>
    <w:rsid w:val="001C7E24"/>
    <w:rsid w:val="001D0077"/>
    <w:rsid w:val="001D2D5A"/>
    <w:rsid w:val="001D5108"/>
    <w:rsid w:val="001D70FA"/>
    <w:rsid w:val="001E0FC1"/>
    <w:rsid w:val="001E407B"/>
    <w:rsid w:val="001E4F12"/>
    <w:rsid w:val="001E6A3B"/>
    <w:rsid w:val="001E7FC6"/>
    <w:rsid w:val="001F2502"/>
    <w:rsid w:val="001F5B03"/>
    <w:rsid w:val="001F70A5"/>
    <w:rsid w:val="0020235D"/>
    <w:rsid w:val="0020369B"/>
    <w:rsid w:val="00203A36"/>
    <w:rsid w:val="002055F9"/>
    <w:rsid w:val="002072FC"/>
    <w:rsid w:val="00207B4D"/>
    <w:rsid w:val="002117B1"/>
    <w:rsid w:val="00211FAA"/>
    <w:rsid w:val="0021382A"/>
    <w:rsid w:val="00217CCE"/>
    <w:rsid w:val="002203B1"/>
    <w:rsid w:val="00221F66"/>
    <w:rsid w:val="002248D7"/>
    <w:rsid w:val="00226286"/>
    <w:rsid w:val="00226F39"/>
    <w:rsid w:val="002334AD"/>
    <w:rsid w:val="00234770"/>
    <w:rsid w:val="00237029"/>
    <w:rsid w:val="00241B60"/>
    <w:rsid w:val="002443C8"/>
    <w:rsid w:val="00246999"/>
    <w:rsid w:val="002471AE"/>
    <w:rsid w:val="0025785B"/>
    <w:rsid w:val="00257969"/>
    <w:rsid w:val="00273357"/>
    <w:rsid w:val="00280048"/>
    <w:rsid w:val="00283F05"/>
    <w:rsid w:val="0028489E"/>
    <w:rsid w:val="002848DE"/>
    <w:rsid w:val="00284E9F"/>
    <w:rsid w:val="0028591F"/>
    <w:rsid w:val="0028794E"/>
    <w:rsid w:val="00297E86"/>
    <w:rsid w:val="002A32F4"/>
    <w:rsid w:val="002A4BFE"/>
    <w:rsid w:val="002A5841"/>
    <w:rsid w:val="002B1EDF"/>
    <w:rsid w:val="002B2061"/>
    <w:rsid w:val="002B3C94"/>
    <w:rsid w:val="002C1232"/>
    <w:rsid w:val="002C147A"/>
    <w:rsid w:val="002C1E44"/>
    <w:rsid w:val="002C5C92"/>
    <w:rsid w:val="002C5E29"/>
    <w:rsid w:val="002C6B01"/>
    <w:rsid w:val="002C6D1B"/>
    <w:rsid w:val="002D012F"/>
    <w:rsid w:val="002D0478"/>
    <w:rsid w:val="002D31A4"/>
    <w:rsid w:val="002D4E12"/>
    <w:rsid w:val="002D7127"/>
    <w:rsid w:val="002E0920"/>
    <w:rsid w:val="002E68F7"/>
    <w:rsid w:val="002F226E"/>
    <w:rsid w:val="002F599E"/>
    <w:rsid w:val="003008D8"/>
    <w:rsid w:val="003018B0"/>
    <w:rsid w:val="00301D9A"/>
    <w:rsid w:val="00303959"/>
    <w:rsid w:val="00303A00"/>
    <w:rsid w:val="003060B7"/>
    <w:rsid w:val="00306DA5"/>
    <w:rsid w:val="00306E72"/>
    <w:rsid w:val="00307694"/>
    <w:rsid w:val="00312AC3"/>
    <w:rsid w:val="00313A80"/>
    <w:rsid w:val="00314430"/>
    <w:rsid w:val="003163BC"/>
    <w:rsid w:val="0032351A"/>
    <w:rsid w:val="00324B33"/>
    <w:rsid w:val="00327488"/>
    <w:rsid w:val="00336FE1"/>
    <w:rsid w:val="00342D56"/>
    <w:rsid w:val="0034377A"/>
    <w:rsid w:val="003456E7"/>
    <w:rsid w:val="00346DDA"/>
    <w:rsid w:val="00346EC2"/>
    <w:rsid w:val="00347692"/>
    <w:rsid w:val="003477F9"/>
    <w:rsid w:val="00352B90"/>
    <w:rsid w:val="0035444D"/>
    <w:rsid w:val="00356D62"/>
    <w:rsid w:val="003572E7"/>
    <w:rsid w:val="00363EE3"/>
    <w:rsid w:val="003735F3"/>
    <w:rsid w:val="00374729"/>
    <w:rsid w:val="003762CF"/>
    <w:rsid w:val="003767D2"/>
    <w:rsid w:val="00385B6E"/>
    <w:rsid w:val="00387298"/>
    <w:rsid w:val="00387631"/>
    <w:rsid w:val="00387984"/>
    <w:rsid w:val="00393684"/>
    <w:rsid w:val="00393FE9"/>
    <w:rsid w:val="0039462C"/>
    <w:rsid w:val="00395140"/>
    <w:rsid w:val="0039581D"/>
    <w:rsid w:val="00395F2D"/>
    <w:rsid w:val="00396EEC"/>
    <w:rsid w:val="003A0249"/>
    <w:rsid w:val="003A2422"/>
    <w:rsid w:val="003A33D0"/>
    <w:rsid w:val="003A3BE3"/>
    <w:rsid w:val="003A7436"/>
    <w:rsid w:val="003A7E40"/>
    <w:rsid w:val="003B0CAD"/>
    <w:rsid w:val="003B149C"/>
    <w:rsid w:val="003B2158"/>
    <w:rsid w:val="003B6302"/>
    <w:rsid w:val="003C014E"/>
    <w:rsid w:val="003C0804"/>
    <w:rsid w:val="003C0FDB"/>
    <w:rsid w:val="003C1192"/>
    <w:rsid w:val="003C2A0D"/>
    <w:rsid w:val="003C55E2"/>
    <w:rsid w:val="003C5D25"/>
    <w:rsid w:val="003C63D5"/>
    <w:rsid w:val="003C696A"/>
    <w:rsid w:val="003C7AA8"/>
    <w:rsid w:val="003D71A1"/>
    <w:rsid w:val="003F2740"/>
    <w:rsid w:val="003F3DBC"/>
    <w:rsid w:val="003F4DB8"/>
    <w:rsid w:val="003F7FA4"/>
    <w:rsid w:val="004058A1"/>
    <w:rsid w:val="00410332"/>
    <w:rsid w:val="0041688F"/>
    <w:rsid w:val="00420AD8"/>
    <w:rsid w:val="004219CC"/>
    <w:rsid w:val="0042376F"/>
    <w:rsid w:val="004246B8"/>
    <w:rsid w:val="004248F1"/>
    <w:rsid w:val="004254CE"/>
    <w:rsid w:val="00426DEF"/>
    <w:rsid w:val="00433318"/>
    <w:rsid w:val="00433CB4"/>
    <w:rsid w:val="00440FD6"/>
    <w:rsid w:val="00441DC0"/>
    <w:rsid w:val="00442A56"/>
    <w:rsid w:val="004444B0"/>
    <w:rsid w:val="00447C79"/>
    <w:rsid w:val="0045060B"/>
    <w:rsid w:val="0045139E"/>
    <w:rsid w:val="00452D12"/>
    <w:rsid w:val="00455DC5"/>
    <w:rsid w:val="004626FF"/>
    <w:rsid w:val="0046740F"/>
    <w:rsid w:val="00470A52"/>
    <w:rsid w:val="00471BD5"/>
    <w:rsid w:val="00473972"/>
    <w:rsid w:val="00477C4E"/>
    <w:rsid w:val="00477F07"/>
    <w:rsid w:val="00481503"/>
    <w:rsid w:val="00481D12"/>
    <w:rsid w:val="004854A6"/>
    <w:rsid w:val="00491A55"/>
    <w:rsid w:val="00492C9D"/>
    <w:rsid w:val="00494C3E"/>
    <w:rsid w:val="00497DF1"/>
    <w:rsid w:val="004A318E"/>
    <w:rsid w:val="004A57E8"/>
    <w:rsid w:val="004B3081"/>
    <w:rsid w:val="004B4A09"/>
    <w:rsid w:val="004B68EF"/>
    <w:rsid w:val="004B7A88"/>
    <w:rsid w:val="004C1CA6"/>
    <w:rsid w:val="004C41CE"/>
    <w:rsid w:val="004C631B"/>
    <w:rsid w:val="004C6BE5"/>
    <w:rsid w:val="004D125B"/>
    <w:rsid w:val="004D2F00"/>
    <w:rsid w:val="004D31D8"/>
    <w:rsid w:val="004D41F2"/>
    <w:rsid w:val="004D480D"/>
    <w:rsid w:val="004D5388"/>
    <w:rsid w:val="004E2269"/>
    <w:rsid w:val="004E5371"/>
    <w:rsid w:val="004E7F16"/>
    <w:rsid w:val="004F0FA0"/>
    <w:rsid w:val="004F18EC"/>
    <w:rsid w:val="00500D68"/>
    <w:rsid w:val="005038D2"/>
    <w:rsid w:val="00504254"/>
    <w:rsid w:val="0050460C"/>
    <w:rsid w:val="00522D23"/>
    <w:rsid w:val="00523A34"/>
    <w:rsid w:val="00531886"/>
    <w:rsid w:val="0053377D"/>
    <w:rsid w:val="005338BB"/>
    <w:rsid w:val="00535DFE"/>
    <w:rsid w:val="005373B5"/>
    <w:rsid w:val="00537AB7"/>
    <w:rsid w:val="005412F4"/>
    <w:rsid w:val="00543BF2"/>
    <w:rsid w:val="00544F03"/>
    <w:rsid w:val="0054669B"/>
    <w:rsid w:val="00553C37"/>
    <w:rsid w:val="005555FA"/>
    <w:rsid w:val="005610D1"/>
    <w:rsid w:val="00562F42"/>
    <w:rsid w:val="00565739"/>
    <w:rsid w:val="0056766D"/>
    <w:rsid w:val="00575215"/>
    <w:rsid w:val="00575962"/>
    <w:rsid w:val="00584505"/>
    <w:rsid w:val="0058575E"/>
    <w:rsid w:val="0058783C"/>
    <w:rsid w:val="0058796A"/>
    <w:rsid w:val="005911AE"/>
    <w:rsid w:val="005926E2"/>
    <w:rsid w:val="0059313A"/>
    <w:rsid w:val="00596DD7"/>
    <w:rsid w:val="005A3AEC"/>
    <w:rsid w:val="005A54EA"/>
    <w:rsid w:val="005A6DEA"/>
    <w:rsid w:val="005B023F"/>
    <w:rsid w:val="005B02A2"/>
    <w:rsid w:val="005B1417"/>
    <w:rsid w:val="005B69CF"/>
    <w:rsid w:val="005B6CAB"/>
    <w:rsid w:val="005C3C65"/>
    <w:rsid w:val="005C3F07"/>
    <w:rsid w:val="005C45DB"/>
    <w:rsid w:val="005C4B46"/>
    <w:rsid w:val="005C5DC5"/>
    <w:rsid w:val="005D2089"/>
    <w:rsid w:val="005D4AB2"/>
    <w:rsid w:val="005D7514"/>
    <w:rsid w:val="005E05E2"/>
    <w:rsid w:val="005E0FC6"/>
    <w:rsid w:val="005E1A7B"/>
    <w:rsid w:val="005E231F"/>
    <w:rsid w:val="005E7EE3"/>
    <w:rsid w:val="005F7EFC"/>
    <w:rsid w:val="0060142E"/>
    <w:rsid w:val="00602D6E"/>
    <w:rsid w:val="00605C05"/>
    <w:rsid w:val="00611351"/>
    <w:rsid w:val="0061217D"/>
    <w:rsid w:val="00614AA1"/>
    <w:rsid w:val="0061666C"/>
    <w:rsid w:val="00622D27"/>
    <w:rsid w:val="00623DB2"/>
    <w:rsid w:val="00624192"/>
    <w:rsid w:val="00626946"/>
    <w:rsid w:val="0062699C"/>
    <w:rsid w:val="006277A1"/>
    <w:rsid w:val="00633BD7"/>
    <w:rsid w:val="00634580"/>
    <w:rsid w:val="00634884"/>
    <w:rsid w:val="006351D9"/>
    <w:rsid w:val="00637098"/>
    <w:rsid w:val="00637130"/>
    <w:rsid w:val="00637F0E"/>
    <w:rsid w:val="00641C3B"/>
    <w:rsid w:val="006423F2"/>
    <w:rsid w:val="006430D8"/>
    <w:rsid w:val="00647AD7"/>
    <w:rsid w:val="00650234"/>
    <w:rsid w:val="00650F79"/>
    <w:rsid w:val="0066044B"/>
    <w:rsid w:val="00660980"/>
    <w:rsid w:val="006630AA"/>
    <w:rsid w:val="00663544"/>
    <w:rsid w:val="00666539"/>
    <w:rsid w:val="00666911"/>
    <w:rsid w:val="00671D39"/>
    <w:rsid w:val="00675892"/>
    <w:rsid w:val="00675F81"/>
    <w:rsid w:val="0067671A"/>
    <w:rsid w:val="0068143E"/>
    <w:rsid w:val="0068507D"/>
    <w:rsid w:val="0068594B"/>
    <w:rsid w:val="00691AF2"/>
    <w:rsid w:val="00692B80"/>
    <w:rsid w:val="00692CCD"/>
    <w:rsid w:val="00692D51"/>
    <w:rsid w:val="0069377B"/>
    <w:rsid w:val="00694DD7"/>
    <w:rsid w:val="0069540D"/>
    <w:rsid w:val="0069636B"/>
    <w:rsid w:val="006A1762"/>
    <w:rsid w:val="006A1F0B"/>
    <w:rsid w:val="006A277A"/>
    <w:rsid w:val="006A3DB1"/>
    <w:rsid w:val="006A47D5"/>
    <w:rsid w:val="006A5973"/>
    <w:rsid w:val="006B0ED7"/>
    <w:rsid w:val="006B3C3D"/>
    <w:rsid w:val="006B7126"/>
    <w:rsid w:val="006B7421"/>
    <w:rsid w:val="006B7659"/>
    <w:rsid w:val="006B76B2"/>
    <w:rsid w:val="006C0E6D"/>
    <w:rsid w:val="006C2FCC"/>
    <w:rsid w:val="006C3919"/>
    <w:rsid w:val="006C3C83"/>
    <w:rsid w:val="006C40B7"/>
    <w:rsid w:val="006C6B86"/>
    <w:rsid w:val="006D4553"/>
    <w:rsid w:val="006D4A35"/>
    <w:rsid w:val="006D4B1E"/>
    <w:rsid w:val="006D6430"/>
    <w:rsid w:val="006D6B44"/>
    <w:rsid w:val="006E27FE"/>
    <w:rsid w:val="006F2DC0"/>
    <w:rsid w:val="006F5366"/>
    <w:rsid w:val="00701110"/>
    <w:rsid w:val="00702E91"/>
    <w:rsid w:val="0070330F"/>
    <w:rsid w:val="00703624"/>
    <w:rsid w:val="00703812"/>
    <w:rsid w:val="007046ED"/>
    <w:rsid w:val="007072A1"/>
    <w:rsid w:val="007076FA"/>
    <w:rsid w:val="00710BC5"/>
    <w:rsid w:val="007121CA"/>
    <w:rsid w:val="0072003B"/>
    <w:rsid w:val="00721059"/>
    <w:rsid w:val="007211E6"/>
    <w:rsid w:val="007220C4"/>
    <w:rsid w:val="0072344A"/>
    <w:rsid w:val="007236E3"/>
    <w:rsid w:val="00726674"/>
    <w:rsid w:val="00732361"/>
    <w:rsid w:val="007357B9"/>
    <w:rsid w:val="0074166A"/>
    <w:rsid w:val="00741AB9"/>
    <w:rsid w:val="007420BE"/>
    <w:rsid w:val="00742D03"/>
    <w:rsid w:val="00744216"/>
    <w:rsid w:val="00744D3B"/>
    <w:rsid w:val="007452E8"/>
    <w:rsid w:val="00746990"/>
    <w:rsid w:val="00747093"/>
    <w:rsid w:val="00750549"/>
    <w:rsid w:val="00750D70"/>
    <w:rsid w:val="00752AC0"/>
    <w:rsid w:val="007571D7"/>
    <w:rsid w:val="007575D0"/>
    <w:rsid w:val="007600F8"/>
    <w:rsid w:val="00760215"/>
    <w:rsid w:val="007662E0"/>
    <w:rsid w:val="0076725A"/>
    <w:rsid w:val="00772AE8"/>
    <w:rsid w:val="00773545"/>
    <w:rsid w:val="00776E9C"/>
    <w:rsid w:val="0077724E"/>
    <w:rsid w:val="007801E7"/>
    <w:rsid w:val="007816D8"/>
    <w:rsid w:val="0078290A"/>
    <w:rsid w:val="00783E26"/>
    <w:rsid w:val="00784150"/>
    <w:rsid w:val="00784A39"/>
    <w:rsid w:val="00793272"/>
    <w:rsid w:val="0079340E"/>
    <w:rsid w:val="00793AB2"/>
    <w:rsid w:val="0079499A"/>
    <w:rsid w:val="00794B64"/>
    <w:rsid w:val="0079528E"/>
    <w:rsid w:val="007967C3"/>
    <w:rsid w:val="007A0A33"/>
    <w:rsid w:val="007A0B77"/>
    <w:rsid w:val="007A1140"/>
    <w:rsid w:val="007A18C7"/>
    <w:rsid w:val="007A2C26"/>
    <w:rsid w:val="007A5397"/>
    <w:rsid w:val="007A7EAC"/>
    <w:rsid w:val="007B04DE"/>
    <w:rsid w:val="007B0AE6"/>
    <w:rsid w:val="007B1B14"/>
    <w:rsid w:val="007B750A"/>
    <w:rsid w:val="007C0370"/>
    <w:rsid w:val="007C0F0B"/>
    <w:rsid w:val="007C1E07"/>
    <w:rsid w:val="007C57BC"/>
    <w:rsid w:val="007D04CA"/>
    <w:rsid w:val="007D0A2B"/>
    <w:rsid w:val="007D12A1"/>
    <w:rsid w:val="007D40E5"/>
    <w:rsid w:val="007D4138"/>
    <w:rsid w:val="007E20BD"/>
    <w:rsid w:val="007E4178"/>
    <w:rsid w:val="007E4F4C"/>
    <w:rsid w:val="007F0A77"/>
    <w:rsid w:val="007F1E37"/>
    <w:rsid w:val="007F50D3"/>
    <w:rsid w:val="007F6B1F"/>
    <w:rsid w:val="007F6CDC"/>
    <w:rsid w:val="00800172"/>
    <w:rsid w:val="00800393"/>
    <w:rsid w:val="00802252"/>
    <w:rsid w:val="0080420F"/>
    <w:rsid w:val="00804897"/>
    <w:rsid w:val="00812E6A"/>
    <w:rsid w:val="0081573F"/>
    <w:rsid w:val="00822453"/>
    <w:rsid w:val="008304E7"/>
    <w:rsid w:val="008329DB"/>
    <w:rsid w:val="00834D67"/>
    <w:rsid w:val="008361C5"/>
    <w:rsid w:val="0083628F"/>
    <w:rsid w:val="00837AB9"/>
    <w:rsid w:val="00850637"/>
    <w:rsid w:val="00852EA2"/>
    <w:rsid w:val="00854D98"/>
    <w:rsid w:val="0085751E"/>
    <w:rsid w:val="00860B29"/>
    <w:rsid w:val="008622E8"/>
    <w:rsid w:val="00862AE4"/>
    <w:rsid w:val="008638E8"/>
    <w:rsid w:val="008645EE"/>
    <w:rsid w:val="00870144"/>
    <w:rsid w:val="0087087B"/>
    <w:rsid w:val="00873D7A"/>
    <w:rsid w:val="008772E1"/>
    <w:rsid w:val="00877CB3"/>
    <w:rsid w:val="008804CF"/>
    <w:rsid w:val="00882C29"/>
    <w:rsid w:val="00882D58"/>
    <w:rsid w:val="00882F19"/>
    <w:rsid w:val="00883D35"/>
    <w:rsid w:val="00884569"/>
    <w:rsid w:val="0088718B"/>
    <w:rsid w:val="00887A51"/>
    <w:rsid w:val="00890D9B"/>
    <w:rsid w:val="00891C6C"/>
    <w:rsid w:val="008922D1"/>
    <w:rsid w:val="00893CCD"/>
    <w:rsid w:val="008964B3"/>
    <w:rsid w:val="00896F38"/>
    <w:rsid w:val="008B1CB5"/>
    <w:rsid w:val="008B5277"/>
    <w:rsid w:val="008B7ABB"/>
    <w:rsid w:val="008C140B"/>
    <w:rsid w:val="008C2D69"/>
    <w:rsid w:val="008C41E1"/>
    <w:rsid w:val="008C49C6"/>
    <w:rsid w:val="008C562E"/>
    <w:rsid w:val="008C754C"/>
    <w:rsid w:val="008D2A56"/>
    <w:rsid w:val="008D56C9"/>
    <w:rsid w:val="008D6A54"/>
    <w:rsid w:val="008E2585"/>
    <w:rsid w:val="008E2D7A"/>
    <w:rsid w:val="008E4B64"/>
    <w:rsid w:val="008E4C7D"/>
    <w:rsid w:val="008E7CF4"/>
    <w:rsid w:val="008F3215"/>
    <w:rsid w:val="008F4A62"/>
    <w:rsid w:val="008F4C69"/>
    <w:rsid w:val="008F6582"/>
    <w:rsid w:val="008F668B"/>
    <w:rsid w:val="008F7256"/>
    <w:rsid w:val="0090054A"/>
    <w:rsid w:val="009016C2"/>
    <w:rsid w:val="0090424C"/>
    <w:rsid w:val="00905072"/>
    <w:rsid w:val="00905C49"/>
    <w:rsid w:val="0090605E"/>
    <w:rsid w:val="009108CE"/>
    <w:rsid w:val="00912940"/>
    <w:rsid w:val="009135F7"/>
    <w:rsid w:val="00915A9F"/>
    <w:rsid w:val="00924157"/>
    <w:rsid w:val="00926601"/>
    <w:rsid w:val="00930D58"/>
    <w:rsid w:val="00935AAA"/>
    <w:rsid w:val="009402D7"/>
    <w:rsid w:val="0094375F"/>
    <w:rsid w:val="00946249"/>
    <w:rsid w:val="00946A0F"/>
    <w:rsid w:val="0095031E"/>
    <w:rsid w:val="00953B3E"/>
    <w:rsid w:val="00954297"/>
    <w:rsid w:val="00960A56"/>
    <w:rsid w:val="00960BC8"/>
    <w:rsid w:val="00966EF1"/>
    <w:rsid w:val="00967223"/>
    <w:rsid w:val="00971BB1"/>
    <w:rsid w:val="009750C4"/>
    <w:rsid w:val="009751F7"/>
    <w:rsid w:val="009761E0"/>
    <w:rsid w:val="00977486"/>
    <w:rsid w:val="00982649"/>
    <w:rsid w:val="0098350E"/>
    <w:rsid w:val="0099404F"/>
    <w:rsid w:val="00996FA5"/>
    <w:rsid w:val="009A0782"/>
    <w:rsid w:val="009A1C1C"/>
    <w:rsid w:val="009A1C1D"/>
    <w:rsid w:val="009A1D1F"/>
    <w:rsid w:val="009B0374"/>
    <w:rsid w:val="009B0745"/>
    <w:rsid w:val="009B5662"/>
    <w:rsid w:val="009B7413"/>
    <w:rsid w:val="009C2211"/>
    <w:rsid w:val="009C40E8"/>
    <w:rsid w:val="009C45C5"/>
    <w:rsid w:val="009C46A5"/>
    <w:rsid w:val="009D3936"/>
    <w:rsid w:val="009D7C39"/>
    <w:rsid w:val="009E3553"/>
    <w:rsid w:val="009E6858"/>
    <w:rsid w:val="009E6F8C"/>
    <w:rsid w:val="009F405F"/>
    <w:rsid w:val="009F7D6C"/>
    <w:rsid w:val="00A01C3F"/>
    <w:rsid w:val="00A01C56"/>
    <w:rsid w:val="00A02B48"/>
    <w:rsid w:val="00A1257D"/>
    <w:rsid w:val="00A164FE"/>
    <w:rsid w:val="00A21603"/>
    <w:rsid w:val="00A2448B"/>
    <w:rsid w:val="00A25E6E"/>
    <w:rsid w:val="00A32C50"/>
    <w:rsid w:val="00A358E7"/>
    <w:rsid w:val="00A4014D"/>
    <w:rsid w:val="00A4380B"/>
    <w:rsid w:val="00A4496F"/>
    <w:rsid w:val="00A50C50"/>
    <w:rsid w:val="00A51A2D"/>
    <w:rsid w:val="00A52D0A"/>
    <w:rsid w:val="00A5351D"/>
    <w:rsid w:val="00A5596B"/>
    <w:rsid w:val="00A63C07"/>
    <w:rsid w:val="00A63D9B"/>
    <w:rsid w:val="00A704DC"/>
    <w:rsid w:val="00A75596"/>
    <w:rsid w:val="00A77A02"/>
    <w:rsid w:val="00A8007B"/>
    <w:rsid w:val="00A80D75"/>
    <w:rsid w:val="00A93DC6"/>
    <w:rsid w:val="00A9411A"/>
    <w:rsid w:val="00A942CE"/>
    <w:rsid w:val="00A9448B"/>
    <w:rsid w:val="00A953C9"/>
    <w:rsid w:val="00AA20F3"/>
    <w:rsid w:val="00AA2723"/>
    <w:rsid w:val="00AA3DBD"/>
    <w:rsid w:val="00AA4A4B"/>
    <w:rsid w:val="00AA6682"/>
    <w:rsid w:val="00AB0613"/>
    <w:rsid w:val="00AB308D"/>
    <w:rsid w:val="00AB468D"/>
    <w:rsid w:val="00AB7C5C"/>
    <w:rsid w:val="00AB7CBF"/>
    <w:rsid w:val="00AD0111"/>
    <w:rsid w:val="00AD147F"/>
    <w:rsid w:val="00AD3400"/>
    <w:rsid w:val="00AD36DB"/>
    <w:rsid w:val="00AD4C72"/>
    <w:rsid w:val="00AD532E"/>
    <w:rsid w:val="00AD533D"/>
    <w:rsid w:val="00AD5451"/>
    <w:rsid w:val="00AD564D"/>
    <w:rsid w:val="00AE1947"/>
    <w:rsid w:val="00AE247F"/>
    <w:rsid w:val="00AE2D9E"/>
    <w:rsid w:val="00AE6FE6"/>
    <w:rsid w:val="00AF1C8B"/>
    <w:rsid w:val="00AF299B"/>
    <w:rsid w:val="00AF3059"/>
    <w:rsid w:val="00AF4834"/>
    <w:rsid w:val="00AF7E43"/>
    <w:rsid w:val="00B02AE0"/>
    <w:rsid w:val="00B05326"/>
    <w:rsid w:val="00B05DF4"/>
    <w:rsid w:val="00B109C7"/>
    <w:rsid w:val="00B11A25"/>
    <w:rsid w:val="00B123EA"/>
    <w:rsid w:val="00B14545"/>
    <w:rsid w:val="00B14E60"/>
    <w:rsid w:val="00B176FD"/>
    <w:rsid w:val="00B17BA2"/>
    <w:rsid w:val="00B26DC3"/>
    <w:rsid w:val="00B30B9D"/>
    <w:rsid w:val="00B3252C"/>
    <w:rsid w:val="00B3446E"/>
    <w:rsid w:val="00B344A4"/>
    <w:rsid w:val="00B3547D"/>
    <w:rsid w:val="00B356E3"/>
    <w:rsid w:val="00B36881"/>
    <w:rsid w:val="00B3781B"/>
    <w:rsid w:val="00B37FB4"/>
    <w:rsid w:val="00B44481"/>
    <w:rsid w:val="00B4574D"/>
    <w:rsid w:val="00B468E1"/>
    <w:rsid w:val="00B46BC0"/>
    <w:rsid w:val="00B46DFB"/>
    <w:rsid w:val="00B5141B"/>
    <w:rsid w:val="00B53679"/>
    <w:rsid w:val="00B544BB"/>
    <w:rsid w:val="00B55681"/>
    <w:rsid w:val="00B57AAD"/>
    <w:rsid w:val="00B657B2"/>
    <w:rsid w:val="00B72B16"/>
    <w:rsid w:val="00B73E62"/>
    <w:rsid w:val="00B748B3"/>
    <w:rsid w:val="00B80408"/>
    <w:rsid w:val="00B80D2A"/>
    <w:rsid w:val="00B81397"/>
    <w:rsid w:val="00B820FE"/>
    <w:rsid w:val="00B8297C"/>
    <w:rsid w:val="00B8511A"/>
    <w:rsid w:val="00B925DB"/>
    <w:rsid w:val="00B94171"/>
    <w:rsid w:val="00B967FF"/>
    <w:rsid w:val="00B974B9"/>
    <w:rsid w:val="00BA3F6D"/>
    <w:rsid w:val="00BA4BE6"/>
    <w:rsid w:val="00BA4EAE"/>
    <w:rsid w:val="00BA4FC0"/>
    <w:rsid w:val="00BA61E0"/>
    <w:rsid w:val="00BA7F7D"/>
    <w:rsid w:val="00BB1C14"/>
    <w:rsid w:val="00BB6847"/>
    <w:rsid w:val="00BB7A79"/>
    <w:rsid w:val="00BB7F8F"/>
    <w:rsid w:val="00BC38C2"/>
    <w:rsid w:val="00BC716A"/>
    <w:rsid w:val="00BD07DF"/>
    <w:rsid w:val="00BD26F4"/>
    <w:rsid w:val="00BD48E7"/>
    <w:rsid w:val="00BD5DBD"/>
    <w:rsid w:val="00BD5DF6"/>
    <w:rsid w:val="00BE0041"/>
    <w:rsid w:val="00BE0308"/>
    <w:rsid w:val="00BE229E"/>
    <w:rsid w:val="00BE640F"/>
    <w:rsid w:val="00BE7D86"/>
    <w:rsid w:val="00BF23D4"/>
    <w:rsid w:val="00BF4638"/>
    <w:rsid w:val="00BF4B44"/>
    <w:rsid w:val="00C048BE"/>
    <w:rsid w:val="00C059D0"/>
    <w:rsid w:val="00C07551"/>
    <w:rsid w:val="00C105AD"/>
    <w:rsid w:val="00C10DFF"/>
    <w:rsid w:val="00C1109F"/>
    <w:rsid w:val="00C12D65"/>
    <w:rsid w:val="00C133AB"/>
    <w:rsid w:val="00C14608"/>
    <w:rsid w:val="00C14F09"/>
    <w:rsid w:val="00C16915"/>
    <w:rsid w:val="00C16BCA"/>
    <w:rsid w:val="00C20B56"/>
    <w:rsid w:val="00C22214"/>
    <w:rsid w:val="00C23AF9"/>
    <w:rsid w:val="00C248D6"/>
    <w:rsid w:val="00C26F72"/>
    <w:rsid w:val="00C309A7"/>
    <w:rsid w:val="00C31645"/>
    <w:rsid w:val="00C335AB"/>
    <w:rsid w:val="00C34336"/>
    <w:rsid w:val="00C35521"/>
    <w:rsid w:val="00C407AB"/>
    <w:rsid w:val="00C40F73"/>
    <w:rsid w:val="00C443C9"/>
    <w:rsid w:val="00C44D64"/>
    <w:rsid w:val="00C466C3"/>
    <w:rsid w:val="00C467CE"/>
    <w:rsid w:val="00C477DC"/>
    <w:rsid w:val="00C47C0B"/>
    <w:rsid w:val="00C52B7B"/>
    <w:rsid w:val="00C534A7"/>
    <w:rsid w:val="00C547CD"/>
    <w:rsid w:val="00C570FF"/>
    <w:rsid w:val="00C57CEA"/>
    <w:rsid w:val="00C60FEC"/>
    <w:rsid w:val="00C6574E"/>
    <w:rsid w:val="00C707FD"/>
    <w:rsid w:val="00C70C2A"/>
    <w:rsid w:val="00C76DEB"/>
    <w:rsid w:val="00C77374"/>
    <w:rsid w:val="00C816C6"/>
    <w:rsid w:val="00C82F5B"/>
    <w:rsid w:val="00C863A7"/>
    <w:rsid w:val="00C912F4"/>
    <w:rsid w:val="00C9153D"/>
    <w:rsid w:val="00C9156F"/>
    <w:rsid w:val="00C91D79"/>
    <w:rsid w:val="00C91EA2"/>
    <w:rsid w:val="00C93661"/>
    <w:rsid w:val="00C93B58"/>
    <w:rsid w:val="00C9581A"/>
    <w:rsid w:val="00C97D29"/>
    <w:rsid w:val="00CB0550"/>
    <w:rsid w:val="00CB2031"/>
    <w:rsid w:val="00CB6813"/>
    <w:rsid w:val="00CC393D"/>
    <w:rsid w:val="00CD2A3C"/>
    <w:rsid w:val="00CD2C6C"/>
    <w:rsid w:val="00CD615C"/>
    <w:rsid w:val="00CE1149"/>
    <w:rsid w:val="00CE7B91"/>
    <w:rsid w:val="00CF038F"/>
    <w:rsid w:val="00CF0E8A"/>
    <w:rsid w:val="00CF6A55"/>
    <w:rsid w:val="00CF6DC6"/>
    <w:rsid w:val="00CF6DCF"/>
    <w:rsid w:val="00CF7252"/>
    <w:rsid w:val="00D01DDB"/>
    <w:rsid w:val="00D078BE"/>
    <w:rsid w:val="00D13F8A"/>
    <w:rsid w:val="00D160AB"/>
    <w:rsid w:val="00D16F60"/>
    <w:rsid w:val="00D205B4"/>
    <w:rsid w:val="00D22981"/>
    <w:rsid w:val="00D24281"/>
    <w:rsid w:val="00D2548A"/>
    <w:rsid w:val="00D3349B"/>
    <w:rsid w:val="00D36D26"/>
    <w:rsid w:val="00D424A8"/>
    <w:rsid w:val="00D429CE"/>
    <w:rsid w:val="00D45546"/>
    <w:rsid w:val="00D501C0"/>
    <w:rsid w:val="00D508E5"/>
    <w:rsid w:val="00D51714"/>
    <w:rsid w:val="00D6036F"/>
    <w:rsid w:val="00D61EBB"/>
    <w:rsid w:val="00D62877"/>
    <w:rsid w:val="00D63760"/>
    <w:rsid w:val="00D64B66"/>
    <w:rsid w:val="00D6563B"/>
    <w:rsid w:val="00D6703F"/>
    <w:rsid w:val="00D672D3"/>
    <w:rsid w:val="00D67706"/>
    <w:rsid w:val="00D734EB"/>
    <w:rsid w:val="00D77026"/>
    <w:rsid w:val="00D77E21"/>
    <w:rsid w:val="00D82713"/>
    <w:rsid w:val="00D86F00"/>
    <w:rsid w:val="00D87BD7"/>
    <w:rsid w:val="00D90C00"/>
    <w:rsid w:val="00D918D5"/>
    <w:rsid w:val="00D91AC7"/>
    <w:rsid w:val="00D9340C"/>
    <w:rsid w:val="00D94C8E"/>
    <w:rsid w:val="00D96918"/>
    <w:rsid w:val="00DA40B7"/>
    <w:rsid w:val="00DA48E1"/>
    <w:rsid w:val="00DA77B3"/>
    <w:rsid w:val="00DB1372"/>
    <w:rsid w:val="00DB192C"/>
    <w:rsid w:val="00DB1CF3"/>
    <w:rsid w:val="00DB5425"/>
    <w:rsid w:val="00DB6FD0"/>
    <w:rsid w:val="00DB72A6"/>
    <w:rsid w:val="00DC6611"/>
    <w:rsid w:val="00DE1344"/>
    <w:rsid w:val="00DE7922"/>
    <w:rsid w:val="00DE7FCD"/>
    <w:rsid w:val="00DF0A82"/>
    <w:rsid w:val="00DF5BFE"/>
    <w:rsid w:val="00E0523F"/>
    <w:rsid w:val="00E056A4"/>
    <w:rsid w:val="00E063C4"/>
    <w:rsid w:val="00E12E7C"/>
    <w:rsid w:val="00E13A1F"/>
    <w:rsid w:val="00E22C04"/>
    <w:rsid w:val="00E23E50"/>
    <w:rsid w:val="00E26213"/>
    <w:rsid w:val="00E26441"/>
    <w:rsid w:val="00E274DF"/>
    <w:rsid w:val="00E31A84"/>
    <w:rsid w:val="00E32F31"/>
    <w:rsid w:val="00E34D66"/>
    <w:rsid w:val="00E362C4"/>
    <w:rsid w:val="00E448C1"/>
    <w:rsid w:val="00E463A3"/>
    <w:rsid w:val="00E467A5"/>
    <w:rsid w:val="00E46CC2"/>
    <w:rsid w:val="00E47E0C"/>
    <w:rsid w:val="00E51813"/>
    <w:rsid w:val="00E52C0B"/>
    <w:rsid w:val="00E53D3F"/>
    <w:rsid w:val="00E55431"/>
    <w:rsid w:val="00E5579B"/>
    <w:rsid w:val="00E57FF4"/>
    <w:rsid w:val="00E6093B"/>
    <w:rsid w:val="00E63997"/>
    <w:rsid w:val="00E679D1"/>
    <w:rsid w:val="00E67C1C"/>
    <w:rsid w:val="00E704CC"/>
    <w:rsid w:val="00E825AD"/>
    <w:rsid w:val="00E837FA"/>
    <w:rsid w:val="00E83891"/>
    <w:rsid w:val="00E91C7C"/>
    <w:rsid w:val="00E91F11"/>
    <w:rsid w:val="00E9706D"/>
    <w:rsid w:val="00EA2140"/>
    <w:rsid w:val="00EA25AC"/>
    <w:rsid w:val="00EA2ED7"/>
    <w:rsid w:val="00EA328A"/>
    <w:rsid w:val="00EA3AF4"/>
    <w:rsid w:val="00EB12D2"/>
    <w:rsid w:val="00EB687C"/>
    <w:rsid w:val="00EB78ED"/>
    <w:rsid w:val="00EC128E"/>
    <w:rsid w:val="00EC1EC4"/>
    <w:rsid w:val="00EC6D3F"/>
    <w:rsid w:val="00EC7456"/>
    <w:rsid w:val="00ED1BBD"/>
    <w:rsid w:val="00ED3571"/>
    <w:rsid w:val="00ED784F"/>
    <w:rsid w:val="00EE389B"/>
    <w:rsid w:val="00EF3F0B"/>
    <w:rsid w:val="00EF5583"/>
    <w:rsid w:val="00F0289D"/>
    <w:rsid w:val="00F02AEC"/>
    <w:rsid w:val="00F07572"/>
    <w:rsid w:val="00F157FC"/>
    <w:rsid w:val="00F233FD"/>
    <w:rsid w:val="00F24489"/>
    <w:rsid w:val="00F30A58"/>
    <w:rsid w:val="00F30AF3"/>
    <w:rsid w:val="00F3301B"/>
    <w:rsid w:val="00F40079"/>
    <w:rsid w:val="00F41F45"/>
    <w:rsid w:val="00F4228A"/>
    <w:rsid w:val="00F43CD1"/>
    <w:rsid w:val="00F45196"/>
    <w:rsid w:val="00F45AE0"/>
    <w:rsid w:val="00F46085"/>
    <w:rsid w:val="00F53185"/>
    <w:rsid w:val="00F56718"/>
    <w:rsid w:val="00F60CF2"/>
    <w:rsid w:val="00F62B7C"/>
    <w:rsid w:val="00F65565"/>
    <w:rsid w:val="00F657B4"/>
    <w:rsid w:val="00F7516B"/>
    <w:rsid w:val="00F75C08"/>
    <w:rsid w:val="00F7649F"/>
    <w:rsid w:val="00F766EF"/>
    <w:rsid w:val="00F8083B"/>
    <w:rsid w:val="00F83074"/>
    <w:rsid w:val="00F865A7"/>
    <w:rsid w:val="00F91C91"/>
    <w:rsid w:val="00F956CF"/>
    <w:rsid w:val="00FA0754"/>
    <w:rsid w:val="00FA1BC9"/>
    <w:rsid w:val="00FA46BC"/>
    <w:rsid w:val="00FA49C3"/>
    <w:rsid w:val="00FA7D5A"/>
    <w:rsid w:val="00FB236E"/>
    <w:rsid w:val="00FB3F7B"/>
    <w:rsid w:val="00FB4C2A"/>
    <w:rsid w:val="00FB6230"/>
    <w:rsid w:val="00FC2107"/>
    <w:rsid w:val="00FC48FE"/>
    <w:rsid w:val="00FC6F56"/>
    <w:rsid w:val="00FD31A1"/>
    <w:rsid w:val="00FD4D18"/>
    <w:rsid w:val="00FE087C"/>
    <w:rsid w:val="00FE79A0"/>
    <w:rsid w:val="00FE7AC0"/>
    <w:rsid w:val="00FF0939"/>
    <w:rsid w:val="00FF43B4"/>
    <w:rsid w:val="00FF64A1"/>
    <w:rsid w:val="00FF742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65B24F5C-93AB-43CA-B912-7D3EBF36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B820FE"/>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Heading5"/>
    <w:next w:val="Normal"/>
    <w:link w:val="Heading6Char"/>
    <w:uiPriority w:val="9"/>
    <w:qFormat/>
    <w:rsid w:val="00075EFA"/>
    <w:pPr>
      <w:outlineLvl w:val="5"/>
    </w:pPr>
    <w:rPr>
      <w:sz w:val="22"/>
    </w:rPr>
  </w:style>
  <w:style w:type="paragraph" w:styleId="Heading7">
    <w:name w:val="heading 7"/>
    <w:basedOn w:val="Normal"/>
    <w:next w:val="Normal"/>
    <w:link w:val="Heading7Char"/>
    <w:uiPriority w:val="9"/>
    <w:qFormat/>
    <w:rsid w:val="00B820FE"/>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075EFA"/>
    <w:rPr>
      <w:rFonts w:ascii="Arial" w:eastAsia="Times New Roman" w:hAnsi="Arial" w:cs="Times New Roman"/>
      <w:b/>
      <w:bCs/>
      <w:i/>
      <w:color w:val="001871"/>
      <w:sz w:val="22"/>
      <w:szCs w:val="26"/>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EB78ED"/>
    <w:pPr>
      <w:numPr>
        <w:numId w:val="25"/>
      </w:numPr>
      <w:adjustRightInd w:val="0"/>
      <w:snapToGrid w:val="0"/>
      <w:spacing w:before="180" w:after="180" w:line="240" w:lineRule="atLeast"/>
      <w:ind w:left="360"/>
      <w:contextualSpacing/>
    </w:pPr>
    <w:rPr>
      <w:rFonts w:cs="Times New Roman"/>
      <w:szCs w:val="24"/>
    </w:rPr>
  </w:style>
  <w:style w:type="character" w:customStyle="1" w:styleId="ListParagraphChar">
    <w:name w:val="List Paragraph Char"/>
    <w:basedOn w:val="DefaultParagraphFont"/>
    <w:link w:val="ListParagraph"/>
    <w:uiPriority w:val="34"/>
    <w:locked/>
    <w:rsid w:val="00EB78ED"/>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rsid w:val="00B820FE"/>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B820FE"/>
    <w:rPr>
      <w:rFonts w:ascii="Cambria" w:eastAsia="Times New Roman" w:hAnsi="Cambria" w:cs="Times New Roman"/>
      <w:bCs/>
      <w:szCs w:val="24"/>
    </w:rPr>
  </w:style>
  <w:style w:type="paragraph" w:customStyle="1" w:styleId="AxisLabel">
    <w:name w:val="Axis Label"/>
    <w:basedOn w:val="Normal"/>
    <w:qFormat/>
    <w:rsid w:val="00B820FE"/>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B820FE"/>
    <w:pPr>
      <w:spacing w:before="120" w:after="0" w:line="240" w:lineRule="auto"/>
    </w:pPr>
    <w:rPr>
      <w:rFonts w:ascii="Arial" w:eastAsia="Cambria" w:hAnsi="Arial" w:cs="Times New Roman"/>
      <w:sz w:val="16"/>
      <w:szCs w:val="22"/>
    </w:rPr>
  </w:style>
  <w:style w:type="paragraph" w:customStyle="1" w:styleId="Contents">
    <w:name w:val="Contents"/>
    <w:basedOn w:val="Normal"/>
    <w:rsid w:val="00B820FE"/>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B820FE"/>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B820FE"/>
    <w:pPr>
      <w:spacing w:before="120" w:line="240" w:lineRule="atLeast"/>
    </w:pPr>
    <w:rPr>
      <w:rFonts w:eastAsia="Cambria" w:cs="Times New Roman"/>
      <w:sz w:val="14"/>
      <w:szCs w:val="22"/>
    </w:rPr>
  </w:style>
  <w:style w:type="table" w:styleId="LightShading-Accent2">
    <w:name w:val="Light Shading Accent 2"/>
    <w:basedOn w:val="TableNormal"/>
    <w:uiPriority w:val="60"/>
    <w:rsid w:val="00B820FE"/>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B820FE"/>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B820FE"/>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B820FE"/>
    <w:rPr>
      <w:color w:val="808080"/>
    </w:rPr>
  </w:style>
  <w:style w:type="paragraph" w:customStyle="1" w:styleId="Reference">
    <w:name w:val="Reference"/>
    <w:basedOn w:val="Normal"/>
    <w:rsid w:val="00B820FE"/>
    <w:pPr>
      <w:spacing w:before="40" w:after="0" w:line="180" w:lineRule="atLeast"/>
      <w:ind w:hanging="170"/>
    </w:pPr>
    <w:rPr>
      <w:rFonts w:eastAsia="Cambria" w:cs="Times New Roman"/>
      <w:sz w:val="19"/>
      <w:szCs w:val="22"/>
    </w:rPr>
  </w:style>
  <w:style w:type="paragraph" w:customStyle="1" w:styleId="Tabletext0">
    <w:name w:val="Table text"/>
    <w:basedOn w:val="Normal"/>
    <w:rsid w:val="00B820FE"/>
    <w:pPr>
      <w:spacing w:before="120" w:line="240" w:lineRule="atLeast"/>
    </w:pPr>
    <w:rPr>
      <w:rFonts w:eastAsia="Cambria" w:cs="Times New Roman"/>
      <w:sz w:val="19"/>
      <w:szCs w:val="22"/>
    </w:rPr>
  </w:style>
  <w:style w:type="table" w:customStyle="1" w:styleId="TableTGAblack">
    <w:name w:val="Table TGA black"/>
    <w:basedOn w:val="TableNormal"/>
    <w:uiPriority w:val="99"/>
    <w:rsid w:val="00B820FE"/>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B820FE"/>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B820FE"/>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B820FE"/>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B820FE"/>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B820FE"/>
    <w:rPr>
      <w:rFonts w:ascii="Cambria" w:eastAsia="Cambria" w:hAnsi="Cambria" w:cs="Times New Roman"/>
    </w:rPr>
  </w:style>
  <w:style w:type="character" w:styleId="EndnoteReference">
    <w:name w:val="endnote reference"/>
    <w:basedOn w:val="DefaultParagraphFont"/>
    <w:uiPriority w:val="99"/>
    <w:semiHidden/>
    <w:unhideWhenUsed/>
    <w:rsid w:val="00B820FE"/>
    <w:rPr>
      <w:vertAlign w:val="superscript"/>
    </w:rPr>
  </w:style>
  <w:style w:type="paragraph" w:customStyle="1" w:styleId="FigureCaption">
    <w:name w:val="Figure Caption"/>
    <w:basedOn w:val="Normal"/>
    <w:qFormat/>
    <w:rsid w:val="00B820FE"/>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B820FE"/>
    <w:pPr>
      <w:spacing w:after="240"/>
    </w:pPr>
    <w:rPr>
      <w:sz w:val="17"/>
    </w:rPr>
  </w:style>
  <w:style w:type="table" w:customStyle="1" w:styleId="TableTGA2">
    <w:name w:val="Table TGA 2"/>
    <w:basedOn w:val="TableNormal"/>
    <w:uiPriority w:val="99"/>
    <w:rsid w:val="00B820FE"/>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B820FE"/>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B820FE"/>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B820FE"/>
    <w:rPr>
      <w:rFonts w:ascii="Arial" w:hAnsi="Arial"/>
      <w:color w:val="002C47"/>
      <w:sz w:val="14"/>
    </w:rPr>
  </w:style>
  <w:style w:type="paragraph" w:customStyle="1" w:styleId="BodyCopy">
    <w:name w:val="Body Copy"/>
    <w:basedOn w:val="Normal"/>
    <w:qFormat/>
    <w:rsid w:val="00B820FE"/>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B820FE"/>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B820FE"/>
    <w:rPr>
      <w:rFonts w:ascii="Cambria" w:eastAsia="Times New Roman" w:hAnsi="Cambria" w:cs="Times New Roman"/>
      <w:snapToGrid w:val="0"/>
      <w:kern w:val="16"/>
      <w:sz w:val="23"/>
      <w:szCs w:val="24"/>
    </w:rPr>
  </w:style>
  <w:style w:type="paragraph" w:customStyle="1" w:styleId="Bulletpoint">
    <w:name w:val="Bullet point"/>
    <w:basedOn w:val="Standard"/>
    <w:rsid w:val="00B820FE"/>
    <w:pPr>
      <w:numPr>
        <w:numId w:val="9"/>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B820FE"/>
    <w:pPr>
      <w:keepNext/>
      <w:spacing w:after="120"/>
    </w:pPr>
    <w:rPr>
      <w:b/>
      <w:i/>
      <w:kern w:val="2"/>
      <w:sz w:val="22"/>
    </w:rPr>
  </w:style>
  <w:style w:type="paragraph" w:customStyle="1" w:styleId="Default">
    <w:name w:val="Default"/>
    <w:rsid w:val="00B820FE"/>
    <w:pPr>
      <w:autoSpaceDE w:val="0"/>
      <w:autoSpaceDN w:val="0"/>
      <w:adjustRightInd w:val="0"/>
      <w:spacing w:after="0" w:line="240" w:lineRule="auto"/>
    </w:pPr>
    <w:rPr>
      <w:rFonts w:ascii="Noto Sans" w:hAnsi="Noto Sans" w:cs="Noto Sans"/>
      <w:color w:val="000000"/>
      <w:sz w:val="24"/>
      <w:szCs w:val="24"/>
    </w:rPr>
  </w:style>
  <w:style w:type="paragraph" w:customStyle="1" w:styleId="Bulletlist">
    <w:name w:val="Bullet list"/>
    <w:basedOn w:val="Standard"/>
    <w:link w:val="BulletlistChar"/>
    <w:qFormat/>
    <w:rsid w:val="00B820FE"/>
    <w:pPr>
      <w:numPr>
        <w:numId w:val="28"/>
      </w:numPr>
      <w:spacing w:after="180"/>
      <w:ind w:left="426" w:hanging="284"/>
    </w:pPr>
    <w:rPr>
      <w:kern w:val="2"/>
    </w:rPr>
  </w:style>
  <w:style w:type="character" w:customStyle="1" w:styleId="BulletlistChar">
    <w:name w:val="Bullet list Char"/>
    <w:basedOn w:val="StandardChar"/>
    <w:link w:val="Bulletlist"/>
    <w:rsid w:val="00B820FE"/>
    <w:rPr>
      <w:rFonts w:ascii="Cambria" w:eastAsia="Times New Roman" w:hAnsi="Cambria" w:cs="Times New Roman"/>
      <w:snapToGrid w:val="0"/>
      <w:kern w:val="2"/>
      <w:sz w:val="23"/>
      <w:szCs w:val="24"/>
    </w:rPr>
  </w:style>
  <w:style w:type="character" w:styleId="Mention">
    <w:name w:val="Mention"/>
    <w:basedOn w:val="DefaultParagraphFont"/>
    <w:uiPriority w:val="99"/>
    <w:unhideWhenUsed/>
    <w:rsid w:val="002D4E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407586">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62267264">
      <w:bodyDiv w:val="1"/>
      <w:marLeft w:val="0"/>
      <w:marRight w:val="0"/>
      <w:marTop w:val="0"/>
      <w:marBottom w:val="0"/>
      <w:divBdr>
        <w:top w:val="none" w:sz="0" w:space="0" w:color="auto"/>
        <w:left w:val="none" w:sz="0" w:space="0" w:color="auto"/>
        <w:bottom w:val="none" w:sz="0" w:space="0" w:color="auto"/>
        <w:right w:val="none" w:sz="0" w:space="0" w:color="auto"/>
      </w:divBdr>
    </w:div>
    <w:div w:id="849563209">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43185553">
      <w:bodyDiv w:val="1"/>
      <w:marLeft w:val="0"/>
      <w:marRight w:val="0"/>
      <w:marTop w:val="0"/>
      <w:marBottom w:val="0"/>
      <w:divBdr>
        <w:top w:val="none" w:sz="0" w:space="0" w:color="auto"/>
        <w:left w:val="none" w:sz="0" w:space="0" w:color="auto"/>
        <w:bottom w:val="none" w:sz="0" w:space="0" w:color="auto"/>
        <w:right w:val="none" w:sz="0" w:space="0" w:color="auto"/>
      </w:divBdr>
    </w:div>
    <w:div w:id="1615937270">
      <w:bodyDiv w:val="1"/>
      <w:marLeft w:val="0"/>
      <w:marRight w:val="0"/>
      <w:marTop w:val="0"/>
      <w:marBottom w:val="0"/>
      <w:divBdr>
        <w:top w:val="none" w:sz="0" w:space="0" w:color="auto"/>
        <w:left w:val="none" w:sz="0" w:space="0" w:color="auto"/>
        <w:bottom w:val="none" w:sz="0" w:space="0" w:color="auto"/>
        <w:right w:val="none" w:sz="0" w:space="0" w:color="auto"/>
      </w:divBdr>
      <w:divsChild>
        <w:div w:id="1672902641">
          <w:marLeft w:val="0"/>
          <w:marRight w:val="0"/>
          <w:marTop w:val="0"/>
          <w:marBottom w:val="0"/>
          <w:divBdr>
            <w:top w:val="none" w:sz="0" w:space="0" w:color="auto"/>
            <w:left w:val="none" w:sz="0" w:space="0" w:color="auto"/>
            <w:bottom w:val="none" w:sz="0" w:space="0" w:color="auto"/>
            <w:right w:val="none" w:sz="0" w:space="0" w:color="auto"/>
          </w:divBdr>
          <w:divsChild>
            <w:div w:id="496238835">
              <w:marLeft w:val="0"/>
              <w:marRight w:val="0"/>
              <w:marTop w:val="0"/>
              <w:marBottom w:val="0"/>
              <w:divBdr>
                <w:top w:val="none" w:sz="0" w:space="0" w:color="auto"/>
                <w:left w:val="none" w:sz="0" w:space="0" w:color="auto"/>
                <w:bottom w:val="none" w:sz="0" w:space="0" w:color="auto"/>
                <w:right w:val="none" w:sz="0" w:space="0" w:color="auto"/>
              </w:divBdr>
              <w:divsChild>
                <w:div w:id="1285246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 w:id="166215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docubridge://open/Server=Production&amp;Id=F7599fc415c084756a4dee248ad43927c&amp;NodeId=N03751a1225ec4fcda7979cd056748043&amp;Page=0" TargetMode="External"/><Relationship Id="rId39" Type="http://schemas.openxmlformats.org/officeDocument/2006/relationships/image" Target="media/image8.tmp"/><Relationship Id="rId21" Type="http://schemas.openxmlformats.org/officeDocument/2006/relationships/image" Target="media/image4.png"/><Relationship Id="rId34" Type="http://schemas.openxmlformats.org/officeDocument/2006/relationships/hyperlink" Target="docubridge://open/Server=Production&amp;Id=F7599fc415c084756a4dee248ad43927c&amp;NodeId=Nf6a020a4f1344f349333dff165671835&amp;Page=0" TargetMode="External"/><Relationship Id="rId42" Type="http://schemas.microsoft.com/office/2007/relationships/hdphoto" Target="media/hdphoto3.wdp"/><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image" Target="media/image19.tmp"/><Relationship Id="rId63" Type="http://schemas.openxmlformats.org/officeDocument/2006/relationships/hyperlink" Target="https://www.tga.gov.au/products/australian-register-therapeutic-goods-artg/consumer-medicines-information-cmi" TargetMode="External"/><Relationship Id="rId68" Type="http://schemas.openxmlformats.org/officeDocument/2006/relationships/hyperlink" Target="https://www.tga.gov.au"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hyperlink" Target="docubridge://open/Server=Production&amp;Id=F7599fc415c084756a4dee248ad43927c&amp;NodeId=N3cd6b4d2a831486f88025dde670d574b&amp;Pag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ducts/australian-register-therapeutic-goods-artg" TargetMode="External"/><Relationship Id="rId32" Type="http://schemas.openxmlformats.org/officeDocument/2006/relationships/hyperlink" Target="docubridge://open/Server=Production&amp;Id=F7599fc415c084756a4dee248ad43927c&amp;NodeId=N03751a1225ec4fcda7979cd056748043&amp;Page=0" TargetMode="External"/><Relationship Id="rId37" Type="http://schemas.microsoft.com/office/2007/relationships/hdphoto" Target="media/hdphoto2.wdp"/><Relationship Id="rId40" Type="http://schemas.openxmlformats.org/officeDocument/2006/relationships/image" Target="media/image9.tmp"/><Relationship Id="rId45" Type="http://schemas.openxmlformats.org/officeDocument/2006/relationships/image" Target="media/image12.png"/><Relationship Id="rId53" Type="http://schemas.openxmlformats.org/officeDocument/2006/relationships/image" Target="media/image17.tmp"/><Relationship Id="rId58" Type="http://schemas.openxmlformats.org/officeDocument/2006/relationships/hyperlink" Target="docubridge://open/&amp;Host=cwdcbp01&amp;Id=Fb7652a79c4de444b84af85fa0b8623aa&amp;NodeId=N30c02cbe332a46c28014e5d794035767&amp;Page=0"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roducts/australian-register-therapeutic-goods-artg" TargetMode="External"/><Relationship Id="rId28" Type="http://schemas.openxmlformats.org/officeDocument/2006/relationships/hyperlink" Target="docubridge://open/Server=Production&amp;Id=F7599fc415c084756a4dee248ad43927c&amp;NodeId=Nf6a020a4f1344f349333dff165671835&amp;Page=0" TargetMode="External"/><Relationship Id="rId36" Type="http://schemas.openxmlformats.org/officeDocument/2006/relationships/image" Target="media/image6.png"/><Relationship Id="rId49" Type="http://schemas.microsoft.com/office/2007/relationships/hdphoto" Target="media/hdphoto6.wdp"/><Relationship Id="rId57" Type="http://schemas.openxmlformats.org/officeDocument/2006/relationships/hyperlink" Target="docubridge://open/Server=Production&amp;Id=F1d60f79c01074a9586fadb548261ee5d&amp;NodeId=N30c02cbe332a46c28014e5d794035767&amp;Page=0" TargetMode="External"/><Relationship Id="rId61" Type="http://schemas.openxmlformats.org/officeDocument/2006/relationships/hyperlink" Target="https://www.tga.gov.au/products/australian-register-therapeutic-goods-artg/product-information-one" TargetMode="External"/><Relationship Id="rId10" Type="http://schemas.openxmlformats.org/officeDocument/2006/relationships/endnotes" Target="endnotes.xml"/><Relationship Id="rId19" Type="http://schemas.openxmlformats.org/officeDocument/2006/relationships/hyperlink" Target="https://www.tga.gov.au/products/medicines/find-information-about-medicine/prescribing-medicines-pregnancy-database" TargetMode="External"/><Relationship Id="rId31" Type="http://schemas.openxmlformats.org/officeDocument/2006/relationships/hyperlink" Target="docubridge://open/Server=Production&amp;Id=F7599fc415c084756a4dee248ad43927c&amp;NodeId=N7ed8272df6b5427bb862a051987b5eb9&amp;Page=0" TargetMode="External"/><Relationship Id="rId44" Type="http://schemas.microsoft.com/office/2007/relationships/hdphoto" Target="media/hdphoto4.wdp"/><Relationship Id="rId52" Type="http://schemas.openxmlformats.org/officeDocument/2006/relationships/image" Target="media/image16.tmp"/><Relationship Id="rId60" Type="http://schemas.openxmlformats.org/officeDocument/2006/relationships/hyperlink" Target="https://www.tga.gov.au/committee/advisory-committee-medicines-acm"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hyperlink" Target="docubridge://open/Server=Production&amp;Id=F7599fc415c084756a4dee248ad43927c&amp;NodeId=N0cb9f353ab854f0eaeff1d5bbd2bd375&amp;Page=0" TargetMode="External"/><Relationship Id="rId30" Type="http://schemas.openxmlformats.org/officeDocument/2006/relationships/hyperlink" Target="docubridge://open/Server=Production&amp;Id=F7599fc415c084756a4dee248ad43927c&amp;NodeId=Nad1e7a7898b1404c91dfe25075782884&amp;Page=0" TargetMode="External"/><Relationship Id="rId35" Type="http://schemas.openxmlformats.org/officeDocument/2006/relationships/image" Target="media/image5.tmp"/><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image" Target="media/image20.tmp"/><Relationship Id="rId64" Type="http://schemas.openxmlformats.org/officeDocument/2006/relationships/hyperlink" Target="https://www.tga.gov.au/picmi-search-facility" TargetMode="External"/><Relationship Id="rId69" Type="http://schemas.openxmlformats.org/officeDocument/2006/relationships/header" Target="header4.xml"/><Relationship Id="rId8" Type="http://schemas.openxmlformats.org/officeDocument/2006/relationships/webSettings" Target="webSettings.xml"/><Relationship Id="rId51" Type="http://schemas.microsoft.com/office/2007/relationships/hdphoto" Target="media/hdphoto7.wdp"/><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hyperlink" Target="docubridge://open/Server=Production&amp;Id=F7599fc415c084756a4dee248ad43927c&amp;NodeId=N0cb9f353ab854f0eaeff1d5bbd2bd375&amp;Page=0" TargetMode="External"/><Relationship Id="rId38" Type="http://schemas.openxmlformats.org/officeDocument/2006/relationships/image" Target="media/image7.tmp"/><Relationship Id="rId46" Type="http://schemas.microsoft.com/office/2007/relationships/hdphoto" Target="media/hdphoto5.wdp"/><Relationship Id="rId59" Type="http://schemas.openxmlformats.org/officeDocument/2006/relationships/image" Target="media/image21.tmp"/><Relationship Id="rId67" Type="http://schemas.openxmlformats.org/officeDocument/2006/relationships/hyperlink" Target="mailto:info@tga.gov.au" TargetMode="External"/><Relationship Id="rId20" Type="http://schemas.openxmlformats.org/officeDocument/2006/relationships/hyperlink" Target="https://www.tga.gov.au/obstetric-drug-information-services" TargetMode="External"/><Relationship Id="rId41" Type="http://schemas.openxmlformats.org/officeDocument/2006/relationships/image" Target="media/image10.png"/><Relationship Id="rId54" Type="http://schemas.openxmlformats.org/officeDocument/2006/relationships/image" Target="media/image18.tmp"/><Relationship Id="rId62" Type="http://schemas.openxmlformats.org/officeDocument/2006/relationships/hyperlink" Target="https://www.tga.gov.au/products/australian-register-therapeutic-goods-artg/product-information-one" TargetMode="External"/><Relationship Id="rId70"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documents/2022/03/national-obesity-strategy-2022-2032_0.pdf" TargetMode="External"/><Relationship Id="rId2" Type="http://schemas.openxmlformats.org/officeDocument/2006/relationships/hyperlink" Target="https://www.aihw.gov.au/reports/overweight-obesity/overweight-and-obesity/contents/about" TargetMode="External"/><Relationship Id="rId1" Type="http://schemas.openxmlformats.org/officeDocument/2006/relationships/hyperlink" Target="https://www.who.int/news-room/fact-sheets/detail/obesity-and-overweight" TargetMode="External"/><Relationship Id="rId6" Type="http://schemas.openxmlformats.org/officeDocument/2006/relationships/hyperlink" Target="https://www.tga.gov.au/resources/auspar/auspar-mounjaro" TargetMode="External"/><Relationship Id="rId5" Type="http://schemas.openxmlformats.org/officeDocument/2006/relationships/hyperlink" Target="https://www.tga.gov.au/sites/default/files/2023-11/auspar-mounjaro-231113.pdf" TargetMode="External"/><Relationship Id="rId4" Type="http://schemas.openxmlformats.org/officeDocument/2006/relationships/hyperlink" Target="http://www.uptodate.com/contents/overweight-and-obesity-in-adult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D6307FE19AC940B8F601C25AFE33FA" ma:contentTypeVersion="18" ma:contentTypeDescription="Create a new document." ma:contentTypeScope="" ma:versionID="abc4868d830943bf06385b50bd7d5192">
  <xsd:schema xmlns:xsd="http://www.w3.org/2001/XMLSchema" xmlns:xs="http://www.w3.org/2001/XMLSchema" xmlns:p="http://schemas.microsoft.com/office/2006/metadata/properties" xmlns:ns2="213b5b92-4a10-49b8-8c40-5a7742dd02e5" xmlns:ns3="085344ca-2f23-4ac3-8921-9dfc5a10ae6e" targetNamespace="http://schemas.microsoft.com/office/2006/metadata/properties" ma:root="true" ma:fieldsID="ec7f7fdacecb8f7d055a0ee1f32f363d" ns2:_="" ns3:_="">
    <xsd:import namespace="213b5b92-4a10-49b8-8c40-5a7742dd02e5"/>
    <xsd:import namespace="085344ca-2f23-4ac3-8921-9dfc5a10ae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b5b92-4a10-49b8-8c40-5a7742dd0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5344ca-2f23-4ac3-8921-9dfc5a10ae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8361a4-8a4c-4c02-b146-31b945b74c74}" ma:internalName="TaxCatchAll" ma:showField="CatchAllData" ma:web="085344ca-2f23-4ac3-8921-9dfc5a10a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85344ca-2f23-4ac3-8921-9dfc5a10ae6e" xsi:nil="true"/>
    <lcf76f155ced4ddcb4097134ff3c332f xmlns="213b5b92-4a10-49b8-8c40-5a7742dd02e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30AC13-9903-487E-A58E-8750151E4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b5b92-4a10-49b8-8c40-5a7742dd02e5"/>
    <ds:schemaRef ds:uri="085344ca-2f23-4ac3-8921-9dfc5a10a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39CAC746-C845-45D5-A0C7-6872D8580203}">
  <ds:schemaRefs>
    <ds:schemaRef ds:uri="http://schemas.microsoft.com/office/2006/metadata/properties"/>
    <ds:schemaRef ds:uri="http://schemas.microsoft.com/office/infopath/2007/PartnerControls"/>
    <ds:schemaRef ds:uri="085344ca-2f23-4ac3-8921-9dfc5a10ae6e"/>
    <ds:schemaRef ds:uri="213b5b92-4a10-49b8-8c40-5a7742dd02e5"/>
  </ds:schemaRefs>
</ds:datastoreItem>
</file>

<file path=customXml/itemProps4.xml><?xml version="1.0" encoding="utf-8"?>
<ds:datastoreItem xmlns:ds="http://schemas.openxmlformats.org/officeDocument/2006/customXml" ds:itemID="{8E94D76D-2C65-4BF2-BDE4-117F91FD0E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50</Pages>
  <Words>11932</Words>
  <Characters>74684</Characters>
  <Application>Microsoft Office Word</Application>
  <DocSecurity>0</DocSecurity>
  <Lines>622</Lines>
  <Paragraphs>172</Paragraphs>
  <ScaleCrop>false</ScaleCrop>
  <HeadingPairs>
    <vt:vector size="2" baseType="variant">
      <vt:variant>
        <vt:lpstr>Title</vt:lpstr>
      </vt:variant>
      <vt:variant>
        <vt:i4>1</vt:i4>
      </vt:variant>
    </vt:vector>
  </HeadingPairs>
  <TitlesOfParts>
    <vt:vector size="1" baseType="lpstr">
      <vt:lpstr>Australian public assessment report for Mounjaro</vt:lpstr>
    </vt:vector>
  </TitlesOfParts>
  <Company>Department of Health and Aged Care</Company>
  <LinksUpToDate>false</LinksUpToDate>
  <CharactersWithSpaces>86444</CharactersWithSpaces>
  <SharedDoc>false</SharedDoc>
  <HLinks>
    <vt:vector size="366" baseType="variant">
      <vt:variant>
        <vt:i4>3473445</vt:i4>
      </vt:variant>
      <vt:variant>
        <vt:i4>447</vt:i4>
      </vt:variant>
      <vt:variant>
        <vt:i4>0</vt:i4>
      </vt:variant>
      <vt:variant>
        <vt:i4>5</vt:i4>
      </vt:variant>
      <vt:variant>
        <vt:lpwstr>https://www.tga.gov.au/</vt:lpwstr>
      </vt:variant>
      <vt:variant>
        <vt:lpwstr/>
      </vt:variant>
      <vt:variant>
        <vt:i4>5242926</vt:i4>
      </vt:variant>
      <vt:variant>
        <vt:i4>444</vt:i4>
      </vt:variant>
      <vt:variant>
        <vt:i4>0</vt:i4>
      </vt:variant>
      <vt:variant>
        <vt:i4>5</vt:i4>
      </vt:variant>
      <vt:variant>
        <vt:lpwstr>mailto:info@tga.gov.au</vt:lpwstr>
      </vt:variant>
      <vt:variant>
        <vt:lpwstr/>
      </vt:variant>
      <vt:variant>
        <vt:i4>720961</vt:i4>
      </vt:variant>
      <vt:variant>
        <vt:i4>441</vt:i4>
      </vt:variant>
      <vt:variant>
        <vt:i4>0</vt:i4>
      </vt:variant>
      <vt:variant>
        <vt:i4>5</vt:i4>
      </vt:variant>
      <vt:variant>
        <vt:lpwstr>https://www.tga.gov.au/picmi-search-facility</vt:lpwstr>
      </vt:variant>
      <vt:variant>
        <vt:lpwstr/>
      </vt:variant>
      <vt:variant>
        <vt:i4>983049</vt:i4>
      </vt:variant>
      <vt:variant>
        <vt:i4>438</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435</vt:i4>
      </vt:variant>
      <vt:variant>
        <vt:i4>0</vt:i4>
      </vt:variant>
      <vt:variant>
        <vt:i4>5</vt:i4>
      </vt:variant>
      <vt:variant>
        <vt:lpwstr>https://www.tga.gov.au/products/australian-register-therapeutic-goods-artg/product-information-one</vt:lpwstr>
      </vt:variant>
      <vt:variant>
        <vt:lpwstr/>
      </vt:variant>
      <vt:variant>
        <vt:i4>2752617</vt:i4>
      </vt:variant>
      <vt:variant>
        <vt:i4>432</vt:i4>
      </vt:variant>
      <vt:variant>
        <vt:i4>0</vt:i4>
      </vt:variant>
      <vt:variant>
        <vt:i4>5</vt:i4>
      </vt:variant>
      <vt:variant>
        <vt:lpwstr>https://www.tga.gov.au/products/australian-register-therapeutic-goods-artg/product-information-one</vt:lpwstr>
      </vt:variant>
      <vt:variant>
        <vt:lpwstr/>
      </vt:variant>
      <vt:variant>
        <vt:i4>524365</vt:i4>
      </vt:variant>
      <vt:variant>
        <vt:i4>417</vt:i4>
      </vt:variant>
      <vt:variant>
        <vt:i4>0</vt:i4>
      </vt:variant>
      <vt:variant>
        <vt:i4>5</vt:i4>
      </vt:variant>
      <vt:variant>
        <vt:lpwstr>https://www.tga.gov.au/committee/advisory-committee-medicines-acm</vt:lpwstr>
      </vt:variant>
      <vt:variant>
        <vt:lpwstr/>
      </vt:variant>
      <vt:variant>
        <vt:i4>1245273</vt:i4>
      </vt:variant>
      <vt:variant>
        <vt:i4>396</vt:i4>
      </vt:variant>
      <vt:variant>
        <vt:i4>0</vt:i4>
      </vt:variant>
      <vt:variant>
        <vt:i4>5</vt:i4>
      </vt:variant>
      <vt:variant>
        <vt:lpwstr>docubridge://open/&amp;Host=cwdcbp01&amp;Id=Fb7652a79c4de444b84af85fa0b8623aa&amp;NodeId=N30c02cbe332a46c28014e5d794035767&amp;Page=0</vt:lpwstr>
      </vt:variant>
      <vt:variant>
        <vt:lpwstr/>
      </vt:variant>
      <vt:variant>
        <vt:i4>1966150</vt:i4>
      </vt:variant>
      <vt:variant>
        <vt:i4>393</vt:i4>
      </vt:variant>
      <vt:variant>
        <vt:i4>0</vt:i4>
      </vt:variant>
      <vt:variant>
        <vt:i4>5</vt:i4>
      </vt:variant>
      <vt:variant>
        <vt:lpwstr>docubridge://open/Server=Production&amp;Id=F1d60f79c01074a9586fadb548261ee5d&amp;NodeId=N30c02cbe332a46c28014e5d794035767&amp;Page=0</vt:lpwstr>
      </vt:variant>
      <vt:variant>
        <vt:lpwstr/>
      </vt:variant>
      <vt:variant>
        <vt:i4>1441813</vt:i4>
      </vt:variant>
      <vt:variant>
        <vt:i4>390</vt:i4>
      </vt:variant>
      <vt:variant>
        <vt:i4>0</vt:i4>
      </vt:variant>
      <vt:variant>
        <vt:i4>5</vt:i4>
      </vt:variant>
      <vt:variant>
        <vt:lpwstr>docubridge://open/Server=Production&amp;Id=F7599fc415c084756a4dee248ad43927c&amp;NodeId=N30c02cbe332a46c28014e5d794035767&amp;Page=0</vt:lpwstr>
      </vt:variant>
      <vt:variant>
        <vt:lpwstr/>
      </vt:variant>
      <vt:variant>
        <vt:i4>1507397</vt:i4>
      </vt:variant>
      <vt:variant>
        <vt:i4>387</vt:i4>
      </vt:variant>
      <vt:variant>
        <vt:i4>0</vt:i4>
      </vt:variant>
      <vt:variant>
        <vt:i4>5</vt:i4>
      </vt:variant>
      <vt:variant>
        <vt:lpwstr>docubridge://open/Server=Production&amp;Id=F7599fc415c084756a4dee248ad43927c&amp;NodeId=Nfb323ecf0cc94d54b78a325618d59621&amp;Page=0</vt:lpwstr>
      </vt:variant>
      <vt:variant>
        <vt:lpwstr/>
      </vt:variant>
      <vt:variant>
        <vt:i4>5111881</vt:i4>
      </vt:variant>
      <vt:variant>
        <vt:i4>294</vt:i4>
      </vt:variant>
      <vt:variant>
        <vt:i4>0</vt:i4>
      </vt:variant>
      <vt:variant>
        <vt:i4>5</vt:i4>
      </vt:variant>
      <vt:variant>
        <vt:lpwstr>docubridge://open/Server=Production&amp;Id=F7599fc415c084756a4dee248ad43927c&amp;NodeId=Nf6a020a4f1344f349333dff165671835&amp;Page=0</vt:lpwstr>
      </vt:variant>
      <vt:variant>
        <vt:lpwstr/>
      </vt:variant>
      <vt:variant>
        <vt:i4>1966159</vt:i4>
      </vt:variant>
      <vt:variant>
        <vt:i4>285</vt:i4>
      </vt:variant>
      <vt:variant>
        <vt:i4>0</vt:i4>
      </vt:variant>
      <vt:variant>
        <vt:i4>5</vt:i4>
      </vt:variant>
      <vt:variant>
        <vt:lpwstr>docubridge://open/Server=Production&amp;Id=F7599fc415c084756a4dee248ad43927c&amp;NodeId=N0cb9f353ab854f0eaeff1d5bbd2bd375&amp;Page=0</vt:lpwstr>
      </vt:variant>
      <vt:variant>
        <vt:lpwstr/>
      </vt:variant>
      <vt:variant>
        <vt:i4>5111831</vt:i4>
      </vt:variant>
      <vt:variant>
        <vt:i4>276</vt:i4>
      </vt:variant>
      <vt:variant>
        <vt:i4>0</vt:i4>
      </vt:variant>
      <vt:variant>
        <vt:i4>5</vt:i4>
      </vt:variant>
      <vt:variant>
        <vt:lpwstr>docubridge://open/Server=Production&amp;Id=F7599fc415c084756a4dee248ad43927c&amp;NodeId=N03751a1225ec4fcda7979cd056748043&amp;Page=0</vt:lpwstr>
      </vt:variant>
      <vt:variant>
        <vt:lpwstr/>
      </vt:variant>
      <vt:variant>
        <vt:i4>4325445</vt:i4>
      </vt:variant>
      <vt:variant>
        <vt:i4>267</vt:i4>
      </vt:variant>
      <vt:variant>
        <vt:i4>0</vt:i4>
      </vt:variant>
      <vt:variant>
        <vt:i4>5</vt:i4>
      </vt:variant>
      <vt:variant>
        <vt:lpwstr>docubridge://open/Server=Production&amp;Id=F7599fc415c084756a4dee248ad43927c&amp;NodeId=Ncd53946d84424419bac996005360b19a&amp;Page=0</vt:lpwstr>
      </vt:variant>
      <vt:variant>
        <vt:lpwstr/>
      </vt:variant>
      <vt:variant>
        <vt:i4>5177364</vt:i4>
      </vt:variant>
      <vt:variant>
        <vt:i4>264</vt:i4>
      </vt:variant>
      <vt:variant>
        <vt:i4>0</vt:i4>
      </vt:variant>
      <vt:variant>
        <vt:i4>5</vt:i4>
      </vt:variant>
      <vt:variant>
        <vt:lpwstr>docubridge://open/Server=Production&amp;Id=F7599fc415c084756a4dee248ad43927c&amp;NodeId=N7ed8272df6b5427bb862a051987b5eb9&amp;Page=0</vt:lpwstr>
      </vt:variant>
      <vt:variant>
        <vt:lpwstr/>
      </vt:variant>
      <vt:variant>
        <vt:i4>5111826</vt:i4>
      </vt:variant>
      <vt:variant>
        <vt:i4>261</vt:i4>
      </vt:variant>
      <vt:variant>
        <vt:i4>0</vt:i4>
      </vt:variant>
      <vt:variant>
        <vt:i4>5</vt:i4>
      </vt:variant>
      <vt:variant>
        <vt:lpwstr>docubridge://open/Server=Production&amp;Id=F7599fc415c084756a4dee248ad43927c&amp;NodeId=Nad1e7a7898b1404c91dfe25075782884&amp;Page=0</vt:lpwstr>
      </vt:variant>
      <vt:variant>
        <vt:lpwstr/>
      </vt:variant>
      <vt:variant>
        <vt:i4>1900621</vt:i4>
      </vt:variant>
      <vt:variant>
        <vt:i4>258</vt:i4>
      </vt:variant>
      <vt:variant>
        <vt:i4>0</vt:i4>
      </vt:variant>
      <vt:variant>
        <vt:i4>5</vt:i4>
      </vt:variant>
      <vt:variant>
        <vt:lpwstr>docubridge://open/Server=Production&amp;Id=F7599fc415c084756a4dee248ad43927c&amp;NodeId=N3cd6b4d2a831486f88025dde670d574b&amp;Page=0</vt:lpwstr>
      </vt:variant>
      <vt:variant>
        <vt:lpwstr/>
      </vt:variant>
      <vt:variant>
        <vt:i4>5111881</vt:i4>
      </vt:variant>
      <vt:variant>
        <vt:i4>252</vt:i4>
      </vt:variant>
      <vt:variant>
        <vt:i4>0</vt:i4>
      </vt:variant>
      <vt:variant>
        <vt:i4>5</vt:i4>
      </vt:variant>
      <vt:variant>
        <vt:lpwstr>docubridge://open/Server=Production&amp;Id=F7599fc415c084756a4dee248ad43927c&amp;NodeId=Nf6a020a4f1344f349333dff165671835&amp;Page=0</vt:lpwstr>
      </vt:variant>
      <vt:variant>
        <vt:lpwstr/>
      </vt:variant>
      <vt:variant>
        <vt:i4>1966159</vt:i4>
      </vt:variant>
      <vt:variant>
        <vt:i4>249</vt:i4>
      </vt:variant>
      <vt:variant>
        <vt:i4>0</vt:i4>
      </vt:variant>
      <vt:variant>
        <vt:i4>5</vt:i4>
      </vt:variant>
      <vt:variant>
        <vt:lpwstr>docubridge://open/Server=Production&amp;Id=F7599fc415c084756a4dee248ad43927c&amp;NodeId=N0cb9f353ab854f0eaeff1d5bbd2bd375&amp;Page=0</vt:lpwstr>
      </vt:variant>
      <vt:variant>
        <vt:lpwstr/>
      </vt:variant>
      <vt:variant>
        <vt:i4>5111831</vt:i4>
      </vt:variant>
      <vt:variant>
        <vt:i4>246</vt:i4>
      </vt:variant>
      <vt:variant>
        <vt:i4>0</vt:i4>
      </vt:variant>
      <vt:variant>
        <vt:i4>5</vt:i4>
      </vt:variant>
      <vt:variant>
        <vt:lpwstr>docubridge://open/Server=Production&amp;Id=F7599fc415c084756a4dee248ad43927c&amp;NodeId=N03751a1225ec4fcda7979cd056748043&amp;Page=0</vt:lpwstr>
      </vt:variant>
      <vt:variant>
        <vt:lpwstr/>
      </vt:variant>
      <vt:variant>
        <vt:i4>1835097</vt:i4>
      </vt:variant>
      <vt:variant>
        <vt:i4>225</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2424874</vt:i4>
      </vt:variant>
      <vt:variant>
        <vt:i4>210</vt:i4>
      </vt:variant>
      <vt:variant>
        <vt:i4>0</vt:i4>
      </vt:variant>
      <vt:variant>
        <vt:i4>5</vt:i4>
      </vt:variant>
      <vt:variant>
        <vt:lpwstr>https://www.tga.gov.au/products/australian-register-therapeutic-goods-artg</vt:lpwstr>
      </vt:variant>
      <vt:variant>
        <vt:lpwstr/>
      </vt:variant>
      <vt:variant>
        <vt:i4>2424874</vt:i4>
      </vt:variant>
      <vt:variant>
        <vt:i4>207</vt:i4>
      </vt:variant>
      <vt:variant>
        <vt:i4>0</vt:i4>
      </vt:variant>
      <vt:variant>
        <vt:i4>5</vt:i4>
      </vt:variant>
      <vt:variant>
        <vt:lpwstr>https://www.tga.gov.au/products/australian-register-therapeutic-goods-artg</vt:lpwstr>
      </vt:variant>
      <vt:variant>
        <vt:lpwstr/>
      </vt:variant>
      <vt:variant>
        <vt:i4>3670063</vt:i4>
      </vt:variant>
      <vt:variant>
        <vt:i4>177</vt:i4>
      </vt:variant>
      <vt:variant>
        <vt:i4>0</vt:i4>
      </vt:variant>
      <vt:variant>
        <vt:i4>5</vt:i4>
      </vt:variant>
      <vt:variant>
        <vt:lpwstr>https://www.tga.gov.au/obstetric-drug-information-services</vt:lpwstr>
      </vt:variant>
      <vt:variant>
        <vt:lpwstr/>
      </vt:variant>
      <vt:variant>
        <vt:i4>2949173</vt:i4>
      </vt:variant>
      <vt:variant>
        <vt:i4>174</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171</vt:i4>
      </vt:variant>
      <vt:variant>
        <vt:i4>0</vt:i4>
      </vt:variant>
      <vt:variant>
        <vt:i4>5</vt:i4>
      </vt:variant>
      <vt:variant>
        <vt:lpwstr>https://www.tga.gov.au/black-triangle-scheme</vt:lpwstr>
      </vt:variant>
      <vt:variant>
        <vt:lpwstr/>
      </vt:variant>
      <vt:variant>
        <vt:i4>1114161</vt:i4>
      </vt:variant>
      <vt:variant>
        <vt:i4>158</vt:i4>
      </vt:variant>
      <vt:variant>
        <vt:i4>0</vt:i4>
      </vt:variant>
      <vt:variant>
        <vt:i4>5</vt:i4>
      </vt:variant>
      <vt:variant>
        <vt:lpwstr/>
      </vt:variant>
      <vt:variant>
        <vt:lpwstr>_Toc176534509</vt:lpwstr>
      </vt:variant>
      <vt:variant>
        <vt:i4>1114161</vt:i4>
      </vt:variant>
      <vt:variant>
        <vt:i4>152</vt:i4>
      </vt:variant>
      <vt:variant>
        <vt:i4>0</vt:i4>
      </vt:variant>
      <vt:variant>
        <vt:i4>5</vt:i4>
      </vt:variant>
      <vt:variant>
        <vt:lpwstr/>
      </vt:variant>
      <vt:variant>
        <vt:lpwstr>_Toc176534508</vt:lpwstr>
      </vt:variant>
      <vt:variant>
        <vt:i4>1114161</vt:i4>
      </vt:variant>
      <vt:variant>
        <vt:i4>146</vt:i4>
      </vt:variant>
      <vt:variant>
        <vt:i4>0</vt:i4>
      </vt:variant>
      <vt:variant>
        <vt:i4>5</vt:i4>
      </vt:variant>
      <vt:variant>
        <vt:lpwstr/>
      </vt:variant>
      <vt:variant>
        <vt:lpwstr>_Toc176534507</vt:lpwstr>
      </vt:variant>
      <vt:variant>
        <vt:i4>1114161</vt:i4>
      </vt:variant>
      <vt:variant>
        <vt:i4>140</vt:i4>
      </vt:variant>
      <vt:variant>
        <vt:i4>0</vt:i4>
      </vt:variant>
      <vt:variant>
        <vt:i4>5</vt:i4>
      </vt:variant>
      <vt:variant>
        <vt:lpwstr/>
      </vt:variant>
      <vt:variant>
        <vt:lpwstr>_Toc176534506</vt:lpwstr>
      </vt:variant>
      <vt:variant>
        <vt:i4>1114161</vt:i4>
      </vt:variant>
      <vt:variant>
        <vt:i4>134</vt:i4>
      </vt:variant>
      <vt:variant>
        <vt:i4>0</vt:i4>
      </vt:variant>
      <vt:variant>
        <vt:i4>5</vt:i4>
      </vt:variant>
      <vt:variant>
        <vt:lpwstr/>
      </vt:variant>
      <vt:variant>
        <vt:lpwstr>_Toc176534505</vt:lpwstr>
      </vt:variant>
      <vt:variant>
        <vt:i4>1114161</vt:i4>
      </vt:variant>
      <vt:variant>
        <vt:i4>128</vt:i4>
      </vt:variant>
      <vt:variant>
        <vt:i4>0</vt:i4>
      </vt:variant>
      <vt:variant>
        <vt:i4>5</vt:i4>
      </vt:variant>
      <vt:variant>
        <vt:lpwstr/>
      </vt:variant>
      <vt:variant>
        <vt:lpwstr>_Toc176534504</vt:lpwstr>
      </vt:variant>
      <vt:variant>
        <vt:i4>1114161</vt:i4>
      </vt:variant>
      <vt:variant>
        <vt:i4>122</vt:i4>
      </vt:variant>
      <vt:variant>
        <vt:i4>0</vt:i4>
      </vt:variant>
      <vt:variant>
        <vt:i4>5</vt:i4>
      </vt:variant>
      <vt:variant>
        <vt:lpwstr/>
      </vt:variant>
      <vt:variant>
        <vt:lpwstr>_Toc176534503</vt:lpwstr>
      </vt:variant>
      <vt:variant>
        <vt:i4>1114161</vt:i4>
      </vt:variant>
      <vt:variant>
        <vt:i4>116</vt:i4>
      </vt:variant>
      <vt:variant>
        <vt:i4>0</vt:i4>
      </vt:variant>
      <vt:variant>
        <vt:i4>5</vt:i4>
      </vt:variant>
      <vt:variant>
        <vt:lpwstr/>
      </vt:variant>
      <vt:variant>
        <vt:lpwstr>_Toc176534502</vt:lpwstr>
      </vt:variant>
      <vt:variant>
        <vt:i4>1114161</vt:i4>
      </vt:variant>
      <vt:variant>
        <vt:i4>110</vt:i4>
      </vt:variant>
      <vt:variant>
        <vt:i4>0</vt:i4>
      </vt:variant>
      <vt:variant>
        <vt:i4>5</vt:i4>
      </vt:variant>
      <vt:variant>
        <vt:lpwstr/>
      </vt:variant>
      <vt:variant>
        <vt:lpwstr>_Toc176534501</vt:lpwstr>
      </vt:variant>
      <vt:variant>
        <vt:i4>1114161</vt:i4>
      </vt:variant>
      <vt:variant>
        <vt:i4>104</vt:i4>
      </vt:variant>
      <vt:variant>
        <vt:i4>0</vt:i4>
      </vt:variant>
      <vt:variant>
        <vt:i4>5</vt:i4>
      </vt:variant>
      <vt:variant>
        <vt:lpwstr/>
      </vt:variant>
      <vt:variant>
        <vt:lpwstr>_Toc176534500</vt:lpwstr>
      </vt:variant>
      <vt:variant>
        <vt:i4>1572912</vt:i4>
      </vt:variant>
      <vt:variant>
        <vt:i4>98</vt:i4>
      </vt:variant>
      <vt:variant>
        <vt:i4>0</vt:i4>
      </vt:variant>
      <vt:variant>
        <vt:i4>5</vt:i4>
      </vt:variant>
      <vt:variant>
        <vt:lpwstr/>
      </vt:variant>
      <vt:variant>
        <vt:lpwstr>_Toc176534499</vt:lpwstr>
      </vt:variant>
      <vt:variant>
        <vt:i4>1572912</vt:i4>
      </vt:variant>
      <vt:variant>
        <vt:i4>92</vt:i4>
      </vt:variant>
      <vt:variant>
        <vt:i4>0</vt:i4>
      </vt:variant>
      <vt:variant>
        <vt:i4>5</vt:i4>
      </vt:variant>
      <vt:variant>
        <vt:lpwstr/>
      </vt:variant>
      <vt:variant>
        <vt:lpwstr>_Toc176534498</vt:lpwstr>
      </vt:variant>
      <vt:variant>
        <vt:i4>1572912</vt:i4>
      </vt:variant>
      <vt:variant>
        <vt:i4>86</vt:i4>
      </vt:variant>
      <vt:variant>
        <vt:i4>0</vt:i4>
      </vt:variant>
      <vt:variant>
        <vt:i4>5</vt:i4>
      </vt:variant>
      <vt:variant>
        <vt:lpwstr/>
      </vt:variant>
      <vt:variant>
        <vt:lpwstr>_Toc176534497</vt:lpwstr>
      </vt:variant>
      <vt:variant>
        <vt:i4>1572912</vt:i4>
      </vt:variant>
      <vt:variant>
        <vt:i4>80</vt:i4>
      </vt:variant>
      <vt:variant>
        <vt:i4>0</vt:i4>
      </vt:variant>
      <vt:variant>
        <vt:i4>5</vt:i4>
      </vt:variant>
      <vt:variant>
        <vt:lpwstr/>
      </vt:variant>
      <vt:variant>
        <vt:lpwstr>_Toc176534496</vt:lpwstr>
      </vt:variant>
      <vt:variant>
        <vt:i4>1572912</vt:i4>
      </vt:variant>
      <vt:variant>
        <vt:i4>74</vt:i4>
      </vt:variant>
      <vt:variant>
        <vt:i4>0</vt:i4>
      </vt:variant>
      <vt:variant>
        <vt:i4>5</vt:i4>
      </vt:variant>
      <vt:variant>
        <vt:lpwstr/>
      </vt:variant>
      <vt:variant>
        <vt:lpwstr>_Toc176534495</vt:lpwstr>
      </vt:variant>
      <vt:variant>
        <vt:i4>1572912</vt:i4>
      </vt:variant>
      <vt:variant>
        <vt:i4>68</vt:i4>
      </vt:variant>
      <vt:variant>
        <vt:i4>0</vt:i4>
      </vt:variant>
      <vt:variant>
        <vt:i4>5</vt:i4>
      </vt:variant>
      <vt:variant>
        <vt:lpwstr/>
      </vt:variant>
      <vt:variant>
        <vt:lpwstr>_Toc176534494</vt:lpwstr>
      </vt:variant>
      <vt:variant>
        <vt:i4>1572912</vt:i4>
      </vt:variant>
      <vt:variant>
        <vt:i4>62</vt:i4>
      </vt:variant>
      <vt:variant>
        <vt:i4>0</vt:i4>
      </vt:variant>
      <vt:variant>
        <vt:i4>5</vt:i4>
      </vt:variant>
      <vt:variant>
        <vt:lpwstr/>
      </vt:variant>
      <vt:variant>
        <vt:lpwstr>_Toc176534493</vt:lpwstr>
      </vt:variant>
      <vt:variant>
        <vt:i4>1572912</vt:i4>
      </vt:variant>
      <vt:variant>
        <vt:i4>56</vt:i4>
      </vt:variant>
      <vt:variant>
        <vt:i4>0</vt:i4>
      </vt:variant>
      <vt:variant>
        <vt:i4>5</vt:i4>
      </vt:variant>
      <vt:variant>
        <vt:lpwstr/>
      </vt:variant>
      <vt:variant>
        <vt:lpwstr>_Toc176534492</vt:lpwstr>
      </vt:variant>
      <vt:variant>
        <vt:i4>1572912</vt:i4>
      </vt:variant>
      <vt:variant>
        <vt:i4>50</vt:i4>
      </vt:variant>
      <vt:variant>
        <vt:i4>0</vt:i4>
      </vt:variant>
      <vt:variant>
        <vt:i4>5</vt:i4>
      </vt:variant>
      <vt:variant>
        <vt:lpwstr/>
      </vt:variant>
      <vt:variant>
        <vt:lpwstr>_Toc176534491</vt:lpwstr>
      </vt:variant>
      <vt:variant>
        <vt:i4>1572912</vt:i4>
      </vt:variant>
      <vt:variant>
        <vt:i4>44</vt:i4>
      </vt:variant>
      <vt:variant>
        <vt:i4>0</vt:i4>
      </vt:variant>
      <vt:variant>
        <vt:i4>5</vt:i4>
      </vt:variant>
      <vt:variant>
        <vt:lpwstr/>
      </vt:variant>
      <vt:variant>
        <vt:lpwstr>_Toc176534490</vt:lpwstr>
      </vt:variant>
      <vt:variant>
        <vt:i4>1638448</vt:i4>
      </vt:variant>
      <vt:variant>
        <vt:i4>38</vt:i4>
      </vt:variant>
      <vt:variant>
        <vt:i4>0</vt:i4>
      </vt:variant>
      <vt:variant>
        <vt:i4>5</vt:i4>
      </vt:variant>
      <vt:variant>
        <vt:lpwstr/>
      </vt:variant>
      <vt:variant>
        <vt:lpwstr>_Toc176534489</vt:lpwstr>
      </vt:variant>
      <vt:variant>
        <vt:i4>1638448</vt:i4>
      </vt:variant>
      <vt:variant>
        <vt:i4>32</vt:i4>
      </vt:variant>
      <vt:variant>
        <vt:i4>0</vt:i4>
      </vt:variant>
      <vt:variant>
        <vt:i4>5</vt:i4>
      </vt:variant>
      <vt:variant>
        <vt:lpwstr/>
      </vt:variant>
      <vt:variant>
        <vt:lpwstr>_Toc176534488</vt:lpwstr>
      </vt:variant>
      <vt:variant>
        <vt:i4>1638448</vt:i4>
      </vt:variant>
      <vt:variant>
        <vt:i4>26</vt:i4>
      </vt:variant>
      <vt:variant>
        <vt:i4>0</vt:i4>
      </vt:variant>
      <vt:variant>
        <vt:i4>5</vt:i4>
      </vt:variant>
      <vt:variant>
        <vt:lpwstr/>
      </vt:variant>
      <vt:variant>
        <vt:lpwstr>_Toc176534487</vt:lpwstr>
      </vt:variant>
      <vt:variant>
        <vt:i4>6291548</vt:i4>
      </vt:variant>
      <vt:variant>
        <vt:i4>18</vt:i4>
      </vt:variant>
      <vt:variant>
        <vt:i4>0</vt:i4>
      </vt:variant>
      <vt:variant>
        <vt:i4>5</vt:i4>
      </vt:variant>
      <vt:variant>
        <vt:lpwstr>mailto:tga.copyright@tga.gov.au</vt:lpwstr>
      </vt:variant>
      <vt:variant>
        <vt:lpwstr/>
      </vt:variant>
      <vt:variant>
        <vt:i4>7995497</vt:i4>
      </vt:variant>
      <vt:variant>
        <vt:i4>12</vt:i4>
      </vt:variant>
      <vt:variant>
        <vt:i4>0</vt:i4>
      </vt:variant>
      <vt:variant>
        <vt:i4>5</vt:i4>
      </vt:variant>
      <vt:variant>
        <vt:lpwstr>https://www.tga.gov.au/australian-public-assessment-report-auspar-guidance</vt:lpwstr>
      </vt:variant>
      <vt:variant>
        <vt:lpwstr/>
      </vt:variant>
      <vt:variant>
        <vt:i4>3473445</vt:i4>
      </vt:variant>
      <vt:variant>
        <vt:i4>6</vt:i4>
      </vt:variant>
      <vt:variant>
        <vt:i4>0</vt:i4>
      </vt:variant>
      <vt:variant>
        <vt:i4>5</vt:i4>
      </vt:variant>
      <vt:variant>
        <vt:lpwstr>https://www.tga.gov.au/</vt:lpwstr>
      </vt:variant>
      <vt:variant>
        <vt:lpwstr/>
      </vt:variant>
      <vt:variant>
        <vt:i4>7995505</vt:i4>
      </vt:variant>
      <vt:variant>
        <vt:i4>18</vt:i4>
      </vt:variant>
      <vt:variant>
        <vt:i4>0</vt:i4>
      </vt:variant>
      <vt:variant>
        <vt:i4>5</vt:i4>
      </vt:variant>
      <vt:variant>
        <vt:lpwstr>https://www.tga.gov.au/resources/auspar/auspar-mounjaro</vt:lpwstr>
      </vt:variant>
      <vt:variant>
        <vt:lpwstr/>
      </vt:variant>
      <vt:variant>
        <vt:i4>917579</vt:i4>
      </vt:variant>
      <vt:variant>
        <vt:i4>15</vt:i4>
      </vt:variant>
      <vt:variant>
        <vt:i4>0</vt:i4>
      </vt:variant>
      <vt:variant>
        <vt:i4>5</vt:i4>
      </vt:variant>
      <vt:variant>
        <vt:lpwstr>https://www.tga.gov.au/sites/default/files/2023-11/auspar-mounjaro-231113.pdf</vt:lpwstr>
      </vt:variant>
      <vt:variant>
        <vt:lpwstr/>
      </vt:variant>
      <vt:variant>
        <vt:i4>5832791</vt:i4>
      </vt:variant>
      <vt:variant>
        <vt:i4>12</vt:i4>
      </vt:variant>
      <vt:variant>
        <vt:i4>0</vt:i4>
      </vt:variant>
      <vt:variant>
        <vt:i4>5</vt:i4>
      </vt:variant>
      <vt:variant>
        <vt:lpwstr>https://doi.org/10.1053/j.gastro.2007.03.054</vt:lpwstr>
      </vt:variant>
      <vt:variant>
        <vt:lpwstr/>
      </vt:variant>
      <vt:variant>
        <vt:i4>393303</vt:i4>
      </vt:variant>
      <vt:variant>
        <vt:i4>9</vt:i4>
      </vt:variant>
      <vt:variant>
        <vt:i4>0</vt:i4>
      </vt:variant>
      <vt:variant>
        <vt:i4>5</vt:i4>
      </vt:variant>
      <vt:variant>
        <vt:lpwstr>http://www.uptodate.com/contents/overweight-and-obesity-in-adults</vt:lpwstr>
      </vt:variant>
      <vt:variant>
        <vt:lpwstr/>
      </vt:variant>
      <vt:variant>
        <vt:i4>3211349</vt:i4>
      </vt:variant>
      <vt:variant>
        <vt:i4>6</vt:i4>
      </vt:variant>
      <vt:variant>
        <vt:i4>0</vt:i4>
      </vt:variant>
      <vt:variant>
        <vt:i4>5</vt:i4>
      </vt:variant>
      <vt:variant>
        <vt:lpwstr>https://www.health.gov.au/sites/default/files/documents/2022/03/national-obesity-strategy-2022-2032_0.pdf</vt:lpwstr>
      </vt:variant>
      <vt:variant>
        <vt:lpwstr/>
      </vt:variant>
      <vt:variant>
        <vt:i4>1310722</vt:i4>
      </vt:variant>
      <vt:variant>
        <vt:i4>3</vt:i4>
      </vt:variant>
      <vt:variant>
        <vt:i4>0</vt:i4>
      </vt:variant>
      <vt:variant>
        <vt:i4>5</vt:i4>
      </vt:variant>
      <vt:variant>
        <vt:lpwstr>https://www.aihw.gov.au/reports/overweight-obesity/overweight-and-obesity/contents/about</vt:lpwstr>
      </vt:variant>
      <vt:variant>
        <vt:lpwstr/>
      </vt:variant>
      <vt:variant>
        <vt:i4>3670142</vt:i4>
      </vt:variant>
      <vt:variant>
        <vt:i4>0</vt:i4>
      </vt:variant>
      <vt:variant>
        <vt:i4>0</vt:i4>
      </vt:variant>
      <vt:variant>
        <vt:i4>5</vt:i4>
      </vt:variant>
      <vt:variant>
        <vt:lpwstr>https://www.who.int/news-room/fact-sheets/detail/obesity-and-overweight</vt:lpwstr>
      </vt:variant>
      <vt:variant>
        <vt:lpwstr/>
      </vt:variant>
      <vt:variant>
        <vt:i4>1441889</vt:i4>
      </vt:variant>
      <vt:variant>
        <vt:i4>0</vt:i4>
      </vt:variant>
      <vt:variant>
        <vt:i4>0</vt:i4>
      </vt:variant>
      <vt:variant>
        <vt:i4>5</vt:i4>
      </vt:variant>
      <vt:variant>
        <vt:lpwstr>mailto:nadia.ahmad@lilly.com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Mounjaro</dc:title>
  <dc:subject>Prescription medicines</dc:subject>
  <dc:creator>Therapeutic Goods Administration</dc:creator>
  <cp:keywords/>
  <dc:description/>
  <dcterms:created xsi:type="dcterms:W3CDTF">2024-09-25T23:19:00Z</dcterms:created>
  <dcterms:modified xsi:type="dcterms:W3CDTF">2024-09-26T00:39:00Z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0x010100F3D6307FE19AC940B8F601C25AFE33FA</vt:lpwstr>
  </property>
  <property fmtid="{D5CDD505-2E9C-101B-9397-08002B2CF9AE}" pid="3" name="MediaServiceImageTags">
    <vt:lpwstr/>
  </property>
</Properties>
</file>