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FCA59" w14:textId="77777777" w:rsidR="00D67706" w:rsidRDefault="00D67706" w:rsidP="00D67706"/>
    <w:tbl>
      <w:tblPr>
        <w:tblStyle w:val="TableGrid"/>
        <w:tblpPr w:leftFromText="180" w:rightFromText="180" w:vertAnchor="page" w:horzAnchor="margin" w:tblpY="11146"/>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0"/>
      </w:tblGrid>
      <w:tr w:rsidR="00C62FA9" w:rsidRPr="00BE229E" w14:paraId="5FCBBC69" w14:textId="77777777" w:rsidTr="00C62FA9">
        <w:trPr>
          <w:trHeight w:val="2070"/>
        </w:trPr>
        <w:tc>
          <w:tcPr>
            <w:tcW w:w="9270" w:type="dxa"/>
          </w:tcPr>
          <w:p w14:paraId="72BD35F4" w14:textId="3648A7ED" w:rsidR="00C62FA9" w:rsidRPr="00BE229E" w:rsidRDefault="00C62FA9" w:rsidP="00323B48">
            <w:pPr>
              <w:pStyle w:val="Title"/>
              <w:rPr>
                <w:lang w:eastAsia="en-US"/>
              </w:rPr>
            </w:pPr>
            <w:r w:rsidRPr="00BE229E">
              <w:rPr>
                <w:lang w:eastAsia="en-US"/>
              </w:rPr>
              <w:t xml:space="preserve">Australian Public Assessment Report for </w:t>
            </w:r>
            <w:bookmarkStart w:id="0" w:name="_Hlk177994125"/>
            <w:r>
              <w:rPr>
                <w:lang w:eastAsia="en-US"/>
              </w:rPr>
              <w:t>C</w:t>
            </w:r>
            <w:r w:rsidRPr="00674A29">
              <w:rPr>
                <w:lang w:eastAsia="en-US"/>
              </w:rPr>
              <w:t xml:space="preserve">omirnaty </w:t>
            </w:r>
            <w:r>
              <w:rPr>
                <w:lang w:eastAsia="en-US"/>
              </w:rPr>
              <w:t>O</w:t>
            </w:r>
            <w:r w:rsidRPr="00674A29">
              <w:rPr>
                <w:lang w:eastAsia="en-US"/>
              </w:rPr>
              <w:t>riginal/</w:t>
            </w:r>
            <w:r>
              <w:rPr>
                <w:lang w:eastAsia="en-US"/>
              </w:rPr>
              <w:t>O</w:t>
            </w:r>
            <w:r w:rsidRPr="00674A29">
              <w:rPr>
                <w:lang w:eastAsia="en-US"/>
              </w:rPr>
              <w:t xml:space="preserve">micron </w:t>
            </w:r>
            <w:r w:rsidRPr="00674A29">
              <w:rPr>
                <w:sz w:val="48"/>
                <w:szCs w:val="48"/>
                <w:lang w:eastAsia="en-US"/>
              </w:rPr>
              <w:t>BA.4-5</w:t>
            </w:r>
            <w:r>
              <w:rPr>
                <w:sz w:val="48"/>
                <w:szCs w:val="48"/>
                <w:lang w:eastAsia="en-US"/>
              </w:rPr>
              <w:t xml:space="preserve"> COVID-19 Vaccine</w:t>
            </w:r>
            <w:bookmarkEnd w:id="0"/>
          </w:p>
        </w:tc>
      </w:tr>
      <w:tr w:rsidR="00C62FA9" w:rsidRPr="00BE229E" w14:paraId="4525E4B8" w14:textId="77777777" w:rsidTr="00C62FA9">
        <w:trPr>
          <w:trHeight w:val="995"/>
        </w:trPr>
        <w:tc>
          <w:tcPr>
            <w:tcW w:w="9270" w:type="dxa"/>
          </w:tcPr>
          <w:p w14:paraId="1C495A9C" w14:textId="77777777" w:rsidR="00C62FA9" w:rsidRPr="00BE229E" w:rsidRDefault="00C62FA9" w:rsidP="00323B48">
            <w:pPr>
              <w:pStyle w:val="Subtitle"/>
              <w:rPr>
                <w:lang w:eastAsia="en-US"/>
              </w:rPr>
            </w:pPr>
            <w:r w:rsidRPr="00BE229E">
              <w:rPr>
                <w:lang w:eastAsia="en-US"/>
              </w:rPr>
              <w:t>Active ingredient:</w:t>
            </w:r>
            <w:r>
              <w:rPr>
                <w:lang w:eastAsia="en-US"/>
              </w:rPr>
              <w:t xml:space="preserve"> </w:t>
            </w:r>
            <w:bookmarkStart w:id="1" w:name="_Hlk177994234"/>
            <w:r w:rsidRPr="00674A29">
              <w:rPr>
                <w:lang w:eastAsia="en-US"/>
              </w:rPr>
              <w:t>tozinameran/</w:t>
            </w:r>
            <w:proofErr w:type="spellStart"/>
            <w:r w:rsidRPr="00674A29">
              <w:rPr>
                <w:lang w:eastAsia="en-US"/>
              </w:rPr>
              <w:t>famtozinameran</w:t>
            </w:r>
            <w:bookmarkEnd w:id="1"/>
            <w:proofErr w:type="spellEnd"/>
          </w:p>
        </w:tc>
      </w:tr>
      <w:tr w:rsidR="00C62FA9" w:rsidRPr="00BE229E" w14:paraId="3EFB9C46" w14:textId="77777777" w:rsidTr="00C62FA9">
        <w:trPr>
          <w:trHeight w:val="1916"/>
        </w:trPr>
        <w:tc>
          <w:tcPr>
            <w:tcW w:w="9270" w:type="dxa"/>
          </w:tcPr>
          <w:p w14:paraId="0DA99D13" w14:textId="5A2B828A" w:rsidR="00C62FA9" w:rsidRPr="00BE229E" w:rsidRDefault="005A4939" w:rsidP="00323B48">
            <w:pPr>
              <w:pStyle w:val="Subtitle"/>
              <w:rPr>
                <w:lang w:eastAsia="en-US"/>
              </w:rPr>
            </w:pPr>
            <w:r>
              <w:rPr>
                <w:lang w:eastAsia="en-US"/>
              </w:rPr>
              <w:t>Sponsor</w:t>
            </w:r>
            <w:r w:rsidR="00C62FA9" w:rsidRPr="00BE229E">
              <w:rPr>
                <w:lang w:eastAsia="en-US"/>
              </w:rPr>
              <w:t xml:space="preserve">: </w:t>
            </w:r>
            <w:bookmarkStart w:id="2" w:name="_Hlk177994250"/>
            <w:r w:rsidR="00C62FA9" w:rsidRPr="00674A29">
              <w:rPr>
                <w:lang w:eastAsia="en-US"/>
              </w:rPr>
              <w:t>Pfizer Australia Pty Ltd</w:t>
            </w:r>
            <w:bookmarkEnd w:id="2"/>
          </w:p>
        </w:tc>
      </w:tr>
      <w:tr w:rsidR="00C62FA9" w:rsidRPr="00BE229E" w14:paraId="005280FB" w14:textId="77777777" w:rsidTr="00C62FA9">
        <w:tc>
          <w:tcPr>
            <w:tcW w:w="9270" w:type="dxa"/>
          </w:tcPr>
          <w:p w14:paraId="55A6F003" w14:textId="77777777" w:rsidR="00C62FA9" w:rsidRPr="00BE229E" w:rsidRDefault="00C62FA9" w:rsidP="00323B48">
            <w:pPr>
              <w:pStyle w:val="Date"/>
              <w:rPr>
                <w:lang w:eastAsia="en-US"/>
              </w:rPr>
            </w:pPr>
            <w:r w:rsidRPr="00BE229E">
              <w:rPr>
                <w:lang w:eastAsia="en-US"/>
              </w:rPr>
              <w:t>August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049C633" w14:textId="0D88FA29" w:rsidR="007F77E9" w:rsidRDefault="00F02AEC">
          <w:pPr>
            <w:pStyle w:val="TOC1"/>
            <w:rPr>
              <w:rFonts w:asciiTheme="minorHAnsi" w:eastAsiaTheme="minorEastAsia" w:hAnsiTheme="minorHAnsi" w:cstheme="minorBidi"/>
              <w:b w:val="0"/>
              <w:noProof/>
              <w:color w:val="auto"/>
              <w:kern w:val="2"/>
              <w:sz w:val="22"/>
              <w:szCs w:val="22"/>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7995404" w:history="1">
            <w:r w:rsidR="007F77E9" w:rsidRPr="00E438FF">
              <w:rPr>
                <w:rStyle w:val="Hyperlink"/>
                <w:noProof/>
              </w:rPr>
              <w:t>Comirnaty original/omicron BA.4-5 submission</w:t>
            </w:r>
            <w:r w:rsidR="007F77E9">
              <w:rPr>
                <w:noProof/>
                <w:webHidden/>
              </w:rPr>
              <w:tab/>
            </w:r>
            <w:r w:rsidR="007F77E9">
              <w:rPr>
                <w:noProof/>
                <w:webHidden/>
              </w:rPr>
              <w:fldChar w:fldCharType="begin"/>
            </w:r>
            <w:r w:rsidR="007F77E9">
              <w:rPr>
                <w:noProof/>
                <w:webHidden/>
              </w:rPr>
              <w:instrText xml:space="preserve"> PAGEREF _Toc177995404 \h </w:instrText>
            </w:r>
            <w:r w:rsidR="007F77E9">
              <w:rPr>
                <w:noProof/>
                <w:webHidden/>
              </w:rPr>
            </w:r>
            <w:r w:rsidR="007F77E9">
              <w:rPr>
                <w:noProof/>
                <w:webHidden/>
              </w:rPr>
              <w:fldChar w:fldCharType="separate"/>
            </w:r>
            <w:r w:rsidR="007F77E9">
              <w:rPr>
                <w:noProof/>
                <w:webHidden/>
              </w:rPr>
              <w:t>4</w:t>
            </w:r>
            <w:r w:rsidR="007F77E9">
              <w:rPr>
                <w:noProof/>
                <w:webHidden/>
              </w:rPr>
              <w:fldChar w:fldCharType="end"/>
            </w:r>
          </w:hyperlink>
        </w:p>
        <w:p w14:paraId="39457F2D" w14:textId="1FDF1D25"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05" w:history="1">
            <w:r w:rsidRPr="00E438FF">
              <w:rPr>
                <w:rStyle w:val="Hyperlink"/>
                <w:noProof/>
              </w:rPr>
              <w:t>Comirnaty Original/Omicron BA.4-5 – proposed indications</w:t>
            </w:r>
            <w:r>
              <w:rPr>
                <w:noProof/>
                <w:webHidden/>
              </w:rPr>
              <w:tab/>
            </w:r>
            <w:r>
              <w:rPr>
                <w:noProof/>
                <w:webHidden/>
              </w:rPr>
              <w:fldChar w:fldCharType="begin"/>
            </w:r>
            <w:r>
              <w:rPr>
                <w:noProof/>
                <w:webHidden/>
              </w:rPr>
              <w:instrText xml:space="preserve"> PAGEREF _Toc177995405 \h </w:instrText>
            </w:r>
            <w:r>
              <w:rPr>
                <w:noProof/>
                <w:webHidden/>
              </w:rPr>
            </w:r>
            <w:r>
              <w:rPr>
                <w:noProof/>
                <w:webHidden/>
              </w:rPr>
              <w:fldChar w:fldCharType="separate"/>
            </w:r>
            <w:r>
              <w:rPr>
                <w:noProof/>
                <w:webHidden/>
              </w:rPr>
              <w:t>6</w:t>
            </w:r>
            <w:r>
              <w:rPr>
                <w:noProof/>
                <w:webHidden/>
              </w:rPr>
              <w:fldChar w:fldCharType="end"/>
            </w:r>
          </w:hyperlink>
        </w:p>
        <w:p w14:paraId="3A2CA35C" w14:textId="19AB69B6"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06" w:history="1">
            <w:r w:rsidRPr="00E438FF">
              <w:rPr>
                <w:rStyle w:val="Hyperlink"/>
                <w:noProof/>
              </w:rPr>
              <w:t>Coronavirus disease (COVID-19)</w:t>
            </w:r>
            <w:r>
              <w:rPr>
                <w:noProof/>
                <w:webHidden/>
              </w:rPr>
              <w:tab/>
            </w:r>
            <w:r>
              <w:rPr>
                <w:noProof/>
                <w:webHidden/>
              </w:rPr>
              <w:fldChar w:fldCharType="begin"/>
            </w:r>
            <w:r>
              <w:rPr>
                <w:noProof/>
                <w:webHidden/>
              </w:rPr>
              <w:instrText xml:space="preserve"> PAGEREF _Toc177995406 \h </w:instrText>
            </w:r>
            <w:r>
              <w:rPr>
                <w:noProof/>
                <w:webHidden/>
              </w:rPr>
            </w:r>
            <w:r>
              <w:rPr>
                <w:noProof/>
                <w:webHidden/>
              </w:rPr>
              <w:fldChar w:fldCharType="separate"/>
            </w:r>
            <w:r>
              <w:rPr>
                <w:noProof/>
                <w:webHidden/>
              </w:rPr>
              <w:t>6</w:t>
            </w:r>
            <w:r>
              <w:rPr>
                <w:noProof/>
                <w:webHidden/>
              </w:rPr>
              <w:fldChar w:fldCharType="end"/>
            </w:r>
          </w:hyperlink>
        </w:p>
        <w:p w14:paraId="5D83DB3C" w14:textId="52911CBF"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07" w:history="1">
            <w:r w:rsidRPr="00E438FF">
              <w:rPr>
                <w:rStyle w:val="Hyperlink"/>
                <w:noProof/>
              </w:rPr>
              <w:t>Clinical rationale for comirnaty original/omicron BA.4-5 use</w:t>
            </w:r>
            <w:r>
              <w:rPr>
                <w:noProof/>
                <w:webHidden/>
              </w:rPr>
              <w:tab/>
            </w:r>
            <w:r>
              <w:rPr>
                <w:noProof/>
                <w:webHidden/>
              </w:rPr>
              <w:fldChar w:fldCharType="begin"/>
            </w:r>
            <w:r>
              <w:rPr>
                <w:noProof/>
                <w:webHidden/>
              </w:rPr>
              <w:instrText xml:space="preserve"> PAGEREF _Toc177995407 \h </w:instrText>
            </w:r>
            <w:r>
              <w:rPr>
                <w:noProof/>
                <w:webHidden/>
              </w:rPr>
            </w:r>
            <w:r>
              <w:rPr>
                <w:noProof/>
                <w:webHidden/>
              </w:rPr>
              <w:fldChar w:fldCharType="separate"/>
            </w:r>
            <w:r>
              <w:rPr>
                <w:noProof/>
                <w:webHidden/>
              </w:rPr>
              <w:t>7</w:t>
            </w:r>
            <w:r>
              <w:rPr>
                <w:noProof/>
                <w:webHidden/>
              </w:rPr>
              <w:fldChar w:fldCharType="end"/>
            </w:r>
          </w:hyperlink>
        </w:p>
        <w:p w14:paraId="267E6C55" w14:textId="62C814BA" w:rsidR="007F77E9" w:rsidRDefault="007F77E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995408" w:history="1">
            <w:r w:rsidRPr="00E438FF">
              <w:rPr>
                <w:rStyle w:val="Hyperlink"/>
                <w:noProof/>
              </w:rPr>
              <w:t>Regulatory status</w:t>
            </w:r>
            <w:r>
              <w:rPr>
                <w:noProof/>
                <w:webHidden/>
              </w:rPr>
              <w:tab/>
            </w:r>
            <w:r>
              <w:rPr>
                <w:noProof/>
                <w:webHidden/>
              </w:rPr>
              <w:fldChar w:fldCharType="begin"/>
            </w:r>
            <w:r>
              <w:rPr>
                <w:noProof/>
                <w:webHidden/>
              </w:rPr>
              <w:instrText xml:space="preserve"> PAGEREF _Toc177995408 \h </w:instrText>
            </w:r>
            <w:r>
              <w:rPr>
                <w:noProof/>
                <w:webHidden/>
              </w:rPr>
            </w:r>
            <w:r>
              <w:rPr>
                <w:noProof/>
                <w:webHidden/>
              </w:rPr>
              <w:fldChar w:fldCharType="separate"/>
            </w:r>
            <w:r>
              <w:rPr>
                <w:noProof/>
                <w:webHidden/>
              </w:rPr>
              <w:t>7</w:t>
            </w:r>
            <w:r>
              <w:rPr>
                <w:noProof/>
                <w:webHidden/>
              </w:rPr>
              <w:fldChar w:fldCharType="end"/>
            </w:r>
          </w:hyperlink>
        </w:p>
        <w:p w14:paraId="5B0EC30E" w14:textId="56BC3EBD"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09" w:history="1">
            <w:r w:rsidRPr="00E438FF">
              <w:rPr>
                <w:rStyle w:val="Hyperlink"/>
                <w:noProof/>
              </w:rPr>
              <w:t>Australian regulatory status</w:t>
            </w:r>
            <w:r>
              <w:rPr>
                <w:noProof/>
                <w:webHidden/>
              </w:rPr>
              <w:tab/>
            </w:r>
            <w:r>
              <w:rPr>
                <w:noProof/>
                <w:webHidden/>
              </w:rPr>
              <w:fldChar w:fldCharType="begin"/>
            </w:r>
            <w:r>
              <w:rPr>
                <w:noProof/>
                <w:webHidden/>
              </w:rPr>
              <w:instrText xml:space="preserve"> PAGEREF _Toc177995409 \h </w:instrText>
            </w:r>
            <w:r>
              <w:rPr>
                <w:noProof/>
                <w:webHidden/>
              </w:rPr>
            </w:r>
            <w:r>
              <w:rPr>
                <w:noProof/>
                <w:webHidden/>
              </w:rPr>
              <w:fldChar w:fldCharType="separate"/>
            </w:r>
            <w:r>
              <w:rPr>
                <w:noProof/>
                <w:webHidden/>
              </w:rPr>
              <w:t>7</w:t>
            </w:r>
            <w:r>
              <w:rPr>
                <w:noProof/>
                <w:webHidden/>
              </w:rPr>
              <w:fldChar w:fldCharType="end"/>
            </w:r>
          </w:hyperlink>
        </w:p>
        <w:p w14:paraId="605DE98B" w14:textId="2C8C015B" w:rsidR="007F77E9" w:rsidRDefault="007F77E9">
          <w:pPr>
            <w:pStyle w:val="TOC3"/>
            <w:rPr>
              <w:rFonts w:asciiTheme="minorHAnsi" w:eastAsiaTheme="minorEastAsia" w:hAnsiTheme="minorHAnsi" w:cstheme="minorBidi"/>
              <w:b w:val="0"/>
              <w:noProof/>
              <w:color w:val="auto"/>
              <w:kern w:val="2"/>
              <w:szCs w:val="22"/>
              <w:lang w:eastAsia="en-AU"/>
              <w14:ligatures w14:val="standardContextual"/>
            </w:rPr>
          </w:pPr>
          <w:hyperlink w:anchor="_Toc177995410" w:history="1">
            <w:r w:rsidRPr="00E438FF">
              <w:rPr>
                <w:rStyle w:val="Hyperlink"/>
                <w:noProof/>
              </w:rPr>
              <w:t>International regulatory status</w:t>
            </w:r>
            <w:r>
              <w:rPr>
                <w:noProof/>
                <w:webHidden/>
              </w:rPr>
              <w:tab/>
            </w:r>
            <w:r>
              <w:rPr>
                <w:noProof/>
                <w:webHidden/>
              </w:rPr>
              <w:fldChar w:fldCharType="begin"/>
            </w:r>
            <w:r>
              <w:rPr>
                <w:noProof/>
                <w:webHidden/>
              </w:rPr>
              <w:instrText xml:space="preserve"> PAGEREF _Toc177995410 \h </w:instrText>
            </w:r>
            <w:r>
              <w:rPr>
                <w:noProof/>
                <w:webHidden/>
              </w:rPr>
            </w:r>
            <w:r>
              <w:rPr>
                <w:noProof/>
                <w:webHidden/>
              </w:rPr>
              <w:fldChar w:fldCharType="separate"/>
            </w:r>
            <w:r>
              <w:rPr>
                <w:noProof/>
                <w:webHidden/>
              </w:rPr>
              <w:t>8</w:t>
            </w:r>
            <w:r>
              <w:rPr>
                <w:noProof/>
                <w:webHidden/>
              </w:rPr>
              <w:fldChar w:fldCharType="end"/>
            </w:r>
          </w:hyperlink>
        </w:p>
        <w:p w14:paraId="0DD56433" w14:textId="79C12155"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11" w:history="1">
            <w:r w:rsidRPr="00E438FF">
              <w:rPr>
                <w:rStyle w:val="Hyperlink"/>
                <w:noProof/>
              </w:rPr>
              <w:t>Registration timeline</w:t>
            </w:r>
            <w:r>
              <w:rPr>
                <w:noProof/>
                <w:webHidden/>
              </w:rPr>
              <w:tab/>
            </w:r>
            <w:r>
              <w:rPr>
                <w:noProof/>
                <w:webHidden/>
              </w:rPr>
              <w:fldChar w:fldCharType="begin"/>
            </w:r>
            <w:r>
              <w:rPr>
                <w:noProof/>
                <w:webHidden/>
              </w:rPr>
              <w:instrText xml:space="preserve"> PAGEREF _Toc177995411 \h </w:instrText>
            </w:r>
            <w:r>
              <w:rPr>
                <w:noProof/>
                <w:webHidden/>
              </w:rPr>
            </w:r>
            <w:r>
              <w:rPr>
                <w:noProof/>
                <w:webHidden/>
              </w:rPr>
              <w:fldChar w:fldCharType="separate"/>
            </w:r>
            <w:r>
              <w:rPr>
                <w:noProof/>
                <w:webHidden/>
              </w:rPr>
              <w:t>9</w:t>
            </w:r>
            <w:r>
              <w:rPr>
                <w:noProof/>
                <w:webHidden/>
              </w:rPr>
              <w:fldChar w:fldCharType="end"/>
            </w:r>
          </w:hyperlink>
        </w:p>
        <w:p w14:paraId="4E719ED1" w14:textId="7D81C971" w:rsidR="007F77E9" w:rsidRDefault="007F77E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995412" w:history="1">
            <w:r w:rsidRPr="00E438FF">
              <w:rPr>
                <w:rStyle w:val="Hyperlink"/>
                <w:noProof/>
              </w:rPr>
              <w:t>Evaluation overview</w:t>
            </w:r>
            <w:r>
              <w:rPr>
                <w:noProof/>
                <w:webHidden/>
              </w:rPr>
              <w:tab/>
            </w:r>
            <w:r>
              <w:rPr>
                <w:noProof/>
                <w:webHidden/>
              </w:rPr>
              <w:fldChar w:fldCharType="begin"/>
            </w:r>
            <w:r>
              <w:rPr>
                <w:noProof/>
                <w:webHidden/>
              </w:rPr>
              <w:instrText xml:space="preserve"> PAGEREF _Toc177995412 \h </w:instrText>
            </w:r>
            <w:r>
              <w:rPr>
                <w:noProof/>
                <w:webHidden/>
              </w:rPr>
            </w:r>
            <w:r>
              <w:rPr>
                <w:noProof/>
                <w:webHidden/>
              </w:rPr>
              <w:fldChar w:fldCharType="separate"/>
            </w:r>
            <w:r>
              <w:rPr>
                <w:noProof/>
                <w:webHidden/>
              </w:rPr>
              <w:t>9</w:t>
            </w:r>
            <w:r>
              <w:rPr>
                <w:noProof/>
                <w:webHidden/>
              </w:rPr>
              <w:fldChar w:fldCharType="end"/>
            </w:r>
          </w:hyperlink>
        </w:p>
        <w:p w14:paraId="77E68ACB" w14:textId="705C9810" w:rsidR="007F77E9" w:rsidRDefault="007F77E9">
          <w:pPr>
            <w:pStyle w:val="TOC2"/>
            <w:rPr>
              <w:rFonts w:asciiTheme="minorHAnsi" w:eastAsiaTheme="minorEastAsia" w:hAnsiTheme="minorHAnsi" w:cstheme="minorBidi"/>
              <w:b w:val="0"/>
              <w:noProof/>
              <w:color w:val="auto"/>
              <w:kern w:val="2"/>
              <w:sz w:val="22"/>
              <w:szCs w:val="22"/>
              <w:lang w:eastAsia="en-AU"/>
              <w14:ligatures w14:val="standardContextual"/>
            </w:rPr>
          </w:pPr>
          <w:hyperlink w:anchor="_Toc177995413" w:history="1">
            <w:r w:rsidRPr="00E438FF">
              <w:rPr>
                <w:rStyle w:val="Hyperlink"/>
                <w:noProof/>
              </w:rPr>
              <w:t>Clinical evaluation summary</w:t>
            </w:r>
            <w:r>
              <w:rPr>
                <w:noProof/>
                <w:webHidden/>
              </w:rPr>
              <w:tab/>
            </w:r>
            <w:r>
              <w:rPr>
                <w:noProof/>
                <w:webHidden/>
              </w:rPr>
              <w:fldChar w:fldCharType="begin"/>
            </w:r>
            <w:r>
              <w:rPr>
                <w:noProof/>
                <w:webHidden/>
              </w:rPr>
              <w:instrText xml:space="preserve"> PAGEREF _Toc177995413 \h </w:instrText>
            </w:r>
            <w:r>
              <w:rPr>
                <w:noProof/>
                <w:webHidden/>
              </w:rPr>
            </w:r>
            <w:r>
              <w:rPr>
                <w:noProof/>
                <w:webHidden/>
              </w:rPr>
              <w:fldChar w:fldCharType="separate"/>
            </w:r>
            <w:r>
              <w:rPr>
                <w:noProof/>
                <w:webHidden/>
              </w:rPr>
              <w:t>9</w:t>
            </w:r>
            <w:r>
              <w:rPr>
                <w:noProof/>
                <w:webHidden/>
              </w:rPr>
              <w:fldChar w:fldCharType="end"/>
            </w:r>
          </w:hyperlink>
        </w:p>
        <w:p w14:paraId="626789E7" w14:textId="0D347CEA" w:rsidR="007F77E9" w:rsidRDefault="007F77E9">
          <w:pPr>
            <w:pStyle w:val="TOC3"/>
            <w:rPr>
              <w:rFonts w:asciiTheme="minorHAnsi" w:eastAsiaTheme="minorEastAsia" w:hAnsiTheme="minorHAnsi" w:cstheme="minorBidi"/>
              <w:b w:val="0"/>
              <w:noProof/>
              <w:color w:val="auto"/>
              <w:kern w:val="2"/>
              <w:szCs w:val="22"/>
              <w:lang w:eastAsia="en-AU"/>
              <w14:ligatures w14:val="standardContextual"/>
            </w:rPr>
          </w:pPr>
          <w:hyperlink w:anchor="_Toc177995414" w:history="1">
            <w:r w:rsidRPr="00E438FF">
              <w:rPr>
                <w:rStyle w:val="Hyperlink"/>
                <w:noProof/>
              </w:rPr>
              <w:t>Efficacy</w:t>
            </w:r>
            <w:r>
              <w:rPr>
                <w:noProof/>
                <w:webHidden/>
              </w:rPr>
              <w:tab/>
            </w:r>
            <w:r>
              <w:rPr>
                <w:noProof/>
                <w:webHidden/>
              </w:rPr>
              <w:fldChar w:fldCharType="begin"/>
            </w:r>
            <w:r>
              <w:rPr>
                <w:noProof/>
                <w:webHidden/>
              </w:rPr>
              <w:instrText xml:space="preserve"> PAGEREF _Toc177995414 \h </w:instrText>
            </w:r>
            <w:r>
              <w:rPr>
                <w:noProof/>
                <w:webHidden/>
              </w:rPr>
            </w:r>
            <w:r>
              <w:rPr>
                <w:noProof/>
                <w:webHidden/>
              </w:rPr>
              <w:fldChar w:fldCharType="separate"/>
            </w:r>
            <w:r>
              <w:rPr>
                <w:noProof/>
                <w:webHidden/>
              </w:rPr>
              <w:t>9</w:t>
            </w:r>
            <w:r>
              <w:rPr>
                <w:noProof/>
                <w:webHidden/>
              </w:rPr>
              <w:fldChar w:fldCharType="end"/>
            </w:r>
          </w:hyperlink>
        </w:p>
        <w:p w14:paraId="39223C02" w14:textId="0112ED17" w:rsidR="007F77E9" w:rsidRDefault="007F77E9">
          <w:pPr>
            <w:pStyle w:val="TOC3"/>
            <w:rPr>
              <w:rFonts w:asciiTheme="minorHAnsi" w:eastAsiaTheme="minorEastAsia" w:hAnsiTheme="minorHAnsi" w:cstheme="minorBidi"/>
              <w:b w:val="0"/>
              <w:noProof/>
              <w:color w:val="auto"/>
              <w:kern w:val="2"/>
              <w:szCs w:val="22"/>
              <w:lang w:eastAsia="en-AU"/>
              <w14:ligatures w14:val="standardContextual"/>
            </w:rPr>
          </w:pPr>
          <w:hyperlink w:anchor="_Toc177995415" w:history="1">
            <w:r w:rsidRPr="00E438FF">
              <w:rPr>
                <w:rStyle w:val="Hyperlink"/>
                <w:noProof/>
              </w:rPr>
              <w:t>Safety</w:t>
            </w:r>
            <w:r>
              <w:rPr>
                <w:noProof/>
                <w:webHidden/>
              </w:rPr>
              <w:tab/>
            </w:r>
            <w:r>
              <w:rPr>
                <w:noProof/>
                <w:webHidden/>
              </w:rPr>
              <w:fldChar w:fldCharType="begin"/>
            </w:r>
            <w:r>
              <w:rPr>
                <w:noProof/>
                <w:webHidden/>
              </w:rPr>
              <w:instrText xml:space="preserve"> PAGEREF _Toc177995415 \h </w:instrText>
            </w:r>
            <w:r>
              <w:rPr>
                <w:noProof/>
                <w:webHidden/>
              </w:rPr>
            </w:r>
            <w:r>
              <w:rPr>
                <w:noProof/>
                <w:webHidden/>
              </w:rPr>
              <w:fldChar w:fldCharType="separate"/>
            </w:r>
            <w:r>
              <w:rPr>
                <w:noProof/>
                <w:webHidden/>
              </w:rPr>
              <w:t>14</w:t>
            </w:r>
            <w:r>
              <w:rPr>
                <w:noProof/>
                <w:webHidden/>
              </w:rPr>
              <w:fldChar w:fldCharType="end"/>
            </w:r>
          </w:hyperlink>
        </w:p>
        <w:p w14:paraId="7164F170" w14:textId="0BE82FC0" w:rsidR="007F77E9" w:rsidRDefault="007F77E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995416" w:history="1">
            <w:r w:rsidRPr="00E438FF">
              <w:rPr>
                <w:rStyle w:val="Hyperlink"/>
                <w:noProof/>
              </w:rPr>
              <w:t>Risk/benefit assessment</w:t>
            </w:r>
            <w:r>
              <w:rPr>
                <w:noProof/>
                <w:webHidden/>
              </w:rPr>
              <w:tab/>
            </w:r>
            <w:r>
              <w:rPr>
                <w:noProof/>
                <w:webHidden/>
              </w:rPr>
              <w:fldChar w:fldCharType="begin"/>
            </w:r>
            <w:r>
              <w:rPr>
                <w:noProof/>
                <w:webHidden/>
              </w:rPr>
              <w:instrText xml:space="preserve"> PAGEREF _Toc177995416 \h </w:instrText>
            </w:r>
            <w:r>
              <w:rPr>
                <w:noProof/>
                <w:webHidden/>
              </w:rPr>
            </w:r>
            <w:r>
              <w:rPr>
                <w:noProof/>
                <w:webHidden/>
              </w:rPr>
              <w:fldChar w:fldCharType="separate"/>
            </w:r>
            <w:r>
              <w:rPr>
                <w:noProof/>
                <w:webHidden/>
              </w:rPr>
              <w:t>20</w:t>
            </w:r>
            <w:r>
              <w:rPr>
                <w:noProof/>
                <w:webHidden/>
              </w:rPr>
              <w:fldChar w:fldCharType="end"/>
            </w:r>
          </w:hyperlink>
        </w:p>
        <w:p w14:paraId="488F584A" w14:textId="629350D2" w:rsidR="007F77E9" w:rsidRDefault="007F77E9">
          <w:pPr>
            <w:pStyle w:val="TOC3"/>
            <w:rPr>
              <w:rFonts w:asciiTheme="minorHAnsi" w:eastAsiaTheme="minorEastAsia" w:hAnsiTheme="minorHAnsi" w:cstheme="minorBidi"/>
              <w:b w:val="0"/>
              <w:noProof/>
              <w:color w:val="auto"/>
              <w:kern w:val="2"/>
              <w:szCs w:val="22"/>
              <w:lang w:eastAsia="en-AU"/>
              <w14:ligatures w14:val="standardContextual"/>
            </w:rPr>
          </w:pPr>
          <w:hyperlink w:anchor="_Toc177995417" w:history="1">
            <w:r w:rsidRPr="00E438FF">
              <w:rPr>
                <w:rStyle w:val="Hyperlink"/>
                <w:noProof/>
              </w:rPr>
              <w:t>Conclusion and recommended course of action</w:t>
            </w:r>
            <w:r>
              <w:rPr>
                <w:noProof/>
                <w:webHidden/>
              </w:rPr>
              <w:tab/>
            </w:r>
            <w:r>
              <w:rPr>
                <w:noProof/>
                <w:webHidden/>
              </w:rPr>
              <w:fldChar w:fldCharType="begin"/>
            </w:r>
            <w:r>
              <w:rPr>
                <w:noProof/>
                <w:webHidden/>
              </w:rPr>
              <w:instrText xml:space="preserve"> PAGEREF _Toc177995417 \h </w:instrText>
            </w:r>
            <w:r>
              <w:rPr>
                <w:noProof/>
                <w:webHidden/>
              </w:rPr>
            </w:r>
            <w:r>
              <w:rPr>
                <w:noProof/>
                <w:webHidden/>
              </w:rPr>
              <w:fldChar w:fldCharType="separate"/>
            </w:r>
            <w:r>
              <w:rPr>
                <w:noProof/>
                <w:webHidden/>
              </w:rPr>
              <w:t>22</w:t>
            </w:r>
            <w:r>
              <w:rPr>
                <w:noProof/>
                <w:webHidden/>
              </w:rPr>
              <w:fldChar w:fldCharType="end"/>
            </w:r>
          </w:hyperlink>
        </w:p>
        <w:p w14:paraId="3E3AD970" w14:textId="3AAE7CAD" w:rsidR="007F77E9" w:rsidRDefault="007F77E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995418" w:history="1">
            <w:r w:rsidRPr="00E438FF">
              <w:rPr>
                <w:rStyle w:val="Hyperlink"/>
                <w:noProof/>
              </w:rPr>
              <w:t>Outcome</w:t>
            </w:r>
            <w:r>
              <w:rPr>
                <w:noProof/>
                <w:webHidden/>
              </w:rPr>
              <w:tab/>
            </w:r>
            <w:r>
              <w:rPr>
                <w:noProof/>
                <w:webHidden/>
              </w:rPr>
              <w:fldChar w:fldCharType="begin"/>
            </w:r>
            <w:r>
              <w:rPr>
                <w:noProof/>
                <w:webHidden/>
              </w:rPr>
              <w:instrText xml:space="preserve"> PAGEREF _Toc177995418 \h </w:instrText>
            </w:r>
            <w:r>
              <w:rPr>
                <w:noProof/>
                <w:webHidden/>
              </w:rPr>
            </w:r>
            <w:r>
              <w:rPr>
                <w:noProof/>
                <w:webHidden/>
              </w:rPr>
              <w:fldChar w:fldCharType="separate"/>
            </w:r>
            <w:r>
              <w:rPr>
                <w:noProof/>
                <w:webHidden/>
              </w:rPr>
              <w:t>22</w:t>
            </w:r>
            <w:r>
              <w:rPr>
                <w:noProof/>
                <w:webHidden/>
              </w:rPr>
              <w:fldChar w:fldCharType="end"/>
            </w:r>
          </w:hyperlink>
        </w:p>
        <w:p w14:paraId="72B46D42" w14:textId="7CB74E60" w:rsidR="007F77E9" w:rsidRDefault="007F77E9">
          <w:pPr>
            <w:pStyle w:val="TOC3"/>
            <w:rPr>
              <w:rFonts w:asciiTheme="minorHAnsi" w:eastAsiaTheme="minorEastAsia" w:hAnsiTheme="minorHAnsi" w:cstheme="minorBidi"/>
              <w:b w:val="0"/>
              <w:noProof/>
              <w:color w:val="auto"/>
              <w:kern w:val="2"/>
              <w:szCs w:val="22"/>
              <w:lang w:eastAsia="en-AU"/>
              <w14:ligatures w14:val="standardContextual"/>
            </w:rPr>
          </w:pPr>
          <w:hyperlink w:anchor="_Toc177995419" w:history="1">
            <w:r w:rsidRPr="00E438FF">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_Toc177995419 \h </w:instrText>
            </w:r>
            <w:r>
              <w:rPr>
                <w:noProof/>
                <w:webHidden/>
              </w:rPr>
            </w:r>
            <w:r>
              <w:rPr>
                <w:noProof/>
                <w:webHidden/>
              </w:rPr>
              <w:fldChar w:fldCharType="separate"/>
            </w:r>
            <w:r>
              <w:rPr>
                <w:noProof/>
                <w:webHidden/>
              </w:rPr>
              <w:t>22</w:t>
            </w:r>
            <w:r>
              <w:rPr>
                <w:noProof/>
                <w:webHidden/>
              </w:rPr>
              <w:fldChar w:fldCharType="end"/>
            </w:r>
          </w:hyperlink>
        </w:p>
        <w:p w14:paraId="0ED07970" w14:textId="4891B708" w:rsidR="007F77E9" w:rsidRDefault="007F77E9">
          <w:pPr>
            <w:pStyle w:val="TOC1"/>
            <w:rPr>
              <w:rFonts w:asciiTheme="minorHAnsi" w:eastAsiaTheme="minorEastAsia" w:hAnsiTheme="minorHAnsi" w:cstheme="minorBidi"/>
              <w:b w:val="0"/>
              <w:noProof/>
              <w:color w:val="auto"/>
              <w:kern w:val="2"/>
              <w:sz w:val="22"/>
              <w:szCs w:val="22"/>
              <w:lang w:eastAsia="en-AU"/>
              <w14:ligatures w14:val="standardContextual"/>
            </w:rPr>
          </w:pPr>
          <w:hyperlink w:anchor="_Toc177995420" w:history="1">
            <w:r w:rsidRPr="00E438FF">
              <w:rPr>
                <w:rStyle w:val="Hyperlink"/>
                <w:noProof/>
              </w:rPr>
              <w:t>Attachment 1. Product Information</w:t>
            </w:r>
            <w:r>
              <w:rPr>
                <w:noProof/>
                <w:webHidden/>
              </w:rPr>
              <w:tab/>
            </w:r>
            <w:r>
              <w:rPr>
                <w:noProof/>
                <w:webHidden/>
              </w:rPr>
              <w:fldChar w:fldCharType="begin"/>
            </w:r>
            <w:r>
              <w:rPr>
                <w:noProof/>
                <w:webHidden/>
              </w:rPr>
              <w:instrText xml:space="preserve"> PAGEREF _Toc177995420 \h </w:instrText>
            </w:r>
            <w:r>
              <w:rPr>
                <w:noProof/>
                <w:webHidden/>
              </w:rPr>
            </w:r>
            <w:r>
              <w:rPr>
                <w:noProof/>
                <w:webHidden/>
              </w:rPr>
              <w:fldChar w:fldCharType="separate"/>
            </w:r>
            <w:r>
              <w:rPr>
                <w:noProof/>
                <w:webHidden/>
              </w:rPr>
              <w:t>24</w:t>
            </w:r>
            <w:r>
              <w:rPr>
                <w:noProof/>
                <w:webHidden/>
              </w:rPr>
              <w:fldChar w:fldCharType="end"/>
            </w:r>
          </w:hyperlink>
        </w:p>
        <w:p w14:paraId="77659F2D" w14:textId="6ECF65EC"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44C2A39C" w14:textId="78B1AD46" w:rsidR="00324B33" w:rsidRDefault="003F4E79" w:rsidP="00324B33">
      <w:pPr>
        <w:pStyle w:val="Heading2"/>
      </w:pPr>
      <w:bookmarkStart w:id="3" w:name="_Toc103679288"/>
      <w:bookmarkStart w:id="4" w:name="_Toc323739589"/>
      <w:bookmarkStart w:id="5" w:name="_Toc356305216"/>
      <w:bookmarkStart w:id="6" w:name="_Toc177995404"/>
      <w:r w:rsidRPr="003F4E79">
        <w:t xml:space="preserve">Comirnaty original/omicron BA.4-5 </w:t>
      </w:r>
      <w:r w:rsidR="00324B33">
        <w:t>submission</w:t>
      </w:r>
      <w:bookmarkEnd w:id="3"/>
      <w:bookmarkEnd w:id="6"/>
    </w:p>
    <w:tbl>
      <w:tblPr>
        <w:tblW w:w="5368" w:type="pct"/>
        <w:tblLayout w:type="fixed"/>
        <w:tblLook w:val="01E0" w:firstRow="1" w:lastRow="1" w:firstColumn="1" w:lastColumn="1" w:noHBand="0" w:noVBand="0"/>
      </w:tblPr>
      <w:tblGrid>
        <w:gridCol w:w="2409"/>
        <w:gridCol w:w="7329"/>
      </w:tblGrid>
      <w:tr w:rsidR="00F26EAD" w:rsidRPr="00BD5DBD" w14:paraId="77D11C95" w14:textId="77777777" w:rsidTr="00825373">
        <w:tc>
          <w:tcPr>
            <w:tcW w:w="1237" w:type="pct"/>
          </w:tcPr>
          <w:p w14:paraId="10E57D62" w14:textId="147E2EDA" w:rsidR="00324B33" w:rsidRPr="006958EE" w:rsidRDefault="00324B33" w:rsidP="00825373">
            <w:pPr>
              <w:rPr>
                <w:b/>
                <w:bCs/>
                <w:i/>
                <w:szCs w:val="22"/>
              </w:rPr>
            </w:pPr>
            <w:r w:rsidRPr="006958EE">
              <w:rPr>
                <w:b/>
                <w:bCs/>
                <w:i/>
                <w:szCs w:val="22"/>
              </w:rPr>
              <w:t>Type of submission:</w:t>
            </w:r>
          </w:p>
        </w:tc>
        <w:tc>
          <w:tcPr>
            <w:tcW w:w="3763" w:type="pct"/>
          </w:tcPr>
          <w:p w14:paraId="4F07C303" w14:textId="464AAB6B" w:rsidR="00324B33" w:rsidRPr="00BD5DBD" w:rsidRDefault="009016C2" w:rsidP="007452E8">
            <w:pPr>
              <w:rPr>
                <w:szCs w:val="22"/>
              </w:rPr>
            </w:pPr>
            <w:r w:rsidRPr="009016C2">
              <w:rPr>
                <w:szCs w:val="22"/>
              </w:rPr>
              <w:t>Extension of indication</w:t>
            </w:r>
            <w:r w:rsidR="00674A29">
              <w:rPr>
                <w:szCs w:val="22"/>
              </w:rPr>
              <w:t>s</w:t>
            </w:r>
            <w:r w:rsidR="00B52EB8">
              <w:rPr>
                <w:szCs w:val="22"/>
              </w:rPr>
              <w:t>/New strength</w:t>
            </w:r>
          </w:p>
        </w:tc>
      </w:tr>
      <w:tr w:rsidR="00F26EAD" w:rsidRPr="00BD5DBD" w14:paraId="13482B61" w14:textId="77777777" w:rsidTr="00825373">
        <w:tc>
          <w:tcPr>
            <w:tcW w:w="1237" w:type="pct"/>
          </w:tcPr>
          <w:p w14:paraId="2C427FCF" w14:textId="01211908" w:rsidR="00324B33" w:rsidRPr="006958EE" w:rsidRDefault="00324B33" w:rsidP="00825373">
            <w:pPr>
              <w:rPr>
                <w:b/>
                <w:bCs/>
                <w:i/>
                <w:szCs w:val="22"/>
              </w:rPr>
            </w:pPr>
            <w:r w:rsidRPr="006958EE">
              <w:rPr>
                <w:b/>
                <w:bCs/>
                <w:i/>
                <w:szCs w:val="22"/>
              </w:rPr>
              <w:t>Product name:</w:t>
            </w:r>
          </w:p>
        </w:tc>
        <w:tc>
          <w:tcPr>
            <w:tcW w:w="3763" w:type="pct"/>
          </w:tcPr>
          <w:p w14:paraId="0E2DEF76" w14:textId="5622032D" w:rsidR="00324B33" w:rsidRPr="00BD5DBD" w:rsidRDefault="00674A29" w:rsidP="007452E8">
            <w:pPr>
              <w:rPr>
                <w:szCs w:val="22"/>
              </w:rPr>
            </w:pPr>
            <w:r w:rsidRPr="00674A29">
              <w:rPr>
                <w:szCs w:val="22"/>
              </w:rPr>
              <w:t xml:space="preserve">Comirnaty original/omicron BA.4-5 </w:t>
            </w:r>
          </w:p>
        </w:tc>
      </w:tr>
      <w:tr w:rsidR="00F26EAD" w:rsidRPr="00BD5DBD" w14:paraId="01255B5B" w14:textId="77777777" w:rsidTr="00825373">
        <w:tc>
          <w:tcPr>
            <w:tcW w:w="1237" w:type="pct"/>
          </w:tcPr>
          <w:p w14:paraId="52B4F3D7" w14:textId="2024E8F9" w:rsidR="00324B33" w:rsidRPr="006958EE" w:rsidRDefault="00324B33" w:rsidP="00825373">
            <w:pPr>
              <w:rPr>
                <w:b/>
                <w:bCs/>
                <w:i/>
                <w:szCs w:val="22"/>
              </w:rPr>
            </w:pPr>
            <w:r w:rsidRPr="006958EE">
              <w:rPr>
                <w:b/>
                <w:bCs/>
                <w:i/>
                <w:szCs w:val="22"/>
              </w:rPr>
              <w:t>Active ingredient:</w:t>
            </w:r>
          </w:p>
        </w:tc>
        <w:tc>
          <w:tcPr>
            <w:tcW w:w="3763" w:type="pct"/>
          </w:tcPr>
          <w:p w14:paraId="02FB6383" w14:textId="5109C813" w:rsidR="00324B33" w:rsidRPr="00BD5DBD" w:rsidRDefault="00674A29" w:rsidP="007452E8">
            <w:pPr>
              <w:rPr>
                <w:szCs w:val="22"/>
              </w:rPr>
            </w:pPr>
            <w:r w:rsidRPr="00674A29">
              <w:rPr>
                <w:szCs w:val="22"/>
              </w:rPr>
              <w:t>tozinameran/famtozinameran</w:t>
            </w:r>
          </w:p>
        </w:tc>
      </w:tr>
      <w:tr w:rsidR="00F26EAD" w:rsidRPr="00BD5DBD" w14:paraId="219A281B" w14:textId="77777777" w:rsidTr="00825373">
        <w:tc>
          <w:tcPr>
            <w:tcW w:w="1237" w:type="pct"/>
          </w:tcPr>
          <w:p w14:paraId="112E5F78" w14:textId="7A9E426E" w:rsidR="00324B33" w:rsidRPr="006958EE" w:rsidRDefault="00324B33" w:rsidP="00825373">
            <w:pPr>
              <w:rPr>
                <w:b/>
                <w:bCs/>
                <w:i/>
                <w:szCs w:val="22"/>
              </w:rPr>
            </w:pPr>
            <w:r w:rsidRPr="006958EE">
              <w:rPr>
                <w:b/>
                <w:bCs/>
                <w:i/>
                <w:szCs w:val="22"/>
              </w:rPr>
              <w:t>Decision:</w:t>
            </w:r>
          </w:p>
        </w:tc>
        <w:tc>
          <w:tcPr>
            <w:tcW w:w="3763" w:type="pct"/>
          </w:tcPr>
          <w:p w14:paraId="3B114BEA" w14:textId="791A222E" w:rsidR="003F4E79" w:rsidRPr="00BD5DBD" w:rsidRDefault="00324B33" w:rsidP="003F4E79">
            <w:pPr>
              <w:rPr>
                <w:szCs w:val="22"/>
              </w:rPr>
            </w:pPr>
            <w:r w:rsidRPr="00BD5DBD">
              <w:rPr>
                <w:szCs w:val="22"/>
              </w:rPr>
              <w:t>Approved</w:t>
            </w:r>
          </w:p>
        </w:tc>
      </w:tr>
      <w:tr w:rsidR="003F4E79" w:rsidRPr="00BD5DBD" w14:paraId="2070532F" w14:textId="77777777" w:rsidTr="00825373">
        <w:tc>
          <w:tcPr>
            <w:tcW w:w="1237" w:type="pct"/>
          </w:tcPr>
          <w:p w14:paraId="26DBB35B" w14:textId="0CBAD593" w:rsidR="003F4E79" w:rsidRPr="006958EE" w:rsidRDefault="003F4E79" w:rsidP="00825373">
            <w:pPr>
              <w:rPr>
                <w:b/>
                <w:bCs/>
                <w:i/>
                <w:szCs w:val="22"/>
              </w:rPr>
            </w:pPr>
            <w:r w:rsidRPr="006958EE">
              <w:rPr>
                <w:b/>
                <w:bCs/>
                <w:i/>
                <w:szCs w:val="22"/>
              </w:rPr>
              <w:t>Approved therapeutic use for the current submission:</w:t>
            </w:r>
          </w:p>
        </w:tc>
        <w:tc>
          <w:tcPr>
            <w:tcW w:w="3763" w:type="pct"/>
          </w:tcPr>
          <w:p w14:paraId="76A01BBA" w14:textId="77777777" w:rsidR="003F4E79" w:rsidRPr="00F26EAD" w:rsidRDefault="003F4E79" w:rsidP="003F4E79">
            <w:pPr>
              <w:rPr>
                <w:i/>
                <w:iCs/>
                <w:szCs w:val="22"/>
              </w:rPr>
            </w:pPr>
            <w:r w:rsidRPr="003F4E79">
              <w:rPr>
                <w:szCs w:val="22"/>
              </w:rPr>
              <w:t>Comirnaty Original/Omicron BA.4-5 Vaccine has provisional approval for the indication below</w:t>
            </w:r>
            <w:r w:rsidRPr="00F26EAD">
              <w:rPr>
                <w:i/>
                <w:iCs/>
                <w:szCs w:val="22"/>
              </w:rPr>
              <w:t>:</w:t>
            </w:r>
          </w:p>
          <w:p w14:paraId="10472C0D" w14:textId="77777777" w:rsidR="00825373" w:rsidRDefault="003F4E79" w:rsidP="003F4E79">
            <w:pPr>
              <w:rPr>
                <w:i/>
                <w:iCs/>
                <w:szCs w:val="22"/>
              </w:rPr>
            </w:pPr>
            <w:r w:rsidRPr="00F26EAD">
              <w:rPr>
                <w:i/>
                <w:iCs/>
                <w:szCs w:val="22"/>
              </w:rPr>
              <w:t>Active immunisation to prevent coronavirus disease 2019 (COVID-19) caused by SARSCoV-2, in individuals 6 months of age and older.</w:t>
            </w:r>
          </w:p>
          <w:p w14:paraId="0371B9C2" w14:textId="1C29F275" w:rsidR="003F4E79" w:rsidRPr="00F26EAD" w:rsidRDefault="003F4E79" w:rsidP="003F4E79">
            <w:pPr>
              <w:rPr>
                <w:i/>
                <w:iCs/>
                <w:szCs w:val="22"/>
              </w:rPr>
            </w:pPr>
            <w:r w:rsidRPr="00F26EAD">
              <w:rPr>
                <w:i/>
                <w:iCs/>
                <w:szCs w:val="22"/>
              </w:rPr>
              <w:t>The use of this vaccine should be in accordance with official recommendations.</w:t>
            </w:r>
          </w:p>
          <w:p w14:paraId="3CEFEEAA" w14:textId="77777777" w:rsidR="003F4E79" w:rsidRPr="00F26EAD" w:rsidRDefault="003F4E79" w:rsidP="003F4E79">
            <w:pPr>
              <w:rPr>
                <w:i/>
                <w:iCs/>
                <w:szCs w:val="22"/>
              </w:rPr>
            </w:pPr>
            <w:r w:rsidRPr="00F26EAD">
              <w:rPr>
                <w:i/>
                <w:iCs/>
                <w:szCs w:val="22"/>
              </w:rPr>
              <w:t xml:space="preserve">The decision has been made on the basis of </w:t>
            </w:r>
            <w:proofErr w:type="gramStart"/>
            <w:r w:rsidRPr="00F26EAD">
              <w:rPr>
                <w:i/>
                <w:iCs/>
                <w:szCs w:val="22"/>
              </w:rPr>
              <w:t>short term</w:t>
            </w:r>
            <w:proofErr w:type="gramEnd"/>
            <w:r w:rsidRPr="00F26EAD">
              <w:rPr>
                <w:i/>
                <w:iCs/>
                <w:szCs w:val="22"/>
              </w:rPr>
              <w:t xml:space="preserve"> immunogenicity and safety data.</w:t>
            </w:r>
          </w:p>
          <w:p w14:paraId="557C6660" w14:textId="5BA3C985" w:rsidR="003F4E79" w:rsidRPr="00BD5DBD" w:rsidRDefault="003F4E79" w:rsidP="003F4E79">
            <w:pPr>
              <w:rPr>
                <w:szCs w:val="22"/>
              </w:rPr>
            </w:pPr>
            <w:r w:rsidRPr="00F26EAD">
              <w:rPr>
                <w:i/>
                <w:iCs/>
                <w:szCs w:val="22"/>
              </w:rPr>
              <w:t xml:space="preserve">Continued approval depends on the evidence of </w:t>
            </w:r>
            <w:proofErr w:type="gramStart"/>
            <w:r w:rsidRPr="00F26EAD">
              <w:rPr>
                <w:i/>
                <w:iCs/>
                <w:szCs w:val="22"/>
              </w:rPr>
              <w:t>longer term</w:t>
            </w:r>
            <w:proofErr w:type="gramEnd"/>
            <w:r w:rsidRPr="00F26EAD">
              <w:rPr>
                <w:i/>
                <w:iCs/>
                <w:szCs w:val="22"/>
              </w:rPr>
              <w:t xml:space="preserve"> efficacy and safety from ongoing clinical trials and post-market assessment.</w:t>
            </w:r>
          </w:p>
        </w:tc>
      </w:tr>
      <w:tr w:rsidR="003F4E79" w:rsidRPr="00BD5DBD" w14:paraId="32B72632" w14:textId="77777777" w:rsidTr="00825373">
        <w:tc>
          <w:tcPr>
            <w:tcW w:w="1237" w:type="pct"/>
          </w:tcPr>
          <w:p w14:paraId="332A5CD5" w14:textId="65682B5F" w:rsidR="003F4E79" w:rsidRPr="006958EE" w:rsidRDefault="003F4E79" w:rsidP="00825373">
            <w:pPr>
              <w:rPr>
                <w:b/>
                <w:bCs/>
              </w:rPr>
            </w:pPr>
            <w:r w:rsidRPr="006958EE">
              <w:rPr>
                <w:b/>
                <w:bCs/>
                <w:i/>
                <w:szCs w:val="22"/>
              </w:rPr>
              <w:t>Date of decision:</w:t>
            </w:r>
          </w:p>
        </w:tc>
        <w:tc>
          <w:tcPr>
            <w:tcW w:w="3763" w:type="pct"/>
          </w:tcPr>
          <w:p w14:paraId="7B381CD6" w14:textId="190E4B2D" w:rsidR="003F4E79" w:rsidRPr="00BD5DBD" w:rsidRDefault="003F4E79" w:rsidP="003F4E79">
            <w:pPr>
              <w:rPr>
                <w:szCs w:val="22"/>
              </w:rPr>
            </w:pPr>
            <w:r w:rsidRPr="00674A29">
              <w:rPr>
                <w:szCs w:val="22"/>
              </w:rPr>
              <w:t>9 May 2024</w:t>
            </w:r>
          </w:p>
        </w:tc>
      </w:tr>
      <w:tr w:rsidR="003F4E79" w:rsidRPr="00BD5DBD" w14:paraId="60A25F5A" w14:textId="77777777" w:rsidTr="00825373">
        <w:tc>
          <w:tcPr>
            <w:tcW w:w="1237" w:type="pct"/>
          </w:tcPr>
          <w:p w14:paraId="5C5E4CBA" w14:textId="77777777" w:rsidR="003F4E79" w:rsidRPr="006958EE" w:rsidRDefault="003F4E79" w:rsidP="00825373">
            <w:pPr>
              <w:rPr>
                <w:b/>
                <w:bCs/>
                <w:i/>
                <w:szCs w:val="22"/>
              </w:rPr>
            </w:pPr>
            <w:r w:rsidRPr="006958EE">
              <w:rPr>
                <w:b/>
                <w:bCs/>
                <w:i/>
                <w:szCs w:val="22"/>
              </w:rPr>
              <w:t>Date of entry onto ARTG:</w:t>
            </w:r>
          </w:p>
        </w:tc>
        <w:tc>
          <w:tcPr>
            <w:tcW w:w="3763" w:type="pct"/>
          </w:tcPr>
          <w:p w14:paraId="28B270E9" w14:textId="08D2D11D" w:rsidR="003F4E79" w:rsidRPr="00BD5DBD" w:rsidRDefault="003F4E79" w:rsidP="003F4E79">
            <w:pPr>
              <w:rPr>
                <w:szCs w:val="22"/>
              </w:rPr>
            </w:pPr>
            <w:r>
              <w:rPr>
                <w:szCs w:val="22"/>
              </w:rPr>
              <w:t>14 May 2024</w:t>
            </w:r>
          </w:p>
        </w:tc>
      </w:tr>
      <w:tr w:rsidR="003F4E79" w:rsidRPr="00BD5DBD" w14:paraId="547E08D7" w14:textId="77777777" w:rsidTr="00825373">
        <w:tc>
          <w:tcPr>
            <w:tcW w:w="1237" w:type="pct"/>
          </w:tcPr>
          <w:p w14:paraId="5030EF30" w14:textId="4A5BBBA2" w:rsidR="003F4E79" w:rsidRPr="006958EE" w:rsidRDefault="003F4E79" w:rsidP="00825373">
            <w:pPr>
              <w:rPr>
                <w:b/>
                <w:bCs/>
                <w:i/>
                <w:szCs w:val="22"/>
              </w:rPr>
            </w:pPr>
            <w:r w:rsidRPr="006958EE">
              <w:rPr>
                <w:b/>
                <w:bCs/>
                <w:i/>
                <w:szCs w:val="22"/>
              </w:rPr>
              <w:t>ARTG number:</w:t>
            </w:r>
          </w:p>
        </w:tc>
        <w:tc>
          <w:tcPr>
            <w:tcW w:w="3763" w:type="pct"/>
          </w:tcPr>
          <w:p w14:paraId="0054E912" w14:textId="6FC6A562" w:rsidR="003F4E79" w:rsidRPr="00BD5DBD" w:rsidRDefault="007F77E9" w:rsidP="003F4E79">
            <w:pPr>
              <w:rPr>
                <w:szCs w:val="22"/>
              </w:rPr>
            </w:pPr>
            <w:hyperlink r:id="rId15" w:history="1">
              <w:r w:rsidR="003F4E79">
                <w:rPr>
                  <w:rStyle w:val="Hyperlink"/>
                  <w:szCs w:val="22"/>
                </w:rPr>
                <w:t>417266</w:t>
              </w:r>
            </w:hyperlink>
            <w:r w:rsidR="003F4E79">
              <w:rPr>
                <w:szCs w:val="22"/>
              </w:rPr>
              <w:t xml:space="preserve"> </w:t>
            </w:r>
          </w:p>
        </w:tc>
      </w:tr>
      <w:tr w:rsidR="003F4E79" w:rsidRPr="00BD5DBD" w14:paraId="7618393F" w14:textId="77777777" w:rsidTr="00825373">
        <w:tc>
          <w:tcPr>
            <w:tcW w:w="1237" w:type="pct"/>
          </w:tcPr>
          <w:p w14:paraId="02260DE2" w14:textId="3951E57D" w:rsidR="003F4E79" w:rsidRPr="006958EE" w:rsidRDefault="007F77E9" w:rsidP="00825373">
            <w:pPr>
              <w:rPr>
                <w:b/>
                <w:bCs/>
                <w:i/>
                <w:color w:val="0000FF"/>
                <w:szCs w:val="22"/>
                <w:u w:val="single"/>
              </w:rPr>
            </w:pPr>
            <w:hyperlink r:id="rId16" w:history="1">
              <w:r w:rsidR="003F4E79" w:rsidRPr="006958EE">
                <w:rPr>
                  <w:rStyle w:val="Hyperlink"/>
                  <w:b/>
                  <w:bCs/>
                  <w:i/>
                  <w:szCs w:val="22"/>
                </w:rPr>
                <w:t xml:space="preserve">Black </w:t>
              </w:r>
              <w:proofErr w:type="gramStart"/>
              <w:r w:rsidR="003F4E79" w:rsidRPr="006958EE">
                <w:rPr>
                  <w:rStyle w:val="Hyperlink"/>
                  <w:b/>
                  <w:bCs/>
                  <w:i/>
                  <w:szCs w:val="22"/>
                </w:rPr>
                <w:t xml:space="preserve">Triangle </w:t>
              </w:r>
              <w:r w:rsidR="006958EE">
                <w:rPr>
                  <w:rStyle w:val="Hyperlink"/>
                  <w:b/>
                  <w:bCs/>
                  <w:i/>
                  <w:szCs w:val="22"/>
                </w:rPr>
                <w:t xml:space="preserve"> S</w:t>
              </w:r>
              <w:r w:rsidR="003F4E79" w:rsidRPr="006958EE">
                <w:rPr>
                  <w:rStyle w:val="Hyperlink"/>
                  <w:b/>
                  <w:bCs/>
                  <w:i/>
                  <w:szCs w:val="22"/>
                </w:rPr>
                <w:t>cheme</w:t>
              </w:r>
              <w:proofErr w:type="gramEnd"/>
            </w:hyperlink>
          </w:p>
        </w:tc>
        <w:tc>
          <w:tcPr>
            <w:tcW w:w="3763" w:type="pct"/>
          </w:tcPr>
          <w:p w14:paraId="6FF3C6A2" w14:textId="4EDB355C" w:rsidR="003F4E79" w:rsidRPr="00BD5DBD" w:rsidRDefault="003F4E79" w:rsidP="003F4E79">
            <w:pPr>
              <w:rPr>
                <w:szCs w:val="22"/>
              </w:rPr>
            </w:pPr>
            <w:r w:rsidRPr="00BD5DBD">
              <w:rPr>
                <w:szCs w:val="22"/>
              </w:rPr>
              <w:t>Yes</w:t>
            </w:r>
          </w:p>
        </w:tc>
      </w:tr>
      <w:tr w:rsidR="003F4E79" w:rsidRPr="00BD5DBD" w14:paraId="179E09FE" w14:textId="77777777" w:rsidTr="00825373">
        <w:tc>
          <w:tcPr>
            <w:tcW w:w="1237" w:type="pct"/>
          </w:tcPr>
          <w:p w14:paraId="1A592498" w14:textId="59C0FCCD" w:rsidR="003F4E79" w:rsidRPr="006958EE" w:rsidRDefault="005A4939" w:rsidP="00825373">
            <w:pPr>
              <w:rPr>
                <w:b/>
                <w:bCs/>
                <w:i/>
                <w:szCs w:val="22"/>
              </w:rPr>
            </w:pPr>
            <w:r>
              <w:rPr>
                <w:b/>
                <w:bCs/>
                <w:i/>
                <w:szCs w:val="22"/>
              </w:rPr>
              <w:t>Sponsor</w:t>
            </w:r>
            <w:r w:rsidR="003F4E79" w:rsidRPr="006958EE">
              <w:rPr>
                <w:b/>
                <w:bCs/>
                <w:i/>
                <w:szCs w:val="22"/>
              </w:rPr>
              <w:t>’s name and address:</w:t>
            </w:r>
          </w:p>
        </w:tc>
        <w:tc>
          <w:tcPr>
            <w:tcW w:w="3763" w:type="pct"/>
          </w:tcPr>
          <w:p w14:paraId="68DD94B0" w14:textId="4DA9CBE6" w:rsidR="003F4E79" w:rsidRPr="00BD5DBD" w:rsidRDefault="003F4E79" w:rsidP="003F4E79">
            <w:pPr>
              <w:rPr>
                <w:szCs w:val="22"/>
              </w:rPr>
            </w:pPr>
            <w:r w:rsidRPr="00674A29">
              <w:rPr>
                <w:szCs w:val="22"/>
              </w:rPr>
              <w:t>Pfizer Australia Pty Ltd</w:t>
            </w:r>
            <w:r>
              <w:rPr>
                <w:szCs w:val="22"/>
              </w:rPr>
              <w:t xml:space="preserve">, </w:t>
            </w:r>
            <w:r w:rsidRPr="00674A29">
              <w:rPr>
                <w:szCs w:val="22"/>
              </w:rPr>
              <w:t>Level 17, 151 Clarence Street</w:t>
            </w:r>
            <w:r>
              <w:rPr>
                <w:szCs w:val="22"/>
              </w:rPr>
              <w:t xml:space="preserve">, </w:t>
            </w:r>
            <w:r w:rsidRPr="00674A29">
              <w:rPr>
                <w:szCs w:val="22"/>
              </w:rPr>
              <w:t>Sydney NSW 2000</w:t>
            </w:r>
          </w:p>
        </w:tc>
      </w:tr>
      <w:tr w:rsidR="003F4E79" w:rsidRPr="00BD5DBD" w14:paraId="5322B989" w14:textId="77777777" w:rsidTr="00825373">
        <w:tc>
          <w:tcPr>
            <w:tcW w:w="1237" w:type="pct"/>
          </w:tcPr>
          <w:p w14:paraId="24F217E3" w14:textId="04ECD8A9" w:rsidR="003F4E79" w:rsidRPr="006958EE" w:rsidRDefault="003F4E79" w:rsidP="00825373">
            <w:pPr>
              <w:rPr>
                <w:b/>
                <w:bCs/>
                <w:i/>
                <w:szCs w:val="22"/>
              </w:rPr>
            </w:pPr>
            <w:r w:rsidRPr="006958EE">
              <w:rPr>
                <w:b/>
                <w:bCs/>
                <w:i/>
                <w:szCs w:val="22"/>
              </w:rPr>
              <w:t>Dose form:</w:t>
            </w:r>
          </w:p>
        </w:tc>
        <w:tc>
          <w:tcPr>
            <w:tcW w:w="3763" w:type="pct"/>
          </w:tcPr>
          <w:p w14:paraId="600935B0" w14:textId="77B638CE" w:rsidR="003F4E79" w:rsidRDefault="003F4E79" w:rsidP="003F4E79">
            <w:pPr>
              <w:rPr>
                <w:szCs w:val="22"/>
              </w:rPr>
            </w:pPr>
            <w:r w:rsidRPr="00F26EAD">
              <w:rPr>
                <w:szCs w:val="22"/>
              </w:rPr>
              <w:t>Comirnaty Original/Omicron BA.4-5 (</w:t>
            </w:r>
            <w:r>
              <w:rPr>
                <w:szCs w:val="22"/>
              </w:rPr>
              <w:t>g</w:t>
            </w:r>
            <w:r w:rsidRPr="00F26EAD">
              <w:rPr>
                <w:szCs w:val="22"/>
              </w:rPr>
              <w:t xml:space="preserve">rey, </w:t>
            </w:r>
            <w:proofErr w:type="gramStart"/>
            <w:r>
              <w:rPr>
                <w:szCs w:val="22"/>
              </w:rPr>
              <w:t>o</w:t>
            </w:r>
            <w:r w:rsidRPr="00F26EAD">
              <w:rPr>
                <w:szCs w:val="22"/>
              </w:rPr>
              <w:t>range</w:t>
            </w:r>
            <w:proofErr w:type="gramEnd"/>
            <w:r w:rsidRPr="00F26EAD">
              <w:rPr>
                <w:szCs w:val="22"/>
              </w:rPr>
              <w:t xml:space="preserve"> and </w:t>
            </w:r>
            <w:r>
              <w:rPr>
                <w:szCs w:val="22"/>
              </w:rPr>
              <w:t>m</w:t>
            </w:r>
            <w:r w:rsidRPr="00F26EAD">
              <w:rPr>
                <w:szCs w:val="22"/>
              </w:rPr>
              <w:t>aroon cap) is a white to off</w:t>
            </w:r>
            <w:r>
              <w:rPr>
                <w:szCs w:val="22"/>
              </w:rPr>
              <w:t>-</w:t>
            </w:r>
            <w:r w:rsidRPr="00F26EAD">
              <w:rPr>
                <w:szCs w:val="22"/>
              </w:rPr>
              <w:t>white</w:t>
            </w:r>
            <w:r>
              <w:rPr>
                <w:szCs w:val="22"/>
              </w:rPr>
              <w:t xml:space="preserve"> </w:t>
            </w:r>
            <w:r w:rsidRPr="00F26EAD">
              <w:rPr>
                <w:szCs w:val="22"/>
              </w:rPr>
              <w:t>frozen suspension.</w:t>
            </w:r>
          </w:p>
          <w:p w14:paraId="768B254C" w14:textId="643CF674" w:rsidR="003F4E79" w:rsidRPr="00BD5DBD" w:rsidRDefault="003F4E79" w:rsidP="003F4E79">
            <w:pPr>
              <w:rPr>
                <w:szCs w:val="22"/>
              </w:rPr>
            </w:pPr>
            <w:r w:rsidRPr="00F26EAD">
              <w:rPr>
                <w:szCs w:val="22"/>
              </w:rPr>
              <w:t>Comirnaty Original/Omicron BA.4-5 (</w:t>
            </w:r>
            <w:r>
              <w:rPr>
                <w:szCs w:val="22"/>
              </w:rPr>
              <w:t>b</w:t>
            </w:r>
            <w:r w:rsidRPr="00F26EAD">
              <w:rPr>
                <w:szCs w:val="22"/>
              </w:rPr>
              <w:t>lue cap) is a clear to slightly opalescent solution.</w:t>
            </w:r>
          </w:p>
        </w:tc>
      </w:tr>
      <w:tr w:rsidR="003F4E79" w:rsidRPr="00BD5DBD" w14:paraId="115243E6" w14:textId="77777777" w:rsidTr="00825373">
        <w:tc>
          <w:tcPr>
            <w:tcW w:w="1237" w:type="pct"/>
          </w:tcPr>
          <w:p w14:paraId="7634B062" w14:textId="19270146" w:rsidR="003F4E79" w:rsidRPr="006958EE" w:rsidRDefault="003F4E79" w:rsidP="00825373">
            <w:pPr>
              <w:rPr>
                <w:b/>
                <w:bCs/>
                <w:i/>
                <w:szCs w:val="22"/>
              </w:rPr>
            </w:pPr>
            <w:r w:rsidRPr="006958EE">
              <w:rPr>
                <w:b/>
                <w:bCs/>
                <w:i/>
                <w:szCs w:val="22"/>
              </w:rPr>
              <w:t>Strength:</w:t>
            </w:r>
          </w:p>
        </w:tc>
        <w:tc>
          <w:tcPr>
            <w:tcW w:w="3763" w:type="pct"/>
          </w:tcPr>
          <w:p w14:paraId="5E5F83DB" w14:textId="23B0C59E" w:rsidR="003F4E79" w:rsidRPr="00BD5DBD" w:rsidRDefault="003F4E79" w:rsidP="003F4E79">
            <w:pPr>
              <w:rPr>
                <w:szCs w:val="22"/>
              </w:rPr>
            </w:pPr>
            <w:r>
              <w:rPr>
                <w:noProof/>
              </w:rPr>
              <w:t xml:space="preserve"> </w:t>
            </w:r>
            <w:r>
              <w:rPr>
                <w:noProof/>
              </w:rPr>
              <w:drawing>
                <wp:inline distT="0" distB="0" distL="0" distR="0" wp14:anchorId="12BBA1E5" wp14:editId="064936B7">
                  <wp:extent cx="4133326" cy="1811919"/>
                  <wp:effectExtent l="0" t="0" r="635" b="0"/>
                  <wp:docPr id="2144556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56218" name=""/>
                          <pic:cNvPicPr/>
                        </pic:nvPicPr>
                        <pic:blipFill>
                          <a:blip r:embed="rId17"/>
                          <a:stretch>
                            <a:fillRect/>
                          </a:stretch>
                        </pic:blipFill>
                        <pic:spPr>
                          <a:xfrm>
                            <a:off x="0" y="0"/>
                            <a:ext cx="4157542" cy="1822535"/>
                          </a:xfrm>
                          <a:prstGeom prst="rect">
                            <a:avLst/>
                          </a:prstGeom>
                        </pic:spPr>
                      </pic:pic>
                    </a:graphicData>
                  </a:graphic>
                </wp:inline>
              </w:drawing>
            </w:r>
          </w:p>
        </w:tc>
      </w:tr>
      <w:tr w:rsidR="003F4E79" w:rsidRPr="00BD5DBD" w14:paraId="34B07BA6" w14:textId="77777777" w:rsidTr="00825373">
        <w:tc>
          <w:tcPr>
            <w:tcW w:w="1237" w:type="pct"/>
          </w:tcPr>
          <w:p w14:paraId="1C039224" w14:textId="5167D49D" w:rsidR="003F4E79" w:rsidRPr="006958EE" w:rsidRDefault="003F4E79" w:rsidP="00825373">
            <w:pPr>
              <w:rPr>
                <w:b/>
                <w:bCs/>
                <w:i/>
                <w:szCs w:val="22"/>
              </w:rPr>
            </w:pPr>
            <w:r w:rsidRPr="006958EE">
              <w:rPr>
                <w:b/>
                <w:bCs/>
                <w:i/>
                <w:szCs w:val="22"/>
              </w:rPr>
              <w:t>Container:</w:t>
            </w:r>
          </w:p>
        </w:tc>
        <w:tc>
          <w:tcPr>
            <w:tcW w:w="3763" w:type="pct"/>
          </w:tcPr>
          <w:p w14:paraId="1A93B413" w14:textId="20B0FF68" w:rsidR="003F4E79" w:rsidRDefault="003F4E79" w:rsidP="003F4E79">
            <w:pPr>
              <w:rPr>
                <w:szCs w:val="22"/>
              </w:rPr>
            </w:pPr>
            <w:r w:rsidRPr="00674A29">
              <w:rPr>
                <w:szCs w:val="22"/>
              </w:rPr>
              <w:t>Comirnaty Original/Omicron BA.4-5 – Suspension for injection (</w:t>
            </w:r>
            <w:r>
              <w:rPr>
                <w:szCs w:val="22"/>
              </w:rPr>
              <w:t>g</w:t>
            </w:r>
            <w:r w:rsidRPr="00674A29">
              <w:rPr>
                <w:szCs w:val="22"/>
              </w:rPr>
              <w:t xml:space="preserve">rey or </w:t>
            </w:r>
            <w:r>
              <w:rPr>
                <w:szCs w:val="22"/>
              </w:rPr>
              <w:t>b</w:t>
            </w:r>
            <w:r w:rsidRPr="00674A29">
              <w:rPr>
                <w:szCs w:val="22"/>
              </w:rPr>
              <w:t>lue cap): 2 mL</w:t>
            </w:r>
            <w:r>
              <w:rPr>
                <w:szCs w:val="22"/>
              </w:rPr>
              <w:t xml:space="preserve"> </w:t>
            </w:r>
            <w:r w:rsidRPr="00674A29">
              <w:rPr>
                <w:szCs w:val="22"/>
              </w:rPr>
              <w:t xml:space="preserve">clear vial (Type I glass) with a stopper (synthetic bromobutyl rubber) and a </w:t>
            </w:r>
            <w:r>
              <w:rPr>
                <w:szCs w:val="22"/>
              </w:rPr>
              <w:t>g</w:t>
            </w:r>
            <w:r w:rsidRPr="00674A29">
              <w:rPr>
                <w:szCs w:val="22"/>
              </w:rPr>
              <w:t xml:space="preserve">rey or </w:t>
            </w:r>
            <w:r>
              <w:rPr>
                <w:szCs w:val="22"/>
              </w:rPr>
              <w:t>b</w:t>
            </w:r>
            <w:r w:rsidRPr="00674A29">
              <w:rPr>
                <w:szCs w:val="22"/>
              </w:rPr>
              <w:t>lue flip</w:t>
            </w:r>
            <w:r>
              <w:rPr>
                <w:szCs w:val="22"/>
              </w:rPr>
              <w:t>-</w:t>
            </w:r>
            <w:r w:rsidRPr="00674A29">
              <w:rPr>
                <w:szCs w:val="22"/>
              </w:rPr>
              <w:t>off</w:t>
            </w:r>
            <w:r>
              <w:rPr>
                <w:szCs w:val="22"/>
              </w:rPr>
              <w:t xml:space="preserve"> </w:t>
            </w:r>
            <w:r w:rsidRPr="00674A29">
              <w:rPr>
                <w:szCs w:val="22"/>
              </w:rPr>
              <w:t xml:space="preserve">plastic cap with aluminium seal. Each vial contains either 1 or 6 </w:t>
            </w:r>
            <w:proofErr w:type="gramStart"/>
            <w:r w:rsidRPr="00674A29">
              <w:rPr>
                <w:szCs w:val="22"/>
              </w:rPr>
              <w:t>doses</w:t>
            </w:r>
            <w:proofErr w:type="gramEnd"/>
          </w:p>
          <w:p w14:paraId="5D9D1501" w14:textId="03ED3791" w:rsidR="003F4E79" w:rsidRPr="00674A29" w:rsidRDefault="003F4E79" w:rsidP="00825373">
            <w:pPr>
              <w:pStyle w:val="ListBullet"/>
            </w:pPr>
            <w:r w:rsidRPr="00674A29">
              <w:t xml:space="preserve">Light </w:t>
            </w:r>
            <w:r>
              <w:t>g</w:t>
            </w:r>
            <w:r w:rsidRPr="00674A29">
              <w:t xml:space="preserve">rey or </w:t>
            </w:r>
            <w:r>
              <w:t>l</w:t>
            </w:r>
            <w:r w:rsidRPr="00674A29">
              <w:t xml:space="preserve">ight </w:t>
            </w:r>
            <w:r>
              <w:t>b</w:t>
            </w:r>
            <w:r w:rsidRPr="00674A29">
              <w:t>lue cap: single dose vial</w:t>
            </w:r>
          </w:p>
          <w:p w14:paraId="6E3BAF70" w14:textId="342CDE2D" w:rsidR="003F4E79" w:rsidRPr="00674A29" w:rsidRDefault="003F4E79" w:rsidP="00825373">
            <w:pPr>
              <w:pStyle w:val="ListBullet"/>
            </w:pPr>
            <w:r w:rsidRPr="00674A29">
              <w:t xml:space="preserve">Dark </w:t>
            </w:r>
            <w:r>
              <w:t>g</w:t>
            </w:r>
            <w:r w:rsidRPr="00674A29">
              <w:t xml:space="preserve">rey or </w:t>
            </w:r>
            <w:r>
              <w:t>d</w:t>
            </w:r>
            <w:r w:rsidRPr="00674A29">
              <w:t xml:space="preserve">ark </w:t>
            </w:r>
            <w:r>
              <w:t>b</w:t>
            </w:r>
            <w:r w:rsidRPr="00674A29">
              <w:t>lue cap: 6 dose multidose vial</w:t>
            </w:r>
          </w:p>
          <w:p w14:paraId="28BEC541" w14:textId="01CAB308" w:rsidR="003F4E79" w:rsidRPr="00674A29" w:rsidRDefault="003F4E79" w:rsidP="003F4E79">
            <w:pPr>
              <w:rPr>
                <w:szCs w:val="22"/>
              </w:rPr>
            </w:pPr>
            <w:r w:rsidRPr="00674A29">
              <w:rPr>
                <w:szCs w:val="22"/>
              </w:rPr>
              <w:t>Comirnaty Original/Omicron BA.4-5 – Concentrated Suspension for injection (</w:t>
            </w:r>
            <w:r>
              <w:rPr>
                <w:szCs w:val="22"/>
              </w:rPr>
              <w:t>o</w:t>
            </w:r>
            <w:r w:rsidRPr="00674A29">
              <w:rPr>
                <w:szCs w:val="22"/>
              </w:rPr>
              <w:t>range or</w:t>
            </w:r>
            <w:r>
              <w:rPr>
                <w:szCs w:val="22"/>
              </w:rPr>
              <w:t xml:space="preserve"> m</w:t>
            </w:r>
            <w:r w:rsidRPr="00674A29">
              <w:rPr>
                <w:szCs w:val="22"/>
              </w:rPr>
              <w:t>aroon cap): 2 mL clear vial (Type I glass) with a stopper (synthetic bromobutyl rubber) and</w:t>
            </w:r>
            <w:r>
              <w:rPr>
                <w:szCs w:val="22"/>
              </w:rPr>
              <w:t xml:space="preserve"> </w:t>
            </w:r>
            <w:r w:rsidRPr="00674A29">
              <w:rPr>
                <w:szCs w:val="22"/>
              </w:rPr>
              <w:t xml:space="preserve">an </w:t>
            </w:r>
            <w:r>
              <w:rPr>
                <w:szCs w:val="22"/>
              </w:rPr>
              <w:t>o</w:t>
            </w:r>
            <w:r w:rsidRPr="00674A29">
              <w:rPr>
                <w:szCs w:val="22"/>
              </w:rPr>
              <w:t xml:space="preserve">range or </w:t>
            </w:r>
            <w:r>
              <w:rPr>
                <w:szCs w:val="22"/>
              </w:rPr>
              <w:t>m</w:t>
            </w:r>
            <w:r w:rsidRPr="00674A29">
              <w:rPr>
                <w:szCs w:val="22"/>
              </w:rPr>
              <w:t>aroon flip-off plastic cap with aluminium seal. Each vial contains 10 doses</w:t>
            </w:r>
            <w:r>
              <w:rPr>
                <w:szCs w:val="22"/>
              </w:rPr>
              <w:t xml:space="preserve"> </w:t>
            </w:r>
            <w:r w:rsidRPr="00674A29">
              <w:rPr>
                <w:szCs w:val="22"/>
              </w:rPr>
              <w:t xml:space="preserve">after </w:t>
            </w:r>
            <w:proofErr w:type="gramStart"/>
            <w:r w:rsidRPr="00674A29">
              <w:rPr>
                <w:szCs w:val="22"/>
              </w:rPr>
              <w:t>dilution</w:t>
            </w:r>
            <w:proofErr w:type="gramEnd"/>
          </w:p>
          <w:p w14:paraId="500A42C6" w14:textId="076E2AA9" w:rsidR="003F4E79" w:rsidRPr="00674A29" w:rsidRDefault="001F21F5" w:rsidP="00825373">
            <w:pPr>
              <w:pStyle w:val="ListBullet"/>
            </w:pPr>
            <w:r>
              <w:t>O</w:t>
            </w:r>
            <w:r w:rsidR="003F4E79" w:rsidRPr="00674A29">
              <w:t xml:space="preserve">range or </w:t>
            </w:r>
            <w:r w:rsidR="003F4E79">
              <w:t>m</w:t>
            </w:r>
            <w:r w:rsidR="003F4E79" w:rsidRPr="00674A29">
              <w:t>aroon cap: 10 dose multidose vial after dilution</w:t>
            </w:r>
          </w:p>
        </w:tc>
      </w:tr>
      <w:tr w:rsidR="003F4E79" w:rsidRPr="00BD5DBD" w14:paraId="176B6773" w14:textId="77777777" w:rsidTr="00825373">
        <w:tc>
          <w:tcPr>
            <w:tcW w:w="1237" w:type="pct"/>
          </w:tcPr>
          <w:p w14:paraId="71846159" w14:textId="21E45C5E" w:rsidR="003F4E79" w:rsidRPr="006958EE" w:rsidRDefault="003F4E79" w:rsidP="00825373">
            <w:pPr>
              <w:rPr>
                <w:b/>
                <w:bCs/>
                <w:i/>
                <w:szCs w:val="22"/>
              </w:rPr>
            </w:pPr>
            <w:r w:rsidRPr="006958EE">
              <w:rPr>
                <w:b/>
                <w:bCs/>
                <w:i/>
                <w:szCs w:val="22"/>
              </w:rPr>
              <w:t>Pack size:</w:t>
            </w:r>
          </w:p>
        </w:tc>
        <w:tc>
          <w:tcPr>
            <w:tcW w:w="3763" w:type="pct"/>
          </w:tcPr>
          <w:p w14:paraId="7E978F8F" w14:textId="2D0E2BE3" w:rsidR="003F4E79" w:rsidRPr="00BD5DBD" w:rsidRDefault="003F4E79" w:rsidP="003F4E79">
            <w:pPr>
              <w:rPr>
                <w:szCs w:val="22"/>
              </w:rPr>
            </w:pPr>
            <w:r w:rsidRPr="00674A29">
              <w:rPr>
                <w:szCs w:val="22"/>
              </w:rPr>
              <w:t>10 vials, 195 vials</w:t>
            </w:r>
          </w:p>
        </w:tc>
      </w:tr>
      <w:tr w:rsidR="003F4E79" w:rsidRPr="00BD5DBD" w14:paraId="5AFDEED3" w14:textId="77777777" w:rsidTr="00825373">
        <w:tc>
          <w:tcPr>
            <w:tcW w:w="1237" w:type="pct"/>
          </w:tcPr>
          <w:p w14:paraId="03884BD1" w14:textId="3A51F027" w:rsidR="003F4E79" w:rsidRPr="006958EE" w:rsidRDefault="003F4E79" w:rsidP="00825373">
            <w:pPr>
              <w:rPr>
                <w:b/>
                <w:bCs/>
                <w:i/>
                <w:szCs w:val="22"/>
              </w:rPr>
            </w:pPr>
            <w:r w:rsidRPr="006958EE">
              <w:rPr>
                <w:b/>
                <w:bCs/>
                <w:i/>
                <w:szCs w:val="22"/>
              </w:rPr>
              <w:t>Route of administration:</w:t>
            </w:r>
          </w:p>
        </w:tc>
        <w:tc>
          <w:tcPr>
            <w:tcW w:w="3763" w:type="pct"/>
          </w:tcPr>
          <w:p w14:paraId="1ED1357E" w14:textId="1D291DE8" w:rsidR="003F4E79" w:rsidRPr="00BD5DBD" w:rsidRDefault="003F4E79" w:rsidP="003F4E79">
            <w:pPr>
              <w:rPr>
                <w:szCs w:val="22"/>
              </w:rPr>
            </w:pPr>
            <w:r>
              <w:rPr>
                <w:szCs w:val="22"/>
              </w:rPr>
              <w:t>I</w:t>
            </w:r>
            <w:r w:rsidRPr="00F26EAD">
              <w:rPr>
                <w:szCs w:val="22"/>
              </w:rPr>
              <w:t>ntramuscularly</w:t>
            </w:r>
            <w:r>
              <w:rPr>
                <w:szCs w:val="22"/>
              </w:rPr>
              <w:t xml:space="preserve"> (</w:t>
            </w:r>
            <w:r w:rsidRPr="00F26EAD">
              <w:rPr>
                <w:szCs w:val="22"/>
              </w:rPr>
              <w:t>D</w:t>
            </w:r>
            <w:r>
              <w:rPr>
                <w:szCs w:val="22"/>
              </w:rPr>
              <w:t>O NOT</w:t>
            </w:r>
            <w:r w:rsidRPr="00F26EAD">
              <w:rPr>
                <w:szCs w:val="22"/>
              </w:rPr>
              <w:t xml:space="preserve"> inject the vaccine intravascularly, </w:t>
            </w:r>
            <w:proofErr w:type="gramStart"/>
            <w:r w:rsidRPr="00F26EAD">
              <w:rPr>
                <w:szCs w:val="22"/>
              </w:rPr>
              <w:t>subcutaneously</w:t>
            </w:r>
            <w:proofErr w:type="gramEnd"/>
            <w:r w:rsidRPr="00F26EAD">
              <w:rPr>
                <w:szCs w:val="22"/>
              </w:rPr>
              <w:t xml:space="preserve"> or intradermally</w:t>
            </w:r>
            <w:r>
              <w:rPr>
                <w:szCs w:val="22"/>
              </w:rPr>
              <w:t>)</w:t>
            </w:r>
          </w:p>
        </w:tc>
      </w:tr>
      <w:tr w:rsidR="003F4E79" w:rsidRPr="00BD5DBD" w14:paraId="70D7E9FA" w14:textId="77777777" w:rsidTr="00825373">
        <w:tc>
          <w:tcPr>
            <w:tcW w:w="1237" w:type="pct"/>
          </w:tcPr>
          <w:p w14:paraId="5ABFFC80" w14:textId="77777777" w:rsidR="003F4E79" w:rsidRPr="006958EE" w:rsidRDefault="003F4E79" w:rsidP="00825373">
            <w:pPr>
              <w:rPr>
                <w:b/>
                <w:bCs/>
                <w:i/>
                <w:szCs w:val="22"/>
              </w:rPr>
            </w:pPr>
            <w:r w:rsidRPr="006958EE">
              <w:rPr>
                <w:b/>
                <w:bCs/>
                <w:i/>
                <w:szCs w:val="22"/>
              </w:rPr>
              <w:t>Dosage:</w:t>
            </w:r>
          </w:p>
        </w:tc>
        <w:tc>
          <w:tcPr>
            <w:tcW w:w="3763" w:type="pct"/>
          </w:tcPr>
          <w:p w14:paraId="4BD4ECF7" w14:textId="176BDE69" w:rsidR="003F4E79" w:rsidRDefault="003F4E79" w:rsidP="003F4E79">
            <w:pPr>
              <w:rPr>
                <w:szCs w:val="22"/>
              </w:rPr>
            </w:pPr>
            <w:r>
              <w:rPr>
                <w:noProof/>
              </w:rPr>
              <w:drawing>
                <wp:inline distT="0" distB="0" distL="0" distR="0" wp14:anchorId="20402A74" wp14:editId="596F5583">
                  <wp:extent cx="4503964" cy="1529957"/>
                  <wp:effectExtent l="0" t="0" r="0" b="0"/>
                  <wp:docPr id="162942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28414"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531273" cy="1539233"/>
                          </a:xfrm>
                          <a:prstGeom prst="rect">
                            <a:avLst/>
                          </a:prstGeom>
                        </pic:spPr>
                      </pic:pic>
                    </a:graphicData>
                  </a:graphic>
                </wp:inline>
              </w:drawing>
            </w:r>
          </w:p>
          <w:p w14:paraId="3D0B2D5C" w14:textId="2B209E16" w:rsidR="003F4E79" w:rsidRPr="00BD5DBD" w:rsidRDefault="003F4E79" w:rsidP="003F4E79">
            <w:pPr>
              <w:rPr>
                <w:szCs w:val="22"/>
              </w:rPr>
            </w:pPr>
            <w:r w:rsidRPr="00BD5DBD">
              <w:rPr>
                <w:szCs w:val="22"/>
              </w:rPr>
              <w:t xml:space="preserve">For further information regarding dosage, </w:t>
            </w:r>
            <w:r>
              <w:rPr>
                <w:szCs w:val="22"/>
              </w:rPr>
              <w:t xml:space="preserve">such as dosage modifications to manage adverse reactions, </w:t>
            </w:r>
            <w:r w:rsidRPr="00BD5DBD">
              <w:rPr>
                <w:szCs w:val="22"/>
              </w:rPr>
              <w:t xml:space="preserve">refer to the </w:t>
            </w:r>
            <w:hyperlink r:id="rId20" w:history="1">
              <w:r>
                <w:rPr>
                  <w:rStyle w:val="Hyperlink"/>
                  <w:szCs w:val="22"/>
                </w:rPr>
                <w:t>Comirnaty Product Information</w:t>
              </w:r>
            </w:hyperlink>
            <w:r w:rsidRPr="00BD5DBD">
              <w:rPr>
                <w:szCs w:val="22"/>
              </w:rPr>
              <w:t>.</w:t>
            </w:r>
          </w:p>
        </w:tc>
      </w:tr>
      <w:tr w:rsidR="003F4E79" w:rsidRPr="00BD5DBD" w14:paraId="7B7BB6AE" w14:textId="77777777" w:rsidTr="00825373">
        <w:tc>
          <w:tcPr>
            <w:tcW w:w="1237" w:type="pct"/>
          </w:tcPr>
          <w:p w14:paraId="3A76AFF7" w14:textId="7C436DD9" w:rsidR="003F4E79" w:rsidRPr="006958EE" w:rsidRDefault="003F4E79" w:rsidP="00825373">
            <w:pPr>
              <w:rPr>
                <w:b/>
                <w:bCs/>
              </w:rPr>
            </w:pPr>
            <w:r w:rsidRPr="006958EE">
              <w:rPr>
                <w:b/>
                <w:bCs/>
                <w:i/>
                <w:szCs w:val="22"/>
              </w:rPr>
              <w:t>Pregnancy category:</w:t>
            </w:r>
          </w:p>
        </w:tc>
        <w:tc>
          <w:tcPr>
            <w:tcW w:w="3763" w:type="pct"/>
          </w:tcPr>
          <w:p w14:paraId="7AF9DA6D" w14:textId="7D219ECA" w:rsidR="003F4E79" w:rsidRPr="00F26EAD" w:rsidRDefault="003F4E79" w:rsidP="003F4E79">
            <w:pPr>
              <w:rPr>
                <w:b/>
                <w:bCs/>
              </w:rPr>
            </w:pPr>
            <w:r w:rsidRPr="00F26EAD">
              <w:rPr>
                <w:b/>
                <w:bCs/>
              </w:rPr>
              <w:t>Category B1</w:t>
            </w:r>
            <w:r>
              <w:rPr>
                <w:b/>
                <w:bCs/>
              </w:rPr>
              <w:t xml:space="preserve">: </w:t>
            </w:r>
            <w:r w:rsidRPr="00F26EAD">
              <w:t>Drugs which have been taken by only a limited number of pregnant women and women of childbearing age, without an increase in the frequency of malformation or other direct or indirect harmful effects on the human fetus having been observed. Studies in animals have not shown evidence of an increased occurrence of fetal damage.</w:t>
            </w:r>
          </w:p>
          <w:p w14:paraId="5589B4D4" w14:textId="0C5D6874" w:rsidR="003F4E79" w:rsidRDefault="003F4E79" w:rsidP="003F4E79">
            <w:pPr>
              <w:rPr>
                <w:szCs w:val="22"/>
              </w:rPr>
            </w:pPr>
            <w:r w:rsidRPr="00F26EAD">
              <w:rPr>
                <w:szCs w:val="22"/>
              </w:rPr>
              <w:t xml:space="preserve">No data are available yet regarding the use of </w:t>
            </w:r>
            <w:r>
              <w:rPr>
                <w:szCs w:val="22"/>
              </w:rPr>
              <w:t>C</w:t>
            </w:r>
            <w:r w:rsidRPr="00F26EAD">
              <w:rPr>
                <w:szCs w:val="22"/>
              </w:rPr>
              <w:t>omirnaty</w:t>
            </w:r>
            <w:r>
              <w:rPr>
                <w:szCs w:val="22"/>
              </w:rPr>
              <w:t xml:space="preserve"> O</w:t>
            </w:r>
            <w:r w:rsidRPr="00F26EAD">
              <w:rPr>
                <w:szCs w:val="22"/>
              </w:rPr>
              <w:t>riginal/Omicron BA.4-5 during</w:t>
            </w:r>
            <w:r>
              <w:rPr>
                <w:szCs w:val="22"/>
              </w:rPr>
              <w:t xml:space="preserve"> </w:t>
            </w:r>
            <w:r w:rsidRPr="00F26EAD">
              <w:rPr>
                <w:szCs w:val="22"/>
              </w:rPr>
              <w:t>pregnancy. However, a large amount of information from pregnant women vaccinated with the</w:t>
            </w:r>
            <w:r>
              <w:rPr>
                <w:szCs w:val="22"/>
              </w:rPr>
              <w:t xml:space="preserve"> </w:t>
            </w:r>
            <w:r w:rsidRPr="00F26EAD">
              <w:rPr>
                <w:szCs w:val="22"/>
              </w:rPr>
              <w:t>initially approved COMIRNATY (tozinameran) vaccine during the second and third trimester</w:t>
            </w:r>
            <w:r>
              <w:rPr>
                <w:szCs w:val="22"/>
              </w:rPr>
              <w:t xml:space="preserve"> </w:t>
            </w:r>
            <w:r w:rsidRPr="00F26EAD">
              <w:rPr>
                <w:szCs w:val="22"/>
              </w:rPr>
              <w:t>have not shown negative effects on the pregnancy or the newborn baby. While information on</w:t>
            </w:r>
            <w:r>
              <w:rPr>
                <w:szCs w:val="22"/>
              </w:rPr>
              <w:t xml:space="preserve"> </w:t>
            </w:r>
            <w:r w:rsidRPr="00F26EAD">
              <w:rPr>
                <w:szCs w:val="22"/>
              </w:rPr>
              <w:t>effects on pregnancy or the newborn baby after vaccination during the first trimester is limited,</w:t>
            </w:r>
            <w:r>
              <w:rPr>
                <w:szCs w:val="22"/>
              </w:rPr>
              <w:t xml:space="preserve"> </w:t>
            </w:r>
            <w:r w:rsidRPr="00F26EAD">
              <w:rPr>
                <w:szCs w:val="22"/>
              </w:rPr>
              <w:t>no change to the risk for miscarriage has been seen.</w:t>
            </w:r>
            <w:r>
              <w:rPr>
                <w:szCs w:val="22"/>
              </w:rPr>
              <w:t xml:space="preserve"> </w:t>
            </w:r>
            <w:r w:rsidRPr="00F26EAD">
              <w:rPr>
                <w:szCs w:val="22"/>
              </w:rPr>
              <w:t>Animal studies do not indicate direct or indirect harmful effects with respect to pregnancy,</w:t>
            </w:r>
            <w:r>
              <w:rPr>
                <w:szCs w:val="22"/>
              </w:rPr>
              <w:t xml:space="preserve"> </w:t>
            </w:r>
            <w:r w:rsidRPr="00F26EAD">
              <w:rPr>
                <w:szCs w:val="22"/>
              </w:rPr>
              <w:t xml:space="preserve">embryo/fetal development, </w:t>
            </w:r>
            <w:proofErr w:type="gramStart"/>
            <w:r w:rsidRPr="00F26EAD">
              <w:rPr>
                <w:szCs w:val="22"/>
              </w:rPr>
              <w:t>parturition</w:t>
            </w:r>
            <w:proofErr w:type="gramEnd"/>
            <w:r w:rsidRPr="00F26EAD">
              <w:rPr>
                <w:szCs w:val="22"/>
              </w:rPr>
              <w:t xml:space="preserve"> or post-natal development</w:t>
            </w:r>
            <w:r>
              <w:rPr>
                <w:szCs w:val="22"/>
              </w:rPr>
              <w:t xml:space="preserve">. </w:t>
            </w:r>
            <w:r w:rsidRPr="00F26EAD">
              <w:rPr>
                <w:szCs w:val="22"/>
              </w:rPr>
              <w:t xml:space="preserve">Administration of </w:t>
            </w:r>
            <w:r>
              <w:rPr>
                <w:szCs w:val="22"/>
              </w:rPr>
              <w:t>C</w:t>
            </w:r>
            <w:r w:rsidRPr="00F26EAD">
              <w:rPr>
                <w:szCs w:val="22"/>
              </w:rPr>
              <w:t>omirnaty</w:t>
            </w:r>
            <w:r>
              <w:rPr>
                <w:szCs w:val="22"/>
              </w:rPr>
              <w:t xml:space="preserve"> </w:t>
            </w:r>
            <w:r w:rsidRPr="00F26EAD">
              <w:rPr>
                <w:szCs w:val="22"/>
              </w:rPr>
              <w:t>Original/Omicron BA.4-5 in pregnancy should only be considered when the potential benefits</w:t>
            </w:r>
            <w:r>
              <w:rPr>
                <w:szCs w:val="22"/>
              </w:rPr>
              <w:t xml:space="preserve"> </w:t>
            </w:r>
            <w:r w:rsidRPr="00F26EAD">
              <w:rPr>
                <w:szCs w:val="22"/>
              </w:rPr>
              <w:t>outweigh any potential risks for the mother and fetus.</w:t>
            </w:r>
          </w:p>
          <w:p w14:paraId="76497789" w14:textId="0DD59389" w:rsidR="003F4E79" w:rsidRPr="00BD5DBD" w:rsidRDefault="003F4E79" w:rsidP="003F4E79">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9196DD9" w:rsidR="00324B33" w:rsidRDefault="00E36A4E" w:rsidP="00C72BDD">
      <w:pPr>
        <w:pStyle w:val="Heading3"/>
      </w:pPr>
      <w:bookmarkStart w:id="7" w:name="_Toc177995405"/>
      <w:r>
        <w:t>Comirnaty</w:t>
      </w:r>
      <w:r w:rsidR="004F7EA1">
        <w:t xml:space="preserve"> </w:t>
      </w:r>
      <w:r w:rsidR="007F77E9">
        <w:t xml:space="preserve">original/omicron </w:t>
      </w:r>
      <w:r w:rsidR="004F7EA1">
        <w:t>BA.4-5</w:t>
      </w:r>
      <w:r w:rsidR="003F4E79">
        <w:t xml:space="preserve"> – proposed indications</w:t>
      </w:r>
      <w:bookmarkEnd w:id="7"/>
    </w:p>
    <w:p w14:paraId="1B56A5D6" w14:textId="66371D52" w:rsidR="007738CF" w:rsidRPr="005E2455" w:rsidRDefault="005E2455" w:rsidP="007F77E9">
      <w:r w:rsidRPr="005E2455">
        <w:t>Tozinameran/Famtozinameran (Comirnaty Original/Omicron BA.4-5), also referred to as Bivalent BA.4-5, is currently provisionally approved for use in</w:t>
      </w:r>
      <w:r w:rsidR="00605774">
        <w:t xml:space="preserve"> children </w:t>
      </w:r>
      <w:r w:rsidRPr="005E2455">
        <w:t>5 years of age and older</w:t>
      </w:r>
      <w:r w:rsidR="001354E8">
        <w:t xml:space="preserve"> </w:t>
      </w:r>
      <w:r w:rsidR="00605774">
        <w:t>and</w:t>
      </w:r>
      <w:r w:rsidR="00786EA0" w:rsidRPr="00786EA0">
        <w:t xml:space="preserve"> for use in primary series</w:t>
      </w:r>
      <w:r w:rsidR="005A4939">
        <w:t>/</w:t>
      </w:r>
      <w:r w:rsidR="00786EA0" w:rsidRPr="00786EA0">
        <w:t xml:space="preserve">additional doses from 5 years of age and above. </w:t>
      </w:r>
    </w:p>
    <w:p w14:paraId="59BF31D1" w14:textId="441EA30A" w:rsidR="001500A8" w:rsidRDefault="00324B33" w:rsidP="007F77E9">
      <w:r w:rsidRPr="00065839">
        <w:t xml:space="preserve">This AusPAR describes the submission by </w:t>
      </w:r>
      <w:r w:rsidR="00027827" w:rsidRPr="00027827">
        <w:t>Pfizer Australia Pty Ltd</w:t>
      </w:r>
      <w:r w:rsidRPr="00065839">
        <w:t xml:space="preserve"> (the </w:t>
      </w:r>
      <w:r w:rsidR="005A4939">
        <w:t>Sponsor</w:t>
      </w:r>
      <w:r w:rsidRPr="00065839">
        <w:t xml:space="preserve">) to register </w:t>
      </w:r>
      <w:r w:rsidR="00E36A4E" w:rsidRPr="00027827">
        <w:t>Comirnaty</w:t>
      </w:r>
      <w:r w:rsidR="00027827" w:rsidRPr="00027827">
        <w:t xml:space="preserve"> Original/Omicron BA.4-5 COVID-19 </w:t>
      </w:r>
      <w:r w:rsidR="00027827">
        <w:t>Vaccine</w:t>
      </w:r>
      <w:r w:rsidR="00027827" w:rsidRPr="00027827">
        <w:t xml:space="preserve"> (tozinameran and</w:t>
      </w:r>
      <w:r w:rsidR="00027827">
        <w:t xml:space="preserve"> </w:t>
      </w:r>
      <w:r w:rsidR="00027827" w:rsidRPr="00027827">
        <w:t>famtozinameran)</w:t>
      </w:r>
      <w:r w:rsidRPr="00065839">
        <w:t xml:space="preserve"> for the following proposed</w:t>
      </w:r>
      <w:r w:rsidR="00027827">
        <w:t xml:space="preserve"> </w:t>
      </w:r>
      <w:r w:rsidRPr="00065839">
        <w:t>extension of indications</w:t>
      </w:r>
      <w:r w:rsidR="008C72F6">
        <w:t xml:space="preserve"> and registration of a new strength</w:t>
      </w:r>
      <w:r w:rsidRPr="00065839">
        <w:t>:</w:t>
      </w:r>
    </w:p>
    <w:p w14:paraId="11B21A89" w14:textId="77777777" w:rsidR="003F0E11" w:rsidRPr="00793655" w:rsidRDefault="003F0E11" w:rsidP="00793655">
      <w:pPr>
        <w:pStyle w:val="Indication"/>
        <w:rPr>
          <w:b/>
          <w:bCs/>
        </w:rPr>
      </w:pPr>
      <w:r w:rsidRPr="00793655">
        <w:rPr>
          <w:b/>
          <w:bCs/>
        </w:rPr>
        <w:t>Proposed indication:</w:t>
      </w:r>
    </w:p>
    <w:p w14:paraId="2ED04618" w14:textId="783A4123" w:rsidR="003F0E11" w:rsidRPr="003F0E11" w:rsidRDefault="003F0E11" w:rsidP="00793655">
      <w:pPr>
        <w:pStyle w:val="Indication"/>
      </w:pPr>
      <w:r w:rsidRPr="003F0E11">
        <w:t>As a booster dose for active immunisation to prevent coronavirus disease 2019 (COVID-19) caused by</w:t>
      </w:r>
      <w:r>
        <w:t xml:space="preserve"> </w:t>
      </w:r>
      <w:r w:rsidRPr="003F0E11">
        <w:t>SARS-CoV-2, in individuals 6 months of age and older.</w:t>
      </w:r>
    </w:p>
    <w:p w14:paraId="071DC031" w14:textId="77777777" w:rsidR="003F0E11" w:rsidRPr="003F0E11" w:rsidRDefault="003F0E11" w:rsidP="00793655">
      <w:pPr>
        <w:pStyle w:val="Indication"/>
      </w:pPr>
      <w:r w:rsidRPr="003F0E11">
        <w:t>The use of this vaccine should be in accordance with official recommendations.</w:t>
      </w:r>
    </w:p>
    <w:p w14:paraId="1B62D77E" w14:textId="77777777" w:rsidR="003F0E11" w:rsidRPr="00793655" w:rsidRDefault="003F0E11" w:rsidP="00793655">
      <w:pPr>
        <w:pStyle w:val="Indication"/>
        <w:rPr>
          <w:b/>
          <w:bCs/>
        </w:rPr>
      </w:pPr>
      <w:r w:rsidRPr="00793655">
        <w:rPr>
          <w:b/>
          <w:bCs/>
        </w:rPr>
        <w:t>Proposed dosage for Individuals 6 months to &lt;5 years of age:</w:t>
      </w:r>
    </w:p>
    <w:p w14:paraId="0706BD0B" w14:textId="255EBC1F" w:rsidR="003F0E11" w:rsidRPr="003F0E11" w:rsidRDefault="003F0E11" w:rsidP="00793655">
      <w:pPr>
        <w:pStyle w:val="Indication"/>
      </w:pPr>
      <w:r w:rsidRPr="003F0E11">
        <w:t>COMIRNATY Original/Omicron BA.4-5 (For Age 6 months to &lt;5 Years) is administered intramuscularly as a</w:t>
      </w:r>
      <w:r>
        <w:t xml:space="preserve"> </w:t>
      </w:r>
      <w:r w:rsidRPr="003F0E11">
        <w:t>booster dose (1.5/1.5 micrograms/0.2 mL), at least 3 months after the completion of a COVID-19 vaccine</w:t>
      </w:r>
      <w:r>
        <w:t xml:space="preserve"> </w:t>
      </w:r>
      <w:r w:rsidRPr="003F0E11">
        <w:t>primary series or a previous booster dose of any COVID-19 vaccine.</w:t>
      </w:r>
    </w:p>
    <w:p w14:paraId="288EF5D0" w14:textId="77777777" w:rsidR="003F0E11" w:rsidRPr="003F0E11" w:rsidRDefault="003F0E11" w:rsidP="00793655">
      <w:pPr>
        <w:pStyle w:val="Indication"/>
      </w:pPr>
      <w:r w:rsidRPr="00793655">
        <w:rPr>
          <w:b/>
          <w:bCs/>
        </w:rPr>
        <w:t>New strength proposed</w:t>
      </w:r>
      <w:r w:rsidRPr="003F0E11">
        <w:t>:</w:t>
      </w:r>
    </w:p>
    <w:p w14:paraId="14E64E62" w14:textId="7AB3162B" w:rsidR="0033197C" w:rsidRDefault="003F0E11" w:rsidP="00793655">
      <w:pPr>
        <w:pStyle w:val="Indication"/>
      </w:pPr>
      <w:r w:rsidRPr="003F0E11">
        <w:t xml:space="preserve">COMIRNATY Original/Omicron BA.4-5 for age 6 months to &lt;5 years: (Multidose vial, </w:t>
      </w:r>
      <w:proofErr w:type="gramStart"/>
      <w:r w:rsidRPr="003F0E11">
        <w:t>Maroon</w:t>
      </w:r>
      <w:proofErr w:type="gramEnd"/>
      <w:r w:rsidRPr="003F0E11">
        <w:t xml:space="preserve"> cap)</w:t>
      </w:r>
      <w:r>
        <w:t xml:space="preserve"> </w:t>
      </w:r>
      <w:r w:rsidRPr="003F0E11">
        <w:t>For administration of 1.5/1.5 micrograms/0.2 mL dose, a new strength of COMIRNATY</w:t>
      </w:r>
      <w:r>
        <w:t xml:space="preserve"> </w:t>
      </w:r>
      <w:r w:rsidRPr="003F0E11">
        <w:t>Original/Omicron</w:t>
      </w:r>
      <w:r w:rsidR="00793655">
        <w:t xml:space="preserve"> </w:t>
      </w:r>
      <w:r w:rsidRPr="003F0E11">
        <w:t>BA.4-5 is proposed to be registered. One vial (0.4 mL fill of 0.05 mg/mL tozinameran + 0.05 mg/mL</w:t>
      </w:r>
      <w:r w:rsidR="00793655">
        <w:t xml:space="preserve"> </w:t>
      </w:r>
      <w:r w:rsidRPr="003F0E11">
        <w:t>famtozinameran) is designed to provide 10 doses of 0.2 mL after dilution with 2.2 mL sodium chloride 9</w:t>
      </w:r>
      <w:r w:rsidR="00793655">
        <w:t xml:space="preserve"> </w:t>
      </w:r>
      <w:r w:rsidRPr="003F0E11">
        <w:t>mg/mL (0.9%) solution.</w:t>
      </w:r>
    </w:p>
    <w:p w14:paraId="48161491" w14:textId="55FAE314" w:rsidR="00605774" w:rsidRDefault="00605774" w:rsidP="003F0E11">
      <w:r w:rsidRPr="00605774">
        <w:t xml:space="preserve">The current submission is seeking </w:t>
      </w:r>
      <w:r w:rsidR="008C72F6" w:rsidRPr="008C72F6">
        <w:t>the registration of the new strength 1.5/1.5 micrograms/0.2 mL</w:t>
      </w:r>
      <w:r w:rsidR="00A15C2A">
        <w:t xml:space="preserve"> and </w:t>
      </w:r>
      <w:r w:rsidRPr="00605774">
        <w:t>extension of primary series and additional dosing from 6 months of age and above as follows:</w:t>
      </w:r>
    </w:p>
    <w:p w14:paraId="6AED2FAF" w14:textId="0FAF96EE" w:rsidR="00605774" w:rsidRPr="00605774" w:rsidRDefault="00605774" w:rsidP="00605774">
      <w:r>
        <w:rPr>
          <w:noProof/>
        </w:rPr>
        <w:drawing>
          <wp:inline distT="0" distB="0" distL="0" distR="0" wp14:anchorId="5E3DDC3C" wp14:editId="319B20AF">
            <wp:extent cx="5597072" cy="1872343"/>
            <wp:effectExtent l="0" t="0" r="3810" b="0"/>
            <wp:docPr id="163814595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595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b="1517"/>
                    <a:stretch/>
                  </pic:blipFill>
                  <pic:spPr bwMode="auto">
                    <a:xfrm>
                      <a:off x="0" y="0"/>
                      <a:ext cx="5603346" cy="1874442"/>
                    </a:xfrm>
                    <a:prstGeom prst="rect">
                      <a:avLst/>
                    </a:prstGeom>
                    <a:noFill/>
                    <a:ln>
                      <a:noFill/>
                    </a:ln>
                    <a:extLst>
                      <a:ext uri="{53640926-AAD7-44D8-BBD7-CCE9431645EC}">
                        <a14:shadowObscured xmlns:a14="http://schemas.microsoft.com/office/drawing/2010/main"/>
                      </a:ext>
                    </a:extLst>
                  </pic:spPr>
                </pic:pic>
              </a:graphicData>
            </a:graphic>
          </wp:inline>
        </w:drawing>
      </w:r>
    </w:p>
    <w:p w14:paraId="1E63A2AE" w14:textId="70401DEC" w:rsidR="00CB6813" w:rsidRDefault="00AA0BF3" w:rsidP="00C2591D">
      <w:pPr>
        <w:pStyle w:val="Heading3"/>
      </w:pPr>
      <w:bookmarkStart w:id="8" w:name="_Toc314842485"/>
      <w:bookmarkStart w:id="9" w:name="_Toc247691504"/>
      <w:bookmarkStart w:id="10" w:name="_Toc177995406"/>
      <w:r w:rsidRPr="00AA0BF3">
        <w:t>Coronavirus disease</w:t>
      </w:r>
      <w:r>
        <w:t xml:space="preserve"> (</w:t>
      </w:r>
      <w:r w:rsidR="00C72BDD" w:rsidRPr="00C72BDD">
        <w:t>COVID-19</w:t>
      </w:r>
      <w:r>
        <w:t>)</w:t>
      </w:r>
      <w:bookmarkEnd w:id="10"/>
    </w:p>
    <w:p w14:paraId="62681249" w14:textId="355DBF5E" w:rsidR="008E2697" w:rsidRDefault="00AA0BF3" w:rsidP="007F77E9">
      <w:r w:rsidRPr="00AA0BF3">
        <w:t>Coronavirus disease</w:t>
      </w:r>
      <w:r>
        <w:t xml:space="preserve"> (</w:t>
      </w:r>
      <w:r w:rsidR="008E2697">
        <w:t>COVID-19</w:t>
      </w:r>
      <w:r>
        <w:t>)</w:t>
      </w:r>
      <w:r w:rsidR="008E2697">
        <w:t xml:space="preserve"> is caused by </w:t>
      </w:r>
      <w:r w:rsidR="00DA63D1" w:rsidRPr="00DA63D1">
        <w:t>severe acute respiratory syndrome coronavirus 2</w:t>
      </w:r>
      <w:r w:rsidR="00DA63D1">
        <w:t xml:space="preserve"> (</w:t>
      </w:r>
      <w:r w:rsidR="008E2697">
        <w:t>SARS-CoV-2</w:t>
      </w:r>
      <w:r w:rsidR="00DA63D1">
        <w:t>)</w:t>
      </w:r>
      <w:r w:rsidR="008E2697">
        <w:t>, a zoonotic virus that has rapidly spread around the world by human-to-human transmission. At the time of this submission, the ongoing pandemic remains a significant</w:t>
      </w:r>
      <w:r w:rsidR="003357C4">
        <w:t xml:space="preserve"> </w:t>
      </w:r>
      <w:r w:rsidR="008E2697">
        <w:t>challenge to public health and economic stability worldwide, for which a licensed</w:t>
      </w:r>
      <w:r w:rsidR="003357C4">
        <w:t xml:space="preserve"> </w:t>
      </w:r>
      <w:r w:rsidR="008E2697">
        <w:t>prophylactic vaccine, including booster dosing, is a necessary and critical mitigation for all</w:t>
      </w:r>
      <w:r w:rsidR="003357C4">
        <w:t xml:space="preserve"> </w:t>
      </w:r>
      <w:r w:rsidR="008E2697">
        <w:t>age groups.</w:t>
      </w:r>
    </w:p>
    <w:p w14:paraId="4B46C8AA" w14:textId="3BC4CEAC" w:rsidR="008E2697" w:rsidRDefault="008E2697" w:rsidP="007F77E9">
      <w:r>
        <w:t>COVID-19 presentation is generally with cough and fever, with chest radiography showing</w:t>
      </w:r>
      <w:r w:rsidR="003357C4">
        <w:t xml:space="preserve"> </w:t>
      </w:r>
      <w:r>
        <w:t>ground-glass opacities or patchy shadowing.</w:t>
      </w:r>
      <w:r w:rsidR="007823A4">
        <w:rPr>
          <w:rStyle w:val="FootnoteReference"/>
        </w:rPr>
        <w:footnoteReference w:id="1"/>
      </w:r>
      <w:r>
        <w:t xml:space="preserve"> However, many patients present without fever</w:t>
      </w:r>
      <w:r w:rsidR="0078779B">
        <w:t xml:space="preserve"> </w:t>
      </w:r>
      <w:r>
        <w:t>or radiographic changes, and infections may be asymptomatic which is relevant to controlling</w:t>
      </w:r>
      <w:r w:rsidR="0078779B">
        <w:t xml:space="preserve"> </w:t>
      </w:r>
      <w:r>
        <w:t>transmission. For symptomatic patients, disease progression may lead to acute respiratory</w:t>
      </w:r>
      <w:r w:rsidR="0078779B">
        <w:t xml:space="preserve"> </w:t>
      </w:r>
      <w:r>
        <w:t>distress syndrome requiring ventilation, subsequent multi-organ failure, and death.</w:t>
      </w:r>
      <w:r w:rsidR="007823A4">
        <w:rPr>
          <w:rStyle w:val="FootnoteReference"/>
        </w:rPr>
        <w:footnoteReference w:id="2"/>
      </w:r>
    </w:p>
    <w:p w14:paraId="0925FD33" w14:textId="60AA2ADC" w:rsidR="008E2697" w:rsidRPr="008E2697" w:rsidRDefault="008E2697" w:rsidP="007F77E9">
      <w:r>
        <w:t>Since the pandemic began, children &lt;5 years of age represent about 3 to 4% of total cases of</w:t>
      </w:r>
      <w:r w:rsidR="00940AB8">
        <w:t xml:space="preserve"> </w:t>
      </w:r>
      <w:r>
        <w:t>COVID-19 in both the US and Europe.</w:t>
      </w:r>
      <w:r w:rsidR="00721A02">
        <w:rPr>
          <w:rStyle w:val="FootnoteReference"/>
        </w:rPr>
        <w:footnoteReference w:id="3"/>
      </w:r>
      <w:r w:rsidR="00721A02" w:rsidRPr="00721A02">
        <w:rPr>
          <w:vertAlign w:val="superscript"/>
        </w:rPr>
        <w:t>,</w:t>
      </w:r>
      <w:r w:rsidR="00721A02">
        <w:rPr>
          <w:rStyle w:val="FootnoteReference"/>
        </w:rPr>
        <w:footnoteReference w:id="4"/>
      </w:r>
      <w:r w:rsidR="00721A02">
        <w:t xml:space="preserve"> </w:t>
      </w:r>
      <w:r>
        <w:t>Although the severity of COVID-19 disease in</w:t>
      </w:r>
      <w:r w:rsidR="00940AB8">
        <w:t xml:space="preserve"> </w:t>
      </w:r>
      <w:r>
        <w:t>children appears to be lower compared to adults, approximately 25% of children and</w:t>
      </w:r>
      <w:r w:rsidR="00940AB8">
        <w:t xml:space="preserve"> </w:t>
      </w:r>
      <w:r>
        <w:t>adolescents may experience long-COVID, children with chronic health conditions may</w:t>
      </w:r>
      <w:r w:rsidR="00940AB8">
        <w:t xml:space="preserve"> </w:t>
      </w:r>
      <w:r>
        <w:t>experience more severe disease, and SARS-CoV-2 infection and the ongoing pandemic in</w:t>
      </w:r>
      <w:r w:rsidR="00940AB8">
        <w:t xml:space="preserve"> </w:t>
      </w:r>
      <w:r>
        <w:t>general may cause significant harm to children's long-term physical and mental/emotional</w:t>
      </w:r>
      <w:r w:rsidR="00940AB8">
        <w:t xml:space="preserve"> </w:t>
      </w:r>
      <w:r>
        <w:t>health</w:t>
      </w:r>
      <w:r w:rsidR="00966B47">
        <w:t>.</w:t>
      </w:r>
      <w:r w:rsidR="00966B47" w:rsidRPr="005C0751">
        <w:rPr>
          <w:rStyle w:val="FootnoteReference"/>
        </w:rPr>
        <w:footnoteReference w:id="5"/>
      </w:r>
      <w:r w:rsidR="00966B47" w:rsidRPr="005C0751">
        <w:rPr>
          <w:vertAlign w:val="superscript"/>
        </w:rPr>
        <w:t>,</w:t>
      </w:r>
      <w:r w:rsidR="00966B47" w:rsidRPr="005C0751">
        <w:rPr>
          <w:rStyle w:val="FootnoteReference"/>
        </w:rPr>
        <w:footnoteReference w:id="6"/>
      </w:r>
      <w:r w:rsidR="00966B47" w:rsidRPr="005C0751">
        <w:rPr>
          <w:vertAlign w:val="superscript"/>
        </w:rPr>
        <w:t>,</w:t>
      </w:r>
      <w:r w:rsidR="005C0751" w:rsidRPr="005C0751">
        <w:rPr>
          <w:rStyle w:val="FootnoteReference"/>
        </w:rPr>
        <w:footnoteReference w:id="7"/>
      </w:r>
    </w:p>
    <w:p w14:paraId="37C47E09" w14:textId="19F51DE7" w:rsidR="00CB6813" w:rsidRDefault="00CB6813" w:rsidP="00C72BDD">
      <w:pPr>
        <w:pStyle w:val="Heading3"/>
      </w:pPr>
      <w:bookmarkStart w:id="11" w:name="_Toc177995407"/>
      <w:r>
        <w:t>C</w:t>
      </w:r>
      <w:r w:rsidRPr="00DE1344">
        <w:t>linical rational</w:t>
      </w:r>
      <w:r w:rsidR="0025785B">
        <w:t>e</w:t>
      </w:r>
      <w:r w:rsidR="003F4E79">
        <w:t xml:space="preserve"> for </w:t>
      </w:r>
      <w:proofErr w:type="spellStart"/>
      <w:r w:rsidR="00825373" w:rsidRPr="003F4E79">
        <w:t>comirnaty</w:t>
      </w:r>
      <w:proofErr w:type="spellEnd"/>
      <w:r w:rsidR="00825373" w:rsidRPr="003F4E79">
        <w:t xml:space="preserve"> original/omicron</w:t>
      </w:r>
      <w:r w:rsidR="003F4E79" w:rsidRPr="003F4E79">
        <w:t xml:space="preserve"> BA.4-5</w:t>
      </w:r>
      <w:r w:rsidR="003F4E79">
        <w:t xml:space="preserve"> </w:t>
      </w:r>
      <w:proofErr w:type="gramStart"/>
      <w:r w:rsidR="003F4E79">
        <w:t>use</w:t>
      </w:r>
      <w:bookmarkEnd w:id="11"/>
      <w:proofErr w:type="gramEnd"/>
      <w:r w:rsidR="003F4E79">
        <w:t xml:space="preserve"> </w:t>
      </w:r>
    </w:p>
    <w:p w14:paraId="6F4E9C8F" w14:textId="10E254C6" w:rsidR="002C4D69" w:rsidRPr="002C4D69" w:rsidRDefault="002C4D69" w:rsidP="007F77E9">
      <w:r>
        <w:t xml:space="preserve">COVID-19 burden persists among children &lt;5 years of age and is </w:t>
      </w:r>
      <w:r w:rsidR="00EE707A">
        <w:t>underestimated</w:t>
      </w:r>
      <w:r>
        <w:t xml:space="preserve"> due to many factors including at-home testing. Currently, Omicron sub-lineage BQ.1 (including BQ.1.1), which has shown increased growth advantage and immune escape compared to earlier Omicron sublineages, is the dominant sublineage based on sequenced samples from the EU and UK. </w:t>
      </w:r>
      <w:r w:rsidR="00302C40">
        <w:t>Given the genetic and resulting antigenic differences in currently circulating Omicron sublineages of SARS-CoV-2 (</w:t>
      </w:r>
      <w:r w:rsidR="00D27FC5">
        <w:t>e.g.</w:t>
      </w:r>
      <w:r w:rsidR="00302C40">
        <w:t xml:space="preserve">, BQ.1, BQ.1.1, BA.5, XBB.1, XBB.1.5) compared to the original WT strain, the addition of the bivalent variant-adapted vaccine is needed to ensure adequate protection in children &lt;5 years of age, as is currently authorised for booster doses in individuals ≥5 years of age. </w:t>
      </w:r>
    </w:p>
    <w:p w14:paraId="0D615854" w14:textId="77777777" w:rsidR="00324B33" w:rsidRPr="003F31A2" w:rsidRDefault="00324B33" w:rsidP="00825373">
      <w:pPr>
        <w:pStyle w:val="Heading2"/>
      </w:pPr>
      <w:bookmarkStart w:id="12" w:name="_Toc103679291"/>
      <w:bookmarkStart w:id="13" w:name="_Toc177995408"/>
      <w:r>
        <w:t>Regulatory status</w:t>
      </w:r>
      <w:bookmarkEnd w:id="8"/>
      <w:bookmarkEnd w:id="9"/>
      <w:bookmarkEnd w:id="12"/>
      <w:bookmarkEnd w:id="13"/>
    </w:p>
    <w:p w14:paraId="72C889D6" w14:textId="7E200950" w:rsidR="0017005C" w:rsidRPr="00BD5DBD" w:rsidRDefault="0017005C" w:rsidP="00825373">
      <w:pPr>
        <w:pStyle w:val="Heading3"/>
      </w:pPr>
      <w:bookmarkStart w:id="14" w:name="_Toc177995409"/>
      <w:r w:rsidRPr="00BD5DBD">
        <w:t>Australian regulatory</w:t>
      </w:r>
      <w:r>
        <w:t xml:space="preserve"> sta</w:t>
      </w:r>
      <w:r w:rsidR="0025785B">
        <w:t>t</w:t>
      </w:r>
      <w:r>
        <w:t>us</w:t>
      </w:r>
      <w:bookmarkEnd w:id="14"/>
    </w:p>
    <w:p w14:paraId="71BF29A3" w14:textId="6F6549CF" w:rsidR="00CF6A55" w:rsidRDefault="00CF6A55" w:rsidP="00CF6A55">
      <w:pPr>
        <w:rPr>
          <w:szCs w:val="22"/>
        </w:rPr>
      </w:pPr>
      <w:r w:rsidRPr="00BD5DBD">
        <w:rPr>
          <w:szCs w:val="22"/>
        </w:rPr>
        <w:t xml:space="preserve">The product received </w:t>
      </w:r>
      <w:r w:rsidR="005E2E04">
        <w:rPr>
          <w:szCs w:val="22"/>
        </w:rPr>
        <w:t>provisional</w:t>
      </w:r>
      <w:r w:rsidRPr="00BD5DBD">
        <w:rPr>
          <w:szCs w:val="22"/>
        </w:rPr>
        <w:t xml:space="preserve"> registration </w:t>
      </w:r>
      <w:r>
        <w:rPr>
          <w:szCs w:val="22"/>
        </w:rPr>
        <w:t>in</w:t>
      </w:r>
      <w:r w:rsidRPr="00BD5DBD">
        <w:rPr>
          <w:szCs w:val="22"/>
        </w:rPr>
        <w:t xml:space="preserve"> the </w:t>
      </w:r>
      <w:hyperlink r:id="rId25" w:history="1">
        <w:r w:rsidRPr="00BD5DBD">
          <w:rPr>
            <w:rStyle w:val="Hyperlink"/>
            <w:szCs w:val="22"/>
          </w:rPr>
          <w:t>Australian Register of Therapeutic Goods</w:t>
        </w:r>
      </w:hyperlink>
      <w:r w:rsidRPr="00BD5DBD">
        <w:rPr>
          <w:szCs w:val="22"/>
        </w:rPr>
        <w:t xml:space="preserve"> (</w:t>
      </w:r>
      <w:hyperlink r:id="rId26" w:history="1">
        <w:r w:rsidRPr="00BD5DBD">
          <w:rPr>
            <w:rStyle w:val="Hyperlink"/>
            <w:szCs w:val="22"/>
          </w:rPr>
          <w:t>ARTG</w:t>
        </w:r>
      </w:hyperlink>
      <w:r w:rsidRPr="00BD5DBD">
        <w:rPr>
          <w:szCs w:val="22"/>
        </w:rPr>
        <w:t>) on</w:t>
      </w:r>
      <w:r>
        <w:rPr>
          <w:szCs w:val="22"/>
        </w:rPr>
        <w:t xml:space="preserve"> </w:t>
      </w:r>
      <w:r w:rsidR="002A50F6">
        <w:rPr>
          <w:szCs w:val="22"/>
        </w:rPr>
        <w:t>25 January 2021</w:t>
      </w:r>
      <w:r>
        <w:rPr>
          <w:szCs w:val="22"/>
        </w:rPr>
        <w:t>.</w:t>
      </w:r>
      <w:r w:rsidRPr="00BD5DBD">
        <w:rPr>
          <w:szCs w:val="22"/>
        </w:rPr>
        <w:t xml:space="preserve"> </w:t>
      </w:r>
      <w:r>
        <w:rPr>
          <w:szCs w:val="22"/>
        </w:rPr>
        <w:t>I</w:t>
      </w:r>
      <w:r w:rsidRPr="00BD5DBD">
        <w:rPr>
          <w:szCs w:val="22"/>
        </w:rPr>
        <w:t>t was approved for the following indications:</w:t>
      </w:r>
    </w:p>
    <w:p w14:paraId="5AC9EAE2" w14:textId="77777777" w:rsidR="00F649BB" w:rsidRPr="00F649BB" w:rsidRDefault="00F649BB" w:rsidP="00F649BB">
      <w:pPr>
        <w:pStyle w:val="Indication"/>
      </w:pPr>
      <w:r w:rsidRPr="00F649BB">
        <w:t>“COMIRNATY (BNT162b2 [mRNA]) COVID-19 Vaccine has provisional approval for the</w:t>
      </w:r>
    </w:p>
    <w:p w14:paraId="0F44B97F" w14:textId="77777777" w:rsidR="00F649BB" w:rsidRPr="00F649BB" w:rsidRDefault="00F649BB" w:rsidP="00F649BB">
      <w:pPr>
        <w:pStyle w:val="Indication"/>
      </w:pPr>
      <w:r w:rsidRPr="00F649BB">
        <w:t>indication below:</w:t>
      </w:r>
    </w:p>
    <w:p w14:paraId="6A39FCC0" w14:textId="250565CD" w:rsidR="00F649BB" w:rsidRPr="00F649BB" w:rsidRDefault="00F649BB" w:rsidP="00F649BB">
      <w:pPr>
        <w:pStyle w:val="Indication"/>
      </w:pPr>
      <w:r w:rsidRPr="00F649BB">
        <w:t xml:space="preserve">Active immunisation to prevent coronavirus disease 2019 (COVID-19) caused by </w:t>
      </w:r>
      <w:r w:rsidR="003F4E79">
        <w:br/>
      </w:r>
      <w:r w:rsidRPr="00F649BB">
        <w:t>SARS-CoV-2, in</w:t>
      </w:r>
      <w:r>
        <w:t xml:space="preserve"> </w:t>
      </w:r>
      <w:r w:rsidRPr="00F649BB">
        <w:t>individuals 16 years of age and older.</w:t>
      </w:r>
    </w:p>
    <w:p w14:paraId="4DA24417" w14:textId="77777777" w:rsidR="00F649BB" w:rsidRPr="00F649BB" w:rsidRDefault="00F649BB" w:rsidP="00F649BB">
      <w:pPr>
        <w:pStyle w:val="Indication"/>
      </w:pPr>
      <w:r w:rsidRPr="00F649BB">
        <w:t>The use of this vaccine should be in accordance with official recommendations.</w:t>
      </w:r>
    </w:p>
    <w:p w14:paraId="651B073C" w14:textId="77777777" w:rsidR="00F649BB" w:rsidRPr="00F649BB" w:rsidRDefault="00F649BB" w:rsidP="00F649BB">
      <w:pPr>
        <w:pStyle w:val="Indication"/>
      </w:pPr>
      <w:r w:rsidRPr="00F649BB">
        <w:t xml:space="preserve">The decision has been made on the basis of </w:t>
      </w:r>
      <w:proofErr w:type="gramStart"/>
      <w:r w:rsidRPr="00F649BB">
        <w:t>short term</w:t>
      </w:r>
      <w:proofErr w:type="gramEnd"/>
      <w:r w:rsidRPr="00F649BB">
        <w:t xml:space="preserve"> efficacy and safety data. Continued</w:t>
      </w:r>
    </w:p>
    <w:p w14:paraId="3B014005" w14:textId="44CFBD51" w:rsidR="00F649BB" w:rsidRDefault="00F649BB" w:rsidP="00F649BB">
      <w:pPr>
        <w:pStyle w:val="Indication"/>
      </w:pPr>
      <w:r w:rsidRPr="00F649BB">
        <w:t xml:space="preserve">approval depends on the evidence of </w:t>
      </w:r>
      <w:proofErr w:type="gramStart"/>
      <w:r w:rsidRPr="00F649BB">
        <w:t>longer term</w:t>
      </w:r>
      <w:proofErr w:type="gramEnd"/>
      <w:r w:rsidRPr="00F649BB">
        <w:t xml:space="preserve"> efficacy and safety from ongoing clinical trials</w:t>
      </w:r>
      <w:r>
        <w:t xml:space="preserve"> </w:t>
      </w:r>
      <w:r w:rsidRPr="00F649BB">
        <w:t>and post-market assessment.”</w:t>
      </w:r>
    </w:p>
    <w:p w14:paraId="34539A9B" w14:textId="4680542F" w:rsidR="000661F4" w:rsidRDefault="00D51D12" w:rsidP="007F77E9">
      <w:r w:rsidRPr="00D51D12">
        <w:t xml:space="preserve">Several mRNA vaccines against COVID-19, </w:t>
      </w:r>
      <w:r w:rsidR="005A4939">
        <w:t>Sponsor</w:t>
      </w:r>
      <w:r w:rsidRPr="00D51D12">
        <w:t>ed by Pfizer Australia are approved for use in Australia</w:t>
      </w:r>
      <w:r>
        <w:t>.</w:t>
      </w:r>
      <w:r w:rsidRPr="00D51D12">
        <w:t xml:space="preserve"> </w:t>
      </w:r>
      <w:r w:rsidR="000661F4" w:rsidRPr="000661F4">
        <w:t>At present, the Pfizer set of mRNA vaccines for active immunisation against COVID-19 are as follows:</w:t>
      </w:r>
    </w:p>
    <w:p w14:paraId="153A5DD6" w14:textId="528FA0AF" w:rsidR="005867AA" w:rsidRPr="000661F4" w:rsidRDefault="005867AA" w:rsidP="000661F4">
      <w:r>
        <w:rPr>
          <w:noProof/>
        </w:rPr>
        <w:drawing>
          <wp:inline distT="0" distB="0" distL="0" distR="0" wp14:anchorId="6B144937" wp14:editId="628678DD">
            <wp:extent cx="5759450" cy="2270125"/>
            <wp:effectExtent l="0" t="0" r="0" b="0"/>
            <wp:docPr id="11184792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79238"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5759450" cy="2270125"/>
                    </a:xfrm>
                    <a:prstGeom prst="rect">
                      <a:avLst/>
                    </a:prstGeom>
                  </pic:spPr>
                </pic:pic>
              </a:graphicData>
            </a:graphic>
          </wp:inline>
        </w:drawing>
      </w:r>
    </w:p>
    <w:p w14:paraId="546C1031" w14:textId="13AEC93A" w:rsidR="0017005C" w:rsidRDefault="0009070F" w:rsidP="00C72BDD">
      <w:pPr>
        <w:pStyle w:val="Heading4"/>
      </w:pPr>
      <w:bookmarkStart w:id="15" w:name="_Toc177995410"/>
      <w:r>
        <w:t>International</w:t>
      </w:r>
      <w:r w:rsidR="0017005C" w:rsidRPr="00BD5DBD">
        <w:t xml:space="preserve"> regulatory</w:t>
      </w:r>
      <w:r w:rsidR="0017005C">
        <w:t xml:space="preserve"> status</w:t>
      </w:r>
      <w:bookmarkEnd w:id="15"/>
    </w:p>
    <w:p w14:paraId="4B6CBEE1" w14:textId="0A5B0277" w:rsidR="00760953" w:rsidRPr="00760953" w:rsidRDefault="00760953" w:rsidP="007F77E9">
      <w:r>
        <w:t xml:space="preserve">Applications for extension of indication to include individuals 6 months to &lt;5 years of age for Comirnaty Original/Omicron BA.4-5 have been filed in other jurisdictions. The table below provide dates of submission and the regulatory status of these applications. </w:t>
      </w:r>
    </w:p>
    <w:p w14:paraId="19B9E0AC" w14:textId="61A31825" w:rsidR="00324B33" w:rsidRDefault="00324B33" w:rsidP="00324B33">
      <w:pPr>
        <w:pStyle w:val="TableTitle"/>
      </w:pPr>
      <w:bookmarkStart w:id="16" w:name="_Ref99705479"/>
      <w:r>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6"/>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3F3F91"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3F3F91" w:rsidRDefault="00324B33" w:rsidP="00324B33">
            <w:pPr>
              <w:rPr>
                <w:szCs w:val="22"/>
              </w:rPr>
            </w:pPr>
            <w:r w:rsidRPr="003F3F91">
              <w:rPr>
                <w:szCs w:val="22"/>
              </w:rPr>
              <w:t>Region</w:t>
            </w:r>
          </w:p>
        </w:tc>
        <w:tc>
          <w:tcPr>
            <w:tcW w:w="1018" w:type="pct"/>
          </w:tcPr>
          <w:p w14:paraId="778C35C7" w14:textId="52D23C85" w:rsidR="00324B33" w:rsidRPr="003F3F91"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F3F91">
              <w:rPr>
                <w:szCs w:val="22"/>
              </w:rPr>
              <w:t>Submission date</w:t>
            </w:r>
          </w:p>
        </w:tc>
        <w:tc>
          <w:tcPr>
            <w:tcW w:w="1173" w:type="pct"/>
          </w:tcPr>
          <w:p w14:paraId="58F81584" w14:textId="66689ABF" w:rsidR="00324B33" w:rsidRPr="003F3F91"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F3F91">
              <w:rPr>
                <w:szCs w:val="22"/>
              </w:rPr>
              <w:t>Status</w:t>
            </w:r>
          </w:p>
        </w:tc>
        <w:tc>
          <w:tcPr>
            <w:tcW w:w="1795" w:type="pct"/>
          </w:tcPr>
          <w:p w14:paraId="50B2D435" w14:textId="560588D2" w:rsidR="00324B33" w:rsidRPr="003F3F91"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F3F91">
              <w:rPr>
                <w:szCs w:val="22"/>
              </w:rPr>
              <w:t>Approved indications</w:t>
            </w:r>
          </w:p>
        </w:tc>
      </w:tr>
      <w:tr w:rsidR="003F3F91" w:rsidRPr="003F3F91"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5BF960CC" w:rsidR="003F3F91" w:rsidRPr="003F3F91" w:rsidRDefault="003F3F91" w:rsidP="003F3F91">
            <w:pPr>
              <w:rPr>
                <w:szCs w:val="22"/>
              </w:rPr>
            </w:pPr>
            <w:r w:rsidRPr="003F3F91">
              <w:rPr>
                <w:szCs w:val="22"/>
              </w:rPr>
              <w:t>United</w:t>
            </w:r>
            <w:r w:rsidRPr="003F3F91">
              <w:rPr>
                <w:spacing w:val="-3"/>
                <w:szCs w:val="22"/>
              </w:rPr>
              <w:t xml:space="preserve"> </w:t>
            </w:r>
            <w:r w:rsidRPr="003F3F91">
              <w:rPr>
                <w:szCs w:val="22"/>
              </w:rPr>
              <w:t>States</w:t>
            </w:r>
            <w:r w:rsidRPr="003F3F91">
              <w:rPr>
                <w:spacing w:val="-4"/>
                <w:szCs w:val="22"/>
              </w:rPr>
              <w:t xml:space="preserve"> </w:t>
            </w:r>
            <w:r w:rsidRPr="003F3F91">
              <w:rPr>
                <w:szCs w:val="22"/>
              </w:rPr>
              <w:t>of</w:t>
            </w:r>
            <w:r w:rsidRPr="003F3F91">
              <w:rPr>
                <w:spacing w:val="-3"/>
                <w:szCs w:val="22"/>
              </w:rPr>
              <w:t xml:space="preserve"> </w:t>
            </w:r>
            <w:r w:rsidRPr="003F3F91">
              <w:rPr>
                <w:spacing w:val="-2"/>
                <w:szCs w:val="22"/>
              </w:rPr>
              <w:t>America</w:t>
            </w:r>
          </w:p>
        </w:tc>
        <w:tc>
          <w:tcPr>
            <w:tcW w:w="1018" w:type="pct"/>
          </w:tcPr>
          <w:p w14:paraId="4FA5DDA9" w14:textId="09035586"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Submitted</w:t>
            </w:r>
            <w:r w:rsidRPr="003F3F91">
              <w:rPr>
                <w:spacing w:val="-12"/>
                <w:szCs w:val="22"/>
              </w:rPr>
              <w:t xml:space="preserve"> </w:t>
            </w:r>
            <w:r w:rsidRPr="003F3F91">
              <w:rPr>
                <w:szCs w:val="22"/>
              </w:rPr>
              <w:t>to</w:t>
            </w:r>
            <w:r w:rsidRPr="003F3F91">
              <w:rPr>
                <w:spacing w:val="-12"/>
                <w:szCs w:val="22"/>
              </w:rPr>
              <w:t xml:space="preserve"> </w:t>
            </w:r>
            <w:r w:rsidRPr="003F3F91">
              <w:rPr>
                <w:szCs w:val="22"/>
              </w:rPr>
              <w:t>FDA</w:t>
            </w:r>
            <w:r w:rsidRPr="003F3F91">
              <w:rPr>
                <w:spacing w:val="-13"/>
                <w:szCs w:val="22"/>
              </w:rPr>
              <w:t xml:space="preserve"> </w:t>
            </w:r>
            <w:r w:rsidRPr="003F3F91">
              <w:rPr>
                <w:szCs w:val="22"/>
              </w:rPr>
              <w:t>for EUA amendment</w:t>
            </w:r>
          </w:p>
        </w:tc>
        <w:tc>
          <w:tcPr>
            <w:tcW w:w="1173" w:type="pct"/>
          </w:tcPr>
          <w:p w14:paraId="29358393" w14:textId="496EA52B"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EUA</w:t>
            </w:r>
            <w:r w:rsidRPr="003F3F91">
              <w:rPr>
                <w:spacing w:val="-13"/>
                <w:szCs w:val="22"/>
              </w:rPr>
              <w:t xml:space="preserve"> </w:t>
            </w:r>
            <w:r w:rsidRPr="003F3F91">
              <w:rPr>
                <w:szCs w:val="22"/>
              </w:rPr>
              <w:t>amended: 14 Mar 2023</w:t>
            </w:r>
          </w:p>
        </w:tc>
        <w:tc>
          <w:tcPr>
            <w:tcW w:w="1795" w:type="pct"/>
          </w:tcPr>
          <w:p w14:paraId="05055674" w14:textId="34C32FB9"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Emergency</w:t>
            </w:r>
            <w:r w:rsidRPr="003F3F91">
              <w:rPr>
                <w:spacing w:val="-9"/>
                <w:szCs w:val="22"/>
              </w:rPr>
              <w:t xml:space="preserve"> </w:t>
            </w:r>
            <w:r w:rsidRPr="003F3F91">
              <w:rPr>
                <w:szCs w:val="22"/>
              </w:rPr>
              <w:t>Use</w:t>
            </w:r>
            <w:r w:rsidRPr="003F3F91">
              <w:rPr>
                <w:spacing w:val="-11"/>
                <w:szCs w:val="22"/>
              </w:rPr>
              <w:t xml:space="preserve"> </w:t>
            </w:r>
            <w:r w:rsidRPr="003F3F91">
              <w:rPr>
                <w:szCs w:val="22"/>
              </w:rPr>
              <w:t>Authorization</w:t>
            </w:r>
            <w:r w:rsidRPr="003F3F91">
              <w:rPr>
                <w:spacing w:val="-11"/>
                <w:szCs w:val="22"/>
              </w:rPr>
              <w:t xml:space="preserve"> </w:t>
            </w:r>
            <w:r w:rsidRPr="003F3F91">
              <w:rPr>
                <w:szCs w:val="22"/>
              </w:rPr>
              <w:t>(EUA)</w:t>
            </w:r>
            <w:r w:rsidRPr="003F3F91">
              <w:rPr>
                <w:spacing w:val="-9"/>
                <w:szCs w:val="22"/>
              </w:rPr>
              <w:t xml:space="preserve"> </w:t>
            </w:r>
            <w:r w:rsidRPr="003F3F91">
              <w:rPr>
                <w:szCs w:val="22"/>
              </w:rPr>
              <w:t>for the emergency use of Pfizer-BioNTech COVID-19 Vaccine, Bivalent (Original and Omicron BA.4/BA.5) for active immunization to prevent coronavirus disease 2019 (COVID-19) caused by severe acute respiratory syndrome coronavirus 2 (SARS-CoV-2) in individuals 6 months of age and older.</w:t>
            </w:r>
          </w:p>
        </w:tc>
      </w:tr>
      <w:tr w:rsidR="003F3F91" w:rsidRPr="003F3F91"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3F0AA286" w:rsidR="003F3F91" w:rsidRPr="003F3F91" w:rsidRDefault="003F3F91" w:rsidP="003F3F91">
            <w:pPr>
              <w:rPr>
                <w:szCs w:val="22"/>
              </w:rPr>
            </w:pPr>
            <w:r w:rsidRPr="003F3F91">
              <w:rPr>
                <w:szCs w:val="22"/>
              </w:rPr>
              <w:t>European Union (centralised</w:t>
            </w:r>
            <w:r w:rsidRPr="003F3F91">
              <w:rPr>
                <w:spacing w:val="-13"/>
                <w:szCs w:val="22"/>
              </w:rPr>
              <w:t xml:space="preserve"> </w:t>
            </w:r>
            <w:r w:rsidRPr="003F3F91">
              <w:rPr>
                <w:szCs w:val="22"/>
              </w:rPr>
              <w:t>procedure)</w:t>
            </w:r>
          </w:p>
        </w:tc>
        <w:tc>
          <w:tcPr>
            <w:tcW w:w="1018" w:type="pct"/>
          </w:tcPr>
          <w:p w14:paraId="1D871E57" w14:textId="1609D21D"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3</w:t>
            </w:r>
            <w:r w:rsidRPr="003F3F91">
              <w:rPr>
                <w:spacing w:val="-2"/>
                <w:szCs w:val="22"/>
              </w:rPr>
              <w:t xml:space="preserve"> </w:t>
            </w:r>
            <w:r w:rsidRPr="003F3F91">
              <w:rPr>
                <w:szCs w:val="22"/>
              </w:rPr>
              <w:t>Mar</w:t>
            </w:r>
            <w:r w:rsidRPr="003F3F91">
              <w:rPr>
                <w:spacing w:val="-2"/>
                <w:szCs w:val="22"/>
              </w:rPr>
              <w:t xml:space="preserve"> </w:t>
            </w:r>
            <w:r w:rsidRPr="003F3F91">
              <w:rPr>
                <w:spacing w:val="-4"/>
                <w:szCs w:val="22"/>
              </w:rPr>
              <w:t>2023</w:t>
            </w:r>
          </w:p>
        </w:tc>
        <w:tc>
          <w:tcPr>
            <w:tcW w:w="1173" w:type="pct"/>
          </w:tcPr>
          <w:p w14:paraId="63A3A9D3" w14:textId="2CC0A609" w:rsidR="003F3F91" w:rsidRPr="003F3F91" w:rsidRDefault="003F3F91" w:rsidP="003F3F91">
            <w:pPr>
              <w:pStyle w:val="TableParagraph"/>
              <w:spacing w:before="22"/>
              <w:ind w:left="11" w:right="6"/>
              <w:jc w:val="left"/>
              <w:cnfStyle w:val="000000000000" w:firstRow="0" w:lastRow="0" w:firstColumn="0" w:lastColumn="0" w:oddVBand="0" w:evenVBand="0" w:oddHBand="0" w:evenHBand="0" w:firstRowFirstColumn="0" w:firstRowLastColumn="0" w:lastRowFirstColumn="0" w:lastRowLastColumn="0"/>
              <w:rPr>
                <w:rFonts w:ascii="Cambria" w:hAnsi="Cambria"/>
              </w:rPr>
            </w:pPr>
            <w:r w:rsidRPr="003F3F91">
              <w:rPr>
                <w:rFonts w:ascii="Cambria" w:hAnsi="Cambria"/>
              </w:rPr>
              <w:t>Under</w:t>
            </w:r>
            <w:r w:rsidRPr="003F3F91">
              <w:rPr>
                <w:rFonts w:ascii="Cambria" w:hAnsi="Cambria"/>
                <w:spacing w:val="-2"/>
              </w:rPr>
              <w:t xml:space="preserve"> evaluation</w:t>
            </w:r>
            <w:r>
              <w:rPr>
                <w:rFonts w:ascii="Cambria" w:hAnsi="Cambria"/>
                <w:spacing w:val="-2"/>
              </w:rPr>
              <w:t xml:space="preserve"> </w:t>
            </w:r>
            <w:r w:rsidRPr="003F3F91">
              <w:rPr>
                <w:rFonts w:ascii="Cambria" w:hAnsi="Cambria"/>
                <w:spacing w:val="-2"/>
              </w:rPr>
              <w:t xml:space="preserve">(pre-approval </w:t>
            </w:r>
            <w:r w:rsidRPr="003F3F91">
              <w:rPr>
                <w:rFonts w:ascii="Cambria" w:hAnsi="Cambria"/>
              </w:rPr>
              <w:t>received</w:t>
            </w:r>
            <w:r w:rsidRPr="003F3F91">
              <w:rPr>
                <w:rFonts w:ascii="Cambria" w:hAnsi="Cambria"/>
                <w:spacing w:val="-13"/>
              </w:rPr>
              <w:t xml:space="preserve"> </w:t>
            </w:r>
            <w:r w:rsidRPr="003F3F91">
              <w:rPr>
                <w:rFonts w:ascii="Cambria" w:hAnsi="Cambria"/>
              </w:rPr>
              <w:t>22</w:t>
            </w:r>
            <w:r w:rsidRPr="003F3F91">
              <w:rPr>
                <w:rFonts w:ascii="Cambria" w:hAnsi="Cambria"/>
                <w:spacing w:val="-12"/>
              </w:rPr>
              <w:t xml:space="preserve"> </w:t>
            </w:r>
            <w:r w:rsidRPr="003F3F91">
              <w:rPr>
                <w:rFonts w:ascii="Cambria" w:hAnsi="Cambria"/>
              </w:rPr>
              <w:t>Jun</w:t>
            </w:r>
            <w:r>
              <w:rPr>
                <w:rFonts w:ascii="Cambria" w:hAnsi="Cambria"/>
              </w:rPr>
              <w:t xml:space="preserve"> </w:t>
            </w:r>
            <w:r w:rsidRPr="003F3F91">
              <w:rPr>
                <w:rFonts w:ascii="Cambria" w:hAnsi="Cambria"/>
                <w:spacing w:val="-2"/>
              </w:rPr>
              <w:t>2023)</w:t>
            </w:r>
          </w:p>
        </w:tc>
        <w:tc>
          <w:tcPr>
            <w:tcW w:w="1795" w:type="pct"/>
          </w:tcPr>
          <w:p w14:paraId="17C650B8" w14:textId="792CC100"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Applied</w:t>
            </w:r>
            <w:r w:rsidRPr="003F3F91">
              <w:rPr>
                <w:spacing w:val="-4"/>
                <w:szCs w:val="22"/>
              </w:rPr>
              <w:t xml:space="preserve"> </w:t>
            </w:r>
            <w:r w:rsidRPr="003F3F91">
              <w:rPr>
                <w:szCs w:val="22"/>
              </w:rPr>
              <w:t>for</w:t>
            </w:r>
            <w:r w:rsidRPr="003F3F91">
              <w:rPr>
                <w:spacing w:val="-7"/>
                <w:szCs w:val="22"/>
              </w:rPr>
              <w:t xml:space="preserve"> </w:t>
            </w:r>
            <w:r w:rsidRPr="003F3F91">
              <w:rPr>
                <w:szCs w:val="22"/>
              </w:rPr>
              <w:t>use</w:t>
            </w:r>
            <w:r w:rsidRPr="003F3F91">
              <w:rPr>
                <w:spacing w:val="-5"/>
                <w:szCs w:val="22"/>
              </w:rPr>
              <w:t xml:space="preserve"> </w:t>
            </w:r>
            <w:r w:rsidRPr="003F3F91">
              <w:rPr>
                <w:szCs w:val="22"/>
              </w:rPr>
              <w:t>as</w:t>
            </w:r>
            <w:r w:rsidRPr="003F3F91">
              <w:rPr>
                <w:spacing w:val="-6"/>
                <w:szCs w:val="22"/>
              </w:rPr>
              <w:t xml:space="preserve"> </w:t>
            </w:r>
            <w:r w:rsidRPr="003F3F91">
              <w:rPr>
                <w:szCs w:val="22"/>
              </w:rPr>
              <w:t>a</w:t>
            </w:r>
            <w:r w:rsidRPr="003F3F91">
              <w:rPr>
                <w:spacing w:val="-5"/>
                <w:szCs w:val="22"/>
              </w:rPr>
              <w:t xml:space="preserve"> </w:t>
            </w:r>
            <w:r w:rsidRPr="003F3F91">
              <w:rPr>
                <w:szCs w:val="22"/>
              </w:rPr>
              <w:t>booster</w:t>
            </w:r>
            <w:r w:rsidRPr="003F3F91">
              <w:rPr>
                <w:spacing w:val="-2"/>
                <w:szCs w:val="22"/>
              </w:rPr>
              <w:t xml:space="preserve"> </w:t>
            </w:r>
            <w:r w:rsidRPr="003F3F91">
              <w:rPr>
                <w:szCs w:val="22"/>
              </w:rPr>
              <w:t>dose</w:t>
            </w:r>
            <w:r w:rsidRPr="003F3F91">
              <w:rPr>
                <w:spacing w:val="-5"/>
                <w:szCs w:val="22"/>
              </w:rPr>
              <w:t xml:space="preserve"> </w:t>
            </w:r>
            <w:r w:rsidRPr="003F3F91">
              <w:rPr>
                <w:szCs w:val="22"/>
              </w:rPr>
              <w:t>and</w:t>
            </w:r>
            <w:r w:rsidRPr="003F3F91">
              <w:rPr>
                <w:spacing w:val="-4"/>
                <w:szCs w:val="22"/>
              </w:rPr>
              <w:t xml:space="preserve"> </w:t>
            </w:r>
            <w:r w:rsidRPr="003F3F91">
              <w:rPr>
                <w:szCs w:val="22"/>
              </w:rPr>
              <w:t>in primary course.</w:t>
            </w:r>
          </w:p>
        </w:tc>
      </w:tr>
      <w:tr w:rsidR="003F3F91" w:rsidRPr="003F3F91" w14:paraId="32A510E7"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D010A01" w14:textId="44F52179" w:rsidR="003F3F91" w:rsidRPr="003F3F91" w:rsidRDefault="003F3F91" w:rsidP="003F3F91">
            <w:pPr>
              <w:rPr>
                <w:szCs w:val="22"/>
              </w:rPr>
            </w:pPr>
            <w:r w:rsidRPr="003F3F91">
              <w:rPr>
                <w:spacing w:val="-2"/>
                <w:szCs w:val="22"/>
              </w:rPr>
              <w:t>Canada</w:t>
            </w:r>
          </w:p>
        </w:tc>
        <w:tc>
          <w:tcPr>
            <w:tcW w:w="1018" w:type="pct"/>
          </w:tcPr>
          <w:p w14:paraId="6BE98E6B" w14:textId="0B11FE32"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24</w:t>
            </w:r>
            <w:r w:rsidRPr="003F3F91">
              <w:rPr>
                <w:spacing w:val="-2"/>
                <w:szCs w:val="22"/>
              </w:rPr>
              <w:t xml:space="preserve"> </w:t>
            </w:r>
            <w:r w:rsidRPr="003F3F91">
              <w:rPr>
                <w:szCs w:val="22"/>
              </w:rPr>
              <w:t>May</w:t>
            </w:r>
            <w:r w:rsidRPr="003F3F91">
              <w:rPr>
                <w:spacing w:val="-3"/>
                <w:szCs w:val="22"/>
              </w:rPr>
              <w:t xml:space="preserve"> </w:t>
            </w:r>
            <w:r w:rsidRPr="003F3F91">
              <w:rPr>
                <w:spacing w:val="-4"/>
                <w:szCs w:val="22"/>
              </w:rPr>
              <w:t>2023</w:t>
            </w:r>
          </w:p>
        </w:tc>
        <w:tc>
          <w:tcPr>
            <w:tcW w:w="1173" w:type="pct"/>
          </w:tcPr>
          <w:p w14:paraId="7A0998B4" w14:textId="4C517278" w:rsidR="003F3F91" w:rsidRPr="003F3F91" w:rsidRDefault="003F3F91" w:rsidP="003F3F91">
            <w:pPr>
              <w:ind w:left="0"/>
              <w:cnfStyle w:val="000000000000" w:firstRow="0" w:lastRow="0" w:firstColumn="0" w:lastColumn="0" w:oddVBand="0" w:evenVBand="0" w:oddHBand="0" w:evenHBand="0" w:firstRowFirstColumn="0" w:firstRowLastColumn="0" w:lastRowFirstColumn="0" w:lastRowLastColumn="0"/>
              <w:rPr>
                <w:szCs w:val="22"/>
              </w:rPr>
            </w:pPr>
            <w:r w:rsidRPr="003F3F91">
              <w:rPr>
                <w:szCs w:val="22"/>
              </w:rPr>
              <w:t>Under</w:t>
            </w:r>
            <w:r w:rsidRPr="003F3F91">
              <w:rPr>
                <w:spacing w:val="-2"/>
                <w:szCs w:val="22"/>
              </w:rPr>
              <w:t xml:space="preserve"> evaluation</w:t>
            </w:r>
          </w:p>
        </w:tc>
        <w:tc>
          <w:tcPr>
            <w:tcW w:w="1795" w:type="pct"/>
          </w:tcPr>
          <w:p w14:paraId="5D3418B7" w14:textId="6BA1492C"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Applied</w:t>
            </w:r>
            <w:r w:rsidRPr="003F3F91">
              <w:rPr>
                <w:spacing w:val="-4"/>
                <w:szCs w:val="22"/>
              </w:rPr>
              <w:t xml:space="preserve"> </w:t>
            </w:r>
            <w:r w:rsidRPr="003F3F91">
              <w:rPr>
                <w:szCs w:val="22"/>
              </w:rPr>
              <w:t>for</w:t>
            </w:r>
            <w:r w:rsidRPr="003F3F91">
              <w:rPr>
                <w:spacing w:val="-7"/>
                <w:szCs w:val="22"/>
              </w:rPr>
              <w:t xml:space="preserve"> </w:t>
            </w:r>
            <w:r w:rsidRPr="003F3F91">
              <w:rPr>
                <w:szCs w:val="22"/>
              </w:rPr>
              <w:t>use</w:t>
            </w:r>
            <w:r w:rsidRPr="003F3F91">
              <w:rPr>
                <w:spacing w:val="-5"/>
                <w:szCs w:val="22"/>
              </w:rPr>
              <w:t xml:space="preserve"> </w:t>
            </w:r>
            <w:r w:rsidRPr="003F3F91">
              <w:rPr>
                <w:szCs w:val="22"/>
              </w:rPr>
              <w:t>as</w:t>
            </w:r>
            <w:r w:rsidRPr="003F3F91">
              <w:rPr>
                <w:spacing w:val="-6"/>
                <w:szCs w:val="22"/>
              </w:rPr>
              <w:t xml:space="preserve"> </w:t>
            </w:r>
            <w:r w:rsidRPr="003F3F91">
              <w:rPr>
                <w:szCs w:val="22"/>
              </w:rPr>
              <w:t>a</w:t>
            </w:r>
            <w:r w:rsidRPr="003F3F91">
              <w:rPr>
                <w:spacing w:val="-5"/>
                <w:szCs w:val="22"/>
              </w:rPr>
              <w:t xml:space="preserve"> </w:t>
            </w:r>
            <w:r w:rsidRPr="003F3F91">
              <w:rPr>
                <w:szCs w:val="22"/>
              </w:rPr>
              <w:t>booster</w:t>
            </w:r>
            <w:r w:rsidRPr="003F3F91">
              <w:rPr>
                <w:spacing w:val="-4"/>
                <w:szCs w:val="22"/>
              </w:rPr>
              <w:t xml:space="preserve"> </w:t>
            </w:r>
            <w:r w:rsidRPr="003F3F91">
              <w:rPr>
                <w:szCs w:val="22"/>
              </w:rPr>
              <w:t>dose</w:t>
            </w:r>
            <w:r w:rsidRPr="003F3F91">
              <w:rPr>
                <w:spacing w:val="-5"/>
                <w:szCs w:val="22"/>
              </w:rPr>
              <w:t xml:space="preserve"> </w:t>
            </w:r>
            <w:r w:rsidRPr="003F3F91">
              <w:rPr>
                <w:szCs w:val="22"/>
              </w:rPr>
              <w:t>and</w:t>
            </w:r>
            <w:r w:rsidRPr="003F3F91">
              <w:rPr>
                <w:spacing w:val="-4"/>
                <w:szCs w:val="22"/>
              </w:rPr>
              <w:t xml:space="preserve"> </w:t>
            </w:r>
            <w:r w:rsidRPr="003F3F91">
              <w:rPr>
                <w:szCs w:val="22"/>
              </w:rPr>
              <w:t>in primary course.</w:t>
            </w:r>
          </w:p>
        </w:tc>
      </w:tr>
      <w:tr w:rsidR="003F3F91" w:rsidRPr="003F3F91" w14:paraId="7644DDE7"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D65ABE7" w14:textId="25810630" w:rsidR="003F3F91" w:rsidRPr="003F3F91" w:rsidRDefault="003F3F91" w:rsidP="003F3F91">
            <w:pPr>
              <w:rPr>
                <w:szCs w:val="22"/>
              </w:rPr>
            </w:pPr>
            <w:r w:rsidRPr="003F3F91">
              <w:rPr>
                <w:szCs w:val="22"/>
              </w:rPr>
              <w:t>New</w:t>
            </w:r>
            <w:r w:rsidRPr="003F3F91">
              <w:rPr>
                <w:spacing w:val="-4"/>
                <w:szCs w:val="22"/>
              </w:rPr>
              <w:t xml:space="preserve"> </w:t>
            </w:r>
            <w:r w:rsidRPr="003F3F91">
              <w:rPr>
                <w:spacing w:val="-2"/>
                <w:szCs w:val="22"/>
              </w:rPr>
              <w:t>Zealand</w:t>
            </w:r>
          </w:p>
        </w:tc>
        <w:tc>
          <w:tcPr>
            <w:tcW w:w="1018" w:type="pct"/>
          </w:tcPr>
          <w:p w14:paraId="008092B7" w14:textId="61D713D0"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In</w:t>
            </w:r>
            <w:r w:rsidRPr="003F3F91">
              <w:rPr>
                <w:spacing w:val="-1"/>
                <w:szCs w:val="22"/>
              </w:rPr>
              <w:t xml:space="preserve"> </w:t>
            </w:r>
            <w:r w:rsidRPr="003F3F91">
              <w:rPr>
                <w:spacing w:val="-2"/>
                <w:szCs w:val="22"/>
              </w:rPr>
              <w:t>planning</w:t>
            </w:r>
          </w:p>
        </w:tc>
        <w:tc>
          <w:tcPr>
            <w:tcW w:w="1173" w:type="pct"/>
          </w:tcPr>
          <w:p w14:paraId="5F892921" w14:textId="77777777"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p>
        </w:tc>
        <w:tc>
          <w:tcPr>
            <w:tcW w:w="1795" w:type="pct"/>
          </w:tcPr>
          <w:p w14:paraId="2BFBCF1A" w14:textId="131FEB21"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pacing w:val="-10"/>
                <w:szCs w:val="22"/>
              </w:rPr>
              <w:t>-</w:t>
            </w:r>
          </w:p>
        </w:tc>
      </w:tr>
      <w:tr w:rsidR="003F3F91" w:rsidRPr="003F3F91" w14:paraId="4DAD687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B01CF5E" w14:textId="4A8C1F4A" w:rsidR="003F3F91" w:rsidRPr="003F3F91" w:rsidRDefault="003F3F91" w:rsidP="003F3F91">
            <w:pPr>
              <w:rPr>
                <w:szCs w:val="22"/>
              </w:rPr>
            </w:pPr>
            <w:r w:rsidRPr="003F3F91">
              <w:rPr>
                <w:spacing w:val="-2"/>
                <w:szCs w:val="22"/>
              </w:rPr>
              <w:t>Singapore</w:t>
            </w:r>
          </w:p>
        </w:tc>
        <w:tc>
          <w:tcPr>
            <w:tcW w:w="1018" w:type="pct"/>
          </w:tcPr>
          <w:p w14:paraId="1F7D2B15" w14:textId="7C992C9A"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In</w:t>
            </w:r>
            <w:r w:rsidRPr="003F3F91">
              <w:rPr>
                <w:spacing w:val="-1"/>
                <w:szCs w:val="22"/>
              </w:rPr>
              <w:t xml:space="preserve"> </w:t>
            </w:r>
            <w:r w:rsidRPr="003F3F91">
              <w:rPr>
                <w:spacing w:val="-2"/>
                <w:szCs w:val="22"/>
              </w:rPr>
              <w:t>planning</w:t>
            </w:r>
          </w:p>
        </w:tc>
        <w:tc>
          <w:tcPr>
            <w:tcW w:w="1173" w:type="pct"/>
          </w:tcPr>
          <w:p w14:paraId="1FEA879E" w14:textId="77777777"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p>
        </w:tc>
        <w:tc>
          <w:tcPr>
            <w:tcW w:w="1795" w:type="pct"/>
          </w:tcPr>
          <w:p w14:paraId="03617AB7" w14:textId="1B50FE2B"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pacing w:val="-10"/>
                <w:szCs w:val="22"/>
              </w:rPr>
              <w:t>-</w:t>
            </w:r>
          </w:p>
        </w:tc>
      </w:tr>
      <w:tr w:rsidR="003F3F91" w:rsidRPr="003F3F91" w14:paraId="656C0F9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08C861A" w14:textId="0D337298" w:rsidR="003F3F91" w:rsidRPr="003F3F91" w:rsidRDefault="003F3F91" w:rsidP="003F3F91">
            <w:pPr>
              <w:rPr>
                <w:szCs w:val="22"/>
              </w:rPr>
            </w:pPr>
            <w:r w:rsidRPr="003F3F91">
              <w:rPr>
                <w:spacing w:val="-2"/>
                <w:szCs w:val="22"/>
              </w:rPr>
              <w:t>Switzerland</w:t>
            </w:r>
          </w:p>
        </w:tc>
        <w:tc>
          <w:tcPr>
            <w:tcW w:w="1018" w:type="pct"/>
          </w:tcPr>
          <w:p w14:paraId="7A015F1F" w14:textId="09BFE2D3"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zCs w:val="22"/>
              </w:rPr>
              <w:t>In</w:t>
            </w:r>
            <w:r w:rsidRPr="003F3F91">
              <w:rPr>
                <w:spacing w:val="-1"/>
                <w:szCs w:val="22"/>
              </w:rPr>
              <w:t xml:space="preserve"> </w:t>
            </w:r>
            <w:r w:rsidRPr="003F3F91">
              <w:rPr>
                <w:spacing w:val="-2"/>
                <w:szCs w:val="22"/>
              </w:rPr>
              <w:t>planning</w:t>
            </w:r>
          </w:p>
        </w:tc>
        <w:tc>
          <w:tcPr>
            <w:tcW w:w="1173" w:type="pct"/>
          </w:tcPr>
          <w:p w14:paraId="21AB13A3" w14:textId="77777777"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p>
        </w:tc>
        <w:tc>
          <w:tcPr>
            <w:tcW w:w="1795" w:type="pct"/>
          </w:tcPr>
          <w:p w14:paraId="3B1D12EE" w14:textId="216D7592" w:rsidR="003F3F91" w:rsidRPr="003F3F91" w:rsidRDefault="003F3F91" w:rsidP="003F3F91">
            <w:pPr>
              <w:cnfStyle w:val="000000000000" w:firstRow="0" w:lastRow="0" w:firstColumn="0" w:lastColumn="0" w:oddVBand="0" w:evenVBand="0" w:oddHBand="0" w:evenHBand="0" w:firstRowFirstColumn="0" w:firstRowLastColumn="0" w:lastRowFirstColumn="0" w:lastRowLastColumn="0"/>
              <w:rPr>
                <w:szCs w:val="22"/>
              </w:rPr>
            </w:pPr>
            <w:r w:rsidRPr="003F3F91">
              <w:rPr>
                <w:spacing w:val="-10"/>
                <w:szCs w:val="22"/>
              </w:rPr>
              <w:t>-</w:t>
            </w:r>
          </w:p>
        </w:tc>
      </w:tr>
    </w:tbl>
    <w:p w14:paraId="6D92589C" w14:textId="607A3E6F" w:rsidR="00324B33" w:rsidRDefault="00324B33" w:rsidP="009E3553">
      <w:pPr>
        <w:pStyle w:val="Heading3"/>
      </w:pPr>
      <w:bookmarkStart w:id="17" w:name="_Toc504480011"/>
      <w:bookmarkStart w:id="18" w:name="_Toc103679293"/>
      <w:bookmarkStart w:id="19" w:name="_Toc177995411"/>
      <w:r>
        <w:t>Registration timeline</w:t>
      </w:r>
      <w:bookmarkEnd w:id="17"/>
      <w:bookmarkEnd w:id="18"/>
      <w:bookmarkEnd w:id="1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B885475" w14:textId="5615DD12" w:rsidR="00535DFE" w:rsidRDefault="00535DFE" w:rsidP="00324B33">
      <w:pPr>
        <w:rPr>
          <w:szCs w:val="22"/>
        </w:rPr>
      </w:pPr>
      <w:r w:rsidRPr="00BD5DBD">
        <w:rPr>
          <w:szCs w:val="22"/>
        </w:rPr>
        <w:t xml:space="preserve">This submission was evaluated under the </w:t>
      </w:r>
      <w:hyperlink r:id="rId28" w:history="1">
        <w:r w:rsidRPr="00BD5DBD">
          <w:rPr>
            <w:rStyle w:val="Hyperlink"/>
            <w:szCs w:val="22"/>
          </w:rPr>
          <w:t>provisional registration process</w:t>
        </w:r>
      </w:hyperlink>
      <w:r w:rsidRPr="00BD5DBD">
        <w:rPr>
          <w:szCs w:val="22"/>
        </w:rPr>
        <w:t>.</w:t>
      </w:r>
    </w:p>
    <w:p w14:paraId="44628C5F" w14:textId="45015F7A" w:rsidR="00324B33" w:rsidRDefault="00324B33" w:rsidP="00E916BB">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xml:space="preserve">: Timeline for </w:t>
      </w:r>
      <w:r w:rsidR="00E916BB">
        <w:t>Comirnaty original/omicron BA.4-(tozinameran /famtozinameran) COVID-19 Vaccine s</w:t>
      </w:r>
      <w:r w:rsidRPr="002C1232">
        <w:t xml:space="preserve">ubmission </w:t>
      </w:r>
      <w:r w:rsidR="00E916BB" w:rsidRPr="00E916BB">
        <w:t>PM-2023-03314-1-2</w:t>
      </w:r>
    </w:p>
    <w:tbl>
      <w:tblPr>
        <w:tblStyle w:val="TableTGAblue2023"/>
        <w:tblW w:w="8642" w:type="dxa"/>
        <w:tblLook w:val="04A0" w:firstRow="1" w:lastRow="0" w:firstColumn="1" w:lastColumn="0" w:noHBand="0" w:noVBand="1"/>
      </w:tblPr>
      <w:tblGrid>
        <w:gridCol w:w="6232"/>
        <w:gridCol w:w="2410"/>
      </w:tblGrid>
      <w:tr w:rsidR="00324B33" w:rsidRPr="00D01DDB" w14:paraId="1398460B" w14:textId="77777777" w:rsidTr="008253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106CC1E" w14:textId="1C227B65" w:rsidR="00324B33" w:rsidRPr="00E679D1" w:rsidRDefault="004B5643" w:rsidP="00E679D1">
            <w:r>
              <w:t>Step/Stage</w:t>
            </w:r>
          </w:p>
        </w:tc>
        <w:tc>
          <w:tcPr>
            <w:tcW w:w="2410" w:type="dxa"/>
          </w:tcPr>
          <w:p w14:paraId="4CD143CF" w14:textId="404742D3" w:rsidR="00324B33" w:rsidRPr="00D01DDB" w:rsidRDefault="004B5643" w:rsidP="00324B33">
            <w:pPr>
              <w:cnfStyle w:val="100000000000" w:firstRow="1" w:lastRow="0" w:firstColumn="0" w:lastColumn="0" w:oddVBand="0" w:evenVBand="0" w:oddHBand="0" w:evenHBand="0" w:firstRowFirstColumn="0" w:firstRowLastColumn="0" w:lastRowFirstColumn="0" w:lastRowLastColumn="0"/>
              <w:rPr>
                <w:szCs w:val="22"/>
              </w:rPr>
            </w:pPr>
            <w:r>
              <w:rPr>
                <w:szCs w:val="22"/>
              </w:rPr>
              <w:t>Date</w:t>
            </w:r>
          </w:p>
        </w:tc>
      </w:tr>
      <w:tr w:rsidR="00324B33" w:rsidRPr="00D01DDB" w14:paraId="23610C53"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2C7264D5" w:rsidR="00324B33" w:rsidRPr="00D01DDB" w:rsidRDefault="00C44D2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16 August 2023</w:t>
            </w:r>
          </w:p>
        </w:tc>
      </w:tr>
      <w:tr w:rsidR="00324B33" w:rsidRPr="00D01DDB" w14:paraId="767E33A4"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4AFC5B50" w14:textId="224AF283" w:rsidR="00324B33" w:rsidRPr="00E679D1" w:rsidRDefault="00D9340C" w:rsidP="00E679D1">
            <w:r>
              <w:t>E</w:t>
            </w:r>
            <w:r w:rsidR="00324B33" w:rsidRPr="00E679D1">
              <w:t>valuation completed</w:t>
            </w:r>
          </w:p>
        </w:tc>
        <w:tc>
          <w:tcPr>
            <w:tcW w:w="2410" w:type="dxa"/>
          </w:tcPr>
          <w:p w14:paraId="4E47DF62" w14:textId="5648354D" w:rsidR="00324B33" w:rsidRPr="00D01DDB" w:rsidRDefault="00544C7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March 2024</w:t>
            </w:r>
          </w:p>
        </w:tc>
      </w:tr>
      <w:tr w:rsidR="00324B33" w:rsidRPr="00D01DDB" w14:paraId="302FCB45"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716E9DC1" w14:textId="687B311C" w:rsidR="00324B33" w:rsidRPr="00D01DDB" w:rsidRDefault="005A4939" w:rsidP="00324B33">
            <w:pPr>
              <w:rPr>
                <w:szCs w:val="22"/>
              </w:rPr>
            </w:pPr>
            <w:r>
              <w:rPr>
                <w:szCs w:val="22"/>
              </w:rPr>
              <w:t>Delegate</w:t>
            </w:r>
            <w:r w:rsidR="00324B33" w:rsidRPr="00D01DDB">
              <w:rPr>
                <w:szCs w:val="22"/>
              </w:rPr>
              <w:t>’s</w:t>
            </w:r>
            <w:r w:rsidR="00500D68">
              <w:rPr>
                <w:rStyle w:val="FootnoteReference"/>
                <w:szCs w:val="22"/>
              </w:rPr>
              <w:footnoteReference w:id="8"/>
            </w:r>
            <w:r w:rsidR="00324B33" w:rsidRPr="00D01DDB">
              <w:rPr>
                <w:szCs w:val="22"/>
              </w:rPr>
              <w:t xml:space="preserve"> Overall benefit-risk assessment</w:t>
            </w:r>
            <w:r w:rsidR="00324B33" w:rsidRPr="00C44D22">
              <w:rPr>
                <w:color w:val="000000" w:themeColor="text1"/>
                <w:szCs w:val="22"/>
              </w:rPr>
              <w:t xml:space="preserve"> </w:t>
            </w:r>
          </w:p>
        </w:tc>
        <w:tc>
          <w:tcPr>
            <w:tcW w:w="2410" w:type="dxa"/>
          </w:tcPr>
          <w:p w14:paraId="3BA6EF79" w14:textId="1B67E18C" w:rsidR="00324B33" w:rsidRPr="00D01DDB" w:rsidRDefault="002607A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8 April 2024</w:t>
            </w:r>
          </w:p>
        </w:tc>
      </w:tr>
      <w:tr w:rsidR="00324B33" w:rsidRPr="00D01DDB" w14:paraId="6E5D32FE"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1E0616A6" w:rsidR="00324B33" w:rsidRPr="00D01DDB" w:rsidRDefault="0003485E" w:rsidP="00324B33">
            <w:pPr>
              <w:cnfStyle w:val="000000000000" w:firstRow="0" w:lastRow="0" w:firstColumn="0" w:lastColumn="0" w:oddVBand="0" w:evenVBand="0" w:oddHBand="0" w:evenHBand="0" w:firstRowFirstColumn="0" w:firstRowLastColumn="0" w:lastRowFirstColumn="0" w:lastRowLastColumn="0"/>
              <w:rPr>
                <w:szCs w:val="22"/>
              </w:rPr>
            </w:pPr>
            <w:r w:rsidRPr="0003485E">
              <w:rPr>
                <w:szCs w:val="22"/>
              </w:rPr>
              <w:t>9 May 2024</w:t>
            </w:r>
          </w:p>
        </w:tc>
      </w:tr>
      <w:tr w:rsidR="00324B33" w:rsidRPr="00D01DDB" w14:paraId="6DDCDDA4"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192FD19D" w14:textId="38C0F35C" w:rsidR="00324B33" w:rsidRPr="00E679D1" w:rsidRDefault="00B80D2A" w:rsidP="00E679D1">
            <w:r w:rsidRPr="00B80D2A">
              <w:t>Registration in the ARTG</w:t>
            </w:r>
          </w:p>
        </w:tc>
        <w:tc>
          <w:tcPr>
            <w:tcW w:w="2410" w:type="dxa"/>
          </w:tcPr>
          <w:p w14:paraId="5A8923FD" w14:textId="71A3692D" w:rsidR="00324B33" w:rsidRPr="00D01DDB" w:rsidRDefault="000348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14 May 2024</w:t>
            </w:r>
          </w:p>
        </w:tc>
      </w:tr>
      <w:tr w:rsidR="00324B33" w:rsidRPr="00D01DDB" w14:paraId="56D922E2" w14:textId="77777777" w:rsidTr="00825373">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51F8CDB7" w:rsidR="00324B33" w:rsidRPr="00D01DDB" w:rsidRDefault="006B4432"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188</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13E1195" w:rsidR="00C22214" w:rsidRPr="00792A32" w:rsidRDefault="003F4E79" w:rsidP="00C22214">
      <w:pPr>
        <w:pStyle w:val="Heading2"/>
      </w:pPr>
      <w:bookmarkStart w:id="20" w:name="_Toc196046504"/>
      <w:bookmarkStart w:id="21" w:name="_Toc247691527"/>
      <w:bookmarkStart w:id="22" w:name="_Toc314842510"/>
      <w:bookmarkStart w:id="23" w:name="_Toc103679294"/>
      <w:bookmarkStart w:id="24" w:name="_Toc177995412"/>
      <w:r>
        <w:t>Evaluation</w:t>
      </w:r>
      <w:r w:rsidR="00C22214" w:rsidRPr="00006FAB">
        <w:t xml:space="preserve"> overview</w:t>
      </w:r>
      <w:bookmarkEnd w:id="24"/>
      <w:r w:rsidR="00C22214" w:rsidRPr="00006FAB">
        <w:t xml:space="preserve"> </w:t>
      </w:r>
      <w:bookmarkEnd w:id="20"/>
      <w:bookmarkEnd w:id="21"/>
      <w:bookmarkEnd w:id="22"/>
      <w:bookmarkEnd w:id="23"/>
    </w:p>
    <w:p w14:paraId="35B580A5" w14:textId="3ABD1DF1" w:rsidR="00C22214" w:rsidRDefault="00C22214" w:rsidP="008804CF">
      <w:pPr>
        <w:pStyle w:val="Heading3"/>
      </w:pPr>
      <w:bookmarkStart w:id="25" w:name="_Toc247691530"/>
      <w:bookmarkStart w:id="26" w:name="_Toc314842513"/>
      <w:bookmarkStart w:id="27" w:name="_Toc103679297"/>
      <w:bookmarkStart w:id="28" w:name="_Toc177995413"/>
      <w:r>
        <w:t>Clinical</w:t>
      </w:r>
      <w:bookmarkEnd w:id="25"/>
      <w:bookmarkEnd w:id="26"/>
      <w:bookmarkEnd w:id="27"/>
      <w:r w:rsidR="00F956CF">
        <w:t xml:space="preserve"> </w:t>
      </w:r>
      <w:r w:rsidR="00F956CF" w:rsidRPr="00F956CF">
        <w:t>evaluation summary</w:t>
      </w:r>
      <w:bookmarkEnd w:id="28"/>
    </w:p>
    <w:p w14:paraId="59F56CEC" w14:textId="471CF416" w:rsidR="001027AB" w:rsidRPr="001027AB" w:rsidRDefault="001027AB" w:rsidP="007F77E9">
      <w:r w:rsidRPr="001027AB">
        <w:t>The clinical dossier comprises an interim report of Study C4591048 (Substudy B - Group 2) i.e. immunogenicity results of 4</w:t>
      </w:r>
      <w:r w:rsidRPr="001027AB">
        <w:rPr>
          <w:vertAlign w:val="superscript"/>
        </w:rPr>
        <w:t>th</w:t>
      </w:r>
      <w:r w:rsidRPr="001027AB">
        <w:t xml:space="preserve"> dose of the Bivalent BA.4-5 (1.5/1.5) vaccine </w:t>
      </w:r>
      <w:r w:rsidRPr="001027AB">
        <w:rPr>
          <w:lang w:val="en-US"/>
        </w:rPr>
        <w:t>in participants 6 months to 4 years of age (&lt;5 years of age).</w:t>
      </w:r>
      <w:r w:rsidRPr="001027AB">
        <w:t xml:space="preserve"> </w:t>
      </w:r>
      <w:r w:rsidR="00D12D32">
        <w:rPr>
          <w:lang w:val="en-US"/>
        </w:rPr>
        <w:t>R</w:t>
      </w:r>
      <w:r w:rsidRPr="001027AB">
        <w:rPr>
          <w:lang w:val="en-US"/>
        </w:rPr>
        <w:t>esults of the first 3 doses of the Bivalent BA.4-5 (1.5/1.5) vaccine (‘primary series’) in these participants were not included in this interim report.</w:t>
      </w:r>
    </w:p>
    <w:p w14:paraId="28A46687" w14:textId="01D620B0" w:rsidR="00521407" w:rsidRPr="00521407" w:rsidRDefault="00796E9D" w:rsidP="007F4647">
      <w:pPr>
        <w:pStyle w:val="Heading4"/>
      </w:pPr>
      <w:bookmarkStart w:id="29" w:name="_Toc177995414"/>
      <w:r>
        <w:t>Efficacy</w:t>
      </w:r>
      <w:bookmarkEnd w:id="29"/>
    </w:p>
    <w:p w14:paraId="45FE19AA" w14:textId="3C5F0F34" w:rsidR="00521407" w:rsidRDefault="00521407" w:rsidP="007F77E9">
      <w:r w:rsidRPr="00521407">
        <w:t>The Study C4591048 is</w:t>
      </w:r>
      <w:r w:rsidR="003C30E8">
        <w:t xml:space="preserve"> an a</w:t>
      </w:r>
      <w:r w:rsidRPr="00521407">
        <w:t>ssessment of immunogenicity of the Bivalent BA.4-5 vaccine in healthy children. The study comprises 4 substudies (A, B, C and D).</w:t>
      </w:r>
      <w:r w:rsidR="00CB662C">
        <w:t xml:space="preserve"> </w:t>
      </w:r>
      <w:r w:rsidRPr="00521407">
        <w:t>Substudy B was an open label design for assessment of immunogenicity of a 3</w:t>
      </w:r>
      <w:r w:rsidRPr="00521407">
        <w:rPr>
          <w:vertAlign w:val="superscript"/>
        </w:rPr>
        <w:t>rd</w:t>
      </w:r>
      <w:r w:rsidRPr="00521407">
        <w:t xml:space="preserve"> (Group 1) or 4</w:t>
      </w:r>
      <w:r w:rsidRPr="00521407">
        <w:rPr>
          <w:vertAlign w:val="superscript"/>
        </w:rPr>
        <w:t>th</w:t>
      </w:r>
      <w:r w:rsidRPr="00521407">
        <w:t xml:space="preserve"> (Group 2) dose of Bivalent BA.4-5 (1.5μg /1.5μg) vaccine. The overall structure of Substudy B/Group 2,</w:t>
      </w:r>
      <w:r w:rsidRPr="00521407">
        <w:rPr>
          <w:b/>
          <w:bCs/>
        </w:rPr>
        <w:t xml:space="preserve"> </w:t>
      </w:r>
      <w:r w:rsidRPr="00521407">
        <w:t xml:space="preserve">with participants ≥6 months to 4 years of age (&lt;5 years) who received </w:t>
      </w:r>
      <w:r w:rsidR="004019E6">
        <w:t xml:space="preserve">a </w:t>
      </w:r>
      <w:r w:rsidRPr="00521407">
        <w:t>4</w:t>
      </w:r>
      <w:r w:rsidRPr="00521407">
        <w:rPr>
          <w:vertAlign w:val="superscript"/>
        </w:rPr>
        <w:t>th</w:t>
      </w:r>
      <w:r w:rsidRPr="00521407">
        <w:t xml:space="preserve"> dose of the Bivalent BA.4-5 (1.5/1.5) after having received 3 prior doses of the same vaccine</w:t>
      </w:r>
      <w:r w:rsidR="00D924D7">
        <w:t xml:space="preserve"> is shown </w:t>
      </w:r>
      <w:r w:rsidR="001D561A">
        <w:t>i</w:t>
      </w:r>
      <w:r w:rsidR="00D924D7">
        <w:t>n Table 3.</w:t>
      </w:r>
    </w:p>
    <w:p w14:paraId="1F63390F" w14:textId="61FDC386" w:rsidR="00D924D7" w:rsidRPr="00521407" w:rsidRDefault="00D924D7" w:rsidP="00F0468E">
      <w:pPr>
        <w:pStyle w:val="TableTitle"/>
      </w:pPr>
      <w:r>
        <w:t xml:space="preserve">Table 3. </w:t>
      </w:r>
      <w:r w:rsidR="00CB662C">
        <w:t xml:space="preserve">Substudy B, which included groups </w:t>
      </w:r>
      <w:r w:rsidR="00F0468E">
        <w:t xml:space="preserve">administered </w:t>
      </w:r>
      <w:r w:rsidR="00CB662C" w:rsidRPr="00CB662C">
        <w:t>3</w:t>
      </w:r>
      <w:r w:rsidR="00F0468E">
        <w:t xml:space="preserve"> </w:t>
      </w:r>
      <w:r w:rsidR="00CB662C" w:rsidRPr="00CB662C">
        <w:t>(Group 1) or 4</w:t>
      </w:r>
      <w:r w:rsidR="00F0468E">
        <w:t xml:space="preserve"> </w:t>
      </w:r>
      <w:r w:rsidR="00CB662C" w:rsidRPr="00CB662C">
        <w:t>(Group 2) dose</w:t>
      </w:r>
      <w:r w:rsidR="00F0468E">
        <w:t>s</w:t>
      </w:r>
      <w:r w:rsidR="00CB662C" w:rsidRPr="00CB662C">
        <w:t xml:space="preserve"> of Bivalent BA.4-5 (1.5μg /1.5μg) vaccine</w:t>
      </w:r>
      <w:r w:rsidR="00F0468E">
        <w:t xml:space="preserve">. </w:t>
      </w:r>
    </w:p>
    <w:p w14:paraId="402B79AE" w14:textId="36CF8A0E" w:rsidR="00521407" w:rsidRP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6066725A" wp14:editId="0FAB58C6">
            <wp:extent cx="5664296" cy="2373086"/>
            <wp:effectExtent l="0" t="0" r="0" b="8255"/>
            <wp:docPr id="1047114538" name="Picture 14" descr="A close-up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14538" name="Picture 14" descr="A close-up of a medical repo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8403" cy="2378996"/>
                    </a:xfrm>
                    <a:prstGeom prst="rect">
                      <a:avLst/>
                    </a:prstGeom>
                    <a:noFill/>
                    <a:ln>
                      <a:noFill/>
                    </a:ln>
                  </pic:spPr>
                </pic:pic>
              </a:graphicData>
            </a:graphic>
          </wp:inline>
        </w:drawing>
      </w:r>
    </w:p>
    <w:p w14:paraId="5EE7E9C4" w14:textId="77777777" w:rsidR="00521407" w:rsidRPr="00521407" w:rsidRDefault="00521407" w:rsidP="007F77E9">
      <w:r w:rsidRPr="00521407">
        <w:t>In Group 2, ≈300 participants ≥6 months to &lt;5 years of age, who had received 3 prior doses of BNT162b2 at 3μg with their last dose at 60 to 240 days prior to enrolment, were enrolled and received 1 dose (fourth) of the Bivalent BA.4-5 (1.5/1.5). The enrolment was stratified by age, such that approximately 30% participants were in ≥6 months to &lt;2 years of age range and approximately 70% participants were in ≥2 years to &lt;5 years of age range.</w:t>
      </w:r>
    </w:p>
    <w:p w14:paraId="01FFF114" w14:textId="77777777" w:rsidR="00521407" w:rsidRPr="00521407" w:rsidRDefault="00521407" w:rsidP="007F77E9">
      <w:r w:rsidRPr="00521407">
        <w:t>A subset of participants from a separate study C4591007 who had received 3 doses of BNT162b2 3μg (original monovalent tozinameran formulation) were used as non-concurrent controls.</w:t>
      </w:r>
    </w:p>
    <w:p w14:paraId="52D03CD1" w14:textId="77777777" w:rsidR="00521407" w:rsidRPr="00521407" w:rsidRDefault="00521407" w:rsidP="007F77E9">
      <w:r w:rsidRPr="00521407">
        <w:t>The participants in Study C4591048/Substudy B/Group 2 received Dose 4 with Bivalent BA.4-5 (1.5/1.5) in September 2022 through February 2023 whereas the participants in the non-concurrent control group from Study C4591007 received Dose 3 of original monovalent BNT162b2 in February through July 2022.</w:t>
      </w:r>
    </w:p>
    <w:p w14:paraId="19BA12BE" w14:textId="77777777" w:rsidR="00521407" w:rsidRPr="00521407" w:rsidRDefault="00521407" w:rsidP="007F77E9">
      <w:r w:rsidRPr="00521407">
        <w:t>The controls were matched for age, past infection status and time since the last dose of BNT162b2.</w:t>
      </w:r>
    </w:p>
    <w:p w14:paraId="126DD453" w14:textId="620B0F04" w:rsidR="00521407" w:rsidRDefault="00521407" w:rsidP="007F77E9">
      <w:r w:rsidRPr="00521407">
        <w:t xml:space="preserve">At Baseline, N=274 participants in the Study C4591048/Substudy B/Group 2 and N=309 participants in the historical Study C4591007 were matched as </w:t>
      </w:r>
      <w:r w:rsidR="00516564">
        <w:t xml:space="preserve">shown in Table </w:t>
      </w:r>
      <w:r w:rsidR="00AD4755">
        <w:t>4.</w:t>
      </w:r>
    </w:p>
    <w:p w14:paraId="64022AA6" w14:textId="7374CF0B" w:rsidR="00825373" w:rsidRPr="00825373" w:rsidRDefault="00825373" w:rsidP="00825373">
      <w:pPr>
        <w:pStyle w:val="TableTitle"/>
      </w:pPr>
      <w:r w:rsidRPr="00825373">
        <w:t xml:space="preserve">Table 4. Demographic Characteristics – C4591048 </w:t>
      </w:r>
      <w:proofErr w:type="spellStart"/>
      <w:r w:rsidRPr="00825373">
        <w:t>Substudy</w:t>
      </w:r>
      <w:proofErr w:type="spellEnd"/>
      <w:r w:rsidRPr="00825373">
        <w:t xml:space="preserve"> B Group 2 and Study C4591007 Phase 2/3 Participants – Full Group – ≥6 Months to &lt;5 Years of Age</w:t>
      </w:r>
      <w:r>
        <w:t xml:space="preserve"> participants</w:t>
      </w:r>
      <w:r w:rsidRPr="00825373">
        <w:t xml:space="preserve"> </w:t>
      </w:r>
      <w:proofErr w:type="spellStart"/>
      <w:r w:rsidRPr="00825373">
        <w:t>ith</w:t>
      </w:r>
      <w:proofErr w:type="spellEnd"/>
      <w:r w:rsidRPr="00825373">
        <w:t xml:space="preserve"> or Without Evidence of Infection – Evaluable Immunogenicity Population</w:t>
      </w:r>
    </w:p>
    <w:p w14:paraId="1A772AB4" w14:textId="45ED3FE5" w:rsidR="00521407" w:rsidRDefault="00521407" w:rsidP="00360B43">
      <w:pPr>
        <w:spacing w:before="120" w:after="0" w:line="240" w:lineRule="atLeast"/>
        <w:rPr>
          <w:rFonts w:eastAsia="Cambria" w:cs="Times New Roman"/>
          <w:szCs w:val="22"/>
        </w:rPr>
      </w:pPr>
      <w:r w:rsidRPr="00521407">
        <w:rPr>
          <w:rFonts w:eastAsia="Cambria" w:cs="Times New Roman"/>
          <w:noProof/>
          <w:szCs w:val="22"/>
        </w:rPr>
        <w:drawing>
          <wp:inline distT="0" distB="0" distL="0" distR="0" wp14:anchorId="553DE16E" wp14:editId="2C4BBB18">
            <wp:extent cx="5759450" cy="4906736"/>
            <wp:effectExtent l="0" t="0" r="0" b="8255"/>
            <wp:docPr id="85630543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05432"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9624"/>
                    <a:stretch/>
                  </pic:blipFill>
                  <pic:spPr bwMode="auto">
                    <a:xfrm>
                      <a:off x="0" y="0"/>
                      <a:ext cx="5759450" cy="4906736"/>
                    </a:xfrm>
                    <a:prstGeom prst="rect">
                      <a:avLst/>
                    </a:prstGeom>
                    <a:noFill/>
                    <a:ln>
                      <a:noFill/>
                    </a:ln>
                    <a:extLst>
                      <a:ext uri="{53640926-AAD7-44D8-BBD7-CCE9431645EC}">
                        <a14:shadowObscured xmlns:a14="http://schemas.microsoft.com/office/drawing/2010/main"/>
                      </a:ext>
                    </a:extLst>
                  </pic:spPr>
                </pic:pic>
              </a:graphicData>
            </a:graphic>
          </wp:inline>
        </w:drawing>
      </w:r>
    </w:p>
    <w:p w14:paraId="750A7CCC" w14:textId="179A5211" w:rsidR="00521407" w:rsidRPr="00521407" w:rsidRDefault="00521407" w:rsidP="007F77E9">
      <w:r w:rsidRPr="00521407">
        <w:t xml:space="preserve">Blood samples from participants in Study C4591048 Substudy B/Group 2 and the selected controls from Study C4591007 were tested using </w:t>
      </w:r>
      <w:r w:rsidR="007F4647">
        <w:t xml:space="preserve">a </w:t>
      </w:r>
      <w:r w:rsidRPr="00521407">
        <w:t>validated SARS-CoV-2 neutralisation assay for Omicron BA.4/BA.5 and reference strain-specific SARS-CoV-2 neutralising antibody titres.</w:t>
      </w:r>
    </w:p>
    <w:p w14:paraId="18EFEE58" w14:textId="13C95C70" w:rsidR="00521407" w:rsidRPr="00521407" w:rsidRDefault="00521407" w:rsidP="007F4647">
      <w:pPr>
        <w:pStyle w:val="Heading5"/>
        <w:rPr>
          <w:rFonts w:eastAsia="Cambria"/>
        </w:rPr>
      </w:pPr>
      <w:r w:rsidRPr="00521407">
        <w:rPr>
          <w:rFonts w:eastAsia="Cambria"/>
        </w:rPr>
        <w:t xml:space="preserve">Geometric </w:t>
      </w:r>
      <w:r w:rsidR="00825373" w:rsidRPr="00521407">
        <w:rPr>
          <w:rFonts w:eastAsia="Cambria"/>
        </w:rPr>
        <w:t xml:space="preserve">mean titres and </w:t>
      </w:r>
      <w:proofErr w:type="spellStart"/>
      <w:r w:rsidR="00825373" w:rsidRPr="00521407">
        <w:rPr>
          <w:rFonts w:eastAsia="Cambria"/>
        </w:rPr>
        <w:t>seroresponse</w:t>
      </w:r>
      <w:proofErr w:type="spellEnd"/>
      <w:r w:rsidR="00825373" w:rsidRPr="00521407">
        <w:rPr>
          <w:rFonts w:eastAsia="Cambria"/>
        </w:rPr>
        <w:t xml:space="preserve"> </w:t>
      </w:r>
      <w:r w:rsidRPr="00521407">
        <w:rPr>
          <w:rFonts w:eastAsia="Cambria"/>
        </w:rPr>
        <w:t>rates</w:t>
      </w:r>
    </w:p>
    <w:p w14:paraId="47977817" w14:textId="2EEBF80D" w:rsidR="00521407" w:rsidRDefault="00EF061D" w:rsidP="007F77E9">
      <w:r>
        <w:t>O</w:t>
      </w:r>
      <w:r w:rsidR="00521407" w:rsidRPr="00521407">
        <w:t>ne month after a booster dose (4</w:t>
      </w:r>
      <w:r w:rsidR="00521407" w:rsidRPr="00521407">
        <w:rPr>
          <w:vertAlign w:val="superscript"/>
        </w:rPr>
        <w:t>th</w:t>
      </w:r>
      <w:r w:rsidR="00521407" w:rsidRPr="00521407">
        <w:t xml:space="preserve"> dose) of Bivalent BA.4-5 (1.5/1.5) in Study C4591048 </w:t>
      </w:r>
      <w:proofErr w:type="spellStart"/>
      <w:r w:rsidR="00521407" w:rsidRPr="00521407">
        <w:t>Substudy</w:t>
      </w:r>
      <w:proofErr w:type="spellEnd"/>
      <w:r w:rsidR="00521407" w:rsidRPr="00521407">
        <w:t xml:space="preserve"> B/Group 2</w:t>
      </w:r>
      <w:r>
        <w:t>, g</w:t>
      </w:r>
      <w:r w:rsidRPr="00EF061D">
        <w:t xml:space="preserve">eometric </w:t>
      </w:r>
      <w:r w:rsidR="002345C0">
        <w:t>m</w:t>
      </w:r>
      <w:r w:rsidRPr="00EF061D">
        <w:t xml:space="preserve">ean </w:t>
      </w:r>
      <w:r w:rsidR="002345C0">
        <w:t>t</w:t>
      </w:r>
      <w:r w:rsidRPr="00EF061D">
        <w:t xml:space="preserve">itres and </w:t>
      </w:r>
      <w:r w:rsidR="002345C0">
        <w:t>s</w:t>
      </w:r>
      <w:r w:rsidRPr="00EF061D">
        <w:t>eroresponse rates</w:t>
      </w:r>
      <w:r>
        <w:t xml:space="preserve"> were </w:t>
      </w:r>
      <w:r w:rsidR="00521407" w:rsidRPr="00521407">
        <w:t>compared to non-concurrent controls from Study C4591007 (at one month post 3</w:t>
      </w:r>
      <w:r w:rsidR="00521407" w:rsidRPr="00521407">
        <w:rPr>
          <w:vertAlign w:val="superscript"/>
        </w:rPr>
        <w:t>rd</w:t>
      </w:r>
      <w:r w:rsidR="00521407" w:rsidRPr="00521407">
        <w:t xml:space="preserve"> dose of the monovalent original formulation)</w:t>
      </w:r>
      <w:r w:rsidR="002345C0">
        <w:t xml:space="preserve"> (Table 5). </w:t>
      </w:r>
    </w:p>
    <w:p w14:paraId="76F9009B" w14:textId="77777777" w:rsidR="007F77E9" w:rsidRPr="007F77E9" w:rsidRDefault="007F77E9" w:rsidP="007F77E9">
      <w:pPr>
        <w:pStyle w:val="TableTitle"/>
        <w:pageBreakBefore/>
      </w:pPr>
      <w:r w:rsidRPr="007F77E9">
        <w:t xml:space="preserve">Table 5. Model-Based Geometric Mean Ratio – C4591048 </w:t>
      </w:r>
      <w:proofErr w:type="spellStart"/>
      <w:r w:rsidRPr="007F77E9">
        <w:t>Substudy</w:t>
      </w:r>
      <w:proofErr w:type="spellEnd"/>
      <w:r w:rsidRPr="007F77E9">
        <w:t xml:space="preserve"> B Group 2 (1 Month After Dose 4) to C4591007 Phase 2/3 Participants (1 Month After Dose 3) – Per-protocol Subset – ≥6 Months to &lt;5 Years of Age – Participants </w:t>
      </w:r>
      <w:proofErr w:type="gramStart"/>
      <w:r w:rsidRPr="007F77E9">
        <w:t>With</w:t>
      </w:r>
      <w:proofErr w:type="gramEnd"/>
      <w:r w:rsidRPr="007F77E9">
        <w:t xml:space="preserve"> or Without Evidence of Infection – Evaluable Immunogenicity Population</w:t>
      </w:r>
    </w:p>
    <w:p w14:paraId="18E6E732" w14:textId="47CA6AD6" w:rsidR="00521407" w:rsidRDefault="00B67598" w:rsidP="007F77E9">
      <w:pPr>
        <w:rPr>
          <w:rFonts w:eastAsia="Cambria" w:cs="Times New Roman"/>
          <w:szCs w:val="22"/>
        </w:rPr>
      </w:pPr>
      <w:r>
        <w:rPr>
          <w:noProof/>
        </w:rPr>
        <w:drawing>
          <wp:inline distT="0" distB="0" distL="0" distR="0" wp14:anchorId="3B718137" wp14:editId="21EDC7C3">
            <wp:extent cx="5759450" cy="3457575"/>
            <wp:effectExtent l="0" t="0" r="0" b="9525"/>
            <wp:docPr id="7933273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27361" name="Picture 1">
                      <a:extLst>
                        <a:ext uri="{C183D7F6-B498-43B3-948B-1728B52AA6E4}">
                          <adec:decorative xmlns:adec="http://schemas.microsoft.com/office/drawing/2017/decorative" val="1"/>
                        </a:ext>
                      </a:extLst>
                    </pic:cNvPr>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759450" cy="3457575"/>
                    </a:xfrm>
                    <a:prstGeom prst="rect">
                      <a:avLst/>
                    </a:prstGeom>
                  </pic:spPr>
                </pic:pic>
              </a:graphicData>
            </a:graphic>
          </wp:inline>
        </w:drawing>
      </w:r>
    </w:p>
    <w:p w14:paraId="78F39CE1" w14:textId="53B0C3D3" w:rsidR="00360B43" w:rsidRPr="00521407" w:rsidRDefault="00360B43" w:rsidP="00CD1876">
      <w:pPr>
        <w:pStyle w:val="TableDescription"/>
      </w:pPr>
      <w:r w:rsidRPr="00360B43">
        <w:t>Abbreviations: GMR = geometric mean ratio; GMT = geometric mean titer; LLOQ = lower limit of quantitation; NT50 =50% neutralizing titer; SARS-CoV-2 = severe acute respiratory syndrome coronavirus 2.</w:t>
      </w:r>
      <w:r>
        <w:t xml:space="preserve"> </w:t>
      </w:r>
      <w:r w:rsidRPr="00360B43">
        <w:t>Note: Substudy B Group 2 includes participants ≥6 months to &lt;5 years of age who received 3 doses of BNT162b2 3 μg</w:t>
      </w:r>
      <w:r>
        <w:t xml:space="preserve"> </w:t>
      </w:r>
      <w:r w:rsidRPr="00360B43">
        <w:t xml:space="preserve">60 to 240 days prior to </w:t>
      </w:r>
      <w:r w:rsidR="00E36A4E" w:rsidRPr="00360B43">
        <w:t>enrolment</w:t>
      </w:r>
      <w:r w:rsidRPr="00360B43">
        <w:t>.</w:t>
      </w:r>
      <w:r>
        <w:t xml:space="preserve"> </w:t>
      </w:r>
      <w:r w:rsidRPr="00360B43">
        <w:t>Note: Per-protocol subset is a random sample of 240 participants selected from the full group and comprising the same</w:t>
      </w:r>
      <w:r>
        <w:t xml:space="preserve"> </w:t>
      </w:r>
      <w:r w:rsidRPr="00360B43">
        <w:t>percentages of participants in each age group and baseline SARS-CoV-2 infection status group as the full group.</w:t>
      </w:r>
      <w:r>
        <w:t xml:space="preserve"> </w:t>
      </w:r>
      <w:r w:rsidRPr="00360B43">
        <w:t>a. n = Number of participants with valid and determinate assay results for the specified assay at both before Dose 4</w:t>
      </w:r>
      <w:r>
        <w:t xml:space="preserve"> </w:t>
      </w:r>
      <w:r w:rsidRPr="00360B43">
        <w:t>(C4591048)/Dose 3 (C4591007) and the given sampling time point.</w:t>
      </w:r>
      <w:r>
        <w:t xml:space="preserve"> </w:t>
      </w:r>
      <w:r w:rsidRPr="00360B43">
        <w:t>b. GMTs and 2-sided CIs were calculated by exponentiating the LSMeans and the corresponding CIs based on analysis</w:t>
      </w:r>
      <w:r>
        <w:t xml:space="preserve"> </w:t>
      </w:r>
      <w:r w:rsidRPr="00360B43">
        <w:t>of log-transformed assay results using a linear regression model with baseline log-transformed neutralizing titers,</w:t>
      </w:r>
      <w:r>
        <w:t xml:space="preserve"> </w:t>
      </w:r>
      <w:r w:rsidRPr="00360B43">
        <w:t>postbaseline infection status, age group (for ≥6 Months to &lt;5 Years only) and vaccine group as covariates. Assay results</w:t>
      </w:r>
      <w:r>
        <w:t xml:space="preserve"> </w:t>
      </w:r>
      <w:r w:rsidRPr="00360B43">
        <w:t>below the LLOQ were set to 0.5 × LLOQ.</w:t>
      </w:r>
      <w:r>
        <w:t xml:space="preserve"> </w:t>
      </w:r>
      <w:r w:rsidRPr="00360B43">
        <w:t>c. GMRs and 2-sided CIs were calculated by exponentiating the difference of LSMeans for the assay and the</w:t>
      </w:r>
      <w:r>
        <w:t xml:space="preserve"> </w:t>
      </w:r>
      <w:r w:rsidRPr="00360B43">
        <w:t>corresponding CIs based on the same regression model as stated above</w:t>
      </w:r>
      <w:r w:rsidR="00CD1876">
        <w:t>.</w:t>
      </w:r>
    </w:p>
    <w:p w14:paraId="6D401EA9" w14:textId="77777777" w:rsidR="00521407" w:rsidRPr="00521407" w:rsidRDefault="00521407" w:rsidP="007F77E9">
      <w:r w:rsidRPr="00521407">
        <w:t>The Omicron BA.4/BA.5 specific neutralising antibody titre was higher, and the reference strain specific neutralising antibody response was similar in Study C4591048 (Substudy B/Group 2) participants (1 month after Dose 4) compared to participants (1 month after Dose 3) from the Study C4591007.</w:t>
      </w:r>
    </w:p>
    <w:p w14:paraId="261948C4" w14:textId="3DC64F38" w:rsidR="00521407" w:rsidRDefault="00521407" w:rsidP="007F77E9">
      <w:r w:rsidRPr="00521407">
        <w:t>At one month after a booster dose (4</w:t>
      </w:r>
      <w:r w:rsidRPr="00521407">
        <w:rPr>
          <w:vertAlign w:val="superscript"/>
        </w:rPr>
        <w:t>th</w:t>
      </w:r>
      <w:r w:rsidRPr="00521407">
        <w:t xml:space="preserve"> dose) of Bivalent BA.4-5 (1.5/1.5) in the Study C4591048 Substudy B/Group 2 compared to non-concurrent controls from the Study C4591007 (at one month post 3</w:t>
      </w:r>
      <w:r w:rsidRPr="00521407">
        <w:rPr>
          <w:vertAlign w:val="superscript"/>
        </w:rPr>
        <w:t>rd</w:t>
      </w:r>
      <w:r w:rsidRPr="00521407">
        <w:t xml:space="preserve"> dose of the monovalent original formulation), the seroresponse rates (regardless of Baseline serostatus) in </w:t>
      </w:r>
      <w:r w:rsidR="00284E58">
        <w:t xml:space="preserve">the </w:t>
      </w:r>
      <w:r w:rsidRPr="00521407">
        <w:t xml:space="preserve">Per Protocol population </w:t>
      </w:r>
      <w:r w:rsidR="00373672">
        <w:t>are shown in Table 6.</w:t>
      </w:r>
    </w:p>
    <w:p w14:paraId="2E10BF16" w14:textId="5C80F253" w:rsidR="00DE52FF" w:rsidRDefault="00DE52FF" w:rsidP="007F77E9">
      <w:pPr>
        <w:pStyle w:val="TableTitle"/>
        <w:pageBreakBefore/>
      </w:pPr>
      <w:r>
        <w:t xml:space="preserve">Table 6. </w:t>
      </w:r>
      <w:r w:rsidRPr="00DE52FF">
        <w:t xml:space="preserve">Adjusted Difference in Percentages of Participants </w:t>
      </w:r>
      <w:proofErr w:type="gramStart"/>
      <w:r w:rsidRPr="00DE52FF">
        <w:t>With</w:t>
      </w:r>
      <w:proofErr w:type="gramEnd"/>
      <w:r w:rsidRPr="00DE52FF">
        <w:t xml:space="preserve"> Seroresponse Between C4591048 Substudy B Group 2 (1</w:t>
      </w:r>
      <w:r>
        <w:t xml:space="preserve"> </w:t>
      </w:r>
      <w:r w:rsidRPr="00DE52FF">
        <w:t>Month After Dose 4) and C4591007 Phase 2/3 Participants (1 Month After Dose 3) – Per-protocol Subset – ≥6</w:t>
      </w:r>
      <w:r>
        <w:t xml:space="preserve"> </w:t>
      </w:r>
      <w:r w:rsidRPr="00DE52FF">
        <w:t>Months to &lt;5 Years of Age – Participants With or Without Evidence of Infection – Evaluable Immunogenicity</w:t>
      </w:r>
      <w:r>
        <w:t xml:space="preserve"> </w:t>
      </w:r>
      <w:r w:rsidRPr="00DE52FF">
        <w:t>Population</w:t>
      </w:r>
    </w:p>
    <w:p w14:paraId="33094026" w14:textId="34D38F89" w:rsid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4A243FA7" wp14:editId="556C0DA8">
            <wp:extent cx="5710747" cy="2177143"/>
            <wp:effectExtent l="0" t="0" r="4445" b="0"/>
            <wp:docPr id="625535777" name="Picture 1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35777" name="Picture 11" descr="A screenshot of a medical report&#10;&#10;Description automatically generated"/>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17180" b="5888"/>
                    <a:stretch/>
                  </pic:blipFill>
                  <pic:spPr bwMode="auto">
                    <a:xfrm>
                      <a:off x="0" y="0"/>
                      <a:ext cx="5711190" cy="2177312"/>
                    </a:xfrm>
                    <a:prstGeom prst="rect">
                      <a:avLst/>
                    </a:prstGeom>
                    <a:noFill/>
                    <a:ln>
                      <a:noFill/>
                    </a:ln>
                    <a:extLst>
                      <a:ext uri="{53640926-AAD7-44D8-BBD7-CCE9431645EC}">
                        <a14:shadowObscured xmlns:a14="http://schemas.microsoft.com/office/drawing/2010/main"/>
                      </a:ext>
                    </a:extLst>
                  </pic:spPr>
                </pic:pic>
              </a:graphicData>
            </a:graphic>
          </wp:inline>
        </w:drawing>
      </w:r>
    </w:p>
    <w:p w14:paraId="78D92504" w14:textId="7AB58CC4" w:rsidR="00284E58" w:rsidRPr="00284E58" w:rsidRDefault="00284E58" w:rsidP="00284E58">
      <w:pPr>
        <w:pStyle w:val="TableDescription"/>
      </w:pPr>
      <w:r w:rsidRPr="00284E58">
        <w:t>Abbreviations: LLOQ = lower limit of quantitation; NT50 = 50% neutralizing titer; SARS-CoV-2 = severe acute respiratory syndrome coronavirus 2.</w:t>
      </w:r>
      <w:r>
        <w:t xml:space="preserve"> </w:t>
      </w:r>
      <w:r w:rsidRPr="00284E58">
        <w:t>Note: Substudy B Group 2 includes participants ≥6 months to &lt;5 years of age who received 3 doses of BNT162b2 3 μg 60 to 240 days prior to enrolment.</w:t>
      </w:r>
      <w:r>
        <w:t xml:space="preserve"> </w:t>
      </w:r>
      <w:r w:rsidRPr="00284E58">
        <w:t>Note: Per-protocol subset is a random sample of 240 participants selected from the full group and comprising the same percentages of participants in each age group and</w:t>
      </w:r>
      <w:r>
        <w:t xml:space="preserve"> </w:t>
      </w:r>
      <w:r w:rsidRPr="00284E58">
        <w:t>baseline SARS-CoV-2 infection status group as the full group.</w:t>
      </w:r>
      <w:r>
        <w:t xml:space="preserve"> </w:t>
      </w:r>
      <w:r w:rsidRPr="00284E58">
        <w:t>Note: Seroresponse is defined as achieving a ≥4-fold rise from baseline (before Dose 4 for C4591048 Substudy B Group 2 and before Dose 3 for C4591007). If the baseline</w:t>
      </w:r>
      <w:r>
        <w:t xml:space="preserve"> </w:t>
      </w:r>
      <w:r w:rsidRPr="00284E58">
        <w:t>measurement is below the LLOQ, a postvaccination assay result ≥4 × LLOQ is considered a seroresponse.</w:t>
      </w:r>
      <w:r>
        <w:t xml:space="preserve"> </w:t>
      </w:r>
      <w:r w:rsidRPr="00284E58">
        <w:t>a. N = number of participants with valid and determinate assay results for the specified assay both before Dose 4 (C4591048)/Dose 3 (C4591007) and at the given sampling</w:t>
      </w:r>
      <w:r>
        <w:t xml:space="preserve"> </w:t>
      </w:r>
      <w:r w:rsidRPr="00284E58">
        <w:t>time point. These values are the denominators for the percentage calculations.</w:t>
      </w:r>
      <w:r>
        <w:t xml:space="preserve"> </w:t>
      </w:r>
      <w:r w:rsidRPr="00284E58">
        <w:t>b. n = Number of participants with seroresponse for the given assay at the given dose/sampling time point.</w:t>
      </w:r>
      <w:r>
        <w:t xml:space="preserve"> </w:t>
      </w:r>
      <w:r w:rsidRPr="00284E58">
        <w:t>c. Exact 2-sided CI based on the Clopper and Pearson method.</w:t>
      </w:r>
      <w:r>
        <w:t xml:space="preserve"> </w:t>
      </w:r>
      <w:r w:rsidRPr="00284E58">
        <w:t>d. Adjusted difference in proportions based on the Miettinen and Nurminen method stratified by baseline neutralizing titer category (&lt;median, ≥median), expressed as a</w:t>
      </w:r>
      <w:r>
        <w:t xml:space="preserve"> </w:t>
      </w:r>
      <w:r w:rsidRPr="00284E58">
        <w:t>percentage (bivalent BNT162b2 [original/Omi BA.4/BA.5] 3 μg - BNT162b2 3 μg). The median of baseline neutralizing titers was calculated based on the pooled data in 2</w:t>
      </w:r>
      <w:r>
        <w:t xml:space="preserve"> </w:t>
      </w:r>
      <w:r w:rsidRPr="00284E58">
        <w:t>comparator groups.</w:t>
      </w:r>
      <w:r>
        <w:t xml:space="preserve"> </w:t>
      </w:r>
      <w:r w:rsidRPr="00284E58">
        <w:t>e. 2-Sided CI, based on the Miettinen and Nurminen method for the difference in proportions stratified by baseline neutralizing titer category (&lt;median, ≥median), expressed</w:t>
      </w:r>
      <w:r>
        <w:t xml:space="preserve"> </w:t>
      </w:r>
      <w:r w:rsidRPr="00284E58">
        <w:t>as a percentage.</w:t>
      </w:r>
    </w:p>
    <w:p w14:paraId="04EECD72" w14:textId="77777777" w:rsidR="00521407" w:rsidRPr="00521407" w:rsidRDefault="00521407" w:rsidP="00521407">
      <w:pPr>
        <w:spacing w:before="120" w:line="240" w:lineRule="atLeast"/>
        <w:rPr>
          <w:rFonts w:eastAsia="Cambria" w:cs="Times New Roman"/>
          <w:szCs w:val="22"/>
        </w:rPr>
      </w:pPr>
      <w:r w:rsidRPr="00521407">
        <w:rPr>
          <w:rFonts w:eastAsia="Cambria" w:cs="Times New Roman"/>
          <w:szCs w:val="22"/>
        </w:rPr>
        <w:t>The Omicron BA.4/BA.5 specific seroresponse rate was higher, and the reference strain specific seroresponse rate was similar in Study C4591048 (Substudy B/Group 2) participants (Dose 4) compared to participants (Dose 3) from the Study C4591007.</w:t>
      </w:r>
    </w:p>
    <w:p w14:paraId="584C4782" w14:textId="22777543" w:rsidR="00521407" w:rsidRDefault="00521407" w:rsidP="00521407">
      <w:pPr>
        <w:spacing w:before="120" w:line="240" w:lineRule="atLeast"/>
        <w:rPr>
          <w:rFonts w:eastAsia="Cambria" w:cs="Times New Roman"/>
          <w:szCs w:val="22"/>
        </w:rPr>
      </w:pPr>
      <w:r w:rsidRPr="00521407">
        <w:rPr>
          <w:rFonts w:eastAsia="Cambria" w:cs="Times New Roman"/>
          <w:szCs w:val="22"/>
        </w:rPr>
        <w:t>Overall, 22 cases of COVID-19 were reported in participants ≥6 months to &lt;5 years (9 cases in ≥6 months to &lt;2 years, 13 cases in ≥2 to &lt;5 years) who received a 4</w:t>
      </w:r>
      <w:r w:rsidRPr="00521407">
        <w:rPr>
          <w:rFonts w:eastAsia="Cambria" w:cs="Times New Roman"/>
          <w:szCs w:val="22"/>
          <w:vertAlign w:val="superscript"/>
        </w:rPr>
        <w:t>th</w:t>
      </w:r>
      <w:r w:rsidRPr="00521407">
        <w:rPr>
          <w:rFonts w:eastAsia="Cambria" w:cs="Times New Roman"/>
          <w:szCs w:val="22"/>
        </w:rPr>
        <w:t xml:space="preserve"> dose of Bivalent BA.4-5 (1.5/1.5) in Study C4591048. The variants of concern among the 22 cases </w:t>
      </w:r>
      <w:r w:rsidR="00373672">
        <w:rPr>
          <w:rFonts w:eastAsia="Cambria" w:cs="Times New Roman"/>
          <w:szCs w:val="22"/>
        </w:rPr>
        <w:t xml:space="preserve">are outlined in Table 7. </w:t>
      </w:r>
    </w:p>
    <w:p w14:paraId="40D593DE" w14:textId="09D6F38B" w:rsidR="001801D7" w:rsidRPr="00521407" w:rsidRDefault="001801D7" w:rsidP="00796E9D">
      <w:pPr>
        <w:pStyle w:val="TableTitle"/>
      </w:pPr>
      <w:r>
        <w:t xml:space="preserve">Table 7. </w:t>
      </w:r>
      <w:r w:rsidRPr="001801D7">
        <w:t>SARS-CoV-2 Variants of Concern for the First COVID-19 Occurrence After</w:t>
      </w:r>
      <w:r>
        <w:t xml:space="preserve"> </w:t>
      </w:r>
      <w:r w:rsidRPr="001801D7">
        <w:t>the Study Vaccination – C4591048 Substudy B Group 2 – ≥6 Months to &lt;5 Years of</w:t>
      </w:r>
      <w:r>
        <w:t xml:space="preserve"> </w:t>
      </w:r>
      <w:r w:rsidRPr="001801D7">
        <w:t>Age</w:t>
      </w:r>
    </w:p>
    <w:p w14:paraId="01602FCE" w14:textId="06F10956" w:rsidR="00521407" w:rsidRP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6BAAD88F" wp14:editId="535BF2BB">
            <wp:extent cx="5742102" cy="5118155"/>
            <wp:effectExtent l="0" t="0" r="0" b="6350"/>
            <wp:docPr id="1592849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9941"/>
                    <a:stretch/>
                  </pic:blipFill>
                  <pic:spPr bwMode="auto">
                    <a:xfrm>
                      <a:off x="0" y="0"/>
                      <a:ext cx="5754380" cy="5129099"/>
                    </a:xfrm>
                    <a:prstGeom prst="rect">
                      <a:avLst/>
                    </a:prstGeom>
                    <a:noFill/>
                    <a:ln>
                      <a:noFill/>
                    </a:ln>
                    <a:extLst>
                      <a:ext uri="{53640926-AAD7-44D8-BBD7-CCE9431645EC}">
                        <a14:shadowObscured xmlns:a14="http://schemas.microsoft.com/office/drawing/2010/main"/>
                      </a:ext>
                    </a:extLst>
                  </pic:spPr>
                </pic:pic>
              </a:graphicData>
            </a:graphic>
          </wp:inline>
        </w:drawing>
      </w:r>
    </w:p>
    <w:p w14:paraId="6216A2B0" w14:textId="725463DF" w:rsidR="00521407" w:rsidRPr="00521407" w:rsidRDefault="00521407" w:rsidP="005727B0">
      <w:pPr>
        <w:pStyle w:val="Heading4"/>
      </w:pPr>
      <w:bookmarkStart w:id="30" w:name="_Toc177995415"/>
      <w:r w:rsidRPr="00521407">
        <w:t>Safety</w:t>
      </w:r>
      <w:bookmarkEnd w:id="30"/>
    </w:p>
    <w:p w14:paraId="196C2444" w14:textId="77777777" w:rsidR="00521407" w:rsidRPr="00521407" w:rsidRDefault="00521407" w:rsidP="007F77E9">
      <w:r w:rsidRPr="00521407">
        <w:t>The safety data reported in this dossier were as of 03 March 2023 cutoff date for the full safety population of 310 participants (92 and 218 participants assigned in ≥6 months to &lt;2 years age group and ≥2 years to &lt;5 years age group respectively).</w:t>
      </w:r>
    </w:p>
    <w:p w14:paraId="64B7F9FA" w14:textId="2B8AD38C" w:rsidR="00521407" w:rsidRPr="00521407" w:rsidRDefault="00521407" w:rsidP="007F77E9">
      <w:r w:rsidRPr="00521407">
        <w:t>Adverse</w:t>
      </w:r>
      <w:r w:rsidR="00E712E5">
        <w:t xml:space="preserve"> e</w:t>
      </w:r>
      <w:r w:rsidRPr="00521407">
        <w:t xml:space="preserve">vents (AEs) were collected from the study vaccination up to 1 month after the study vaccination, and </w:t>
      </w:r>
      <w:r w:rsidR="00BE4558">
        <w:t>serious</w:t>
      </w:r>
      <w:r w:rsidR="00E712E5">
        <w:t xml:space="preserve"> adverse events (</w:t>
      </w:r>
      <w:r w:rsidRPr="00521407">
        <w:t>SAEs</w:t>
      </w:r>
      <w:r w:rsidR="00E712E5">
        <w:t>)</w:t>
      </w:r>
      <w:r w:rsidRPr="00521407">
        <w:t xml:space="preserve"> were collected from study vaccination up to 6 months post Dose 4.</w:t>
      </w:r>
    </w:p>
    <w:p w14:paraId="00FDCB48" w14:textId="506D372C" w:rsidR="00521407" w:rsidRPr="00521407" w:rsidRDefault="00521407" w:rsidP="007F77E9">
      <w:r w:rsidRPr="00521407">
        <w:t xml:space="preserve">AEs of specific interest (AESIs) included anaphylaxis/hypersensitivity, Bell’s </w:t>
      </w:r>
      <w:proofErr w:type="gramStart"/>
      <w:r w:rsidRPr="00521407">
        <w:t>palsy</w:t>
      </w:r>
      <w:proofErr w:type="gramEnd"/>
      <w:r w:rsidRPr="00521407">
        <w:t xml:space="preserve"> and myocarditis/pericarditis.</w:t>
      </w:r>
    </w:p>
    <w:p w14:paraId="236C4C5E" w14:textId="77777777" w:rsidR="00521407" w:rsidRPr="00521407" w:rsidRDefault="00521407" w:rsidP="007F77E9">
      <w:r w:rsidRPr="00521407">
        <w:t>No severe AEs, life-threatening AEs, SAEs, or AEs leading to withdrawal or death were reported from study vaccination to 1 month after study vaccination.</w:t>
      </w:r>
    </w:p>
    <w:p w14:paraId="0CBA895F" w14:textId="77777777" w:rsidR="00521407" w:rsidRPr="00521407" w:rsidRDefault="00521407" w:rsidP="007F77E9">
      <w:r w:rsidRPr="00521407">
        <w:t>No AESI were reported at this timepoint in this dataset.</w:t>
      </w:r>
    </w:p>
    <w:p w14:paraId="6B34AA9C" w14:textId="11FA11C0" w:rsidR="00521407" w:rsidRDefault="00521407" w:rsidP="007F77E9">
      <w:r w:rsidRPr="00521407">
        <w:t xml:space="preserve">The overall incidence of any AEs within one month post vaccination was 20/310 (6.5%) </w:t>
      </w:r>
      <w:r w:rsidR="00796E9D">
        <w:t xml:space="preserve">(Table 8). </w:t>
      </w:r>
    </w:p>
    <w:p w14:paraId="6F12CA71" w14:textId="5A803D8C" w:rsidR="00564EB0" w:rsidRPr="00521407" w:rsidRDefault="00564EB0" w:rsidP="00564EB0">
      <w:pPr>
        <w:pStyle w:val="TableTitle"/>
      </w:pPr>
      <w:r>
        <w:t xml:space="preserve">Table 8. </w:t>
      </w:r>
      <w:r w:rsidRPr="00564EB0">
        <w:t xml:space="preserve">Number (%) of Participants Reporting at Least 1 Adverse Event </w:t>
      </w:r>
      <w:proofErr w:type="gramStart"/>
      <w:r w:rsidRPr="00564EB0">
        <w:t>From</w:t>
      </w:r>
      <w:proofErr w:type="gramEnd"/>
      <w:r w:rsidRPr="00564EB0">
        <w:t xml:space="preserve"> the</w:t>
      </w:r>
      <w:r>
        <w:t xml:space="preserve"> </w:t>
      </w:r>
      <w:r w:rsidRPr="00564EB0">
        <w:t>Study Vaccination to 1 Month After the Study Vaccination – Substudy B</w:t>
      </w:r>
      <w:r>
        <w:t xml:space="preserve"> </w:t>
      </w:r>
      <w:r w:rsidRPr="00564EB0">
        <w:t>Group 2 – ≥6 Months to &lt;5 Years of Age – Safety Population</w:t>
      </w:r>
    </w:p>
    <w:p w14:paraId="5E82017E" w14:textId="09840997" w:rsidR="00521407" w:rsidRP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1442DF90" wp14:editId="5C27DDC9">
            <wp:extent cx="5674093" cy="5524500"/>
            <wp:effectExtent l="0" t="0" r="3175" b="0"/>
            <wp:docPr id="3622348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t="10951"/>
                    <a:stretch/>
                  </pic:blipFill>
                  <pic:spPr bwMode="auto">
                    <a:xfrm>
                      <a:off x="0" y="0"/>
                      <a:ext cx="5676919" cy="5527252"/>
                    </a:xfrm>
                    <a:prstGeom prst="rect">
                      <a:avLst/>
                    </a:prstGeom>
                    <a:noFill/>
                    <a:ln>
                      <a:noFill/>
                    </a:ln>
                    <a:extLst>
                      <a:ext uri="{53640926-AAD7-44D8-BBD7-CCE9431645EC}">
                        <a14:shadowObscured xmlns:a14="http://schemas.microsoft.com/office/drawing/2010/main"/>
                      </a:ext>
                    </a:extLst>
                  </pic:spPr>
                </pic:pic>
              </a:graphicData>
            </a:graphic>
          </wp:inline>
        </w:drawing>
      </w:r>
    </w:p>
    <w:p w14:paraId="1B597865" w14:textId="3B0DDAB7" w:rsidR="00521407" w:rsidRDefault="00521407" w:rsidP="007F77E9">
      <w:r w:rsidRPr="00521407">
        <w:t xml:space="preserve">The percentage participants experiencing a local reaction reported within 7 days after Bivalent BA.4-5 (1.5/1.5) vaccine (Dose 4) in Study C4591048 in </w:t>
      </w:r>
      <w:r w:rsidR="00F92913">
        <w:t xml:space="preserve">the </w:t>
      </w:r>
      <w:r w:rsidRPr="00521407">
        <w:t xml:space="preserve">≥6 months to&lt;2 years of age </w:t>
      </w:r>
      <w:r w:rsidR="00F92913">
        <w:t xml:space="preserve">group </w:t>
      </w:r>
      <w:r w:rsidR="006A170E">
        <w:t>is shown in Figure 1.</w:t>
      </w:r>
    </w:p>
    <w:p w14:paraId="76797E6E" w14:textId="235C5C1E" w:rsidR="006A170E" w:rsidRPr="00521407" w:rsidRDefault="006A170E" w:rsidP="007F77E9">
      <w:pPr>
        <w:pStyle w:val="FigureTitle"/>
      </w:pPr>
      <w:r>
        <w:t xml:space="preserve">Figure 1. </w:t>
      </w:r>
      <w:r w:rsidR="00F92913" w:rsidRPr="00F92913">
        <w:t>Local Reactions, by Maximum Severity, Within 7 Days After the Study Vaccination –Substudy B Group 2 - ≥6</w:t>
      </w:r>
      <w:r w:rsidR="00F92913">
        <w:t xml:space="preserve"> </w:t>
      </w:r>
      <w:r w:rsidR="00F92913" w:rsidRPr="00F92913">
        <w:t>Months to &lt;2 Years of Age – Safety Population</w:t>
      </w:r>
    </w:p>
    <w:p w14:paraId="526C8C96" w14:textId="1F6F21CD" w:rsidR="00521407" w:rsidRPr="00521407" w:rsidRDefault="006A170E" w:rsidP="007F77E9">
      <w:pPr>
        <w:rPr>
          <w:rFonts w:eastAsia="Cambria" w:cs="Times New Roman"/>
          <w:szCs w:val="22"/>
        </w:rPr>
      </w:pPr>
      <w:r>
        <w:rPr>
          <w:noProof/>
        </w:rPr>
        <w:drawing>
          <wp:inline distT="0" distB="0" distL="0" distR="0" wp14:anchorId="0570685A" wp14:editId="466FEB4C">
            <wp:extent cx="7921978" cy="5106924"/>
            <wp:effectExtent l="0" t="2222" r="952" b="953"/>
            <wp:docPr id="1834830819" name="Picture 1" descr="A graph with green and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0819" name="Picture 1" descr="A graph with green and red squares&#10;&#10;Description automatically generated"/>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rot="16200000">
                      <a:off x="0" y="0"/>
                      <a:ext cx="7956130" cy="5128940"/>
                    </a:xfrm>
                    <a:prstGeom prst="rect">
                      <a:avLst/>
                    </a:prstGeom>
                  </pic:spPr>
                </pic:pic>
              </a:graphicData>
            </a:graphic>
          </wp:inline>
        </w:drawing>
      </w:r>
    </w:p>
    <w:p w14:paraId="457B16CC" w14:textId="77777777" w:rsidR="000361F0" w:rsidRDefault="00521407" w:rsidP="00521407">
      <w:pPr>
        <w:spacing w:before="240" w:after="240" w:line="240" w:lineRule="atLeast"/>
        <w:rPr>
          <w:rFonts w:eastAsia="Cambria" w:cs="Times New Roman"/>
          <w:szCs w:val="22"/>
        </w:rPr>
      </w:pPr>
      <w:r w:rsidRPr="00521407">
        <w:rPr>
          <w:rFonts w:eastAsia="Cambria" w:cs="Times New Roman"/>
          <w:szCs w:val="22"/>
        </w:rPr>
        <w:t xml:space="preserve">The percentage </w:t>
      </w:r>
      <w:r w:rsidR="000361F0">
        <w:rPr>
          <w:rFonts w:eastAsia="Cambria" w:cs="Times New Roman"/>
          <w:szCs w:val="22"/>
        </w:rPr>
        <w:t xml:space="preserve">of </w:t>
      </w:r>
      <w:r w:rsidRPr="00521407">
        <w:rPr>
          <w:rFonts w:eastAsia="Cambria" w:cs="Times New Roman"/>
          <w:szCs w:val="22"/>
        </w:rPr>
        <w:t>participants experiencing a systemic reaction reported within 7 days of vaccination (Dose 4) in</w:t>
      </w:r>
      <w:r w:rsidR="00F92913">
        <w:rPr>
          <w:rFonts w:eastAsia="Cambria" w:cs="Times New Roman"/>
          <w:szCs w:val="22"/>
        </w:rPr>
        <w:t xml:space="preserve"> the</w:t>
      </w:r>
      <w:r w:rsidRPr="00521407">
        <w:rPr>
          <w:rFonts w:eastAsia="Cambria" w:cs="Times New Roman"/>
          <w:szCs w:val="22"/>
        </w:rPr>
        <w:t xml:space="preserve"> ≥6 months to&lt;2 years of age</w:t>
      </w:r>
      <w:r w:rsidR="00F92913">
        <w:rPr>
          <w:rFonts w:eastAsia="Cambria" w:cs="Times New Roman"/>
          <w:szCs w:val="22"/>
        </w:rPr>
        <w:t xml:space="preserve"> </w:t>
      </w:r>
      <w:r w:rsidR="000361F0">
        <w:rPr>
          <w:rFonts w:eastAsia="Cambria" w:cs="Times New Roman"/>
          <w:szCs w:val="22"/>
        </w:rPr>
        <w:t xml:space="preserve">is shown in Figure 2. </w:t>
      </w:r>
    </w:p>
    <w:p w14:paraId="295A44CA" w14:textId="66701C91" w:rsidR="00521407" w:rsidRPr="00521407" w:rsidRDefault="000361F0" w:rsidP="00F309E6">
      <w:pPr>
        <w:pStyle w:val="FigureTitle"/>
      </w:pPr>
      <w:r>
        <w:t xml:space="preserve">Figure 2. </w:t>
      </w:r>
      <w:r w:rsidRPr="000361F0">
        <w:t>Systemic Events, by Maximum Severity, Within 7 Days After the Study Vaccination – Substudy B Group 2 - ≥6</w:t>
      </w:r>
      <w:r>
        <w:t xml:space="preserve"> </w:t>
      </w:r>
      <w:r w:rsidRPr="000361F0">
        <w:t>Months to &lt;2 Years of Age – Safety Population</w:t>
      </w:r>
    </w:p>
    <w:p w14:paraId="070DBB40" w14:textId="5C8E64F0" w:rsidR="00521407" w:rsidRPr="00521407" w:rsidRDefault="00521407" w:rsidP="00521407">
      <w:pPr>
        <w:spacing w:before="240" w:after="240" w:line="240" w:lineRule="atLeast"/>
        <w:rPr>
          <w:rFonts w:eastAsia="Cambria" w:cs="Times New Roman"/>
          <w:szCs w:val="22"/>
        </w:rPr>
      </w:pPr>
      <w:r w:rsidRPr="00521407">
        <w:rPr>
          <w:rFonts w:eastAsia="Cambria" w:cs="Times New Roman"/>
          <w:noProof/>
          <w:szCs w:val="22"/>
        </w:rPr>
        <w:drawing>
          <wp:inline distT="0" distB="0" distL="0" distR="0" wp14:anchorId="342D85FD" wp14:editId="07B4662D">
            <wp:extent cx="7555760" cy="4357440"/>
            <wp:effectExtent l="0" t="1270" r="6350" b="6350"/>
            <wp:docPr id="1779677012" name="Picture 7"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77012" name="Picture 7" descr="A graph of a number of people&#10;&#10;Description automatically generated with medium confidence"/>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5000"/>
                              </a14:imgEffect>
                            </a14:imgLayer>
                          </a14:imgProps>
                        </a:ext>
                        <a:ext uri="{28A0092B-C50C-407E-A947-70E740481C1C}">
                          <a14:useLocalDpi xmlns:a14="http://schemas.microsoft.com/office/drawing/2010/main" val="0"/>
                        </a:ext>
                      </a:extLst>
                    </a:blip>
                    <a:srcRect t="7520"/>
                    <a:stretch/>
                  </pic:blipFill>
                  <pic:spPr bwMode="auto">
                    <a:xfrm rot="16200000">
                      <a:off x="0" y="0"/>
                      <a:ext cx="7586296" cy="4375050"/>
                    </a:xfrm>
                    <a:prstGeom prst="rect">
                      <a:avLst/>
                    </a:prstGeom>
                    <a:noFill/>
                    <a:ln>
                      <a:noFill/>
                    </a:ln>
                    <a:extLst>
                      <a:ext uri="{53640926-AAD7-44D8-BBD7-CCE9431645EC}">
                        <a14:shadowObscured xmlns:a14="http://schemas.microsoft.com/office/drawing/2010/main"/>
                      </a:ext>
                    </a:extLst>
                  </pic:spPr>
                </pic:pic>
              </a:graphicData>
            </a:graphic>
          </wp:inline>
        </w:drawing>
      </w:r>
    </w:p>
    <w:p w14:paraId="71231C9D" w14:textId="68A892F9" w:rsidR="00521407" w:rsidRDefault="00521407" w:rsidP="00521407">
      <w:pPr>
        <w:spacing w:before="120" w:line="240" w:lineRule="atLeast"/>
        <w:rPr>
          <w:rFonts w:eastAsia="Cambria" w:cs="Times New Roman"/>
          <w:szCs w:val="22"/>
        </w:rPr>
      </w:pPr>
      <w:r w:rsidRPr="00521407">
        <w:rPr>
          <w:rFonts w:eastAsia="Cambria" w:cs="Times New Roman"/>
          <w:szCs w:val="22"/>
        </w:rPr>
        <w:t xml:space="preserve">The percentage of participants experiencing a local reaction reported within 7 days of vaccination in ≥2 years to &lt;5 years of age </w:t>
      </w:r>
      <w:r w:rsidR="0001207D">
        <w:rPr>
          <w:rFonts w:eastAsia="Cambria" w:cs="Times New Roman"/>
          <w:szCs w:val="22"/>
        </w:rPr>
        <w:t>is shown in Figure 3.</w:t>
      </w:r>
    </w:p>
    <w:p w14:paraId="075126B2" w14:textId="5158BC6F" w:rsidR="00806C2B" w:rsidRDefault="00806C2B" w:rsidP="00F309E6">
      <w:pPr>
        <w:pStyle w:val="FigureTitle"/>
      </w:pPr>
      <w:r>
        <w:t xml:space="preserve">Figure 3. </w:t>
      </w:r>
      <w:r w:rsidR="00F309E6" w:rsidRPr="00F309E6">
        <w:t>Local Reactions, by Maximum Severity, Within 7 Days After the Study Vaccination –Substudy B Group 2 - ≥2</w:t>
      </w:r>
      <w:r w:rsidR="00F309E6">
        <w:t xml:space="preserve"> </w:t>
      </w:r>
      <w:r w:rsidR="00F309E6" w:rsidRPr="00F309E6">
        <w:t>Years to &lt;5 Years of Age – Safety Population</w:t>
      </w:r>
    </w:p>
    <w:p w14:paraId="6B0DA2D3" w14:textId="64DC53EB" w:rsidR="00521407" w:rsidRPr="00521407" w:rsidRDefault="00521407" w:rsidP="00521407">
      <w:pPr>
        <w:spacing w:before="240" w:after="240" w:line="240" w:lineRule="atLeast"/>
        <w:rPr>
          <w:rFonts w:eastAsia="Cambria" w:cs="Times New Roman"/>
          <w:szCs w:val="22"/>
        </w:rPr>
      </w:pPr>
      <w:r w:rsidRPr="00521407">
        <w:rPr>
          <w:rFonts w:eastAsia="Cambria" w:cs="Times New Roman"/>
          <w:noProof/>
          <w:szCs w:val="22"/>
        </w:rPr>
        <w:drawing>
          <wp:inline distT="0" distB="0" distL="0" distR="0" wp14:anchorId="517A0A69" wp14:editId="29DF5DE8">
            <wp:extent cx="7617296" cy="4838204"/>
            <wp:effectExtent l="0" t="1270" r="1905" b="1905"/>
            <wp:docPr id="1539659761" name="Picture 6" descr="A graph of a vacc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59761" name="Picture 6" descr="A graph of a vaccine&#10;&#10;Description automatically generated with medium confidence"/>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rcRect t="7708" r="4424"/>
                    <a:stretch/>
                  </pic:blipFill>
                  <pic:spPr bwMode="auto">
                    <a:xfrm rot="16200000">
                      <a:off x="0" y="0"/>
                      <a:ext cx="7647858" cy="4857616"/>
                    </a:xfrm>
                    <a:prstGeom prst="rect">
                      <a:avLst/>
                    </a:prstGeom>
                    <a:noFill/>
                    <a:ln>
                      <a:noFill/>
                    </a:ln>
                    <a:extLst>
                      <a:ext uri="{53640926-AAD7-44D8-BBD7-CCE9431645EC}">
                        <a14:shadowObscured xmlns:a14="http://schemas.microsoft.com/office/drawing/2010/main"/>
                      </a:ext>
                    </a:extLst>
                  </pic:spPr>
                </pic:pic>
              </a:graphicData>
            </a:graphic>
          </wp:inline>
        </w:drawing>
      </w:r>
    </w:p>
    <w:p w14:paraId="052C7929" w14:textId="01258E53" w:rsidR="00521407" w:rsidRDefault="00521407" w:rsidP="00521407">
      <w:pPr>
        <w:spacing w:before="240" w:after="240" w:line="240" w:lineRule="atLeast"/>
        <w:rPr>
          <w:rFonts w:eastAsia="Cambria" w:cs="Times New Roman"/>
          <w:szCs w:val="22"/>
        </w:rPr>
      </w:pPr>
      <w:r w:rsidRPr="00521407">
        <w:rPr>
          <w:rFonts w:eastAsia="Cambria" w:cs="Times New Roman"/>
          <w:szCs w:val="22"/>
        </w:rPr>
        <w:t xml:space="preserve">The percentage of participants experiencing a systemic reaction reported within 7 days of vaccination in ≥2 years to &lt;5 years of age </w:t>
      </w:r>
      <w:r w:rsidR="0092518E">
        <w:rPr>
          <w:rFonts w:eastAsia="Cambria" w:cs="Times New Roman"/>
          <w:szCs w:val="22"/>
        </w:rPr>
        <w:t xml:space="preserve">is shown in Figure 4. </w:t>
      </w:r>
    </w:p>
    <w:p w14:paraId="1A397B60" w14:textId="1D20DE06" w:rsidR="00273A3E" w:rsidRPr="00521407" w:rsidRDefault="00273A3E" w:rsidP="00DF1620">
      <w:pPr>
        <w:pStyle w:val="FigureTitle"/>
      </w:pPr>
      <w:r>
        <w:t xml:space="preserve">Figure 4. </w:t>
      </w:r>
      <w:r w:rsidR="00DF1620" w:rsidRPr="00DF1620">
        <w:t>Systemic Events, by Maximum Severity, Within 7 Days After the Study Vaccination – Substudy B Group 2 - ≥2 to</w:t>
      </w:r>
      <w:r w:rsidR="00DF1620">
        <w:t xml:space="preserve"> </w:t>
      </w:r>
      <w:r w:rsidR="00DF1620" w:rsidRPr="00DF1620">
        <w:t>&lt;5 Years of Age – Safety Population</w:t>
      </w:r>
    </w:p>
    <w:p w14:paraId="1630BACA" w14:textId="5B7B2F22" w:rsidR="00521407" w:rsidRPr="00521407" w:rsidRDefault="00521407" w:rsidP="00521407">
      <w:pPr>
        <w:spacing w:before="240" w:after="240" w:line="240" w:lineRule="atLeast"/>
        <w:rPr>
          <w:rFonts w:eastAsia="Cambria" w:cs="Times New Roman"/>
          <w:szCs w:val="22"/>
        </w:rPr>
      </w:pPr>
      <w:r w:rsidRPr="00521407">
        <w:rPr>
          <w:rFonts w:eastAsia="Cambria" w:cs="Times New Roman"/>
          <w:noProof/>
          <w:szCs w:val="22"/>
        </w:rPr>
        <w:drawing>
          <wp:inline distT="0" distB="0" distL="0" distR="0" wp14:anchorId="51EE2D45" wp14:editId="7D711F54">
            <wp:extent cx="7512022" cy="4656171"/>
            <wp:effectExtent l="0" t="952" r="0" b="0"/>
            <wp:docPr id="1987523365" name="Picture 5" descr="A graph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3365" name="Picture 5" descr="A graph of a patien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6200000">
                      <a:off x="0" y="0"/>
                      <a:ext cx="7552576" cy="4681308"/>
                    </a:xfrm>
                    <a:prstGeom prst="rect">
                      <a:avLst/>
                    </a:prstGeom>
                    <a:noFill/>
                    <a:ln>
                      <a:noFill/>
                    </a:ln>
                  </pic:spPr>
                </pic:pic>
              </a:graphicData>
            </a:graphic>
          </wp:inline>
        </w:drawing>
      </w:r>
    </w:p>
    <w:p w14:paraId="667AA741" w14:textId="77777777" w:rsidR="00521407" w:rsidRPr="00521407" w:rsidRDefault="00521407" w:rsidP="00521407">
      <w:pPr>
        <w:spacing w:before="120" w:line="240" w:lineRule="atLeast"/>
        <w:rPr>
          <w:rFonts w:eastAsia="Cambria" w:cs="Times New Roman"/>
          <w:szCs w:val="22"/>
        </w:rPr>
      </w:pPr>
      <w:r w:rsidRPr="00521407">
        <w:rPr>
          <w:rFonts w:eastAsia="Cambria" w:cs="Times New Roman"/>
          <w:szCs w:val="22"/>
        </w:rPr>
        <w:t>No new adverse reactions were identified up to one month after vaccination in this dataset.</w:t>
      </w:r>
    </w:p>
    <w:p w14:paraId="0A6F5A95" w14:textId="77777777" w:rsidR="00521407" w:rsidRPr="00521407" w:rsidRDefault="00521407" w:rsidP="00521407">
      <w:pPr>
        <w:spacing w:before="120" w:line="240" w:lineRule="atLeast"/>
        <w:rPr>
          <w:rFonts w:eastAsia="Cambria" w:cs="Times New Roman"/>
          <w:szCs w:val="22"/>
        </w:rPr>
      </w:pPr>
      <w:r w:rsidRPr="00521407">
        <w:rPr>
          <w:rFonts w:eastAsia="Cambria" w:cs="Times New Roman"/>
          <w:szCs w:val="22"/>
        </w:rPr>
        <w:t xml:space="preserve">The overall adverse effects profile of the Bivalent BA.4-5 (1.5/1.5) vaccine (Dose 4) was </w:t>
      </w:r>
      <w:proofErr w:type="gramStart"/>
      <w:r w:rsidRPr="00521407">
        <w:rPr>
          <w:rFonts w:eastAsia="Cambria" w:cs="Times New Roman"/>
          <w:szCs w:val="22"/>
        </w:rPr>
        <w:t>similar to</w:t>
      </w:r>
      <w:proofErr w:type="gramEnd"/>
      <w:r w:rsidRPr="00521407">
        <w:rPr>
          <w:rFonts w:eastAsia="Cambria" w:cs="Times New Roman"/>
          <w:szCs w:val="22"/>
        </w:rPr>
        <w:t xml:space="preserve"> that seen after 3 doses of the original monovalent (tozinameran) formulation at 3µg dose.</w:t>
      </w:r>
    </w:p>
    <w:p w14:paraId="27B80017" w14:textId="0D8523AE" w:rsidR="00521407" w:rsidRPr="00521407" w:rsidRDefault="003F4E79" w:rsidP="003F4E79">
      <w:pPr>
        <w:pStyle w:val="Heading2"/>
      </w:pPr>
      <w:bookmarkStart w:id="31" w:name="_Toc177995416"/>
      <w:r>
        <w:t>R</w:t>
      </w:r>
      <w:r w:rsidRPr="003F4E79">
        <w:t xml:space="preserve">isk/benefit </w:t>
      </w:r>
      <w:proofErr w:type="gramStart"/>
      <w:r w:rsidRPr="003F4E79">
        <w:t>assessment</w:t>
      </w:r>
      <w:bookmarkEnd w:id="31"/>
      <w:proofErr w:type="gramEnd"/>
    </w:p>
    <w:p w14:paraId="58E83C29" w14:textId="77777777" w:rsidR="00521407" w:rsidRPr="00521407" w:rsidRDefault="00521407" w:rsidP="007F77E9">
      <w:r w:rsidRPr="00521407">
        <w:t>Study C4591048/Substudy B/Group 2 was a single arm study of immunogenicity in which children aged 6 months to 4 years (&lt;5 years of age) who had completed a 3 dose primary series with the Bivalent BA.4-5 (1.5/1.5) were administered a booster (Dose 4) after a median of 189 days (range 60, 240) after completion of the primary series:</w:t>
      </w:r>
    </w:p>
    <w:p w14:paraId="6058C783" w14:textId="6DF35AAE" w:rsidR="00521407" w:rsidRP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394B82B7" wp14:editId="3D45184B">
            <wp:extent cx="5580882" cy="2852057"/>
            <wp:effectExtent l="0" t="0" r="1270" b="5715"/>
            <wp:docPr id="892679596" name="Picture 4"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79596" name="Picture 4" descr="A screenshot of a medical report&#10;&#10;Description automatically generated"/>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92127" cy="2857804"/>
                    </a:xfrm>
                    <a:prstGeom prst="rect">
                      <a:avLst/>
                    </a:prstGeom>
                    <a:noFill/>
                    <a:ln>
                      <a:noFill/>
                    </a:ln>
                  </pic:spPr>
                </pic:pic>
              </a:graphicData>
            </a:graphic>
          </wp:inline>
        </w:drawing>
      </w:r>
    </w:p>
    <w:p w14:paraId="48EAC588" w14:textId="77777777" w:rsidR="00521407" w:rsidRPr="00521407" w:rsidRDefault="00521407" w:rsidP="007F77E9">
      <w:r w:rsidRPr="00521407">
        <w:t>The median age at the time of Dose 4 was 20 months (range 11, 23) in ≥6 months to &lt;2 years age group and 3 years (range 2, 4) in ≥2 years to &lt;5 years age group.</w:t>
      </w:r>
    </w:p>
    <w:p w14:paraId="71A8BD2F" w14:textId="28867C03" w:rsidR="00521407" w:rsidRPr="00521407" w:rsidRDefault="00521407" w:rsidP="007F77E9">
      <w:r w:rsidRPr="00521407">
        <w:t xml:space="preserve">As noted earlier, the dossier was limited to the interim report of Dose 4, so that details of demographic features at the time of Dose 1, the primary vaccination series </w:t>
      </w:r>
      <w:proofErr w:type="gramStart"/>
      <w:r w:rsidRPr="00521407">
        <w:t>schedule</w:t>
      </w:r>
      <w:proofErr w:type="gramEnd"/>
      <w:r w:rsidRPr="00521407">
        <w:t xml:space="preserve"> and the results at the completion of Dose 3 were not available. Some of these aspects have been requested from the </w:t>
      </w:r>
      <w:r w:rsidR="005A4939">
        <w:t>Sponsor</w:t>
      </w:r>
      <w:r w:rsidRPr="00521407">
        <w:t xml:space="preserve"> and are awaited at the time of writing of this overview. The full details are expected when the full clinical study report of the completed Study C4591048 becomes available.</w:t>
      </w:r>
    </w:p>
    <w:p w14:paraId="716E988D" w14:textId="77777777" w:rsidR="00521407" w:rsidRPr="00521407" w:rsidRDefault="00521407" w:rsidP="007F77E9">
      <w:r w:rsidRPr="00521407">
        <w:t>The comparison with non-concurrent controls after 3 doses in Study C4591007 was neither meaningful nor interpretable so that the comparative statistical analyses can be disregarded. This would have been useful if there was a Dose 4 in these controls (of whichever vaccine) or correlates of protection were known.</w:t>
      </w:r>
    </w:p>
    <w:p w14:paraId="3ADF4964" w14:textId="0D408483" w:rsidR="00521407" w:rsidRPr="00521407" w:rsidRDefault="00521407" w:rsidP="007F77E9">
      <w:r w:rsidRPr="00521407">
        <w:t>The descriptive GMTs within the Study C4591048 provide a good indication of the immune response post Dose 4.</w:t>
      </w:r>
    </w:p>
    <w:p w14:paraId="230F5806" w14:textId="46E6EA17" w:rsidR="00521407" w:rsidRPr="00521407" w:rsidRDefault="00521407" w:rsidP="007F77E9">
      <w:r w:rsidRPr="00521407">
        <w:t xml:space="preserve">For the Omicron BA 4-5 specific neutralising antibodies, the fold increase in GMTs from Pre- to Post- vaccination was </w:t>
      </w:r>
      <w:proofErr w:type="gramStart"/>
      <w:r w:rsidRPr="00521407">
        <w:t>8-9 fold</w:t>
      </w:r>
      <w:proofErr w:type="gramEnd"/>
      <w:r w:rsidRPr="00521407">
        <w:t xml:space="preserve"> overall as well as within the two age substrata regardless of baseline serostatus. The increase was </w:t>
      </w:r>
      <w:proofErr w:type="gramStart"/>
      <w:r w:rsidRPr="00521407">
        <w:t>3-4 fold</w:t>
      </w:r>
      <w:proofErr w:type="gramEnd"/>
      <w:r w:rsidRPr="00521407">
        <w:t xml:space="preserve"> overall as well as within the two age substrata in baseline seropositive participants. The increase was </w:t>
      </w:r>
      <w:proofErr w:type="gramStart"/>
      <w:r w:rsidRPr="00521407">
        <w:t>12-14 fold</w:t>
      </w:r>
      <w:proofErr w:type="gramEnd"/>
      <w:r w:rsidRPr="00521407">
        <w:t xml:space="preserve"> overall as well as within the two age substrata in baseline seronegative participants.</w:t>
      </w:r>
    </w:p>
    <w:p w14:paraId="1EB097BA" w14:textId="57B3B62B" w:rsidR="00521407" w:rsidRPr="00521407" w:rsidRDefault="00521407" w:rsidP="007F77E9">
      <w:r w:rsidRPr="00521407">
        <w:t xml:space="preserve">For the reference (Original) strain specific neutralising antibodies, the GMT response was qualitatively similar but quantitatively much subdued despite the bivalent formulation containing equal amount of the original variant mRNA. The fold increase in GMTs from </w:t>
      </w:r>
      <w:r w:rsidR="00367133">
        <w:t>p</w:t>
      </w:r>
      <w:r w:rsidRPr="00521407">
        <w:t xml:space="preserve">re- to </w:t>
      </w:r>
      <w:r w:rsidR="00367133">
        <w:t>p</w:t>
      </w:r>
      <w:r w:rsidRPr="00521407">
        <w:t xml:space="preserve">ost-vaccination was ≈3.5 fold overall as well as within the two age substrata regardless of baseline serostatus. The increase was up to </w:t>
      </w:r>
      <w:proofErr w:type="gramStart"/>
      <w:r w:rsidRPr="00521407">
        <w:t>2 fold</w:t>
      </w:r>
      <w:proofErr w:type="gramEnd"/>
      <w:r w:rsidRPr="00521407">
        <w:t xml:space="preserve"> overall as well as within the two age substrata in baseline seropositive participants. The increase was ≈4.5 fold overall as well as within the two age substrata in baseline seronegative participants.</w:t>
      </w:r>
    </w:p>
    <w:p w14:paraId="77B9813A" w14:textId="03E41D01" w:rsidR="00521407" w:rsidRPr="00521407" w:rsidRDefault="00521407" w:rsidP="007F77E9">
      <w:r w:rsidRPr="00521407">
        <w:t xml:space="preserve">However, the validity of these findings is much diminished as these were based on an Evaluable Immunogenicity subset of n=60. The </w:t>
      </w:r>
      <w:r w:rsidR="005A4939">
        <w:t>Sponsor</w:t>
      </w:r>
      <w:r w:rsidRPr="00521407">
        <w:t xml:space="preserve"> has been asked to account for the participant disposition from the start of study at Dose 1 to the reported results at Dose 4.</w:t>
      </w:r>
    </w:p>
    <w:p w14:paraId="229F72ED" w14:textId="77777777" w:rsidR="00521407" w:rsidRPr="00521407" w:rsidRDefault="00521407" w:rsidP="007F77E9">
      <w:r w:rsidRPr="00521407">
        <w:t>The adverse effects profile with Dose 4 at 1 month follow up (using safety population set N=310) in Study C4591048 (Substudy B/Group 2) was consistent with the known adverse effects profile with the original monovalent vaccine for this age group. No new or unexpected adverse findings were reported in the interim dossier.</w:t>
      </w:r>
    </w:p>
    <w:p w14:paraId="5A08B474" w14:textId="77777777" w:rsidR="00521407" w:rsidRPr="00521407" w:rsidRDefault="00521407" w:rsidP="007F77E9">
      <w:r w:rsidRPr="00521407">
        <w:t>A useful finding was the report of 22 cases of COVID-19 infection (noted earlier); please see further recommendations for the PI.</w:t>
      </w:r>
    </w:p>
    <w:p w14:paraId="1AFFB57D" w14:textId="712FE82C" w:rsidR="00521407" w:rsidRPr="00521407" w:rsidRDefault="00521407" w:rsidP="007F77E9">
      <w:r w:rsidRPr="00521407">
        <w:t xml:space="preserve">The </w:t>
      </w:r>
      <w:r w:rsidR="005A4939">
        <w:t>Sponsor</w:t>
      </w:r>
      <w:r w:rsidRPr="00521407">
        <w:t xml:space="preserve"> is seeking use of the Bivalent BA 4-5 vaccine for primary series and for additional (booster) dosing in this age group (6 months to 4 years of age). Pending the availability of results of the primary series in the Study C4591048, the tabular summary of results from the </w:t>
      </w:r>
      <w:r w:rsidRPr="00521407">
        <w:rPr>
          <w:lang w:val="en-US"/>
        </w:rPr>
        <w:t xml:space="preserve">Study C4591048 (Substudy A) is a useful guide. The design of the Phase I Study C4591048 (subset of Substudy A) within the master protocol of </w:t>
      </w:r>
      <w:r w:rsidRPr="00521407">
        <w:t>Study C4591048 was as follows:</w:t>
      </w:r>
    </w:p>
    <w:p w14:paraId="5EE22CBD" w14:textId="71DE8F08" w:rsidR="00521407" w:rsidRPr="00521407" w:rsidRDefault="00521407" w:rsidP="00521407">
      <w:pPr>
        <w:spacing w:before="120" w:line="240" w:lineRule="atLeast"/>
        <w:jc w:val="center"/>
        <w:rPr>
          <w:rFonts w:eastAsia="Cambria" w:cs="Times New Roman"/>
          <w:szCs w:val="22"/>
        </w:rPr>
      </w:pPr>
      <w:r w:rsidRPr="00521407">
        <w:rPr>
          <w:rFonts w:eastAsia="Cambria" w:cs="Times New Roman"/>
          <w:noProof/>
          <w:szCs w:val="22"/>
        </w:rPr>
        <w:drawing>
          <wp:inline distT="0" distB="0" distL="0" distR="0" wp14:anchorId="20E2675F" wp14:editId="500EAC32">
            <wp:extent cx="5713879" cy="2407285"/>
            <wp:effectExtent l="0" t="0" r="1270" b="0"/>
            <wp:docPr id="1727555778" name="Picture 3" descr="A table with a number of medic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55778" name="Picture 3" descr="A table with a number of medications&#10;&#10;Description automatically generated with medium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l="1283" r="2408"/>
                    <a:stretch/>
                  </pic:blipFill>
                  <pic:spPr bwMode="auto">
                    <a:xfrm>
                      <a:off x="0" y="0"/>
                      <a:ext cx="5724460" cy="2411743"/>
                    </a:xfrm>
                    <a:prstGeom prst="rect">
                      <a:avLst/>
                    </a:prstGeom>
                    <a:noFill/>
                    <a:ln>
                      <a:noFill/>
                    </a:ln>
                    <a:extLst>
                      <a:ext uri="{53640926-AAD7-44D8-BBD7-CCE9431645EC}">
                        <a14:shadowObscured xmlns:a14="http://schemas.microsoft.com/office/drawing/2010/main"/>
                      </a:ext>
                    </a:extLst>
                  </pic:spPr>
                </pic:pic>
              </a:graphicData>
            </a:graphic>
          </wp:inline>
        </w:drawing>
      </w:r>
    </w:p>
    <w:p w14:paraId="64965DB2" w14:textId="0B74405D" w:rsidR="00521407" w:rsidRPr="00521407" w:rsidRDefault="00521407" w:rsidP="007F77E9">
      <w:r w:rsidRPr="00521407">
        <w:t>Further justification and basis of extrapolation for the Bivalent BA 4-5 bivalent extension of use to include all ages from 6 months and above for primary and additional doses include the previous Study C4591007 (6 Month to &lt;5 Years of Age) wherein the interim CSR presented immunogenicity and efficacy data from participants in the 6 months to &lt;2 years of age and 2 to &lt;5 years of age groups and showed that vaccinating children 6 months to &lt;5 years of age with 3 doses of BNT162b2 3μg affords measurable protection against symptomatic COVID-19 and the observed safety profile was indicative of a safe and tolerable vaccine. Original COMIRNATY monovalent vaccine has full registration status in Australia. This study, among others, formed the basis for transition of provisional to full registration of the original monovalent formulation (</w:t>
      </w:r>
      <w:hyperlink r:id="rId50" w:history="1">
        <w:r w:rsidR="00B404BA">
          <w:rPr>
            <w:color w:val="0000FF"/>
            <w:u w:val="single"/>
          </w:rPr>
          <w:t>AusPAR: Comirnaty COVID-19 Vaccine</w:t>
        </w:r>
      </w:hyperlink>
      <w:r w:rsidRPr="00521407">
        <w:t>).</w:t>
      </w:r>
    </w:p>
    <w:p w14:paraId="77955A84" w14:textId="6B931BBF" w:rsidR="00521407" w:rsidRPr="00521407" w:rsidRDefault="00521407" w:rsidP="007F77E9">
      <w:pPr>
        <w:rPr>
          <w:rFonts w:eastAsia="MS Mincho"/>
          <w:lang w:eastAsia="ja-JP"/>
        </w:rPr>
      </w:pPr>
      <w:r w:rsidRPr="00521407">
        <w:rPr>
          <w:rFonts w:eastAsia="MS Mincho"/>
          <w:lang w:eastAsia="ja-JP"/>
        </w:rPr>
        <w:t>Furthermore, indirect support for use in this age group is afforded by COMIRNATY monovalent XBB 1.5 vaccine which currently has full registration in Australia for primary and additional doses from 6 months of age group and above (</w:t>
      </w:r>
      <w:hyperlink r:id="rId51" w:history="1">
        <w:r w:rsidR="008C29F4">
          <w:rPr>
            <w:rFonts w:eastAsia="MS Mincho"/>
            <w:color w:val="0000FF"/>
            <w:u w:val="single"/>
            <w:lang w:eastAsia="ja-JP"/>
          </w:rPr>
          <w:t>AusPAR: Comirnaty Omicron XBB.1.5</w:t>
        </w:r>
      </w:hyperlink>
      <w:r w:rsidRPr="00521407">
        <w:rPr>
          <w:rFonts w:eastAsia="MS Mincho"/>
          <w:lang w:eastAsia="ja-JP"/>
        </w:rPr>
        <w:t>).</w:t>
      </w:r>
    </w:p>
    <w:p w14:paraId="37BE6686" w14:textId="77777777" w:rsidR="00521407" w:rsidRPr="00521407" w:rsidRDefault="00521407" w:rsidP="007F77E9">
      <w:r w:rsidRPr="00521407">
        <w:t xml:space="preserve">In the US authorisation of Omicron BA.4/BA.5-adapted bivalent COVID-19 vaccine for all doses to individuals 6 months of age and older and has been superseded by the currently supplied “2023-2024 Formula”. </w:t>
      </w:r>
      <w:r w:rsidRPr="00521407">
        <w:rPr>
          <w:lang w:val="en-US"/>
        </w:rPr>
        <w:t>The Bivalent BA.4-5 vaccine (from 6 months of age and above including primary and additional doses) remains fully authorised in Canada and the EU.</w:t>
      </w:r>
    </w:p>
    <w:p w14:paraId="1E70042A" w14:textId="5460B70F" w:rsidR="00521407" w:rsidRPr="00521407" w:rsidRDefault="00521407" w:rsidP="007F77E9">
      <w:pPr>
        <w:rPr>
          <w:lang w:val="en-US"/>
        </w:rPr>
      </w:pPr>
      <w:r w:rsidRPr="00521407">
        <w:rPr>
          <w:lang w:val="en-US"/>
        </w:rPr>
        <w:t>In Australia, the programmatic public implementation of vaccinations is informed by clinical advice from ATAGI (</w:t>
      </w:r>
      <w:hyperlink r:id="rId52" w:history="1">
        <w:r w:rsidR="008C29F4">
          <w:rPr>
            <w:color w:val="0000FF"/>
            <w:u w:val="single"/>
            <w:lang w:val="en-US"/>
          </w:rPr>
          <w:t>ATAGI statement on the administration of covid-19 vaccines in 2024</w:t>
        </w:r>
      </w:hyperlink>
      <w:r w:rsidRPr="00521407">
        <w:rPr>
          <w:lang w:val="en-US"/>
        </w:rPr>
        <w:t>).</w:t>
      </w:r>
    </w:p>
    <w:p w14:paraId="4A5C7ECC" w14:textId="77777777" w:rsidR="00521407" w:rsidRPr="00521407" w:rsidRDefault="00521407" w:rsidP="005727B0">
      <w:pPr>
        <w:pStyle w:val="Heading4"/>
      </w:pPr>
      <w:bookmarkStart w:id="32" w:name="_Toc177995417"/>
      <w:r w:rsidRPr="00521407">
        <w:t>Conclusion and recommended course of action</w:t>
      </w:r>
      <w:bookmarkEnd w:id="32"/>
    </w:p>
    <w:p w14:paraId="59793325" w14:textId="4151A967" w:rsidR="00521407" w:rsidRPr="00521407" w:rsidRDefault="008C29F4" w:rsidP="007F77E9">
      <w:pPr>
        <w:rPr>
          <w:lang w:val="en-US"/>
        </w:rPr>
      </w:pPr>
      <w:r>
        <w:rPr>
          <w:lang w:val="en-US"/>
        </w:rPr>
        <w:t>T</w:t>
      </w:r>
      <w:r w:rsidR="00521407" w:rsidRPr="00521407">
        <w:rPr>
          <w:lang w:val="en-US"/>
        </w:rPr>
        <w:t xml:space="preserve">he </w:t>
      </w:r>
      <w:r w:rsidR="005A4939">
        <w:rPr>
          <w:lang w:val="en-US"/>
        </w:rPr>
        <w:t>Sponsor</w:t>
      </w:r>
      <w:r w:rsidR="00521407" w:rsidRPr="00521407">
        <w:rPr>
          <w:lang w:val="en-US"/>
        </w:rPr>
        <w:t xml:space="preserve"> has acknowledged that “the current circulating strains and the epidemiology of COVID-19 has moved on from the Omicron BA.4-5 related strains since submission of the application. As the only bivalent COVID-19 vaccine formulation for the paediatric population (6 months to &lt;5 years of age), the </w:t>
      </w:r>
      <w:r w:rsidR="005A4939">
        <w:rPr>
          <w:lang w:val="en-US"/>
        </w:rPr>
        <w:t>Sponsor</w:t>
      </w:r>
      <w:r w:rsidR="00521407" w:rsidRPr="00521407">
        <w:rPr>
          <w:lang w:val="en-US"/>
        </w:rPr>
        <w:t xml:space="preserve"> wishes to </w:t>
      </w:r>
      <w:r w:rsidR="008A621A">
        <w:rPr>
          <w:lang w:val="en-US"/>
        </w:rPr>
        <w:t>proceed</w:t>
      </w:r>
      <w:r w:rsidR="00521407" w:rsidRPr="00521407">
        <w:rPr>
          <w:lang w:val="en-US"/>
        </w:rPr>
        <w:t xml:space="preserve"> with the proposed registration in preparation for the potential future requirement to supply bivalent COVID-19 vaccine with updated strains.</w:t>
      </w:r>
    </w:p>
    <w:p w14:paraId="19AC06E2" w14:textId="77777777" w:rsidR="00521407" w:rsidRPr="00521407" w:rsidRDefault="00521407" w:rsidP="007F77E9">
      <w:r w:rsidRPr="00521407">
        <w:t>At present, two monovalent BNT162b2 vaccines (original and XBB 1.5) are approved for all ages from 6 months and above for primary and booster dosing. Both have full registration although the original formulation is no longer in current use.</w:t>
      </w:r>
    </w:p>
    <w:p w14:paraId="7790C9EA" w14:textId="74DC9B99" w:rsidR="00521407" w:rsidRPr="00521407" w:rsidRDefault="00521407" w:rsidP="007F77E9">
      <w:r w:rsidRPr="00521407">
        <w:t>At present no bivalent BNT162b2 vaccine has approval for use from 6 months of age and above nor full registration in any population in Australia.</w:t>
      </w:r>
    </w:p>
    <w:p w14:paraId="089F1098" w14:textId="4E4A2BDA" w:rsidR="00521407" w:rsidRPr="00521407" w:rsidRDefault="00521407" w:rsidP="007F77E9">
      <w:r w:rsidRPr="00521407">
        <w:t xml:space="preserve">The interim results of the Study </w:t>
      </w:r>
      <w:r w:rsidRPr="00521407">
        <w:rPr>
          <w:lang w:val="en-US"/>
        </w:rPr>
        <w:t>C4591048 (Substudy B/Group 2) and the overall totality of data support provisional approval of the</w:t>
      </w:r>
      <w:r w:rsidR="008A621A">
        <w:rPr>
          <w:lang w:val="en-US"/>
        </w:rPr>
        <w:t xml:space="preserve"> </w:t>
      </w:r>
      <w:r w:rsidRPr="00521407">
        <w:t>Bivalent (original/BA 4-5) from 6 months of age and above including primary and additional doses.</w:t>
      </w:r>
    </w:p>
    <w:p w14:paraId="594C50FD" w14:textId="5280A688" w:rsidR="00521407" w:rsidRPr="00521407" w:rsidRDefault="00521407" w:rsidP="007F77E9">
      <w:r w:rsidRPr="00521407">
        <w:t xml:space="preserve">The main purpose of this approval at this time would be to allow entry </w:t>
      </w:r>
      <w:r w:rsidR="00E2073C">
        <w:t>of Comirnaty</w:t>
      </w:r>
      <w:r w:rsidR="00E2073C" w:rsidRPr="00E2073C">
        <w:t xml:space="preserve"> Original/Omicron BA.4-5 Vaccine </w:t>
      </w:r>
      <w:r w:rsidRPr="00521407">
        <w:t>onto the ARTG as a bivalent</w:t>
      </w:r>
      <w:r w:rsidR="008A621A">
        <w:t xml:space="preserve"> vaccine</w:t>
      </w:r>
      <w:r w:rsidRPr="00521407">
        <w:t xml:space="preserve"> ‘placeholder’ </w:t>
      </w:r>
      <w:r w:rsidR="008A621A">
        <w:t xml:space="preserve">that has </w:t>
      </w:r>
      <w:r w:rsidRPr="00521407">
        <w:t xml:space="preserve">approval </w:t>
      </w:r>
      <w:r w:rsidR="008A621A">
        <w:t>for a</w:t>
      </w:r>
      <w:r w:rsidRPr="00521407">
        <w:t xml:space="preserve"> full age and dosing </w:t>
      </w:r>
      <w:proofErr w:type="gramStart"/>
      <w:r w:rsidR="008A621A" w:rsidRPr="008A621A">
        <w:t>range</w:t>
      </w:r>
      <w:proofErr w:type="gramEnd"/>
      <w:r w:rsidR="008A621A" w:rsidRPr="008A621A">
        <w:t xml:space="preserve"> </w:t>
      </w:r>
      <w:r w:rsidR="008A621A">
        <w:t xml:space="preserve">and </w:t>
      </w:r>
      <w:r w:rsidRPr="00521407">
        <w:t>which can be updated to a relevant and current strain should such need arise</w:t>
      </w:r>
      <w:r w:rsidR="008A621A">
        <w:t>.</w:t>
      </w:r>
      <w:r w:rsidRPr="00521407">
        <w:t xml:space="preserve"> A few such ‘model’ vaccines are currently on </w:t>
      </w:r>
      <w:r w:rsidR="008A621A">
        <w:t xml:space="preserve">the </w:t>
      </w:r>
      <w:r w:rsidRPr="00521407">
        <w:t xml:space="preserve">ARTG </w:t>
      </w:r>
      <w:r w:rsidR="008A621A">
        <w:t>for</w:t>
      </w:r>
      <w:r w:rsidRPr="00521407">
        <w:t xml:space="preserve"> non-circulating avian influenza strains</w:t>
      </w:r>
      <w:r w:rsidR="00E2073C">
        <w:t xml:space="preserve"> serving this purpose (however, unlike these bird flu strains, t</w:t>
      </w:r>
      <w:r w:rsidRPr="00521407">
        <w:t xml:space="preserve">he SARS-CoV-2 virus is well established and </w:t>
      </w:r>
      <w:r w:rsidR="00E2073C">
        <w:t xml:space="preserve">presently </w:t>
      </w:r>
      <w:r w:rsidRPr="00521407">
        <w:t>circulating in human populations</w:t>
      </w:r>
      <w:r w:rsidR="00E2073C">
        <w:t>)</w:t>
      </w:r>
      <w:r w:rsidRPr="00521407">
        <w:t>.</w:t>
      </w:r>
    </w:p>
    <w:p w14:paraId="5FCBD579" w14:textId="0B9F3460" w:rsidR="00521407" w:rsidRPr="00521407" w:rsidRDefault="00E2073C" w:rsidP="007F77E9">
      <w:r>
        <w:t>T</w:t>
      </w:r>
      <w:r w:rsidR="00521407" w:rsidRPr="00521407">
        <w:t>he controls on availability and use of this vaccine should be consistent with the recommendation of ATAGI and the Australian Immunisation Handbook</w:t>
      </w:r>
      <w:r w:rsidR="003C2D98">
        <w:t>,</w:t>
      </w:r>
      <w:r w:rsidR="00521407" w:rsidRPr="00521407">
        <w:t xml:space="preserve"> </w:t>
      </w:r>
      <w:r>
        <w:t xml:space="preserve">which </w:t>
      </w:r>
      <w:r w:rsidR="00521407" w:rsidRPr="00521407">
        <w:t xml:space="preserve">are considered sufficient to preclude any inappropriate use. </w:t>
      </w:r>
    </w:p>
    <w:p w14:paraId="29C95B73" w14:textId="0C668104" w:rsidR="00521407" w:rsidRPr="00521407" w:rsidRDefault="00521407" w:rsidP="007F77E9">
      <w:r w:rsidRPr="00521407">
        <w:t>Provisional approval is proposed.</w:t>
      </w:r>
    </w:p>
    <w:p w14:paraId="307F236C" w14:textId="77777777" w:rsidR="00C22214" w:rsidRPr="002E238E" w:rsidRDefault="00C22214" w:rsidP="00C22214">
      <w:pPr>
        <w:pStyle w:val="Heading2"/>
      </w:pPr>
      <w:bookmarkStart w:id="33" w:name="_Toc247691532"/>
      <w:bookmarkStart w:id="34" w:name="_Toc314842516"/>
      <w:bookmarkStart w:id="35" w:name="_Toc103679300"/>
      <w:bookmarkStart w:id="36" w:name="_Toc177995418"/>
      <w:r>
        <w:t>Outcome</w:t>
      </w:r>
      <w:bookmarkEnd w:id="33"/>
      <w:bookmarkEnd w:id="34"/>
      <w:bookmarkEnd w:id="35"/>
      <w:bookmarkEnd w:id="36"/>
    </w:p>
    <w:p w14:paraId="4EF22939" w14:textId="08B3FD37"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3C2D98" w:rsidRPr="003C2D98">
        <w:t xml:space="preserve">Comirnaty original/omicron BA.4 COVID-19 vaccine </w:t>
      </w:r>
      <w:r w:rsidR="003C2D98">
        <w:t>(</w:t>
      </w:r>
      <w:r w:rsidR="003C2D98" w:rsidRPr="003C2D98">
        <w:t xml:space="preserve">tozinameran/famtozinameran) </w:t>
      </w:r>
      <w:r w:rsidRPr="0017005C">
        <w:t xml:space="preserve">for the following </w:t>
      </w:r>
      <w:r w:rsidR="008A621A">
        <w:t>i</w:t>
      </w:r>
      <w:r w:rsidRPr="0017005C">
        <w:t>ndication</w:t>
      </w:r>
      <w:r w:rsidR="008A621A">
        <w:t>:</w:t>
      </w:r>
    </w:p>
    <w:p w14:paraId="7130F99B" w14:textId="77777777" w:rsidR="004713D3" w:rsidRDefault="004713D3" w:rsidP="004713D3">
      <w:pPr>
        <w:pStyle w:val="Indication"/>
      </w:pPr>
      <w:r>
        <w:t xml:space="preserve">COMIRNATY Original/Omicron BA.4-5 Vaccine has </w:t>
      </w:r>
      <w:r w:rsidRPr="00921A1D">
        <w:rPr>
          <w:b/>
          <w:bCs/>
        </w:rPr>
        <w:t>provisional approval</w:t>
      </w:r>
      <w:r>
        <w:t xml:space="preserve"> for the</w:t>
      </w:r>
    </w:p>
    <w:p w14:paraId="7EE49475" w14:textId="77777777" w:rsidR="004713D3" w:rsidRDefault="004713D3" w:rsidP="004713D3">
      <w:pPr>
        <w:pStyle w:val="Indication"/>
      </w:pPr>
      <w:r>
        <w:t>indication below:</w:t>
      </w:r>
    </w:p>
    <w:p w14:paraId="4D6D7F04" w14:textId="441B42CB" w:rsidR="004713D3" w:rsidRDefault="004713D3" w:rsidP="004713D3">
      <w:pPr>
        <w:pStyle w:val="Indication"/>
      </w:pPr>
      <w:r>
        <w:t xml:space="preserve">Active immunisation to prevent coronavirus disease 2019 (COVID-19) caused by </w:t>
      </w:r>
      <w:r w:rsidR="00E36A4E">
        <w:br/>
      </w:r>
      <w:r>
        <w:t>SARSCoV-2, in individuals 6 months of age and older.</w:t>
      </w:r>
    </w:p>
    <w:p w14:paraId="7CAE9B9C" w14:textId="77777777" w:rsidR="004713D3" w:rsidRDefault="004713D3" w:rsidP="004713D3">
      <w:pPr>
        <w:pStyle w:val="Indication"/>
      </w:pPr>
      <w:r>
        <w:t>The use of this vaccine should be in accordance with official recommendations.</w:t>
      </w:r>
    </w:p>
    <w:p w14:paraId="5194A3BC" w14:textId="77777777" w:rsidR="004713D3" w:rsidRDefault="004713D3" w:rsidP="004713D3">
      <w:pPr>
        <w:pStyle w:val="Indication"/>
      </w:pPr>
      <w:r>
        <w:t xml:space="preserve">The decision has been made on the basis of </w:t>
      </w:r>
      <w:proofErr w:type="gramStart"/>
      <w:r>
        <w:t>short term</w:t>
      </w:r>
      <w:proofErr w:type="gramEnd"/>
      <w:r>
        <w:t xml:space="preserve"> immunogenicity and safety data.</w:t>
      </w:r>
    </w:p>
    <w:p w14:paraId="4E5A4B12" w14:textId="77777777" w:rsidR="004713D3" w:rsidRDefault="004713D3" w:rsidP="004713D3">
      <w:pPr>
        <w:pStyle w:val="Indication"/>
      </w:pPr>
      <w:r>
        <w:t xml:space="preserve">Continued approval depends on the evidence of </w:t>
      </w:r>
      <w:proofErr w:type="gramStart"/>
      <w:r>
        <w:t>longer term</w:t>
      </w:r>
      <w:proofErr w:type="gramEnd"/>
      <w:r>
        <w:t xml:space="preserve"> efficacy and safety from</w:t>
      </w:r>
    </w:p>
    <w:p w14:paraId="0A735790" w14:textId="78FEE154" w:rsidR="004713D3" w:rsidRPr="0017005C" w:rsidRDefault="004713D3" w:rsidP="004713D3">
      <w:pPr>
        <w:pStyle w:val="Indication"/>
      </w:pPr>
      <w:r>
        <w:t>ongoing clinical trials and post-market assessment.</w:t>
      </w:r>
    </w:p>
    <w:p w14:paraId="0D732DA4" w14:textId="77777777" w:rsidR="00854D98" w:rsidRDefault="00854D98" w:rsidP="009E3553">
      <w:pPr>
        <w:pStyle w:val="Heading4"/>
      </w:pPr>
      <w:bookmarkStart w:id="37" w:name="_Toc103679301"/>
      <w:bookmarkStart w:id="38" w:name="_Toc177995419"/>
      <w:r w:rsidRPr="00D23139">
        <w:t>Specific conditions of registration applying to these goods</w:t>
      </w:r>
      <w:bookmarkEnd w:id="37"/>
      <w:bookmarkEnd w:id="38"/>
    </w:p>
    <w:p w14:paraId="754D638F" w14:textId="02976F40" w:rsidR="004347A0" w:rsidRPr="004347A0" w:rsidRDefault="004347A0" w:rsidP="004203C3">
      <w:pPr>
        <w:pStyle w:val="Heading5"/>
      </w:pPr>
      <w:r w:rsidRPr="004347A0">
        <w:t xml:space="preserve">RMP </w:t>
      </w:r>
      <w:r w:rsidR="007F77E9">
        <w:t>c</w:t>
      </w:r>
      <w:r w:rsidRPr="004347A0">
        <w:t>onditions</w:t>
      </w:r>
    </w:p>
    <w:p w14:paraId="56A04303" w14:textId="212C955A" w:rsidR="004347A0" w:rsidRPr="004347A0" w:rsidRDefault="004347A0" w:rsidP="007F77E9">
      <w:r w:rsidRPr="004347A0">
        <w:t>Comirnaty Original/Omicron BA.4-5 (tozinameran/famtozinameran) is to be included</w:t>
      </w:r>
      <w:r>
        <w:t xml:space="preserve"> </w:t>
      </w:r>
      <w:r w:rsidRPr="004347A0">
        <w:t>in the Black Triangle Scheme. The PI and CMI for Comirnaty Original/Omicron BA.4-5</w:t>
      </w:r>
      <w:r>
        <w:t xml:space="preserve"> </w:t>
      </w:r>
      <w:r w:rsidRPr="004347A0">
        <w:t>must include the black triangle symbol and mandatory accompanying text for five years,</w:t>
      </w:r>
      <w:r>
        <w:t xml:space="preserve"> </w:t>
      </w:r>
      <w:r w:rsidRPr="004347A0">
        <w:t>or the product’s entire period of provisional registration, whichever is longer.</w:t>
      </w:r>
    </w:p>
    <w:p w14:paraId="1ADF0727" w14:textId="5763BBA6" w:rsidR="004347A0" w:rsidRPr="004347A0" w:rsidRDefault="004347A0" w:rsidP="007F77E9">
      <w:r w:rsidRPr="004347A0">
        <w:t>The Comirnaty Original/Omicron BA.4-5 EU-Risk Management Plan (RMP) (version</w:t>
      </w:r>
      <w:r>
        <w:t xml:space="preserve"> </w:t>
      </w:r>
      <w:r w:rsidRPr="004347A0">
        <w:t>10.0, dated 22 June 2023, data lock points 15 November 2022 and 25 November 2022),</w:t>
      </w:r>
      <w:r>
        <w:t xml:space="preserve"> </w:t>
      </w:r>
      <w:r w:rsidRPr="004347A0">
        <w:t>with Australian Specific Annex (version 0.8, dated July 2023), included with submission</w:t>
      </w:r>
      <w:r>
        <w:t xml:space="preserve"> </w:t>
      </w:r>
      <w:r w:rsidRPr="004347A0">
        <w:t>PM-2023-03314-1-2, and any subsequent revisions, as agreed with the TGA will be</w:t>
      </w:r>
      <w:r>
        <w:t xml:space="preserve"> </w:t>
      </w:r>
      <w:r w:rsidRPr="004347A0">
        <w:t>implemented in Australia.</w:t>
      </w:r>
    </w:p>
    <w:p w14:paraId="679F0053" w14:textId="688FBB85" w:rsidR="004347A0" w:rsidRPr="004347A0" w:rsidRDefault="004347A0" w:rsidP="007F77E9">
      <w:r w:rsidRPr="004347A0">
        <w:t>An obligatory component of risk management plans is routine pharmacovigilance.</w:t>
      </w:r>
      <w:r>
        <w:t xml:space="preserve"> </w:t>
      </w:r>
      <w:r w:rsidRPr="004347A0">
        <w:t>Routine pharmacovigilance includes the submission of periodic safety update</w:t>
      </w:r>
      <w:r>
        <w:t xml:space="preserve"> </w:t>
      </w:r>
      <w:r w:rsidRPr="004347A0">
        <w:t>reports (PSURs).</w:t>
      </w:r>
    </w:p>
    <w:p w14:paraId="00A875CE" w14:textId="48B559E6" w:rsidR="004347A0" w:rsidRPr="004347A0" w:rsidRDefault="004347A0" w:rsidP="007F77E9">
      <w:r w:rsidRPr="004347A0">
        <w:t>Unless agreed separately between the supplier who is the recipient of the approval</w:t>
      </w:r>
      <w:r>
        <w:t xml:space="preserve"> </w:t>
      </w:r>
      <w:r w:rsidRPr="004347A0">
        <w:t>and the TGA, the first report must be submitted to TGA no later than 15 calendar</w:t>
      </w:r>
      <w:r>
        <w:t xml:space="preserve"> </w:t>
      </w:r>
      <w:r w:rsidRPr="004347A0">
        <w:t>months after the date of this approval letter. The subsequent reports must be</w:t>
      </w:r>
      <w:r>
        <w:t xml:space="preserve"> </w:t>
      </w:r>
      <w:r w:rsidRPr="004347A0">
        <w:t>submitted no less frequently than annually from the date of the first submitted</w:t>
      </w:r>
      <w:r>
        <w:t xml:space="preserve"> </w:t>
      </w:r>
      <w:r w:rsidRPr="004347A0">
        <w:t>report until the period covered by such reports is not less than three years from the</w:t>
      </w:r>
      <w:r>
        <w:t xml:space="preserve"> </w:t>
      </w:r>
      <w:r w:rsidRPr="004347A0">
        <w:t>date of this approval letter, or the entire period of provisional registration,</w:t>
      </w:r>
      <w:r>
        <w:t xml:space="preserve"> </w:t>
      </w:r>
      <w:r w:rsidRPr="004347A0">
        <w:t>whichever is longer.</w:t>
      </w:r>
    </w:p>
    <w:p w14:paraId="1695C8B3" w14:textId="71E87FB0" w:rsidR="004347A0" w:rsidRPr="004347A0" w:rsidRDefault="004347A0" w:rsidP="007F77E9">
      <w:r w:rsidRPr="004347A0">
        <w:t>The reports are to at least meet the requirements for PSURs as described in the</w:t>
      </w:r>
      <w:r>
        <w:t xml:space="preserve"> </w:t>
      </w:r>
      <w:r w:rsidRPr="004347A0">
        <w:t>European Medicines Agency’s Guideline on good pharmacovigilance practices (GVP)</w:t>
      </w:r>
      <w:r>
        <w:t xml:space="preserve"> </w:t>
      </w:r>
      <w:r w:rsidRPr="004347A0">
        <w:t>Module VII-periodic safety update report (Rev 1), Part VII.B Structures and processes.</w:t>
      </w:r>
      <w:r>
        <w:t xml:space="preserve"> </w:t>
      </w:r>
      <w:r w:rsidRPr="004347A0">
        <w:t>Note that submission of a PSUR does not constitute an application to vary the</w:t>
      </w:r>
      <w:r>
        <w:t xml:space="preserve"> </w:t>
      </w:r>
      <w:r w:rsidRPr="004347A0">
        <w:t>registration. Each report must have been prepared within ninety calendar days of the</w:t>
      </w:r>
      <w:r>
        <w:t xml:space="preserve"> </w:t>
      </w:r>
      <w:r w:rsidRPr="004347A0">
        <w:t>data lock point for that report.</w:t>
      </w:r>
    </w:p>
    <w:p w14:paraId="22610D1B" w14:textId="3133D7CC" w:rsidR="004347A0" w:rsidRPr="004347A0" w:rsidRDefault="004347A0" w:rsidP="007F77E9">
      <w:r w:rsidRPr="004347A0">
        <w:t>As Comirnaty Original/Omicron BA.4-5 is being considered for a provisional</w:t>
      </w:r>
      <w:r>
        <w:t xml:space="preserve"> </w:t>
      </w:r>
      <w:r w:rsidRPr="004347A0">
        <w:t>registration, confirmatory trial data is recommended for the condition of registration.</w:t>
      </w:r>
      <w:r>
        <w:t xml:space="preserve"> </w:t>
      </w:r>
      <w:r w:rsidRPr="004347A0">
        <w:t xml:space="preserve">Specifically, the </w:t>
      </w:r>
      <w:r w:rsidR="005A4939">
        <w:t>Sponsor</w:t>
      </w:r>
      <w:r w:rsidRPr="004347A0">
        <w:t xml:space="preserve"> must conduct studies as described in the clinical study plan</w:t>
      </w:r>
      <w:r>
        <w:t xml:space="preserve"> </w:t>
      </w:r>
      <w:r w:rsidRPr="004347A0">
        <w:t>in version 0.8 (date July 2023) of the Australia-Specific Annex. The following study</w:t>
      </w:r>
      <w:r>
        <w:t xml:space="preserve"> </w:t>
      </w:r>
      <w:r w:rsidRPr="004347A0">
        <w:t>reports should be submitted to TGA:</w:t>
      </w:r>
    </w:p>
    <w:p w14:paraId="00407837" w14:textId="7895A3E3" w:rsidR="004347A0" w:rsidRPr="004347A0" w:rsidRDefault="004347A0" w:rsidP="007F77E9">
      <w:pPr>
        <w:pStyle w:val="ListBullet"/>
      </w:pPr>
      <w:r w:rsidRPr="004347A0">
        <w:t xml:space="preserve">C4591048, </w:t>
      </w:r>
      <w:proofErr w:type="spellStart"/>
      <w:r w:rsidRPr="004347A0">
        <w:t>Substudy</w:t>
      </w:r>
      <w:proofErr w:type="spellEnd"/>
      <w:r w:rsidRPr="004347A0">
        <w:t xml:space="preserve"> B (Group 2), by Q2 2025</w:t>
      </w:r>
    </w:p>
    <w:p w14:paraId="44507A52" w14:textId="3808F37E" w:rsidR="004347A0" w:rsidRPr="004347A0" w:rsidRDefault="004347A0" w:rsidP="007F77E9">
      <w:pPr>
        <w:pStyle w:val="ListBullet"/>
      </w:pPr>
      <w:r w:rsidRPr="004347A0">
        <w:t xml:space="preserve">C4591048, </w:t>
      </w:r>
      <w:proofErr w:type="spellStart"/>
      <w:r w:rsidRPr="004347A0">
        <w:t>Substudy</w:t>
      </w:r>
      <w:proofErr w:type="spellEnd"/>
      <w:r w:rsidRPr="004347A0">
        <w:t xml:space="preserve"> D (Group 2), by Q2 2025</w:t>
      </w:r>
    </w:p>
    <w:p w14:paraId="5E71794D" w14:textId="10C74AA3" w:rsidR="004347A0" w:rsidRPr="004347A0" w:rsidRDefault="004347A0" w:rsidP="007F77E9">
      <w:pPr>
        <w:pStyle w:val="ListBullet"/>
      </w:pPr>
      <w:r w:rsidRPr="004347A0">
        <w:t>C4591044, Cohort 2, by Q1 2024</w:t>
      </w:r>
    </w:p>
    <w:p w14:paraId="42475B36" w14:textId="7DB2FB27" w:rsidR="004347A0" w:rsidRPr="004347A0" w:rsidRDefault="004347A0" w:rsidP="007F77E9">
      <w:pPr>
        <w:pStyle w:val="ListBullet"/>
      </w:pPr>
      <w:r w:rsidRPr="004347A0">
        <w:t xml:space="preserve">C4591031, </w:t>
      </w:r>
      <w:proofErr w:type="spellStart"/>
      <w:r w:rsidRPr="004347A0">
        <w:t>Substudy</w:t>
      </w:r>
      <w:proofErr w:type="spellEnd"/>
      <w:r w:rsidRPr="004347A0">
        <w:t xml:space="preserve"> D (Cohort 2), by Q4 2023</w:t>
      </w:r>
    </w:p>
    <w:p w14:paraId="4682F119" w14:textId="54A352CF" w:rsidR="004347A0" w:rsidRPr="004347A0" w:rsidRDefault="004347A0" w:rsidP="007F77E9">
      <w:pPr>
        <w:pStyle w:val="ListBullet"/>
      </w:pPr>
      <w:r w:rsidRPr="004347A0">
        <w:t xml:space="preserve">C4591031, </w:t>
      </w:r>
      <w:proofErr w:type="spellStart"/>
      <w:r w:rsidRPr="004347A0">
        <w:t>Substudy</w:t>
      </w:r>
      <w:proofErr w:type="spellEnd"/>
      <w:r w:rsidRPr="004347A0">
        <w:t xml:space="preserve"> E, by Q4 2023</w:t>
      </w:r>
    </w:p>
    <w:p w14:paraId="3BEE7E27" w14:textId="35D1B44B" w:rsidR="004347A0" w:rsidRPr="004347A0" w:rsidRDefault="004347A0" w:rsidP="003F4E79">
      <w:pPr>
        <w:pStyle w:val="Heading5"/>
      </w:pPr>
      <w:r w:rsidRPr="004347A0">
        <w:t xml:space="preserve">Quality </w:t>
      </w:r>
      <w:r w:rsidR="007F77E9">
        <w:t>c</w:t>
      </w:r>
      <w:r w:rsidRPr="004347A0">
        <w:t>onditions</w:t>
      </w:r>
    </w:p>
    <w:p w14:paraId="476A6C51" w14:textId="69FB221B" w:rsidR="004347A0" w:rsidRPr="007F77E9" w:rsidRDefault="004347A0" w:rsidP="007F77E9">
      <w:pPr>
        <w:rPr>
          <w:b/>
          <w:bCs/>
        </w:rPr>
      </w:pPr>
      <w:r w:rsidRPr="007F77E9">
        <w:rPr>
          <w:b/>
          <w:bCs/>
        </w:rPr>
        <w:t>GMP clearance for listed manufacturers</w:t>
      </w:r>
    </w:p>
    <w:p w14:paraId="2019C174" w14:textId="3BEBEE17" w:rsidR="004347A0" w:rsidRPr="004347A0" w:rsidRDefault="004347A0" w:rsidP="007F77E9">
      <w:r w:rsidRPr="004347A0">
        <w:t>All relevant manufacturing sites require approved and current GMP Clearances prior to</w:t>
      </w:r>
      <w:r w:rsidR="00FD0D60">
        <w:t xml:space="preserve"> </w:t>
      </w:r>
      <w:r w:rsidRPr="004347A0">
        <w:t xml:space="preserve">Australian supply. A commitment is required from the </w:t>
      </w:r>
      <w:r w:rsidR="005A4939">
        <w:t>Sponsor</w:t>
      </w:r>
      <w:r w:rsidRPr="004347A0">
        <w:t xml:space="preserve"> that they maintain the</w:t>
      </w:r>
      <w:r w:rsidR="00FD0D60">
        <w:t xml:space="preserve"> </w:t>
      </w:r>
      <w:r w:rsidRPr="004347A0">
        <w:t>validity of all manufacturer GMP Clearances for the duration of product supply to</w:t>
      </w:r>
      <w:r w:rsidR="00FD0D60">
        <w:t xml:space="preserve"> </w:t>
      </w:r>
      <w:r w:rsidRPr="004347A0">
        <w:t>Australia. Additionally, that adherence to the conditions of GMP Clearance approval is</w:t>
      </w:r>
      <w:r w:rsidR="00FD0D60">
        <w:t xml:space="preserve"> </w:t>
      </w:r>
      <w:r w:rsidRPr="004347A0">
        <w:t>upheld.</w:t>
      </w:r>
    </w:p>
    <w:p w14:paraId="171F4880" w14:textId="29659F63" w:rsidR="004347A0" w:rsidRPr="007F77E9" w:rsidRDefault="004347A0" w:rsidP="007F77E9">
      <w:pPr>
        <w:rPr>
          <w:b/>
          <w:bCs/>
        </w:rPr>
      </w:pPr>
      <w:r w:rsidRPr="007F77E9">
        <w:rPr>
          <w:b/>
          <w:bCs/>
        </w:rPr>
        <w:t>Post-approval stability protocol and stability commitment</w:t>
      </w:r>
    </w:p>
    <w:p w14:paraId="487229F5" w14:textId="1639D12F" w:rsidR="004347A0" w:rsidRPr="004347A0" w:rsidRDefault="004347A0" w:rsidP="007F77E9">
      <w:r w:rsidRPr="004347A0">
        <w:t>Commitment to continue the ongoing stability studies presented in the stability studies</w:t>
      </w:r>
      <w:r w:rsidR="00FD0D60">
        <w:t xml:space="preserve"> </w:t>
      </w:r>
      <w:r w:rsidRPr="004347A0">
        <w:t>protocol. Additionally, 1 batch of DP per year for all relevant products will be placed on</w:t>
      </w:r>
      <w:r w:rsidR="00FD0D60">
        <w:t xml:space="preserve"> </w:t>
      </w:r>
      <w:r w:rsidRPr="004347A0">
        <w:t>long-term stability program and on accelerated stability testing where significant</w:t>
      </w:r>
      <w:r w:rsidR="00FD0D60">
        <w:t xml:space="preserve"> </w:t>
      </w:r>
      <w:r w:rsidRPr="004347A0">
        <w:t>changes are made to the manufacturing process. Commitment to communicate any out</w:t>
      </w:r>
      <w:r w:rsidR="00FD0D60">
        <w:t xml:space="preserve"> </w:t>
      </w:r>
      <w:r w:rsidRPr="004347A0">
        <w:t>of specifications stability test results to the TGA.</w:t>
      </w:r>
    </w:p>
    <w:p w14:paraId="504306C2" w14:textId="79228889" w:rsidR="004347A0" w:rsidRPr="007F77E9" w:rsidRDefault="004347A0" w:rsidP="007F77E9">
      <w:pPr>
        <w:rPr>
          <w:b/>
          <w:bCs/>
        </w:rPr>
      </w:pPr>
      <w:r w:rsidRPr="007F77E9">
        <w:rPr>
          <w:b/>
          <w:bCs/>
        </w:rPr>
        <w:t>Batch Release Testing and Compliance with the Certified Product Details</w:t>
      </w:r>
      <w:r w:rsidR="003766E9" w:rsidRPr="007F77E9">
        <w:rPr>
          <w:b/>
          <w:bCs/>
        </w:rPr>
        <w:t xml:space="preserve"> </w:t>
      </w:r>
      <w:r w:rsidRPr="007F77E9">
        <w:rPr>
          <w:b/>
          <w:bCs/>
        </w:rPr>
        <w:t>Conditions of registration for COMIRNATY ORIGINAL/OMICRON BA.4-5</w:t>
      </w:r>
      <w:r w:rsidR="003766E9" w:rsidRPr="007F77E9">
        <w:rPr>
          <w:b/>
          <w:bCs/>
        </w:rPr>
        <w:t xml:space="preserve"> </w:t>
      </w:r>
      <w:r w:rsidRPr="007F77E9">
        <w:rPr>
          <w:b/>
          <w:bCs/>
        </w:rPr>
        <w:t xml:space="preserve">(tozinameran/famtozinameran) covid-19 </w:t>
      </w:r>
      <w:proofErr w:type="gramStart"/>
      <w:r w:rsidRPr="007F77E9">
        <w:rPr>
          <w:b/>
          <w:bCs/>
        </w:rPr>
        <w:t>vaccine</w:t>
      </w:r>
      <w:proofErr w:type="gramEnd"/>
    </w:p>
    <w:p w14:paraId="0A9DFF95" w14:textId="749553A4" w:rsidR="004347A0" w:rsidRPr="004347A0" w:rsidRDefault="004347A0" w:rsidP="007F77E9">
      <w:r w:rsidRPr="004347A0">
        <w:t>It is a condition of registration that all independent batches of COMIRNATY</w:t>
      </w:r>
      <w:r w:rsidR="003766E9">
        <w:t xml:space="preserve"> </w:t>
      </w:r>
      <w:r w:rsidRPr="004347A0">
        <w:t>ORIGINAL/OMICRON BA.4-5 (tozinameran/famtozinameran) COVID-19 VACCINE</w:t>
      </w:r>
      <w:r w:rsidR="003766E9">
        <w:t xml:space="preserve"> </w:t>
      </w:r>
      <w:r w:rsidRPr="004347A0">
        <w:t>1.5/1.5 micrograms/0.2 mL suspension for injection vial imported into Australia are</w:t>
      </w:r>
      <w:r w:rsidR="003766E9">
        <w:t xml:space="preserve"> </w:t>
      </w:r>
      <w:r w:rsidRPr="004347A0">
        <w:t>not released for sale until samples and the manufacturer’s release data have been</w:t>
      </w:r>
      <w:r w:rsidR="003766E9">
        <w:t xml:space="preserve"> </w:t>
      </w:r>
      <w:r w:rsidRPr="004347A0">
        <w:t>assessed and you have received notification acknowledging release from the</w:t>
      </w:r>
      <w:r w:rsidR="003766E9">
        <w:t xml:space="preserve"> </w:t>
      </w:r>
      <w:r w:rsidRPr="004347A0">
        <w:t>Laboratories Branch, TGA.</w:t>
      </w:r>
    </w:p>
    <w:p w14:paraId="65043BD1" w14:textId="24EEAFDC" w:rsidR="004347A0" w:rsidRPr="004347A0" w:rsidRDefault="004347A0" w:rsidP="007F77E9">
      <w:r w:rsidRPr="004347A0">
        <w:t xml:space="preserve">For each independent batch of the product imported into Australia, the </w:t>
      </w:r>
      <w:r w:rsidR="005A4939">
        <w:t>Sponsor</w:t>
      </w:r>
      <w:r w:rsidRPr="004347A0">
        <w:t xml:space="preserve"> must</w:t>
      </w:r>
      <w:r w:rsidR="003766E9">
        <w:t xml:space="preserve"> </w:t>
      </w:r>
      <w:r w:rsidRPr="004347A0">
        <w:t>supply the following:</w:t>
      </w:r>
    </w:p>
    <w:p w14:paraId="6E77AD45" w14:textId="6B309092" w:rsidR="004347A0" w:rsidRPr="004347A0" w:rsidRDefault="004347A0" w:rsidP="007F77E9">
      <w:pPr>
        <w:pStyle w:val="ListBullet"/>
      </w:pPr>
      <w:r w:rsidRPr="004347A0">
        <w:t>A completed Request for Release Form, available from vaccines@health.gov.au; and</w:t>
      </w:r>
    </w:p>
    <w:p w14:paraId="112BEFD6" w14:textId="14D5C916" w:rsidR="004347A0" w:rsidRPr="004347A0" w:rsidRDefault="004347A0" w:rsidP="007F77E9">
      <w:pPr>
        <w:pStyle w:val="ListBullet"/>
      </w:pPr>
      <w:r w:rsidRPr="004347A0">
        <w:t>Complete summary protocols for manufacture and QC, including all steps in</w:t>
      </w:r>
      <w:r w:rsidR="003766E9">
        <w:t xml:space="preserve"> </w:t>
      </w:r>
      <w:r w:rsidRPr="004347A0">
        <w:t>production in the agreed format.</w:t>
      </w:r>
    </w:p>
    <w:p w14:paraId="1BF92B69" w14:textId="7B74F9D1" w:rsidR="004347A0" w:rsidRPr="004347A0" w:rsidRDefault="004347A0" w:rsidP="007F77E9">
      <w:pPr>
        <w:pStyle w:val="ListBullet"/>
      </w:pPr>
      <w:r w:rsidRPr="004347A0">
        <w:t>At least 10 (ten) vials (Samples) of each manufacturing batch of the above listed</w:t>
      </w:r>
      <w:r w:rsidR="003766E9">
        <w:t xml:space="preserve"> </w:t>
      </w:r>
      <w:r w:rsidRPr="004347A0">
        <w:t xml:space="preserve">vaccine with the Australian approved labels, </w:t>
      </w:r>
      <w:proofErr w:type="gramStart"/>
      <w:r w:rsidRPr="004347A0">
        <w:t>PI</w:t>
      </w:r>
      <w:proofErr w:type="gramEnd"/>
      <w:r w:rsidRPr="004347A0">
        <w:t xml:space="preserve"> and packaging (unless an exemption</w:t>
      </w:r>
      <w:r w:rsidR="003766E9">
        <w:t xml:space="preserve"> </w:t>
      </w:r>
      <w:r w:rsidRPr="004347A0">
        <w:t>to supply these has been granted) representative of all batches of product seeking</w:t>
      </w:r>
      <w:r w:rsidR="003766E9">
        <w:t xml:space="preserve"> </w:t>
      </w:r>
      <w:r w:rsidRPr="004347A0">
        <w:t>distribution in Australia.</w:t>
      </w:r>
    </w:p>
    <w:p w14:paraId="47427590" w14:textId="214E9FF1" w:rsidR="004347A0" w:rsidRPr="004347A0" w:rsidRDefault="004347A0" w:rsidP="007F77E9">
      <w:pPr>
        <w:pStyle w:val="ListBullet"/>
      </w:pPr>
      <w:r w:rsidRPr="004347A0">
        <w:t>At least 5 (five) vials (Samples) of any further consignments of a manufacturing batch</w:t>
      </w:r>
      <w:r w:rsidR="003766E9">
        <w:t xml:space="preserve"> </w:t>
      </w:r>
      <w:r w:rsidRPr="004347A0">
        <w:t xml:space="preserve">of the above listed vaccine with the Australian approved labels, </w:t>
      </w:r>
      <w:proofErr w:type="gramStart"/>
      <w:r w:rsidRPr="004347A0">
        <w:t>PI</w:t>
      </w:r>
      <w:proofErr w:type="gramEnd"/>
      <w:r w:rsidRPr="004347A0">
        <w:t xml:space="preserve"> and packaging</w:t>
      </w:r>
      <w:r w:rsidR="003766E9">
        <w:t xml:space="preserve"> </w:t>
      </w:r>
      <w:r w:rsidRPr="004347A0">
        <w:t>(unless an exemption to supply these has been granted). Further consignments cover</w:t>
      </w:r>
      <w:r w:rsidR="003766E9">
        <w:t xml:space="preserve"> </w:t>
      </w:r>
      <w:r w:rsidRPr="004347A0">
        <w:t>batches previously supplied to TGA for the purposes of batch release testing but are</w:t>
      </w:r>
      <w:r w:rsidR="003766E9">
        <w:t xml:space="preserve"> </w:t>
      </w:r>
      <w:r w:rsidRPr="004347A0">
        <w:t>seeking to be supplied again.</w:t>
      </w:r>
    </w:p>
    <w:p w14:paraId="1677EDC4" w14:textId="0DEAC259" w:rsidR="004347A0" w:rsidRPr="004347A0" w:rsidRDefault="004347A0" w:rsidP="007F77E9">
      <w:pPr>
        <w:pStyle w:val="ListBullet"/>
      </w:pPr>
      <w:r w:rsidRPr="004347A0">
        <w:t>If the manufacturing batch has been released in Europe or United Kingdom a copy of</w:t>
      </w:r>
      <w:r w:rsidR="003766E9">
        <w:t xml:space="preserve"> </w:t>
      </w:r>
      <w:r w:rsidRPr="004347A0">
        <w:t>the EU Official Control Authority Batch Release (OCABR) certificate (or equivalent</w:t>
      </w:r>
      <w:r w:rsidR="003766E9">
        <w:t xml:space="preserve"> </w:t>
      </w:r>
      <w:r w:rsidRPr="004347A0">
        <w:t>from the UK) must be provided.</w:t>
      </w:r>
    </w:p>
    <w:p w14:paraId="19321CC7" w14:textId="4E104789" w:rsidR="003766E9" w:rsidRDefault="004347A0" w:rsidP="007F77E9">
      <w:pPr>
        <w:pStyle w:val="ListBullet"/>
      </w:pPr>
      <w:r w:rsidRPr="004347A0">
        <w:t>Any reagents, reference material and standards required to undertake testing, as</w:t>
      </w:r>
      <w:r w:rsidR="003766E9">
        <w:t xml:space="preserve"> </w:t>
      </w:r>
      <w:r w:rsidRPr="004347A0">
        <w:t>requested by Laboratories Branch, TGA.</w:t>
      </w:r>
      <w:r w:rsidR="003766E9">
        <w:t xml:space="preserve"> </w:t>
      </w:r>
    </w:p>
    <w:p w14:paraId="0FDA2022" w14:textId="0CF6FAF8" w:rsidR="004347A0" w:rsidRPr="004347A0" w:rsidRDefault="005A4939" w:rsidP="004347A0">
      <w:r>
        <w:t>Sponsor</w:t>
      </w:r>
      <w:r w:rsidR="004347A0" w:rsidRPr="004347A0">
        <w:t>s must provide all requested Samples and data in sufficient time (at least 5</w:t>
      </w:r>
      <w:r w:rsidR="003766E9">
        <w:t xml:space="preserve"> </w:t>
      </w:r>
      <w:r w:rsidR="004347A0" w:rsidRPr="004347A0">
        <w:t>business days) prior to any distribution date to allow the TGA to perform testing and</w:t>
      </w:r>
      <w:r w:rsidR="003766E9">
        <w:t xml:space="preserve"> </w:t>
      </w:r>
      <w:r w:rsidR="004347A0" w:rsidRPr="004347A0">
        <w:t>review. Distribution of each batch of vaccine is conditional upon fulfilment of these</w:t>
      </w:r>
      <w:r w:rsidR="003766E9">
        <w:t xml:space="preserve"> </w:t>
      </w:r>
      <w:r w:rsidR="004347A0" w:rsidRPr="004347A0">
        <w:t>conditions and receipt of a letter from the Laboratories Branch acknowledging release.</w:t>
      </w:r>
      <w:r w:rsidR="003766E9">
        <w:t xml:space="preserve"> </w:t>
      </w:r>
      <w:r w:rsidR="004347A0" w:rsidRPr="004347A0">
        <w:t>Samples and data should be forwarded to the Biotherapeutics Section, Laboratories</w:t>
      </w:r>
      <w:r w:rsidR="003766E9">
        <w:t xml:space="preserve"> </w:t>
      </w:r>
      <w:r w:rsidR="004347A0" w:rsidRPr="004347A0">
        <w:t>Branch before release of each batch and with sufficient lead time to allow for</w:t>
      </w:r>
      <w:r w:rsidR="003766E9">
        <w:t xml:space="preserve"> </w:t>
      </w:r>
      <w:r w:rsidR="004347A0" w:rsidRPr="004347A0">
        <w:t xml:space="preserve">Laboratories Branch testing. </w:t>
      </w:r>
    </w:p>
    <w:p w14:paraId="451DC3FC" w14:textId="2D1EC6E2" w:rsidR="00C22214" w:rsidRDefault="00C22214" w:rsidP="007F77E9">
      <w:pPr>
        <w:pStyle w:val="Heading2"/>
      </w:pPr>
      <w:bookmarkStart w:id="39" w:name="_Toc103679303"/>
      <w:bookmarkStart w:id="40" w:name="_Toc177995420"/>
      <w:r>
        <w:t>Attachment 1. Product Information</w:t>
      </w:r>
      <w:bookmarkEnd w:id="39"/>
      <w:bookmarkEnd w:id="40"/>
    </w:p>
    <w:p w14:paraId="74F59983" w14:textId="61025F00" w:rsidR="00675F81" w:rsidRPr="00BD5DBD" w:rsidRDefault="00675F81" w:rsidP="00675F81">
      <w:pPr>
        <w:rPr>
          <w:szCs w:val="22"/>
        </w:rPr>
      </w:pPr>
      <w:r w:rsidRPr="00BD5DBD">
        <w:rPr>
          <w:szCs w:val="22"/>
        </w:rPr>
        <w:t xml:space="preserve">The </w:t>
      </w:r>
      <w:hyperlink r:id="rId53" w:history="1">
        <w:r w:rsidRPr="00BD5DBD">
          <w:rPr>
            <w:rStyle w:val="Hyperlink"/>
            <w:szCs w:val="22"/>
          </w:rPr>
          <w:t>Product Information</w:t>
        </w:r>
      </w:hyperlink>
      <w:r w:rsidRPr="00BD5DBD">
        <w:rPr>
          <w:szCs w:val="22"/>
        </w:rPr>
        <w:t xml:space="preserve"> (</w:t>
      </w:r>
      <w:hyperlink r:id="rId54"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3766E9" w:rsidRPr="003766E9">
        <w:t>COMIRNATY ORIGINAL/OMICRON BA.4-5</w:t>
      </w:r>
      <w:r w:rsidR="003766E9">
        <w:t xml:space="preserve"> Covid 19 vaccine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55" w:history="1">
        <w:r w:rsidRPr="00BD5DBD">
          <w:rPr>
            <w:rStyle w:val="Hyperlink"/>
            <w:szCs w:val="22"/>
          </w:rPr>
          <w:t>Consumer Medicines Information</w:t>
        </w:r>
      </w:hyperlink>
      <w:r w:rsidRPr="00BD5DBD">
        <w:rPr>
          <w:szCs w:val="22"/>
        </w:rPr>
        <w:t xml:space="preserve"> (CMI), please refer to the TGA </w:t>
      </w:r>
      <w:hyperlink r:id="rId56"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7"/>
          <w:footerReference w:type="default" r:id="rId58"/>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6958EE" w14:paraId="3C0C07BF" w14:textId="77777777" w:rsidTr="007452E8">
        <w:trPr>
          <w:trHeight w:hRule="exact" w:val="565"/>
          <w:jc w:val="center"/>
        </w:trPr>
        <w:tc>
          <w:tcPr>
            <w:tcW w:w="9145" w:type="dxa"/>
          </w:tcPr>
          <w:bookmarkEnd w:id="4"/>
          <w:bookmarkEnd w:id="5"/>
          <w:p w14:paraId="7E090B86" w14:textId="77777777" w:rsidR="00F02AEC" w:rsidRPr="006958EE" w:rsidRDefault="00F02AEC" w:rsidP="007452E8">
            <w:pPr>
              <w:pStyle w:val="TGASignoff"/>
              <w:rPr>
                <w:rFonts w:cs="Arial"/>
              </w:rPr>
            </w:pPr>
            <w:r w:rsidRPr="006958EE">
              <w:rPr>
                <w:rFonts w:cs="Arial"/>
              </w:rPr>
              <w:t>Therapeutic Goods Administration</w:t>
            </w:r>
          </w:p>
        </w:tc>
      </w:tr>
      <w:tr w:rsidR="00F02AEC" w:rsidRPr="006958EE" w14:paraId="70F47EA1" w14:textId="77777777" w:rsidTr="007452E8">
        <w:trPr>
          <w:trHeight w:val="963"/>
          <w:jc w:val="center"/>
        </w:trPr>
        <w:tc>
          <w:tcPr>
            <w:tcW w:w="9145" w:type="dxa"/>
            <w:tcMar>
              <w:top w:w="28" w:type="dxa"/>
            </w:tcMar>
          </w:tcPr>
          <w:p w14:paraId="3491EBCD" w14:textId="77777777" w:rsidR="00F02AEC" w:rsidRPr="006958EE" w:rsidRDefault="00F02AEC" w:rsidP="007452E8">
            <w:pPr>
              <w:pStyle w:val="Address"/>
              <w:jc w:val="center"/>
              <w:rPr>
                <w:rFonts w:cs="Arial"/>
              </w:rPr>
            </w:pPr>
            <w:r w:rsidRPr="006958EE">
              <w:rPr>
                <w:rFonts w:cs="Arial"/>
              </w:rPr>
              <w:t>PO Box 100 Woden ACT 2606 Australia</w:t>
            </w:r>
          </w:p>
          <w:p w14:paraId="5D0FE0E7" w14:textId="53CB9479" w:rsidR="00F02AEC" w:rsidRPr="006958EE" w:rsidRDefault="00F02AEC">
            <w:pPr>
              <w:pStyle w:val="Address"/>
              <w:jc w:val="center"/>
              <w:rPr>
                <w:rFonts w:cs="Arial"/>
                <w:sz w:val="22"/>
                <w:szCs w:val="22"/>
              </w:rPr>
            </w:pPr>
            <w:r w:rsidRPr="006958EE">
              <w:rPr>
                <w:rFonts w:cs="Arial"/>
              </w:rPr>
              <w:t xml:space="preserve">Email: </w:t>
            </w:r>
            <w:hyperlink r:id="rId59" w:history="1">
              <w:r w:rsidRPr="006958EE">
                <w:rPr>
                  <w:rStyle w:val="Hyperlink"/>
                  <w:rFonts w:ascii="Arial" w:hAnsi="Arial" w:cs="Arial"/>
                </w:rPr>
                <w:t>info@tga.gov.au</w:t>
              </w:r>
            </w:hyperlink>
            <w:r w:rsidRPr="006958EE">
              <w:rPr>
                <w:rFonts w:cs="Arial"/>
              </w:rPr>
              <w:t xml:space="preserve">  Phone: 1800 020 </w:t>
            </w:r>
            <w:proofErr w:type="gramStart"/>
            <w:r w:rsidRPr="006958EE">
              <w:rPr>
                <w:rFonts w:cs="Arial"/>
              </w:rPr>
              <w:t>653  Fax</w:t>
            </w:r>
            <w:proofErr w:type="gramEnd"/>
            <w:r w:rsidRPr="006958EE">
              <w:rPr>
                <w:rFonts w:cs="Arial"/>
              </w:rPr>
              <w:t>: 02 6203 1605</w:t>
            </w:r>
          </w:p>
          <w:p w14:paraId="4533D80F" w14:textId="1519D7A3" w:rsidR="00F02AEC" w:rsidRPr="006958EE" w:rsidRDefault="007F77E9">
            <w:pPr>
              <w:pStyle w:val="Address"/>
              <w:jc w:val="center"/>
              <w:rPr>
                <w:rStyle w:val="Hyperlink"/>
                <w:rFonts w:ascii="Arial" w:hAnsi="Arial" w:cs="Arial"/>
                <w:b/>
                <w:color w:val="auto"/>
                <w:sz w:val="22"/>
              </w:rPr>
            </w:pPr>
            <w:hyperlink r:id="rId60" w:history="1">
              <w:r w:rsidR="00F02AEC" w:rsidRPr="006958EE">
                <w:rPr>
                  <w:rStyle w:val="Hyperlink"/>
                  <w:rFonts w:ascii="Arial" w:hAnsi="Arial" w:cs="Arial"/>
                  <w:b/>
                </w:rPr>
                <w:t>https://www.tga.gov.au</w:t>
              </w:r>
            </w:hyperlink>
          </w:p>
        </w:tc>
      </w:tr>
      <w:tr w:rsidR="00F02AEC" w:rsidRPr="006958EE" w14:paraId="2AD74347" w14:textId="77777777" w:rsidTr="007452E8">
        <w:trPr>
          <w:trHeight w:val="251"/>
          <w:jc w:val="center"/>
        </w:trPr>
        <w:tc>
          <w:tcPr>
            <w:tcW w:w="9145" w:type="dxa"/>
            <w:tcMar>
              <w:top w:w="28" w:type="dxa"/>
            </w:tcMar>
          </w:tcPr>
          <w:p w14:paraId="6EAAD5C1" w14:textId="5417FCC0" w:rsidR="00F02AEC" w:rsidRPr="006958EE" w:rsidRDefault="00F02AEC" w:rsidP="007452E8">
            <w:pPr>
              <w:pStyle w:val="Address"/>
              <w:jc w:val="center"/>
              <w:rPr>
                <w:rFonts w:cs="Arial"/>
              </w:rPr>
            </w:pPr>
          </w:p>
        </w:tc>
      </w:tr>
    </w:tbl>
    <w:p w14:paraId="788B80FD" w14:textId="77777777" w:rsidR="007452E8" w:rsidRPr="006958EE" w:rsidRDefault="007452E8">
      <w:pPr>
        <w:rPr>
          <w:rFonts w:ascii="Arial" w:hAnsi="Arial" w:cs="Arial"/>
        </w:rPr>
      </w:pPr>
    </w:p>
    <w:sectPr w:rsidR="007452E8" w:rsidRPr="006958EE" w:rsidSect="007452E8">
      <w:headerReference w:type="first" r:id="rId61"/>
      <w:footerReference w:type="first" r:id="rId62"/>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3575" w14:textId="77777777" w:rsidR="002D044A" w:rsidRDefault="002D044A" w:rsidP="00F02AEC">
      <w:pPr>
        <w:spacing w:after="0" w:line="240" w:lineRule="auto"/>
      </w:pPr>
      <w:r>
        <w:separator/>
      </w:r>
    </w:p>
  </w:endnote>
  <w:endnote w:type="continuationSeparator" w:id="0">
    <w:p w14:paraId="210A2B14" w14:textId="77777777" w:rsidR="002D044A" w:rsidRDefault="002D044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2A42012F" w:rsidR="007452E8" w:rsidRPr="004A3084" w:rsidRDefault="007452E8" w:rsidP="007452E8">
          <w:pPr>
            <w:pStyle w:val="Footer"/>
          </w:pPr>
          <w:r w:rsidRPr="00487162">
            <w:t>AusPA</w:t>
          </w:r>
          <w:r>
            <w:t xml:space="preserve">R - </w:t>
          </w:r>
          <w:r w:rsidR="007311E6" w:rsidRPr="007311E6">
            <w:t xml:space="preserve">Comirnaty </w:t>
          </w:r>
          <w:r w:rsidR="00634D5C">
            <w:t>O</w:t>
          </w:r>
          <w:r w:rsidR="007311E6" w:rsidRPr="007311E6">
            <w:t>riginal/</w:t>
          </w:r>
          <w:r w:rsidR="00634D5C">
            <w:t>O</w:t>
          </w:r>
          <w:r w:rsidR="007311E6" w:rsidRPr="007311E6">
            <w:t>micron BA.4</w:t>
          </w:r>
          <w:r w:rsidR="00634D5C">
            <w:t>-5</w:t>
          </w:r>
          <w:r w:rsidR="007311E6">
            <w:t xml:space="preserve"> </w:t>
          </w:r>
          <w:r w:rsidR="007311E6" w:rsidRPr="007311E6">
            <w:t xml:space="preserve">COVID-19 </w:t>
          </w:r>
          <w:r w:rsidR="00C80793">
            <w:t>v</w:t>
          </w:r>
          <w:r w:rsidR="007311E6" w:rsidRPr="007311E6">
            <w:t xml:space="preserve">accine </w:t>
          </w:r>
          <w:r w:rsidR="007311E6">
            <w:t xml:space="preserve">- </w:t>
          </w:r>
          <w:r w:rsidR="007311E6" w:rsidRPr="007311E6">
            <w:t>tozinameran/famtozinameran</w:t>
          </w:r>
          <w:r w:rsidR="00634D5C">
            <w:t xml:space="preserve"> </w:t>
          </w:r>
          <w:r>
            <w:t>-</w:t>
          </w:r>
          <w:r w:rsidRPr="00460036">
            <w:t xml:space="preserve"> </w:t>
          </w:r>
          <w:r w:rsidR="00C80793" w:rsidRPr="00C80793">
            <w:t>Pfizer Australia Pty Ltd</w:t>
          </w:r>
          <w:r>
            <w:t xml:space="preserve"> </w:t>
          </w:r>
          <w:r w:rsidR="00C80793">
            <w:t>–</w:t>
          </w:r>
          <w:r>
            <w:t xml:space="preserve"> </w:t>
          </w:r>
          <w:r w:rsidR="00C80793">
            <w:t xml:space="preserve">Type C/F - </w:t>
          </w:r>
          <w:r w:rsidR="00C80793" w:rsidRPr="00C80793">
            <w:t>PM-2023-03314-1-2</w:t>
          </w:r>
          <w:r>
            <w:br/>
          </w:r>
          <w:r w:rsidRPr="00487162">
            <w:t>Date of Finalisation</w:t>
          </w:r>
          <w:r w:rsidR="00CF65F2">
            <w:t>: 12 September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9E34" w14:textId="77777777" w:rsidR="002D044A" w:rsidRDefault="002D044A" w:rsidP="00F02AEC">
      <w:pPr>
        <w:spacing w:after="0" w:line="240" w:lineRule="auto"/>
      </w:pPr>
      <w:r>
        <w:separator/>
      </w:r>
    </w:p>
  </w:footnote>
  <w:footnote w:type="continuationSeparator" w:id="0">
    <w:p w14:paraId="1E6C2EE4" w14:textId="77777777" w:rsidR="002D044A" w:rsidRDefault="002D044A" w:rsidP="00F02AEC">
      <w:pPr>
        <w:spacing w:after="0" w:line="240" w:lineRule="auto"/>
      </w:pPr>
      <w:r>
        <w:continuationSeparator/>
      </w:r>
    </w:p>
  </w:footnote>
  <w:footnote w:id="1">
    <w:p w14:paraId="17195811" w14:textId="396026F8" w:rsidR="007823A4" w:rsidRDefault="007823A4" w:rsidP="007823A4">
      <w:pPr>
        <w:pStyle w:val="FootnoteText"/>
      </w:pPr>
      <w:r>
        <w:rPr>
          <w:rStyle w:val="FootnoteReference"/>
        </w:rPr>
        <w:footnoteRef/>
      </w:r>
      <w:r>
        <w:t xml:space="preserve"> Wiersinga WJ, Rhodes A, Cheng AC, et al. Pathophysiology, Transmission, Diagnosis, and Treatment of Coronavirus Disease 2019 (COVID-19): A Review. JAMA. 2020;324(8):782-793. doi:10.1001/jama.2020.12839</w:t>
      </w:r>
    </w:p>
  </w:footnote>
  <w:footnote w:id="2">
    <w:p w14:paraId="08397AAC" w14:textId="3837ACC1" w:rsidR="007823A4" w:rsidRDefault="007823A4">
      <w:pPr>
        <w:pStyle w:val="FootnoteText"/>
      </w:pPr>
      <w:r>
        <w:rPr>
          <w:rStyle w:val="FootnoteReference"/>
        </w:rPr>
        <w:footnoteRef/>
      </w:r>
      <w:r>
        <w:t xml:space="preserve"> Ibid.</w:t>
      </w:r>
    </w:p>
  </w:footnote>
  <w:footnote w:id="3">
    <w:p w14:paraId="17DE9FE8" w14:textId="47EDEC14" w:rsidR="00721A02" w:rsidRDefault="00721A02" w:rsidP="00721A02">
      <w:pPr>
        <w:pStyle w:val="FootnoteText"/>
      </w:pPr>
      <w:r>
        <w:rPr>
          <w:rStyle w:val="FootnoteReference"/>
        </w:rPr>
        <w:footnoteRef/>
      </w:r>
      <w:r>
        <w:t xml:space="preserve"> Centers for Disease Control and Prevention (CDC). COVID Data Tracker. Demographic Trends of COVID-19 cases and deaths in the US reported to CDC. Available: https://covid.cdc.gov/covid-data-tracker/#demographics.</w:t>
      </w:r>
    </w:p>
  </w:footnote>
  <w:footnote w:id="4">
    <w:p w14:paraId="29DBB640" w14:textId="34ACC1CC" w:rsidR="00721A02" w:rsidRDefault="00721A02" w:rsidP="00721A02">
      <w:pPr>
        <w:pStyle w:val="FootnoteText"/>
      </w:pPr>
      <w:r>
        <w:rPr>
          <w:rStyle w:val="FootnoteReference"/>
        </w:rPr>
        <w:footnoteRef/>
      </w:r>
      <w:r>
        <w:t xml:space="preserve"> World Health Organization. Joint ECDC-WHO Regional Office for Europe Weekly COVID-19 Surveillance Bulletin. Week 03/2023 (16 January - 22 January 2023). Available: https://worldhealthorg.shinyapps.io/euro-covid19/</w:t>
      </w:r>
    </w:p>
  </w:footnote>
  <w:footnote w:id="5">
    <w:p w14:paraId="1945525D" w14:textId="094DF452" w:rsidR="00966B47" w:rsidRDefault="00966B47" w:rsidP="00966B47">
      <w:pPr>
        <w:pStyle w:val="FootnoteText"/>
      </w:pPr>
      <w:r>
        <w:rPr>
          <w:rStyle w:val="FootnoteReference"/>
        </w:rPr>
        <w:footnoteRef/>
      </w:r>
      <w:r>
        <w:t xml:space="preserve"> Lopez-Leon S, Wegman-Ostrosky T, Ayuzo Del Valle NC, et al. Long-COVID in</w:t>
      </w:r>
      <w:r w:rsidR="005C0751">
        <w:t xml:space="preserve"> </w:t>
      </w:r>
      <w:r>
        <w:t>children and adolescents: a systematic review and meta-analyses. Sci Rep. 2022 Jun</w:t>
      </w:r>
      <w:r w:rsidR="005C0751">
        <w:t xml:space="preserve"> </w:t>
      </w:r>
      <w:r>
        <w:t>23;12(1):9950. doi: 10.1038/s41598-022-13495-5.</w:t>
      </w:r>
    </w:p>
  </w:footnote>
  <w:footnote w:id="6">
    <w:p w14:paraId="75DBD692" w14:textId="586706EE" w:rsidR="00966B47" w:rsidRDefault="00966B47" w:rsidP="00966B47">
      <w:pPr>
        <w:pStyle w:val="FootnoteText"/>
      </w:pPr>
      <w:r>
        <w:rPr>
          <w:rStyle w:val="FootnoteReference"/>
        </w:rPr>
        <w:footnoteRef/>
      </w:r>
      <w:r>
        <w:t xml:space="preserve"> American Academy of Pediatrics. Children and COVID-19: State-Level Data Report.</w:t>
      </w:r>
      <w:r w:rsidR="005C0751">
        <w:t xml:space="preserve"> </w:t>
      </w:r>
      <w:r>
        <w:t>Available: https://www.aap.org/en/pages/2019-novel-coronavirus-covid-19-infections/children-and-covid-19-state-level-data-report/</w:t>
      </w:r>
    </w:p>
  </w:footnote>
  <w:footnote w:id="7">
    <w:p w14:paraId="7B3B30D4" w14:textId="26E18398" w:rsidR="005C0751" w:rsidRDefault="005C0751" w:rsidP="005C0751">
      <w:pPr>
        <w:pStyle w:val="FootnoteText"/>
      </w:pPr>
      <w:r>
        <w:rPr>
          <w:rStyle w:val="FootnoteReference"/>
        </w:rPr>
        <w:footnoteRef/>
      </w:r>
      <w:r>
        <w:t xml:space="preserve"> Drouin O, Hepburn CM, Farrar DS, et al. Characteristics of children admitted to hospital with acute SARS-CoV-2 infection in Canada in 2020. CMAJ. 2021;193(38</w:t>
      </w:r>
      <w:proofErr w:type="gramStart"/>
      <w:r>
        <w:t>):E</w:t>
      </w:r>
      <w:proofErr w:type="gramEnd"/>
      <w:r>
        <w:t>1483- E1493.</w:t>
      </w:r>
    </w:p>
  </w:footnote>
  <w:footnote w:id="8">
    <w:p w14:paraId="224CD836" w14:textId="2E4D1673" w:rsidR="00500D68" w:rsidRDefault="00500D68">
      <w:pPr>
        <w:pStyle w:val="FootnoteText"/>
      </w:pPr>
      <w:r>
        <w:rPr>
          <w:rStyle w:val="FootnoteReference"/>
        </w:rPr>
        <w:footnoteRef/>
      </w:r>
      <w:r>
        <w:t xml:space="preserve"> </w:t>
      </w:r>
      <w:r w:rsidR="00AD0111" w:rsidRPr="00AD0111">
        <w:t xml:space="preserve"> </w:t>
      </w:r>
      <w:r w:rsidR="00A25E6E" w:rsidRPr="00A25E6E">
        <w:t>The ‘</w:t>
      </w:r>
      <w:r w:rsidR="005A4939">
        <w:t>Delegate</w:t>
      </w:r>
      <w:r w:rsidR="00A25E6E" w:rsidRPr="00A25E6E">
        <w:t xml:space="preserve">’ is the </w:t>
      </w:r>
      <w:r w:rsidR="005A4939">
        <w:t>Delegate</w:t>
      </w:r>
      <w:r w:rsidR="00A25E6E" w:rsidRPr="00A25E6E">
        <w:t xml:space="preserve"> of the Secretary of the Department of Health and Aged Care who made the final decision to either include the new medicine/indication on the ARTG or reject the submission, under section 25 of the Therapeutic Goods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7F77E9"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9" w15:restartNumberingAfterBreak="0">
    <w:nsid w:val="492436D6"/>
    <w:multiLevelType w:val="hybridMultilevel"/>
    <w:tmpl w:val="C8785262"/>
    <w:lvl w:ilvl="0" w:tplc="F95CFD16">
      <w:numFmt w:val="bullet"/>
      <w:pStyle w:val="ListParagraph"/>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A80D13"/>
    <w:multiLevelType w:val="hybridMultilevel"/>
    <w:tmpl w:val="3F7CEFD4"/>
    <w:lvl w:ilvl="0" w:tplc="66CE742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5A28AF"/>
    <w:multiLevelType w:val="hybridMultilevel"/>
    <w:tmpl w:val="EB38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4"/>
  </w:num>
  <w:num w:numId="5" w16cid:durableId="1652950129">
    <w:abstractNumId w:val="5"/>
  </w:num>
  <w:num w:numId="6" w16cid:durableId="1053193207">
    <w:abstractNumId w:val="12"/>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1"/>
  </w:num>
  <w:num w:numId="10" w16cid:durableId="2108043357">
    <w:abstractNumId w:val="4"/>
  </w:num>
  <w:num w:numId="11" w16cid:durableId="1725904230">
    <w:abstractNumId w:val="8"/>
  </w:num>
  <w:num w:numId="12" w16cid:durableId="141579354">
    <w:abstractNumId w:val="15"/>
  </w:num>
  <w:num w:numId="13" w16cid:durableId="283735081">
    <w:abstractNumId w:val="17"/>
  </w:num>
  <w:num w:numId="14" w16cid:durableId="8457137">
    <w:abstractNumId w:val="7"/>
  </w:num>
  <w:num w:numId="15" w16cid:durableId="1846434600">
    <w:abstractNumId w:val="16"/>
  </w:num>
  <w:num w:numId="16" w16cid:durableId="2010448723">
    <w:abstractNumId w:val="6"/>
  </w:num>
  <w:num w:numId="17" w16cid:durableId="814571454">
    <w:abstractNumId w:val="11"/>
  </w:num>
  <w:num w:numId="18" w16cid:durableId="1908106918">
    <w:abstractNumId w:val="10"/>
  </w:num>
  <w:num w:numId="19" w16cid:durableId="20957347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207D"/>
    <w:rsid w:val="0001384A"/>
    <w:rsid w:val="0002158D"/>
    <w:rsid w:val="00027827"/>
    <w:rsid w:val="000325B9"/>
    <w:rsid w:val="00032A0F"/>
    <w:rsid w:val="0003485E"/>
    <w:rsid w:val="000361F0"/>
    <w:rsid w:val="00040D8D"/>
    <w:rsid w:val="00046423"/>
    <w:rsid w:val="0006104E"/>
    <w:rsid w:val="0006250F"/>
    <w:rsid w:val="000640BD"/>
    <w:rsid w:val="00065839"/>
    <w:rsid w:val="00065FDF"/>
    <w:rsid w:val="000661F4"/>
    <w:rsid w:val="00070AAA"/>
    <w:rsid w:val="00077844"/>
    <w:rsid w:val="000904B4"/>
    <w:rsid w:val="00090510"/>
    <w:rsid w:val="0009070F"/>
    <w:rsid w:val="000917AE"/>
    <w:rsid w:val="00094B81"/>
    <w:rsid w:val="0009518E"/>
    <w:rsid w:val="000975AA"/>
    <w:rsid w:val="000A0C74"/>
    <w:rsid w:val="000B6B15"/>
    <w:rsid w:val="000C25A7"/>
    <w:rsid w:val="000C6207"/>
    <w:rsid w:val="000D4990"/>
    <w:rsid w:val="000D78EC"/>
    <w:rsid w:val="000D7934"/>
    <w:rsid w:val="000E2597"/>
    <w:rsid w:val="000E2724"/>
    <w:rsid w:val="000E6746"/>
    <w:rsid w:val="000F44E8"/>
    <w:rsid w:val="000F7B51"/>
    <w:rsid w:val="00101BEE"/>
    <w:rsid w:val="00101CE6"/>
    <w:rsid w:val="00101FB1"/>
    <w:rsid w:val="001027AB"/>
    <w:rsid w:val="0010558A"/>
    <w:rsid w:val="001101FF"/>
    <w:rsid w:val="00113F61"/>
    <w:rsid w:val="00113F9F"/>
    <w:rsid w:val="0012473C"/>
    <w:rsid w:val="00127A74"/>
    <w:rsid w:val="0013132F"/>
    <w:rsid w:val="0013306D"/>
    <w:rsid w:val="0013528C"/>
    <w:rsid w:val="001354E8"/>
    <w:rsid w:val="001442A2"/>
    <w:rsid w:val="001468CA"/>
    <w:rsid w:val="001500A8"/>
    <w:rsid w:val="0015091C"/>
    <w:rsid w:val="001516B3"/>
    <w:rsid w:val="00155D85"/>
    <w:rsid w:val="00165D28"/>
    <w:rsid w:val="0017005C"/>
    <w:rsid w:val="00175CD8"/>
    <w:rsid w:val="001801D7"/>
    <w:rsid w:val="00182BD8"/>
    <w:rsid w:val="001A0C75"/>
    <w:rsid w:val="001A26EE"/>
    <w:rsid w:val="001A76F9"/>
    <w:rsid w:val="001B06FF"/>
    <w:rsid w:val="001B1703"/>
    <w:rsid w:val="001C1C2E"/>
    <w:rsid w:val="001C31A1"/>
    <w:rsid w:val="001C3A13"/>
    <w:rsid w:val="001C3FA2"/>
    <w:rsid w:val="001C5EE2"/>
    <w:rsid w:val="001D0077"/>
    <w:rsid w:val="001D561A"/>
    <w:rsid w:val="001E407B"/>
    <w:rsid w:val="001E7FC6"/>
    <w:rsid w:val="001F21F5"/>
    <w:rsid w:val="001F2502"/>
    <w:rsid w:val="001F5B03"/>
    <w:rsid w:val="001F70A5"/>
    <w:rsid w:val="0020235D"/>
    <w:rsid w:val="0020369B"/>
    <w:rsid w:val="00207B4D"/>
    <w:rsid w:val="002117B1"/>
    <w:rsid w:val="00217CCE"/>
    <w:rsid w:val="002203B1"/>
    <w:rsid w:val="00226F39"/>
    <w:rsid w:val="002334AD"/>
    <w:rsid w:val="002345C0"/>
    <w:rsid w:val="00234770"/>
    <w:rsid w:val="00241B60"/>
    <w:rsid w:val="0025785B"/>
    <w:rsid w:val="00257969"/>
    <w:rsid w:val="002607A4"/>
    <w:rsid w:val="002644BC"/>
    <w:rsid w:val="00273A3E"/>
    <w:rsid w:val="00280048"/>
    <w:rsid w:val="0028489E"/>
    <w:rsid w:val="002848DE"/>
    <w:rsid w:val="00284E58"/>
    <w:rsid w:val="00284E9F"/>
    <w:rsid w:val="00287271"/>
    <w:rsid w:val="002878C1"/>
    <w:rsid w:val="0028794E"/>
    <w:rsid w:val="002A50F6"/>
    <w:rsid w:val="002A5841"/>
    <w:rsid w:val="002B1EDF"/>
    <w:rsid w:val="002B2061"/>
    <w:rsid w:val="002C1232"/>
    <w:rsid w:val="002C1E44"/>
    <w:rsid w:val="002C270B"/>
    <w:rsid w:val="002C4D69"/>
    <w:rsid w:val="002C5C92"/>
    <w:rsid w:val="002C5E29"/>
    <w:rsid w:val="002C6643"/>
    <w:rsid w:val="002C699B"/>
    <w:rsid w:val="002D044A"/>
    <w:rsid w:val="002D0478"/>
    <w:rsid w:val="002D122F"/>
    <w:rsid w:val="002D7127"/>
    <w:rsid w:val="002E514B"/>
    <w:rsid w:val="002E53DB"/>
    <w:rsid w:val="002F2A44"/>
    <w:rsid w:val="002F599E"/>
    <w:rsid w:val="003008D8"/>
    <w:rsid w:val="00301D9A"/>
    <w:rsid w:val="00302C40"/>
    <w:rsid w:val="00303959"/>
    <w:rsid w:val="00306E72"/>
    <w:rsid w:val="003076E0"/>
    <w:rsid w:val="00312AC3"/>
    <w:rsid w:val="00314430"/>
    <w:rsid w:val="00315266"/>
    <w:rsid w:val="003163BC"/>
    <w:rsid w:val="0032351A"/>
    <w:rsid w:val="00323B48"/>
    <w:rsid w:val="00324B33"/>
    <w:rsid w:val="00327488"/>
    <w:rsid w:val="0033197C"/>
    <w:rsid w:val="003357C4"/>
    <w:rsid w:val="00336FE1"/>
    <w:rsid w:val="00342D56"/>
    <w:rsid w:val="003456E7"/>
    <w:rsid w:val="00346EC2"/>
    <w:rsid w:val="003477F9"/>
    <w:rsid w:val="0035444D"/>
    <w:rsid w:val="00356D62"/>
    <w:rsid w:val="003572E7"/>
    <w:rsid w:val="00360B43"/>
    <w:rsid w:val="00363EE3"/>
    <w:rsid w:val="00367133"/>
    <w:rsid w:val="00367D82"/>
    <w:rsid w:val="003735F3"/>
    <w:rsid w:val="00373672"/>
    <w:rsid w:val="00374729"/>
    <w:rsid w:val="003766E9"/>
    <w:rsid w:val="00387298"/>
    <w:rsid w:val="00387631"/>
    <w:rsid w:val="00387984"/>
    <w:rsid w:val="00395140"/>
    <w:rsid w:val="003A2422"/>
    <w:rsid w:val="003B149C"/>
    <w:rsid w:val="003B2158"/>
    <w:rsid w:val="003B6302"/>
    <w:rsid w:val="003C0FDB"/>
    <w:rsid w:val="003C1192"/>
    <w:rsid w:val="003C2D98"/>
    <w:rsid w:val="003C30E8"/>
    <w:rsid w:val="003C3517"/>
    <w:rsid w:val="003C55E2"/>
    <w:rsid w:val="003C63D5"/>
    <w:rsid w:val="003C7AA8"/>
    <w:rsid w:val="003D71A1"/>
    <w:rsid w:val="003E427D"/>
    <w:rsid w:val="003F0E11"/>
    <w:rsid w:val="003F3F91"/>
    <w:rsid w:val="003F4E79"/>
    <w:rsid w:val="004019E6"/>
    <w:rsid w:val="0041688F"/>
    <w:rsid w:val="00416B29"/>
    <w:rsid w:val="004203C3"/>
    <w:rsid w:val="0042376F"/>
    <w:rsid w:val="004246B8"/>
    <w:rsid w:val="004248F1"/>
    <w:rsid w:val="00433318"/>
    <w:rsid w:val="004347A0"/>
    <w:rsid w:val="004354C9"/>
    <w:rsid w:val="00442A56"/>
    <w:rsid w:val="004444B0"/>
    <w:rsid w:val="0045060B"/>
    <w:rsid w:val="004626FF"/>
    <w:rsid w:val="00466621"/>
    <w:rsid w:val="00470A52"/>
    <w:rsid w:val="004713D3"/>
    <w:rsid w:val="00471BD5"/>
    <w:rsid w:val="00477C4E"/>
    <w:rsid w:val="00477F07"/>
    <w:rsid w:val="00481503"/>
    <w:rsid w:val="00481D12"/>
    <w:rsid w:val="004854A6"/>
    <w:rsid w:val="00491A55"/>
    <w:rsid w:val="00494C3E"/>
    <w:rsid w:val="00497DF1"/>
    <w:rsid w:val="004A318E"/>
    <w:rsid w:val="004A57E8"/>
    <w:rsid w:val="004B3081"/>
    <w:rsid w:val="004B4A09"/>
    <w:rsid w:val="004B5643"/>
    <w:rsid w:val="004C41CE"/>
    <w:rsid w:val="004C631B"/>
    <w:rsid w:val="004D2F00"/>
    <w:rsid w:val="004D31D8"/>
    <w:rsid w:val="004D41F2"/>
    <w:rsid w:val="004D480D"/>
    <w:rsid w:val="004D5388"/>
    <w:rsid w:val="004E2269"/>
    <w:rsid w:val="004E7F16"/>
    <w:rsid w:val="004F18EC"/>
    <w:rsid w:val="004F7EA1"/>
    <w:rsid w:val="00500D68"/>
    <w:rsid w:val="00512EC8"/>
    <w:rsid w:val="00516564"/>
    <w:rsid w:val="00521407"/>
    <w:rsid w:val="0053377D"/>
    <w:rsid w:val="00535DFE"/>
    <w:rsid w:val="005373B5"/>
    <w:rsid w:val="00537AB7"/>
    <w:rsid w:val="00544C7F"/>
    <w:rsid w:val="0054669B"/>
    <w:rsid w:val="005610D1"/>
    <w:rsid w:val="00562F42"/>
    <w:rsid w:val="00564EB0"/>
    <w:rsid w:val="00565739"/>
    <w:rsid w:val="0056766D"/>
    <w:rsid w:val="005727B0"/>
    <w:rsid w:val="00575215"/>
    <w:rsid w:val="00575962"/>
    <w:rsid w:val="0058575E"/>
    <w:rsid w:val="005867AA"/>
    <w:rsid w:val="00587668"/>
    <w:rsid w:val="0058783C"/>
    <w:rsid w:val="005911AE"/>
    <w:rsid w:val="005926E2"/>
    <w:rsid w:val="0059313A"/>
    <w:rsid w:val="005A0222"/>
    <w:rsid w:val="005A4939"/>
    <w:rsid w:val="005A54EA"/>
    <w:rsid w:val="005B023F"/>
    <w:rsid w:val="005B02A2"/>
    <w:rsid w:val="005B1417"/>
    <w:rsid w:val="005B69CF"/>
    <w:rsid w:val="005C0751"/>
    <w:rsid w:val="005C3F07"/>
    <w:rsid w:val="005C45DB"/>
    <w:rsid w:val="005C4B46"/>
    <w:rsid w:val="005C5DC5"/>
    <w:rsid w:val="005D2089"/>
    <w:rsid w:val="005D5E99"/>
    <w:rsid w:val="005D7514"/>
    <w:rsid w:val="005E0FC6"/>
    <w:rsid w:val="005E1A7B"/>
    <w:rsid w:val="005E231F"/>
    <w:rsid w:val="005E2455"/>
    <w:rsid w:val="005E2E04"/>
    <w:rsid w:val="005E543A"/>
    <w:rsid w:val="00602D6E"/>
    <w:rsid w:val="006051E1"/>
    <w:rsid w:val="00605774"/>
    <w:rsid w:val="00605C05"/>
    <w:rsid w:val="00611351"/>
    <w:rsid w:val="0061217D"/>
    <w:rsid w:val="006170AD"/>
    <w:rsid w:val="006277A1"/>
    <w:rsid w:val="00633BD7"/>
    <w:rsid w:val="00634580"/>
    <w:rsid w:val="00634884"/>
    <w:rsid w:val="00634D5C"/>
    <w:rsid w:val="006351D9"/>
    <w:rsid w:val="00637130"/>
    <w:rsid w:val="00637F0E"/>
    <w:rsid w:val="006423F2"/>
    <w:rsid w:val="0064584B"/>
    <w:rsid w:val="00650234"/>
    <w:rsid w:val="0066044B"/>
    <w:rsid w:val="006630AA"/>
    <w:rsid w:val="00663544"/>
    <w:rsid w:val="00666539"/>
    <w:rsid w:val="00666911"/>
    <w:rsid w:val="00674A29"/>
    <w:rsid w:val="00675F81"/>
    <w:rsid w:val="0067671A"/>
    <w:rsid w:val="0068143E"/>
    <w:rsid w:val="0068507D"/>
    <w:rsid w:val="00691AF2"/>
    <w:rsid w:val="00692B80"/>
    <w:rsid w:val="00692CCD"/>
    <w:rsid w:val="00692D51"/>
    <w:rsid w:val="0069377B"/>
    <w:rsid w:val="00694DD7"/>
    <w:rsid w:val="006958EE"/>
    <w:rsid w:val="0069636B"/>
    <w:rsid w:val="006A170E"/>
    <w:rsid w:val="006A1762"/>
    <w:rsid w:val="006A1F0B"/>
    <w:rsid w:val="006A277A"/>
    <w:rsid w:val="006A5973"/>
    <w:rsid w:val="006B4432"/>
    <w:rsid w:val="006B7126"/>
    <w:rsid w:val="006B7659"/>
    <w:rsid w:val="006C4CFB"/>
    <w:rsid w:val="006C6B86"/>
    <w:rsid w:val="006D4553"/>
    <w:rsid w:val="006D4A35"/>
    <w:rsid w:val="006D6B44"/>
    <w:rsid w:val="006E27FE"/>
    <w:rsid w:val="006F1F9D"/>
    <w:rsid w:val="00701110"/>
    <w:rsid w:val="00702E91"/>
    <w:rsid w:val="0070330F"/>
    <w:rsid w:val="00703624"/>
    <w:rsid w:val="007046ED"/>
    <w:rsid w:val="007072A1"/>
    <w:rsid w:val="007076FA"/>
    <w:rsid w:val="00710BC5"/>
    <w:rsid w:val="007121CA"/>
    <w:rsid w:val="0072003B"/>
    <w:rsid w:val="00721059"/>
    <w:rsid w:val="007211E6"/>
    <w:rsid w:val="00721A02"/>
    <w:rsid w:val="007220C4"/>
    <w:rsid w:val="007311E6"/>
    <w:rsid w:val="00732361"/>
    <w:rsid w:val="007357B9"/>
    <w:rsid w:val="00741AB9"/>
    <w:rsid w:val="00742D03"/>
    <w:rsid w:val="00744216"/>
    <w:rsid w:val="007452E8"/>
    <w:rsid w:val="00746990"/>
    <w:rsid w:val="00747093"/>
    <w:rsid w:val="00750D70"/>
    <w:rsid w:val="00752AC0"/>
    <w:rsid w:val="007575D0"/>
    <w:rsid w:val="00760953"/>
    <w:rsid w:val="007662E0"/>
    <w:rsid w:val="007738CF"/>
    <w:rsid w:val="00776E9C"/>
    <w:rsid w:val="007816D8"/>
    <w:rsid w:val="007823A4"/>
    <w:rsid w:val="00784150"/>
    <w:rsid w:val="0078549F"/>
    <w:rsid w:val="00786EA0"/>
    <w:rsid w:val="0078779B"/>
    <w:rsid w:val="00790037"/>
    <w:rsid w:val="00793272"/>
    <w:rsid w:val="00793655"/>
    <w:rsid w:val="0079499A"/>
    <w:rsid w:val="00794B64"/>
    <w:rsid w:val="00796384"/>
    <w:rsid w:val="007967C3"/>
    <w:rsid w:val="00796E9D"/>
    <w:rsid w:val="007A0A33"/>
    <w:rsid w:val="007B04DE"/>
    <w:rsid w:val="007B0AE6"/>
    <w:rsid w:val="007C0F0B"/>
    <w:rsid w:val="007C57BC"/>
    <w:rsid w:val="007D04CA"/>
    <w:rsid w:val="007D0A2B"/>
    <w:rsid w:val="007D12A1"/>
    <w:rsid w:val="007D40E5"/>
    <w:rsid w:val="007D4138"/>
    <w:rsid w:val="007E1233"/>
    <w:rsid w:val="007E4178"/>
    <w:rsid w:val="007E7BD8"/>
    <w:rsid w:val="007F0A77"/>
    <w:rsid w:val="007F1E37"/>
    <w:rsid w:val="007F4647"/>
    <w:rsid w:val="007F50D3"/>
    <w:rsid w:val="007F6B1F"/>
    <w:rsid w:val="007F7092"/>
    <w:rsid w:val="007F77E9"/>
    <w:rsid w:val="00804897"/>
    <w:rsid w:val="00806C2B"/>
    <w:rsid w:val="00825373"/>
    <w:rsid w:val="008329DB"/>
    <w:rsid w:val="008355E8"/>
    <w:rsid w:val="008361C5"/>
    <w:rsid w:val="0083628F"/>
    <w:rsid w:val="00837AB9"/>
    <w:rsid w:val="00847205"/>
    <w:rsid w:val="00850637"/>
    <w:rsid w:val="00854D98"/>
    <w:rsid w:val="0085751E"/>
    <w:rsid w:val="00860B29"/>
    <w:rsid w:val="008622E8"/>
    <w:rsid w:val="008645EE"/>
    <w:rsid w:val="00870144"/>
    <w:rsid w:val="00873D7A"/>
    <w:rsid w:val="00877CB3"/>
    <w:rsid w:val="00877E06"/>
    <w:rsid w:val="008804CF"/>
    <w:rsid w:val="00882D58"/>
    <w:rsid w:val="00882F19"/>
    <w:rsid w:val="00883D35"/>
    <w:rsid w:val="00884569"/>
    <w:rsid w:val="00884813"/>
    <w:rsid w:val="00887A51"/>
    <w:rsid w:val="00890814"/>
    <w:rsid w:val="00890D9B"/>
    <w:rsid w:val="00891C6C"/>
    <w:rsid w:val="00893CCD"/>
    <w:rsid w:val="008955F8"/>
    <w:rsid w:val="008964B3"/>
    <w:rsid w:val="008A621A"/>
    <w:rsid w:val="008B1CB5"/>
    <w:rsid w:val="008C29F4"/>
    <w:rsid w:val="008C2D69"/>
    <w:rsid w:val="008C49C6"/>
    <w:rsid w:val="008C72F6"/>
    <w:rsid w:val="008C754C"/>
    <w:rsid w:val="008D56C9"/>
    <w:rsid w:val="008D6A54"/>
    <w:rsid w:val="008E2585"/>
    <w:rsid w:val="008E2697"/>
    <w:rsid w:val="008E2D7A"/>
    <w:rsid w:val="008E4C7D"/>
    <w:rsid w:val="008F3215"/>
    <w:rsid w:val="008F4A62"/>
    <w:rsid w:val="008F668B"/>
    <w:rsid w:val="008F7256"/>
    <w:rsid w:val="0090054A"/>
    <w:rsid w:val="009016C2"/>
    <w:rsid w:val="0090424C"/>
    <w:rsid w:val="0090605E"/>
    <w:rsid w:val="009108CE"/>
    <w:rsid w:val="00912940"/>
    <w:rsid w:val="00915A9F"/>
    <w:rsid w:val="00921A1D"/>
    <w:rsid w:val="0092407F"/>
    <w:rsid w:val="0092518E"/>
    <w:rsid w:val="00930D58"/>
    <w:rsid w:val="00935AAA"/>
    <w:rsid w:val="00940AB8"/>
    <w:rsid w:val="009469E0"/>
    <w:rsid w:val="0095031E"/>
    <w:rsid w:val="00954297"/>
    <w:rsid w:val="00960A56"/>
    <w:rsid w:val="00966B47"/>
    <w:rsid w:val="00966EF1"/>
    <w:rsid w:val="00967223"/>
    <w:rsid w:val="009751F7"/>
    <w:rsid w:val="0098350E"/>
    <w:rsid w:val="0099097C"/>
    <w:rsid w:val="009914F6"/>
    <w:rsid w:val="0099404F"/>
    <w:rsid w:val="00996FA5"/>
    <w:rsid w:val="009A612C"/>
    <w:rsid w:val="009B4F58"/>
    <w:rsid w:val="009B5662"/>
    <w:rsid w:val="009C2211"/>
    <w:rsid w:val="009C2D00"/>
    <w:rsid w:val="009C40E8"/>
    <w:rsid w:val="009C45C5"/>
    <w:rsid w:val="009E3553"/>
    <w:rsid w:val="009E6858"/>
    <w:rsid w:val="009E6F8C"/>
    <w:rsid w:val="009F405F"/>
    <w:rsid w:val="00A01C3F"/>
    <w:rsid w:val="00A01C56"/>
    <w:rsid w:val="00A15C2A"/>
    <w:rsid w:val="00A25E6E"/>
    <w:rsid w:val="00A3035E"/>
    <w:rsid w:val="00A32C50"/>
    <w:rsid w:val="00A358E7"/>
    <w:rsid w:val="00A4380B"/>
    <w:rsid w:val="00A51A2D"/>
    <w:rsid w:val="00A5596B"/>
    <w:rsid w:val="00A62BD0"/>
    <w:rsid w:val="00A63C07"/>
    <w:rsid w:val="00A63D9B"/>
    <w:rsid w:val="00A704DC"/>
    <w:rsid w:val="00A93DC6"/>
    <w:rsid w:val="00A9411A"/>
    <w:rsid w:val="00AA0BF3"/>
    <w:rsid w:val="00AA20F3"/>
    <w:rsid w:val="00AA4A4B"/>
    <w:rsid w:val="00AA553A"/>
    <w:rsid w:val="00AA6682"/>
    <w:rsid w:val="00AB0613"/>
    <w:rsid w:val="00AB7C5C"/>
    <w:rsid w:val="00AB7CBF"/>
    <w:rsid w:val="00AD0111"/>
    <w:rsid w:val="00AD4755"/>
    <w:rsid w:val="00AD4C72"/>
    <w:rsid w:val="00AD5451"/>
    <w:rsid w:val="00AE1947"/>
    <w:rsid w:val="00AF1C8B"/>
    <w:rsid w:val="00AF299B"/>
    <w:rsid w:val="00AF7E43"/>
    <w:rsid w:val="00B02AE0"/>
    <w:rsid w:val="00B05326"/>
    <w:rsid w:val="00B14545"/>
    <w:rsid w:val="00B14E60"/>
    <w:rsid w:val="00B17BA2"/>
    <w:rsid w:val="00B26DC3"/>
    <w:rsid w:val="00B30B9D"/>
    <w:rsid w:val="00B37FB4"/>
    <w:rsid w:val="00B404BA"/>
    <w:rsid w:val="00B4564B"/>
    <w:rsid w:val="00B4574D"/>
    <w:rsid w:val="00B468E1"/>
    <w:rsid w:val="00B46BC0"/>
    <w:rsid w:val="00B46DFB"/>
    <w:rsid w:val="00B5141B"/>
    <w:rsid w:val="00B52EB8"/>
    <w:rsid w:val="00B53679"/>
    <w:rsid w:val="00B544BB"/>
    <w:rsid w:val="00B55681"/>
    <w:rsid w:val="00B57AAD"/>
    <w:rsid w:val="00B67598"/>
    <w:rsid w:val="00B72B16"/>
    <w:rsid w:val="00B80408"/>
    <w:rsid w:val="00B80D2A"/>
    <w:rsid w:val="00B81397"/>
    <w:rsid w:val="00B925DB"/>
    <w:rsid w:val="00B92A5A"/>
    <w:rsid w:val="00B967FF"/>
    <w:rsid w:val="00B974B9"/>
    <w:rsid w:val="00BA3F6D"/>
    <w:rsid w:val="00BA4BE6"/>
    <w:rsid w:val="00BA4FC0"/>
    <w:rsid w:val="00BA61E0"/>
    <w:rsid w:val="00BA7F7D"/>
    <w:rsid w:val="00BB1C14"/>
    <w:rsid w:val="00BB6847"/>
    <w:rsid w:val="00BB7F8F"/>
    <w:rsid w:val="00BC716A"/>
    <w:rsid w:val="00BD07DF"/>
    <w:rsid w:val="00BD26F4"/>
    <w:rsid w:val="00BD5DBD"/>
    <w:rsid w:val="00BD5DF6"/>
    <w:rsid w:val="00BE0041"/>
    <w:rsid w:val="00BE04FC"/>
    <w:rsid w:val="00BE229E"/>
    <w:rsid w:val="00BE4558"/>
    <w:rsid w:val="00BE640F"/>
    <w:rsid w:val="00BE7D86"/>
    <w:rsid w:val="00BF4638"/>
    <w:rsid w:val="00C03A17"/>
    <w:rsid w:val="00C0572D"/>
    <w:rsid w:val="00C059D0"/>
    <w:rsid w:val="00C07551"/>
    <w:rsid w:val="00C1109F"/>
    <w:rsid w:val="00C12D65"/>
    <w:rsid w:val="00C133AB"/>
    <w:rsid w:val="00C15666"/>
    <w:rsid w:val="00C20B56"/>
    <w:rsid w:val="00C22214"/>
    <w:rsid w:val="00C2591D"/>
    <w:rsid w:val="00C26888"/>
    <w:rsid w:val="00C26F72"/>
    <w:rsid w:val="00C309A7"/>
    <w:rsid w:val="00C32B1E"/>
    <w:rsid w:val="00C335AB"/>
    <w:rsid w:val="00C407AB"/>
    <w:rsid w:val="00C44C0B"/>
    <w:rsid w:val="00C44D22"/>
    <w:rsid w:val="00C466C3"/>
    <w:rsid w:val="00C52B7B"/>
    <w:rsid w:val="00C547CD"/>
    <w:rsid w:val="00C570FF"/>
    <w:rsid w:val="00C57CEA"/>
    <w:rsid w:val="00C60FEC"/>
    <w:rsid w:val="00C62FA9"/>
    <w:rsid w:val="00C6574E"/>
    <w:rsid w:val="00C707FD"/>
    <w:rsid w:val="00C72BDD"/>
    <w:rsid w:val="00C76DEB"/>
    <w:rsid w:val="00C77551"/>
    <w:rsid w:val="00C80793"/>
    <w:rsid w:val="00C816C6"/>
    <w:rsid w:val="00C863A7"/>
    <w:rsid w:val="00C912F4"/>
    <w:rsid w:val="00C9153D"/>
    <w:rsid w:val="00C9156F"/>
    <w:rsid w:val="00C94811"/>
    <w:rsid w:val="00C9581A"/>
    <w:rsid w:val="00C97D29"/>
    <w:rsid w:val="00CB0550"/>
    <w:rsid w:val="00CB250E"/>
    <w:rsid w:val="00CB45D0"/>
    <w:rsid w:val="00CB662C"/>
    <w:rsid w:val="00CB6813"/>
    <w:rsid w:val="00CC393D"/>
    <w:rsid w:val="00CD1876"/>
    <w:rsid w:val="00CF65F2"/>
    <w:rsid w:val="00CF6A55"/>
    <w:rsid w:val="00CF6DC6"/>
    <w:rsid w:val="00CF6DCF"/>
    <w:rsid w:val="00CF7252"/>
    <w:rsid w:val="00D01DDB"/>
    <w:rsid w:val="00D078BE"/>
    <w:rsid w:val="00D12D32"/>
    <w:rsid w:val="00D13F8A"/>
    <w:rsid w:val="00D16F60"/>
    <w:rsid w:val="00D22981"/>
    <w:rsid w:val="00D27FC5"/>
    <w:rsid w:val="00D3349B"/>
    <w:rsid w:val="00D424A8"/>
    <w:rsid w:val="00D51D12"/>
    <w:rsid w:val="00D6036F"/>
    <w:rsid w:val="00D62877"/>
    <w:rsid w:val="00D63760"/>
    <w:rsid w:val="00D6703F"/>
    <w:rsid w:val="00D67706"/>
    <w:rsid w:val="00D734EB"/>
    <w:rsid w:val="00D82713"/>
    <w:rsid w:val="00D86F00"/>
    <w:rsid w:val="00D918D5"/>
    <w:rsid w:val="00D924D7"/>
    <w:rsid w:val="00D9340C"/>
    <w:rsid w:val="00D94C8E"/>
    <w:rsid w:val="00DA48E1"/>
    <w:rsid w:val="00DA63D1"/>
    <w:rsid w:val="00DB1372"/>
    <w:rsid w:val="00DB192C"/>
    <w:rsid w:val="00DB1CF3"/>
    <w:rsid w:val="00DB5425"/>
    <w:rsid w:val="00DB72A6"/>
    <w:rsid w:val="00DC6611"/>
    <w:rsid w:val="00DE1344"/>
    <w:rsid w:val="00DE52FF"/>
    <w:rsid w:val="00DF0A82"/>
    <w:rsid w:val="00DF1620"/>
    <w:rsid w:val="00DF5BFE"/>
    <w:rsid w:val="00E0523F"/>
    <w:rsid w:val="00E2073C"/>
    <w:rsid w:val="00E22C04"/>
    <w:rsid w:val="00E23E50"/>
    <w:rsid w:val="00E26213"/>
    <w:rsid w:val="00E274DF"/>
    <w:rsid w:val="00E31A84"/>
    <w:rsid w:val="00E34D66"/>
    <w:rsid w:val="00E362C4"/>
    <w:rsid w:val="00E36A4E"/>
    <w:rsid w:val="00E46CC2"/>
    <w:rsid w:val="00E46FC3"/>
    <w:rsid w:val="00E47E0C"/>
    <w:rsid w:val="00E51813"/>
    <w:rsid w:val="00E52C0B"/>
    <w:rsid w:val="00E53D3F"/>
    <w:rsid w:val="00E5579B"/>
    <w:rsid w:val="00E57FF4"/>
    <w:rsid w:val="00E679D1"/>
    <w:rsid w:val="00E67C1C"/>
    <w:rsid w:val="00E712E5"/>
    <w:rsid w:val="00E84969"/>
    <w:rsid w:val="00E916BB"/>
    <w:rsid w:val="00E91F11"/>
    <w:rsid w:val="00E939D1"/>
    <w:rsid w:val="00E9706D"/>
    <w:rsid w:val="00EA328A"/>
    <w:rsid w:val="00EA3AF4"/>
    <w:rsid w:val="00EC2B0F"/>
    <w:rsid w:val="00EE707A"/>
    <w:rsid w:val="00EF061D"/>
    <w:rsid w:val="00EF3F0B"/>
    <w:rsid w:val="00EF5583"/>
    <w:rsid w:val="00F0289D"/>
    <w:rsid w:val="00F02AEC"/>
    <w:rsid w:val="00F0468E"/>
    <w:rsid w:val="00F07572"/>
    <w:rsid w:val="00F157FC"/>
    <w:rsid w:val="00F26EAD"/>
    <w:rsid w:val="00F27361"/>
    <w:rsid w:val="00F309E6"/>
    <w:rsid w:val="00F30AF3"/>
    <w:rsid w:val="00F40079"/>
    <w:rsid w:val="00F43CD1"/>
    <w:rsid w:val="00F45AE0"/>
    <w:rsid w:val="00F60CF2"/>
    <w:rsid w:val="00F649BB"/>
    <w:rsid w:val="00F657B4"/>
    <w:rsid w:val="00F7649F"/>
    <w:rsid w:val="00F8083B"/>
    <w:rsid w:val="00F865A7"/>
    <w:rsid w:val="00F92913"/>
    <w:rsid w:val="00F956CF"/>
    <w:rsid w:val="00FA0754"/>
    <w:rsid w:val="00FA1BC9"/>
    <w:rsid w:val="00FA49C3"/>
    <w:rsid w:val="00FB236E"/>
    <w:rsid w:val="00FB3F7B"/>
    <w:rsid w:val="00FB4C2A"/>
    <w:rsid w:val="00FC2107"/>
    <w:rsid w:val="00FC48FE"/>
    <w:rsid w:val="00FC6F56"/>
    <w:rsid w:val="00FD0D60"/>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B48"/>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674A29"/>
    <w:pPr>
      <w:numPr>
        <w:numId w:val="19"/>
      </w:numPr>
      <w:spacing w:after="160"/>
      <w:contextualSpacing/>
    </w:pPr>
    <w:rPr>
      <w:rFonts w:cs="Times New Roman"/>
      <w:szCs w:val="24"/>
    </w:rPr>
  </w:style>
  <w:style w:type="character" w:customStyle="1" w:styleId="ListParagraphChar">
    <w:name w:val="List Paragraph Char"/>
    <w:basedOn w:val="DefaultParagraphFont"/>
    <w:link w:val="ListParagraph"/>
    <w:uiPriority w:val="34"/>
    <w:locked/>
    <w:rsid w:val="00674A29"/>
    <w:rPr>
      <w:rFonts w:ascii="Cambria" w:hAnsi="Cambria" w:cs="Times New Roman"/>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customStyle="1" w:styleId="TableParagraph">
    <w:name w:val="Table Paragraph"/>
    <w:basedOn w:val="Normal"/>
    <w:uiPriority w:val="1"/>
    <w:qFormat/>
    <w:rsid w:val="003F3F91"/>
    <w:pPr>
      <w:widowControl w:val="0"/>
      <w:autoSpaceDE w:val="0"/>
      <w:autoSpaceDN w:val="0"/>
      <w:spacing w:before="19" w:after="0" w:line="240" w:lineRule="auto"/>
      <w:ind w:left="12"/>
      <w:jc w:val="center"/>
    </w:pPr>
    <w:rPr>
      <w:rFonts w:ascii="Times New Roman" w:eastAsia="Times New Roman" w:hAnsi="Times New Roman" w:cs="Times New Roman"/>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52650">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image" Target="media/image5.png"/><Relationship Id="rId26" Type="http://schemas.openxmlformats.org/officeDocument/2006/relationships/hyperlink" Target="https://www.tga.gov.au/products/australian-register-therapeutic-goods-artg" TargetMode="External"/><Relationship Id="rId39" Type="http://schemas.microsoft.com/office/2007/relationships/hdphoto" Target="media/hdphoto7.wdp"/><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hyperlink" Target="https://www.tga.gov.au/resources/auspar/auspar-comirnaty-covid-19-vaccine" TargetMode="External"/><Relationship Id="rId55" Type="http://schemas.openxmlformats.org/officeDocument/2006/relationships/hyperlink" Target="https://www.tga.gov.au/products/australian-register-therapeutic-goods-artg/consumer-medicines-information-cmi"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black-triangle-scheme" TargetMode="External"/><Relationship Id="rId20" Type="http://schemas.openxmlformats.org/officeDocument/2006/relationships/hyperlink" Target="https://www.ebs.tga.gov.au/ebs/picmi/picmirepository.nsf/pdf?OpenAgent=&amp;id=CP-2023-PI-01101-1&amp;d=20240826172310101" TargetMode="External"/><Relationship Id="rId29" Type="http://schemas.openxmlformats.org/officeDocument/2006/relationships/image" Target="media/image8.png"/><Relationship Id="rId41" Type="http://schemas.microsoft.com/office/2007/relationships/hdphoto" Target="media/hdphoto8.wdp"/><Relationship Id="rId54" Type="http://schemas.openxmlformats.org/officeDocument/2006/relationships/hyperlink" Target="https://www.tga.gov.au/products/australian-register-therapeutic-goods-artg/product-information-one"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2.wdp"/><Relationship Id="rId32" Type="http://schemas.openxmlformats.org/officeDocument/2006/relationships/image" Target="media/image10.png"/><Relationship Id="rId37" Type="http://schemas.microsoft.com/office/2007/relationships/hdphoto" Target="media/hdphoto6.wdp"/><Relationship Id="rId40" Type="http://schemas.openxmlformats.org/officeDocument/2006/relationships/image" Target="media/image14.png"/><Relationship Id="rId45" Type="http://schemas.microsoft.com/office/2007/relationships/hdphoto" Target="media/hdphoto10.wdp"/><Relationship Id="rId53" Type="http://schemas.openxmlformats.org/officeDocument/2006/relationships/hyperlink" Target="https://www.tga.gov.au/products/australian-register-therapeutic-goods-artg/product-information-one"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resources/artg/417266" TargetMode="External"/><Relationship Id="rId23" Type="http://schemas.openxmlformats.org/officeDocument/2006/relationships/image" Target="media/image6.png"/><Relationship Id="rId28" Type="http://schemas.openxmlformats.org/officeDocument/2006/relationships/hyperlink" Target="https://www.tga.gov.au/provisional-approval-pathway-prescription-medicines" TargetMode="Externa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header" Target="header3.xml"/><Relationship Id="rId61" Type="http://schemas.openxmlformats.org/officeDocument/2006/relationships/header" Target="header4.xml"/><Relationship Id="rId10" Type="http://schemas.openxmlformats.org/officeDocument/2006/relationships/header" Target="header2.xml"/><Relationship Id="rId19" Type="http://schemas.microsoft.com/office/2007/relationships/hdphoto" Target="media/hdphoto1.wdp"/><Relationship Id="rId31" Type="http://schemas.microsoft.com/office/2007/relationships/hdphoto" Target="media/hdphoto3.wdp"/><Relationship Id="rId44" Type="http://schemas.openxmlformats.org/officeDocument/2006/relationships/image" Target="media/image16.png"/><Relationship Id="rId52" Type="http://schemas.openxmlformats.org/officeDocument/2006/relationships/hyperlink" Target="https://www.health.gov.au/sites/default/files/2024-03/atagi-statement-on-the-administration-of-covid-19-vaccines-in-2024.pdf" TargetMode="External"/><Relationship Id="rId60"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obstetric-drug-information-services" TargetMode="External"/><Relationship Id="rId27" Type="http://schemas.openxmlformats.org/officeDocument/2006/relationships/image" Target="media/image7.png"/><Relationship Id="rId30" Type="http://schemas.openxmlformats.org/officeDocument/2006/relationships/image" Target="media/image9.png"/><Relationship Id="rId35" Type="http://schemas.microsoft.com/office/2007/relationships/hdphoto" Target="media/hdphoto5.wdp"/><Relationship Id="rId43" Type="http://schemas.microsoft.com/office/2007/relationships/hdphoto" Target="media/hdphoto9.wdp"/><Relationship Id="rId48" Type="http://schemas.microsoft.com/office/2007/relationships/hdphoto" Target="media/hdphoto11.wdp"/><Relationship Id="rId56" Type="http://schemas.openxmlformats.org/officeDocument/2006/relationships/hyperlink" Target="https://www.tga.gov.au/picmi-search-facility"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tga.gov.au/resources/auspar/auspar-comirnaty-omicron-xbb15" TargetMode="Externa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image" Target="media/image4.png"/><Relationship Id="rId25" Type="http://schemas.openxmlformats.org/officeDocument/2006/relationships/hyperlink" Target="https://www.tga.gov.au/products/australian-register-therapeutic-goods-artg" TargetMode="External"/><Relationship Id="rId33" Type="http://schemas.microsoft.com/office/2007/relationships/hdphoto" Target="media/hdphoto4.wdp"/><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25</Pages>
  <Words>6308</Words>
  <Characters>35958</Characters>
  <Application>Microsoft Office Word</Application>
  <DocSecurity>0</DocSecurity>
  <Lines>299</Lines>
  <Paragraphs>84</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Australian public assessment report for Comirnaty Original/Omicron BA.4-5 COVID-19 Vaccine</vt:lpstr>
      <vt:lpstr>    About the Therapeutic Goods Administration (TGA)</vt:lpstr>
      <vt:lpstr>    About AusPARs</vt:lpstr>
      <vt:lpstr>    Copyright</vt:lpstr>
      <vt:lpstr>    &lt;Contents</vt:lpstr>
      <vt:lpstr>    Comirnaty original/omicron BA.4-5 submission</vt:lpstr>
      <vt:lpstr>        Comirnaty Original/Omicron BA.4-5 – proposed indications</vt:lpstr>
      <vt:lpstr>        Coronavirus disease (COVID-19)</vt:lpstr>
      <vt:lpstr>        Clinical rationale for comirnaty original/omicron BA.4-5 use </vt:lpstr>
      <vt:lpstr>    Regulatory status</vt:lpstr>
      <vt:lpstr>        Australian regulatory status</vt:lpstr>
      <vt:lpstr>        Registration timeline</vt:lpstr>
      <vt:lpstr>    Evaluation overview </vt:lpstr>
      <vt:lpstr>        Clinical evaluation summary</vt:lpstr>
      <vt:lpstr>    Risk/benefit assessment</vt:lpstr>
      <vt:lpstr>    Outcome</vt:lpstr>
    </vt:vector>
  </TitlesOfParts>
  <Company>Department of Health and Aged Care</Company>
  <LinksUpToDate>false</LinksUpToDate>
  <CharactersWithSpaces>42182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Comirnaty Original/Omicron BA.4-5 COVID-19 Vaccine</dc:title>
  <dc:subject>Prescription medicines</dc:subject>
  <dc:creator>Therapeutic Goods Administration</dc:creator>
  <cp:keywords/>
  <dc:description/>
  <cp:lastModifiedBy>LACK, Janet</cp:lastModifiedBy>
  <cp:revision>3</cp:revision>
  <dcterms:created xsi:type="dcterms:W3CDTF">2024-09-23T04:32:00Z</dcterms:created>
  <dcterms:modified xsi:type="dcterms:W3CDTF">2024-09-23T04:52:00Z</dcterms:modified>
</cp:coreProperties>
</file>