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FCA59" w14:textId="77777777" w:rsidR="00D67706" w:rsidRDefault="00D67706" w:rsidP="00D67706"/>
    <w:p w14:paraId="4DD75048" w14:textId="77777777" w:rsidR="00D67706" w:rsidRDefault="00D67706" w:rsidP="00D67706"/>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BE229E" w:rsidRPr="00BE229E" w14:paraId="0FDF7326" w14:textId="77777777" w:rsidTr="00F7414D">
        <w:trPr>
          <w:trHeight w:val="1558"/>
        </w:trPr>
        <w:tc>
          <w:tcPr>
            <w:tcW w:w="8720" w:type="dxa"/>
          </w:tcPr>
          <w:p w14:paraId="5784773E" w14:textId="61D5D088" w:rsidR="00BE229E" w:rsidRPr="00BE229E" w:rsidRDefault="00BE229E" w:rsidP="0005414B">
            <w:pPr>
              <w:pStyle w:val="Title"/>
              <w:rPr>
                <w:lang w:eastAsia="en-US"/>
              </w:rPr>
            </w:pPr>
            <w:r w:rsidRPr="00BE229E">
              <w:rPr>
                <w:lang w:eastAsia="en-US"/>
              </w:rPr>
              <w:t xml:space="preserve">Australian Public Assessment Report for </w:t>
            </w:r>
            <w:r w:rsidR="00654BC7">
              <w:rPr>
                <w:lang w:eastAsia="en-US"/>
              </w:rPr>
              <w:t>Amvuttra</w:t>
            </w:r>
          </w:p>
        </w:tc>
      </w:tr>
      <w:tr w:rsidR="00BE229E" w:rsidRPr="00BE229E" w14:paraId="659E4907" w14:textId="77777777" w:rsidTr="00F7414D">
        <w:trPr>
          <w:trHeight w:val="995"/>
        </w:trPr>
        <w:tc>
          <w:tcPr>
            <w:tcW w:w="8720" w:type="dxa"/>
          </w:tcPr>
          <w:p w14:paraId="0A512252" w14:textId="362B4DCB" w:rsidR="00BE229E" w:rsidRPr="00BE229E" w:rsidRDefault="00BE229E" w:rsidP="0005414B">
            <w:pPr>
              <w:pStyle w:val="Subtitle"/>
              <w:rPr>
                <w:lang w:eastAsia="en-US"/>
              </w:rPr>
            </w:pPr>
            <w:r w:rsidRPr="00BE229E">
              <w:rPr>
                <w:lang w:eastAsia="en-US"/>
              </w:rPr>
              <w:t xml:space="preserve">Active ingredient: </w:t>
            </w:r>
            <w:bookmarkStart w:id="0" w:name="_Hlk177464817"/>
            <w:proofErr w:type="spellStart"/>
            <w:r w:rsidR="0005414B">
              <w:rPr>
                <w:lang w:eastAsia="en-US"/>
              </w:rPr>
              <w:t>V</w:t>
            </w:r>
            <w:r w:rsidR="00FD30AA" w:rsidRPr="00FD30AA">
              <w:rPr>
                <w:lang w:eastAsia="en-US"/>
              </w:rPr>
              <w:t>utrisiran</w:t>
            </w:r>
            <w:bookmarkEnd w:id="0"/>
            <w:proofErr w:type="spellEnd"/>
          </w:p>
        </w:tc>
      </w:tr>
      <w:tr w:rsidR="00BE229E" w:rsidRPr="00BE229E" w14:paraId="1D0DAE0A" w14:textId="77777777" w:rsidTr="00F7414D">
        <w:trPr>
          <w:trHeight w:val="1916"/>
        </w:trPr>
        <w:tc>
          <w:tcPr>
            <w:tcW w:w="8720" w:type="dxa"/>
          </w:tcPr>
          <w:p w14:paraId="046475F3" w14:textId="706B9F4F" w:rsidR="00BE229E" w:rsidRPr="00BE229E" w:rsidRDefault="00CE0E84" w:rsidP="0005414B">
            <w:pPr>
              <w:pStyle w:val="Subtitle"/>
              <w:rPr>
                <w:lang w:eastAsia="en-US"/>
              </w:rPr>
            </w:pPr>
            <w:r>
              <w:rPr>
                <w:lang w:eastAsia="en-US"/>
              </w:rPr>
              <w:t>Sponsor</w:t>
            </w:r>
            <w:r w:rsidR="00BE229E" w:rsidRPr="00BE229E">
              <w:rPr>
                <w:lang w:eastAsia="en-US"/>
              </w:rPr>
              <w:t xml:space="preserve">: </w:t>
            </w:r>
            <w:proofErr w:type="spellStart"/>
            <w:r w:rsidR="00FD30AA" w:rsidRPr="00FD30AA">
              <w:rPr>
                <w:lang w:eastAsia="en-US"/>
              </w:rPr>
              <w:t>Medison</w:t>
            </w:r>
            <w:proofErr w:type="spellEnd"/>
            <w:r w:rsidR="00FD30AA" w:rsidRPr="00FD30AA">
              <w:rPr>
                <w:lang w:eastAsia="en-US"/>
              </w:rPr>
              <w:t xml:space="preserve"> Pharma Australia Pty Ltd</w:t>
            </w:r>
          </w:p>
        </w:tc>
      </w:tr>
      <w:tr w:rsidR="00BE229E" w:rsidRPr="00BE229E" w14:paraId="4AD6111B" w14:textId="77777777" w:rsidTr="0005414B">
        <w:trPr>
          <w:trHeight w:val="635"/>
        </w:trPr>
        <w:tc>
          <w:tcPr>
            <w:tcW w:w="8720" w:type="dxa"/>
          </w:tcPr>
          <w:p w14:paraId="30DA8967" w14:textId="77777777" w:rsidR="00BE229E" w:rsidRPr="00BE229E" w:rsidRDefault="00BE229E" w:rsidP="0005414B">
            <w:pPr>
              <w:pStyle w:val="Date"/>
              <w:rPr>
                <w:lang w:eastAsia="en-US"/>
              </w:rPr>
            </w:pPr>
            <w:r w:rsidRPr="00BE229E">
              <w:rPr>
                <w:lang w:eastAsia="en-US"/>
              </w:rPr>
              <w:t>August 2024</w:t>
            </w:r>
          </w:p>
        </w:tc>
      </w:tr>
    </w:tbl>
    <w:p w14:paraId="73752706" w14:textId="77777777" w:rsidR="00D67706" w:rsidRPr="00D67706" w:rsidRDefault="00D67706" w:rsidP="00D67706">
      <w:pPr>
        <w:sectPr w:rsidR="00D67706" w:rsidRPr="00D67706"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5"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5FCE1ADA" w:rsidR="00175CD8" w:rsidRPr="00346EC2" w:rsidRDefault="00F02AEC" w:rsidP="00346EC2">
      <w:pPr>
        <w:pStyle w:val="LegalCopy"/>
        <w:rPr>
          <w:rFonts w:cs="Arial"/>
        </w:rPr>
      </w:pPr>
      <w:r w:rsidRPr="00215D48">
        <w:rPr>
          <w:rFonts w:cs="Arial"/>
        </w:rPr>
        <w:t>© Commonwealth of Australia 20</w:t>
      </w:r>
      <w:r>
        <w:rPr>
          <w:rFonts w:cs="Arial"/>
        </w:rPr>
        <w:t>2</w:t>
      </w:r>
      <w:r w:rsidR="007F1E37">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72CED4D7" w14:textId="3EF489CA" w:rsidR="00B4100F" w:rsidRDefault="00F02AEC">
          <w:pPr>
            <w:pStyle w:val="TOC1"/>
            <w:rPr>
              <w:rFonts w:asciiTheme="minorHAnsi" w:eastAsiaTheme="minorEastAsia" w:hAnsiTheme="minorHAnsi" w:cstheme="minorBidi"/>
              <w:b w:val="0"/>
              <w:noProof/>
              <w:color w:val="auto"/>
              <w:kern w:val="2"/>
              <w:sz w:val="22"/>
              <w:szCs w:val="22"/>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77466070" w:history="1">
            <w:r w:rsidR="00B4100F" w:rsidRPr="008E1E8B">
              <w:rPr>
                <w:rStyle w:val="Hyperlink"/>
                <w:noProof/>
              </w:rPr>
              <w:t>List of abbreviations</w:t>
            </w:r>
            <w:r w:rsidR="00B4100F">
              <w:rPr>
                <w:noProof/>
                <w:webHidden/>
              </w:rPr>
              <w:tab/>
            </w:r>
            <w:r w:rsidR="00B4100F">
              <w:rPr>
                <w:noProof/>
                <w:webHidden/>
              </w:rPr>
              <w:fldChar w:fldCharType="begin"/>
            </w:r>
            <w:r w:rsidR="00B4100F">
              <w:rPr>
                <w:noProof/>
                <w:webHidden/>
              </w:rPr>
              <w:instrText xml:space="preserve"> PAGEREF _Toc177466070 \h </w:instrText>
            </w:r>
            <w:r w:rsidR="00B4100F">
              <w:rPr>
                <w:noProof/>
                <w:webHidden/>
              </w:rPr>
            </w:r>
            <w:r w:rsidR="00B4100F">
              <w:rPr>
                <w:noProof/>
                <w:webHidden/>
              </w:rPr>
              <w:fldChar w:fldCharType="separate"/>
            </w:r>
            <w:r w:rsidR="00B4100F">
              <w:rPr>
                <w:noProof/>
                <w:webHidden/>
              </w:rPr>
              <w:t>4</w:t>
            </w:r>
            <w:r w:rsidR="00B4100F">
              <w:rPr>
                <w:noProof/>
                <w:webHidden/>
              </w:rPr>
              <w:fldChar w:fldCharType="end"/>
            </w:r>
          </w:hyperlink>
        </w:p>
        <w:p w14:paraId="03C83558" w14:textId="2C29C00F" w:rsidR="00B4100F" w:rsidRDefault="00FE504D">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7466071" w:history="1">
            <w:r w:rsidR="00B4100F" w:rsidRPr="008E1E8B">
              <w:rPr>
                <w:rStyle w:val="Hyperlink"/>
                <w:noProof/>
              </w:rPr>
              <w:t>Amvuttra (vutrisiran) submission</w:t>
            </w:r>
            <w:r w:rsidR="00B4100F">
              <w:rPr>
                <w:noProof/>
                <w:webHidden/>
              </w:rPr>
              <w:tab/>
            </w:r>
            <w:r w:rsidR="00B4100F">
              <w:rPr>
                <w:noProof/>
                <w:webHidden/>
              </w:rPr>
              <w:fldChar w:fldCharType="begin"/>
            </w:r>
            <w:r w:rsidR="00B4100F">
              <w:rPr>
                <w:noProof/>
                <w:webHidden/>
              </w:rPr>
              <w:instrText xml:space="preserve"> PAGEREF _Toc177466071 \h </w:instrText>
            </w:r>
            <w:r w:rsidR="00B4100F">
              <w:rPr>
                <w:noProof/>
                <w:webHidden/>
              </w:rPr>
            </w:r>
            <w:r w:rsidR="00B4100F">
              <w:rPr>
                <w:noProof/>
                <w:webHidden/>
              </w:rPr>
              <w:fldChar w:fldCharType="separate"/>
            </w:r>
            <w:r w:rsidR="00B4100F">
              <w:rPr>
                <w:noProof/>
                <w:webHidden/>
              </w:rPr>
              <w:t>5</w:t>
            </w:r>
            <w:r w:rsidR="00B4100F">
              <w:rPr>
                <w:noProof/>
                <w:webHidden/>
              </w:rPr>
              <w:fldChar w:fldCharType="end"/>
            </w:r>
          </w:hyperlink>
        </w:p>
        <w:p w14:paraId="32B3208D" w14:textId="74D9E01C" w:rsidR="00B4100F" w:rsidRDefault="00FE504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7466072" w:history="1">
            <w:r w:rsidR="00B4100F" w:rsidRPr="008E1E8B">
              <w:rPr>
                <w:rStyle w:val="Hyperlink"/>
                <w:noProof/>
              </w:rPr>
              <w:t>Amvuttra (vutrisiran) – proposed indication</w:t>
            </w:r>
            <w:r w:rsidR="00B4100F">
              <w:rPr>
                <w:noProof/>
                <w:webHidden/>
              </w:rPr>
              <w:tab/>
            </w:r>
            <w:r w:rsidR="00B4100F">
              <w:rPr>
                <w:noProof/>
                <w:webHidden/>
              </w:rPr>
              <w:fldChar w:fldCharType="begin"/>
            </w:r>
            <w:r w:rsidR="00B4100F">
              <w:rPr>
                <w:noProof/>
                <w:webHidden/>
              </w:rPr>
              <w:instrText xml:space="preserve"> PAGEREF _Toc177466072 \h </w:instrText>
            </w:r>
            <w:r w:rsidR="00B4100F">
              <w:rPr>
                <w:noProof/>
                <w:webHidden/>
              </w:rPr>
            </w:r>
            <w:r w:rsidR="00B4100F">
              <w:rPr>
                <w:noProof/>
                <w:webHidden/>
              </w:rPr>
              <w:fldChar w:fldCharType="separate"/>
            </w:r>
            <w:r w:rsidR="00B4100F">
              <w:rPr>
                <w:noProof/>
                <w:webHidden/>
              </w:rPr>
              <w:t>6</w:t>
            </w:r>
            <w:r w:rsidR="00B4100F">
              <w:rPr>
                <w:noProof/>
                <w:webHidden/>
              </w:rPr>
              <w:fldChar w:fldCharType="end"/>
            </w:r>
          </w:hyperlink>
        </w:p>
        <w:p w14:paraId="1CF481D0" w14:textId="6F81278C" w:rsidR="00B4100F" w:rsidRDefault="00FE504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7466073" w:history="1">
            <w:r w:rsidR="00B4100F" w:rsidRPr="008E1E8B">
              <w:rPr>
                <w:rStyle w:val="Hyperlink"/>
                <w:noProof/>
              </w:rPr>
              <w:t>Hereditary transthyretin-mediated amyloidosis (hATTR amyloidosis)</w:t>
            </w:r>
            <w:r w:rsidR="00B4100F">
              <w:rPr>
                <w:noProof/>
                <w:webHidden/>
              </w:rPr>
              <w:tab/>
            </w:r>
            <w:r w:rsidR="00B4100F">
              <w:rPr>
                <w:noProof/>
                <w:webHidden/>
              </w:rPr>
              <w:fldChar w:fldCharType="begin"/>
            </w:r>
            <w:r w:rsidR="00B4100F">
              <w:rPr>
                <w:noProof/>
                <w:webHidden/>
              </w:rPr>
              <w:instrText xml:space="preserve"> PAGEREF _Toc177466073 \h </w:instrText>
            </w:r>
            <w:r w:rsidR="00B4100F">
              <w:rPr>
                <w:noProof/>
                <w:webHidden/>
              </w:rPr>
            </w:r>
            <w:r w:rsidR="00B4100F">
              <w:rPr>
                <w:noProof/>
                <w:webHidden/>
              </w:rPr>
              <w:fldChar w:fldCharType="separate"/>
            </w:r>
            <w:r w:rsidR="00B4100F">
              <w:rPr>
                <w:noProof/>
                <w:webHidden/>
              </w:rPr>
              <w:t>6</w:t>
            </w:r>
            <w:r w:rsidR="00B4100F">
              <w:rPr>
                <w:noProof/>
                <w:webHidden/>
              </w:rPr>
              <w:fldChar w:fldCharType="end"/>
            </w:r>
          </w:hyperlink>
        </w:p>
        <w:p w14:paraId="6B24D211" w14:textId="12257576" w:rsidR="00B4100F" w:rsidRDefault="00FE504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7466074" w:history="1">
            <w:r w:rsidR="00B4100F" w:rsidRPr="008E1E8B">
              <w:rPr>
                <w:rStyle w:val="Hyperlink"/>
                <w:noProof/>
              </w:rPr>
              <w:t>Current treatment options for hATTR amyloidosis</w:t>
            </w:r>
            <w:r w:rsidR="00B4100F">
              <w:rPr>
                <w:noProof/>
                <w:webHidden/>
              </w:rPr>
              <w:tab/>
            </w:r>
            <w:r w:rsidR="00B4100F">
              <w:rPr>
                <w:noProof/>
                <w:webHidden/>
              </w:rPr>
              <w:fldChar w:fldCharType="begin"/>
            </w:r>
            <w:r w:rsidR="00B4100F">
              <w:rPr>
                <w:noProof/>
                <w:webHidden/>
              </w:rPr>
              <w:instrText xml:space="preserve"> PAGEREF _Toc177466074 \h </w:instrText>
            </w:r>
            <w:r w:rsidR="00B4100F">
              <w:rPr>
                <w:noProof/>
                <w:webHidden/>
              </w:rPr>
            </w:r>
            <w:r w:rsidR="00B4100F">
              <w:rPr>
                <w:noProof/>
                <w:webHidden/>
              </w:rPr>
              <w:fldChar w:fldCharType="separate"/>
            </w:r>
            <w:r w:rsidR="00B4100F">
              <w:rPr>
                <w:noProof/>
                <w:webHidden/>
              </w:rPr>
              <w:t>6</w:t>
            </w:r>
            <w:r w:rsidR="00B4100F">
              <w:rPr>
                <w:noProof/>
                <w:webHidden/>
              </w:rPr>
              <w:fldChar w:fldCharType="end"/>
            </w:r>
          </w:hyperlink>
        </w:p>
        <w:p w14:paraId="7E9BB748" w14:textId="4FAF66B7" w:rsidR="00B4100F" w:rsidRDefault="00FE504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7466075" w:history="1">
            <w:r w:rsidR="00B4100F" w:rsidRPr="008E1E8B">
              <w:rPr>
                <w:rStyle w:val="Hyperlink"/>
                <w:noProof/>
              </w:rPr>
              <w:t>Clinical rationale for vutrisiran in hATTR amyloidosis</w:t>
            </w:r>
            <w:r w:rsidR="00B4100F">
              <w:rPr>
                <w:noProof/>
                <w:webHidden/>
              </w:rPr>
              <w:tab/>
            </w:r>
            <w:r w:rsidR="00B4100F">
              <w:rPr>
                <w:noProof/>
                <w:webHidden/>
              </w:rPr>
              <w:fldChar w:fldCharType="begin"/>
            </w:r>
            <w:r w:rsidR="00B4100F">
              <w:rPr>
                <w:noProof/>
                <w:webHidden/>
              </w:rPr>
              <w:instrText xml:space="preserve"> PAGEREF _Toc177466075 \h </w:instrText>
            </w:r>
            <w:r w:rsidR="00B4100F">
              <w:rPr>
                <w:noProof/>
                <w:webHidden/>
              </w:rPr>
            </w:r>
            <w:r w:rsidR="00B4100F">
              <w:rPr>
                <w:noProof/>
                <w:webHidden/>
              </w:rPr>
              <w:fldChar w:fldCharType="separate"/>
            </w:r>
            <w:r w:rsidR="00B4100F">
              <w:rPr>
                <w:noProof/>
                <w:webHidden/>
              </w:rPr>
              <w:t>6</w:t>
            </w:r>
            <w:r w:rsidR="00B4100F">
              <w:rPr>
                <w:noProof/>
                <w:webHidden/>
              </w:rPr>
              <w:fldChar w:fldCharType="end"/>
            </w:r>
          </w:hyperlink>
        </w:p>
        <w:p w14:paraId="36D32E95" w14:textId="6FD9DEF8" w:rsidR="00B4100F" w:rsidRDefault="00FE504D">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7466076" w:history="1">
            <w:r w:rsidR="00B4100F" w:rsidRPr="008E1E8B">
              <w:rPr>
                <w:rStyle w:val="Hyperlink"/>
                <w:noProof/>
              </w:rPr>
              <w:t>Regulatory status</w:t>
            </w:r>
            <w:r w:rsidR="00B4100F">
              <w:rPr>
                <w:noProof/>
                <w:webHidden/>
              </w:rPr>
              <w:tab/>
            </w:r>
            <w:r w:rsidR="00B4100F">
              <w:rPr>
                <w:noProof/>
                <w:webHidden/>
              </w:rPr>
              <w:fldChar w:fldCharType="begin"/>
            </w:r>
            <w:r w:rsidR="00B4100F">
              <w:rPr>
                <w:noProof/>
                <w:webHidden/>
              </w:rPr>
              <w:instrText xml:space="preserve"> PAGEREF _Toc177466076 \h </w:instrText>
            </w:r>
            <w:r w:rsidR="00B4100F">
              <w:rPr>
                <w:noProof/>
                <w:webHidden/>
              </w:rPr>
            </w:r>
            <w:r w:rsidR="00B4100F">
              <w:rPr>
                <w:noProof/>
                <w:webHidden/>
              </w:rPr>
              <w:fldChar w:fldCharType="separate"/>
            </w:r>
            <w:r w:rsidR="00B4100F">
              <w:rPr>
                <w:noProof/>
                <w:webHidden/>
              </w:rPr>
              <w:t>7</w:t>
            </w:r>
            <w:r w:rsidR="00B4100F">
              <w:rPr>
                <w:noProof/>
                <w:webHidden/>
              </w:rPr>
              <w:fldChar w:fldCharType="end"/>
            </w:r>
          </w:hyperlink>
        </w:p>
        <w:p w14:paraId="5EAED37B" w14:textId="52AF81DF" w:rsidR="00B4100F" w:rsidRDefault="00FE504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7466077" w:history="1">
            <w:r w:rsidR="00B4100F" w:rsidRPr="008E1E8B">
              <w:rPr>
                <w:rStyle w:val="Hyperlink"/>
                <w:noProof/>
              </w:rPr>
              <w:t>Australian regulatory status</w:t>
            </w:r>
            <w:r w:rsidR="00B4100F">
              <w:rPr>
                <w:noProof/>
                <w:webHidden/>
              </w:rPr>
              <w:tab/>
            </w:r>
            <w:r w:rsidR="00B4100F">
              <w:rPr>
                <w:noProof/>
                <w:webHidden/>
              </w:rPr>
              <w:fldChar w:fldCharType="begin"/>
            </w:r>
            <w:r w:rsidR="00B4100F">
              <w:rPr>
                <w:noProof/>
                <w:webHidden/>
              </w:rPr>
              <w:instrText xml:space="preserve"> PAGEREF _Toc177466077 \h </w:instrText>
            </w:r>
            <w:r w:rsidR="00B4100F">
              <w:rPr>
                <w:noProof/>
                <w:webHidden/>
              </w:rPr>
            </w:r>
            <w:r w:rsidR="00B4100F">
              <w:rPr>
                <w:noProof/>
                <w:webHidden/>
              </w:rPr>
              <w:fldChar w:fldCharType="separate"/>
            </w:r>
            <w:r w:rsidR="00B4100F">
              <w:rPr>
                <w:noProof/>
                <w:webHidden/>
              </w:rPr>
              <w:t>7</w:t>
            </w:r>
            <w:r w:rsidR="00B4100F">
              <w:rPr>
                <w:noProof/>
                <w:webHidden/>
              </w:rPr>
              <w:fldChar w:fldCharType="end"/>
            </w:r>
          </w:hyperlink>
        </w:p>
        <w:p w14:paraId="73F40F37" w14:textId="3090795D" w:rsidR="00B4100F" w:rsidRDefault="00FE504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7466078" w:history="1">
            <w:r w:rsidR="00B4100F" w:rsidRPr="008E1E8B">
              <w:rPr>
                <w:rStyle w:val="Hyperlink"/>
                <w:noProof/>
              </w:rPr>
              <w:t>International regulatory status</w:t>
            </w:r>
            <w:r w:rsidR="00B4100F">
              <w:rPr>
                <w:noProof/>
                <w:webHidden/>
              </w:rPr>
              <w:tab/>
            </w:r>
            <w:r w:rsidR="00B4100F">
              <w:rPr>
                <w:noProof/>
                <w:webHidden/>
              </w:rPr>
              <w:fldChar w:fldCharType="begin"/>
            </w:r>
            <w:r w:rsidR="00B4100F">
              <w:rPr>
                <w:noProof/>
                <w:webHidden/>
              </w:rPr>
              <w:instrText xml:space="preserve"> PAGEREF _Toc177466078 \h </w:instrText>
            </w:r>
            <w:r w:rsidR="00B4100F">
              <w:rPr>
                <w:noProof/>
                <w:webHidden/>
              </w:rPr>
            </w:r>
            <w:r w:rsidR="00B4100F">
              <w:rPr>
                <w:noProof/>
                <w:webHidden/>
              </w:rPr>
              <w:fldChar w:fldCharType="separate"/>
            </w:r>
            <w:r w:rsidR="00B4100F">
              <w:rPr>
                <w:noProof/>
                <w:webHidden/>
              </w:rPr>
              <w:t>7</w:t>
            </w:r>
            <w:r w:rsidR="00B4100F">
              <w:rPr>
                <w:noProof/>
                <w:webHidden/>
              </w:rPr>
              <w:fldChar w:fldCharType="end"/>
            </w:r>
          </w:hyperlink>
        </w:p>
        <w:p w14:paraId="74F8A2A5" w14:textId="73E9E302" w:rsidR="00B4100F" w:rsidRDefault="00FE504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7466079" w:history="1">
            <w:r w:rsidR="00B4100F" w:rsidRPr="008E1E8B">
              <w:rPr>
                <w:rStyle w:val="Hyperlink"/>
                <w:noProof/>
              </w:rPr>
              <w:t>Registration timeline</w:t>
            </w:r>
            <w:r w:rsidR="00B4100F">
              <w:rPr>
                <w:noProof/>
                <w:webHidden/>
              </w:rPr>
              <w:tab/>
            </w:r>
            <w:r w:rsidR="00B4100F">
              <w:rPr>
                <w:noProof/>
                <w:webHidden/>
              </w:rPr>
              <w:fldChar w:fldCharType="begin"/>
            </w:r>
            <w:r w:rsidR="00B4100F">
              <w:rPr>
                <w:noProof/>
                <w:webHidden/>
              </w:rPr>
              <w:instrText xml:space="preserve"> PAGEREF _Toc177466079 \h </w:instrText>
            </w:r>
            <w:r w:rsidR="00B4100F">
              <w:rPr>
                <w:noProof/>
                <w:webHidden/>
              </w:rPr>
            </w:r>
            <w:r w:rsidR="00B4100F">
              <w:rPr>
                <w:noProof/>
                <w:webHidden/>
              </w:rPr>
              <w:fldChar w:fldCharType="separate"/>
            </w:r>
            <w:r w:rsidR="00B4100F">
              <w:rPr>
                <w:noProof/>
                <w:webHidden/>
              </w:rPr>
              <w:t>8</w:t>
            </w:r>
            <w:r w:rsidR="00B4100F">
              <w:rPr>
                <w:noProof/>
                <w:webHidden/>
              </w:rPr>
              <w:fldChar w:fldCharType="end"/>
            </w:r>
          </w:hyperlink>
        </w:p>
        <w:p w14:paraId="018482EA" w14:textId="71A42BFB" w:rsidR="00B4100F" w:rsidRDefault="00FE504D">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7466080" w:history="1">
            <w:r w:rsidR="00B4100F" w:rsidRPr="008E1E8B">
              <w:rPr>
                <w:rStyle w:val="Hyperlink"/>
                <w:noProof/>
              </w:rPr>
              <w:t>Evaluation overview</w:t>
            </w:r>
            <w:r w:rsidR="00B4100F">
              <w:rPr>
                <w:noProof/>
                <w:webHidden/>
              </w:rPr>
              <w:tab/>
            </w:r>
            <w:r w:rsidR="00B4100F">
              <w:rPr>
                <w:noProof/>
                <w:webHidden/>
              </w:rPr>
              <w:fldChar w:fldCharType="begin"/>
            </w:r>
            <w:r w:rsidR="00B4100F">
              <w:rPr>
                <w:noProof/>
                <w:webHidden/>
              </w:rPr>
              <w:instrText xml:space="preserve"> PAGEREF _Toc177466080 \h </w:instrText>
            </w:r>
            <w:r w:rsidR="00B4100F">
              <w:rPr>
                <w:noProof/>
                <w:webHidden/>
              </w:rPr>
            </w:r>
            <w:r w:rsidR="00B4100F">
              <w:rPr>
                <w:noProof/>
                <w:webHidden/>
              </w:rPr>
              <w:fldChar w:fldCharType="separate"/>
            </w:r>
            <w:r w:rsidR="00B4100F">
              <w:rPr>
                <w:noProof/>
                <w:webHidden/>
              </w:rPr>
              <w:t>8</w:t>
            </w:r>
            <w:r w:rsidR="00B4100F">
              <w:rPr>
                <w:noProof/>
                <w:webHidden/>
              </w:rPr>
              <w:fldChar w:fldCharType="end"/>
            </w:r>
          </w:hyperlink>
        </w:p>
        <w:p w14:paraId="539EFEEF" w14:textId="283D12BA" w:rsidR="00B4100F" w:rsidRDefault="00FE504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7466081" w:history="1">
            <w:r w:rsidR="00B4100F" w:rsidRPr="008E1E8B">
              <w:rPr>
                <w:rStyle w:val="Hyperlink"/>
                <w:noProof/>
              </w:rPr>
              <w:t>Quality evaluation summary</w:t>
            </w:r>
            <w:r w:rsidR="00B4100F">
              <w:rPr>
                <w:noProof/>
                <w:webHidden/>
              </w:rPr>
              <w:tab/>
            </w:r>
            <w:r w:rsidR="00B4100F">
              <w:rPr>
                <w:noProof/>
                <w:webHidden/>
              </w:rPr>
              <w:fldChar w:fldCharType="begin"/>
            </w:r>
            <w:r w:rsidR="00B4100F">
              <w:rPr>
                <w:noProof/>
                <w:webHidden/>
              </w:rPr>
              <w:instrText xml:space="preserve"> PAGEREF _Toc177466081 \h </w:instrText>
            </w:r>
            <w:r w:rsidR="00B4100F">
              <w:rPr>
                <w:noProof/>
                <w:webHidden/>
              </w:rPr>
            </w:r>
            <w:r w:rsidR="00B4100F">
              <w:rPr>
                <w:noProof/>
                <w:webHidden/>
              </w:rPr>
              <w:fldChar w:fldCharType="separate"/>
            </w:r>
            <w:r w:rsidR="00B4100F">
              <w:rPr>
                <w:noProof/>
                <w:webHidden/>
              </w:rPr>
              <w:t>8</w:t>
            </w:r>
            <w:r w:rsidR="00B4100F">
              <w:rPr>
                <w:noProof/>
                <w:webHidden/>
              </w:rPr>
              <w:fldChar w:fldCharType="end"/>
            </w:r>
          </w:hyperlink>
        </w:p>
        <w:p w14:paraId="15A6EBF2" w14:textId="1CF554D1" w:rsidR="00B4100F" w:rsidRDefault="00FE504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7466082" w:history="1">
            <w:r w:rsidR="00B4100F" w:rsidRPr="008E1E8B">
              <w:rPr>
                <w:rStyle w:val="Hyperlink"/>
                <w:noProof/>
              </w:rPr>
              <w:t>Nonclinical (toxicology) evaluation summary</w:t>
            </w:r>
            <w:r w:rsidR="00B4100F">
              <w:rPr>
                <w:noProof/>
                <w:webHidden/>
              </w:rPr>
              <w:tab/>
            </w:r>
            <w:r w:rsidR="00B4100F">
              <w:rPr>
                <w:noProof/>
                <w:webHidden/>
              </w:rPr>
              <w:fldChar w:fldCharType="begin"/>
            </w:r>
            <w:r w:rsidR="00B4100F">
              <w:rPr>
                <w:noProof/>
                <w:webHidden/>
              </w:rPr>
              <w:instrText xml:space="preserve"> PAGEREF _Toc177466082 \h </w:instrText>
            </w:r>
            <w:r w:rsidR="00B4100F">
              <w:rPr>
                <w:noProof/>
                <w:webHidden/>
              </w:rPr>
            </w:r>
            <w:r w:rsidR="00B4100F">
              <w:rPr>
                <w:noProof/>
                <w:webHidden/>
              </w:rPr>
              <w:fldChar w:fldCharType="separate"/>
            </w:r>
            <w:r w:rsidR="00B4100F">
              <w:rPr>
                <w:noProof/>
                <w:webHidden/>
              </w:rPr>
              <w:t>10</w:t>
            </w:r>
            <w:r w:rsidR="00B4100F">
              <w:rPr>
                <w:noProof/>
                <w:webHidden/>
              </w:rPr>
              <w:fldChar w:fldCharType="end"/>
            </w:r>
          </w:hyperlink>
        </w:p>
        <w:p w14:paraId="3FB66F0B" w14:textId="2E4E2399" w:rsidR="00B4100F" w:rsidRDefault="00FE504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7466083" w:history="1">
            <w:r w:rsidR="00B4100F" w:rsidRPr="008E1E8B">
              <w:rPr>
                <w:rStyle w:val="Hyperlink"/>
                <w:noProof/>
              </w:rPr>
              <w:t>Clinical evaluation summary</w:t>
            </w:r>
            <w:r w:rsidR="00B4100F">
              <w:rPr>
                <w:noProof/>
                <w:webHidden/>
              </w:rPr>
              <w:tab/>
            </w:r>
            <w:r w:rsidR="00B4100F">
              <w:rPr>
                <w:noProof/>
                <w:webHidden/>
              </w:rPr>
              <w:fldChar w:fldCharType="begin"/>
            </w:r>
            <w:r w:rsidR="00B4100F">
              <w:rPr>
                <w:noProof/>
                <w:webHidden/>
              </w:rPr>
              <w:instrText xml:space="preserve"> PAGEREF _Toc177466083 \h </w:instrText>
            </w:r>
            <w:r w:rsidR="00B4100F">
              <w:rPr>
                <w:noProof/>
                <w:webHidden/>
              </w:rPr>
            </w:r>
            <w:r w:rsidR="00B4100F">
              <w:rPr>
                <w:noProof/>
                <w:webHidden/>
              </w:rPr>
              <w:fldChar w:fldCharType="separate"/>
            </w:r>
            <w:r w:rsidR="00B4100F">
              <w:rPr>
                <w:noProof/>
                <w:webHidden/>
              </w:rPr>
              <w:t>11</w:t>
            </w:r>
            <w:r w:rsidR="00B4100F">
              <w:rPr>
                <w:noProof/>
                <w:webHidden/>
              </w:rPr>
              <w:fldChar w:fldCharType="end"/>
            </w:r>
          </w:hyperlink>
        </w:p>
        <w:p w14:paraId="54CEC173" w14:textId="6A9B2FD4" w:rsidR="00B4100F" w:rsidRDefault="00FE504D">
          <w:pPr>
            <w:pStyle w:val="TOC3"/>
            <w:rPr>
              <w:rFonts w:asciiTheme="minorHAnsi" w:eastAsiaTheme="minorEastAsia" w:hAnsiTheme="minorHAnsi" w:cstheme="minorBidi"/>
              <w:b w:val="0"/>
              <w:noProof/>
              <w:color w:val="auto"/>
              <w:kern w:val="2"/>
              <w:szCs w:val="22"/>
              <w:lang w:eastAsia="en-AU"/>
              <w14:ligatures w14:val="standardContextual"/>
            </w:rPr>
          </w:pPr>
          <w:hyperlink w:anchor="_Toc177466084" w:history="1">
            <w:r w:rsidR="00B4100F" w:rsidRPr="008E1E8B">
              <w:rPr>
                <w:rStyle w:val="Hyperlink"/>
                <w:noProof/>
              </w:rPr>
              <w:t>Summary of clinical studies</w:t>
            </w:r>
            <w:r w:rsidR="00B4100F">
              <w:rPr>
                <w:noProof/>
                <w:webHidden/>
              </w:rPr>
              <w:tab/>
            </w:r>
            <w:r w:rsidR="00B4100F">
              <w:rPr>
                <w:noProof/>
                <w:webHidden/>
              </w:rPr>
              <w:fldChar w:fldCharType="begin"/>
            </w:r>
            <w:r w:rsidR="00B4100F">
              <w:rPr>
                <w:noProof/>
                <w:webHidden/>
              </w:rPr>
              <w:instrText xml:space="preserve"> PAGEREF _Toc177466084 \h </w:instrText>
            </w:r>
            <w:r w:rsidR="00B4100F">
              <w:rPr>
                <w:noProof/>
                <w:webHidden/>
              </w:rPr>
            </w:r>
            <w:r w:rsidR="00B4100F">
              <w:rPr>
                <w:noProof/>
                <w:webHidden/>
              </w:rPr>
              <w:fldChar w:fldCharType="separate"/>
            </w:r>
            <w:r w:rsidR="00B4100F">
              <w:rPr>
                <w:noProof/>
                <w:webHidden/>
              </w:rPr>
              <w:t>11</w:t>
            </w:r>
            <w:r w:rsidR="00B4100F">
              <w:rPr>
                <w:noProof/>
                <w:webHidden/>
              </w:rPr>
              <w:fldChar w:fldCharType="end"/>
            </w:r>
          </w:hyperlink>
        </w:p>
        <w:p w14:paraId="1AE04B6C" w14:textId="38FF18A4" w:rsidR="00B4100F" w:rsidRDefault="00FE504D">
          <w:pPr>
            <w:pStyle w:val="TOC3"/>
            <w:rPr>
              <w:rFonts w:asciiTheme="minorHAnsi" w:eastAsiaTheme="minorEastAsia" w:hAnsiTheme="minorHAnsi" w:cstheme="minorBidi"/>
              <w:b w:val="0"/>
              <w:noProof/>
              <w:color w:val="auto"/>
              <w:kern w:val="2"/>
              <w:szCs w:val="22"/>
              <w:lang w:eastAsia="en-AU"/>
              <w14:ligatures w14:val="standardContextual"/>
            </w:rPr>
          </w:pPr>
          <w:hyperlink w:anchor="_Toc177466085" w:history="1">
            <w:r w:rsidR="00B4100F" w:rsidRPr="008E1E8B">
              <w:rPr>
                <w:rStyle w:val="Hyperlink"/>
                <w:noProof/>
              </w:rPr>
              <w:t>Pharmacology</w:t>
            </w:r>
            <w:r w:rsidR="00B4100F">
              <w:rPr>
                <w:noProof/>
                <w:webHidden/>
              </w:rPr>
              <w:tab/>
            </w:r>
            <w:r w:rsidR="00B4100F">
              <w:rPr>
                <w:noProof/>
                <w:webHidden/>
              </w:rPr>
              <w:fldChar w:fldCharType="begin"/>
            </w:r>
            <w:r w:rsidR="00B4100F">
              <w:rPr>
                <w:noProof/>
                <w:webHidden/>
              </w:rPr>
              <w:instrText xml:space="preserve"> PAGEREF _Toc177466085 \h </w:instrText>
            </w:r>
            <w:r w:rsidR="00B4100F">
              <w:rPr>
                <w:noProof/>
                <w:webHidden/>
              </w:rPr>
            </w:r>
            <w:r w:rsidR="00B4100F">
              <w:rPr>
                <w:noProof/>
                <w:webHidden/>
              </w:rPr>
              <w:fldChar w:fldCharType="separate"/>
            </w:r>
            <w:r w:rsidR="00B4100F">
              <w:rPr>
                <w:noProof/>
                <w:webHidden/>
              </w:rPr>
              <w:t>12</w:t>
            </w:r>
            <w:r w:rsidR="00B4100F">
              <w:rPr>
                <w:noProof/>
                <w:webHidden/>
              </w:rPr>
              <w:fldChar w:fldCharType="end"/>
            </w:r>
          </w:hyperlink>
        </w:p>
        <w:p w14:paraId="29BA1E44" w14:textId="11EA88CC" w:rsidR="00B4100F" w:rsidRDefault="00FE504D">
          <w:pPr>
            <w:pStyle w:val="TOC3"/>
            <w:rPr>
              <w:rFonts w:asciiTheme="minorHAnsi" w:eastAsiaTheme="minorEastAsia" w:hAnsiTheme="minorHAnsi" w:cstheme="minorBidi"/>
              <w:b w:val="0"/>
              <w:noProof/>
              <w:color w:val="auto"/>
              <w:kern w:val="2"/>
              <w:szCs w:val="22"/>
              <w:lang w:eastAsia="en-AU"/>
              <w14:ligatures w14:val="standardContextual"/>
            </w:rPr>
          </w:pPr>
          <w:hyperlink w:anchor="_Toc177466086" w:history="1">
            <w:r w:rsidR="00B4100F" w:rsidRPr="008E1E8B">
              <w:rPr>
                <w:rStyle w:val="Hyperlink"/>
                <w:noProof/>
              </w:rPr>
              <w:t>Efficacy</w:t>
            </w:r>
            <w:r w:rsidR="00B4100F">
              <w:rPr>
                <w:noProof/>
                <w:webHidden/>
              </w:rPr>
              <w:tab/>
            </w:r>
            <w:r w:rsidR="00B4100F">
              <w:rPr>
                <w:noProof/>
                <w:webHidden/>
              </w:rPr>
              <w:fldChar w:fldCharType="begin"/>
            </w:r>
            <w:r w:rsidR="00B4100F">
              <w:rPr>
                <w:noProof/>
                <w:webHidden/>
              </w:rPr>
              <w:instrText xml:space="preserve"> PAGEREF _Toc177466086 \h </w:instrText>
            </w:r>
            <w:r w:rsidR="00B4100F">
              <w:rPr>
                <w:noProof/>
                <w:webHidden/>
              </w:rPr>
            </w:r>
            <w:r w:rsidR="00B4100F">
              <w:rPr>
                <w:noProof/>
                <w:webHidden/>
              </w:rPr>
              <w:fldChar w:fldCharType="separate"/>
            </w:r>
            <w:r w:rsidR="00B4100F">
              <w:rPr>
                <w:noProof/>
                <w:webHidden/>
              </w:rPr>
              <w:t>18</w:t>
            </w:r>
            <w:r w:rsidR="00B4100F">
              <w:rPr>
                <w:noProof/>
                <w:webHidden/>
              </w:rPr>
              <w:fldChar w:fldCharType="end"/>
            </w:r>
          </w:hyperlink>
        </w:p>
        <w:p w14:paraId="6427DABC" w14:textId="3F0F8437" w:rsidR="00B4100F" w:rsidRDefault="00FE504D">
          <w:pPr>
            <w:pStyle w:val="TOC3"/>
            <w:rPr>
              <w:rFonts w:asciiTheme="minorHAnsi" w:eastAsiaTheme="minorEastAsia" w:hAnsiTheme="minorHAnsi" w:cstheme="minorBidi"/>
              <w:b w:val="0"/>
              <w:noProof/>
              <w:color w:val="auto"/>
              <w:kern w:val="2"/>
              <w:szCs w:val="22"/>
              <w:lang w:eastAsia="en-AU"/>
              <w14:ligatures w14:val="standardContextual"/>
            </w:rPr>
          </w:pPr>
          <w:hyperlink w:anchor="_Toc177466087" w:history="1">
            <w:r w:rsidR="00B4100F" w:rsidRPr="008E1E8B">
              <w:rPr>
                <w:rStyle w:val="Hyperlink"/>
                <w:noProof/>
              </w:rPr>
              <w:t>Safety</w:t>
            </w:r>
            <w:r w:rsidR="00B4100F">
              <w:rPr>
                <w:noProof/>
                <w:webHidden/>
              </w:rPr>
              <w:tab/>
            </w:r>
            <w:r w:rsidR="00B4100F">
              <w:rPr>
                <w:noProof/>
                <w:webHidden/>
              </w:rPr>
              <w:fldChar w:fldCharType="begin"/>
            </w:r>
            <w:r w:rsidR="00B4100F">
              <w:rPr>
                <w:noProof/>
                <w:webHidden/>
              </w:rPr>
              <w:instrText xml:space="preserve"> PAGEREF _Toc177466087 \h </w:instrText>
            </w:r>
            <w:r w:rsidR="00B4100F">
              <w:rPr>
                <w:noProof/>
                <w:webHidden/>
              </w:rPr>
            </w:r>
            <w:r w:rsidR="00B4100F">
              <w:rPr>
                <w:noProof/>
                <w:webHidden/>
              </w:rPr>
              <w:fldChar w:fldCharType="separate"/>
            </w:r>
            <w:r w:rsidR="00B4100F">
              <w:rPr>
                <w:noProof/>
                <w:webHidden/>
              </w:rPr>
              <w:t>22</w:t>
            </w:r>
            <w:r w:rsidR="00B4100F">
              <w:rPr>
                <w:noProof/>
                <w:webHidden/>
              </w:rPr>
              <w:fldChar w:fldCharType="end"/>
            </w:r>
          </w:hyperlink>
        </w:p>
        <w:p w14:paraId="67FF5BCD" w14:textId="750F51F5" w:rsidR="00B4100F" w:rsidRDefault="00FE504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7466088" w:history="1">
            <w:r w:rsidR="00B4100F" w:rsidRPr="008E1E8B">
              <w:rPr>
                <w:rStyle w:val="Hyperlink"/>
                <w:noProof/>
              </w:rPr>
              <w:t>Risk management plan evaluation summary</w:t>
            </w:r>
            <w:r w:rsidR="00B4100F">
              <w:rPr>
                <w:noProof/>
                <w:webHidden/>
              </w:rPr>
              <w:tab/>
            </w:r>
            <w:r w:rsidR="00B4100F">
              <w:rPr>
                <w:noProof/>
                <w:webHidden/>
              </w:rPr>
              <w:fldChar w:fldCharType="begin"/>
            </w:r>
            <w:r w:rsidR="00B4100F">
              <w:rPr>
                <w:noProof/>
                <w:webHidden/>
              </w:rPr>
              <w:instrText xml:space="preserve"> PAGEREF _Toc177466088 \h </w:instrText>
            </w:r>
            <w:r w:rsidR="00B4100F">
              <w:rPr>
                <w:noProof/>
                <w:webHidden/>
              </w:rPr>
            </w:r>
            <w:r w:rsidR="00B4100F">
              <w:rPr>
                <w:noProof/>
                <w:webHidden/>
              </w:rPr>
              <w:fldChar w:fldCharType="separate"/>
            </w:r>
            <w:r w:rsidR="00B4100F">
              <w:rPr>
                <w:noProof/>
                <w:webHidden/>
              </w:rPr>
              <w:t>25</w:t>
            </w:r>
            <w:r w:rsidR="00B4100F">
              <w:rPr>
                <w:noProof/>
                <w:webHidden/>
              </w:rPr>
              <w:fldChar w:fldCharType="end"/>
            </w:r>
          </w:hyperlink>
        </w:p>
        <w:p w14:paraId="4A71AAD4" w14:textId="2B7F1E52" w:rsidR="00B4100F" w:rsidRDefault="00FE504D">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7466089" w:history="1">
            <w:r w:rsidR="00B4100F" w:rsidRPr="008E1E8B">
              <w:rPr>
                <w:rStyle w:val="Hyperlink"/>
                <w:noProof/>
              </w:rPr>
              <w:t>Risk/benefit assessment</w:t>
            </w:r>
            <w:r w:rsidR="00B4100F">
              <w:rPr>
                <w:noProof/>
                <w:webHidden/>
              </w:rPr>
              <w:tab/>
            </w:r>
            <w:r w:rsidR="00B4100F">
              <w:rPr>
                <w:noProof/>
                <w:webHidden/>
              </w:rPr>
              <w:fldChar w:fldCharType="begin"/>
            </w:r>
            <w:r w:rsidR="00B4100F">
              <w:rPr>
                <w:noProof/>
                <w:webHidden/>
              </w:rPr>
              <w:instrText xml:space="preserve"> PAGEREF _Toc177466089 \h </w:instrText>
            </w:r>
            <w:r w:rsidR="00B4100F">
              <w:rPr>
                <w:noProof/>
                <w:webHidden/>
              </w:rPr>
            </w:r>
            <w:r w:rsidR="00B4100F">
              <w:rPr>
                <w:noProof/>
                <w:webHidden/>
              </w:rPr>
              <w:fldChar w:fldCharType="separate"/>
            </w:r>
            <w:r w:rsidR="00B4100F">
              <w:rPr>
                <w:noProof/>
                <w:webHidden/>
              </w:rPr>
              <w:t>26</w:t>
            </w:r>
            <w:r w:rsidR="00B4100F">
              <w:rPr>
                <w:noProof/>
                <w:webHidden/>
              </w:rPr>
              <w:fldChar w:fldCharType="end"/>
            </w:r>
          </w:hyperlink>
        </w:p>
        <w:p w14:paraId="05B35B50" w14:textId="2372D363" w:rsidR="00B4100F" w:rsidRDefault="00FE504D">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7466090" w:history="1">
            <w:r w:rsidR="00B4100F" w:rsidRPr="008E1E8B">
              <w:rPr>
                <w:rStyle w:val="Hyperlink"/>
                <w:noProof/>
              </w:rPr>
              <w:t>Outcome</w:t>
            </w:r>
            <w:r w:rsidR="00B4100F">
              <w:rPr>
                <w:noProof/>
                <w:webHidden/>
              </w:rPr>
              <w:tab/>
            </w:r>
            <w:r w:rsidR="00B4100F">
              <w:rPr>
                <w:noProof/>
                <w:webHidden/>
              </w:rPr>
              <w:fldChar w:fldCharType="begin"/>
            </w:r>
            <w:r w:rsidR="00B4100F">
              <w:rPr>
                <w:noProof/>
                <w:webHidden/>
              </w:rPr>
              <w:instrText xml:space="preserve"> PAGEREF _Toc177466090 \h </w:instrText>
            </w:r>
            <w:r w:rsidR="00B4100F">
              <w:rPr>
                <w:noProof/>
                <w:webHidden/>
              </w:rPr>
            </w:r>
            <w:r w:rsidR="00B4100F">
              <w:rPr>
                <w:noProof/>
                <w:webHidden/>
              </w:rPr>
              <w:fldChar w:fldCharType="separate"/>
            </w:r>
            <w:r w:rsidR="00B4100F">
              <w:rPr>
                <w:noProof/>
                <w:webHidden/>
              </w:rPr>
              <w:t>27</w:t>
            </w:r>
            <w:r w:rsidR="00B4100F">
              <w:rPr>
                <w:noProof/>
                <w:webHidden/>
              </w:rPr>
              <w:fldChar w:fldCharType="end"/>
            </w:r>
          </w:hyperlink>
        </w:p>
        <w:p w14:paraId="4CC2CCCD" w14:textId="54A0B36B" w:rsidR="00B4100F" w:rsidRDefault="00FE504D">
          <w:pPr>
            <w:pStyle w:val="TOC3"/>
            <w:rPr>
              <w:rFonts w:asciiTheme="minorHAnsi" w:eastAsiaTheme="minorEastAsia" w:hAnsiTheme="minorHAnsi" w:cstheme="minorBidi"/>
              <w:b w:val="0"/>
              <w:noProof/>
              <w:color w:val="auto"/>
              <w:kern w:val="2"/>
              <w:szCs w:val="22"/>
              <w:lang w:eastAsia="en-AU"/>
              <w14:ligatures w14:val="standardContextual"/>
            </w:rPr>
          </w:pPr>
          <w:hyperlink w:anchor="_Toc177466091" w:history="1">
            <w:r w:rsidR="00B4100F" w:rsidRPr="008E1E8B">
              <w:rPr>
                <w:rStyle w:val="Hyperlink"/>
                <w:noProof/>
              </w:rPr>
              <w:t>Specific conditions of registration applying to these goods</w:t>
            </w:r>
            <w:r w:rsidR="00B4100F">
              <w:rPr>
                <w:noProof/>
                <w:webHidden/>
              </w:rPr>
              <w:tab/>
            </w:r>
            <w:r w:rsidR="00B4100F">
              <w:rPr>
                <w:noProof/>
                <w:webHidden/>
              </w:rPr>
              <w:fldChar w:fldCharType="begin"/>
            </w:r>
            <w:r w:rsidR="00B4100F">
              <w:rPr>
                <w:noProof/>
                <w:webHidden/>
              </w:rPr>
              <w:instrText xml:space="preserve"> PAGEREF _Toc177466091 \h </w:instrText>
            </w:r>
            <w:r w:rsidR="00B4100F">
              <w:rPr>
                <w:noProof/>
                <w:webHidden/>
              </w:rPr>
            </w:r>
            <w:r w:rsidR="00B4100F">
              <w:rPr>
                <w:noProof/>
                <w:webHidden/>
              </w:rPr>
              <w:fldChar w:fldCharType="separate"/>
            </w:r>
            <w:r w:rsidR="00B4100F">
              <w:rPr>
                <w:noProof/>
                <w:webHidden/>
              </w:rPr>
              <w:t>27</w:t>
            </w:r>
            <w:r w:rsidR="00B4100F">
              <w:rPr>
                <w:noProof/>
                <w:webHidden/>
              </w:rPr>
              <w:fldChar w:fldCharType="end"/>
            </w:r>
          </w:hyperlink>
        </w:p>
        <w:p w14:paraId="6837ABE9" w14:textId="1FED31C9" w:rsidR="00B4100F" w:rsidRDefault="00FE504D">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7466092" w:history="1">
            <w:r w:rsidR="00B4100F" w:rsidRPr="008E1E8B">
              <w:rPr>
                <w:rStyle w:val="Hyperlink"/>
                <w:noProof/>
              </w:rPr>
              <w:t>Attachment 1. Product Information</w:t>
            </w:r>
            <w:r w:rsidR="00B4100F">
              <w:rPr>
                <w:noProof/>
                <w:webHidden/>
              </w:rPr>
              <w:tab/>
            </w:r>
            <w:r w:rsidR="00B4100F">
              <w:rPr>
                <w:noProof/>
                <w:webHidden/>
              </w:rPr>
              <w:fldChar w:fldCharType="begin"/>
            </w:r>
            <w:r w:rsidR="00B4100F">
              <w:rPr>
                <w:noProof/>
                <w:webHidden/>
              </w:rPr>
              <w:instrText xml:space="preserve"> PAGEREF _Toc177466092 \h </w:instrText>
            </w:r>
            <w:r w:rsidR="00B4100F">
              <w:rPr>
                <w:noProof/>
                <w:webHidden/>
              </w:rPr>
            </w:r>
            <w:r w:rsidR="00B4100F">
              <w:rPr>
                <w:noProof/>
                <w:webHidden/>
              </w:rPr>
              <w:fldChar w:fldCharType="separate"/>
            </w:r>
            <w:r w:rsidR="00B4100F">
              <w:rPr>
                <w:noProof/>
                <w:webHidden/>
              </w:rPr>
              <w:t>27</w:t>
            </w:r>
            <w:r w:rsidR="00B4100F">
              <w:rPr>
                <w:noProof/>
                <w:webHidden/>
              </w:rPr>
              <w:fldChar w:fldCharType="end"/>
            </w:r>
          </w:hyperlink>
        </w:p>
        <w:p w14:paraId="77659F2D" w14:textId="3ACB08E0"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1" w:name="_Toc98931917"/>
      <w:bookmarkStart w:id="2" w:name="_Toc103679287"/>
      <w:bookmarkStart w:id="3" w:name="_Toc177466070"/>
      <w:bookmarkStart w:id="4" w:name="_Toc323739589"/>
      <w:bookmarkStart w:id="5" w:name="_Toc356305216"/>
      <w:r>
        <w:t>List of abbreviations</w:t>
      </w:r>
      <w:bookmarkEnd w:id="1"/>
      <w:bookmarkEnd w:id="2"/>
      <w:bookmarkEnd w:id="3"/>
    </w:p>
    <w:tbl>
      <w:tblPr>
        <w:tblStyle w:val="TableTGAblue2023"/>
        <w:tblW w:w="5000" w:type="pct"/>
        <w:tblLook w:val="04A0" w:firstRow="1" w:lastRow="0" w:firstColumn="1" w:lastColumn="0" w:noHBand="0" w:noVBand="1"/>
      </w:tblPr>
      <w:tblGrid>
        <w:gridCol w:w="2174"/>
        <w:gridCol w:w="6886"/>
      </w:tblGrid>
      <w:tr w:rsidR="00D62449" w:rsidRPr="00057276" w14:paraId="00E4C5AB" w14:textId="77777777" w:rsidTr="00F35664">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58967EDE" w14:textId="77777777" w:rsidR="00D62449" w:rsidRPr="00057276" w:rsidRDefault="00D62449" w:rsidP="00F35664">
            <w:pPr>
              <w:rPr>
                <w:sz w:val="24"/>
                <w:szCs w:val="24"/>
              </w:rPr>
            </w:pPr>
            <w:r w:rsidRPr="00057276">
              <w:rPr>
                <w:sz w:val="24"/>
                <w:szCs w:val="24"/>
              </w:rPr>
              <w:t>Abbreviation</w:t>
            </w:r>
          </w:p>
        </w:tc>
        <w:tc>
          <w:tcPr>
            <w:tcW w:w="3800" w:type="pct"/>
          </w:tcPr>
          <w:p w14:paraId="208DF460" w14:textId="77777777" w:rsidR="00D62449" w:rsidRPr="00057276" w:rsidRDefault="00D62449" w:rsidP="00F35664">
            <w:pPr>
              <w:cnfStyle w:val="100000000000" w:firstRow="1" w:lastRow="0" w:firstColumn="0" w:lastColumn="0" w:oddVBand="0" w:evenVBand="0" w:oddHBand="0" w:evenHBand="0" w:firstRowFirstColumn="0" w:firstRowLastColumn="0" w:lastRowFirstColumn="0" w:lastRowLastColumn="0"/>
              <w:rPr>
                <w:sz w:val="24"/>
                <w:szCs w:val="24"/>
              </w:rPr>
            </w:pPr>
            <w:r w:rsidRPr="00057276">
              <w:rPr>
                <w:sz w:val="24"/>
                <w:szCs w:val="24"/>
              </w:rPr>
              <w:t>Meaning</w:t>
            </w:r>
          </w:p>
        </w:tc>
      </w:tr>
      <w:tr w:rsidR="00D62449" w:rsidRPr="00057276" w14:paraId="4E6C8970" w14:textId="77777777" w:rsidTr="00F3566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37FECD6" w14:textId="77777777" w:rsidR="00D62449" w:rsidRPr="00057276" w:rsidRDefault="00D62449" w:rsidP="00F35664">
            <w:pPr>
              <w:rPr>
                <w:sz w:val="24"/>
                <w:szCs w:val="24"/>
              </w:rPr>
            </w:pPr>
            <w:r w:rsidRPr="00057276">
              <w:rPr>
                <w:sz w:val="24"/>
                <w:szCs w:val="24"/>
              </w:rPr>
              <w:t>ACM</w:t>
            </w:r>
          </w:p>
        </w:tc>
        <w:tc>
          <w:tcPr>
            <w:tcW w:w="3800" w:type="pct"/>
          </w:tcPr>
          <w:p w14:paraId="3DADC508" w14:textId="77777777" w:rsidR="00D62449" w:rsidRPr="00057276" w:rsidRDefault="00D62449" w:rsidP="00F35664">
            <w:pPr>
              <w:cnfStyle w:val="000000000000" w:firstRow="0" w:lastRow="0" w:firstColumn="0" w:lastColumn="0" w:oddVBand="0" w:evenVBand="0" w:oddHBand="0" w:evenHBand="0" w:firstRowFirstColumn="0" w:firstRowLastColumn="0" w:lastRowFirstColumn="0" w:lastRowLastColumn="0"/>
              <w:rPr>
                <w:sz w:val="24"/>
                <w:szCs w:val="24"/>
              </w:rPr>
            </w:pPr>
            <w:r w:rsidRPr="00057276">
              <w:rPr>
                <w:sz w:val="24"/>
                <w:szCs w:val="24"/>
              </w:rPr>
              <w:t>Advisory Committee on Medicines</w:t>
            </w:r>
          </w:p>
        </w:tc>
      </w:tr>
      <w:tr w:rsidR="00D62449" w:rsidRPr="00057276" w14:paraId="342DA162" w14:textId="77777777" w:rsidTr="00F3566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4E17D1B" w14:textId="77777777" w:rsidR="00D62449" w:rsidRPr="00057276" w:rsidRDefault="00D62449" w:rsidP="00F35664">
            <w:pPr>
              <w:rPr>
                <w:sz w:val="24"/>
                <w:szCs w:val="24"/>
              </w:rPr>
            </w:pPr>
            <w:r w:rsidRPr="00057276">
              <w:rPr>
                <w:sz w:val="24"/>
                <w:szCs w:val="24"/>
              </w:rPr>
              <w:t>ADRs</w:t>
            </w:r>
          </w:p>
        </w:tc>
        <w:tc>
          <w:tcPr>
            <w:tcW w:w="3800" w:type="pct"/>
          </w:tcPr>
          <w:p w14:paraId="49895278" w14:textId="77777777" w:rsidR="00D62449" w:rsidRPr="00057276" w:rsidRDefault="00D62449" w:rsidP="00F35664">
            <w:pPr>
              <w:cnfStyle w:val="000000000000" w:firstRow="0" w:lastRow="0" w:firstColumn="0" w:lastColumn="0" w:oddVBand="0" w:evenVBand="0" w:oddHBand="0" w:evenHBand="0" w:firstRowFirstColumn="0" w:firstRowLastColumn="0" w:lastRowFirstColumn="0" w:lastRowLastColumn="0"/>
              <w:rPr>
                <w:sz w:val="24"/>
                <w:szCs w:val="24"/>
              </w:rPr>
            </w:pPr>
            <w:r w:rsidRPr="00057276">
              <w:rPr>
                <w:sz w:val="24"/>
                <w:szCs w:val="24"/>
              </w:rPr>
              <w:t>Adverse drug reactions</w:t>
            </w:r>
          </w:p>
        </w:tc>
      </w:tr>
      <w:tr w:rsidR="00D62449" w:rsidRPr="00057276" w14:paraId="71DD360A" w14:textId="77777777" w:rsidTr="00F3566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594F3A2" w14:textId="77777777" w:rsidR="00D62449" w:rsidRPr="00057276" w:rsidRDefault="00D62449" w:rsidP="00F35664">
            <w:pPr>
              <w:rPr>
                <w:sz w:val="24"/>
                <w:szCs w:val="24"/>
              </w:rPr>
            </w:pPr>
            <w:r w:rsidRPr="00057276">
              <w:rPr>
                <w:sz w:val="24"/>
                <w:szCs w:val="24"/>
              </w:rPr>
              <w:t>ARTG</w:t>
            </w:r>
          </w:p>
        </w:tc>
        <w:tc>
          <w:tcPr>
            <w:tcW w:w="3800" w:type="pct"/>
          </w:tcPr>
          <w:p w14:paraId="4E536F2F" w14:textId="77777777" w:rsidR="00D62449" w:rsidRPr="00057276" w:rsidRDefault="00D62449" w:rsidP="00F35664">
            <w:pPr>
              <w:cnfStyle w:val="000000000000" w:firstRow="0" w:lastRow="0" w:firstColumn="0" w:lastColumn="0" w:oddVBand="0" w:evenVBand="0" w:oddHBand="0" w:evenHBand="0" w:firstRowFirstColumn="0" w:firstRowLastColumn="0" w:lastRowFirstColumn="0" w:lastRowLastColumn="0"/>
              <w:rPr>
                <w:sz w:val="24"/>
                <w:szCs w:val="24"/>
              </w:rPr>
            </w:pPr>
            <w:r w:rsidRPr="00057276">
              <w:rPr>
                <w:sz w:val="24"/>
                <w:szCs w:val="24"/>
              </w:rPr>
              <w:t>Australian Register of Therapeutic Goods</w:t>
            </w:r>
          </w:p>
        </w:tc>
      </w:tr>
      <w:tr w:rsidR="00D62449" w:rsidRPr="00057276" w14:paraId="1E9B2DF9" w14:textId="77777777" w:rsidTr="00F3566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E6F00EA" w14:textId="77777777" w:rsidR="00D62449" w:rsidRPr="00057276" w:rsidRDefault="00D62449" w:rsidP="00F35664">
            <w:pPr>
              <w:rPr>
                <w:sz w:val="24"/>
                <w:szCs w:val="24"/>
              </w:rPr>
            </w:pPr>
            <w:r w:rsidRPr="00057276">
              <w:rPr>
                <w:sz w:val="24"/>
                <w:szCs w:val="24"/>
              </w:rPr>
              <w:t>ASA</w:t>
            </w:r>
          </w:p>
        </w:tc>
        <w:tc>
          <w:tcPr>
            <w:tcW w:w="3800" w:type="pct"/>
          </w:tcPr>
          <w:p w14:paraId="1382DE69" w14:textId="77777777" w:rsidR="00D62449" w:rsidRPr="00057276" w:rsidRDefault="00D62449" w:rsidP="00F35664">
            <w:pPr>
              <w:cnfStyle w:val="000000000000" w:firstRow="0" w:lastRow="0" w:firstColumn="0" w:lastColumn="0" w:oddVBand="0" w:evenVBand="0" w:oddHBand="0" w:evenHBand="0" w:firstRowFirstColumn="0" w:firstRowLastColumn="0" w:lastRowFirstColumn="0" w:lastRowLastColumn="0"/>
              <w:rPr>
                <w:sz w:val="24"/>
                <w:szCs w:val="24"/>
              </w:rPr>
            </w:pPr>
            <w:r w:rsidRPr="00057276">
              <w:rPr>
                <w:sz w:val="24"/>
                <w:szCs w:val="24"/>
              </w:rPr>
              <w:t>Australia</w:t>
            </w:r>
            <w:r w:rsidRPr="00057276">
              <w:rPr>
                <w:sz w:val="24"/>
                <w:szCs w:val="24"/>
              </w:rPr>
              <w:noBreakHyphen/>
              <w:t>specific annex</w:t>
            </w:r>
          </w:p>
        </w:tc>
      </w:tr>
      <w:tr w:rsidR="00D62449" w:rsidRPr="00057276" w14:paraId="0E07B19C" w14:textId="77777777" w:rsidTr="00F3566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23F7C67" w14:textId="77777777" w:rsidR="00D62449" w:rsidRPr="00057276" w:rsidRDefault="00D62449" w:rsidP="00F35664">
            <w:pPr>
              <w:rPr>
                <w:sz w:val="24"/>
                <w:szCs w:val="24"/>
              </w:rPr>
            </w:pPr>
            <w:r w:rsidRPr="00057276">
              <w:rPr>
                <w:sz w:val="24"/>
                <w:szCs w:val="24"/>
              </w:rPr>
              <w:t>CMI</w:t>
            </w:r>
          </w:p>
        </w:tc>
        <w:tc>
          <w:tcPr>
            <w:tcW w:w="3800" w:type="pct"/>
          </w:tcPr>
          <w:p w14:paraId="1894582F" w14:textId="77777777" w:rsidR="00D62449" w:rsidRPr="00057276" w:rsidRDefault="00D62449" w:rsidP="00F35664">
            <w:pPr>
              <w:cnfStyle w:val="000000000000" w:firstRow="0" w:lastRow="0" w:firstColumn="0" w:lastColumn="0" w:oddVBand="0" w:evenVBand="0" w:oddHBand="0" w:evenHBand="0" w:firstRowFirstColumn="0" w:firstRowLastColumn="0" w:lastRowFirstColumn="0" w:lastRowLastColumn="0"/>
              <w:rPr>
                <w:sz w:val="24"/>
                <w:szCs w:val="24"/>
              </w:rPr>
            </w:pPr>
            <w:r w:rsidRPr="00057276">
              <w:rPr>
                <w:sz w:val="24"/>
                <w:szCs w:val="24"/>
              </w:rPr>
              <w:t>Consumer Medicines Information</w:t>
            </w:r>
          </w:p>
        </w:tc>
      </w:tr>
      <w:tr w:rsidR="00D62449" w:rsidRPr="00057276" w14:paraId="5B7C46F8" w14:textId="77777777" w:rsidTr="00F3566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835596E" w14:textId="77777777" w:rsidR="00D62449" w:rsidRPr="00057276" w:rsidRDefault="00D62449" w:rsidP="00F35664">
            <w:pPr>
              <w:rPr>
                <w:sz w:val="24"/>
                <w:szCs w:val="24"/>
              </w:rPr>
            </w:pPr>
            <w:r w:rsidRPr="00057276">
              <w:rPr>
                <w:sz w:val="24"/>
                <w:szCs w:val="24"/>
              </w:rPr>
              <w:t>COR-B</w:t>
            </w:r>
          </w:p>
        </w:tc>
        <w:tc>
          <w:tcPr>
            <w:tcW w:w="3800" w:type="pct"/>
          </w:tcPr>
          <w:p w14:paraId="11B4ADCD" w14:textId="77777777" w:rsidR="00D62449" w:rsidRPr="00057276" w:rsidRDefault="00D62449" w:rsidP="00F35664">
            <w:pPr>
              <w:cnfStyle w:val="000000000000" w:firstRow="0" w:lastRow="0" w:firstColumn="0" w:lastColumn="0" w:oddVBand="0" w:evenVBand="0" w:oddHBand="0" w:evenHBand="0" w:firstRowFirstColumn="0" w:firstRowLastColumn="0" w:lastRowFirstColumn="0" w:lastRowLastColumn="0"/>
              <w:rPr>
                <w:sz w:val="24"/>
                <w:szCs w:val="24"/>
              </w:rPr>
            </w:pPr>
            <w:r w:rsidRPr="00057276">
              <w:rPr>
                <w:sz w:val="24"/>
                <w:szCs w:val="24"/>
              </w:rPr>
              <w:t>Comparable Overseas Regulator</w:t>
            </w:r>
          </w:p>
        </w:tc>
      </w:tr>
      <w:tr w:rsidR="00D62449" w:rsidRPr="00057276" w14:paraId="46CDE1D2" w14:textId="77777777" w:rsidTr="00F3566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BB8C75" w14:textId="77777777" w:rsidR="00D62449" w:rsidRPr="00057276" w:rsidRDefault="00D62449" w:rsidP="00F35664">
            <w:pPr>
              <w:rPr>
                <w:sz w:val="24"/>
                <w:szCs w:val="24"/>
              </w:rPr>
            </w:pPr>
            <w:r w:rsidRPr="00057276">
              <w:rPr>
                <w:sz w:val="24"/>
                <w:szCs w:val="24"/>
              </w:rPr>
              <w:t>DLP</w:t>
            </w:r>
          </w:p>
        </w:tc>
        <w:tc>
          <w:tcPr>
            <w:tcW w:w="3800" w:type="pct"/>
          </w:tcPr>
          <w:p w14:paraId="3B0841B7" w14:textId="77777777" w:rsidR="00D62449" w:rsidRPr="00057276" w:rsidRDefault="00D62449" w:rsidP="00F35664">
            <w:pPr>
              <w:cnfStyle w:val="000000000000" w:firstRow="0" w:lastRow="0" w:firstColumn="0" w:lastColumn="0" w:oddVBand="0" w:evenVBand="0" w:oddHBand="0" w:evenHBand="0" w:firstRowFirstColumn="0" w:firstRowLastColumn="0" w:lastRowFirstColumn="0" w:lastRowLastColumn="0"/>
              <w:rPr>
                <w:sz w:val="24"/>
                <w:szCs w:val="24"/>
              </w:rPr>
            </w:pPr>
            <w:r w:rsidRPr="00057276">
              <w:rPr>
                <w:sz w:val="24"/>
                <w:szCs w:val="24"/>
              </w:rPr>
              <w:t>Data lock point</w:t>
            </w:r>
          </w:p>
        </w:tc>
      </w:tr>
      <w:tr w:rsidR="00D62449" w:rsidRPr="00057276" w14:paraId="046A7826" w14:textId="77777777" w:rsidTr="00F3566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35D150C" w14:textId="77777777" w:rsidR="00D62449" w:rsidRPr="00057276" w:rsidRDefault="00D62449" w:rsidP="00F35664">
            <w:pPr>
              <w:rPr>
                <w:sz w:val="24"/>
                <w:szCs w:val="24"/>
              </w:rPr>
            </w:pPr>
            <w:r w:rsidRPr="00057276">
              <w:rPr>
                <w:sz w:val="24"/>
                <w:szCs w:val="24"/>
              </w:rPr>
              <w:t>GalNAc</w:t>
            </w:r>
          </w:p>
        </w:tc>
        <w:tc>
          <w:tcPr>
            <w:tcW w:w="3800" w:type="pct"/>
          </w:tcPr>
          <w:p w14:paraId="04FD4C73" w14:textId="77777777" w:rsidR="00D62449" w:rsidRPr="00057276" w:rsidRDefault="00D62449" w:rsidP="00F35664">
            <w:pPr>
              <w:cnfStyle w:val="000000000000" w:firstRow="0" w:lastRow="0" w:firstColumn="0" w:lastColumn="0" w:oddVBand="0" w:evenVBand="0" w:oddHBand="0" w:evenHBand="0" w:firstRowFirstColumn="0" w:firstRowLastColumn="0" w:lastRowFirstColumn="0" w:lastRowLastColumn="0"/>
              <w:rPr>
                <w:sz w:val="24"/>
                <w:szCs w:val="24"/>
              </w:rPr>
            </w:pPr>
            <w:r w:rsidRPr="00057276">
              <w:rPr>
                <w:sz w:val="24"/>
                <w:szCs w:val="24"/>
              </w:rPr>
              <w:t>N-acetylgalactosamine</w:t>
            </w:r>
          </w:p>
        </w:tc>
      </w:tr>
      <w:tr w:rsidR="00D62449" w:rsidRPr="00057276" w14:paraId="329BD82A" w14:textId="77777777" w:rsidTr="00F3566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3900F44" w14:textId="77777777" w:rsidR="00D62449" w:rsidRPr="00057276" w:rsidRDefault="00D62449" w:rsidP="00F35664">
            <w:pPr>
              <w:rPr>
                <w:sz w:val="24"/>
                <w:szCs w:val="24"/>
              </w:rPr>
            </w:pPr>
            <w:r w:rsidRPr="00057276">
              <w:rPr>
                <w:sz w:val="24"/>
                <w:szCs w:val="24"/>
              </w:rPr>
              <w:t>hATTR amyloidosis</w:t>
            </w:r>
          </w:p>
        </w:tc>
        <w:tc>
          <w:tcPr>
            <w:tcW w:w="3800" w:type="pct"/>
          </w:tcPr>
          <w:p w14:paraId="48A665CA" w14:textId="77777777" w:rsidR="00D62449" w:rsidRPr="00057276" w:rsidRDefault="00D62449" w:rsidP="00F35664">
            <w:pPr>
              <w:cnfStyle w:val="000000000000" w:firstRow="0" w:lastRow="0" w:firstColumn="0" w:lastColumn="0" w:oddVBand="0" w:evenVBand="0" w:oddHBand="0" w:evenHBand="0" w:firstRowFirstColumn="0" w:firstRowLastColumn="0" w:lastRowFirstColumn="0" w:lastRowLastColumn="0"/>
              <w:rPr>
                <w:sz w:val="24"/>
                <w:szCs w:val="24"/>
              </w:rPr>
            </w:pPr>
            <w:r w:rsidRPr="00057276">
              <w:rPr>
                <w:sz w:val="24"/>
                <w:szCs w:val="24"/>
              </w:rPr>
              <w:t>Hereditary transthyretin-mediated amyloidosis</w:t>
            </w:r>
          </w:p>
        </w:tc>
      </w:tr>
      <w:tr w:rsidR="00D62449" w:rsidRPr="00057276" w14:paraId="36790A35" w14:textId="77777777" w:rsidTr="00F3566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FC09EAC" w14:textId="77777777" w:rsidR="00D62449" w:rsidRPr="00057276" w:rsidRDefault="00D62449" w:rsidP="00F35664">
            <w:pPr>
              <w:rPr>
                <w:sz w:val="24"/>
                <w:szCs w:val="24"/>
              </w:rPr>
            </w:pPr>
            <w:r w:rsidRPr="00057276">
              <w:rPr>
                <w:sz w:val="24"/>
                <w:szCs w:val="24"/>
              </w:rPr>
              <w:t>ISRs</w:t>
            </w:r>
          </w:p>
        </w:tc>
        <w:tc>
          <w:tcPr>
            <w:tcW w:w="3800" w:type="pct"/>
          </w:tcPr>
          <w:p w14:paraId="3B93F70A" w14:textId="77777777" w:rsidR="00D62449" w:rsidRPr="00057276" w:rsidRDefault="00D62449" w:rsidP="00F35664">
            <w:pPr>
              <w:cnfStyle w:val="000000000000" w:firstRow="0" w:lastRow="0" w:firstColumn="0" w:lastColumn="0" w:oddVBand="0" w:evenVBand="0" w:oddHBand="0" w:evenHBand="0" w:firstRowFirstColumn="0" w:firstRowLastColumn="0" w:lastRowFirstColumn="0" w:lastRowLastColumn="0"/>
              <w:rPr>
                <w:sz w:val="24"/>
                <w:szCs w:val="24"/>
              </w:rPr>
            </w:pPr>
            <w:r w:rsidRPr="00057276">
              <w:rPr>
                <w:sz w:val="24"/>
                <w:szCs w:val="24"/>
              </w:rPr>
              <w:t xml:space="preserve">Injection site reactions </w:t>
            </w:r>
          </w:p>
        </w:tc>
      </w:tr>
      <w:tr w:rsidR="00D62449" w:rsidRPr="00057276" w14:paraId="466D3E2F" w14:textId="77777777" w:rsidTr="00F3566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896958" w14:textId="77777777" w:rsidR="00D62449" w:rsidRPr="00057276" w:rsidRDefault="00D62449" w:rsidP="00F35664">
            <w:pPr>
              <w:rPr>
                <w:sz w:val="24"/>
                <w:szCs w:val="24"/>
              </w:rPr>
            </w:pPr>
            <w:r w:rsidRPr="00057276">
              <w:rPr>
                <w:sz w:val="24"/>
                <w:szCs w:val="24"/>
              </w:rPr>
              <w:t>mNIS+7</w:t>
            </w:r>
          </w:p>
        </w:tc>
        <w:tc>
          <w:tcPr>
            <w:tcW w:w="3800" w:type="pct"/>
          </w:tcPr>
          <w:p w14:paraId="1E9B49DC" w14:textId="77777777" w:rsidR="00D62449" w:rsidRPr="00057276" w:rsidRDefault="00D62449" w:rsidP="00F35664">
            <w:pPr>
              <w:cnfStyle w:val="000000000000" w:firstRow="0" w:lastRow="0" w:firstColumn="0" w:lastColumn="0" w:oddVBand="0" w:evenVBand="0" w:oddHBand="0" w:evenHBand="0" w:firstRowFirstColumn="0" w:firstRowLastColumn="0" w:lastRowFirstColumn="0" w:lastRowLastColumn="0"/>
              <w:rPr>
                <w:sz w:val="24"/>
                <w:szCs w:val="24"/>
              </w:rPr>
            </w:pPr>
            <w:r w:rsidRPr="00057276">
              <w:rPr>
                <w:sz w:val="24"/>
                <w:szCs w:val="24"/>
              </w:rPr>
              <w:t>Modified Neuropathy Impairment Score + 7</w:t>
            </w:r>
          </w:p>
        </w:tc>
      </w:tr>
      <w:tr w:rsidR="00D62449" w:rsidRPr="00057276" w14:paraId="0F0A82E8" w14:textId="77777777" w:rsidTr="00F3566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7F772EE" w14:textId="77777777" w:rsidR="00D62449" w:rsidRPr="00057276" w:rsidRDefault="00D62449" w:rsidP="00F35664">
            <w:pPr>
              <w:rPr>
                <w:sz w:val="24"/>
                <w:szCs w:val="24"/>
              </w:rPr>
            </w:pPr>
            <w:r w:rsidRPr="00057276">
              <w:rPr>
                <w:sz w:val="24"/>
                <w:szCs w:val="24"/>
              </w:rPr>
              <w:t>NIS</w:t>
            </w:r>
          </w:p>
        </w:tc>
        <w:tc>
          <w:tcPr>
            <w:tcW w:w="3800" w:type="pct"/>
          </w:tcPr>
          <w:p w14:paraId="1B00F6D8" w14:textId="77777777" w:rsidR="00D62449" w:rsidRPr="00057276" w:rsidRDefault="00D62449" w:rsidP="00F35664">
            <w:pPr>
              <w:cnfStyle w:val="000000000000" w:firstRow="0" w:lastRow="0" w:firstColumn="0" w:lastColumn="0" w:oddVBand="0" w:evenVBand="0" w:oddHBand="0" w:evenHBand="0" w:firstRowFirstColumn="0" w:firstRowLastColumn="0" w:lastRowFirstColumn="0" w:lastRowLastColumn="0"/>
              <w:rPr>
                <w:sz w:val="24"/>
                <w:szCs w:val="24"/>
              </w:rPr>
            </w:pPr>
            <w:r w:rsidRPr="00057276">
              <w:rPr>
                <w:sz w:val="24"/>
                <w:szCs w:val="24"/>
              </w:rPr>
              <w:t xml:space="preserve">Neurological Impairment Scale </w:t>
            </w:r>
          </w:p>
        </w:tc>
      </w:tr>
      <w:tr w:rsidR="00D62449" w:rsidRPr="00057276" w14:paraId="27B7BEA1" w14:textId="77777777" w:rsidTr="00F3566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14CA7DE" w14:textId="77777777" w:rsidR="00D62449" w:rsidRPr="00057276" w:rsidRDefault="00D62449" w:rsidP="00F35664">
            <w:pPr>
              <w:rPr>
                <w:sz w:val="24"/>
                <w:szCs w:val="24"/>
              </w:rPr>
            </w:pPr>
            <w:r w:rsidRPr="00044985">
              <w:rPr>
                <w:sz w:val="24"/>
                <w:szCs w:val="24"/>
              </w:rPr>
              <w:t>PD</w:t>
            </w:r>
          </w:p>
        </w:tc>
        <w:tc>
          <w:tcPr>
            <w:tcW w:w="3800" w:type="pct"/>
          </w:tcPr>
          <w:p w14:paraId="14D0C239" w14:textId="77777777" w:rsidR="00D62449" w:rsidRPr="00057276" w:rsidRDefault="00D62449" w:rsidP="00F35664">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w:t>
            </w:r>
            <w:r w:rsidRPr="00044985">
              <w:rPr>
                <w:sz w:val="24"/>
                <w:szCs w:val="24"/>
              </w:rPr>
              <w:t>harmacodynamics</w:t>
            </w:r>
          </w:p>
        </w:tc>
      </w:tr>
      <w:tr w:rsidR="00D62449" w:rsidRPr="00057276" w14:paraId="43087DF5" w14:textId="77777777" w:rsidTr="00F3566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F18E9A0" w14:textId="77777777" w:rsidR="00D62449" w:rsidRPr="00057276" w:rsidRDefault="00D62449" w:rsidP="00F35664">
            <w:pPr>
              <w:rPr>
                <w:sz w:val="24"/>
                <w:szCs w:val="24"/>
              </w:rPr>
            </w:pPr>
            <w:r w:rsidRPr="00057276">
              <w:rPr>
                <w:sz w:val="24"/>
                <w:szCs w:val="24"/>
              </w:rPr>
              <w:t>PI</w:t>
            </w:r>
          </w:p>
        </w:tc>
        <w:tc>
          <w:tcPr>
            <w:tcW w:w="3800" w:type="pct"/>
          </w:tcPr>
          <w:p w14:paraId="09C76F60" w14:textId="77777777" w:rsidR="00D62449" w:rsidRPr="00057276" w:rsidRDefault="00D62449" w:rsidP="00F35664">
            <w:pPr>
              <w:cnfStyle w:val="000000000000" w:firstRow="0" w:lastRow="0" w:firstColumn="0" w:lastColumn="0" w:oddVBand="0" w:evenVBand="0" w:oddHBand="0" w:evenHBand="0" w:firstRowFirstColumn="0" w:firstRowLastColumn="0" w:lastRowFirstColumn="0" w:lastRowLastColumn="0"/>
              <w:rPr>
                <w:sz w:val="24"/>
                <w:szCs w:val="24"/>
              </w:rPr>
            </w:pPr>
            <w:r w:rsidRPr="00057276">
              <w:rPr>
                <w:sz w:val="24"/>
                <w:szCs w:val="24"/>
              </w:rPr>
              <w:t>Product Information</w:t>
            </w:r>
          </w:p>
        </w:tc>
      </w:tr>
      <w:tr w:rsidR="00D62449" w:rsidRPr="00057276" w14:paraId="4FCDC21E" w14:textId="77777777" w:rsidTr="00F3566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7D4EFCE" w14:textId="77777777" w:rsidR="00D62449" w:rsidRPr="00057276" w:rsidRDefault="00D62449" w:rsidP="00F35664">
            <w:pPr>
              <w:rPr>
                <w:sz w:val="24"/>
                <w:szCs w:val="24"/>
              </w:rPr>
            </w:pPr>
            <w:r w:rsidRPr="00044985">
              <w:rPr>
                <w:sz w:val="24"/>
                <w:szCs w:val="24"/>
              </w:rPr>
              <w:t>PK</w:t>
            </w:r>
          </w:p>
        </w:tc>
        <w:tc>
          <w:tcPr>
            <w:tcW w:w="3800" w:type="pct"/>
          </w:tcPr>
          <w:p w14:paraId="7F007677" w14:textId="77777777" w:rsidR="00D62449" w:rsidRPr="00057276" w:rsidRDefault="00D62449" w:rsidP="00F35664">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w:t>
            </w:r>
            <w:r w:rsidRPr="00044985">
              <w:rPr>
                <w:sz w:val="24"/>
                <w:szCs w:val="24"/>
              </w:rPr>
              <w:t>harmacokinetics</w:t>
            </w:r>
          </w:p>
        </w:tc>
      </w:tr>
      <w:tr w:rsidR="00D62449" w:rsidRPr="00057276" w14:paraId="26914667" w14:textId="77777777" w:rsidTr="00F3566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39CE1BA" w14:textId="77777777" w:rsidR="00D62449" w:rsidRPr="00057276" w:rsidRDefault="00D62449" w:rsidP="00F35664">
            <w:pPr>
              <w:rPr>
                <w:sz w:val="24"/>
                <w:szCs w:val="24"/>
              </w:rPr>
            </w:pPr>
            <w:r w:rsidRPr="00057276">
              <w:rPr>
                <w:sz w:val="24"/>
                <w:szCs w:val="24"/>
              </w:rPr>
              <w:t>PSUR</w:t>
            </w:r>
          </w:p>
        </w:tc>
        <w:tc>
          <w:tcPr>
            <w:tcW w:w="3800" w:type="pct"/>
          </w:tcPr>
          <w:p w14:paraId="548C5477" w14:textId="77777777" w:rsidR="00D62449" w:rsidRPr="00057276" w:rsidRDefault="00D62449" w:rsidP="00F35664">
            <w:pPr>
              <w:cnfStyle w:val="000000000000" w:firstRow="0" w:lastRow="0" w:firstColumn="0" w:lastColumn="0" w:oddVBand="0" w:evenVBand="0" w:oddHBand="0" w:evenHBand="0" w:firstRowFirstColumn="0" w:firstRowLastColumn="0" w:lastRowFirstColumn="0" w:lastRowLastColumn="0"/>
              <w:rPr>
                <w:sz w:val="24"/>
                <w:szCs w:val="24"/>
              </w:rPr>
            </w:pPr>
            <w:r w:rsidRPr="00057276">
              <w:rPr>
                <w:sz w:val="24"/>
                <w:szCs w:val="24"/>
              </w:rPr>
              <w:t>Periodic safety update report</w:t>
            </w:r>
          </w:p>
        </w:tc>
      </w:tr>
      <w:tr w:rsidR="00D62449" w:rsidRPr="00057276" w14:paraId="49A81F44" w14:textId="77777777" w:rsidTr="00F3566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E46A9D9" w14:textId="77777777" w:rsidR="00D62449" w:rsidRPr="00057276" w:rsidRDefault="00D62449" w:rsidP="00F35664">
            <w:pPr>
              <w:rPr>
                <w:sz w:val="24"/>
                <w:szCs w:val="24"/>
              </w:rPr>
            </w:pPr>
            <w:r w:rsidRPr="00057276">
              <w:rPr>
                <w:sz w:val="24"/>
                <w:szCs w:val="24"/>
              </w:rPr>
              <w:t>RMP</w:t>
            </w:r>
          </w:p>
        </w:tc>
        <w:tc>
          <w:tcPr>
            <w:tcW w:w="3800" w:type="pct"/>
          </w:tcPr>
          <w:p w14:paraId="67EEA7CC" w14:textId="77777777" w:rsidR="00D62449" w:rsidRPr="00057276" w:rsidRDefault="00D62449" w:rsidP="00F35664">
            <w:pPr>
              <w:cnfStyle w:val="000000000000" w:firstRow="0" w:lastRow="0" w:firstColumn="0" w:lastColumn="0" w:oddVBand="0" w:evenVBand="0" w:oddHBand="0" w:evenHBand="0" w:firstRowFirstColumn="0" w:firstRowLastColumn="0" w:lastRowFirstColumn="0" w:lastRowLastColumn="0"/>
              <w:rPr>
                <w:sz w:val="24"/>
                <w:szCs w:val="24"/>
              </w:rPr>
            </w:pPr>
            <w:r w:rsidRPr="00057276">
              <w:rPr>
                <w:sz w:val="24"/>
                <w:szCs w:val="24"/>
              </w:rPr>
              <w:t>Risk management plan</w:t>
            </w:r>
          </w:p>
        </w:tc>
      </w:tr>
      <w:tr w:rsidR="00D62449" w:rsidRPr="00057276" w14:paraId="54C34CDA" w14:textId="77777777" w:rsidTr="00F3566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1C44B98" w14:textId="77777777" w:rsidR="00D62449" w:rsidRPr="00057276" w:rsidRDefault="00D62449" w:rsidP="00F35664">
            <w:pPr>
              <w:rPr>
                <w:sz w:val="24"/>
                <w:szCs w:val="24"/>
              </w:rPr>
            </w:pPr>
            <w:r w:rsidRPr="00057276">
              <w:rPr>
                <w:sz w:val="24"/>
                <w:szCs w:val="24"/>
              </w:rPr>
              <w:t>RNAi</w:t>
            </w:r>
          </w:p>
        </w:tc>
        <w:tc>
          <w:tcPr>
            <w:tcW w:w="3800" w:type="pct"/>
          </w:tcPr>
          <w:p w14:paraId="7294E287" w14:textId="77777777" w:rsidR="00D62449" w:rsidRPr="00057276" w:rsidRDefault="00D62449" w:rsidP="00F35664">
            <w:pPr>
              <w:cnfStyle w:val="000000000000" w:firstRow="0" w:lastRow="0" w:firstColumn="0" w:lastColumn="0" w:oddVBand="0" w:evenVBand="0" w:oddHBand="0" w:evenHBand="0" w:firstRowFirstColumn="0" w:firstRowLastColumn="0" w:lastRowFirstColumn="0" w:lastRowLastColumn="0"/>
              <w:rPr>
                <w:sz w:val="24"/>
                <w:szCs w:val="24"/>
              </w:rPr>
            </w:pPr>
            <w:r w:rsidRPr="00057276">
              <w:rPr>
                <w:sz w:val="24"/>
                <w:szCs w:val="24"/>
              </w:rPr>
              <w:t>RNA interference</w:t>
            </w:r>
          </w:p>
        </w:tc>
      </w:tr>
      <w:tr w:rsidR="00D62449" w:rsidRPr="00057276" w14:paraId="4C677103" w14:textId="77777777" w:rsidTr="00F3566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368321E" w14:textId="77777777" w:rsidR="00D62449" w:rsidRPr="00057276" w:rsidRDefault="00D62449" w:rsidP="00F35664">
            <w:pPr>
              <w:rPr>
                <w:sz w:val="24"/>
                <w:szCs w:val="24"/>
              </w:rPr>
            </w:pPr>
            <w:r w:rsidRPr="00057276">
              <w:rPr>
                <w:sz w:val="24"/>
                <w:szCs w:val="24"/>
              </w:rPr>
              <w:t>RTE</w:t>
            </w:r>
          </w:p>
        </w:tc>
        <w:tc>
          <w:tcPr>
            <w:tcW w:w="3800" w:type="pct"/>
          </w:tcPr>
          <w:p w14:paraId="2F578A75" w14:textId="77777777" w:rsidR="00D62449" w:rsidRPr="00057276" w:rsidRDefault="00D62449" w:rsidP="00F35664">
            <w:pPr>
              <w:cnfStyle w:val="000000000000" w:firstRow="0" w:lastRow="0" w:firstColumn="0" w:lastColumn="0" w:oddVBand="0" w:evenVBand="0" w:oddHBand="0" w:evenHBand="0" w:firstRowFirstColumn="0" w:firstRowLastColumn="0" w:lastRowFirstColumn="0" w:lastRowLastColumn="0"/>
              <w:rPr>
                <w:sz w:val="24"/>
                <w:szCs w:val="24"/>
              </w:rPr>
            </w:pPr>
            <w:r w:rsidRPr="00057276">
              <w:rPr>
                <w:sz w:val="24"/>
                <w:szCs w:val="24"/>
              </w:rPr>
              <w:t>Randomised treatment extension period</w:t>
            </w:r>
          </w:p>
        </w:tc>
      </w:tr>
      <w:tr w:rsidR="00D62449" w:rsidRPr="00057276" w14:paraId="1536BD02" w14:textId="77777777" w:rsidTr="00F3566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7675702" w14:textId="77777777" w:rsidR="00D62449" w:rsidRPr="00057276" w:rsidRDefault="00D62449" w:rsidP="00F35664">
            <w:pPr>
              <w:rPr>
                <w:sz w:val="24"/>
                <w:szCs w:val="24"/>
              </w:rPr>
            </w:pPr>
            <w:r>
              <w:rPr>
                <w:sz w:val="24"/>
                <w:szCs w:val="24"/>
              </w:rPr>
              <w:t>SC</w:t>
            </w:r>
          </w:p>
        </w:tc>
        <w:tc>
          <w:tcPr>
            <w:tcW w:w="3800" w:type="pct"/>
          </w:tcPr>
          <w:p w14:paraId="1281B62E" w14:textId="77777777" w:rsidR="00D62449" w:rsidRPr="00057276" w:rsidRDefault="00D62449" w:rsidP="00F35664">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Subcutaneous</w:t>
            </w:r>
          </w:p>
        </w:tc>
      </w:tr>
      <w:tr w:rsidR="00D62449" w:rsidRPr="00057276" w14:paraId="1444CCFE" w14:textId="77777777" w:rsidTr="00F3566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FFDB557" w14:textId="77777777" w:rsidR="00D62449" w:rsidRDefault="00D62449" w:rsidP="00F35664">
            <w:pPr>
              <w:rPr>
                <w:sz w:val="24"/>
                <w:szCs w:val="24"/>
              </w:rPr>
            </w:pPr>
            <w:r w:rsidRPr="00057276">
              <w:rPr>
                <w:sz w:val="24"/>
                <w:szCs w:val="24"/>
              </w:rPr>
              <w:t>siRNA</w:t>
            </w:r>
          </w:p>
        </w:tc>
        <w:tc>
          <w:tcPr>
            <w:tcW w:w="3800" w:type="pct"/>
          </w:tcPr>
          <w:p w14:paraId="7322AC9C" w14:textId="77777777" w:rsidR="00D62449" w:rsidRDefault="00D62449" w:rsidP="00F35664">
            <w:pPr>
              <w:cnfStyle w:val="000000000000" w:firstRow="0" w:lastRow="0" w:firstColumn="0" w:lastColumn="0" w:oddVBand="0" w:evenVBand="0" w:oddHBand="0" w:evenHBand="0" w:firstRowFirstColumn="0" w:firstRowLastColumn="0" w:lastRowFirstColumn="0" w:lastRowLastColumn="0"/>
              <w:rPr>
                <w:sz w:val="24"/>
                <w:szCs w:val="24"/>
              </w:rPr>
            </w:pPr>
            <w:r w:rsidRPr="00057276">
              <w:rPr>
                <w:sz w:val="24"/>
                <w:szCs w:val="24"/>
              </w:rPr>
              <w:t>small (or short) interfering RNA</w:t>
            </w:r>
          </w:p>
        </w:tc>
      </w:tr>
      <w:tr w:rsidR="00D62449" w:rsidRPr="00057276" w14:paraId="47C88AE1" w14:textId="77777777" w:rsidTr="00F3566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E78EA8A" w14:textId="77777777" w:rsidR="00D62449" w:rsidRPr="00057276" w:rsidRDefault="00D62449" w:rsidP="00F35664">
            <w:pPr>
              <w:rPr>
                <w:sz w:val="24"/>
                <w:szCs w:val="24"/>
              </w:rPr>
            </w:pPr>
            <w:r w:rsidRPr="00057276">
              <w:rPr>
                <w:sz w:val="24"/>
                <w:szCs w:val="24"/>
              </w:rPr>
              <w:t>TGA</w:t>
            </w:r>
          </w:p>
        </w:tc>
        <w:tc>
          <w:tcPr>
            <w:tcW w:w="3800" w:type="pct"/>
          </w:tcPr>
          <w:p w14:paraId="6FCA87CC" w14:textId="77777777" w:rsidR="00D62449" w:rsidRPr="00057276" w:rsidRDefault="00D62449" w:rsidP="00F35664">
            <w:pPr>
              <w:cnfStyle w:val="000000000000" w:firstRow="0" w:lastRow="0" w:firstColumn="0" w:lastColumn="0" w:oddVBand="0" w:evenVBand="0" w:oddHBand="0" w:evenHBand="0" w:firstRowFirstColumn="0" w:firstRowLastColumn="0" w:lastRowFirstColumn="0" w:lastRowLastColumn="0"/>
              <w:rPr>
                <w:sz w:val="24"/>
                <w:szCs w:val="24"/>
              </w:rPr>
            </w:pPr>
            <w:r w:rsidRPr="00057276">
              <w:rPr>
                <w:sz w:val="24"/>
                <w:szCs w:val="24"/>
              </w:rPr>
              <w:t>Therapeutic Goods Administration</w:t>
            </w:r>
          </w:p>
        </w:tc>
      </w:tr>
      <w:tr w:rsidR="00D62449" w:rsidRPr="00057276" w14:paraId="23E0262D" w14:textId="77777777" w:rsidTr="00F3566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384B79F" w14:textId="77777777" w:rsidR="00D62449" w:rsidRPr="00057276" w:rsidRDefault="00D62449" w:rsidP="00F35664">
            <w:pPr>
              <w:rPr>
                <w:sz w:val="24"/>
                <w:szCs w:val="24"/>
              </w:rPr>
            </w:pPr>
            <w:r w:rsidRPr="00057276">
              <w:rPr>
                <w:sz w:val="24"/>
                <w:szCs w:val="24"/>
              </w:rPr>
              <w:t>TTR</w:t>
            </w:r>
          </w:p>
        </w:tc>
        <w:tc>
          <w:tcPr>
            <w:tcW w:w="3800" w:type="pct"/>
          </w:tcPr>
          <w:p w14:paraId="45853F74" w14:textId="77777777" w:rsidR="00D62449" w:rsidRPr="00057276" w:rsidRDefault="00D62449" w:rsidP="00F35664">
            <w:pPr>
              <w:cnfStyle w:val="000000000000" w:firstRow="0" w:lastRow="0" w:firstColumn="0" w:lastColumn="0" w:oddVBand="0" w:evenVBand="0" w:oddHBand="0" w:evenHBand="0" w:firstRowFirstColumn="0" w:firstRowLastColumn="0" w:lastRowFirstColumn="0" w:lastRowLastColumn="0"/>
              <w:rPr>
                <w:sz w:val="24"/>
                <w:szCs w:val="24"/>
              </w:rPr>
            </w:pPr>
            <w:r w:rsidRPr="00057276">
              <w:rPr>
                <w:sz w:val="24"/>
                <w:szCs w:val="24"/>
              </w:rPr>
              <w:t>transthyretin gene</w:t>
            </w:r>
          </w:p>
        </w:tc>
      </w:tr>
      <w:tr w:rsidR="00D62449" w:rsidRPr="00057276" w14:paraId="2B4101F8" w14:textId="77777777" w:rsidTr="00F3566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9254870" w14:textId="77777777" w:rsidR="00D62449" w:rsidRPr="00057276" w:rsidRDefault="00D62449" w:rsidP="00F35664">
            <w:pPr>
              <w:rPr>
                <w:sz w:val="24"/>
                <w:szCs w:val="24"/>
              </w:rPr>
            </w:pPr>
            <w:r w:rsidRPr="00057276">
              <w:rPr>
                <w:sz w:val="24"/>
                <w:szCs w:val="24"/>
              </w:rPr>
              <w:t>wt</w:t>
            </w:r>
          </w:p>
        </w:tc>
        <w:tc>
          <w:tcPr>
            <w:tcW w:w="3800" w:type="pct"/>
          </w:tcPr>
          <w:p w14:paraId="5658E473" w14:textId="77777777" w:rsidR="00D62449" w:rsidRPr="00057276" w:rsidRDefault="00D62449" w:rsidP="00F35664">
            <w:pPr>
              <w:cnfStyle w:val="000000000000" w:firstRow="0" w:lastRow="0" w:firstColumn="0" w:lastColumn="0" w:oddVBand="0" w:evenVBand="0" w:oddHBand="0" w:evenHBand="0" w:firstRowFirstColumn="0" w:firstRowLastColumn="0" w:lastRowFirstColumn="0" w:lastRowLastColumn="0"/>
              <w:rPr>
                <w:sz w:val="24"/>
                <w:szCs w:val="24"/>
              </w:rPr>
            </w:pPr>
            <w:proofErr w:type="gramStart"/>
            <w:r w:rsidRPr="00057276">
              <w:rPr>
                <w:sz w:val="24"/>
                <w:szCs w:val="24"/>
              </w:rPr>
              <w:t>wild-type</w:t>
            </w:r>
            <w:proofErr w:type="gramEnd"/>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29570413" w:rsidR="00324B33" w:rsidRDefault="00BF6BF6" w:rsidP="00324B33">
      <w:pPr>
        <w:pStyle w:val="Heading2"/>
      </w:pPr>
      <w:bookmarkStart w:id="6" w:name="_Toc103679288"/>
      <w:bookmarkStart w:id="7" w:name="_Toc177466071"/>
      <w:r w:rsidRPr="00BF6BF6">
        <w:t xml:space="preserve">Amvuttra </w:t>
      </w:r>
      <w:bookmarkEnd w:id="6"/>
      <w:r>
        <w:t>(v</w:t>
      </w:r>
      <w:r w:rsidRPr="00BF6BF6">
        <w:t>utrisiran</w:t>
      </w:r>
      <w:r>
        <w:t>) submission</w:t>
      </w:r>
      <w:bookmarkEnd w:id="7"/>
    </w:p>
    <w:tbl>
      <w:tblPr>
        <w:tblW w:w="5000" w:type="pct"/>
        <w:tblLook w:val="01E0" w:firstRow="1" w:lastRow="1" w:firstColumn="1" w:lastColumn="1" w:noHBand="0" w:noVBand="0"/>
      </w:tblPr>
      <w:tblGrid>
        <w:gridCol w:w="3686"/>
        <w:gridCol w:w="5384"/>
      </w:tblGrid>
      <w:tr w:rsidR="00324B33" w:rsidRPr="00BD5DBD" w14:paraId="77D11C95" w14:textId="77777777" w:rsidTr="0005414B">
        <w:tc>
          <w:tcPr>
            <w:tcW w:w="2032" w:type="pct"/>
          </w:tcPr>
          <w:p w14:paraId="10E57D62" w14:textId="7269E5E2" w:rsidR="00324B33" w:rsidRPr="00BD5DBD" w:rsidRDefault="00324B33" w:rsidP="007452E8">
            <w:pPr>
              <w:rPr>
                <w:i/>
                <w:szCs w:val="22"/>
              </w:rPr>
            </w:pPr>
            <w:r w:rsidRPr="00BD5DBD">
              <w:rPr>
                <w:i/>
                <w:szCs w:val="22"/>
              </w:rPr>
              <w:t>Type of submission:</w:t>
            </w:r>
          </w:p>
        </w:tc>
        <w:tc>
          <w:tcPr>
            <w:tcW w:w="2968" w:type="pct"/>
          </w:tcPr>
          <w:p w14:paraId="4F07C303" w14:textId="4DF878B4" w:rsidR="00324B33" w:rsidRPr="00BD5DBD" w:rsidRDefault="00324B33" w:rsidP="007452E8">
            <w:pPr>
              <w:rPr>
                <w:szCs w:val="22"/>
              </w:rPr>
            </w:pPr>
            <w:r w:rsidRPr="00BD5DBD">
              <w:rPr>
                <w:szCs w:val="22"/>
              </w:rPr>
              <w:t>New chemical entity</w:t>
            </w:r>
          </w:p>
        </w:tc>
      </w:tr>
      <w:tr w:rsidR="00324B33" w:rsidRPr="00BD5DBD" w14:paraId="13482B61" w14:textId="77777777" w:rsidTr="0005414B">
        <w:tc>
          <w:tcPr>
            <w:tcW w:w="2032" w:type="pct"/>
          </w:tcPr>
          <w:p w14:paraId="2C427FCF" w14:textId="01211908" w:rsidR="00324B33" w:rsidRPr="00BD5DBD" w:rsidRDefault="00324B33" w:rsidP="007452E8">
            <w:pPr>
              <w:rPr>
                <w:i/>
                <w:szCs w:val="22"/>
              </w:rPr>
            </w:pPr>
            <w:r w:rsidRPr="00BD5DBD">
              <w:rPr>
                <w:i/>
                <w:szCs w:val="22"/>
              </w:rPr>
              <w:t>Product name:</w:t>
            </w:r>
          </w:p>
        </w:tc>
        <w:tc>
          <w:tcPr>
            <w:tcW w:w="2968" w:type="pct"/>
          </w:tcPr>
          <w:p w14:paraId="0E2DEF76" w14:textId="0D2D5C71" w:rsidR="00324B33" w:rsidRPr="00BD5DBD" w:rsidRDefault="00654BC7" w:rsidP="007452E8">
            <w:pPr>
              <w:rPr>
                <w:szCs w:val="22"/>
              </w:rPr>
            </w:pPr>
            <w:r>
              <w:rPr>
                <w:szCs w:val="22"/>
              </w:rPr>
              <w:t>Amvuttra</w:t>
            </w:r>
          </w:p>
        </w:tc>
      </w:tr>
      <w:tr w:rsidR="00324B33" w:rsidRPr="00BD5DBD" w14:paraId="01255B5B" w14:textId="77777777" w:rsidTr="0005414B">
        <w:tc>
          <w:tcPr>
            <w:tcW w:w="2032" w:type="pct"/>
          </w:tcPr>
          <w:p w14:paraId="52B4F3D7" w14:textId="2024E8F9" w:rsidR="00324B33" w:rsidRPr="00BD5DBD" w:rsidRDefault="00324B33" w:rsidP="007452E8">
            <w:pPr>
              <w:rPr>
                <w:i/>
                <w:szCs w:val="22"/>
              </w:rPr>
            </w:pPr>
            <w:r w:rsidRPr="00BD5DBD">
              <w:rPr>
                <w:i/>
                <w:szCs w:val="22"/>
              </w:rPr>
              <w:t>Active ingredient:</w:t>
            </w:r>
          </w:p>
        </w:tc>
        <w:tc>
          <w:tcPr>
            <w:tcW w:w="2968" w:type="pct"/>
          </w:tcPr>
          <w:p w14:paraId="02FB6383" w14:textId="19F3F82D" w:rsidR="00324B33" w:rsidRPr="00BD5DBD" w:rsidRDefault="00C270F3" w:rsidP="007452E8">
            <w:pPr>
              <w:rPr>
                <w:szCs w:val="22"/>
              </w:rPr>
            </w:pPr>
            <w:r w:rsidRPr="00C270F3">
              <w:rPr>
                <w:szCs w:val="22"/>
              </w:rPr>
              <w:t>Vutrisiran</w:t>
            </w:r>
          </w:p>
        </w:tc>
      </w:tr>
      <w:tr w:rsidR="00324B33" w:rsidRPr="00BD5DBD" w14:paraId="219A281B" w14:textId="77777777" w:rsidTr="0005414B">
        <w:tc>
          <w:tcPr>
            <w:tcW w:w="2032" w:type="pct"/>
          </w:tcPr>
          <w:p w14:paraId="112E5F78" w14:textId="77777777" w:rsidR="00324B33" w:rsidRPr="00BD5DBD" w:rsidRDefault="00324B33" w:rsidP="007452E8">
            <w:pPr>
              <w:rPr>
                <w:i/>
                <w:szCs w:val="22"/>
              </w:rPr>
            </w:pPr>
            <w:r w:rsidRPr="00BD5DBD">
              <w:rPr>
                <w:i/>
                <w:szCs w:val="22"/>
              </w:rPr>
              <w:t>Decision:</w:t>
            </w:r>
          </w:p>
        </w:tc>
        <w:tc>
          <w:tcPr>
            <w:tcW w:w="2968" w:type="pct"/>
          </w:tcPr>
          <w:p w14:paraId="3B114BEA" w14:textId="56AB466D" w:rsidR="00324B33" w:rsidRPr="00BD5DBD" w:rsidRDefault="00324B33" w:rsidP="007452E8">
            <w:pPr>
              <w:rPr>
                <w:szCs w:val="22"/>
              </w:rPr>
            </w:pPr>
            <w:r w:rsidRPr="00BD5DBD">
              <w:rPr>
                <w:szCs w:val="22"/>
              </w:rPr>
              <w:t>Approved</w:t>
            </w:r>
          </w:p>
        </w:tc>
      </w:tr>
      <w:tr w:rsidR="00AE1947" w:rsidRPr="00BD5DBD" w14:paraId="32B72632" w14:textId="77777777" w:rsidTr="0005414B">
        <w:tc>
          <w:tcPr>
            <w:tcW w:w="2032" w:type="pct"/>
          </w:tcPr>
          <w:p w14:paraId="332A5CD5" w14:textId="65682B5F" w:rsidR="00AE1947" w:rsidRPr="00BD5DBD" w:rsidRDefault="00AE1947" w:rsidP="007F1E37">
            <w:r w:rsidRPr="00BD5DBD">
              <w:rPr>
                <w:i/>
                <w:szCs w:val="22"/>
              </w:rPr>
              <w:t>Date of decision:</w:t>
            </w:r>
          </w:p>
        </w:tc>
        <w:tc>
          <w:tcPr>
            <w:tcW w:w="2968" w:type="pct"/>
          </w:tcPr>
          <w:p w14:paraId="7B381CD6" w14:textId="0A831FC3" w:rsidR="00AE1947" w:rsidRPr="00BD5DBD" w:rsidRDefault="00BF5C2B" w:rsidP="00602658">
            <w:pPr>
              <w:rPr>
                <w:szCs w:val="22"/>
              </w:rPr>
            </w:pPr>
            <w:r w:rsidRPr="00BF5C2B">
              <w:rPr>
                <w:szCs w:val="22"/>
              </w:rPr>
              <w:t>18 June 2024</w:t>
            </w:r>
          </w:p>
        </w:tc>
      </w:tr>
      <w:tr w:rsidR="00324B33" w:rsidRPr="00BD5DBD" w14:paraId="60A25F5A" w14:textId="77777777" w:rsidTr="0005414B">
        <w:tc>
          <w:tcPr>
            <w:tcW w:w="2032" w:type="pct"/>
          </w:tcPr>
          <w:p w14:paraId="5C5E4CBA" w14:textId="77777777" w:rsidR="00324B33" w:rsidRPr="00BD5DBD" w:rsidRDefault="00324B33" w:rsidP="007452E8">
            <w:pPr>
              <w:rPr>
                <w:i/>
                <w:szCs w:val="22"/>
              </w:rPr>
            </w:pPr>
            <w:r w:rsidRPr="00BD5DBD">
              <w:rPr>
                <w:i/>
                <w:szCs w:val="22"/>
              </w:rPr>
              <w:t>Date of entry onto ARTG:</w:t>
            </w:r>
          </w:p>
        </w:tc>
        <w:tc>
          <w:tcPr>
            <w:tcW w:w="2968" w:type="pct"/>
          </w:tcPr>
          <w:p w14:paraId="28B270E9" w14:textId="732568DD" w:rsidR="00324B33" w:rsidRPr="00BD5DBD" w:rsidRDefault="00193608" w:rsidP="007452E8">
            <w:pPr>
              <w:rPr>
                <w:szCs w:val="22"/>
              </w:rPr>
            </w:pPr>
            <w:r w:rsidRPr="00193608">
              <w:rPr>
                <w:szCs w:val="22"/>
              </w:rPr>
              <w:t>21 June 2024</w:t>
            </w:r>
          </w:p>
        </w:tc>
      </w:tr>
      <w:tr w:rsidR="00324B33" w:rsidRPr="00BD5DBD" w14:paraId="547E08D7" w14:textId="77777777" w:rsidTr="0005414B">
        <w:tc>
          <w:tcPr>
            <w:tcW w:w="2032" w:type="pct"/>
          </w:tcPr>
          <w:p w14:paraId="5030EF30" w14:textId="4A5BBBA2" w:rsidR="00324B33" w:rsidRPr="00BD5DBD" w:rsidRDefault="00324B33" w:rsidP="007452E8">
            <w:pPr>
              <w:rPr>
                <w:i/>
                <w:szCs w:val="22"/>
              </w:rPr>
            </w:pPr>
            <w:r w:rsidRPr="00BD5DBD">
              <w:rPr>
                <w:i/>
                <w:szCs w:val="22"/>
              </w:rPr>
              <w:t>ARTG numbe</w:t>
            </w:r>
            <w:r w:rsidR="007076FA">
              <w:rPr>
                <w:i/>
                <w:szCs w:val="22"/>
              </w:rPr>
              <w:t>r</w:t>
            </w:r>
            <w:r w:rsidRPr="00BD5DBD">
              <w:rPr>
                <w:i/>
                <w:szCs w:val="22"/>
              </w:rPr>
              <w:t>:</w:t>
            </w:r>
          </w:p>
        </w:tc>
        <w:tc>
          <w:tcPr>
            <w:tcW w:w="2968" w:type="pct"/>
          </w:tcPr>
          <w:p w14:paraId="0054E912" w14:textId="2AD0D17B" w:rsidR="00324B33" w:rsidRPr="00BD5DBD" w:rsidRDefault="00193608" w:rsidP="007452E8">
            <w:pPr>
              <w:rPr>
                <w:szCs w:val="22"/>
              </w:rPr>
            </w:pPr>
            <w:r>
              <w:rPr>
                <w:szCs w:val="22"/>
              </w:rPr>
              <w:t>422290</w:t>
            </w:r>
          </w:p>
        </w:tc>
      </w:tr>
      <w:tr w:rsidR="00324B33" w:rsidRPr="00BD5DBD" w14:paraId="7618393F" w14:textId="77777777" w:rsidTr="0005414B">
        <w:tc>
          <w:tcPr>
            <w:tcW w:w="2032" w:type="pct"/>
          </w:tcPr>
          <w:p w14:paraId="02260DE2" w14:textId="20B5D24E" w:rsidR="00324B33" w:rsidRPr="007076FA" w:rsidRDefault="00324B33" w:rsidP="007452E8">
            <w:pPr>
              <w:rPr>
                <w:i/>
                <w:color w:val="0000FF"/>
                <w:szCs w:val="22"/>
                <w:u w:val="single"/>
              </w:rPr>
            </w:pPr>
            <w:r w:rsidRPr="00BD5DBD">
              <w:rPr>
                <w:rFonts w:ascii="Wingdings 3" w:hAnsi="Wingdings 3"/>
                <w:szCs w:val="22"/>
                <w:lang w:eastAsia="en-AU"/>
              </w:rPr>
              <w:t></w:t>
            </w:r>
            <w:hyperlink r:id="rId18" w:history="1">
              <w:r w:rsidRPr="00BD5DBD">
                <w:rPr>
                  <w:rStyle w:val="Hyperlink"/>
                  <w:i/>
                  <w:szCs w:val="22"/>
                </w:rPr>
                <w:t>Black Triangle Scheme</w:t>
              </w:r>
            </w:hyperlink>
          </w:p>
        </w:tc>
        <w:tc>
          <w:tcPr>
            <w:tcW w:w="2968" w:type="pct"/>
          </w:tcPr>
          <w:p w14:paraId="6FF3C6A2" w14:textId="3EDFDDE1" w:rsidR="00324B33" w:rsidRPr="00BD5DBD" w:rsidRDefault="00324B33" w:rsidP="007452E8">
            <w:pPr>
              <w:rPr>
                <w:szCs w:val="22"/>
              </w:rPr>
            </w:pPr>
            <w:r w:rsidRPr="00BD5DBD">
              <w:rPr>
                <w:szCs w:val="22"/>
              </w:rPr>
              <w:t>Yes</w:t>
            </w:r>
          </w:p>
        </w:tc>
      </w:tr>
      <w:tr w:rsidR="00324B33" w:rsidRPr="00BD5DBD" w14:paraId="179E09FE" w14:textId="77777777" w:rsidTr="0005414B">
        <w:tc>
          <w:tcPr>
            <w:tcW w:w="2032" w:type="pct"/>
          </w:tcPr>
          <w:p w14:paraId="1A592498" w14:textId="7B0499DF" w:rsidR="00324B33" w:rsidRPr="00BD5DBD" w:rsidRDefault="00CE0E84" w:rsidP="007452E8">
            <w:pPr>
              <w:rPr>
                <w:i/>
                <w:szCs w:val="22"/>
              </w:rPr>
            </w:pPr>
            <w:r>
              <w:rPr>
                <w:i/>
                <w:szCs w:val="22"/>
              </w:rPr>
              <w:t>Sponsor</w:t>
            </w:r>
            <w:r w:rsidR="00324B33" w:rsidRPr="00BD5DBD">
              <w:rPr>
                <w:i/>
                <w:szCs w:val="22"/>
              </w:rPr>
              <w:t>’s name and address:</w:t>
            </w:r>
          </w:p>
        </w:tc>
        <w:tc>
          <w:tcPr>
            <w:tcW w:w="2968" w:type="pct"/>
          </w:tcPr>
          <w:p w14:paraId="68DD94B0" w14:textId="138F0BE6" w:rsidR="00324B33" w:rsidRPr="00BD5DBD" w:rsidRDefault="00501F40" w:rsidP="00501F40">
            <w:pPr>
              <w:rPr>
                <w:szCs w:val="22"/>
              </w:rPr>
            </w:pPr>
            <w:r w:rsidRPr="00501F40">
              <w:rPr>
                <w:szCs w:val="22"/>
              </w:rPr>
              <w:t>Medison Pharma Australia Pty Ltd</w:t>
            </w:r>
            <w:r>
              <w:rPr>
                <w:szCs w:val="22"/>
              </w:rPr>
              <w:t xml:space="preserve">, </w:t>
            </w:r>
            <w:r w:rsidRPr="00501F40">
              <w:rPr>
                <w:szCs w:val="22"/>
              </w:rPr>
              <w:t>1 Bligh Street</w:t>
            </w:r>
            <w:r>
              <w:rPr>
                <w:szCs w:val="22"/>
              </w:rPr>
              <w:t xml:space="preserve">. </w:t>
            </w:r>
            <w:r w:rsidRPr="00501F40">
              <w:rPr>
                <w:szCs w:val="22"/>
              </w:rPr>
              <w:t>Sydney</w:t>
            </w:r>
            <w:r>
              <w:rPr>
                <w:szCs w:val="22"/>
              </w:rPr>
              <w:t xml:space="preserve">, </w:t>
            </w:r>
            <w:r w:rsidRPr="00501F40">
              <w:rPr>
                <w:szCs w:val="22"/>
              </w:rPr>
              <w:t>NSW 2000</w:t>
            </w:r>
          </w:p>
        </w:tc>
      </w:tr>
      <w:tr w:rsidR="00324B33" w:rsidRPr="00BD5DBD" w14:paraId="5322B989" w14:textId="77777777" w:rsidTr="0005414B">
        <w:tc>
          <w:tcPr>
            <w:tcW w:w="2032" w:type="pct"/>
          </w:tcPr>
          <w:p w14:paraId="24F217E3" w14:textId="04ECD8A9" w:rsidR="00324B33" w:rsidRPr="00BD5DBD" w:rsidRDefault="00324B33" w:rsidP="007452E8">
            <w:pPr>
              <w:rPr>
                <w:i/>
                <w:szCs w:val="22"/>
              </w:rPr>
            </w:pPr>
            <w:r w:rsidRPr="00BD5DBD">
              <w:rPr>
                <w:i/>
                <w:szCs w:val="22"/>
              </w:rPr>
              <w:t>Dose form:</w:t>
            </w:r>
          </w:p>
        </w:tc>
        <w:tc>
          <w:tcPr>
            <w:tcW w:w="2968" w:type="pct"/>
          </w:tcPr>
          <w:p w14:paraId="768B254C" w14:textId="62BA4B9F" w:rsidR="00324B33" w:rsidRPr="00BD5DBD" w:rsidRDefault="004C617F" w:rsidP="007452E8">
            <w:pPr>
              <w:rPr>
                <w:szCs w:val="22"/>
              </w:rPr>
            </w:pPr>
            <w:r w:rsidRPr="004C617F">
              <w:rPr>
                <w:szCs w:val="22"/>
              </w:rPr>
              <w:t>Solution for injection.</w:t>
            </w:r>
          </w:p>
        </w:tc>
      </w:tr>
      <w:tr w:rsidR="004C617F" w:rsidRPr="00BD5DBD" w14:paraId="115243E6" w14:textId="77777777" w:rsidTr="0005414B">
        <w:tc>
          <w:tcPr>
            <w:tcW w:w="2032" w:type="pct"/>
          </w:tcPr>
          <w:p w14:paraId="7634B062" w14:textId="19270146" w:rsidR="004C617F" w:rsidRPr="00BD5DBD" w:rsidRDefault="004C617F" w:rsidP="004C617F">
            <w:pPr>
              <w:rPr>
                <w:i/>
                <w:szCs w:val="22"/>
              </w:rPr>
            </w:pPr>
            <w:r w:rsidRPr="00BD5DBD">
              <w:rPr>
                <w:i/>
                <w:szCs w:val="22"/>
              </w:rPr>
              <w:t>Strength:</w:t>
            </w:r>
          </w:p>
        </w:tc>
        <w:tc>
          <w:tcPr>
            <w:tcW w:w="2968" w:type="pct"/>
          </w:tcPr>
          <w:p w14:paraId="5E5F83DB" w14:textId="0D3A34B0" w:rsidR="004C617F" w:rsidRPr="00BD5DBD" w:rsidRDefault="004C617F" w:rsidP="004C617F">
            <w:pPr>
              <w:rPr>
                <w:szCs w:val="22"/>
              </w:rPr>
            </w:pPr>
            <w:r w:rsidRPr="004C617F">
              <w:rPr>
                <w:szCs w:val="22"/>
              </w:rPr>
              <w:t>Each pre-filled syringe contains vutrisiran sodium equivalent to 25 mg vutrisiran in 0.5 mL</w:t>
            </w:r>
            <w:r>
              <w:rPr>
                <w:szCs w:val="22"/>
              </w:rPr>
              <w:t xml:space="preserve"> </w:t>
            </w:r>
            <w:r w:rsidRPr="004C617F">
              <w:rPr>
                <w:szCs w:val="22"/>
              </w:rPr>
              <w:t>solution</w:t>
            </w:r>
          </w:p>
        </w:tc>
      </w:tr>
      <w:tr w:rsidR="004C617F" w:rsidRPr="00BD5DBD" w14:paraId="34B07BA6" w14:textId="77777777" w:rsidTr="0005414B">
        <w:tc>
          <w:tcPr>
            <w:tcW w:w="2032" w:type="pct"/>
          </w:tcPr>
          <w:p w14:paraId="1C039224" w14:textId="5167D49D" w:rsidR="004C617F" w:rsidRPr="00BD5DBD" w:rsidRDefault="004C617F" w:rsidP="004C617F">
            <w:pPr>
              <w:rPr>
                <w:i/>
                <w:szCs w:val="22"/>
              </w:rPr>
            </w:pPr>
            <w:r w:rsidRPr="00BD5DBD">
              <w:rPr>
                <w:i/>
                <w:szCs w:val="22"/>
              </w:rPr>
              <w:t>Container:</w:t>
            </w:r>
          </w:p>
        </w:tc>
        <w:tc>
          <w:tcPr>
            <w:tcW w:w="2968" w:type="pct"/>
          </w:tcPr>
          <w:p w14:paraId="500A42C6" w14:textId="48571388" w:rsidR="004C617F" w:rsidRPr="00BD5DBD" w:rsidRDefault="004C617F" w:rsidP="004C617F">
            <w:pPr>
              <w:rPr>
                <w:szCs w:val="22"/>
              </w:rPr>
            </w:pPr>
            <w:r w:rsidRPr="005B5DED">
              <w:rPr>
                <w:szCs w:val="22"/>
              </w:rPr>
              <w:t>Pre-filled syringe (Type I glass with a bromobutyl rubber, fluoropolymer coated, plunger</w:t>
            </w:r>
            <w:r w:rsidR="00EE5693">
              <w:rPr>
                <w:szCs w:val="22"/>
              </w:rPr>
              <w:t xml:space="preserve"> </w:t>
            </w:r>
            <w:r w:rsidRPr="005B5DED">
              <w:rPr>
                <w:szCs w:val="22"/>
              </w:rPr>
              <w:t>stopper) with stainless steel 29-gauge needle with a needle shield.</w:t>
            </w:r>
          </w:p>
        </w:tc>
      </w:tr>
      <w:tr w:rsidR="004C617F" w:rsidRPr="00BD5DBD" w14:paraId="176B6773" w14:textId="77777777" w:rsidTr="0005414B">
        <w:tc>
          <w:tcPr>
            <w:tcW w:w="2032" w:type="pct"/>
          </w:tcPr>
          <w:p w14:paraId="71846159" w14:textId="21E45C5E" w:rsidR="004C617F" w:rsidRPr="00BD5DBD" w:rsidRDefault="004C617F" w:rsidP="004C617F">
            <w:pPr>
              <w:rPr>
                <w:i/>
                <w:szCs w:val="22"/>
              </w:rPr>
            </w:pPr>
            <w:r w:rsidRPr="00BD5DBD">
              <w:rPr>
                <w:i/>
                <w:szCs w:val="22"/>
              </w:rPr>
              <w:t>Pack size:</w:t>
            </w:r>
          </w:p>
        </w:tc>
        <w:tc>
          <w:tcPr>
            <w:tcW w:w="2968" w:type="pct"/>
          </w:tcPr>
          <w:p w14:paraId="7E978F8F" w14:textId="4F024816" w:rsidR="004C617F" w:rsidRPr="00BD5DBD" w:rsidRDefault="00625F74" w:rsidP="004C617F">
            <w:pPr>
              <w:rPr>
                <w:szCs w:val="22"/>
              </w:rPr>
            </w:pPr>
            <w:r>
              <w:rPr>
                <w:szCs w:val="22"/>
              </w:rPr>
              <w:t>O</w:t>
            </w:r>
            <w:r w:rsidR="004C617F" w:rsidRPr="005B5DED">
              <w:rPr>
                <w:szCs w:val="22"/>
              </w:rPr>
              <w:t>ne single-use pre-filled syringe</w:t>
            </w:r>
            <w:r w:rsidR="004C617F">
              <w:rPr>
                <w:szCs w:val="22"/>
              </w:rPr>
              <w:t xml:space="preserve"> per pack</w:t>
            </w:r>
          </w:p>
        </w:tc>
      </w:tr>
      <w:tr w:rsidR="004C617F" w:rsidRPr="00BD5DBD" w14:paraId="19A2544A" w14:textId="77777777" w:rsidTr="0005414B">
        <w:tc>
          <w:tcPr>
            <w:tcW w:w="2032" w:type="pct"/>
          </w:tcPr>
          <w:p w14:paraId="0E6C5C0E" w14:textId="7DB3FC66" w:rsidR="004C617F" w:rsidRPr="00BD5DBD" w:rsidRDefault="004C617F" w:rsidP="004C617F">
            <w:pPr>
              <w:rPr>
                <w:i/>
                <w:szCs w:val="22"/>
              </w:rPr>
            </w:pPr>
            <w:r w:rsidRPr="00BD5DBD">
              <w:rPr>
                <w:i/>
                <w:szCs w:val="22"/>
              </w:rPr>
              <w:t>Approved therapeutic use for the current submission:</w:t>
            </w:r>
          </w:p>
        </w:tc>
        <w:tc>
          <w:tcPr>
            <w:tcW w:w="2968" w:type="pct"/>
          </w:tcPr>
          <w:p w14:paraId="6E143E2E" w14:textId="56882B0C" w:rsidR="004C617F" w:rsidRPr="00BD5DBD" w:rsidRDefault="00654BC7" w:rsidP="00625F74">
            <w:pPr>
              <w:rPr>
                <w:szCs w:val="22"/>
              </w:rPr>
            </w:pPr>
            <w:r>
              <w:rPr>
                <w:szCs w:val="22"/>
              </w:rPr>
              <w:t>Amvuttra</w:t>
            </w:r>
            <w:r w:rsidR="00625F74" w:rsidRPr="00625F74">
              <w:rPr>
                <w:szCs w:val="22"/>
              </w:rPr>
              <w:t xml:space="preserve"> is indicated for the treatment of hereditary transthyretin-mediated</w:t>
            </w:r>
            <w:r w:rsidR="00625F74">
              <w:rPr>
                <w:szCs w:val="22"/>
              </w:rPr>
              <w:t xml:space="preserve"> </w:t>
            </w:r>
            <w:r w:rsidR="00625F74" w:rsidRPr="00625F74">
              <w:rPr>
                <w:szCs w:val="22"/>
              </w:rPr>
              <w:t>amyloidosis (hATTR amyloidosis) in adult patients with stage 1 or stage 2</w:t>
            </w:r>
            <w:r w:rsidR="00625F74">
              <w:rPr>
                <w:szCs w:val="22"/>
              </w:rPr>
              <w:t xml:space="preserve"> </w:t>
            </w:r>
            <w:r w:rsidR="00625F74" w:rsidRPr="00625F74">
              <w:rPr>
                <w:szCs w:val="22"/>
              </w:rPr>
              <w:t>polyneuropathy</w:t>
            </w:r>
          </w:p>
        </w:tc>
      </w:tr>
      <w:tr w:rsidR="004C617F" w:rsidRPr="00BD5DBD" w14:paraId="5AFDEED3" w14:textId="77777777" w:rsidTr="0005414B">
        <w:tc>
          <w:tcPr>
            <w:tcW w:w="2032" w:type="pct"/>
          </w:tcPr>
          <w:p w14:paraId="03884BD1" w14:textId="3A51F027" w:rsidR="004C617F" w:rsidRPr="00BD5DBD" w:rsidRDefault="004C617F" w:rsidP="004C617F">
            <w:pPr>
              <w:rPr>
                <w:i/>
                <w:szCs w:val="22"/>
              </w:rPr>
            </w:pPr>
            <w:r w:rsidRPr="00BD5DBD">
              <w:rPr>
                <w:i/>
                <w:szCs w:val="22"/>
              </w:rPr>
              <w:t>Route of administration:</w:t>
            </w:r>
          </w:p>
        </w:tc>
        <w:tc>
          <w:tcPr>
            <w:tcW w:w="2968" w:type="pct"/>
          </w:tcPr>
          <w:p w14:paraId="1ED1357E" w14:textId="474F40F8" w:rsidR="004C617F" w:rsidRPr="00BD5DBD" w:rsidRDefault="00625F74" w:rsidP="004C617F">
            <w:pPr>
              <w:rPr>
                <w:szCs w:val="22"/>
              </w:rPr>
            </w:pPr>
            <w:r>
              <w:rPr>
                <w:szCs w:val="22"/>
              </w:rPr>
              <w:t>S</w:t>
            </w:r>
            <w:r w:rsidR="000C0794" w:rsidRPr="000C0794">
              <w:rPr>
                <w:szCs w:val="22"/>
              </w:rPr>
              <w:t>ubcutaneous injection</w:t>
            </w:r>
          </w:p>
        </w:tc>
      </w:tr>
      <w:tr w:rsidR="004C617F" w:rsidRPr="00BD5DBD" w14:paraId="70D7E9FA" w14:textId="77777777" w:rsidTr="0005414B">
        <w:tc>
          <w:tcPr>
            <w:tcW w:w="2032" w:type="pct"/>
          </w:tcPr>
          <w:p w14:paraId="5ABFFC80" w14:textId="77777777" w:rsidR="004C617F" w:rsidRPr="00BD5DBD" w:rsidRDefault="004C617F" w:rsidP="004C617F">
            <w:pPr>
              <w:rPr>
                <w:i/>
                <w:szCs w:val="22"/>
              </w:rPr>
            </w:pPr>
            <w:r w:rsidRPr="00BD5DBD">
              <w:rPr>
                <w:i/>
                <w:szCs w:val="22"/>
              </w:rPr>
              <w:t>Dosage:</w:t>
            </w:r>
          </w:p>
        </w:tc>
        <w:tc>
          <w:tcPr>
            <w:tcW w:w="2968" w:type="pct"/>
          </w:tcPr>
          <w:p w14:paraId="4BD4ECF7" w14:textId="4A53CAA4" w:rsidR="004C617F" w:rsidRDefault="000C0794" w:rsidP="000C0794">
            <w:pPr>
              <w:rPr>
                <w:szCs w:val="22"/>
              </w:rPr>
            </w:pPr>
            <w:r w:rsidRPr="000C0794">
              <w:rPr>
                <w:szCs w:val="22"/>
              </w:rPr>
              <w:t>25 mg once</w:t>
            </w:r>
            <w:r>
              <w:rPr>
                <w:szCs w:val="22"/>
              </w:rPr>
              <w:t xml:space="preserve"> </w:t>
            </w:r>
            <w:r w:rsidRPr="000C0794">
              <w:rPr>
                <w:szCs w:val="22"/>
              </w:rPr>
              <w:t>every 3 months.</w:t>
            </w:r>
          </w:p>
          <w:p w14:paraId="3D0B2D5C" w14:textId="6E29920D" w:rsidR="004C617F" w:rsidRPr="00BD5DBD" w:rsidRDefault="004C617F" w:rsidP="004C617F">
            <w:pPr>
              <w:rPr>
                <w:szCs w:val="22"/>
              </w:rPr>
            </w:pPr>
            <w:r w:rsidRPr="00BD5DBD">
              <w:rPr>
                <w:szCs w:val="22"/>
              </w:rPr>
              <w:t xml:space="preserve">For further information regarding dosage, </w:t>
            </w:r>
            <w:r>
              <w:rPr>
                <w:szCs w:val="22"/>
              </w:rPr>
              <w:t xml:space="preserve">such as dosage modifications to manage adverse reactions, </w:t>
            </w:r>
            <w:r w:rsidRPr="00BD5DBD">
              <w:rPr>
                <w:szCs w:val="22"/>
              </w:rPr>
              <w:t>refer to the Product Information.</w:t>
            </w:r>
          </w:p>
        </w:tc>
      </w:tr>
      <w:tr w:rsidR="004C617F" w:rsidRPr="00BD5DBD" w14:paraId="7B7BB6AE" w14:textId="77777777" w:rsidTr="0005414B">
        <w:tc>
          <w:tcPr>
            <w:tcW w:w="2032" w:type="pct"/>
          </w:tcPr>
          <w:p w14:paraId="3A76AFF7" w14:textId="7C436DD9" w:rsidR="004C617F" w:rsidRPr="00F8083B" w:rsidRDefault="004C617F" w:rsidP="004C617F">
            <w:r w:rsidRPr="00BD5DBD">
              <w:rPr>
                <w:i/>
                <w:szCs w:val="22"/>
              </w:rPr>
              <w:t>Pregnancy category:</w:t>
            </w:r>
          </w:p>
        </w:tc>
        <w:tc>
          <w:tcPr>
            <w:tcW w:w="2968" w:type="pct"/>
          </w:tcPr>
          <w:p w14:paraId="7AF9DA6D" w14:textId="6BE5F8B2" w:rsidR="004C617F" w:rsidRPr="007967C3" w:rsidRDefault="00AF2E65" w:rsidP="004C617F">
            <w:r w:rsidRPr="00AF2E65">
              <w:t>Category D</w:t>
            </w:r>
            <w:r w:rsidR="00625F74">
              <w:t xml:space="preserve">: </w:t>
            </w:r>
            <w:r w:rsidR="00625F74" w:rsidRPr="00625F74">
              <w:t>Drugs which have caused, are suspected to have caused or may be expected to cause, an increased incidence of human fetal malformations or irreversible damage. These drugs may also have adverse pharmacological effects.</w:t>
            </w:r>
          </w:p>
          <w:p w14:paraId="76497789" w14:textId="634DC28C" w:rsidR="004C617F" w:rsidRPr="00BD5DBD" w:rsidRDefault="004C617F" w:rsidP="004C617F">
            <w:pPr>
              <w:rPr>
                <w:szCs w:val="22"/>
              </w:rPr>
            </w:pPr>
            <w:r w:rsidRPr="00BD5DBD">
              <w:rPr>
                <w:szCs w:val="22"/>
              </w:rPr>
              <w:t xml:space="preserve">The use of any medicine during pregnancy requires careful consideration of both risks and benefits by the treating health professional. </w:t>
            </w:r>
            <w:r>
              <w:rPr>
                <w:szCs w:val="22"/>
              </w:rPr>
              <w:t xml:space="preserve">The </w:t>
            </w:r>
            <w:hyperlink r:id="rId19" w:history="1">
              <w:r w:rsidRPr="00065FDF">
                <w:rPr>
                  <w:rStyle w:val="Hyperlink"/>
                  <w:szCs w:val="22"/>
                </w:rPr>
                <w:t>pregnancy database</w:t>
              </w:r>
            </w:hyperlink>
            <w:r>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0" w:history="1">
              <w:r w:rsidRPr="00C059D0">
                <w:rPr>
                  <w:rStyle w:val="Hyperlink"/>
                  <w:szCs w:val="22"/>
                </w:rPr>
                <w:t>obstetric drug information services</w:t>
              </w:r>
            </w:hyperlink>
            <w:r w:rsidRPr="00BD5DBD">
              <w:rPr>
                <w:szCs w:val="22"/>
              </w:rPr>
              <w:t xml:space="preserve"> in your </w:t>
            </w:r>
            <w:r>
              <w:rPr>
                <w:szCs w:val="22"/>
              </w:rPr>
              <w:t>s</w:t>
            </w:r>
            <w:r w:rsidRPr="00BD5DBD">
              <w:rPr>
                <w:szCs w:val="22"/>
              </w:rPr>
              <w:t xml:space="preserve">tate or </w:t>
            </w:r>
            <w:r>
              <w:rPr>
                <w:szCs w:val="22"/>
              </w:rPr>
              <w:t>t</w:t>
            </w:r>
            <w:r w:rsidRPr="00BD5DBD">
              <w:rPr>
                <w:szCs w:val="22"/>
              </w:rPr>
              <w:t>erritory.</w:t>
            </w:r>
          </w:p>
        </w:tc>
      </w:tr>
    </w:tbl>
    <w:p w14:paraId="51F2479F" w14:textId="349D254A" w:rsidR="00324B33" w:rsidRDefault="00654BC7" w:rsidP="00324B33">
      <w:pPr>
        <w:pStyle w:val="Heading3"/>
      </w:pPr>
      <w:bookmarkStart w:id="8" w:name="_Toc177466072"/>
      <w:r>
        <w:t>Amvuttra</w:t>
      </w:r>
      <w:r w:rsidR="00625F74" w:rsidRPr="00625F74">
        <w:t xml:space="preserve"> </w:t>
      </w:r>
      <w:r w:rsidR="00D9340C" w:rsidRPr="00D9340C">
        <w:t>(</w:t>
      </w:r>
      <w:proofErr w:type="spellStart"/>
      <w:r w:rsidR="00625F74">
        <w:t>v</w:t>
      </w:r>
      <w:r w:rsidR="00625F74" w:rsidRPr="00625F74">
        <w:t>utrisiran</w:t>
      </w:r>
      <w:proofErr w:type="spellEnd"/>
      <w:r w:rsidR="00D9340C" w:rsidRPr="00D9340C">
        <w:t>)</w:t>
      </w:r>
      <w:r w:rsidR="00BF6BF6">
        <w:t xml:space="preserve"> – proposed indication</w:t>
      </w:r>
      <w:bookmarkEnd w:id="8"/>
    </w:p>
    <w:p w14:paraId="59BF31D1" w14:textId="002E9DB3" w:rsidR="001500A8" w:rsidRDefault="00324B33" w:rsidP="00065839">
      <w:r w:rsidRPr="00065839">
        <w:t xml:space="preserve">This AusPAR describes the submission by </w:t>
      </w:r>
      <w:r w:rsidR="00863E8A" w:rsidRPr="00863E8A">
        <w:t xml:space="preserve">Medison Pharma Australia Pty Ltd </w:t>
      </w:r>
      <w:r w:rsidRPr="00065839">
        <w:t xml:space="preserve">(the </w:t>
      </w:r>
      <w:r w:rsidR="00CE0E84">
        <w:t>Sponsor</w:t>
      </w:r>
      <w:r w:rsidRPr="00065839">
        <w:t xml:space="preserve">) to register </w:t>
      </w:r>
      <w:r w:rsidR="00654BC7">
        <w:t>Amvuttra</w:t>
      </w:r>
      <w:r w:rsidR="00625F74" w:rsidRPr="00625F74">
        <w:t xml:space="preserve"> (vutrisiran)</w:t>
      </w:r>
      <w:r w:rsidRPr="00065839">
        <w:t xml:space="preserve"> for the following proposed indication:</w:t>
      </w:r>
      <w:r w:rsidR="00BF6BF6">
        <w:t xml:space="preserve"> </w:t>
      </w:r>
    </w:p>
    <w:p w14:paraId="5C6E1E43" w14:textId="4E61A468" w:rsidR="005C1126" w:rsidRPr="005C1126" w:rsidRDefault="00654BC7" w:rsidP="00143307">
      <w:pPr>
        <w:pStyle w:val="Indication"/>
      </w:pPr>
      <w:r>
        <w:t>Amvuttra</w:t>
      </w:r>
      <w:r w:rsidR="005C1126" w:rsidRPr="005C1126">
        <w:t xml:space="preserve"> is indicated for the treatment of hereditary transthyretin mediated amyloidosis (hATTR amyloidosis) in adult patients with stage 1 or stage 2 </w:t>
      </w:r>
      <w:proofErr w:type="gramStart"/>
      <w:r w:rsidR="005C1126" w:rsidRPr="005C1126">
        <w:t>polyneuropathy</w:t>
      </w:r>
      <w:proofErr w:type="gramEnd"/>
    </w:p>
    <w:p w14:paraId="1E63A2AE" w14:textId="26F6D62A" w:rsidR="00CB6813" w:rsidRDefault="00680D37" w:rsidP="009E3553">
      <w:pPr>
        <w:pStyle w:val="Heading3"/>
      </w:pPr>
      <w:bookmarkStart w:id="9" w:name="_Toc177466073"/>
      <w:bookmarkStart w:id="10" w:name="_Toc314842485"/>
      <w:bookmarkStart w:id="11" w:name="_Toc247691504"/>
      <w:r w:rsidRPr="00680D37">
        <w:t>Hereditary transthyretin-mediated amyloidosis</w:t>
      </w:r>
      <w:r>
        <w:t xml:space="preserve"> </w:t>
      </w:r>
      <w:r w:rsidRPr="00680D37">
        <w:t>(hATTR amyloidosis)</w:t>
      </w:r>
      <w:bookmarkEnd w:id="9"/>
    </w:p>
    <w:p w14:paraId="4A785C86" w14:textId="5E99A4C8" w:rsidR="00680D37" w:rsidRPr="00680D37" w:rsidRDefault="00680D37" w:rsidP="00516C0E">
      <w:r>
        <w:t>Hereditary transthyretin-mediated amyloidosis (hATTR amyloidosis), also known as variant transthyretin-mediated amyloidosis, is a rare, autosomal dominant, rapidly progressive, multi systemic disease caused by variants in the transthyretin (TTR) gene that results in debilitating morbidity and high mortality.</w:t>
      </w:r>
      <w:r w:rsidR="00516C0E" w:rsidRPr="00516C0E">
        <w:t xml:space="preserve"> </w:t>
      </w:r>
      <w:r w:rsidR="00516C0E">
        <w:t xml:space="preserve">In hATTR amyloidosis, inherited variants in the TTR gene lead to destabilization of the tetrameric protein and disassociation of the TTR subunits into dimers and individual variant and wild-type (wt) monomers, which subsequently misfold. These misfolded TTR monomers can then self-assemble into oligomers and form amyloid fibrils and plaques in the extracellular space of various tissues. The continued deposition of </w:t>
      </w:r>
      <w:proofErr w:type="gramStart"/>
      <w:r w:rsidR="00516C0E">
        <w:t>liver-derived</w:t>
      </w:r>
      <w:proofErr w:type="gramEnd"/>
      <w:r w:rsidR="00516C0E">
        <w:t xml:space="preserve"> TTR and formation of amyloid fibrils in multiple tissues, including the peripheral nervous system, gastrointestinal tract, and heart, results in debilitating polyneuropathy, malnutrition, and/or cardiomyopathy, respectively. </w:t>
      </w:r>
    </w:p>
    <w:p w14:paraId="255E083A" w14:textId="2651258C" w:rsidR="00CB6813" w:rsidRDefault="00CB6813" w:rsidP="009E3553">
      <w:pPr>
        <w:pStyle w:val="Heading3"/>
      </w:pPr>
      <w:bookmarkStart w:id="12" w:name="_Toc177466074"/>
      <w:r>
        <w:t>Current treatment options</w:t>
      </w:r>
      <w:r w:rsidR="00680D37">
        <w:t xml:space="preserve"> for </w:t>
      </w:r>
      <w:r w:rsidR="00680D37" w:rsidRPr="00680D37">
        <w:t>hATTR amyloidosis</w:t>
      </w:r>
      <w:bookmarkEnd w:id="12"/>
    </w:p>
    <w:p w14:paraId="7872A5B1" w14:textId="7133B231" w:rsidR="00F202F9" w:rsidRPr="00F202F9" w:rsidRDefault="00F202F9" w:rsidP="00F202F9">
      <w:r w:rsidRPr="00F202F9">
        <w:t xml:space="preserve">There are currently three approved therapies in the EU also for the treatment of hATTR amyloidosis, patisiran and inotersen, which target the production of TTR synthesis in the liver by acting on mRNA (through RNAi and RNAse H-mediated cleavage respectively), and tafamidis, which acts by binding to the thyroxine-binding site on TTR to reduce its dissociation into misfolded amyloidogenic monomers. Other treatment options include orthotopic liver transplantation and another TTR tetramer stabiliser (diflunisal). The clinical </w:t>
      </w:r>
      <w:r w:rsidR="00CE0E84">
        <w:t>Evaluator</w:t>
      </w:r>
      <w:r w:rsidRPr="00F202F9">
        <w:t xml:space="preserve"> stated it was considered that </w:t>
      </w:r>
      <w:r w:rsidR="00654BC7">
        <w:t>Amvuttra</w:t>
      </w:r>
      <w:r w:rsidRPr="00F202F9">
        <w:t xml:space="preserve"> is not </w:t>
      </w:r>
      <w:proofErr w:type="gramStart"/>
      <w:r w:rsidRPr="00F202F9">
        <w:t>similar to</w:t>
      </w:r>
      <w:proofErr w:type="gramEnd"/>
      <w:r w:rsidRPr="00F202F9">
        <w:t xml:space="preserve"> patisiran based on principal molecular structure and not similar to tafamidis and inotersen based on mechanism of action and principal molecular structure. Patisiran is administered intravenously once every 3 weeks, whereas vutrisiran is administered via subcutaneous </w:t>
      </w:r>
      <w:r w:rsidR="00EA7742">
        <w:t xml:space="preserve">(SC) </w:t>
      </w:r>
      <w:r w:rsidRPr="00F202F9">
        <w:t>injection once every 3 months and is suggested not to be associated with the same infusion-related reactions (and need for premedication) as patisiran.</w:t>
      </w:r>
    </w:p>
    <w:p w14:paraId="37C47E09" w14:textId="6FD7653C" w:rsidR="00CB6813" w:rsidRDefault="00CB6813" w:rsidP="009E3553">
      <w:pPr>
        <w:pStyle w:val="Heading3"/>
      </w:pPr>
      <w:bookmarkStart w:id="13" w:name="_Toc177466075"/>
      <w:r>
        <w:t>C</w:t>
      </w:r>
      <w:r w:rsidRPr="00DE1344">
        <w:t>linical rational</w:t>
      </w:r>
      <w:r w:rsidR="0025785B">
        <w:t>e</w:t>
      </w:r>
      <w:r w:rsidR="00FF3577">
        <w:t xml:space="preserve"> for</w:t>
      </w:r>
      <w:r w:rsidR="00FF3577" w:rsidRPr="00FF3577">
        <w:t xml:space="preserve"> vutrisiran</w:t>
      </w:r>
      <w:r w:rsidR="00FF3577">
        <w:t xml:space="preserve"> in </w:t>
      </w:r>
      <w:r w:rsidR="00FF3577" w:rsidRPr="00FF3577">
        <w:t>hATTR amyloidosis</w:t>
      </w:r>
      <w:bookmarkEnd w:id="13"/>
    </w:p>
    <w:p w14:paraId="3B2BFA45" w14:textId="2B486784" w:rsidR="00E06A33" w:rsidRPr="00E06A33" w:rsidRDefault="00E06A33" w:rsidP="00E06A33">
      <w:r>
        <w:t xml:space="preserve">Vutrisiran is an </w:t>
      </w:r>
      <w:r w:rsidR="005E3B1C">
        <w:t>RNA interference</w:t>
      </w:r>
      <w:r w:rsidR="00875791">
        <w:t xml:space="preserve"> </w:t>
      </w:r>
      <w:r w:rsidR="005E3B1C">
        <w:t>(</w:t>
      </w:r>
      <w:r>
        <w:t>RNAi</w:t>
      </w:r>
      <w:r w:rsidR="005E3B1C">
        <w:t>)</w:t>
      </w:r>
      <w:r>
        <w:t xml:space="preserve"> therapeutic comprised of a synthetic, chemically modified, double-stranded </w:t>
      </w:r>
      <w:r w:rsidR="00A2720D">
        <w:t>s</w:t>
      </w:r>
      <w:r w:rsidR="00A2720D" w:rsidRPr="00A2720D">
        <w:t xml:space="preserve">mall (or short) interfering RNA </w:t>
      </w:r>
      <w:r w:rsidR="00A2720D">
        <w:t>(</w:t>
      </w:r>
      <w:r>
        <w:t>siRNA</w:t>
      </w:r>
      <w:r w:rsidR="00A2720D">
        <w:t>)</w:t>
      </w:r>
      <w:r>
        <w:t xml:space="preserve"> that specifically targets variant and wt TTR mRNA. Reduction of both variant and wtTTR production in the liver, which are the fundamental pathogenic proteins causing hATTR amyloidosis, will reduce ongoing deposition of amyloid deposits, thus halting disease progression.</w:t>
      </w:r>
    </w:p>
    <w:p w14:paraId="0D615854" w14:textId="77777777" w:rsidR="00324B33" w:rsidRPr="003F31A2" w:rsidRDefault="00324B33" w:rsidP="0005414B">
      <w:pPr>
        <w:pStyle w:val="Heading2"/>
      </w:pPr>
      <w:bookmarkStart w:id="14" w:name="_Toc103679291"/>
      <w:bookmarkStart w:id="15" w:name="_Toc177466076"/>
      <w:r>
        <w:t>Regulatory status</w:t>
      </w:r>
      <w:bookmarkEnd w:id="10"/>
      <w:bookmarkEnd w:id="11"/>
      <w:bookmarkEnd w:id="14"/>
      <w:bookmarkEnd w:id="15"/>
    </w:p>
    <w:p w14:paraId="72C889D6" w14:textId="7E200950" w:rsidR="0017005C" w:rsidRPr="00BD5DBD" w:rsidRDefault="0017005C" w:rsidP="0005414B">
      <w:pPr>
        <w:pStyle w:val="Heading3"/>
      </w:pPr>
      <w:bookmarkStart w:id="16" w:name="_Toc177466077"/>
      <w:r w:rsidRPr="00BD5DBD">
        <w:t>Australian regulatory</w:t>
      </w:r>
      <w:r>
        <w:t xml:space="preserve"> sta</w:t>
      </w:r>
      <w:r w:rsidR="0025785B">
        <w:t>t</w:t>
      </w:r>
      <w:r>
        <w:t>us</w:t>
      </w:r>
      <w:bookmarkEnd w:id="16"/>
    </w:p>
    <w:p w14:paraId="6A8633FA" w14:textId="3E42D2EC" w:rsidR="00324B33" w:rsidRDefault="00324B33" w:rsidP="00324B33">
      <w:pPr>
        <w:rPr>
          <w:szCs w:val="22"/>
        </w:rPr>
      </w:pPr>
      <w:r w:rsidRPr="00BD5DBD">
        <w:rPr>
          <w:szCs w:val="22"/>
        </w:rPr>
        <w:t>This product is considered a new chemical</w:t>
      </w:r>
      <w:r w:rsidR="008C754C" w:rsidRPr="00BD5DBD">
        <w:rPr>
          <w:szCs w:val="22"/>
        </w:rPr>
        <w:t xml:space="preserve"> entity</w:t>
      </w:r>
      <w:r w:rsidRPr="00BD5DBD">
        <w:rPr>
          <w:szCs w:val="22"/>
        </w:rPr>
        <w:t xml:space="preserve"> for Australian regulatory purposes.</w:t>
      </w:r>
    </w:p>
    <w:p w14:paraId="546C1031" w14:textId="13AEC93A" w:rsidR="0017005C" w:rsidRDefault="0009070F" w:rsidP="0005414B">
      <w:pPr>
        <w:pStyle w:val="Heading3"/>
      </w:pPr>
      <w:bookmarkStart w:id="17" w:name="_Toc177466078"/>
      <w:r>
        <w:t>International</w:t>
      </w:r>
      <w:r w:rsidR="0017005C" w:rsidRPr="00BD5DBD">
        <w:t xml:space="preserve"> regulatory</w:t>
      </w:r>
      <w:r w:rsidR="0017005C">
        <w:t xml:space="preserve"> status</w:t>
      </w:r>
      <w:bookmarkEnd w:id="17"/>
    </w:p>
    <w:p w14:paraId="79EC0762" w14:textId="654C20CC" w:rsidR="00C133AB" w:rsidRDefault="00C133AB" w:rsidP="00C52B7B">
      <w:pPr>
        <w:rPr>
          <w:szCs w:val="22"/>
        </w:rPr>
      </w:pPr>
      <w:r w:rsidRPr="00BD5DBD">
        <w:rPr>
          <w:szCs w:val="22"/>
        </w:rPr>
        <w:t xml:space="preserve">This submission was submitted through the TGA’s </w:t>
      </w:r>
      <w:hyperlink r:id="rId21" w:history="1">
        <w:r w:rsidRPr="00BD5DBD">
          <w:rPr>
            <w:rStyle w:val="Hyperlink"/>
            <w:szCs w:val="22"/>
          </w:rPr>
          <w:t>Comparable Overseas Regulator</w:t>
        </w:r>
      </w:hyperlink>
      <w:r w:rsidRPr="00BD5DBD">
        <w:rPr>
          <w:szCs w:val="22"/>
        </w:rPr>
        <w:t xml:space="preserve"> (COR-B) process, using evaluation reports from</w:t>
      </w:r>
      <w:r w:rsidR="009E17FB">
        <w:rPr>
          <w:szCs w:val="22"/>
        </w:rPr>
        <w:t xml:space="preserve"> the European Medicines Agency</w:t>
      </w:r>
      <w:r w:rsidRPr="0017005C">
        <w:t>.</w:t>
      </w:r>
      <w:r w:rsidRPr="00BD5DBD">
        <w:rPr>
          <w:iCs/>
          <w:szCs w:val="22"/>
        </w:rPr>
        <w:t xml:space="preserve"> </w:t>
      </w:r>
      <w:r w:rsidRPr="00BD5DBD">
        <w:rPr>
          <w:szCs w:val="22"/>
        </w:rPr>
        <w:t>The full dossier was submitted to the TGA.</w:t>
      </w:r>
    </w:p>
    <w:p w14:paraId="753C5386" w14:textId="1FFD9E40" w:rsidR="009E17FB" w:rsidRDefault="009E17FB" w:rsidP="009E17FB">
      <w:pPr>
        <w:pStyle w:val="TableTitle"/>
      </w:pPr>
      <w:r>
        <w:t>Table 1. T</w:t>
      </w:r>
      <w:r w:rsidRPr="009E17FB">
        <w:t xml:space="preserve">he current worldwide regulatory status for </w:t>
      </w:r>
      <w:r w:rsidR="00654BC7">
        <w:t>Amvuttra</w:t>
      </w:r>
      <w:r w:rsidRPr="009E17FB">
        <w:t>.</w:t>
      </w:r>
    </w:p>
    <w:tbl>
      <w:tblPr>
        <w:tblStyle w:val="TableTGAblue2023"/>
        <w:tblW w:w="8809" w:type="dxa"/>
        <w:tblLook w:val="04A0" w:firstRow="1" w:lastRow="0" w:firstColumn="1" w:lastColumn="0" w:noHBand="0" w:noVBand="1"/>
      </w:tblPr>
      <w:tblGrid>
        <w:gridCol w:w="1525"/>
        <w:gridCol w:w="1530"/>
        <w:gridCol w:w="2185"/>
        <w:gridCol w:w="3569"/>
      </w:tblGrid>
      <w:tr w:rsidR="001266BA" w:rsidRPr="00BF6BF6" w14:paraId="7F9BFD74" w14:textId="7E1D3CEE" w:rsidTr="000541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5CAFC254" w14:textId="3D217ECD" w:rsidR="000E511D" w:rsidRPr="00BF6BF6" w:rsidRDefault="000E511D" w:rsidP="000E511D">
            <w:pPr>
              <w:rPr>
                <w:szCs w:val="22"/>
              </w:rPr>
            </w:pPr>
            <w:r w:rsidRPr="00BF6BF6">
              <w:rPr>
                <w:rFonts w:eastAsia="Times New Roman"/>
                <w:spacing w:val="-2"/>
                <w:szCs w:val="22"/>
                <w:lang w:val="en-US"/>
              </w:rPr>
              <w:t>Country</w:t>
            </w:r>
          </w:p>
        </w:tc>
        <w:tc>
          <w:tcPr>
            <w:tcW w:w="1530" w:type="dxa"/>
            <w:vAlign w:val="center"/>
          </w:tcPr>
          <w:p w14:paraId="5DBEE675" w14:textId="2DBC9D4C" w:rsidR="000E511D" w:rsidRPr="00BF6BF6" w:rsidRDefault="000E511D" w:rsidP="000E511D">
            <w:pPr>
              <w:cnfStyle w:val="100000000000" w:firstRow="1" w:lastRow="0" w:firstColumn="0" w:lastColumn="0" w:oddVBand="0" w:evenVBand="0" w:oddHBand="0" w:evenHBand="0" w:firstRowFirstColumn="0" w:firstRowLastColumn="0" w:lastRowFirstColumn="0" w:lastRowLastColumn="0"/>
              <w:rPr>
                <w:szCs w:val="22"/>
              </w:rPr>
            </w:pPr>
            <w:r w:rsidRPr="00BF6BF6">
              <w:rPr>
                <w:rFonts w:eastAsia="Times New Roman"/>
                <w:szCs w:val="22"/>
                <w:lang w:val="en-US"/>
              </w:rPr>
              <w:t xml:space="preserve">Date of </w:t>
            </w:r>
            <w:r w:rsidRPr="00BF6BF6">
              <w:rPr>
                <w:rFonts w:eastAsia="Times New Roman"/>
                <w:spacing w:val="-2"/>
                <w:szCs w:val="22"/>
                <w:lang w:val="en-US"/>
              </w:rPr>
              <w:t>submission</w:t>
            </w:r>
          </w:p>
        </w:tc>
        <w:tc>
          <w:tcPr>
            <w:tcW w:w="2185" w:type="dxa"/>
            <w:vAlign w:val="center"/>
          </w:tcPr>
          <w:p w14:paraId="3E585EB7" w14:textId="37EB25B5" w:rsidR="000E511D" w:rsidRPr="00BF6BF6" w:rsidRDefault="000E511D" w:rsidP="000E511D">
            <w:pPr>
              <w:cnfStyle w:val="100000000000" w:firstRow="1" w:lastRow="0" w:firstColumn="0" w:lastColumn="0" w:oddVBand="0" w:evenVBand="0" w:oddHBand="0" w:evenHBand="0" w:firstRowFirstColumn="0" w:firstRowLastColumn="0" w:lastRowFirstColumn="0" w:lastRowLastColumn="0"/>
              <w:rPr>
                <w:szCs w:val="22"/>
              </w:rPr>
            </w:pPr>
            <w:r w:rsidRPr="00BF6BF6">
              <w:rPr>
                <w:rFonts w:eastAsia="Times New Roman"/>
                <w:spacing w:val="-2"/>
                <w:szCs w:val="22"/>
                <w:lang w:val="en-US"/>
              </w:rPr>
              <w:t>Status</w:t>
            </w:r>
          </w:p>
        </w:tc>
        <w:tc>
          <w:tcPr>
            <w:tcW w:w="3569" w:type="dxa"/>
            <w:vAlign w:val="center"/>
          </w:tcPr>
          <w:p w14:paraId="42B76C53" w14:textId="531253F7" w:rsidR="000E511D" w:rsidRPr="00BF6BF6" w:rsidRDefault="000E511D" w:rsidP="000E511D">
            <w:pPr>
              <w:cnfStyle w:val="100000000000" w:firstRow="1" w:lastRow="0" w:firstColumn="0" w:lastColumn="0" w:oddVBand="0" w:evenVBand="0" w:oddHBand="0" w:evenHBand="0" w:firstRowFirstColumn="0" w:firstRowLastColumn="0" w:lastRowFirstColumn="0" w:lastRowLastColumn="0"/>
              <w:rPr>
                <w:szCs w:val="22"/>
              </w:rPr>
            </w:pPr>
            <w:r w:rsidRPr="00BF6BF6">
              <w:rPr>
                <w:rFonts w:eastAsia="Times New Roman"/>
                <w:spacing w:val="-2"/>
                <w:szCs w:val="22"/>
                <w:lang w:val="en-US"/>
              </w:rPr>
              <w:t>Indications</w:t>
            </w:r>
          </w:p>
        </w:tc>
      </w:tr>
      <w:tr w:rsidR="001266BA" w:rsidRPr="00BF6BF6" w14:paraId="7CDD3363" w14:textId="043FC7FE" w:rsidTr="0005414B">
        <w:tc>
          <w:tcPr>
            <w:cnfStyle w:val="001000000000" w:firstRow="0" w:lastRow="0" w:firstColumn="1" w:lastColumn="0" w:oddVBand="0" w:evenVBand="0" w:oddHBand="0" w:evenHBand="0" w:firstRowFirstColumn="0" w:firstRowLastColumn="0" w:lastRowFirstColumn="0" w:lastRowLastColumn="0"/>
            <w:tcW w:w="1525" w:type="dxa"/>
            <w:vAlign w:val="center"/>
          </w:tcPr>
          <w:p w14:paraId="79909201" w14:textId="44C76442" w:rsidR="000E511D" w:rsidRPr="00BF6BF6" w:rsidRDefault="000E511D" w:rsidP="000E511D">
            <w:pPr>
              <w:rPr>
                <w:szCs w:val="22"/>
              </w:rPr>
            </w:pPr>
            <w:r w:rsidRPr="00BF6BF6">
              <w:rPr>
                <w:rFonts w:eastAsia="Times New Roman"/>
                <w:spacing w:val="-5"/>
                <w:szCs w:val="22"/>
                <w:lang w:val="en-US"/>
              </w:rPr>
              <w:t>USA</w:t>
            </w:r>
          </w:p>
        </w:tc>
        <w:tc>
          <w:tcPr>
            <w:tcW w:w="1530" w:type="dxa"/>
            <w:vAlign w:val="center"/>
          </w:tcPr>
          <w:p w14:paraId="3A3E234E" w14:textId="3F095B59" w:rsidR="000E511D" w:rsidRPr="00BF6BF6" w:rsidRDefault="000E511D" w:rsidP="000E511D">
            <w:pPr>
              <w:cnfStyle w:val="000000000000" w:firstRow="0" w:lastRow="0" w:firstColumn="0" w:lastColumn="0" w:oddVBand="0" w:evenVBand="0" w:oddHBand="0" w:evenHBand="0" w:firstRowFirstColumn="0" w:firstRowLastColumn="0" w:lastRowFirstColumn="0" w:lastRowLastColumn="0"/>
              <w:rPr>
                <w:szCs w:val="22"/>
              </w:rPr>
            </w:pPr>
            <w:r w:rsidRPr="00BF6BF6">
              <w:rPr>
                <w:rFonts w:eastAsia="Times New Roman"/>
                <w:szCs w:val="22"/>
                <w:lang w:val="en-US"/>
              </w:rPr>
              <w:t>14</w:t>
            </w:r>
            <w:r w:rsidRPr="00BF6BF6">
              <w:rPr>
                <w:rFonts w:eastAsia="Times New Roman"/>
                <w:spacing w:val="-3"/>
                <w:szCs w:val="22"/>
                <w:lang w:val="en-US"/>
              </w:rPr>
              <w:t xml:space="preserve"> </w:t>
            </w:r>
            <w:r w:rsidRPr="00BF6BF6">
              <w:rPr>
                <w:rFonts w:eastAsia="Times New Roman"/>
                <w:szCs w:val="22"/>
                <w:lang w:val="en-US"/>
              </w:rPr>
              <w:t>April</w:t>
            </w:r>
            <w:r w:rsidR="001266BA" w:rsidRPr="00BF6BF6">
              <w:rPr>
                <w:rFonts w:eastAsia="Times New Roman"/>
                <w:szCs w:val="22"/>
                <w:lang w:val="en-US"/>
              </w:rPr>
              <w:t xml:space="preserve"> </w:t>
            </w:r>
            <w:r w:rsidRPr="00BF6BF6">
              <w:rPr>
                <w:rFonts w:eastAsia="Times New Roman"/>
                <w:spacing w:val="-4"/>
                <w:szCs w:val="22"/>
                <w:lang w:val="en-US"/>
              </w:rPr>
              <w:t>2021</w:t>
            </w:r>
          </w:p>
        </w:tc>
        <w:tc>
          <w:tcPr>
            <w:tcW w:w="2185" w:type="dxa"/>
            <w:vAlign w:val="center"/>
          </w:tcPr>
          <w:p w14:paraId="219CC93F" w14:textId="602E2E51" w:rsidR="000E511D" w:rsidRPr="00BF6BF6" w:rsidRDefault="000E511D" w:rsidP="001266BA">
            <w:pPr>
              <w:widowControl w:val="0"/>
              <w:autoSpaceDE w:val="0"/>
              <w:autoSpaceDN w:val="0"/>
              <w:spacing w:after="0" w:line="275" w:lineRule="exact"/>
              <w:ind w:left="107"/>
              <w:cnfStyle w:val="000000000000" w:firstRow="0" w:lastRow="0" w:firstColumn="0" w:lastColumn="0" w:oddVBand="0" w:evenVBand="0" w:oddHBand="0" w:evenHBand="0" w:firstRowFirstColumn="0" w:firstRowLastColumn="0" w:lastRowFirstColumn="0" w:lastRowLastColumn="0"/>
              <w:rPr>
                <w:szCs w:val="22"/>
              </w:rPr>
            </w:pPr>
            <w:r w:rsidRPr="00BF6BF6">
              <w:rPr>
                <w:rFonts w:eastAsia="Times New Roman"/>
                <w:spacing w:val="-2"/>
                <w:szCs w:val="22"/>
                <w:lang w:val="en-US"/>
              </w:rPr>
              <w:t>Approved</w:t>
            </w:r>
            <w:r w:rsidR="001266BA" w:rsidRPr="00BF6BF6">
              <w:rPr>
                <w:rFonts w:eastAsia="Times New Roman"/>
                <w:spacing w:val="-2"/>
                <w:szCs w:val="22"/>
                <w:lang w:val="en-US"/>
              </w:rPr>
              <w:t xml:space="preserve"> </w:t>
            </w:r>
            <w:r w:rsidRPr="00BF6BF6">
              <w:rPr>
                <w:rFonts w:eastAsia="Times New Roman"/>
                <w:szCs w:val="22"/>
                <w:lang w:val="en-US"/>
              </w:rPr>
              <w:t>13</w:t>
            </w:r>
            <w:r w:rsidR="001266BA" w:rsidRPr="00BF6BF6">
              <w:rPr>
                <w:rFonts w:eastAsia="Times New Roman"/>
                <w:szCs w:val="22"/>
                <w:lang w:val="en-US"/>
              </w:rPr>
              <w:t xml:space="preserve"> </w:t>
            </w:r>
            <w:r w:rsidRPr="00BF6BF6">
              <w:rPr>
                <w:rFonts w:eastAsia="Times New Roman"/>
                <w:szCs w:val="22"/>
                <w:lang w:val="en-US"/>
              </w:rPr>
              <w:t>June</w:t>
            </w:r>
            <w:r w:rsidRPr="00BF6BF6">
              <w:rPr>
                <w:rFonts w:eastAsia="Times New Roman"/>
                <w:spacing w:val="-1"/>
                <w:szCs w:val="22"/>
                <w:lang w:val="en-US"/>
              </w:rPr>
              <w:t xml:space="preserve"> </w:t>
            </w:r>
            <w:r w:rsidRPr="00BF6BF6">
              <w:rPr>
                <w:rFonts w:eastAsia="Times New Roman"/>
                <w:spacing w:val="-4"/>
                <w:szCs w:val="22"/>
                <w:lang w:val="en-US"/>
              </w:rPr>
              <w:t>2022</w:t>
            </w:r>
          </w:p>
        </w:tc>
        <w:tc>
          <w:tcPr>
            <w:tcW w:w="3569" w:type="dxa"/>
            <w:vAlign w:val="center"/>
          </w:tcPr>
          <w:p w14:paraId="1DE80C0E" w14:textId="19CAFA0C" w:rsidR="000E511D" w:rsidRPr="00BF6BF6" w:rsidRDefault="000E511D" w:rsidP="000E511D">
            <w:pPr>
              <w:cnfStyle w:val="000000000000" w:firstRow="0" w:lastRow="0" w:firstColumn="0" w:lastColumn="0" w:oddVBand="0" w:evenVBand="0" w:oddHBand="0" w:evenHBand="0" w:firstRowFirstColumn="0" w:firstRowLastColumn="0" w:lastRowFirstColumn="0" w:lastRowLastColumn="0"/>
              <w:rPr>
                <w:szCs w:val="22"/>
              </w:rPr>
            </w:pPr>
            <w:r w:rsidRPr="00BF6BF6">
              <w:rPr>
                <w:rFonts w:eastAsia="Times New Roman"/>
                <w:szCs w:val="22"/>
                <w:lang w:val="en-US"/>
              </w:rPr>
              <w:t>Treatment</w:t>
            </w:r>
            <w:r w:rsidRPr="00BF6BF6">
              <w:rPr>
                <w:rFonts w:eastAsia="Times New Roman"/>
                <w:spacing w:val="-9"/>
                <w:szCs w:val="22"/>
                <w:lang w:val="en-US"/>
              </w:rPr>
              <w:t xml:space="preserve"> </w:t>
            </w:r>
            <w:r w:rsidRPr="00BF6BF6">
              <w:rPr>
                <w:rFonts w:eastAsia="Times New Roman"/>
                <w:szCs w:val="22"/>
                <w:lang w:val="en-US"/>
              </w:rPr>
              <w:t>of</w:t>
            </w:r>
            <w:r w:rsidRPr="00BF6BF6">
              <w:rPr>
                <w:rFonts w:eastAsia="Times New Roman"/>
                <w:spacing w:val="-10"/>
                <w:szCs w:val="22"/>
                <w:lang w:val="en-US"/>
              </w:rPr>
              <w:t xml:space="preserve"> </w:t>
            </w:r>
            <w:r w:rsidRPr="00BF6BF6">
              <w:rPr>
                <w:rFonts w:eastAsia="Times New Roman"/>
                <w:szCs w:val="22"/>
                <w:lang w:val="en-US"/>
              </w:rPr>
              <w:t>the</w:t>
            </w:r>
            <w:r w:rsidRPr="00BF6BF6">
              <w:rPr>
                <w:rFonts w:eastAsia="Times New Roman"/>
                <w:spacing w:val="-10"/>
                <w:szCs w:val="22"/>
                <w:lang w:val="en-US"/>
              </w:rPr>
              <w:t xml:space="preserve"> </w:t>
            </w:r>
            <w:r w:rsidRPr="00BF6BF6">
              <w:rPr>
                <w:rFonts w:eastAsia="Times New Roman"/>
                <w:szCs w:val="22"/>
                <w:lang w:val="en-US"/>
              </w:rPr>
              <w:t>polyneuropathy</w:t>
            </w:r>
            <w:r w:rsidRPr="00BF6BF6">
              <w:rPr>
                <w:rFonts w:eastAsia="Times New Roman"/>
                <w:spacing w:val="-9"/>
                <w:szCs w:val="22"/>
                <w:lang w:val="en-US"/>
              </w:rPr>
              <w:t xml:space="preserve"> </w:t>
            </w:r>
            <w:r w:rsidRPr="00BF6BF6">
              <w:rPr>
                <w:rFonts w:eastAsia="Times New Roman"/>
                <w:szCs w:val="22"/>
                <w:lang w:val="en-US"/>
              </w:rPr>
              <w:t>of hATTR amyloidosis in adults</w:t>
            </w:r>
          </w:p>
        </w:tc>
      </w:tr>
      <w:tr w:rsidR="001266BA" w:rsidRPr="00BF6BF6" w14:paraId="16ADC3EA" w14:textId="68C03E0C" w:rsidTr="0005414B">
        <w:tc>
          <w:tcPr>
            <w:cnfStyle w:val="001000000000" w:firstRow="0" w:lastRow="0" w:firstColumn="1" w:lastColumn="0" w:oddVBand="0" w:evenVBand="0" w:oddHBand="0" w:evenHBand="0" w:firstRowFirstColumn="0" w:firstRowLastColumn="0" w:lastRowFirstColumn="0" w:lastRowLastColumn="0"/>
            <w:tcW w:w="1525" w:type="dxa"/>
            <w:vAlign w:val="center"/>
          </w:tcPr>
          <w:p w14:paraId="4D0944D1" w14:textId="1AE7665E" w:rsidR="000E511D" w:rsidRPr="00BF6BF6" w:rsidRDefault="000E511D" w:rsidP="000E511D">
            <w:pPr>
              <w:rPr>
                <w:szCs w:val="22"/>
              </w:rPr>
            </w:pPr>
            <w:r w:rsidRPr="00BF6BF6">
              <w:rPr>
                <w:rFonts w:eastAsia="Times New Roman"/>
                <w:spacing w:val="-2"/>
                <w:szCs w:val="22"/>
                <w:lang w:val="en-US"/>
              </w:rPr>
              <w:t>European Union (centralised)</w:t>
            </w:r>
          </w:p>
        </w:tc>
        <w:tc>
          <w:tcPr>
            <w:tcW w:w="1530" w:type="dxa"/>
            <w:vAlign w:val="center"/>
          </w:tcPr>
          <w:p w14:paraId="77A1D678" w14:textId="00A73E5C" w:rsidR="000E511D" w:rsidRPr="00BF6BF6" w:rsidRDefault="000E511D" w:rsidP="001266BA">
            <w:pPr>
              <w:widowControl w:val="0"/>
              <w:autoSpaceDE w:val="0"/>
              <w:autoSpaceDN w:val="0"/>
              <w:spacing w:after="0" w:line="275" w:lineRule="exact"/>
              <w:ind w:left="108"/>
              <w:cnfStyle w:val="000000000000" w:firstRow="0" w:lastRow="0" w:firstColumn="0" w:lastColumn="0" w:oddVBand="0" w:evenVBand="0" w:oddHBand="0" w:evenHBand="0" w:firstRowFirstColumn="0" w:firstRowLastColumn="0" w:lastRowFirstColumn="0" w:lastRowLastColumn="0"/>
              <w:rPr>
                <w:szCs w:val="22"/>
              </w:rPr>
            </w:pPr>
            <w:r w:rsidRPr="00BF6BF6">
              <w:rPr>
                <w:rFonts w:eastAsia="Times New Roman"/>
                <w:szCs w:val="22"/>
                <w:lang w:val="en-US"/>
              </w:rPr>
              <w:t>10</w:t>
            </w:r>
            <w:r w:rsidR="001266BA" w:rsidRPr="00BF6BF6">
              <w:rPr>
                <w:rFonts w:eastAsia="Times New Roman"/>
                <w:szCs w:val="22"/>
                <w:lang w:val="en-US"/>
              </w:rPr>
              <w:t xml:space="preserve"> S</w:t>
            </w:r>
            <w:r w:rsidRPr="00BF6BF6">
              <w:rPr>
                <w:rFonts w:eastAsia="Times New Roman"/>
                <w:spacing w:val="-2"/>
                <w:szCs w:val="22"/>
                <w:lang w:val="en-US"/>
              </w:rPr>
              <w:t>eptember</w:t>
            </w:r>
            <w:r w:rsidR="001266BA" w:rsidRPr="00BF6BF6">
              <w:rPr>
                <w:rFonts w:eastAsia="Times New Roman"/>
                <w:spacing w:val="-2"/>
                <w:szCs w:val="22"/>
                <w:lang w:val="en-US"/>
              </w:rPr>
              <w:t xml:space="preserve"> </w:t>
            </w:r>
            <w:r w:rsidRPr="00BF6BF6">
              <w:rPr>
                <w:rFonts w:eastAsia="Times New Roman"/>
                <w:spacing w:val="-4"/>
                <w:szCs w:val="22"/>
                <w:lang w:val="en-US"/>
              </w:rPr>
              <w:t>2021</w:t>
            </w:r>
          </w:p>
        </w:tc>
        <w:tc>
          <w:tcPr>
            <w:tcW w:w="2185" w:type="dxa"/>
            <w:vAlign w:val="center"/>
          </w:tcPr>
          <w:p w14:paraId="5054C38A" w14:textId="68E8B9F3" w:rsidR="000E511D" w:rsidRPr="00BF6BF6" w:rsidRDefault="000E511D" w:rsidP="001266BA">
            <w:pPr>
              <w:widowControl w:val="0"/>
              <w:autoSpaceDE w:val="0"/>
              <w:autoSpaceDN w:val="0"/>
              <w:spacing w:after="0" w:line="275" w:lineRule="exact"/>
              <w:ind w:left="107"/>
              <w:cnfStyle w:val="000000000000" w:firstRow="0" w:lastRow="0" w:firstColumn="0" w:lastColumn="0" w:oddVBand="0" w:evenVBand="0" w:oddHBand="0" w:evenHBand="0" w:firstRowFirstColumn="0" w:firstRowLastColumn="0" w:lastRowFirstColumn="0" w:lastRowLastColumn="0"/>
              <w:rPr>
                <w:szCs w:val="22"/>
              </w:rPr>
            </w:pPr>
            <w:r w:rsidRPr="00BF6BF6">
              <w:rPr>
                <w:rFonts w:eastAsia="Times New Roman"/>
                <w:spacing w:val="-2"/>
                <w:szCs w:val="22"/>
                <w:lang w:val="en-US"/>
              </w:rPr>
              <w:t>Approved</w:t>
            </w:r>
            <w:r w:rsidR="001266BA" w:rsidRPr="00BF6BF6">
              <w:rPr>
                <w:rFonts w:eastAsia="Times New Roman"/>
                <w:spacing w:val="-2"/>
                <w:szCs w:val="22"/>
                <w:lang w:val="en-US"/>
              </w:rPr>
              <w:t xml:space="preserve"> </w:t>
            </w:r>
            <w:r w:rsidRPr="00BF6BF6">
              <w:rPr>
                <w:rFonts w:eastAsia="Times New Roman"/>
                <w:szCs w:val="22"/>
                <w:lang w:val="en-US"/>
              </w:rPr>
              <w:t xml:space="preserve">15 </w:t>
            </w:r>
            <w:r w:rsidRPr="00BF6BF6">
              <w:rPr>
                <w:rFonts w:eastAsia="Times New Roman"/>
                <w:spacing w:val="-2"/>
                <w:szCs w:val="22"/>
                <w:lang w:val="en-US"/>
              </w:rPr>
              <w:t>September</w:t>
            </w:r>
            <w:r w:rsidR="001266BA" w:rsidRPr="00BF6BF6">
              <w:rPr>
                <w:rFonts w:eastAsia="Times New Roman"/>
                <w:spacing w:val="-2"/>
                <w:szCs w:val="22"/>
                <w:lang w:val="en-US"/>
              </w:rPr>
              <w:t xml:space="preserve"> </w:t>
            </w:r>
            <w:r w:rsidRPr="00BF6BF6">
              <w:rPr>
                <w:rFonts w:eastAsia="Times New Roman"/>
                <w:spacing w:val="-4"/>
                <w:szCs w:val="22"/>
                <w:lang w:val="en-US"/>
              </w:rPr>
              <w:t>2022</w:t>
            </w:r>
          </w:p>
        </w:tc>
        <w:tc>
          <w:tcPr>
            <w:tcW w:w="3569" w:type="dxa"/>
            <w:vAlign w:val="center"/>
          </w:tcPr>
          <w:p w14:paraId="3219502A" w14:textId="182BF10C" w:rsidR="000E511D" w:rsidRPr="00BF6BF6" w:rsidRDefault="000E511D" w:rsidP="000E511D">
            <w:pPr>
              <w:cnfStyle w:val="000000000000" w:firstRow="0" w:lastRow="0" w:firstColumn="0" w:lastColumn="0" w:oddVBand="0" w:evenVBand="0" w:oddHBand="0" w:evenHBand="0" w:firstRowFirstColumn="0" w:firstRowLastColumn="0" w:lastRowFirstColumn="0" w:lastRowLastColumn="0"/>
              <w:rPr>
                <w:szCs w:val="22"/>
              </w:rPr>
            </w:pPr>
            <w:r w:rsidRPr="00BF6BF6">
              <w:rPr>
                <w:rFonts w:eastAsia="Times New Roman"/>
                <w:szCs w:val="22"/>
                <w:lang w:val="en-US"/>
              </w:rPr>
              <w:t>Treatment</w:t>
            </w:r>
            <w:r w:rsidRPr="00BF6BF6">
              <w:rPr>
                <w:rFonts w:eastAsia="Times New Roman"/>
                <w:spacing w:val="-9"/>
                <w:szCs w:val="22"/>
                <w:lang w:val="en-US"/>
              </w:rPr>
              <w:t xml:space="preserve"> </w:t>
            </w:r>
            <w:r w:rsidRPr="00BF6BF6">
              <w:rPr>
                <w:rFonts w:eastAsia="Times New Roman"/>
                <w:szCs w:val="22"/>
                <w:lang w:val="en-US"/>
              </w:rPr>
              <w:t>of</w:t>
            </w:r>
            <w:r w:rsidRPr="00BF6BF6">
              <w:rPr>
                <w:rFonts w:eastAsia="Times New Roman"/>
                <w:spacing w:val="-10"/>
                <w:szCs w:val="22"/>
                <w:lang w:val="en-US"/>
              </w:rPr>
              <w:t xml:space="preserve"> </w:t>
            </w:r>
            <w:r w:rsidRPr="00BF6BF6">
              <w:rPr>
                <w:rFonts w:eastAsia="Times New Roman"/>
                <w:szCs w:val="22"/>
                <w:lang w:val="en-US"/>
              </w:rPr>
              <w:t>hATTR</w:t>
            </w:r>
            <w:r w:rsidRPr="00BF6BF6">
              <w:rPr>
                <w:rFonts w:eastAsia="Times New Roman"/>
                <w:spacing w:val="-9"/>
                <w:szCs w:val="22"/>
                <w:lang w:val="en-US"/>
              </w:rPr>
              <w:t xml:space="preserve"> </w:t>
            </w:r>
            <w:r w:rsidRPr="00BF6BF6">
              <w:rPr>
                <w:rFonts w:eastAsia="Times New Roman"/>
                <w:szCs w:val="22"/>
                <w:lang w:val="en-US"/>
              </w:rPr>
              <w:t>amyloidosis</w:t>
            </w:r>
            <w:r w:rsidRPr="00BF6BF6">
              <w:rPr>
                <w:rFonts w:eastAsia="Times New Roman"/>
                <w:spacing w:val="-9"/>
                <w:szCs w:val="22"/>
                <w:lang w:val="en-US"/>
              </w:rPr>
              <w:t xml:space="preserve"> </w:t>
            </w:r>
            <w:r w:rsidRPr="00BF6BF6">
              <w:rPr>
                <w:rFonts w:eastAsia="Times New Roman"/>
                <w:szCs w:val="22"/>
                <w:lang w:val="en-US"/>
              </w:rPr>
              <w:t>in adult</w:t>
            </w:r>
            <w:r w:rsidRPr="00BF6BF6">
              <w:rPr>
                <w:rFonts w:eastAsia="Times New Roman"/>
                <w:spacing w:val="-2"/>
                <w:szCs w:val="22"/>
                <w:lang w:val="en-US"/>
              </w:rPr>
              <w:t xml:space="preserve"> </w:t>
            </w:r>
            <w:r w:rsidRPr="00BF6BF6">
              <w:rPr>
                <w:rFonts w:eastAsia="Times New Roman"/>
                <w:szCs w:val="22"/>
                <w:lang w:val="en-US"/>
              </w:rPr>
              <w:t>patients</w:t>
            </w:r>
            <w:r w:rsidRPr="00BF6BF6">
              <w:rPr>
                <w:rFonts w:eastAsia="Times New Roman"/>
                <w:spacing w:val="-2"/>
                <w:szCs w:val="22"/>
                <w:lang w:val="en-US"/>
              </w:rPr>
              <w:t xml:space="preserve"> </w:t>
            </w:r>
            <w:r w:rsidRPr="00BF6BF6">
              <w:rPr>
                <w:rFonts w:eastAsia="Times New Roman"/>
                <w:szCs w:val="22"/>
                <w:lang w:val="en-US"/>
              </w:rPr>
              <w:t>with</w:t>
            </w:r>
            <w:r w:rsidRPr="00BF6BF6">
              <w:rPr>
                <w:rFonts w:eastAsia="Times New Roman"/>
                <w:spacing w:val="-2"/>
                <w:szCs w:val="22"/>
                <w:lang w:val="en-US"/>
              </w:rPr>
              <w:t xml:space="preserve"> </w:t>
            </w:r>
            <w:r w:rsidRPr="00BF6BF6">
              <w:rPr>
                <w:rFonts w:eastAsia="Times New Roman"/>
                <w:szCs w:val="22"/>
                <w:lang w:val="en-US"/>
              </w:rPr>
              <w:t>stage</w:t>
            </w:r>
            <w:r w:rsidRPr="00BF6BF6">
              <w:rPr>
                <w:rFonts w:eastAsia="Times New Roman"/>
                <w:spacing w:val="-3"/>
                <w:szCs w:val="22"/>
                <w:lang w:val="en-US"/>
              </w:rPr>
              <w:t xml:space="preserve"> </w:t>
            </w:r>
            <w:r w:rsidRPr="00BF6BF6">
              <w:rPr>
                <w:rFonts w:eastAsia="Times New Roman"/>
                <w:szCs w:val="22"/>
                <w:lang w:val="en-US"/>
              </w:rPr>
              <w:t>1</w:t>
            </w:r>
            <w:r w:rsidRPr="00BF6BF6">
              <w:rPr>
                <w:rFonts w:eastAsia="Times New Roman"/>
                <w:spacing w:val="-2"/>
                <w:szCs w:val="22"/>
                <w:lang w:val="en-US"/>
              </w:rPr>
              <w:t xml:space="preserve"> </w:t>
            </w:r>
            <w:r w:rsidRPr="00BF6BF6">
              <w:rPr>
                <w:rFonts w:eastAsia="Times New Roman"/>
                <w:szCs w:val="22"/>
                <w:lang w:val="en-US"/>
              </w:rPr>
              <w:t>or</w:t>
            </w:r>
            <w:r w:rsidRPr="00BF6BF6">
              <w:rPr>
                <w:rFonts w:eastAsia="Times New Roman"/>
                <w:spacing w:val="-3"/>
                <w:szCs w:val="22"/>
                <w:lang w:val="en-US"/>
              </w:rPr>
              <w:t xml:space="preserve"> </w:t>
            </w:r>
            <w:r w:rsidRPr="00BF6BF6">
              <w:rPr>
                <w:rFonts w:eastAsia="Times New Roman"/>
                <w:szCs w:val="22"/>
                <w:lang w:val="en-US"/>
              </w:rPr>
              <w:t>stage</w:t>
            </w:r>
            <w:r w:rsidRPr="00BF6BF6">
              <w:rPr>
                <w:rFonts w:eastAsia="Times New Roman"/>
                <w:spacing w:val="-3"/>
                <w:szCs w:val="22"/>
                <w:lang w:val="en-US"/>
              </w:rPr>
              <w:t xml:space="preserve"> </w:t>
            </w:r>
            <w:r w:rsidRPr="00BF6BF6">
              <w:rPr>
                <w:rFonts w:eastAsia="Times New Roman"/>
                <w:szCs w:val="22"/>
                <w:lang w:val="en-US"/>
              </w:rPr>
              <w:t xml:space="preserve">2 </w:t>
            </w:r>
            <w:r w:rsidRPr="00BF6BF6">
              <w:rPr>
                <w:rFonts w:eastAsia="Times New Roman"/>
                <w:spacing w:val="-2"/>
                <w:szCs w:val="22"/>
                <w:lang w:val="en-US"/>
              </w:rPr>
              <w:t>polyneuropathy</w:t>
            </w:r>
          </w:p>
        </w:tc>
      </w:tr>
      <w:tr w:rsidR="001266BA" w:rsidRPr="00BF6BF6" w14:paraId="4DA85BBD" w14:textId="7C5251EC" w:rsidTr="0005414B">
        <w:tc>
          <w:tcPr>
            <w:cnfStyle w:val="001000000000" w:firstRow="0" w:lastRow="0" w:firstColumn="1" w:lastColumn="0" w:oddVBand="0" w:evenVBand="0" w:oddHBand="0" w:evenHBand="0" w:firstRowFirstColumn="0" w:firstRowLastColumn="0" w:lastRowFirstColumn="0" w:lastRowLastColumn="0"/>
            <w:tcW w:w="1525" w:type="dxa"/>
            <w:vAlign w:val="center"/>
          </w:tcPr>
          <w:p w14:paraId="2341A779" w14:textId="68CB0CAF" w:rsidR="000E511D" w:rsidRPr="00BF6BF6" w:rsidRDefault="000E511D" w:rsidP="000E511D">
            <w:pPr>
              <w:rPr>
                <w:szCs w:val="22"/>
              </w:rPr>
            </w:pPr>
            <w:r w:rsidRPr="00BF6BF6">
              <w:rPr>
                <w:rFonts w:eastAsia="Times New Roman"/>
                <w:spacing w:val="-2"/>
                <w:szCs w:val="22"/>
                <w:lang w:val="en-US"/>
              </w:rPr>
              <w:t>Brazil</w:t>
            </w:r>
          </w:p>
        </w:tc>
        <w:tc>
          <w:tcPr>
            <w:tcW w:w="1530" w:type="dxa"/>
            <w:vAlign w:val="center"/>
          </w:tcPr>
          <w:p w14:paraId="28C2A107" w14:textId="41CE784F" w:rsidR="000E511D" w:rsidRPr="00BF6BF6" w:rsidRDefault="000E511D" w:rsidP="0005414B">
            <w:pPr>
              <w:widowControl w:val="0"/>
              <w:autoSpaceDE w:val="0"/>
              <w:autoSpaceDN w:val="0"/>
              <w:spacing w:after="0" w:line="275" w:lineRule="exact"/>
              <w:ind w:left="108"/>
              <w:cnfStyle w:val="000000000000" w:firstRow="0" w:lastRow="0" w:firstColumn="0" w:lastColumn="0" w:oddVBand="0" w:evenVBand="0" w:oddHBand="0" w:evenHBand="0" w:firstRowFirstColumn="0" w:firstRowLastColumn="0" w:lastRowFirstColumn="0" w:lastRowLastColumn="0"/>
              <w:rPr>
                <w:szCs w:val="22"/>
              </w:rPr>
            </w:pPr>
            <w:r w:rsidRPr="00BF6BF6">
              <w:rPr>
                <w:rFonts w:eastAsia="Times New Roman"/>
                <w:szCs w:val="22"/>
                <w:lang w:val="en-US"/>
              </w:rPr>
              <w:t xml:space="preserve">27 </w:t>
            </w:r>
            <w:r w:rsidRPr="00BF6BF6">
              <w:rPr>
                <w:rFonts w:eastAsia="Times New Roman"/>
                <w:spacing w:val="-2"/>
                <w:szCs w:val="22"/>
                <w:lang w:val="en-US"/>
              </w:rPr>
              <w:t>September</w:t>
            </w:r>
            <w:r w:rsidR="0005414B">
              <w:rPr>
                <w:rFonts w:eastAsia="Times New Roman"/>
                <w:spacing w:val="-2"/>
                <w:szCs w:val="22"/>
                <w:lang w:val="en-US"/>
              </w:rPr>
              <w:t xml:space="preserve"> </w:t>
            </w:r>
            <w:r w:rsidRPr="00BF6BF6">
              <w:rPr>
                <w:rFonts w:eastAsia="Times New Roman"/>
                <w:spacing w:val="-4"/>
                <w:szCs w:val="22"/>
                <w:lang w:val="en-US"/>
              </w:rPr>
              <w:t>2021</w:t>
            </w:r>
          </w:p>
        </w:tc>
        <w:tc>
          <w:tcPr>
            <w:tcW w:w="2185" w:type="dxa"/>
            <w:vAlign w:val="center"/>
          </w:tcPr>
          <w:p w14:paraId="3C00D334" w14:textId="451E66F5" w:rsidR="000E511D" w:rsidRPr="00BF6BF6" w:rsidRDefault="001266BA" w:rsidP="001266BA">
            <w:pPr>
              <w:widowControl w:val="0"/>
              <w:autoSpaceDE w:val="0"/>
              <w:autoSpaceDN w:val="0"/>
              <w:spacing w:after="0" w:line="275" w:lineRule="exact"/>
              <w:ind w:left="107"/>
              <w:cnfStyle w:val="000000000000" w:firstRow="0" w:lastRow="0" w:firstColumn="0" w:lastColumn="0" w:oddVBand="0" w:evenVBand="0" w:oddHBand="0" w:evenHBand="0" w:firstRowFirstColumn="0" w:firstRowLastColumn="0" w:lastRowFirstColumn="0" w:lastRowLastColumn="0"/>
              <w:rPr>
                <w:szCs w:val="22"/>
              </w:rPr>
            </w:pPr>
            <w:r w:rsidRPr="00BF6BF6">
              <w:rPr>
                <w:rFonts w:eastAsia="Times New Roman"/>
                <w:spacing w:val="-2"/>
                <w:szCs w:val="22"/>
                <w:lang w:val="en-US"/>
              </w:rPr>
              <w:t>A</w:t>
            </w:r>
            <w:r w:rsidR="000E511D" w:rsidRPr="00BF6BF6">
              <w:rPr>
                <w:rFonts w:eastAsia="Times New Roman"/>
                <w:spacing w:val="-2"/>
                <w:szCs w:val="22"/>
                <w:lang w:val="en-US"/>
              </w:rPr>
              <w:t>pproved</w:t>
            </w:r>
            <w:r w:rsidRPr="00BF6BF6">
              <w:rPr>
                <w:rFonts w:eastAsia="Times New Roman"/>
                <w:spacing w:val="-2"/>
                <w:szCs w:val="22"/>
                <w:lang w:val="en-US"/>
              </w:rPr>
              <w:t xml:space="preserve"> </w:t>
            </w:r>
            <w:r w:rsidR="000E511D" w:rsidRPr="00BF6BF6">
              <w:rPr>
                <w:rFonts w:eastAsia="Times New Roman"/>
                <w:szCs w:val="22"/>
                <w:lang w:val="en-US"/>
              </w:rPr>
              <w:t xml:space="preserve">2 </w:t>
            </w:r>
            <w:r w:rsidR="000E511D" w:rsidRPr="00BF6BF6">
              <w:rPr>
                <w:rFonts w:eastAsia="Times New Roman"/>
                <w:spacing w:val="-2"/>
                <w:szCs w:val="22"/>
                <w:lang w:val="en-US"/>
              </w:rPr>
              <w:t>December</w:t>
            </w:r>
            <w:r w:rsidRPr="00BF6BF6">
              <w:rPr>
                <w:rFonts w:eastAsia="Times New Roman"/>
                <w:spacing w:val="-2"/>
                <w:szCs w:val="22"/>
                <w:lang w:val="en-US"/>
              </w:rPr>
              <w:t xml:space="preserve"> </w:t>
            </w:r>
            <w:r w:rsidR="000E511D" w:rsidRPr="00BF6BF6">
              <w:rPr>
                <w:rFonts w:eastAsia="Times New Roman"/>
                <w:spacing w:val="-4"/>
                <w:szCs w:val="22"/>
                <w:lang w:val="en-US"/>
              </w:rPr>
              <w:t>2022</w:t>
            </w:r>
          </w:p>
        </w:tc>
        <w:tc>
          <w:tcPr>
            <w:tcW w:w="3569" w:type="dxa"/>
            <w:vAlign w:val="center"/>
          </w:tcPr>
          <w:p w14:paraId="7D1DBA73" w14:textId="3D078B98" w:rsidR="000E511D" w:rsidRPr="00BF6BF6" w:rsidRDefault="000E511D" w:rsidP="000E511D">
            <w:pPr>
              <w:cnfStyle w:val="000000000000" w:firstRow="0" w:lastRow="0" w:firstColumn="0" w:lastColumn="0" w:oddVBand="0" w:evenVBand="0" w:oddHBand="0" w:evenHBand="0" w:firstRowFirstColumn="0" w:firstRowLastColumn="0" w:lastRowFirstColumn="0" w:lastRowLastColumn="0"/>
              <w:rPr>
                <w:szCs w:val="22"/>
              </w:rPr>
            </w:pPr>
            <w:r w:rsidRPr="00BF6BF6">
              <w:rPr>
                <w:rFonts w:eastAsia="Times New Roman"/>
                <w:szCs w:val="22"/>
                <w:lang w:val="en-US"/>
              </w:rPr>
              <w:t>Treatment</w:t>
            </w:r>
            <w:r w:rsidRPr="00BF6BF6">
              <w:rPr>
                <w:rFonts w:eastAsia="Times New Roman"/>
                <w:spacing w:val="-9"/>
                <w:szCs w:val="22"/>
                <w:lang w:val="en-US"/>
              </w:rPr>
              <w:t xml:space="preserve"> </w:t>
            </w:r>
            <w:r w:rsidRPr="00BF6BF6">
              <w:rPr>
                <w:rFonts w:eastAsia="Times New Roman"/>
                <w:szCs w:val="22"/>
                <w:lang w:val="en-US"/>
              </w:rPr>
              <w:t>of</w:t>
            </w:r>
            <w:r w:rsidRPr="00BF6BF6">
              <w:rPr>
                <w:rFonts w:eastAsia="Times New Roman"/>
                <w:spacing w:val="-10"/>
                <w:szCs w:val="22"/>
                <w:lang w:val="en-US"/>
              </w:rPr>
              <w:t xml:space="preserve"> </w:t>
            </w:r>
            <w:r w:rsidRPr="00BF6BF6">
              <w:rPr>
                <w:rFonts w:eastAsia="Times New Roman"/>
                <w:szCs w:val="22"/>
                <w:lang w:val="en-US"/>
              </w:rPr>
              <w:t>hATTR</w:t>
            </w:r>
            <w:r w:rsidRPr="00BF6BF6">
              <w:rPr>
                <w:rFonts w:eastAsia="Times New Roman"/>
                <w:spacing w:val="-9"/>
                <w:szCs w:val="22"/>
                <w:lang w:val="en-US"/>
              </w:rPr>
              <w:t xml:space="preserve"> </w:t>
            </w:r>
            <w:r w:rsidRPr="00BF6BF6">
              <w:rPr>
                <w:rFonts w:eastAsia="Times New Roman"/>
                <w:szCs w:val="22"/>
                <w:lang w:val="en-US"/>
              </w:rPr>
              <w:t>amyloidosis</w:t>
            </w:r>
            <w:r w:rsidRPr="00BF6BF6">
              <w:rPr>
                <w:rFonts w:eastAsia="Times New Roman"/>
                <w:spacing w:val="-9"/>
                <w:szCs w:val="22"/>
                <w:lang w:val="en-US"/>
              </w:rPr>
              <w:t xml:space="preserve"> </w:t>
            </w:r>
            <w:r w:rsidRPr="00BF6BF6">
              <w:rPr>
                <w:rFonts w:eastAsia="Times New Roman"/>
                <w:szCs w:val="22"/>
                <w:lang w:val="en-US"/>
              </w:rPr>
              <w:t xml:space="preserve">in </w:t>
            </w:r>
            <w:r w:rsidRPr="00BF6BF6">
              <w:rPr>
                <w:rFonts w:eastAsia="Times New Roman"/>
                <w:spacing w:val="-2"/>
                <w:szCs w:val="22"/>
                <w:lang w:val="en-US"/>
              </w:rPr>
              <w:t>adults</w:t>
            </w:r>
          </w:p>
        </w:tc>
      </w:tr>
      <w:tr w:rsidR="001266BA" w:rsidRPr="00BF6BF6" w14:paraId="1979C7D6" w14:textId="2AD20F84" w:rsidTr="0005414B">
        <w:tc>
          <w:tcPr>
            <w:cnfStyle w:val="001000000000" w:firstRow="0" w:lastRow="0" w:firstColumn="1" w:lastColumn="0" w:oddVBand="0" w:evenVBand="0" w:oddHBand="0" w:evenHBand="0" w:firstRowFirstColumn="0" w:firstRowLastColumn="0" w:lastRowFirstColumn="0" w:lastRowLastColumn="0"/>
            <w:tcW w:w="1525" w:type="dxa"/>
            <w:vAlign w:val="center"/>
          </w:tcPr>
          <w:p w14:paraId="4ED44577" w14:textId="65832A19" w:rsidR="000E511D" w:rsidRPr="00BF6BF6" w:rsidRDefault="000E511D" w:rsidP="000E511D">
            <w:pPr>
              <w:rPr>
                <w:szCs w:val="22"/>
              </w:rPr>
            </w:pPr>
            <w:r w:rsidRPr="00BF6BF6">
              <w:rPr>
                <w:rFonts w:eastAsia="Times New Roman"/>
                <w:spacing w:val="-2"/>
                <w:szCs w:val="22"/>
                <w:lang w:val="en-US"/>
              </w:rPr>
              <w:t>Japan</w:t>
            </w:r>
          </w:p>
        </w:tc>
        <w:tc>
          <w:tcPr>
            <w:tcW w:w="1530" w:type="dxa"/>
            <w:vAlign w:val="center"/>
          </w:tcPr>
          <w:p w14:paraId="4079BDF9" w14:textId="3CE10F72" w:rsidR="000E511D" w:rsidRPr="00BF6BF6" w:rsidRDefault="000E511D" w:rsidP="0005414B">
            <w:pPr>
              <w:widowControl w:val="0"/>
              <w:autoSpaceDE w:val="0"/>
              <w:autoSpaceDN w:val="0"/>
              <w:spacing w:after="0" w:line="275" w:lineRule="exact"/>
              <w:ind w:left="108"/>
              <w:cnfStyle w:val="000000000000" w:firstRow="0" w:lastRow="0" w:firstColumn="0" w:lastColumn="0" w:oddVBand="0" w:evenVBand="0" w:oddHBand="0" w:evenHBand="0" w:firstRowFirstColumn="0" w:firstRowLastColumn="0" w:lastRowFirstColumn="0" w:lastRowLastColumn="0"/>
              <w:rPr>
                <w:szCs w:val="22"/>
              </w:rPr>
            </w:pPr>
            <w:r w:rsidRPr="00BF6BF6">
              <w:rPr>
                <w:rFonts w:eastAsia="Times New Roman"/>
                <w:szCs w:val="22"/>
                <w:lang w:val="en-US"/>
              </w:rPr>
              <w:t xml:space="preserve">20 </w:t>
            </w:r>
            <w:r w:rsidRPr="00BF6BF6">
              <w:rPr>
                <w:rFonts w:eastAsia="Times New Roman"/>
                <w:spacing w:val="-2"/>
                <w:szCs w:val="22"/>
                <w:lang w:val="en-US"/>
              </w:rPr>
              <w:t>December</w:t>
            </w:r>
            <w:r w:rsidR="0005414B">
              <w:rPr>
                <w:rFonts w:eastAsia="Times New Roman"/>
                <w:spacing w:val="-2"/>
                <w:szCs w:val="22"/>
                <w:lang w:val="en-US"/>
              </w:rPr>
              <w:t xml:space="preserve"> </w:t>
            </w:r>
            <w:r w:rsidRPr="00BF6BF6">
              <w:rPr>
                <w:rFonts w:eastAsia="Times New Roman"/>
                <w:spacing w:val="-4"/>
                <w:szCs w:val="22"/>
                <w:lang w:val="en-US"/>
              </w:rPr>
              <w:t>2021</w:t>
            </w:r>
          </w:p>
        </w:tc>
        <w:tc>
          <w:tcPr>
            <w:tcW w:w="2185" w:type="dxa"/>
            <w:vAlign w:val="center"/>
          </w:tcPr>
          <w:p w14:paraId="04BECBC5" w14:textId="126EADA3" w:rsidR="000E511D" w:rsidRPr="00BF6BF6" w:rsidRDefault="000E511D" w:rsidP="001266BA">
            <w:pPr>
              <w:widowControl w:val="0"/>
              <w:autoSpaceDE w:val="0"/>
              <w:autoSpaceDN w:val="0"/>
              <w:spacing w:after="0" w:line="275" w:lineRule="exact"/>
              <w:ind w:left="107"/>
              <w:cnfStyle w:val="000000000000" w:firstRow="0" w:lastRow="0" w:firstColumn="0" w:lastColumn="0" w:oddVBand="0" w:evenVBand="0" w:oddHBand="0" w:evenHBand="0" w:firstRowFirstColumn="0" w:firstRowLastColumn="0" w:lastRowFirstColumn="0" w:lastRowLastColumn="0"/>
              <w:rPr>
                <w:szCs w:val="22"/>
              </w:rPr>
            </w:pPr>
            <w:r w:rsidRPr="00BF6BF6">
              <w:rPr>
                <w:rFonts w:eastAsia="Times New Roman"/>
                <w:spacing w:val="-2"/>
                <w:szCs w:val="22"/>
                <w:lang w:val="en-US"/>
              </w:rPr>
              <w:t>Approved</w:t>
            </w:r>
            <w:r w:rsidR="001266BA" w:rsidRPr="00BF6BF6">
              <w:rPr>
                <w:rFonts w:eastAsia="Times New Roman"/>
                <w:spacing w:val="-2"/>
                <w:szCs w:val="22"/>
                <w:lang w:val="en-US"/>
              </w:rPr>
              <w:t xml:space="preserve"> </w:t>
            </w:r>
            <w:r w:rsidRPr="00BF6BF6">
              <w:rPr>
                <w:rFonts w:eastAsia="Times New Roman"/>
                <w:szCs w:val="22"/>
                <w:lang w:val="en-US"/>
              </w:rPr>
              <w:t xml:space="preserve">26 </w:t>
            </w:r>
            <w:r w:rsidRPr="00BF6BF6">
              <w:rPr>
                <w:rFonts w:eastAsia="Times New Roman"/>
                <w:spacing w:val="-2"/>
                <w:szCs w:val="22"/>
                <w:lang w:val="en-US"/>
              </w:rPr>
              <w:t>September</w:t>
            </w:r>
            <w:r w:rsidR="001266BA" w:rsidRPr="00BF6BF6">
              <w:rPr>
                <w:rFonts w:eastAsia="Times New Roman"/>
                <w:spacing w:val="-2"/>
                <w:szCs w:val="22"/>
                <w:lang w:val="en-US"/>
              </w:rPr>
              <w:t xml:space="preserve"> </w:t>
            </w:r>
            <w:r w:rsidRPr="00BF6BF6">
              <w:rPr>
                <w:rFonts w:eastAsia="Times New Roman"/>
                <w:spacing w:val="-4"/>
                <w:szCs w:val="22"/>
                <w:lang w:val="en-US"/>
              </w:rPr>
              <w:t>2022</w:t>
            </w:r>
          </w:p>
        </w:tc>
        <w:tc>
          <w:tcPr>
            <w:tcW w:w="3569" w:type="dxa"/>
            <w:vAlign w:val="center"/>
          </w:tcPr>
          <w:p w14:paraId="57AA116B" w14:textId="63EBCAB3" w:rsidR="000E511D" w:rsidRPr="00BF6BF6" w:rsidRDefault="000E511D" w:rsidP="000E511D">
            <w:pPr>
              <w:cnfStyle w:val="000000000000" w:firstRow="0" w:lastRow="0" w:firstColumn="0" w:lastColumn="0" w:oddVBand="0" w:evenVBand="0" w:oddHBand="0" w:evenHBand="0" w:firstRowFirstColumn="0" w:firstRowLastColumn="0" w:lastRowFirstColumn="0" w:lastRowLastColumn="0"/>
              <w:rPr>
                <w:szCs w:val="22"/>
              </w:rPr>
            </w:pPr>
            <w:r w:rsidRPr="00BF6BF6">
              <w:rPr>
                <w:rFonts w:eastAsia="Times New Roman"/>
                <w:szCs w:val="22"/>
                <w:lang w:val="en-US"/>
              </w:rPr>
              <w:t>Treatment of TTR type familial amyloidosis</w:t>
            </w:r>
            <w:r w:rsidRPr="00BF6BF6">
              <w:rPr>
                <w:rFonts w:eastAsia="Times New Roman"/>
                <w:spacing w:val="-15"/>
                <w:szCs w:val="22"/>
                <w:lang w:val="en-US"/>
              </w:rPr>
              <w:t xml:space="preserve"> </w:t>
            </w:r>
            <w:r w:rsidRPr="00BF6BF6">
              <w:rPr>
                <w:rFonts w:eastAsia="Times New Roman"/>
                <w:szCs w:val="22"/>
                <w:lang w:val="en-US"/>
              </w:rPr>
              <w:t>with</w:t>
            </w:r>
            <w:r w:rsidRPr="00BF6BF6">
              <w:rPr>
                <w:rFonts w:eastAsia="Times New Roman"/>
                <w:spacing w:val="-15"/>
                <w:szCs w:val="22"/>
                <w:lang w:val="en-US"/>
              </w:rPr>
              <w:t xml:space="preserve"> </w:t>
            </w:r>
            <w:r w:rsidRPr="00BF6BF6">
              <w:rPr>
                <w:rFonts w:eastAsia="Times New Roman"/>
                <w:szCs w:val="22"/>
                <w:lang w:val="en-US"/>
              </w:rPr>
              <w:t>polyneuropathy</w:t>
            </w:r>
          </w:p>
        </w:tc>
      </w:tr>
      <w:tr w:rsidR="001266BA" w:rsidRPr="00BF6BF6" w14:paraId="41A9CD10" w14:textId="7FA52270" w:rsidTr="0005414B">
        <w:tc>
          <w:tcPr>
            <w:cnfStyle w:val="001000000000" w:firstRow="0" w:lastRow="0" w:firstColumn="1" w:lastColumn="0" w:oddVBand="0" w:evenVBand="0" w:oddHBand="0" w:evenHBand="0" w:firstRowFirstColumn="0" w:firstRowLastColumn="0" w:lastRowFirstColumn="0" w:lastRowLastColumn="0"/>
            <w:tcW w:w="1525" w:type="dxa"/>
            <w:vAlign w:val="center"/>
          </w:tcPr>
          <w:p w14:paraId="6FF41011" w14:textId="5974FD58" w:rsidR="000E511D" w:rsidRPr="00BF6BF6" w:rsidRDefault="000E511D" w:rsidP="000E511D">
            <w:pPr>
              <w:rPr>
                <w:szCs w:val="22"/>
              </w:rPr>
            </w:pPr>
            <w:r w:rsidRPr="00BF6BF6">
              <w:rPr>
                <w:rFonts w:eastAsia="Times New Roman"/>
                <w:szCs w:val="22"/>
                <w:lang w:val="en-US"/>
              </w:rPr>
              <w:t>UK</w:t>
            </w:r>
          </w:p>
        </w:tc>
        <w:tc>
          <w:tcPr>
            <w:tcW w:w="1530" w:type="dxa"/>
            <w:vAlign w:val="center"/>
          </w:tcPr>
          <w:p w14:paraId="01194647" w14:textId="1D34ABDD" w:rsidR="000E511D" w:rsidRPr="00BF6BF6" w:rsidRDefault="000E511D" w:rsidP="000E511D">
            <w:pPr>
              <w:cnfStyle w:val="000000000000" w:firstRow="0" w:lastRow="0" w:firstColumn="0" w:lastColumn="0" w:oddVBand="0" w:evenVBand="0" w:oddHBand="0" w:evenHBand="0" w:firstRowFirstColumn="0" w:firstRowLastColumn="0" w:lastRowFirstColumn="0" w:lastRowLastColumn="0"/>
              <w:rPr>
                <w:szCs w:val="22"/>
              </w:rPr>
            </w:pPr>
            <w:r w:rsidRPr="00BF6BF6">
              <w:rPr>
                <w:rFonts w:eastAsia="Times New Roman"/>
                <w:szCs w:val="22"/>
                <w:lang w:val="en-US"/>
              </w:rPr>
              <w:t xml:space="preserve">28 July </w:t>
            </w:r>
            <w:r w:rsidRPr="00BF6BF6">
              <w:rPr>
                <w:rFonts w:eastAsia="Times New Roman"/>
                <w:spacing w:val="-4"/>
                <w:szCs w:val="22"/>
                <w:lang w:val="en-US"/>
              </w:rPr>
              <w:t>2022</w:t>
            </w:r>
          </w:p>
        </w:tc>
        <w:tc>
          <w:tcPr>
            <w:tcW w:w="2185" w:type="dxa"/>
            <w:vAlign w:val="center"/>
          </w:tcPr>
          <w:p w14:paraId="0944E6E6" w14:textId="304F4208" w:rsidR="000E511D" w:rsidRPr="00BF6BF6" w:rsidRDefault="000E511D" w:rsidP="001266BA">
            <w:pPr>
              <w:widowControl w:val="0"/>
              <w:autoSpaceDE w:val="0"/>
              <w:autoSpaceDN w:val="0"/>
              <w:spacing w:before="1" w:after="0" w:line="240" w:lineRule="auto"/>
              <w:ind w:left="107"/>
              <w:cnfStyle w:val="000000000000" w:firstRow="0" w:lastRow="0" w:firstColumn="0" w:lastColumn="0" w:oddVBand="0" w:evenVBand="0" w:oddHBand="0" w:evenHBand="0" w:firstRowFirstColumn="0" w:firstRowLastColumn="0" w:lastRowFirstColumn="0" w:lastRowLastColumn="0"/>
              <w:rPr>
                <w:szCs w:val="22"/>
              </w:rPr>
            </w:pPr>
            <w:r w:rsidRPr="00BF6BF6">
              <w:rPr>
                <w:rFonts w:eastAsia="Times New Roman"/>
                <w:spacing w:val="-2"/>
                <w:szCs w:val="22"/>
                <w:lang w:val="en-US"/>
              </w:rPr>
              <w:t>Approved</w:t>
            </w:r>
            <w:r w:rsidR="001266BA" w:rsidRPr="00BF6BF6">
              <w:rPr>
                <w:rFonts w:eastAsia="Times New Roman"/>
                <w:spacing w:val="-2"/>
                <w:szCs w:val="22"/>
                <w:lang w:val="en-US"/>
              </w:rPr>
              <w:t xml:space="preserve"> </w:t>
            </w:r>
            <w:r w:rsidRPr="00BF6BF6">
              <w:rPr>
                <w:rFonts w:eastAsia="Times New Roman"/>
                <w:szCs w:val="22"/>
                <w:lang w:val="en-US"/>
              </w:rPr>
              <w:t xml:space="preserve">16 </w:t>
            </w:r>
            <w:r w:rsidRPr="00BF6BF6">
              <w:rPr>
                <w:rFonts w:eastAsia="Times New Roman"/>
                <w:spacing w:val="-2"/>
                <w:szCs w:val="22"/>
                <w:lang w:val="en-US"/>
              </w:rPr>
              <w:t>September</w:t>
            </w:r>
            <w:r w:rsidR="001266BA" w:rsidRPr="00BF6BF6">
              <w:rPr>
                <w:rFonts w:eastAsia="Times New Roman"/>
                <w:spacing w:val="-2"/>
                <w:szCs w:val="22"/>
                <w:lang w:val="en-US"/>
              </w:rPr>
              <w:t xml:space="preserve"> </w:t>
            </w:r>
            <w:r w:rsidRPr="00BF6BF6">
              <w:rPr>
                <w:rFonts w:eastAsia="Times New Roman"/>
                <w:spacing w:val="-4"/>
                <w:szCs w:val="22"/>
                <w:lang w:val="en-US"/>
              </w:rPr>
              <w:t>2022</w:t>
            </w:r>
          </w:p>
        </w:tc>
        <w:tc>
          <w:tcPr>
            <w:tcW w:w="3569" w:type="dxa"/>
            <w:vAlign w:val="center"/>
          </w:tcPr>
          <w:p w14:paraId="7D2719D2" w14:textId="45585A0B" w:rsidR="000E511D" w:rsidRPr="00BF6BF6" w:rsidRDefault="000E511D" w:rsidP="000E511D">
            <w:pPr>
              <w:cnfStyle w:val="000000000000" w:firstRow="0" w:lastRow="0" w:firstColumn="0" w:lastColumn="0" w:oddVBand="0" w:evenVBand="0" w:oddHBand="0" w:evenHBand="0" w:firstRowFirstColumn="0" w:firstRowLastColumn="0" w:lastRowFirstColumn="0" w:lastRowLastColumn="0"/>
              <w:rPr>
                <w:szCs w:val="22"/>
              </w:rPr>
            </w:pPr>
            <w:r w:rsidRPr="00BF6BF6">
              <w:rPr>
                <w:rFonts w:eastAsia="Times New Roman"/>
                <w:szCs w:val="22"/>
                <w:lang w:val="en-US"/>
              </w:rPr>
              <w:t>Treatment</w:t>
            </w:r>
            <w:r w:rsidRPr="00BF6BF6">
              <w:rPr>
                <w:rFonts w:eastAsia="Times New Roman"/>
                <w:spacing w:val="-9"/>
                <w:szCs w:val="22"/>
                <w:lang w:val="en-US"/>
              </w:rPr>
              <w:t xml:space="preserve"> </w:t>
            </w:r>
            <w:r w:rsidRPr="00BF6BF6">
              <w:rPr>
                <w:rFonts w:eastAsia="Times New Roman"/>
                <w:szCs w:val="22"/>
                <w:lang w:val="en-US"/>
              </w:rPr>
              <w:t>of</w:t>
            </w:r>
            <w:r w:rsidRPr="00BF6BF6">
              <w:rPr>
                <w:rFonts w:eastAsia="Times New Roman"/>
                <w:spacing w:val="-10"/>
                <w:szCs w:val="22"/>
                <w:lang w:val="en-US"/>
              </w:rPr>
              <w:t xml:space="preserve"> </w:t>
            </w:r>
            <w:r w:rsidRPr="00BF6BF6">
              <w:rPr>
                <w:rFonts w:eastAsia="Times New Roman"/>
                <w:szCs w:val="22"/>
                <w:lang w:val="en-US"/>
              </w:rPr>
              <w:t>hATTR</w:t>
            </w:r>
            <w:r w:rsidRPr="00BF6BF6">
              <w:rPr>
                <w:rFonts w:eastAsia="Times New Roman"/>
                <w:spacing w:val="-9"/>
                <w:szCs w:val="22"/>
                <w:lang w:val="en-US"/>
              </w:rPr>
              <w:t xml:space="preserve"> </w:t>
            </w:r>
            <w:r w:rsidRPr="00BF6BF6">
              <w:rPr>
                <w:rFonts w:eastAsia="Times New Roman"/>
                <w:szCs w:val="22"/>
                <w:lang w:val="en-US"/>
              </w:rPr>
              <w:t>amyloidosis</w:t>
            </w:r>
            <w:r w:rsidRPr="00BF6BF6">
              <w:rPr>
                <w:rFonts w:eastAsia="Times New Roman"/>
                <w:spacing w:val="-9"/>
                <w:szCs w:val="22"/>
                <w:lang w:val="en-US"/>
              </w:rPr>
              <w:t xml:space="preserve"> </w:t>
            </w:r>
            <w:r w:rsidRPr="00BF6BF6">
              <w:rPr>
                <w:rFonts w:eastAsia="Times New Roman"/>
                <w:szCs w:val="22"/>
                <w:lang w:val="en-US"/>
              </w:rPr>
              <w:t>in adult</w:t>
            </w:r>
            <w:r w:rsidRPr="00BF6BF6">
              <w:rPr>
                <w:rFonts w:eastAsia="Times New Roman"/>
                <w:spacing w:val="-2"/>
                <w:szCs w:val="22"/>
                <w:lang w:val="en-US"/>
              </w:rPr>
              <w:t xml:space="preserve"> </w:t>
            </w:r>
            <w:r w:rsidRPr="00BF6BF6">
              <w:rPr>
                <w:rFonts w:eastAsia="Times New Roman"/>
                <w:szCs w:val="22"/>
                <w:lang w:val="en-US"/>
              </w:rPr>
              <w:t>patients</w:t>
            </w:r>
            <w:r w:rsidRPr="00BF6BF6">
              <w:rPr>
                <w:rFonts w:eastAsia="Times New Roman"/>
                <w:spacing w:val="-2"/>
                <w:szCs w:val="22"/>
                <w:lang w:val="en-US"/>
              </w:rPr>
              <w:t xml:space="preserve"> </w:t>
            </w:r>
            <w:r w:rsidRPr="00BF6BF6">
              <w:rPr>
                <w:rFonts w:eastAsia="Times New Roman"/>
                <w:szCs w:val="22"/>
                <w:lang w:val="en-US"/>
              </w:rPr>
              <w:t>with</w:t>
            </w:r>
            <w:r w:rsidRPr="00BF6BF6">
              <w:rPr>
                <w:rFonts w:eastAsia="Times New Roman"/>
                <w:spacing w:val="-2"/>
                <w:szCs w:val="22"/>
                <w:lang w:val="en-US"/>
              </w:rPr>
              <w:t xml:space="preserve"> </w:t>
            </w:r>
            <w:r w:rsidRPr="00BF6BF6">
              <w:rPr>
                <w:rFonts w:eastAsia="Times New Roman"/>
                <w:szCs w:val="22"/>
                <w:lang w:val="en-US"/>
              </w:rPr>
              <w:t>stage</w:t>
            </w:r>
            <w:r w:rsidRPr="00BF6BF6">
              <w:rPr>
                <w:rFonts w:eastAsia="Times New Roman"/>
                <w:spacing w:val="-3"/>
                <w:szCs w:val="22"/>
                <w:lang w:val="en-US"/>
              </w:rPr>
              <w:t xml:space="preserve"> </w:t>
            </w:r>
            <w:r w:rsidRPr="00BF6BF6">
              <w:rPr>
                <w:rFonts w:eastAsia="Times New Roman"/>
                <w:szCs w:val="22"/>
                <w:lang w:val="en-US"/>
              </w:rPr>
              <w:t>1</w:t>
            </w:r>
            <w:r w:rsidRPr="00BF6BF6">
              <w:rPr>
                <w:rFonts w:eastAsia="Times New Roman"/>
                <w:spacing w:val="-2"/>
                <w:szCs w:val="22"/>
                <w:lang w:val="en-US"/>
              </w:rPr>
              <w:t xml:space="preserve"> </w:t>
            </w:r>
            <w:r w:rsidRPr="00BF6BF6">
              <w:rPr>
                <w:rFonts w:eastAsia="Times New Roman"/>
                <w:szCs w:val="22"/>
                <w:lang w:val="en-US"/>
              </w:rPr>
              <w:t>or</w:t>
            </w:r>
            <w:r w:rsidRPr="00BF6BF6">
              <w:rPr>
                <w:rFonts w:eastAsia="Times New Roman"/>
                <w:spacing w:val="-3"/>
                <w:szCs w:val="22"/>
                <w:lang w:val="en-US"/>
              </w:rPr>
              <w:t xml:space="preserve"> </w:t>
            </w:r>
            <w:r w:rsidRPr="00BF6BF6">
              <w:rPr>
                <w:rFonts w:eastAsia="Times New Roman"/>
                <w:szCs w:val="22"/>
                <w:lang w:val="en-US"/>
              </w:rPr>
              <w:t>stage</w:t>
            </w:r>
            <w:r w:rsidRPr="00BF6BF6">
              <w:rPr>
                <w:rFonts w:eastAsia="Times New Roman"/>
                <w:spacing w:val="-3"/>
                <w:szCs w:val="22"/>
                <w:lang w:val="en-US"/>
              </w:rPr>
              <w:t xml:space="preserve"> </w:t>
            </w:r>
            <w:r w:rsidRPr="00BF6BF6">
              <w:rPr>
                <w:rFonts w:eastAsia="Times New Roman"/>
                <w:szCs w:val="22"/>
                <w:lang w:val="en-US"/>
              </w:rPr>
              <w:t xml:space="preserve">2 </w:t>
            </w:r>
            <w:r w:rsidRPr="00BF6BF6">
              <w:rPr>
                <w:rFonts w:eastAsia="Times New Roman"/>
                <w:spacing w:val="-2"/>
                <w:szCs w:val="22"/>
                <w:lang w:val="en-US"/>
              </w:rPr>
              <w:t>polyneuropathy</w:t>
            </w:r>
          </w:p>
        </w:tc>
      </w:tr>
      <w:tr w:rsidR="001266BA" w:rsidRPr="00BF6BF6" w14:paraId="6D335F3F" w14:textId="1A9CD52C" w:rsidTr="0005414B">
        <w:tc>
          <w:tcPr>
            <w:cnfStyle w:val="001000000000" w:firstRow="0" w:lastRow="0" w:firstColumn="1" w:lastColumn="0" w:oddVBand="0" w:evenVBand="0" w:oddHBand="0" w:evenHBand="0" w:firstRowFirstColumn="0" w:firstRowLastColumn="0" w:lastRowFirstColumn="0" w:lastRowLastColumn="0"/>
            <w:tcW w:w="1525" w:type="dxa"/>
            <w:vAlign w:val="center"/>
          </w:tcPr>
          <w:p w14:paraId="2A2CAC4B" w14:textId="698342B1" w:rsidR="000E511D" w:rsidRPr="00BF6BF6" w:rsidRDefault="000E511D" w:rsidP="000E511D">
            <w:pPr>
              <w:rPr>
                <w:szCs w:val="22"/>
              </w:rPr>
            </w:pPr>
            <w:r w:rsidRPr="00BF6BF6">
              <w:rPr>
                <w:rFonts w:eastAsia="Times New Roman"/>
                <w:spacing w:val="-2"/>
                <w:szCs w:val="22"/>
                <w:lang w:val="en-US"/>
              </w:rPr>
              <w:t>Switzerland</w:t>
            </w:r>
          </w:p>
        </w:tc>
        <w:tc>
          <w:tcPr>
            <w:tcW w:w="1530" w:type="dxa"/>
            <w:vAlign w:val="center"/>
          </w:tcPr>
          <w:p w14:paraId="0EDA7125" w14:textId="0A667E3D" w:rsidR="000E511D" w:rsidRPr="00BF6BF6" w:rsidRDefault="000E511D" w:rsidP="0005414B">
            <w:pPr>
              <w:widowControl w:val="0"/>
              <w:autoSpaceDE w:val="0"/>
              <w:autoSpaceDN w:val="0"/>
              <w:spacing w:after="0" w:line="275" w:lineRule="exact"/>
              <w:ind w:left="108"/>
              <w:cnfStyle w:val="000000000000" w:firstRow="0" w:lastRow="0" w:firstColumn="0" w:lastColumn="0" w:oddVBand="0" w:evenVBand="0" w:oddHBand="0" w:evenHBand="0" w:firstRowFirstColumn="0" w:firstRowLastColumn="0" w:lastRowFirstColumn="0" w:lastRowLastColumn="0"/>
              <w:rPr>
                <w:szCs w:val="22"/>
              </w:rPr>
            </w:pPr>
            <w:r w:rsidRPr="00BF6BF6">
              <w:rPr>
                <w:rFonts w:eastAsia="Times New Roman"/>
                <w:szCs w:val="22"/>
                <w:lang w:val="en-US"/>
              </w:rPr>
              <w:t xml:space="preserve">31 </w:t>
            </w:r>
            <w:r w:rsidRPr="00BF6BF6">
              <w:rPr>
                <w:rFonts w:eastAsia="Times New Roman"/>
                <w:spacing w:val="-2"/>
                <w:szCs w:val="22"/>
                <w:lang w:val="en-US"/>
              </w:rPr>
              <w:t>October</w:t>
            </w:r>
            <w:r w:rsidR="0005414B">
              <w:rPr>
                <w:rFonts w:eastAsia="Times New Roman"/>
                <w:spacing w:val="-2"/>
                <w:szCs w:val="22"/>
                <w:lang w:val="en-US"/>
              </w:rPr>
              <w:t xml:space="preserve"> </w:t>
            </w:r>
            <w:r w:rsidRPr="00BF6BF6">
              <w:rPr>
                <w:rFonts w:eastAsia="Times New Roman"/>
                <w:spacing w:val="-4"/>
                <w:szCs w:val="22"/>
                <w:lang w:val="en-US"/>
              </w:rPr>
              <w:t>2022</w:t>
            </w:r>
          </w:p>
        </w:tc>
        <w:tc>
          <w:tcPr>
            <w:tcW w:w="2185" w:type="dxa"/>
            <w:vAlign w:val="center"/>
          </w:tcPr>
          <w:p w14:paraId="67CB9E60" w14:textId="326B7CCE" w:rsidR="000E511D" w:rsidRPr="00BF6BF6" w:rsidRDefault="000E511D" w:rsidP="001266BA">
            <w:pPr>
              <w:widowControl w:val="0"/>
              <w:autoSpaceDE w:val="0"/>
              <w:autoSpaceDN w:val="0"/>
              <w:spacing w:after="0" w:line="275" w:lineRule="exact"/>
              <w:ind w:left="107"/>
              <w:cnfStyle w:val="000000000000" w:firstRow="0" w:lastRow="0" w:firstColumn="0" w:lastColumn="0" w:oddVBand="0" w:evenVBand="0" w:oddHBand="0" w:evenHBand="0" w:firstRowFirstColumn="0" w:firstRowLastColumn="0" w:lastRowFirstColumn="0" w:lastRowLastColumn="0"/>
              <w:rPr>
                <w:szCs w:val="22"/>
              </w:rPr>
            </w:pPr>
            <w:r w:rsidRPr="00BF6BF6">
              <w:rPr>
                <w:rFonts w:eastAsia="Times New Roman"/>
                <w:spacing w:val="-2"/>
                <w:szCs w:val="22"/>
                <w:lang w:val="en-US"/>
              </w:rPr>
              <w:t>Approved</w:t>
            </w:r>
            <w:r w:rsidR="001266BA" w:rsidRPr="00BF6BF6">
              <w:rPr>
                <w:rFonts w:eastAsia="Times New Roman"/>
                <w:spacing w:val="-2"/>
                <w:szCs w:val="22"/>
                <w:lang w:val="en-US"/>
              </w:rPr>
              <w:t xml:space="preserve"> </w:t>
            </w:r>
            <w:r w:rsidRPr="00BF6BF6">
              <w:rPr>
                <w:rFonts w:eastAsia="Times New Roman"/>
                <w:szCs w:val="22"/>
                <w:lang w:val="en-US"/>
              </w:rPr>
              <w:t>23 June</w:t>
            </w:r>
            <w:r w:rsidRPr="00BF6BF6">
              <w:rPr>
                <w:rFonts w:eastAsia="Times New Roman"/>
                <w:spacing w:val="-1"/>
                <w:szCs w:val="22"/>
                <w:lang w:val="en-US"/>
              </w:rPr>
              <w:t xml:space="preserve"> </w:t>
            </w:r>
            <w:r w:rsidRPr="00BF6BF6">
              <w:rPr>
                <w:rFonts w:eastAsia="Times New Roman"/>
                <w:spacing w:val="-4"/>
                <w:szCs w:val="22"/>
                <w:lang w:val="en-US"/>
              </w:rPr>
              <w:t>2023</w:t>
            </w:r>
          </w:p>
        </w:tc>
        <w:tc>
          <w:tcPr>
            <w:tcW w:w="3569" w:type="dxa"/>
            <w:vAlign w:val="center"/>
          </w:tcPr>
          <w:p w14:paraId="0DAAC57D" w14:textId="184BE1DB" w:rsidR="000E511D" w:rsidRPr="00BF6BF6" w:rsidRDefault="000E511D" w:rsidP="000E511D">
            <w:pPr>
              <w:cnfStyle w:val="000000000000" w:firstRow="0" w:lastRow="0" w:firstColumn="0" w:lastColumn="0" w:oddVBand="0" w:evenVBand="0" w:oddHBand="0" w:evenHBand="0" w:firstRowFirstColumn="0" w:firstRowLastColumn="0" w:lastRowFirstColumn="0" w:lastRowLastColumn="0"/>
              <w:rPr>
                <w:szCs w:val="22"/>
              </w:rPr>
            </w:pPr>
            <w:r w:rsidRPr="00BF6BF6">
              <w:rPr>
                <w:rFonts w:eastAsia="Times New Roman"/>
                <w:szCs w:val="22"/>
                <w:lang w:val="en-US"/>
              </w:rPr>
              <w:t>Treatment</w:t>
            </w:r>
            <w:r w:rsidRPr="00BF6BF6">
              <w:rPr>
                <w:rFonts w:eastAsia="Times New Roman"/>
                <w:spacing w:val="-9"/>
                <w:szCs w:val="22"/>
                <w:lang w:val="en-US"/>
              </w:rPr>
              <w:t xml:space="preserve"> </w:t>
            </w:r>
            <w:r w:rsidRPr="00BF6BF6">
              <w:rPr>
                <w:rFonts w:eastAsia="Times New Roman"/>
                <w:szCs w:val="22"/>
                <w:lang w:val="en-US"/>
              </w:rPr>
              <w:t>of</w:t>
            </w:r>
            <w:r w:rsidRPr="00BF6BF6">
              <w:rPr>
                <w:rFonts w:eastAsia="Times New Roman"/>
                <w:spacing w:val="-10"/>
                <w:szCs w:val="22"/>
                <w:lang w:val="en-US"/>
              </w:rPr>
              <w:t xml:space="preserve"> </w:t>
            </w:r>
            <w:r w:rsidRPr="00BF6BF6">
              <w:rPr>
                <w:rFonts w:eastAsia="Times New Roman"/>
                <w:szCs w:val="22"/>
                <w:lang w:val="en-US"/>
              </w:rPr>
              <w:t>hATTR</w:t>
            </w:r>
            <w:r w:rsidRPr="00BF6BF6">
              <w:rPr>
                <w:rFonts w:eastAsia="Times New Roman"/>
                <w:spacing w:val="-9"/>
                <w:szCs w:val="22"/>
                <w:lang w:val="en-US"/>
              </w:rPr>
              <w:t xml:space="preserve"> </w:t>
            </w:r>
            <w:r w:rsidRPr="00BF6BF6">
              <w:rPr>
                <w:rFonts w:eastAsia="Times New Roman"/>
                <w:szCs w:val="22"/>
                <w:lang w:val="en-US"/>
              </w:rPr>
              <w:t>amyloidosis</w:t>
            </w:r>
            <w:r w:rsidRPr="00BF6BF6">
              <w:rPr>
                <w:rFonts w:eastAsia="Times New Roman"/>
                <w:spacing w:val="-9"/>
                <w:szCs w:val="22"/>
                <w:lang w:val="en-US"/>
              </w:rPr>
              <w:t xml:space="preserve"> </w:t>
            </w:r>
            <w:r w:rsidRPr="00BF6BF6">
              <w:rPr>
                <w:rFonts w:eastAsia="Times New Roman"/>
                <w:szCs w:val="22"/>
                <w:lang w:val="en-US"/>
              </w:rPr>
              <w:t>in adult</w:t>
            </w:r>
            <w:r w:rsidRPr="00BF6BF6">
              <w:rPr>
                <w:rFonts w:eastAsia="Times New Roman"/>
                <w:spacing w:val="-2"/>
                <w:szCs w:val="22"/>
                <w:lang w:val="en-US"/>
              </w:rPr>
              <w:t xml:space="preserve"> </w:t>
            </w:r>
            <w:r w:rsidRPr="00BF6BF6">
              <w:rPr>
                <w:rFonts w:eastAsia="Times New Roman"/>
                <w:szCs w:val="22"/>
                <w:lang w:val="en-US"/>
              </w:rPr>
              <w:t>patients</w:t>
            </w:r>
            <w:r w:rsidRPr="00BF6BF6">
              <w:rPr>
                <w:rFonts w:eastAsia="Times New Roman"/>
                <w:spacing w:val="-2"/>
                <w:szCs w:val="22"/>
                <w:lang w:val="en-US"/>
              </w:rPr>
              <w:t xml:space="preserve"> </w:t>
            </w:r>
            <w:r w:rsidRPr="00BF6BF6">
              <w:rPr>
                <w:rFonts w:eastAsia="Times New Roman"/>
                <w:szCs w:val="22"/>
                <w:lang w:val="en-US"/>
              </w:rPr>
              <w:t>with</w:t>
            </w:r>
            <w:r w:rsidRPr="00BF6BF6">
              <w:rPr>
                <w:rFonts w:eastAsia="Times New Roman"/>
                <w:spacing w:val="-2"/>
                <w:szCs w:val="22"/>
                <w:lang w:val="en-US"/>
              </w:rPr>
              <w:t xml:space="preserve"> </w:t>
            </w:r>
            <w:r w:rsidRPr="00BF6BF6">
              <w:rPr>
                <w:rFonts w:eastAsia="Times New Roman"/>
                <w:szCs w:val="22"/>
                <w:lang w:val="en-US"/>
              </w:rPr>
              <w:t>stage</w:t>
            </w:r>
            <w:r w:rsidRPr="00BF6BF6">
              <w:rPr>
                <w:rFonts w:eastAsia="Times New Roman"/>
                <w:spacing w:val="-3"/>
                <w:szCs w:val="22"/>
                <w:lang w:val="en-US"/>
              </w:rPr>
              <w:t xml:space="preserve"> </w:t>
            </w:r>
            <w:r w:rsidRPr="00BF6BF6">
              <w:rPr>
                <w:rFonts w:eastAsia="Times New Roman"/>
                <w:szCs w:val="22"/>
                <w:lang w:val="en-US"/>
              </w:rPr>
              <w:t>1</w:t>
            </w:r>
            <w:r w:rsidRPr="00BF6BF6">
              <w:rPr>
                <w:rFonts w:eastAsia="Times New Roman"/>
                <w:spacing w:val="-2"/>
                <w:szCs w:val="22"/>
                <w:lang w:val="en-US"/>
              </w:rPr>
              <w:t xml:space="preserve"> </w:t>
            </w:r>
            <w:r w:rsidRPr="00BF6BF6">
              <w:rPr>
                <w:rFonts w:eastAsia="Times New Roman"/>
                <w:szCs w:val="22"/>
                <w:lang w:val="en-US"/>
              </w:rPr>
              <w:t>or</w:t>
            </w:r>
            <w:r w:rsidRPr="00BF6BF6">
              <w:rPr>
                <w:rFonts w:eastAsia="Times New Roman"/>
                <w:spacing w:val="-3"/>
                <w:szCs w:val="22"/>
                <w:lang w:val="en-US"/>
              </w:rPr>
              <w:t xml:space="preserve"> </w:t>
            </w:r>
            <w:r w:rsidRPr="00BF6BF6">
              <w:rPr>
                <w:rFonts w:eastAsia="Times New Roman"/>
                <w:szCs w:val="22"/>
                <w:lang w:val="en-US"/>
              </w:rPr>
              <w:t>stage</w:t>
            </w:r>
            <w:r w:rsidRPr="00BF6BF6">
              <w:rPr>
                <w:rFonts w:eastAsia="Times New Roman"/>
                <w:spacing w:val="-3"/>
                <w:szCs w:val="22"/>
                <w:lang w:val="en-US"/>
              </w:rPr>
              <w:t xml:space="preserve"> </w:t>
            </w:r>
            <w:r w:rsidRPr="00BF6BF6">
              <w:rPr>
                <w:rFonts w:eastAsia="Times New Roman"/>
                <w:szCs w:val="22"/>
                <w:lang w:val="en-US"/>
              </w:rPr>
              <w:t xml:space="preserve">2 </w:t>
            </w:r>
            <w:r w:rsidRPr="00BF6BF6">
              <w:rPr>
                <w:rFonts w:eastAsia="Times New Roman"/>
                <w:spacing w:val="-2"/>
                <w:szCs w:val="22"/>
                <w:lang w:val="en-US"/>
              </w:rPr>
              <w:t>polyneuropathy</w:t>
            </w:r>
          </w:p>
        </w:tc>
      </w:tr>
      <w:tr w:rsidR="001266BA" w:rsidRPr="00BF6BF6" w14:paraId="75172380" w14:textId="6C116DB4" w:rsidTr="0005414B">
        <w:tc>
          <w:tcPr>
            <w:cnfStyle w:val="001000000000" w:firstRow="0" w:lastRow="0" w:firstColumn="1" w:lastColumn="0" w:oddVBand="0" w:evenVBand="0" w:oddHBand="0" w:evenHBand="0" w:firstRowFirstColumn="0" w:firstRowLastColumn="0" w:lastRowFirstColumn="0" w:lastRowLastColumn="0"/>
            <w:tcW w:w="1525" w:type="dxa"/>
            <w:vAlign w:val="center"/>
          </w:tcPr>
          <w:p w14:paraId="66D9E6AD" w14:textId="3224494E" w:rsidR="000E511D" w:rsidRPr="00BF6BF6" w:rsidRDefault="000E511D" w:rsidP="000E511D">
            <w:pPr>
              <w:rPr>
                <w:szCs w:val="22"/>
              </w:rPr>
            </w:pPr>
            <w:r w:rsidRPr="00BF6BF6">
              <w:rPr>
                <w:rFonts w:eastAsia="Times New Roman"/>
                <w:spacing w:val="-2"/>
                <w:szCs w:val="22"/>
                <w:lang w:val="en-US"/>
              </w:rPr>
              <w:t>Canada</w:t>
            </w:r>
          </w:p>
        </w:tc>
        <w:tc>
          <w:tcPr>
            <w:tcW w:w="1530" w:type="dxa"/>
            <w:vAlign w:val="center"/>
          </w:tcPr>
          <w:p w14:paraId="50735F2D" w14:textId="09BC2E06" w:rsidR="000E511D" w:rsidRPr="00BF6BF6" w:rsidRDefault="000E511D" w:rsidP="0005414B">
            <w:pPr>
              <w:widowControl w:val="0"/>
              <w:autoSpaceDE w:val="0"/>
              <w:autoSpaceDN w:val="0"/>
              <w:spacing w:after="0" w:line="275" w:lineRule="exact"/>
              <w:ind w:left="108"/>
              <w:cnfStyle w:val="000000000000" w:firstRow="0" w:lastRow="0" w:firstColumn="0" w:lastColumn="0" w:oddVBand="0" w:evenVBand="0" w:oddHBand="0" w:evenHBand="0" w:firstRowFirstColumn="0" w:firstRowLastColumn="0" w:lastRowFirstColumn="0" w:lastRowLastColumn="0"/>
              <w:rPr>
                <w:szCs w:val="22"/>
              </w:rPr>
            </w:pPr>
            <w:r w:rsidRPr="00BF6BF6">
              <w:rPr>
                <w:rFonts w:eastAsia="Times New Roman"/>
                <w:szCs w:val="22"/>
                <w:lang w:val="en-US"/>
              </w:rPr>
              <w:t xml:space="preserve">31 </w:t>
            </w:r>
            <w:r w:rsidRPr="00BF6BF6">
              <w:rPr>
                <w:rFonts w:eastAsia="Times New Roman"/>
                <w:spacing w:val="-2"/>
                <w:szCs w:val="22"/>
                <w:lang w:val="en-US"/>
              </w:rPr>
              <w:t>October</w:t>
            </w:r>
            <w:r w:rsidR="0005414B">
              <w:rPr>
                <w:rFonts w:eastAsia="Times New Roman"/>
                <w:spacing w:val="-2"/>
                <w:szCs w:val="22"/>
                <w:lang w:val="en-US"/>
              </w:rPr>
              <w:t xml:space="preserve"> </w:t>
            </w:r>
            <w:r w:rsidRPr="00BF6BF6">
              <w:rPr>
                <w:rFonts w:eastAsia="Times New Roman"/>
                <w:spacing w:val="-4"/>
                <w:szCs w:val="22"/>
                <w:lang w:val="en-US"/>
              </w:rPr>
              <w:t>2022</w:t>
            </w:r>
          </w:p>
        </w:tc>
        <w:tc>
          <w:tcPr>
            <w:tcW w:w="2185" w:type="dxa"/>
            <w:vAlign w:val="center"/>
          </w:tcPr>
          <w:p w14:paraId="13AEA623" w14:textId="6A8886B1" w:rsidR="000E511D" w:rsidRPr="00BF6BF6" w:rsidRDefault="000E511D" w:rsidP="000E511D">
            <w:pPr>
              <w:cnfStyle w:val="000000000000" w:firstRow="0" w:lastRow="0" w:firstColumn="0" w:lastColumn="0" w:oddVBand="0" w:evenVBand="0" w:oddHBand="0" w:evenHBand="0" w:firstRowFirstColumn="0" w:firstRowLastColumn="0" w:lastRowFirstColumn="0" w:lastRowLastColumn="0"/>
              <w:rPr>
                <w:szCs w:val="22"/>
              </w:rPr>
            </w:pPr>
            <w:r w:rsidRPr="00BF6BF6">
              <w:rPr>
                <w:rFonts w:eastAsia="Times New Roman"/>
                <w:spacing w:val="-2"/>
                <w:szCs w:val="22"/>
                <w:lang w:val="en-US"/>
              </w:rPr>
              <w:t>Under</w:t>
            </w:r>
            <w:r w:rsidR="001266BA" w:rsidRPr="00BF6BF6">
              <w:rPr>
                <w:rFonts w:eastAsia="Times New Roman"/>
                <w:spacing w:val="-2"/>
                <w:szCs w:val="22"/>
                <w:lang w:val="en-US"/>
              </w:rPr>
              <w:t xml:space="preserve"> </w:t>
            </w:r>
            <w:r w:rsidRPr="00BF6BF6">
              <w:rPr>
                <w:rFonts w:eastAsia="Times New Roman"/>
                <w:spacing w:val="-2"/>
                <w:szCs w:val="22"/>
                <w:lang w:val="en-US"/>
              </w:rPr>
              <w:t>assessment</w:t>
            </w:r>
          </w:p>
        </w:tc>
        <w:tc>
          <w:tcPr>
            <w:tcW w:w="3569" w:type="dxa"/>
            <w:vAlign w:val="center"/>
          </w:tcPr>
          <w:p w14:paraId="73AA7239" w14:textId="77777777" w:rsidR="000E511D" w:rsidRPr="00BF6BF6" w:rsidRDefault="000E511D" w:rsidP="000E511D">
            <w:pPr>
              <w:cnfStyle w:val="000000000000" w:firstRow="0" w:lastRow="0" w:firstColumn="0" w:lastColumn="0" w:oddVBand="0" w:evenVBand="0" w:oddHBand="0" w:evenHBand="0" w:firstRowFirstColumn="0" w:firstRowLastColumn="0" w:lastRowFirstColumn="0" w:lastRowLastColumn="0"/>
              <w:rPr>
                <w:szCs w:val="22"/>
              </w:rPr>
            </w:pPr>
          </w:p>
        </w:tc>
      </w:tr>
      <w:tr w:rsidR="001266BA" w:rsidRPr="00BF6BF6" w14:paraId="2AEB41B0" w14:textId="77777777" w:rsidTr="0005414B">
        <w:tc>
          <w:tcPr>
            <w:cnfStyle w:val="001000000000" w:firstRow="0" w:lastRow="0" w:firstColumn="1" w:lastColumn="0" w:oddVBand="0" w:evenVBand="0" w:oddHBand="0" w:evenHBand="0" w:firstRowFirstColumn="0" w:firstRowLastColumn="0" w:lastRowFirstColumn="0" w:lastRowLastColumn="0"/>
            <w:tcW w:w="1525" w:type="dxa"/>
            <w:vAlign w:val="center"/>
          </w:tcPr>
          <w:p w14:paraId="55E40D7A" w14:textId="1E43CE9D" w:rsidR="000E511D" w:rsidRPr="00BF6BF6" w:rsidRDefault="000E511D" w:rsidP="000E511D">
            <w:pPr>
              <w:rPr>
                <w:rFonts w:eastAsia="Times New Roman"/>
                <w:spacing w:val="-2"/>
                <w:szCs w:val="22"/>
                <w:lang w:val="en-US"/>
              </w:rPr>
            </w:pPr>
            <w:r w:rsidRPr="00BF6BF6">
              <w:rPr>
                <w:rFonts w:eastAsia="Times New Roman"/>
                <w:spacing w:val="-2"/>
                <w:szCs w:val="22"/>
                <w:lang w:val="en-US"/>
              </w:rPr>
              <w:t>Argentina</w:t>
            </w:r>
          </w:p>
        </w:tc>
        <w:tc>
          <w:tcPr>
            <w:tcW w:w="1530" w:type="dxa"/>
            <w:vAlign w:val="center"/>
          </w:tcPr>
          <w:p w14:paraId="28E5DD7C" w14:textId="5B685056" w:rsidR="000E511D" w:rsidRPr="00BF6BF6" w:rsidRDefault="000E511D" w:rsidP="0005414B">
            <w:pPr>
              <w:widowControl w:val="0"/>
              <w:autoSpaceDE w:val="0"/>
              <w:autoSpaceDN w:val="0"/>
              <w:spacing w:after="0" w:line="275" w:lineRule="exact"/>
              <w:ind w:left="108"/>
              <w:cnfStyle w:val="000000000000" w:firstRow="0" w:lastRow="0" w:firstColumn="0" w:lastColumn="0" w:oddVBand="0" w:evenVBand="0" w:oddHBand="0" w:evenHBand="0" w:firstRowFirstColumn="0" w:firstRowLastColumn="0" w:lastRowFirstColumn="0" w:lastRowLastColumn="0"/>
              <w:rPr>
                <w:rFonts w:eastAsia="Times New Roman"/>
                <w:szCs w:val="22"/>
                <w:lang w:val="en-US"/>
              </w:rPr>
            </w:pPr>
            <w:r w:rsidRPr="00BF6BF6">
              <w:rPr>
                <w:rFonts w:eastAsia="Times New Roman"/>
                <w:szCs w:val="22"/>
                <w:lang w:val="en-US"/>
              </w:rPr>
              <w:t xml:space="preserve">30 </w:t>
            </w:r>
            <w:r w:rsidRPr="00BF6BF6">
              <w:rPr>
                <w:rFonts w:eastAsia="Times New Roman"/>
                <w:spacing w:val="-2"/>
                <w:szCs w:val="22"/>
                <w:lang w:val="en-US"/>
              </w:rPr>
              <w:t>November</w:t>
            </w:r>
            <w:r w:rsidR="0005414B">
              <w:rPr>
                <w:rFonts w:eastAsia="Times New Roman"/>
                <w:spacing w:val="-2"/>
                <w:szCs w:val="22"/>
                <w:lang w:val="en-US"/>
              </w:rPr>
              <w:t xml:space="preserve"> </w:t>
            </w:r>
            <w:r w:rsidRPr="00BF6BF6">
              <w:rPr>
                <w:rFonts w:eastAsia="Times New Roman"/>
                <w:spacing w:val="-4"/>
                <w:szCs w:val="22"/>
                <w:lang w:val="en-US"/>
              </w:rPr>
              <w:t>2022</w:t>
            </w:r>
          </w:p>
        </w:tc>
        <w:tc>
          <w:tcPr>
            <w:tcW w:w="2185" w:type="dxa"/>
            <w:vAlign w:val="center"/>
          </w:tcPr>
          <w:p w14:paraId="156EA18F" w14:textId="5FD2BF62" w:rsidR="000E511D" w:rsidRPr="00BF6BF6" w:rsidRDefault="000E511D" w:rsidP="000E511D">
            <w:pPr>
              <w:cnfStyle w:val="000000000000" w:firstRow="0" w:lastRow="0" w:firstColumn="0" w:lastColumn="0" w:oddVBand="0" w:evenVBand="0" w:oddHBand="0" w:evenHBand="0" w:firstRowFirstColumn="0" w:firstRowLastColumn="0" w:lastRowFirstColumn="0" w:lastRowLastColumn="0"/>
              <w:rPr>
                <w:rFonts w:eastAsia="Times New Roman"/>
                <w:spacing w:val="-2"/>
                <w:szCs w:val="22"/>
                <w:lang w:val="en-US"/>
              </w:rPr>
            </w:pPr>
            <w:r w:rsidRPr="00BF6BF6">
              <w:rPr>
                <w:rFonts w:eastAsia="Times New Roman"/>
                <w:spacing w:val="-2"/>
                <w:szCs w:val="22"/>
                <w:lang w:val="en-US"/>
              </w:rPr>
              <w:t>Approved</w:t>
            </w:r>
            <w:r w:rsidRPr="00BF6BF6">
              <w:rPr>
                <w:rFonts w:eastAsia="Times New Roman"/>
                <w:spacing w:val="80"/>
                <w:szCs w:val="22"/>
                <w:lang w:val="en-US"/>
              </w:rPr>
              <w:t xml:space="preserve"> </w:t>
            </w:r>
            <w:r w:rsidRPr="00BF6BF6">
              <w:rPr>
                <w:rFonts w:eastAsia="Times New Roman"/>
                <w:szCs w:val="22"/>
                <w:lang w:val="en-US"/>
              </w:rPr>
              <w:t>26</w:t>
            </w:r>
            <w:r w:rsidRPr="00BF6BF6">
              <w:rPr>
                <w:rFonts w:eastAsia="Times New Roman"/>
                <w:spacing w:val="-15"/>
                <w:szCs w:val="22"/>
                <w:lang w:val="en-US"/>
              </w:rPr>
              <w:t xml:space="preserve"> </w:t>
            </w:r>
            <w:r w:rsidRPr="00BF6BF6">
              <w:rPr>
                <w:rFonts w:eastAsia="Times New Roman"/>
                <w:szCs w:val="22"/>
                <w:lang w:val="en-US"/>
              </w:rPr>
              <w:t>July</w:t>
            </w:r>
            <w:r w:rsidRPr="00BF6BF6">
              <w:rPr>
                <w:rFonts w:eastAsia="Times New Roman"/>
                <w:spacing w:val="-15"/>
                <w:szCs w:val="22"/>
                <w:lang w:val="en-US"/>
              </w:rPr>
              <w:t xml:space="preserve"> </w:t>
            </w:r>
            <w:r w:rsidRPr="00BF6BF6">
              <w:rPr>
                <w:rFonts w:eastAsia="Times New Roman"/>
                <w:szCs w:val="22"/>
                <w:lang w:val="en-US"/>
              </w:rPr>
              <w:t>2023</w:t>
            </w:r>
          </w:p>
        </w:tc>
        <w:tc>
          <w:tcPr>
            <w:tcW w:w="3569" w:type="dxa"/>
            <w:vAlign w:val="center"/>
          </w:tcPr>
          <w:p w14:paraId="5038B7AD" w14:textId="330504F1" w:rsidR="000E511D" w:rsidRPr="00BF6BF6" w:rsidRDefault="000E511D" w:rsidP="000E511D">
            <w:pPr>
              <w:cnfStyle w:val="000000000000" w:firstRow="0" w:lastRow="0" w:firstColumn="0" w:lastColumn="0" w:oddVBand="0" w:evenVBand="0" w:oddHBand="0" w:evenHBand="0" w:firstRowFirstColumn="0" w:firstRowLastColumn="0" w:lastRowFirstColumn="0" w:lastRowLastColumn="0"/>
              <w:rPr>
                <w:szCs w:val="22"/>
              </w:rPr>
            </w:pPr>
            <w:r w:rsidRPr="00BF6BF6">
              <w:rPr>
                <w:rFonts w:eastAsia="Times New Roman"/>
                <w:szCs w:val="22"/>
                <w:lang w:val="en-US"/>
              </w:rPr>
              <w:t>Treatment</w:t>
            </w:r>
            <w:r w:rsidRPr="00BF6BF6">
              <w:rPr>
                <w:rFonts w:eastAsia="Times New Roman"/>
                <w:spacing w:val="-9"/>
                <w:szCs w:val="22"/>
                <w:lang w:val="en-US"/>
              </w:rPr>
              <w:t xml:space="preserve"> </w:t>
            </w:r>
            <w:r w:rsidRPr="00BF6BF6">
              <w:rPr>
                <w:rFonts w:eastAsia="Times New Roman"/>
                <w:szCs w:val="22"/>
                <w:lang w:val="en-US"/>
              </w:rPr>
              <w:t>of</w:t>
            </w:r>
            <w:r w:rsidRPr="00BF6BF6">
              <w:rPr>
                <w:rFonts w:eastAsia="Times New Roman"/>
                <w:spacing w:val="-10"/>
                <w:szCs w:val="22"/>
                <w:lang w:val="en-US"/>
              </w:rPr>
              <w:t xml:space="preserve"> </w:t>
            </w:r>
            <w:r w:rsidRPr="00BF6BF6">
              <w:rPr>
                <w:rFonts w:eastAsia="Times New Roman"/>
                <w:szCs w:val="22"/>
                <w:lang w:val="en-US"/>
              </w:rPr>
              <w:t>hATTR</w:t>
            </w:r>
            <w:r w:rsidRPr="00BF6BF6">
              <w:rPr>
                <w:rFonts w:eastAsia="Times New Roman"/>
                <w:spacing w:val="-9"/>
                <w:szCs w:val="22"/>
                <w:lang w:val="en-US"/>
              </w:rPr>
              <w:t xml:space="preserve"> </w:t>
            </w:r>
            <w:r w:rsidRPr="00BF6BF6">
              <w:rPr>
                <w:rFonts w:eastAsia="Times New Roman"/>
                <w:szCs w:val="22"/>
                <w:lang w:val="en-US"/>
              </w:rPr>
              <w:t>amyloidosis</w:t>
            </w:r>
            <w:r w:rsidRPr="00BF6BF6">
              <w:rPr>
                <w:rFonts w:eastAsia="Times New Roman"/>
                <w:spacing w:val="-9"/>
                <w:szCs w:val="22"/>
                <w:lang w:val="en-US"/>
              </w:rPr>
              <w:t xml:space="preserve"> </w:t>
            </w:r>
            <w:r w:rsidRPr="00BF6BF6">
              <w:rPr>
                <w:rFonts w:eastAsia="Times New Roman"/>
                <w:szCs w:val="22"/>
                <w:lang w:val="en-US"/>
              </w:rPr>
              <w:t>in adult</w:t>
            </w:r>
            <w:r w:rsidRPr="00BF6BF6">
              <w:rPr>
                <w:rFonts w:eastAsia="Times New Roman"/>
                <w:spacing w:val="-2"/>
                <w:szCs w:val="22"/>
                <w:lang w:val="en-US"/>
              </w:rPr>
              <w:t xml:space="preserve"> </w:t>
            </w:r>
            <w:r w:rsidRPr="00BF6BF6">
              <w:rPr>
                <w:rFonts w:eastAsia="Times New Roman"/>
                <w:szCs w:val="22"/>
                <w:lang w:val="en-US"/>
              </w:rPr>
              <w:t>patients</w:t>
            </w:r>
            <w:r w:rsidRPr="00BF6BF6">
              <w:rPr>
                <w:rFonts w:eastAsia="Times New Roman"/>
                <w:spacing w:val="-2"/>
                <w:szCs w:val="22"/>
                <w:lang w:val="en-US"/>
              </w:rPr>
              <w:t xml:space="preserve"> </w:t>
            </w:r>
            <w:r w:rsidRPr="00BF6BF6">
              <w:rPr>
                <w:rFonts w:eastAsia="Times New Roman"/>
                <w:szCs w:val="22"/>
                <w:lang w:val="en-US"/>
              </w:rPr>
              <w:t>with</w:t>
            </w:r>
            <w:r w:rsidRPr="00BF6BF6">
              <w:rPr>
                <w:rFonts w:eastAsia="Times New Roman"/>
                <w:spacing w:val="-2"/>
                <w:szCs w:val="22"/>
                <w:lang w:val="en-US"/>
              </w:rPr>
              <w:t xml:space="preserve"> </w:t>
            </w:r>
            <w:r w:rsidRPr="00BF6BF6">
              <w:rPr>
                <w:rFonts w:eastAsia="Times New Roman"/>
                <w:szCs w:val="22"/>
                <w:lang w:val="en-US"/>
              </w:rPr>
              <w:t>stage</w:t>
            </w:r>
            <w:r w:rsidRPr="00BF6BF6">
              <w:rPr>
                <w:rFonts w:eastAsia="Times New Roman"/>
                <w:spacing w:val="-3"/>
                <w:szCs w:val="22"/>
                <w:lang w:val="en-US"/>
              </w:rPr>
              <w:t xml:space="preserve"> </w:t>
            </w:r>
            <w:r w:rsidRPr="00BF6BF6">
              <w:rPr>
                <w:rFonts w:eastAsia="Times New Roman"/>
                <w:szCs w:val="22"/>
                <w:lang w:val="en-US"/>
              </w:rPr>
              <w:t>1</w:t>
            </w:r>
            <w:r w:rsidRPr="00BF6BF6">
              <w:rPr>
                <w:rFonts w:eastAsia="Times New Roman"/>
                <w:spacing w:val="-2"/>
                <w:szCs w:val="22"/>
                <w:lang w:val="en-US"/>
              </w:rPr>
              <w:t xml:space="preserve"> </w:t>
            </w:r>
            <w:r w:rsidRPr="00BF6BF6">
              <w:rPr>
                <w:rFonts w:eastAsia="Times New Roman"/>
                <w:szCs w:val="22"/>
                <w:lang w:val="en-US"/>
              </w:rPr>
              <w:t>or</w:t>
            </w:r>
            <w:r w:rsidRPr="00BF6BF6">
              <w:rPr>
                <w:rFonts w:eastAsia="Times New Roman"/>
                <w:spacing w:val="-3"/>
                <w:szCs w:val="22"/>
                <w:lang w:val="en-US"/>
              </w:rPr>
              <w:t xml:space="preserve"> </w:t>
            </w:r>
            <w:r w:rsidRPr="00BF6BF6">
              <w:rPr>
                <w:rFonts w:eastAsia="Times New Roman"/>
                <w:szCs w:val="22"/>
                <w:lang w:val="en-US"/>
              </w:rPr>
              <w:t>stage</w:t>
            </w:r>
            <w:r w:rsidRPr="00BF6BF6">
              <w:rPr>
                <w:rFonts w:eastAsia="Times New Roman"/>
                <w:spacing w:val="-3"/>
                <w:szCs w:val="22"/>
                <w:lang w:val="en-US"/>
              </w:rPr>
              <w:t xml:space="preserve"> </w:t>
            </w:r>
            <w:r w:rsidRPr="00BF6BF6">
              <w:rPr>
                <w:rFonts w:eastAsia="Times New Roman"/>
                <w:szCs w:val="22"/>
                <w:lang w:val="en-US"/>
              </w:rPr>
              <w:t xml:space="preserve">2 </w:t>
            </w:r>
            <w:r w:rsidRPr="00BF6BF6">
              <w:rPr>
                <w:rFonts w:eastAsia="Times New Roman"/>
                <w:spacing w:val="-2"/>
                <w:szCs w:val="22"/>
                <w:lang w:val="en-US"/>
              </w:rPr>
              <w:t>polyneuropathy</w:t>
            </w:r>
          </w:p>
        </w:tc>
      </w:tr>
      <w:tr w:rsidR="001266BA" w:rsidRPr="00BF6BF6" w14:paraId="71B8A262" w14:textId="77777777" w:rsidTr="0005414B">
        <w:tc>
          <w:tcPr>
            <w:cnfStyle w:val="001000000000" w:firstRow="0" w:lastRow="0" w:firstColumn="1" w:lastColumn="0" w:oddVBand="0" w:evenVBand="0" w:oddHBand="0" w:evenHBand="0" w:firstRowFirstColumn="0" w:firstRowLastColumn="0" w:lastRowFirstColumn="0" w:lastRowLastColumn="0"/>
            <w:tcW w:w="1525" w:type="dxa"/>
            <w:vAlign w:val="center"/>
          </w:tcPr>
          <w:p w14:paraId="16FB5787" w14:textId="533A8C47" w:rsidR="000E511D" w:rsidRPr="00BF6BF6" w:rsidRDefault="000E511D" w:rsidP="000E511D">
            <w:pPr>
              <w:rPr>
                <w:rFonts w:eastAsia="Times New Roman"/>
                <w:spacing w:val="-2"/>
                <w:szCs w:val="22"/>
                <w:lang w:val="en-US"/>
              </w:rPr>
            </w:pPr>
            <w:r w:rsidRPr="00BF6BF6">
              <w:rPr>
                <w:rFonts w:eastAsia="Times New Roman"/>
                <w:spacing w:val="-2"/>
                <w:szCs w:val="22"/>
                <w:lang w:val="en-US"/>
              </w:rPr>
              <w:t>Mexico</w:t>
            </w:r>
          </w:p>
        </w:tc>
        <w:tc>
          <w:tcPr>
            <w:tcW w:w="1530" w:type="dxa"/>
            <w:vAlign w:val="center"/>
          </w:tcPr>
          <w:p w14:paraId="43599DF0" w14:textId="3F00DE32" w:rsidR="000E511D" w:rsidRPr="00BF6BF6" w:rsidRDefault="000E511D" w:rsidP="0005414B">
            <w:pPr>
              <w:widowControl w:val="0"/>
              <w:autoSpaceDE w:val="0"/>
              <w:autoSpaceDN w:val="0"/>
              <w:spacing w:after="0" w:line="275" w:lineRule="exact"/>
              <w:ind w:left="108"/>
              <w:cnfStyle w:val="000000000000" w:firstRow="0" w:lastRow="0" w:firstColumn="0" w:lastColumn="0" w:oddVBand="0" w:evenVBand="0" w:oddHBand="0" w:evenHBand="0" w:firstRowFirstColumn="0" w:firstRowLastColumn="0" w:lastRowFirstColumn="0" w:lastRowLastColumn="0"/>
              <w:rPr>
                <w:rFonts w:eastAsia="Times New Roman"/>
                <w:szCs w:val="22"/>
                <w:lang w:val="en-US"/>
              </w:rPr>
            </w:pPr>
            <w:r w:rsidRPr="00BF6BF6">
              <w:rPr>
                <w:rFonts w:eastAsia="Times New Roman"/>
                <w:szCs w:val="22"/>
                <w:lang w:val="en-US"/>
              </w:rPr>
              <w:t xml:space="preserve">15 </w:t>
            </w:r>
            <w:r w:rsidRPr="00BF6BF6">
              <w:rPr>
                <w:rFonts w:eastAsia="Times New Roman"/>
                <w:spacing w:val="-2"/>
                <w:szCs w:val="22"/>
                <w:lang w:val="en-US"/>
              </w:rPr>
              <w:t>December</w:t>
            </w:r>
            <w:r w:rsidR="0005414B">
              <w:rPr>
                <w:rFonts w:eastAsia="Times New Roman"/>
                <w:spacing w:val="-2"/>
                <w:szCs w:val="22"/>
                <w:lang w:val="en-US"/>
              </w:rPr>
              <w:t xml:space="preserve"> </w:t>
            </w:r>
            <w:r w:rsidRPr="00BF6BF6">
              <w:rPr>
                <w:rFonts w:eastAsia="Times New Roman"/>
                <w:spacing w:val="-4"/>
                <w:szCs w:val="22"/>
                <w:lang w:val="en-US"/>
              </w:rPr>
              <w:t>2022</w:t>
            </w:r>
          </w:p>
        </w:tc>
        <w:tc>
          <w:tcPr>
            <w:tcW w:w="2185" w:type="dxa"/>
            <w:vAlign w:val="center"/>
          </w:tcPr>
          <w:p w14:paraId="600CD1BF" w14:textId="5B9B3350" w:rsidR="000E511D" w:rsidRPr="00BF6BF6" w:rsidRDefault="000E511D" w:rsidP="000E511D">
            <w:pPr>
              <w:cnfStyle w:val="000000000000" w:firstRow="0" w:lastRow="0" w:firstColumn="0" w:lastColumn="0" w:oddVBand="0" w:evenVBand="0" w:oddHBand="0" w:evenHBand="0" w:firstRowFirstColumn="0" w:firstRowLastColumn="0" w:lastRowFirstColumn="0" w:lastRowLastColumn="0"/>
              <w:rPr>
                <w:rFonts w:eastAsia="Times New Roman"/>
                <w:spacing w:val="-2"/>
                <w:szCs w:val="22"/>
                <w:lang w:val="en-US"/>
              </w:rPr>
            </w:pPr>
            <w:r w:rsidRPr="00BF6BF6">
              <w:rPr>
                <w:rFonts w:eastAsia="Times New Roman"/>
                <w:spacing w:val="-2"/>
                <w:szCs w:val="22"/>
                <w:lang w:val="en-US"/>
              </w:rPr>
              <w:t>Under assessment</w:t>
            </w:r>
          </w:p>
        </w:tc>
        <w:tc>
          <w:tcPr>
            <w:tcW w:w="3569" w:type="dxa"/>
            <w:vAlign w:val="center"/>
          </w:tcPr>
          <w:p w14:paraId="66D76E8A" w14:textId="77777777" w:rsidR="000E511D" w:rsidRPr="00BF6BF6" w:rsidRDefault="000E511D" w:rsidP="000E511D">
            <w:pPr>
              <w:cnfStyle w:val="000000000000" w:firstRow="0" w:lastRow="0" w:firstColumn="0" w:lastColumn="0" w:oddVBand="0" w:evenVBand="0" w:oddHBand="0" w:evenHBand="0" w:firstRowFirstColumn="0" w:firstRowLastColumn="0" w:lastRowFirstColumn="0" w:lastRowLastColumn="0"/>
              <w:rPr>
                <w:rFonts w:eastAsia="Times New Roman"/>
                <w:szCs w:val="22"/>
                <w:lang w:val="en-US"/>
              </w:rPr>
            </w:pPr>
          </w:p>
        </w:tc>
      </w:tr>
      <w:tr w:rsidR="001266BA" w:rsidRPr="00BF6BF6" w14:paraId="6FDA0007" w14:textId="77777777" w:rsidTr="0005414B">
        <w:tc>
          <w:tcPr>
            <w:cnfStyle w:val="001000000000" w:firstRow="0" w:lastRow="0" w:firstColumn="1" w:lastColumn="0" w:oddVBand="0" w:evenVBand="0" w:oddHBand="0" w:evenHBand="0" w:firstRowFirstColumn="0" w:firstRowLastColumn="0" w:lastRowFirstColumn="0" w:lastRowLastColumn="0"/>
            <w:tcW w:w="1525" w:type="dxa"/>
            <w:vAlign w:val="center"/>
          </w:tcPr>
          <w:p w14:paraId="2F59B5AD" w14:textId="193FF1D9" w:rsidR="000E511D" w:rsidRPr="00BF6BF6" w:rsidRDefault="000E511D" w:rsidP="000E511D">
            <w:pPr>
              <w:rPr>
                <w:rFonts w:eastAsia="Times New Roman"/>
                <w:spacing w:val="-2"/>
                <w:szCs w:val="22"/>
                <w:lang w:val="en-US"/>
              </w:rPr>
            </w:pPr>
            <w:r w:rsidRPr="00BF6BF6">
              <w:rPr>
                <w:rFonts w:eastAsia="Times New Roman"/>
                <w:spacing w:val="-2"/>
                <w:szCs w:val="22"/>
                <w:lang w:val="en-US"/>
              </w:rPr>
              <w:t>Israel</w:t>
            </w:r>
          </w:p>
        </w:tc>
        <w:tc>
          <w:tcPr>
            <w:tcW w:w="1530" w:type="dxa"/>
            <w:vAlign w:val="center"/>
          </w:tcPr>
          <w:p w14:paraId="1F9B8CDC" w14:textId="452DDB7D" w:rsidR="000E511D" w:rsidRPr="00BF6BF6" w:rsidRDefault="000E511D" w:rsidP="000E511D">
            <w:pPr>
              <w:widowControl w:val="0"/>
              <w:autoSpaceDE w:val="0"/>
              <w:autoSpaceDN w:val="0"/>
              <w:spacing w:after="0" w:line="275" w:lineRule="exact"/>
              <w:ind w:left="108"/>
              <w:cnfStyle w:val="000000000000" w:firstRow="0" w:lastRow="0" w:firstColumn="0" w:lastColumn="0" w:oddVBand="0" w:evenVBand="0" w:oddHBand="0" w:evenHBand="0" w:firstRowFirstColumn="0" w:firstRowLastColumn="0" w:lastRowFirstColumn="0" w:lastRowLastColumn="0"/>
              <w:rPr>
                <w:rFonts w:eastAsia="Times New Roman"/>
                <w:szCs w:val="22"/>
                <w:lang w:val="en-US"/>
              </w:rPr>
            </w:pPr>
            <w:r w:rsidRPr="00BF6BF6">
              <w:rPr>
                <w:rFonts w:eastAsia="Times New Roman"/>
                <w:szCs w:val="22"/>
                <w:lang w:val="en-US"/>
              </w:rPr>
              <w:t>11 June</w:t>
            </w:r>
            <w:r w:rsidRPr="00BF6BF6">
              <w:rPr>
                <w:rFonts w:eastAsia="Times New Roman"/>
                <w:spacing w:val="-1"/>
                <w:szCs w:val="22"/>
                <w:lang w:val="en-US"/>
              </w:rPr>
              <w:t xml:space="preserve"> </w:t>
            </w:r>
            <w:r w:rsidRPr="00BF6BF6">
              <w:rPr>
                <w:rFonts w:eastAsia="Times New Roman"/>
                <w:spacing w:val="-4"/>
                <w:szCs w:val="22"/>
                <w:lang w:val="en-US"/>
              </w:rPr>
              <w:t>2023</w:t>
            </w:r>
          </w:p>
        </w:tc>
        <w:tc>
          <w:tcPr>
            <w:tcW w:w="2185" w:type="dxa"/>
            <w:vAlign w:val="center"/>
          </w:tcPr>
          <w:p w14:paraId="2D7793B0" w14:textId="0B4A1318" w:rsidR="000E511D" w:rsidRPr="00BF6BF6" w:rsidRDefault="000E511D" w:rsidP="000E511D">
            <w:pPr>
              <w:cnfStyle w:val="000000000000" w:firstRow="0" w:lastRow="0" w:firstColumn="0" w:lastColumn="0" w:oddVBand="0" w:evenVBand="0" w:oddHBand="0" w:evenHBand="0" w:firstRowFirstColumn="0" w:firstRowLastColumn="0" w:lastRowFirstColumn="0" w:lastRowLastColumn="0"/>
              <w:rPr>
                <w:rFonts w:eastAsia="Times New Roman"/>
                <w:spacing w:val="-2"/>
                <w:szCs w:val="22"/>
                <w:lang w:val="en-US"/>
              </w:rPr>
            </w:pPr>
            <w:r w:rsidRPr="00BF6BF6">
              <w:rPr>
                <w:rFonts w:eastAsia="Times New Roman"/>
                <w:spacing w:val="-2"/>
                <w:szCs w:val="22"/>
                <w:lang w:val="en-US"/>
              </w:rPr>
              <w:t>Under assessment</w:t>
            </w:r>
          </w:p>
        </w:tc>
        <w:tc>
          <w:tcPr>
            <w:tcW w:w="3569" w:type="dxa"/>
            <w:vAlign w:val="center"/>
          </w:tcPr>
          <w:p w14:paraId="5F699084" w14:textId="77777777" w:rsidR="000E511D" w:rsidRPr="00BF6BF6" w:rsidRDefault="000E511D" w:rsidP="000E511D">
            <w:pPr>
              <w:cnfStyle w:val="000000000000" w:firstRow="0" w:lastRow="0" w:firstColumn="0" w:lastColumn="0" w:oddVBand="0" w:evenVBand="0" w:oddHBand="0" w:evenHBand="0" w:firstRowFirstColumn="0" w:firstRowLastColumn="0" w:lastRowFirstColumn="0" w:lastRowLastColumn="0"/>
              <w:rPr>
                <w:rFonts w:eastAsia="Times New Roman"/>
                <w:szCs w:val="22"/>
                <w:lang w:val="en-US"/>
              </w:rPr>
            </w:pPr>
          </w:p>
        </w:tc>
      </w:tr>
    </w:tbl>
    <w:p w14:paraId="6D92589C" w14:textId="09786CEF" w:rsidR="00324B33" w:rsidRDefault="00324B33" w:rsidP="009E3553">
      <w:pPr>
        <w:pStyle w:val="Heading3"/>
      </w:pPr>
      <w:bookmarkStart w:id="18" w:name="_Toc504480011"/>
      <w:bookmarkStart w:id="19" w:name="_Toc103679293"/>
      <w:bookmarkStart w:id="20" w:name="_Toc177466079"/>
      <w:r>
        <w:t>Registration timeline</w:t>
      </w:r>
      <w:bookmarkEnd w:id="18"/>
      <w:bookmarkEnd w:id="19"/>
      <w:bookmarkEnd w:id="20"/>
    </w:p>
    <w:p w14:paraId="225E3D87" w14:textId="031B851A" w:rsidR="00324B33" w:rsidRPr="00BD5DBD" w:rsidRDefault="001266BA" w:rsidP="00324B33">
      <w:pPr>
        <w:rPr>
          <w:szCs w:val="22"/>
        </w:rPr>
      </w:pPr>
      <w:r>
        <w:rPr>
          <w:szCs w:val="22"/>
        </w:rPr>
        <w:t xml:space="preserve">Table 2 </w:t>
      </w:r>
      <w:r w:rsidR="00324B33" w:rsidRPr="00BD5DBD">
        <w:rPr>
          <w:szCs w:val="22"/>
        </w:rPr>
        <w:t>captures the key steps and dates for this submission.</w:t>
      </w:r>
    </w:p>
    <w:p w14:paraId="6BB76942" w14:textId="49C62989" w:rsidR="00477C4E" w:rsidRPr="00BD5DBD" w:rsidRDefault="00477C4E" w:rsidP="00324B33">
      <w:pPr>
        <w:rPr>
          <w:szCs w:val="22"/>
        </w:rPr>
      </w:pPr>
      <w:r w:rsidRPr="00BD5DBD">
        <w:rPr>
          <w:szCs w:val="22"/>
        </w:rPr>
        <w:t xml:space="preserve">This submission was evaluated under the </w:t>
      </w:r>
      <w:hyperlink r:id="rId22" w:history="1">
        <w:r w:rsidRPr="00BD5DBD">
          <w:rPr>
            <w:rStyle w:val="Hyperlink"/>
            <w:szCs w:val="22"/>
          </w:rPr>
          <w:t>standard prescription medicines registration process</w:t>
        </w:r>
      </w:hyperlink>
      <w:r w:rsidRPr="00BD5DBD">
        <w:rPr>
          <w:szCs w:val="22"/>
        </w:rPr>
        <w:t>.</w:t>
      </w:r>
    </w:p>
    <w:p w14:paraId="5B779104" w14:textId="6782FF9D" w:rsidR="0017005C" w:rsidRDefault="0017005C" w:rsidP="0017005C">
      <w:r w:rsidRPr="00BD5DBD">
        <w:rPr>
          <w:szCs w:val="22"/>
        </w:rPr>
        <w:t>Th</w:t>
      </w:r>
      <w:r w:rsidR="00804897">
        <w:rPr>
          <w:szCs w:val="22"/>
        </w:rPr>
        <w:t>e active ingredient with its proposed indication was given</w:t>
      </w:r>
      <w:r w:rsidR="00804897" w:rsidRPr="00804897">
        <w:t xml:space="preserve"> </w:t>
      </w:r>
      <w:hyperlink r:id="rId23" w:history="1">
        <w:r w:rsidR="00804897">
          <w:rPr>
            <w:rStyle w:val="Hyperlink"/>
          </w:rPr>
          <w:t>orphan drug designation</w:t>
        </w:r>
      </w:hyperlink>
      <w:r w:rsidR="00804897">
        <w:t>.</w:t>
      </w:r>
    </w:p>
    <w:p w14:paraId="44628C5F" w14:textId="1991A489" w:rsidR="00324B33" w:rsidRDefault="00324B33" w:rsidP="002C1232">
      <w:pPr>
        <w:pStyle w:val="TableTitle"/>
      </w:pPr>
      <w:r w:rsidRPr="002C1232">
        <w:t xml:space="preserve">Table </w:t>
      </w:r>
      <w:r>
        <w:fldChar w:fldCharType="begin"/>
      </w:r>
      <w:r>
        <w:instrText xml:space="preserve"> SEQ Table \* ARABIC </w:instrText>
      </w:r>
      <w:r>
        <w:fldChar w:fldCharType="separate"/>
      </w:r>
      <w:r w:rsidR="008B1CB5" w:rsidRPr="002C1232">
        <w:t>2</w:t>
      </w:r>
      <w:r>
        <w:fldChar w:fldCharType="end"/>
      </w:r>
      <w:r w:rsidRPr="002C1232">
        <w:t xml:space="preserve">: Timeline for </w:t>
      </w:r>
      <w:r w:rsidR="00053F77" w:rsidRPr="00053F77">
        <w:t xml:space="preserve">Amvuttra </w:t>
      </w:r>
      <w:r w:rsidR="00053F77">
        <w:t>(</w:t>
      </w:r>
      <w:r w:rsidR="00053F77" w:rsidRPr="00053F77">
        <w:t>vutrisiran</w:t>
      </w:r>
      <w:r w:rsidR="00053F77">
        <w:t>)</w:t>
      </w:r>
      <w:r w:rsidR="00053F77" w:rsidRPr="00053F77">
        <w:t xml:space="preserve"> </w:t>
      </w:r>
      <w:r w:rsidR="00053F77">
        <w:t>s</w:t>
      </w:r>
      <w:r w:rsidRPr="002C1232">
        <w:t xml:space="preserve">ubmission </w:t>
      </w:r>
      <w:r w:rsidR="008A7C47" w:rsidRPr="008A7C47">
        <w:t>PM-2023-04200-1</w:t>
      </w:r>
    </w:p>
    <w:tbl>
      <w:tblPr>
        <w:tblStyle w:val="TableTGAblue2023"/>
        <w:tblW w:w="8642" w:type="dxa"/>
        <w:tblLook w:val="04A0" w:firstRow="1" w:lastRow="0" w:firstColumn="1" w:lastColumn="0" w:noHBand="0" w:noVBand="1"/>
      </w:tblPr>
      <w:tblGrid>
        <w:gridCol w:w="5665"/>
        <w:gridCol w:w="2977"/>
      </w:tblGrid>
      <w:tr w:rsidR="00324B33" w:rsidRPr="00D01DDB" w14:paraId="6C59BE9C" w14:textId="77777777" w:rsidTr="000D7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6D80E78" w14:textId="3EC0CCAF" w:rsidR="00324B33" w:rsidRPr="00D01DDB" w:rsidRDefault="00324B33" w:rsidP="00324B33">
            <w:pPr>
              <w:rPr>
                <w:szCs w:val="22"/>
              </w:rPr>
            </w:pPr>
            <w:bookmarkStart w:id="21" w:name="_Hlk175395339"/>
            <w:bookmarkStart w:id="22" w:name="_Hlk175395582"/>
            <w:r w:rsidRPr="00D01DDB">
              <w:rPr>
                <w:szCs w:val="22"/>
              </w:rPr>
              <w:t>Description</w:t>
            </w:r>
          </w:p>
        </w:tc>
        <w:tc>
          <w:tcPr>
            <w:tcW w:w="2977"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bookmarkEnd w:id="21"/>
      <w:tr w:rsidR="00324B33" w:rsidRPr="00D01DDB" w14:paraId="1398460B"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1106CC1E" w14:textId="56269E33" w:rsidR="00324B33" w:rsidRPr="00E679D1" w:rsidRDefault="00324B33" w:rsidP="00E679D1">
            <w:r w:rsidRPr="00E679D1">
              <w:t>Designation (Orphan)</w:t>
            </w:r>
          </w:p>
        </w:tc>
        <w:tc>
          <w:tcPr>
            <w:tcW w:w="2977" w:type="dxa"/>
          </w:tcPr>
          <w:p w14:paraId="4CD143CF" w14:textId="77141182" w:rsidR="00324B33" w:rsidRPr="00D01DDB" w:rsidRDefault="005D14C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28 August 2023</w:t>
            </w:r>
          </w:p>
        </w:tc>
      </w:tr>
      <w:tr w:rsidR="00324B33" w:rsidRPr="00D01DDB" w14:paraId="23610C53"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59D2A12" w14:textId="0D705F83" w:rsidR="00324B33" w:rsidRPr="00E679D1" w:rsidRDefault="00324B33" w:rsidP="00E679D1">
            <w:r w:rsidRPr="00E679D1">
              <w:t>Submission dossier accepted and first round evaluation commenced</w:t>
            </w:r>
          </w:p>
        </w:tc>
        <w:tc>
          <w:tcPr>
            <w:tcW w:w="2977" w:type="dxa"/>
          </w:tcPr>
          <w:p w14:paraId="2963D9D8" w14:textId="2CA34027" w:rsidR="00324B33" w:rsidRPr="00D01DDB" w:rsidRDefault="000A2E7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October 2023</w:t>
            </w:r>
          </w:p>
        </w:tc>
      </w:tr>
      <w:tr w:rsidR="00324B33" w:rsidRPr="00D01DDB" w14:paraId="767E33A4"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AFC5B50" w14:textId="224AF283" w:rsidR="00324B33" w:rsidRPr="00E679D1" w:rsidRDefault="00D9340C" w:rsidP="00E679D1">
            <w:r>
              <w:t>E</w:t>
            </w:r>
            <w:r w:rsidR="00324B33" w:rsidRPr="00E679D1">
              <w:t>valuation completed</w:t>
            </w:r>
          </w:p>
        </w:tc>
        <w:tc>
          <w:tcPr>
            <w:tcW w:w="2977" w:type="dxa"/>
          </w:tcPr>
          <w:p w14:paraId="4E47DF62" w14:textId="571E7EE4" w:rsidR="00324B33" w:rsidRPr="00D01DDB" w:rsidRDefault="007C115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22 April 2024</w:t>
            </w:r>
          </w:p>
        </w:tc>
      </w:tr>
      <w:tr w:rsidR="00324B33" w:rsidRPr="00D01DDB" w14:paraId="302FCB45"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16E9DC1" w14:textId="300E0C9D" w:rsidR="00324B33" w:rsidRPr="00D01DDB" w:rsidRDefault="00CE0E84" w:rsidP="00324B33">
            <w:pPr>
              <w:rPr>
                <w:szCs w:val="22"/>
              </w:rPr>
            </w:pPr>
            <w:r>
              <w:rPr>
                <w:szCs w:val="22"/>
              </w:rPr>
              <w:t>Delegate</w:t>
            </w:r>
            <w:r w:rsidR="00324B33" w:rsidRPr="00D01DDB">
              <w:rPr>
                <w:szCs w:val="22"/>
              </w:rPr>
              <w:t>’s</w:t>
            </w:r>
            <w:r w:rsidR="00500D68">
              <w:rPr>
                <w:rStyle w:val="FootnoteReference"/>
                <w:szCs w:val="22"/>
              </w:rPr>
              <w:footnoteReference w:id="2"/>
            </w:r>
            <w:r w:rsidR="00324B33" w:rsidRPr="00D01DDB">
              <w:rPr>
                <w:szCs w:val="22"/>
              </w:rPr>
              <w:t xml:space="preserve"> Overall benefit-risk assessment </w:t>
            </w:r>
            <w:r w:rsidR="00324B33" w:rsidRPr="008A7C47">
              <w:rPr>
                <w:color w:val="auto"/>
                <w:szCs w:val="22"/>
              </w:rPr>
              <w:t>and request for Advisory Committee advice</w:t>
            </w:r>
            <w:r w:rsidR="008A7C47" w:rsidRPr="008A7C47">
              <w:rPr>
                <w:color w:val="auto"/>
                <w:szCs w:val="22"/>
              </w:rPr>
              <w:t>.</w:t>
            </w:r>
          </w:p>
        </w:tc>
        <w:tc>
          <w:tcPr>
            <w:tcW w:w="2977" w:type="dxa"/>
          </w:tcPr>
          <w:p w14:paraId="3BA6EF79" w14:textId="30D32644" w:rsidR="00324B33" w:rsidRPr="00D01DDB" w:rsidRDefault="0055213D"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15 May </w:t>
            </w:r>
            <w:r w:rsidR="00EE5693">
              <w:rPr>
                <w:szCs w:val="22"/>
              </w:rPr>
              <w:t>2024</w:t>
            </w:r>
          </w:p>
        </w:tc>
      </w:tr>
      <w:tr w:rsidR="00324B33" w:rsidRPr="00D01DDB" w14:paraId="6E5D32FE"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E95C44C" w14:textId="7A91C710" w:rsidR="00324B33" w:rsidRPr="00E679D1" w:rsidRDefault="00324B33" w:rsidP="00E679D1">
            <w:r w:rsidRPr="00E679D1">
              <w:t>Registration decision (Outcome)</w:t>
            </w:r>
          </w:p>
        </w:tc>
        <w:tc>
          <w:tcPr>
            <w:tcW w:w="2977" w:type="dxa"/>
          </w:tcPr>
          <w:p w14:paraId="62987ABD" w14:textId="4CAAB872" w:rsidR="00324B33" w:rsidRPr="00D01DDB" w:rsidRDefault="00EE569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18 June 2024</w:t>
            </w:r>
          </w:p>
        </w:tc>
      </w:tr>
      <w:tr w:rsidR="00324B33" w:rsidRPr="00D01DDB" w14:paraId="6DDCDDA4"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192FD19D" w14:textId="38C0F35C" w:rsidR="00324B33" w:rsidRPr="00E679D1" w:rsidRDefault="00B80D2A" w:rsidP="00E679D1">
            <w:r w:rsidRPr="00B80D2A">
              <w:t>Registration in the ARTG</w:t>
            </w:r>
          </w:p>
        </w:tc>
        <w:tc>
          <w:tcPr>
            <w:tcW w:w="2977" w:type="dxa"/>
          </w:tcPr>
          <w:p w14:paraId="5A8923FD" w14:textId="03E53E2A" w:rsidR="00324B33" w:rsidRPr="00D01DDB" w:rsidRDefault="00EE569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21 June 2024</w:t>
            </w:r>
          </w:p>
        </w:tc>
      </w:tr>
      <w:tr w:rsidR="00324B33" w:rsidRPr="00D01DDB" w14:paraId="56D922E2"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87FD8DD" w14:textId="0E0CF97F" w:rsidR="00324B33" w:rsidRPr="00E679D1" w:rsidRDefault="00324B33" w:rsidP="00E679D1">
            <w:r w:rsidRPr="00E679D1">
              <w:t>Number of working days from submission dossier acceptance to registration decision*</w:t>
            </w:r>
          </w:p>
        </w:tc>
        <w:tc>
          <w:tcPr>
            <w:tcW w:w="2977" w:type="dxa"/>
          </w:tcPr>
          <w:p w14:paraId="5BAF9FA1" w14:textId="4BCAB839" w:rsidR="00324B33" w:rsidRPr="00D01DDB" w:rsidRDefault="0086608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207</w:t>
            </w:r>
          </w:p>
        </w:tc>
      </w:tr>
    </w:tbl>
    <w:bookmarkEnd w:id="22"/>
    <w:p w14:paraId="47E88CFC" w14:textId="52215AAF" w:rsidR="00433318" w:rsidRDefault="00433318" w:rsidP="00854D98">
      <w:pPr>
        <w:pStyle w:val="TableDescription"/>
      </w:pPr>
      <w:r w:rsidRPr="00006FAB">
        <w:t>* The COR-B process has a 175 working day evaluation and decision timeframe.</w:t>
      </w:r>
    </w:p>
    <w:p w14:paraId="220925F1" w14:textId="5E14AA9E" w:rsidR="00C22214" w:rsidRPr="00792A32" w:rsidRDefault="004E7F94" w:rsidP="00C22214">
      <w:pPr>
        <w:pStyle w:val="Heading2"/>
      </w:pPr>
      <w:bookmarkStart w:id="23" w:name="_Toc196046504"/>
      <w:bookmarkStart w:id="24" w:name="_Toc247691527"/>
      <w:bookmarkStart w:id="25" w:name="_Toc314842510"/>
      <w:bookmarkStart w:id="26" w:name="_Toc103679294"/>
      <w:bookmarkStart w:id="27" w:name="_Toc177466080"/>
      <w:r>
        <w:t>Evaluation</w:t>
      </w:r>
      <w:r w:rsidR="00C22214" w:rsidRPr="00006FAB">
        <w:t xml:space="preserve"> overview</w:t>
      </w:r>
      <w:bookmarkEnd w:id="23"/>
      <w:bookmarkEnd w:id="24"/>
      <w:bookmarkEnd w:id="25"/>
      <w:bookmarkEnd w:id="26"/>
      <w:bookmarkEnd w:id="27"/>
    </w:p>
    <w:p w14:paraId="37F5A1C0" w14:textId="1FA4AD71" w:rsidR="00C22214" w:rsidRDefault="00C22214" w:rsidP="00C22214">
      <w:pPr>
        <w:pStyle w:val="Heading3"/>
      </w:pPr>
      <w:bookmarkStart w:id="28" w:name="_Toc247691528"/>
      <w:bookmarkStart w:id="29" w:name="_Toc314842511"/>
      <w:bookmarkStart w:id="30" w:name="_Toc103679295"/>
      <w:bookmarkStart w:id="31" w:name="_Toc177466081"/>
      <w:r>
        <w:t>Quality</w:t>
      </w:r>
      <w:bookmarkEnd w:id="28"/>
      <w:bookmarkEnd w:id="29"/>
      <w:bookmarkEnd w:id="30"/>
      <w:r w:rsidR="00F956CF">
        <w:t xml:space="preserve"> </w:t>
      </w:r>
      <w:r w:rsidR="00F956CF" w:rsidRPr="00F956CF">
        <w:t>evaluation summary</w:t>
      </w:r>
      <w:bookmarkEnd w:id="31"/>
    </w:p>
    <w:p w14:paraId="6D85CD7F" w14:textId="4E5DE9AF" w:rsidR="00F52BA6" w:rsidRDefault="00F52BA6" w:rsidP="00F52BA6">
      <w:r>
        <w:t>Vutrisiran is a chemically synthesized, double-stranded small interfering RNA (siRNA) that specifically targets variant and wild-type transthyretin (wtTTR) messenger RNA (mRNA). The siRNA is covalently linked to a ligand containing 3 N-acetylgalactosamine (GalNAc) residues to enable specific uptake in hepatocytes. All nucleosides are 2’-O-methyl or 2’-fluro modified and are connected through 3’-5’ phosphodiester linkages. The antisense strand contains four phosphorothioate linkages and the sense strand contains two phosphorothioate linkages.</w:t>
      </w:r>
    </w:p>
    <w:p w14:paraId="412972CE" w14:textId="77CE8054" w:rsidR="00F52BA6" w:rsidRDefault="00F52BA6" w:rsidP="00F52BA6">
      <w:r>
        <w:t>The structure can be represented using an expanded structural formula showing the phosphate backbone (</w:t>
      </w:r>
      <w:r w:rsidR="00423B61">
        <w:t>Figure 1</w:t>
      </w:r>
      <w:r>
        <w:t xml:space="preserve">). The bases involved in base pair formation </w:t>
      </w:r>
      <w:proofErr w:type="gramStart"/>
      <w:r>
        <w:t>are connected with</w:t>
      </w:r>
      <w:proofErr w:type="gramEnd"/>
      <w:r>
        <w:t xml:space="preserve"> a dotted line. All phosphodiester groups are negatively charged with sodium as the counter ion. The structure of R1, the GalNAc containing moiety</w:t>
      </w:r>
      <w:r w:rsidR="00423B61">
        <w:t>,</w:t>
      </w:r>
      <w:r>
        <w:t xml:space="preserve"> is also </w:t>
      </w:r>
      <w:r w:rsidR="00423B61">
        <w:t>shown</w:t>
      </w:r>
      <w:r>
        <w:t>.</w:t>
      </w:r>
    </w:p>
    <w:p w14:paraId="4908AAC6" w14:textId="11718CBC" w:rsidR="00095604" w:rsidRDefault="00095604" w:rsidP="00095604">
      <w:pPr>
        <w:pStyle w:val="FigureTitle"/>
      </w:pPr>
      <w:r w:rsidRPr="00095604">
        <w:t xml:space="preserve">Figure 1: </w:t>
      </w:r>
      <w:r w:rsidR="00EC136F">
        <w:t>Expanded s</w:t>
      </w:r>
      <w:r w:rsidRPr="00095604">
        <w:t xml:space="preserve">tructural </w:t>
      </w:r>
      <w:r w:rsidR="00EC136F">
        <w:t>fo</w:t>
      </w:r>
      <w:r w:rsidRPr="00095604">
        <w:t xml:space="preserve">rmula of </w:t>
      </w:r>
      <w:proofErr w:type="gramStart"/>
      <w:r w:rsidR="00EC136F">
        <w:t>v</w:t>
      </w:r>
      <w:r w:rsidRPr="00095604">
        <w:t>utrisiran</w:t>
      </w:r>
      <w:proofErr w:type="gramEnd"/>
    </w:p>
    <w:p w14:paraId="340A9A1F" w14:textId="161795A4" w:rsidR="00D76427" w:rsidRDefault="00EC136F" w:rsidP="00F52BA6">
      <w:r>
        <w:rPr>
          <w:noProof/>
        </w:rPr>
        <w:drawing>
          <wp:inline distT="0" distB="0" distL="0" distR="0" wp14:anchorId="21D46296" wp14:editId="715D190B">
            <wp:extent cx="5759450" cy="3503295"/>
            <wp:effectExtent l="0" t="0" r="0" b="1905"/>
            <wp:docPr id="108085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5133" name=""/>
                    <pic:cNvPicPr/>
                  </pic:nvPicPr>
                  <pic:blipFill>
                    <a:blip r:embed="rId24"/>
                    <a:stretch>
                      <a:fillRect/>
                    </a:stretch>
                  </pic:blipFill>
                  <pic:spPr>
                    <a:xfrm>
                      <a:off x="0" y="0"/>
                      <a:ext cx="5759450" cy="3503295"/>
                    </a:xfrm>
                    <a:prstGeom prst="rect">
                      <a:avLst/>
                    </a:prstGeom>
                  </pic:spPr>
                </pic:pic>
              </a:graphicData>
            </a:graphic>
          </wp:inline>
        </w:drawing>
      </w:r>
    </w:p>
    <w:p w14:paraId="4577F644" w14:textId="77777777" w:rsidR="00F52BA6" w:rsidRDefault="00F52BA6" w:rsidP="00F52BA6">
      <w:r>
        <w:t xml:space="preserve">The </w:t>
      </w:r>
      <w:proofErr w:type="gramStart"/>
      <w:r>
        <w:t>eight step</w:t>
      </w:r>
      <w:proofErr w:type="gramEnd"/>
      <w:r>
        <w:t xml:space="preserve"> manufacturing process was deemed acceptable and adequately controlled.</w:t>
      </w:r>
    </w:p>
    <w:p w14:paraId="4127B73C" w14:textId="020A0259" w:rsidR="00F52BA6" w:rsidRDefault="00F52BA6" w:rsidP="00F52BA6">
      <w:r>
        <w:t>The analytical methods used for the routine quality control assessment of the drug substance were all adequately validated and appropriate for use.</w:t>
      </w:r>
    </w:p>
    <w:p w14:paraId="741AE9AC" w14:textId="77777777" w:rsidR="001735DF" w:rsidRDefault="001735DF" w:rsidP="001735DF">
      <w:r>
        <w:t xml:space="preserve">The formulation and manufacturing process have been adequately developed and optimised. Attributes of the final drug product such as osmolality, pH, </w:t>
      </w:r>
      <w:proofErr w:type="gramStart"/>
      <w:r>
        <w:t>viscosity</w:t>
      </w:r>
      <w:proofErr w:type="gramEnd"/>
      <w:r>
        <w:t xml:space="preserve"> and thermal stress have been adequately considered.</w:t>
      </w:r>
    </w:p>
    <w:p w14:paraId="05269DAD" w14:textId="47D4D1E1" w:rsidR="001735DF" w:rsidRDefault="001735DF" w:rsidP="001735DF">
      <w:r>
        <w:t xml:space="preserve">There are no overages used in the formulation and the chosen target expelled volume of 0.54 mL ensures that an expelled volume of </w:t>
      </w:r>
      <w:r w:rsidR="00654BC7">
        <w:t>no less than</w:t>
      </w:r>
      <w:r>
        <w:t xml:space="preserve"> 0.5 mL is achieved.</w:t>
      </w:r>
    </w:p>
    <w:p w14:paraId="63976CC5" w14:textId="77777777" w:rsidR="001735DF" w:rsidRDefault="001735DF" w:rsidP="001735DF">
      <w:r>
        <w:t>The manufacturing process includes sterile filtration and syringe filling under aseptic conditions.</w:t>
      </w:r>
    </w:p>
    <w:p w14:paraId="5992F8E5" w14:textId="77777777" w:rsidR="001735DF" w:rsidRDefault="001735DF" w:rsidP="001735DF">
      <w:r>
        <w:t>GMP clearances for the drug substance and drug product manufacturing and testing sites are all current and valid past the expected decision date for the submission.</w:t>
      </w:r>
    </w:p>
    <w:p w14:paraId="76633D7C" w14:textId="1B09BE6B" w:rsidR="001735DF" w:rsidRDefault="001735DF" w:rsidP="001735DF">
      <w:r>
        <w:t xml:space="preserve">The quality of the drug product is controlled by an acceptable specification that includes tests and limits for </w:t>
      </w:r>
      <w:r w:rsidR="008708EE">
        <w:t>a</w:t>
      </w:r>
      <w:r>
        <w:t xml:space="preserve">ppearance, </w:t>
      </w:r>
      <w:r w:rsidR="008708EE">
        <w:t>i</w:t>
      </w:r>
      <w:r>
        <w:t xml:space="preserve">dentification (by duplex retention time), </w:t>
      </w:r>
      <w:r w:rsidR="008708EE">
        <w:t>i</w:t>
      </w:r>
      <w:r>
        <w:t xml:space="preserve">dentification (by single strand molecular mass), </w:t>
      </w:r>
      <w:r w:rsidR="008708EE">
        <w:t>a</w:t>
      </w:r>
      <w:r>
        <w:t xml:space="preserve">ssay (by UV), </w:t>
      </w:r>
      <w:r w:rsidR="008708EE">
        <w:t>p</w:t>
      </w:r>
      <w:r>
        <w:t>urity (by</w:t>
      </w:r>
      <w:r w:rsidR="00FA6027" w:rsidRPr="00FA6027">
        <w:t xml:space="preserve"> </w:t>
      </w:r>
      <w:r w:rsidR="00FA6027">
        <w:t>i</w:t>
      </w:r>
      <w:r w:rsidR="00FA6027" w:rsidRPr="00FA6027">
        <w:t xml:space="preserve">on-pair reversed phase high performance liquid chromatography </w:t>
      </w:r>
      <w:r>
        <w:t xml:space="preserve">-UV – non-denaturing), </w:t>
      </w:r>
      <w:r w:rsidR="008708EE">
        <w:t>p</w:t>
      </w:r>
      <w:r>
        <w:t>urity (by A</w:t>
      </w:r>
      <w:r w:rsidR="00AD3018">
        <w:t>nion Exch</w:t>
      </w:r>
      <w:r w:rsidR="001F5989">
        <w:t>a</w:t>
      </w:r>
      <w:r w:rsidR="00AD3018">
        <w:t>nge</w:t>
      </w:r>
      <w:r>
        <w:t xml:space="preserve">-HPLC UV – denaturing), </w:t>
      </w:r>
      <w:r w:rsidR="008708EE">
        <w:t>p</w:t>
      </w:r>
      <w:r>
        <w:t xml:space="preserve">urity (by </w:t>
      </w:r>
      <w:r w:rsidR="00FA6027" w:rsidRPr="00FA6027">
        <w:t>Ion-pair reversed phase high performance liquid chromatography</w:t>
      </w:r>
      <w:r w:rsidR="00FA6027">
        <w:t xml:space="preserve"> -</w:t>
      </w:r>
      <w:r>
        <w:t xml:space="preserve"> UV – denaturing), pH, </w:t>
      </w:r>
      <w:r w:rsidR="008708EE">
        <w:t>o</w:t>
      </w:r>
      <w:r>
        <w:t xml:space="preserve">smolality, </w:t>
      </w:r>
      <w:r w:rsidR="008708EE">
        <w:t>p</w:t>
      </w:r>
      <w:r>
        <w:t xml:space="preserve">articulate matter, </w:t>
      </w:r>
      <w:r w:rsidR="008708EE">
        <w:t>b</w:t>
      </w:r>
      <w:r>
        <w:t xml:space="preserve">acterial endotoxins, </w:t>
      </w:r>
      <w:r w:rsidR="008708EE">
        <w:t>s</w:t>
      </w:r>
      <w:r>
        <w:t xml:space="preserve">terility, </w:t>
      </w:r>
      <w:r w:rsidR="008708EE">
        <w:t>v</w:t>
      </w:r>
      <w:r>
        <w:t xml:space="preserve">olume in container, </w:t>
      </w:r>
      <w:r w:rsidR="008708EE">
        <w:t>d</w:t>
      </w:r>
      <w:r>
        <w:t xml:space="preserve">ose uniformity, </w:t>
      </w:r>
      <w:r w:rsidR="008708EE">
        <w:t>c</w:t>
      </w:r>
      <w:r>
        <w:t xml:space="preserve">ontainer closure integrity and </w:t>
      </w:r>
      <w:r w:rsidR="008708EE">
        <w:t>m</w:t>
      </w:r>
      <w:r>
        <w:t>echanical syringe performance (break loose force, glide force).</w:t>
      </w:r>
    </w:p>
    <w:p w14:paraId="583AA526" w14:textId="77777777" w:rsidR="001735DF" w:rsidRDefault="001735DF" w:rsidP="001735DF">
      <w:r>
        <w:t>The analytical methods used to analyse the drug products were adequately described and validated.</w:t>
      </w:r>
    </w:p>
    <w:p w14:paraId="5CDE7A3F" w14:textId="7F4FACE6" w:rsidR="001735DF" w:rsidRDefault="001735DF" w:rsidP="00BF6BF6">
      <w:pPr>
        <w:tabs>
          <w:tab w:val="right" w:pos="9070"/>
        </w:tabs>
      </w:pPr>
      <w:r>
        <w:t>The proposed shelf life of 36 months when stored below 30°C is adequately supported.</w:t>
      </w:r>
      <w:r w:rsidR="00BF6BF6">
        <w:tab/>
      </w:r>
    </w:p>
    <w:p w14:paraId="5E049BC0" w14:textId="77777777" w:rsidR="001735DF" w:rsidRDefault="001735DF" w:rsidP="001735DF">
      <w:r>
        <w:t>The Product Information (PI) document is finalised from a pharmaceutical chemistry and quality perspective.</w:t>
      </w:r>
    </w:p>
    <w:p w14:paraId="71D7FEEC" w14:textId="72872FA9" w:rsidR="001735DF" w:rsidRDefault="00B72747" w:rsidP="001735DF">
      <w:r>
        <w:t>P</w:t>
      </w:r>
      <w:r w:rsidR="001735DF">
        <w:t xml:space="preserve">roduct </w:t>
      </w:r>
      <w:r>
        <w:t>l</w:t>
      </w:r>
      <w:r w:rsidR="001735DF">
        <w:t>abelling has been finalised from a pharmaceutical chemistry perspective and complies with the applicable requirements of T</w:t>
      </w:r>
      <w:r w:rsidR="00AD3018">
        <w:t xml:space="preserve">herapeutic </w:t>
      </w:r>
      <w:r w:rsidR="001735DF">
        <w:t>G</w:t>
      </w:r>
      <w:r w:rsidR="00AD3018">
        <w:t xml:space="preserve">oods </w:t>
      </w:r>
      <w:r w:rsidR="001735DF">
        <w:t>O</w:t>
      </w:r>
      <w:r w:rsidR="00AD3018">
        <w:t>rder (TGO)</w:t>
      </w:r>
      <w:r w:rsidR="001735DF">
        <w:t xml:space="preserve"> 91</w:t>
      </w:r>
      <w:r w:rsidR="00105DF5">
        <w:t xml:space="preserve"> (except for the syringe label</w:t>
      </w:r>
      <w:r w:rsidR="00AD3018">
        <w:t>).</w:t>
      </w:r>
    </w:p>
    <w:p w14:paraId="065B8C57" w14:textId="3226A8CD" w:rsidR="001735DF" w:rsidRDefault="001735DF" w:rsidP="001735DF">
      <w:r>
        <w:t xml:space="preserve">The drug product will be marketed in an Australian specific and TGO 91 compliant carton. However, as this is an orphan designation medicine with a small patient population in Australia, the </w:t>
      </w:r>
      <w:r w:rsidR="00CE0E84">
        <w:t>Sponsor</w:t>
      </w:r>
      <w:r>
        <w:t xml:space="preserve"> is proposing to use the EU</w:t>
      </w:r>
      <w:r w:rsidR="00105DF5">
        <w:t>-</w:t>
      </w:r>
      <w:r>
        <w:t xml:space="preserve">approved </w:t>
      </w:r>
      <w:r w:rsidR="002C6119">
        <w:t>syringe</w:t>
      </w:r>
      <w:r>
        <w:t xml:space="preserve"> label which does not comply with two aspects of TGO 91. Given the non-compliance issues for the syringe label, the </w:t>
      </w:r>
      <w:r w:rsidR="00CE0E84">
        <w:t>Sponsor</w:t>
      </w:r>
      <w:r>
        <w:t>’s request</w:t>
      </w:r>
      <w:r w:rsidR="008408A6">
        <w:t xml:space="preserve"> for</w:t>
      </w:r>
      <w:r>
        <w:t xml:space="preserve"> a </w:t>
      </w:r>
      <w:proofErr w:type="gramStart"/>
      <w:r>
        <w:t>2 year</w:t>
      </w:r>
      <w:proofErr w:type="gramEnd"/>
      <w:r>
        <w:t xml:space="preserve"> exemption under section 14 of the Act from compliance with TGO 91 Sections 9(1)(a), 9(3)(a)(i), 9(3)(b) and 11(2)(f)(v), is considered reasonable and should be granted.</w:t>
      </w:r>
    </w:p>
    <w:p w14:paraId="52D3BFF0" w14:textId="0123889A" w:rsidR="001735DF" w:rsidRPr="00F52BA6" w:rsidRDefault="001735DF" w:rsidP="001735DF">
      <w:r>
        <w:t>Approval is recommended from a pharmaceutical chemistry and quality control perspective.</w:t>
      </w:r>
    </w:p>
    <w:p w14:paraId="2BE90AAE" w14:textId="4A04C71C" w:rsidR="00C22214" w:rsidRDefault="00C22214" w:rsidP="00C22214">
      <w:pPr>
        <w:pStyle w:val="Heading3"/>
      </w:pPr>
      <w:bookmarkStart w:id="32" w:name="_Toc314842512"/>
      <w:bookmarkStart w:id="33" w:name="_Toc103679296"/>
      <w:bookmarkStart w:id="34" w:name="_Toc177466082"/>
      <w:r>
        <w:t>Nonclinical</w:t>
      </w:r>
      <w:bookmarkEnd w:id="32"/>
      <w:bookmarkEnd w:id="33"/>
      <w:r w:rsidR="00F956CF">
        <w:t xml:space="preserve"> (toxicology) </w:t>
      </w:r>
      <w:r w:rsidR="00F956CF" w:rsidRPr="00F956CF">
        <w:t>evaluation summary</w:t>
      </w:r>
      <w:bookmarkEnd w:id="34"/>
    </w:p>
    <w:p w14:paraId="25EFF255" w14:textId="4F3FC098" w:rsidR="00367543" w:rsidRPr="00367543" w:rsidRDefault="00367543" w:rsidP="00367543">
      <w:r w:rsidRPr="00367543">
        <w:t xml:space="preserve">The nonclinical </w:t>
      </w:r>
      <w:r w:rsidR="00CE0E84">
        <w:t>Evaluator</w:t>
      </w:r>
      <w:r w:rsidRPr="00367543">
        <w:t xml:space="preserve"> raised no objections to the registration of </w:t>
      </w:r>
      <w:r w:rsidR="00654BC7">
        <w:t>Amvuttra</w:t>
      </w:r>
      <w:r w:rsidRPr="00367543">
        <w:t xml:space="preserve"> for the proposed indication. </w:t>
      </w:r>
    </w:p>
    <w:p w14:paraId="3BE0EEDD" w14:textId="33984D2F" w:rsidR="00367543" w:rsidRPr="00367543" w:rsidRDefault="00367543" w:rsidP="00367543">
      <w:r w:rsidRPr="00367543">
        <w:t xml:space="preserve">The scope and quality of the submitted </w:t>
      </w:r>
      <w:r w:rsidR="00654BC7">
        <w:t>nonclinical</w:t>
      </w:r>
      <w:r w:rsidRPr="00367543">
        <w:t xml:space="preserve"> dossier was mostly acceptable, with studies consistent with the principles of </w:t>
      </w:r>
      <w:r w:rsidR="00E65E03">
        <w:t xml:space="preserve">the </w:t>
      </w:r>
      <w:r w:rsidR="00E65E03" w:rsidRPr="00E65E03">
        <w:t xml:space="preserve">International Council for Harmonisation of Technical Requirements for Pharmaceuticals for Human Use </w:t>
      </w:r>
      <w:r w:rsidR="00E65E03">
        <w:t>(</w:t>
      </w:r>
      <w:r w:rsidRPr="00367543">
        <w:t>ICH</w:t>
      </w:r>
      <w:r w:rsidR="00E65E03">
        <w:t>)</w:t>
      </w:r>
      <w:r w:rsidRPr="00367543">
        <w:t xml:space="preserve"> guidance for the nonclinical testing of pharmaceuticals. All pivotal safety-related studies were conducted according to G</w:t>
      </w:r>
      <w:r w:rsidR="00E65E03">
        <w:t>ood Laboratory Practice</w:t>
      </w:r>
      <w:r w:rsidR="00764792">
        <w:t xml:space="preserve"> (GLP)</w:t>
      </w:r>
      <w:r w:rsidRPr="00367543">
        <w:t xml:space="preserve">. Carcinogenicity studies are expected to be submitted post-market by the </w:t>
      </w:r>
      <w:r w:rsidR="00CE0E84">
        <w:t>Sponsor</w:t>
      </w:r>
      <w:r w:rsidRPr="00367543">
        <w:t xml:space="preserve"> upon completion. </w:t>
      </w:r>
    </w:p>
    <w:p w14:paraId="707E7A6F" w14:textId="5254E598" w:rsidR="00367543" w:rsidRPr="00367543" w:rsidRDefault="00367543" w:rsidP="00367543">
      <w:r w:rsidRPr="00367543">
        <w:rPr>
          <w:i/>
          <w:iCs/>
        </w:rPr>
        <w:t>In vitro</w:t>
      </w:r>
      <w:r w:rsidRPr="00367543">
        <w:t xml:space="preserve">, vutrisiran inhibited TTR mRNA in primary monkey hepatocytes. Vutrisiran is not </w:t>
      </w:r>
      <w:proofErr w:type="gramStart"/>
      <w:r w:rsidRPr="00367543">
        <w:t>pharmacologically-active</w:t>
      </w:r>
      <w:proofErr w:type="gramEnd"/>
      <w:r w:rsidRPr="00367543">
        <w:t xml:space="preserve"> in rodents or rabbits, but is </w:t>
      </w:r>
      <w:r w:rsidR="001802E3" w:rsidRPr="001802E3">
        <w:t>active</w:t>
      </w:r>
      <w:r w:rsidRPr="00367543">
        <w:t xml:space="preserve"> </w:t>
      </w:r>
      <w:r w:rsidR="008C0B07">
        <w:t>in</w:t>
      </w:r>
      <w:r w:rsidRPr="00367543">
        <w:t xml:space="preserve"> humans and cynomolgus monkeys. Studies with vutrisiran given to mice expressing the human </w:t>
      </w:r>
      <w:r w:rsidRPr="00367543">
        <w:rPr>
          <w:i/>
          <w:iCs/>
        </w:rPr>
        <w:t xml:space="preserve">TTR </w:t>
      </w:r>
      <w:r w:rsidRPr="00367543">
        <w:t xml:space="preserve">gene and monkeys showed treatment-related reductions in serum TTR protein levels, thus supporting the proposed clinical indication. No studies were submitted to determine if vutrisiran could suppress disease progression or ameliorate disease symptoms. Therefore, no comment </w:t>
      </w:r>
      <w:proofErr w:type="gramStart"/>
      <w:r w:rsidRPr="00367543">
        <w:t>in regard to</w:t>
      </w:r>
      <w:proofErr w:type="gramEnd"/>
      <w:r w:rsidRPr="00367543">
        <w:t xml:space="preserve"> efficacy can be given based on nonclinical data. </w:t>
      </w:r>
    </w:p>
    <w:p w14:paraId="3F2BEB9C" w14:textId="77777777" w:rsidR="00367543" w:rsidRPr="00367543" w:rsidRDefault="00367543" w:rsidP="00367543">
      <w:r w:rsidRPr="00367543">
        <w:t xml:space="preserve">Of the non-TTR transcripts identified as sharing some complementarity with the antisense strand of vutrisiran, none of those target genes were affected by vutrisiran </w:t>
      </w:r>
      <w:r w:rsidRPr="00367543">
        <w:rPr>
          <w:i/>
          <w:iCs/>
        </w:rPr>
        <w:t>in vitro. In vivo</w:t>
      </w:r>
      <w:r w:rsidRPr="00367543">
        <w:t xml:space="preserve">, vutrisiran decreased circulating vitamin A and thyroxine (T4) in monkeys. This was not associated with signs of vitamin A deficiency or effects on the thyroid or pituitary. </w:t>
      </w:r>
    </w:p>
    <w:p w14:paraId="12FAA01C" w14:textId="77777777" w:rsidR="00367543" w:rsidRPr="00367543" w:rsidRDefault="00367543" w:rsidP="00367543">
      <w:r w:rsidRPr="00367543">
        <w:t xml:space="preserve">A specialised safety pharmacology study conducted in cynomolgus monkeys that covered the cardiovascular and respiratory systems did not reveal any adverse or treatment-related effects. As well, no adverse effects on neurological parameters were observed in monkeys from repeat-dose toxicity studies of up to 9 months. </w:t>
      </w:r>
    </w:p>
    <w:p w14:paraId="33DCFCE2" w14:textId="6506E4A4" w:rsidR="00367543" w:rsidRPr="00367543" w:rsidRDefault="00367543" w:rsidP="00367543">
      <w:r w:rsidRPr="00367543">
        <w:t xml:space="preserve">The pharmacokinetic profile of vutrisiran in rats and monkeys was qualitatively </w:t>
      </w:r>
      <w:proofErr w:type="gramStart"/>
      <w:r w:rsidRPr="00367543">
        <w:t>similar to</w:t>
      </w:r>
      <w:proofErr w:type="gramEnd"/>
      <w:r w:rsidRPr="00367543">
        <w:t xml:space="preserve"> humans. Plasma half-life was similar between monkeys and humans. Plasma protein binding was moderate in humans and animal species (75–87%). Tissue distribution of drug-related material was wide but showed localised distribution to the intended target tissue (liver), the main route of elimination (kidneys) and site of administration (injection site in rats). Vutrisiran is metabolised by exonucleases in all species, </w:t>
      </w:r>
      <w:r w:rsidR="004E7F94" w:rsidRPr="00367543">
        <w:t>which</w:t>
      </w:r>
      <w:r w:rsidRPr="00367543">
        <w:t xml:space="preserve"> degrade vutrisiran to shorter nucleotides of varying length. </w:t>
      </w:r>
    </w:p>
    <w:p w14:paraId="3FDE321C" w14:textId="0166CE37" w:rsidR="00367543" w:rsidRPr="00367543" w:rsidRDefault="00367543" w:rsidP="00367543">
      <w:r w:rsidRPr="00367543">
        <w:t xml:space="preserve">Vutrisiran did not exhibit any appreciable inhibitory activity against </w:t>
      </w:r>
      <w:r w:rsidR="00F76E3E" w:rsidRPr="00F76E3E">
        <w:t xml:space="preserve">Cytochromes P450 </w:t>
      </w:r>
      <w:r w:rsidRPr="00367543">
        <w:t xml:space="preserve">isozymes. The induction of </w:t>
      </w:r>
      <w:r w:rsidR="00F76E3E" w:rsidRPr="00F76E3E">
        <w:t xml:space="preserve">Cytochromes P450 </w:t>
      </w:r>
      <w:r w:rsidRPr="00367543">
        <w:t xml:space="preserve">enzymes and drug transporter substrate/inhibition was not investigated, however </w:t>
      </w:r>
      <w:r w:rsidRPr="00367543">
        <w:rPr>
          <w:i/>
          <w:iCs/>
        </w:rPr>
        <w:t xml:space="preserve">in vitro </w:t>
      </w:r>
      <w:r w:rsidRPr="00367543">
        <w:t xml:space="preserve">data from other siRNA-GaINAc conjugates indicate that this class of drugs does not act as a substrate, </w:t>
      </w:r>
      <w:proofErr w:type="gramStart"/>
      <w:r w:rsidRPr="00367543">
        <w:t>inhibitor</w:t>
      </w:r>
      <w:proofErr w:type="gramEnd"/>
      <w:r w:rsidRPr="00367543">
        <w:t xml:space="preserve"> or inducer of major CY</w:t>
      </w:r>
      <w:r w:rsidR="000343A0">
        <w:t>P</w:t>
      </w:r>
      <w:r w:rsidRPr="00367543">
        <w:t xml:space="preserve">s or drug transporters. </w:t>
      </w:r>
    </w:p>
    <w:p w14:paraId="73D9601E" w14:textId="6C7188B3" w:rsidR="00367543" w:rsidRPr="00367543" w:rsidRDefault="00367543" w:rsidP="00367543">
      <w:r w:rsidRPr="00367543">
        <w:t xml:space="preserve">Vutrisiran had a low order of acute toxicity </w:t>
      </w:r>
      <w:r w:rsidR="00C14534" w:rsidRPr="00C14534">
        <w:t xml:space="preserve">following subcutaneous injection </w:t>
      </w:r>
      <w:r w:rsidRPr="00367543">
        <w:t xml:space="preserve">in rats and monkeys. Repeat-dose toxicity studies using the clinical route (subcutaneous) were conducted in mice (up to 13 weeks), rats (up to 6 months) and cynomolgus monkeys (up to 9 months). Target organs for vutrisiran were associated with areas of high localisation of the drug. These included the liver – the intended pharmacological target, through its GalNAc linker, the kidneys – the main excretory pathway, the injection site – site of administration, and the lymph nodes. </w:t>
      </w:r>
      <w:proofErr w:type="gramStart"/>
      <w:r w:rsidRPr="00367543">
        <w:t>All of</w:t>
      </w:r>
      <w:proofErr w:type="gramEnd"/>
      <w:r w:rsidRPr="00367543">
        <w:t xml:space="preserve"> the effects were non-adverse, showing reversal in recovery animal groups. </w:t>
      </w:r>
    </w:p>
    <w:p w14:paraId="7549470C" w14:textId="77777777" w:rsidR="00367543" w:rsidRPr="00367543" w:rsidRDefault="00367543" w:rsidP="00367543">
      <w:r w:rsidRPr="00367543">
        <w:t xml:space="preserve">Vutrisiran was not mutagenic in the bacterial reverse mutation assay or clastogenic </w:t>
      </w:r>
      <w:r w:rsidRPr="00367543">
        <w:rPr>
          <w:i/>
          <w:iCs/>
        </w:rPr>
        <w:t xml:space="preserve">in vitro </w:t>
      </w:r>
      <w:r w:rsidRPr="00367543">
        <w:t xml:space="preserve">(human peripheral blood lymphocytes) or </w:t>
      </w:r>
      <w:r w:rsidRPr="00367543">
        <w:rPr>
          <w:i/>
          <w:iCs/>
        </w:rPr>
        <w:t xml:space="preserve">in vivo </w:t>
      </w:r>
      <w:r w:rsidRPr="00367543">
        <w:t xml:space="preserve">(rat micronucleus test). </w:t>
      </w:r>
    </w:p>
    <w:p w14:paraId="173783C9" w14:textId="4A089EB1" w:rsidR="00367543" w:rsidRPr="00367543" w:rsidRDefault="00367543" w:rsidP="00367543">
      <w:r w:rsidRPr="00367543">
        <w:t xml:space="preserve">Carcinogenicity studies with vutrisiran were not submitted. The </w:t>
      </w:r>
      <w:r w:rsidR="00CE0E84">
        <w:t>Sponsor</w:t>
      </w:r>
      <w:r w:rsidRPr="00367543">
        <w:t xml:space="preserve"> indicates that a 2-year carcinogenicity study in CD-1 mice and a 2-year carcinogenicity study in rats are currently ongoing and will be submitted once completed. </w:t>
      </w:r>
    </w:p>
    <w:p w14:paraId="47C76333" w14:textId="77777777" w:rsidR="00367543" w:rsidRPr="00367543" w:rsidRDefault="00367543" w:rsidP="00367543">
      <w:r w:rsidRPr="00367543">
        <w:t xml:space="preserve">Studies on fertility, embryofetal development and pre/postnatal development were conducted with vutrisiran in the </w:t>
      </w:r>
      <w:proofErr w:type="gramStart"/>
      <w:r w:rsidRPr="00367543">
        <w:t>pharmacologically-unresponsive</w:t>
      </w:r>
      <w:proofErr w:type="gramEnd"/>
      <w:r w:rsidRPr="00367543">
        <w:t xml:space="preserve"> species, rats and/or rabbits. Fertility was unaffected in male and female rats treated with vutrisiran. A rat-specific surrogate (pharmacologically active) had no effect on female fertility or embryofetal development in rats. No clinically relevant effects were seen in the embryofetal development and pre/postnatal studies. The negative embryofetal development findings are not considered reliable, given the important roles of thyroid hormones and vitamin A in fertility and embryofetal development. A pregnancy category D is warranted given the potential adverse embryofetal development effects associated with an imbalance in vitamin A levels. </w:t>
      </w:r>
    </w:p>
    <w:p w14:paraId="6BEF65C5" w14:textId="77777777" w:rsidR="00367543" w:rsidRPr="00367543" w:rsidRDefault="00367543" w:rsidP="00367543">
      <w:r w:rsidRPr="00367543">
        <w:t xml:space="preserve">Dedicated local tolerance studies were not conducted but repeat-dose toxicity studies showed injection site reactions (minimal/slight mononuclear or mixed inflammatory cell infiltrates with vacuolated macrophages) to vutrisiran in mice, </w:t>
      </w:r>
      <w:proofErr w:type="gramStart"/>
      <w:r w:rsidRPr="00367543">
        <w:t>rats</w:t>
      </w:r>
      <w:proofErr w:type="gramEnd"/>
      <w:r w:rsidRPr="00367543">
        <w:t xml:space="preserve"> and monkeys. </w:t>
      </w:r>
    </w:p>
    <w:p w14:paraId="36190028" w14:textId="5A20320C" w:rsidR="00367543" w:rsidRDefault="00367543" w:rsidP="00367543">
      <w:r w:rsidRPr="00367543">
        <w:t>In summary, i</w:t>
      </w:r>
      <w:r w:rsidRPr="00367543">
        <w:rPr>
          <w:i/>
          <w:iCs/>
        </w:rPr>
        <w:t xml:space="preserve">n vivo </w:t>
      </w:r>
      <w:r w:rsidRPr="00367543">
        <w:t xml:space="preserve">effects of vutrisiran in mice expressing the human </w:t>
      </w:r>
      <w:r w:rsidRPr="00367543">
        <w:rPr>
          <w:i/>
          <w:iCs/>
        </w:rPr>
        <w:t xml:space="preserve">TTR </w:t>
      </w:r>
      <w:r w:rsidRPr="00367543">
        <w:t>gene and monkeys lend some support for the proposed indication. No clinically relevant organ system hazards were identified in the set of animal safety studies. Injection site reactions may be seen in patients. The proposed pregnancy category for vutrisiran (Category D) is acceptable.</w:t>
      </w:r>
    </w:p>
    <w:p w14:paraId="35B580A5" w14:textId="3ABD1DF1" w:rsidR="00C22214" w:rsidRDefault="00C22214" w:rsidP="008804CF">
      <w:pPr>
        <w:pStyle w:val="Heading3"/>
      </w:pPr>
      <w:bookmarkStart w:id="35" w:name="_Toc247691530"/>
      <w:bookmarkStart w:id="36" w:name="_Toc314842513"/>
      <w:bookmarkStart w:id="37" w:name="_Toc103679297"/>
      <w:bookmarkStart w:id="38" w:name="_Toc177466083"/>
      <w:r>
        <w:t>Clinical</w:t>
      </w:r>
      <w:bookmarkEnd w:id="35"/>
      <w:bookmarkEnd w:id="36"/>
      <w:bookmarkEnd w:id="37"/>
      <w:r w:rsidR="00F956CF">
        <w:t xml:space="preserve"> </w:t>
      </w:r>
      <w:r w:rsidR="00F956CF" w:rsidRPr="00F956CF">
        <w:t>evaluation summary</w:t>
      </w:r>
      <w:bookmarkEnd w:id="38"/>
    </w:p>
    <w:p w14:paraId="32B0DEDA" w14:textId="77777777" w:rsidR="00C22214" w:rsidRDefault="00C22214" w:rsidP="00433318">
      <w:pPr>
        <w:pStyle w:val="Heading4"/>
      </w:pPr>
      <w:bookmarkStart w:id="39" w:name="_Toc98931928"/>
      <w:bookmarkStart w:id="40" w:name="_Toc177466084"/>
      <w:r>
        <w:t>Summary of clinical studies</w:t>
      </w:r>
      <w:bookmarkEnd w:id="39"/>
      <w:bookmarkEnd w:id="40"/>
    </w:p>
    <w:p w14:paraId="3D4B540C" w14:textId="26430810" w:rsidR="003A1DDF" w:rsidRDefault="003A1DDF" w:rsidP="003A1DDF">
      <w:r>
        <w:t xml:space="preserve">The submission provided an assurance that the received clinical dossier is the same as that received by the COR at the time of initial submission, while at the same time, also being inclusive of updated changes (e.g. </w:t>
      </w:r>
      <w:r w:rsidR="00510426" w:rsidRPr="00510426">
        <w:t>Pharmacovigilance Risk Assessment Committee</w:t>
      </w:r>
      <w:r>
        <w:t xml:space="preserve"> </w:t>
      </w:r>
      <w:r w:rsidR="00510426">
        <w:t xml:space="preserve">(PRAC) </w:t>
      </w:r>
      <w:r>
        <w:t xml:space="preserve">consideration of a subsequent </w:t>
      </w:r>
      <w:r w:rsidR="00510426" w:rsidRPr="00510426">
        <w:t xml:space="preserve">Periodic safety update report </w:t>
      </w:r>
      <w:r w:rsidR="00510426">
        <w:t>(</w:t>
      </w:r>
      <w:r>
        <w:t>PSUR)</w:t>
      </w:r>
      <w:r w:rsidR="00510426">
        <w:t>)</w:t>
      </w:r>
      <w:r>
        <w:t xml:space="preserve">. Given the epidemiology and typical age of onset of hATTR amyloidosis, a product-specific paediatric investigation plan waiver had been granted. Similarly, requirements under the US Paediatric Research Equity Act were waived, given the rarity of </w:t>
      </w:r>
      <w:r w:rsidR="00510426">
        <w:t xml:space="preserve">the </w:t>
      </w:r>
      <w:r>
        <w:t>disease. All studies included in the clinical dossier were reported to have been conducted in compliance with G</w:t>
      </w:r>
      <w:r w:rsidR="00413BCA">
        <w:t xml:space="preserve">ood </w:t>
      </w:r>
      <w:r>
        <w:t>C</w:t>
      </w:r>
      <w:r w:rsidR="00413BCA">
        <w:t xml:space="preserve">linical </w:t>
      </w:r>
      <w:r>
        <w:t>P</w:t>
      </w:r>
      <w:r w:rsidR="00413BCA">
        <w:t>ractice guidelines</w:t>
      </w:r>
      <w:r>
        <w:t xml:space="preserve"> and to have also met the requirements of the Declaration of Helsinki.</w:t>
      </w:r>
    </w:p>
    <w:p w14:paraId="2D743E50" w14:textId="7D0DFFDB" w:rsidR="00413BCA" w:rsidRDefault="003A1DDF" w:rsidP="003A1DDF">
      <w:r>
        <w:t>The vutrisiran clinical development program includes a</w:t>
      </w:r>
      <w:r w:rsidR="00413BCA">
        <w:t>:</w:t>
      </w:r>
      <w:r>
        <w:t xml:space="preserve"> </w:t>
      </w:r>
    </w:p>
    <w:p w14:paraId="0E90C91B" w14:textId="77777777" w:rsidR="00413BCA" w:rsidRDefault="003A1DDF" w:rsidP="0005414B">
      <w:pPr>
        <w:pStyle w:val="ListBullet"/>
      </w:pPr>
      <w:r>
        <w:t xml:space="preserve">Phase 1 single-dose study in healthy volunteers (Study 001), </w:t>
      </w:r>
    </w:p>
    <w:p w14:paraId="361027E9" w14:textId="77777777" w:rsidR="00413BCA" w:rsidRDefault="003A1DDF" w:rsidP="0005414B">
      <w:pPr>
        <w:pStyle w:val="ListBullet"/>
      </w:pPr>
      <w:r>
        <w:t xml:space="preserve">a pivotal Phase 3 study in hATTR amyloidosis patients with polyneuropathy (HELIOS-A) and </w:t>
      </w:r>
    </w:p>
    <w:p w14:paraId="09592D40" w14:textId="77777777" w:rsidR="00413BCA" w:rsidRDefault="003A1DDF" w:rsidP="0005414B">
      <w:pPr>
        <w:pStyle w:val="ListBullet"/>
      </w:pPr>
      <w:r>
        <w:t xml:space="preserve">a Phase 3 study in patients with ATTR amyloidosis with cardiomyopathy (HELIOS-B). </w:t>
      </w:r>
    </w:p>
    <w:p w14:paraId="5F745284" w14:textId="4FC9D146" w:rsidR="003A1DDF" w:rsidRDefault="003A1DDF" w:rsidP="003A1DDF">
      <w:r>
        <w:t>Study 001 and HELIOS-A were used to submit a marketing authorisation application for the treatment of hATTR amyloidosis patients with polyneuropathy.</w:t>
      </w:r>
    </w:p>
    <w:p w14:paraId="26F31B39" w14:textId="77777777" w:rsidR="002562FD" w:rsidRDefault="002562FD" w:rsidP="00415CB7">
      <w:pPr>
        <w:pStyle w:val="Heading4"/>
      </w:pPr>
      <w:bookmarkStart w:id="41" w:name="_Toc177466085"/>
      <w:r>
        <w:t>Pharmacology</w:t>
      </w:r>
      <w:bookmarkEnd w:id="41"/>
      <w:r>
        <w:t xml:space="preserve"> </w:t>
      </w:r>
    </w:p>
    <w:p w14:paraId="57681C78" w14:textId="6EA3708E" w:rsidR="002562FD" w:rsidRDefault="002562FD" w:rsidP="00415CB7">
      <w:pPr>
        <w:pStyle w:val="Heading5"/>
      </w:pPr>
      <w:r>
        <w:t xml:space="preserve">Pharmacokinetics </w:t>
      </w:r>
    </w:p>
    <w:p w14:paraId="5018FB5D" w14:textId="77777777" w:rsidR="002562FD" w:rsidRDefault="002562FD" w:rsidP="00415CB7">
      <w:pPr>
        <w:pStyle w:val="Heading6"/>
      </w:pPr>
      <w:r>
        <w:t xml:space="preserve">Phase 1 Study in Healthy Subjects </w:t>
      </w:r>
    </w:p>
    <w:p w14:paraId="080F1EE3" w14:textId="621942D3" w:rsidR="002562FD" w:rsidRDefault="002562FD" w:rsidP="0005414B">
      <w:r w:rsidRPr="00001540">
        <w:rPr>
          <w:b/>
          <w:bCs/>
        </w:rPr>
        <w:t>ALN-TTRSC02-001 (Study 001)</w:t>
      </w:r>
      <w:r>
        <w:t xml:space="preserve">: A </w:t>
      </w:r>
      <w:r w:rsidR="00AD1F00">
        <w:t>p</w:t>
      </w:r>
      <w:r>
        <w:t xml:space="preserve">hase 1, </w:t>
      </w:r>
      <w:r w:rsidR="00AD1F00">
        <w:t>r</w:t>
      </w:r>
      <w:r>
        <w:t xml:space="preserve">andomised, </w:t>
      </w:r>
      <w:r w:rsidR="00AD1F00">
        <w:t>s</w:t>
      </w:r>
      <w:r>
        <w:t>ingle-</w:t>
      </w:r>
      <w:r w:rsidR="00AD1F00">
        <w:t>b</w:t>
      </w:r>
      <w:r>
        <w:t xml:space="preserve">lind, </w:t>
      </w:r>
      <w:r w:rsidR="00AD1F00">
        <w:t>p</w:t>
      </w:r>
      <w:r>
        <w:t>lacebo-</w:t>
      </w:r>
      <w:r w:rsidR="00AD1F00">
        <w:t>c</w:t>
      </w:r>
      <w:r>
        <w:t xml:space="preserve">ontrolled, </w:t>
      </w:r>
      <w:r w:rsidR="00AD1F00">
        <w:t>s</w:t>
      </w:r>
      <w:r>
        <w:t xml:space="preserve">ingle- </w:t>
      </w:r>
      <w:r w:rsidR="00AD1F00">
        <w:t>a</w:t>
      </w:r>
      <w:r>
        <w:t xml:space="preserve">scending </w:t>
      </w:r>
      <w:r w:rsidR="00AD1F00">
        <w:t>d</w:t>
      </w:r>
      <w:r>
        <w:t xml:space="preserve">ose, </w:t>
      </w:r>
      <w:r w:rsidR="00AD1F00">
        <w:t>s</w:t>
      </w:r>
      <w:r>
        <w:t xml:space="preserve">afety, </w:t>
      </w:r>
      <w:r w:rsidR="00AD1F00">
        <w:t>t</w:t>
      </w:r>
      <w:r>
        <w:t xml:space="preserve">olerability, </w:t>
      </w:r>
      <w:r w:rsidR="00AD1F00">
        <w:t>p</w:t>
      </w:r>
      <w:r>
        <w:t xml:space="preserve">harmacokinetics, and </w:t>
      </w:r>
      <w:r w:rsidR="00AD1F00">
        <w:t>p</w:t>
      </w:r>
      <w:r>
        <w:t xml:space="preserve">harmacodynamics </w:t>
      </w:r>
      <w:r w:rsidR="00AD1F00">
        <w:t>s</w:t>
      </w:r>
      <w:r>
        <w:t xml:space="preserve">tudy of </w:t>
      </w:r>
      <w:r w:rsidR="00A91285">
        <w:t>s</w:t>
      </w:r>
      <w:r>
        <w:t xml:space="preserve">ubcutaneously </w:t>
      </w:r>
      <w:r w:rsidR="00A91285">
        <w:t>a</w:t>
      </w:r>
      <w:r>
        <w:t xml:space="preserve">dministered ALN-TTRSC02 (vutrisiran) in </w:t>
      </w:r>
      <w:r w:rsidR="00A91285">
        <w:t>h</w:t>
      </w:r>
      <w:r>
        <w:t xml:space="preserve">ealthy </w:t>
      </w:r>
      <w:r w:rsidR="00A91285">
        <w:t>s</w:t>
      </w:r>
      <w:r>
        <w:t>ubjects</w:t>
      </w:r>
      <w:r w:rsidR="00CB607B">
        <w:t>.</w:t>
      </w:r>
      <w:r>
        <w:t xml:space="preserve"> </w:t>
      </w:r>
    </w:p>
    <w:p w14:paraId="47209A58" w14:textId="7B5E8BDA" w:rsidR="002562FD" w:rsidRDefault="002562FD" w:rsidP="0005414B">
      <w:r>
        <w:t xml:space="preserve">Study 001 was a </w:t>
      </w:r>
      <w:r w:rsidR="00A91285">
        <w:t>p</w:t>
      </w:r>
      <w:r>
        <w:t xml:space="preserve">hase 1, randomised, single-blind, placebo-controlled study of vutrisiran administered SC to healthy adult subjects, including subjects of Japanese descent, at 1 centre in the </w:t>
      </w:r>
      <w:r w:rsidR="00A91285">
        <w:t>UK</w:t>
      </w:r>
      <w:r>
        <w:t xml:space="preserve">. The study was designed to evaluate the safety, tolerability, </w:t>
      </w:r>
      <w:r w:rsidR="00524B84">
        <w:t>pharmacokinetics (</w:t>
      </w:r>
      <w:r>
        <w:t>PK</w:t>
      </w:r>
      <w:r w:rsidR="00524B84">
        <w:t>)</w:t>
      </w:r>
      <w:r>
        <w:t xml:space="preserve">, and </w:t>
      </w:r>
      <w:r w:rsidR="00524B84">
        <w:t>pharmacodynamics (</w:t>
      </w:r>
      <w:r>
        <w:t>PD</w:t>
      </w:r>
      <w:r w:rsidR="00524B84">
        <w:t>)</w:t>
      </w:r>
      <w:r>
        <w:t xml:space="preserve"> of single doses of vutrisiran. Single ascending doses of vutrisiran (25, 50, 100, 200, and 300 mg) were investigated in 5 sequential cohorts, followed by the enrolment of 3 additional cohorts (5, 25, and 50 mg), and then 2 additional cohorts of subjects of Japanese descent (25 and 50 mg). </w:t>
      </w:r>
    </w:p>
    <w:p w14:paraId="2F067E98" w14:textId="46BFCA08" w:rsidR="008834A0" w:rsidRPr="008834A0" w:rsidRDefault="008834A0" w:rsidP="0005414B">
      <w:proofErr w:type="spellStart"/>
      <w:r w:rsidRPr="008834A0">
        <w:t>Vutrisiran</w:t>
      </w:r>
      <w:proofErr w:type="spellEnd"/>
      <w:r w:rsidRPr="008834A0">
        <w:t xml:space="preserve"> plasma PK samples were taken predose and 10 minutes, 30 minutes, and 1, 2, 4, 6, 8, 12, 24 and 48 h post</w:t>
      </w:r>
      <w:r w:rsidR="006B5B27">
        <w:t>-</w:t>
      </w:r>
      <w:r w:rsidRPr="008834A0">
        <w:t>dose. Urine samples were taken predose and 6, 12, and 24 h post</w:t>
      </w:r>
      <w:r w:rsidR="006B5B27">
        <w:t>-</w:t>
      </w:r>
      <w:r w:rsidRPr="008834A0">
        <w:t>dose, and on days 3, 8, 15, 22, 29, 43, 57, and 90. Urine was pooled from 0-6, 6-12, and 12-24 h.</w:t>
      </w:r>
    </w:p>
    <w:p w14:paraId="2733614A" w14:textId="31A2C861" w:rsidR="008834A0" w:rsidRPr="008834A0" w:rsidRDefault="008834A0" w:rsidP="0005414B">
      <w:pPr>
        <w:rPr>
          <w:szCs w:val="22"/>
        </w:rPr>
      </w:pPr>
      <w:r w:rsidRPr="008834A0">
        <w:rPr>
          <w:szCs w:val="22"/>
        </w:rPr>
        <w:t xml:space="preserve">TTR and </w:t>
      </w:r>
      <w:r w:rsidR="006B5B27">
        <w:rPr>
          <w:szCs w:val="22"/>
        </w:rPr>
        <w:t>v</w:t>
      </w:r>
      <w:r w:rsidRPr="008834A0">
        <w:rPr>
          <w:szCs w:val="22"/>
        </w:rPr>
        <w:t>itamin A sampling was at baseline and on days 1, 3, 8, 15, 22, 29, 43, 57, 90, 118, 146,</w:t>
      </w:r>
    </w:p>
    <w:p w14:paraId="79282613" w14:textId="60E72A0F" w:rsidR="008834A0" w:rsidRPr="008834A0" w:rsidRDefault="008834A0" w:rsidP="0005414B">
      <w:pPr>
        <w:rPr>
          <w:szCs w:val="22"/>
        </w:rPr>
      </w:pPr>
      <w:r w:rsidRPr="008834A0">
        <w:rPr>
          <w:szCs w:val="22"/>
        </w:rPr>
        <w:t xml:space="preserve">174, 202, 230, 258, 286 and 314 with an additional </w:t>
      </w:r>
      <w:r w:rsidR="006B5B27">
        <w:rPr>
          <w:szCs w:val="22"/>
        </w:rPr>
        <w:t>v</w:t>
      </w:r>
      <w:r w:rsidRPr="008834A0">
        <w:rPr>
          <w:szCs w:val="22"/>
        </w:rPr>
        <w:t>itamin A sample at screening.</w:t>
      </w:r>
    </w:p>
    <w:p w14:paraId="1449B113" w14:textId="77777777" w:rsidR="008834A0" w:rsidRDefault="008834A0" w:rsidP="0005414B">
      <w:pPr>
        <w:rPr>
          <w:szCs w:val="22"/>
        </w:rPr>
      </w:pPr>
      <w:r w:rsidRPr="008834A0">
        <w:rPr>
          <w:szCs w:val="22"/>
        </w:rPr>
        <w:t xml:space="preserve">In total, 80 subjects, including 16 subjects of Japanese descent, were enrolled across 10 study </w:t>
      </w:r>
      <w:proofErr w:type="gramStart"/>
      <w:r w:rsidRPr="008834A0">
        <w:rPr>
          <w:szCs w:val="22"/>
        </w:rPr>
        <w:t>cohorts</w:t>
      </w:r>
      <w:proofErr w:type="gramEnd"/>
      <w:r w:rsidRPr="008834A0">
        <w:rPr>
          <w:szCs w:val="22"/>
        </w:rPr>
        <w:t xml:space="preserve"> and randomised 6:2 to receive a single dose of either vutrisiran (60 subjects) or placebo (20 subjects).</w:t>
      </w:r>
    </w:p>
    <w:p w14:paraId="274238DE" w14:textId="7EFC3C70" w:rsidR="00D26EEB" w:rsidRDefault="008834A0" w:rsidP="003B7E73">
      <w:pPr>
        <w:pStyle w:val="Heading6"/>
      </w:pPr>
      <w:r w:rsidRPr="008834A0">
        <w:t xml:space="preserve">Phase 3 </w:t>
      </w:r>
      <w:r w:rsidR="0005414B" w:rsidRPr="008834A0">
        <w:t>study in patients with hereditary transthyretin amyloidosis</w:t>
      </w:r>
    </w:p>
    <w:p w14:paraId="6F9CAF0B" w14:textId="16E87E92" w:rsidR="009A1E42" w:rsidRDefault="009A1E42" w:rsidP="009A1E42">
      <w:r w:rsidRPr="00001540">
        <w:rPr>
          <w:b/>
          <w:bCs/>
        </w:rPr>
        <w:t>ALN-TTRSC02-002 (HELIOS-A)</w:t>
      </w:r>
      <w:r>
        <w:t xml:space="preserve">: A </w:t>
      </w:r>
      <w:r w:rsidR="00A91285">
        <w:t>p</w:t>
      </w:r>
      <w:r>
        <w:t xml:space="preserve">hase 3 </w:t>
      </w:r>
      <w:r w:rsidR="00A91285">
        <w:t>g</w:t>
      </w:r>
      <w:r>
        <w:t xml:space="preserve">lobal, </w:t>
      </w:r>
      <w:r w:rsidR="00A91285">
        <w:t>r</w:t>
      </w:r>
      <w:r>
        <w:t xml:space="preserve">andomized, </w:t>
      </w:r>
      <w:r w:rsidR="00A91285">
        <w:t>o</w:t>
      </w:r>
      <w:r>
        <w:t xml:space="preserve">pen-label </w:t>
      </w:r>
      <w:r w:rsidR="00A91285">
        <w:t>s</w:t>
      </w:r>
      <w:r>
        <w:t xml:space="preserve">tudy to </w:t>
      </w:r>
      <w:r w:rsidR="00A91285">
        <w:t>e</w:t>
      </w:r>
      <w:r>
        <w:t xml:space="preserve">valuate the </w:t>
      </w:r>
      <w:r w:rsidR="00A91285">
        <w:t>e</w:t>
      </w:r>
      <w:r>
        <w:t xml:space="preserve">fficacy and </w:t>
      </w:r>
      <w:r w:rsidR="00A91285">
        <w:t>s</w:t>
      </w:r>
      <w:r>
        <w:t xml:space="preserve">afety of ALN-TTRSC02 in </w:t>
      </w:r>
      <w:r w:rsidR="00A91285">
        <w:t>p</w:t>
      </w:r>
      <w:r>
        <w:t xml:space="preserve">atients with hATTR </w:t>
      </w:r>
      <w:proofErr w:type="gramStart"/>
      <w:r>
        <w:t>amyloidosi</w:t>
      </w:r>
      <w:r w:rsidR="00A91285">
        <w:t>s</w:t>
      </w:r>
      <w:proofErr w:type="gramEnd"/>
    </w:p>
    <w:p w14:paraId="795D8CA3" w14:textId="1A28423F" w:rsidR="009A1E42" w:rsidRDefault="009A1E42" w:rsidP="009A1E42">
      <w:r>
        <w:t>Vutrisiran plasma PK samples were taken on Days 1 and 253 predose and 3, 6, and 24 h post</w:t>
      </w:r>
      <w:r w:rsidR="003B7E73">
        <w:t>-</w:t>
      </w:r>
      <w:r>
        <w:t>dose as well as on Days 85, 169, 337, 421, and 505 predose and 3 hours post</w:t>
      </w:r>
      <w:r w:rsidR="003B7E73">
        <w:t>-</w:t>
      </w:r>
      <w:r>
        <w:t>dose. TTR and Vitamin A sampling was at baseline and in weeks 3, 6, 12, 18, 24, 30, 36, 42, 48, 54, 60, 66, 72, 78, and month 18.</w:t>
      </w:r>
    </w:p>
    <w:p w14:paraId="14E94500" w14:textId="77777777" w:rsidR="009A1E42" w:rsidRDefault="009A1E42" w:rsidP="009A1E42">
      <w:r>
        <w:t>There were 164 patients who were randomised to vutrisiran (122 patients) or patisiran (42 patients).</w:t>
      </w:r>
    </w:p>
    <w:p w14:paraId="5408C72C" w14:textId="5E623433" w:rsidR="009A1E42" w:rsidRDefault="009A1E42" w:rsidP="009A1E42">
      <w:r>
        <w:t xml:space="preserve">The key pharmacokinetic results for single (Study 001) and multiple dose (HELIOS-A) administration of vutrisiran are presented in </w:t>
      </w:r>
      <w:r w:rsidR="003B7E73">
        <w:t>T</w:t>
      </w:r>
      <w:r>
        <w:t>ables</w:t>
      </w:r>
      <w:r w:rsidR="003B7E73">
        <w:t xml:space="preserve"> 3 and 4</w:t>
      </w:r>
      <w:r w:rsidR="00A91285">
        <w:t xml:space="preserve">. </w:t>
      </w:r>
    </w:p>
    <w:p w14:paraId="6978740D" w14:textId="55BAE9D9" w:rsidR="009A1E42" w:rsidRDefault="009A1E42" w:rsidP="00E470CF">
      <w:pPr>
        <w:pStyle w:val="TableTitle"/>
      </w:pPr>
      <w:r>
        <w:t xml:space="preserve">Table </w:t>
      </w:r>
      <w:r w:rsidR="00E470CF">
        <w:t xml:space="preserve">3. </w:t>
      </w:r>
      <w:r>
        <w:t xml:space="preserve">Study 001: Summary of </w:t>
      </w:r>
      <w:r w:rsidR="00A91285">
        <w:t>s</w:t>
      </w:r>
      <w:r>
        <w:t xml:space="preserve">ingle-dose </w:t>
      </w:r>
      <w:r w:rsidR="00A91285">
        <w:t>p</w:t>
      </w:r>
      <w:r>
        <w:t xml:space="preserve">lasma and </w:t>
      </w:r>
      <w:r w:rsidR="00EA7742">
        <w:t>u</w:t>
      </w:r>
      <w:r>
        <w:t xml:space="preserve">rine </w:t>
      </w:r>
      <w:r w:rsidR="00EA7742">
        <w:t>P</w:t>
      </w:r>
      <w:r>
        <w:t xml:space="preserve">K </w:t>
      </w:r>
      <w:r w:rsidR="00EA7742">
        <w:t>p</w:t>
      </w:r>
      <w:r>
        <w:t xml:space="preserve">arameters for </w:t>
      </w:r>
      <w:r w:rsidR="00EA7742">
        <w:t>v</w:t>
      </w:r>
      <w:r>
        <w:t xml:space="preserve">utrisiran (PK </w:t>
      </w:r>
      <w:r w:rsidR="00EA7742">
        <w:t>a</w:t>
      </w:r>
      <w:r>
        <w:t xml:space="preserve">nalysis </w:t>
      </w:r>
      <w:r w:rsidR="00EA7742">
        <w:t>s</w:t>
      </w:r>
      <w:r>
        <w:t>et)</w:t>
      </w:r>
    </w:p>
    <w:p w14:paraId="3AF2C398" w14:textId="5FF664B3" w:rsidR="00D26EEB" w:rsidRDefault="00BB12AB" w:rsidP="006178C7">
      <w:pPr>
        <w:rPr>
          <w:szCs w:val="22"/>
        </w:rPr>
      </w:pPr>
      <w:r>
        <w:rPr>
          <w:noProof/>
        </w:rPr>
        <w:drawing>
          <wp:inline distT="0" distB="0" distL="0" distR="0" wp14:anchorId="1BAE52D8" wp14:editId="207FBF7C">
            <wp:extent cx="5730240" cy="3053542"/>
            <wp:effectExtent l="0" t="0" r="3810" b="0"/>
            <wp:docPr id="1754278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278787" name=""/>
                    <pic:cNvPicPr/>
                  </pic:nvPicPr>
                  <pic:blipFill rotWithShape="1">
                    <a:blip r:embed="rId25"/>
                    <a:srcRect r="6794" b="664"/>
                    <a:stretch/>
                  </pic:blipFill>
                  <pic:spPr bwMode="auto">
                    <a:xfrm>
                      <a:off x="0" y="0"/>
                      <a:ext cx="5737252" cy="3057279"/>
                    </a:xfrm>
                    <a:prstGeom prst="rect">
                      <a:avLst/>
                    </a:prstGeom>
                    <a:ln>
                      <a:noFill/>
                    </a:ln>
                    <a:extLst>
                      <a:ext uri="{53640926-AAD7-44D8-BBD7-CCE9431645EC}">
                        <a14:shadowObscured xmlns:a14="http://schemas.microsoft.com/office/drawing/2010/main"/>
                      </a:ext>
                    </a:extLst>
                  </pic:spPr>
                </pic:pic>
              </a:graphicData>
            </a:graphic>
          </wp:inline>
        </w:drawing>
      </w:r>
      <w:r w:rsidR="006178C7">
        <w:rPr>
          <w:noProof/>
        </w:rPr>
        <w:drawing>
          <wp:inline distT="0" distB="0" distL="0" distR="0" wp14:anchorId="01D26CDC" wp14:editId="07667033">
            <wp:extent cx="5759450" cy="345440"/>
            <wp:effectExtent l="0" t="0" r="0" b="0"/>
            <wp:docPr id="1011192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192407" name=""/>
                    <pic:cNvPicPr/>
                  </pic:nvPicPr>
                  <pic:blipFill rotWithShape="1">
                    <a:blip r:embed="rId26"/>
                    <a:srcRect b="7167"/>
                    <a:stretch/>
                  </pic:blipFill>
                  <pic:spPr bwMode="auto">
                    <a:xfrm>
                      <a:off x="0" y="0"/>
                      <a:ext cx="5759450" cy="345440"/>
                    </a:xfrm>
                    <a:prstGeom prst="rect">
                      <a:avLst/>
                    </a:prstGeom>
                    <a:ln>
                      <a:noFill/>
                    </a:ln>
                    <a:extLst>
                      <a:ext uri="{53640926-AAD7-44D8-BBD7-CCE9431645EC}">
                        <a14:shadowObscured xmlns:a14="http://schemas.microsoft.com/office/drawing/2010/main"/>
                      </a:ext>
                    </a:extLst>
                  </pic:spPr>
                </pic:pic>
              </a:graphicData>
            </a:graphic>
          </wp:inline>
        </w:drawing>
      </w:r>
    </w:p>
    <w:p w14:paraId="72B53FF5" w14:textId="7A21363E" w:rsidR="00924721" w:rsidRDefault="00924721" w:rsidP="00924721">
      <w:pPr>
        <w:pStyle w:val="TableTitle"/>
      </w:pPr>
      <w:r w:rsidRPr="00924721">
        <w:t>Table</w:t>
      </w:r>
      <w:r>
        <w:t xml:space="preserve"> 4. </w:t>
      </w:r>
      <w:r w:rsidRPr="00924721">
        <w:t xml:space="preserve">HELIOS-A: </w:t>
      </w:r>
      <w:r w:rsidR="00EA7742">
        <w:t>S</w:t>
      </w:r>
      <w:r w:rsidRPr="00924721">
        <w:t xml:space="preserve">ummary of </w:t>
      </w:r>
      <w:r w:rsidR="00EA7742">
        <w:t>p</w:t>
      </w:r>
      <w:r w:rsidRPr="00924721">
        <w:t xml:space="preserve">lasma </w:t>
      </w:r>
      <w:r w:rsidR="00EA7742">
        <w:t>p</w:t>
      </w:r>
      <w:r w:rsidRPr="00924721">
        <w:t xml:space="preserve">harmacokinetic </w:t>
      </w:r>
      <w:r w:rsidR="00EA7742">
        <w:t>p</w:t>
      </w:r>
      <w:r w:rsidRPr="00924721">
        <w:t xml:space="preserve">arameters for </w:t>
      </w:r>
      <w:r w:rsidR="00EA7742">
        <w:t>v</w:t>
      </w:r>
      <w:r w:rsidRPr="00924721">
        <w:t xml:space="preserve">utrisiran on Day 1 and Day 253 (PK </w:t>
      </w:r>
      <w:r w:rsidR="00EA7742">
        <w:t>p</w:t>
      </w:r>
      <w:r w:rsidRPr="00924721">
        <w:t>opulation)</w:t>
      </w:r>
    </w:p>
    <w:p w14:paraId="405ECA49" w14:textId="653B189B" w:rsidR="00D26EEB" w:rsidRDefault="00924721" w:rsidP="003B7E73">
      <w:r w:rsidRPr="00924721">
        <w:rPr>
          <w:noProof/>
        </w:rPr>
        <w:drawing>
          <wp:inline distT="0" distB="0" distL="0" distR="0" wp14:anchorId="7B34DB33" wp14:editId="522EB135">
            <wp:extent cx="5758889" cy="4362027"/>
            <wp:effectExtent l="0" t="0" r="0" b="635"/>
            <wp:docPr id="5507698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b="5941"/>
                    <a:stretch/>
                  </pic:blipFill>
                  <pic:spPr bwMode="auto">
                    <a:xfrm>
                      <a:off x="0" y="0"/>
                      <a:ext cx="5759450" cy="4362452"/>
                    </a:xfrm>
                    <a:prstGeom prst="rect">
                      <a:avLst/>
                    </a:prstGeom>
                    <a:noFill/>
                    <a:ln>
                      <a:noFill/>
                    </a:ln>
                    <a:extLst>
                      <a:ext uri="{53640926-AAD7-44D8-BBD7-CCE9431645EC}">
                        <a14:shadowObscured xmlns:a14="http://schemas.microsoft.com/office/drawing/2010/main"/>
                      </a:ext>
                    </a:extLst>
                  </pic:spPr>
                </pic:pic>
              </a:graphicData>
            </a:graphic>
          </wp:inline>
        </w:drawing>
      </w:r>
    </w:p>
    <w:p w14:paraId="2ACF1489" w14:textId="77777777" w:rsidR="00C834FE" w:rsidRDefault="00C834FE" w:rsidP="0005414B">
      <w:r>
        <w:t>Following a single SC dose of 5 to 300 mg vutrisiran in healthy subjects, the median t</w:t>
      </w:r>
      <w:r w:rsidRPr="00AD1F00">
        <w:rPr>
          <w:vertAlign w:val="subscript"/>
        </w:rPr>
        <w:t xml:space="preserve">max </w:t>
      </w:r>
      <w:r>
        <w:t>ranged from 3 to 5 hours post-dose. When administered at a dose of 25 mg SC to patients, vutrisiran was rapidly absorbed with individual t</w:t>
      </w:r>
      <w:r w:rsidRPr="00AD1F00">
        <w:rPr>
          <w:vertAlign w:val="subscript"/>
        </w:rPr>
        <w:t>max</w:t>
      </w:r>
      <w:r>
        <w:t xml:space="preserve"> values ranging from 2 to 6.6 hours. </w:t>
      </w:r>
    </w:p>
    <w:p w14:paraId="655385D6" w14:textId="77777777" w:rsidR="00C834FE" w:rsidRDefault="00C834FE" w:rsidP="0005414B">
      <w:proofErr w:type="spellStart"/>
      <w:r>
        <w:t>Vutrisiran</w:t>
      </w:r>
      <w:proofErr w:type="spellEnd"/>
      <w:r>
        <w:t xml:space="preserve"> plasma exposure is predominantly driven by liver uptake. In both, </w:t>
      </w:r>
      <w:proofErr w:type="gramStart"/>
      <w:r>
        <w:t>patients</w:t>
      </w:r>
      <w:proofErr w:type="gramEnd"/>
      <w:r>
        <w:t xml:space="preserve"> and healthy volunteers, vutrisiran was rapidly absorbed after SC injection. Patients showed a slightly higher variability in their t</w:t>
      </w:r>
      <w:r w:rsidRPr="00AD1F00">
        <w:rPr>
          <w:vertAlign w:val="subscript"/>
        </w:rPr>
        <w:t>max</w:t>
      </w:r>
      <w:r>
        <w:t xml:space="preserve"> values than healthy volunteers. Results were in line with values that were to be expected based on the non-clinical data and the clinical experience with similar drug products. </w:t>
      </w:r>
    </w:p>
    <w:p w14:paraId="50425A2D" w14:textId="77777777" w:rsidR="00C834FE" w:rsidRDefault="00C834FE" w:rsidP="0005414B">
      <w:pPr>
        <w:rPr>
          <w:szCs w:val="22"/>
        </w:rPr>
      </w:pPr>
      <w:r>
        <w:rPr>
          <w:szCs w:val="22"/>
        </w:rPr>
        <w:t xml:space="preserve">Plasma protein binding of vutrisiran showed a dose-dependent effect, with significantly </w:t>
      </w:r>
      <w:proofErr w:type="gramStart"/>
      <w:r>
        <w:rPr>
          <w:szCs w:val="22"/>
        </w:rPr>
        <w:t>lower</w:t>
      </w:r>
      <w:proofErr w:type="gramEnd"/>
      <w:r>
        <w:rPr>
          <w:szCs w:val="22"/>
        </w:rPr>
        <w:t xml:space="preserve"> </w:t>
      </w:r>
    </w:p>
    <w:p w14:paraId="1C8A5EB8" w14:textId="77777777" w:rsidR="00C834FE" w:rsidRDefault="00C834FE" w:rsidP="0005414B">
      <w:r>
        <w:t xml:space="preserve">binding at higher concentration, however in clinical practice a fixed dose of 25 mg will be used. Therefore, a high plasma bound ratio of about 80% of drug substance can be expected. </w:t>
      </w:r>
    </w:p>
    <w:p w14:paraId="6C2BA1E4" w14:textId="60EE91B3" w:rsidR="00C834FE" w:rsidRDefault="00C834FE" w:rsidP="0005414B">
      <w:pPr>
        <w:rPr>
          <w:szCs w:val="22"/>
        </w:rPr>
      </w:pPr>
      <w:r>
        <w:rPr>
          <w:szCs w:val="22"/>
        </w:rPr>
        <w:t xml:space="preserve">After absorption </w:t>
      </w:r>
      <w:proofErr w:type="spellStart"/>
      <w:r>
        <w:rPr>
          <w:szCs w:val="22"/>
        </w:rPr>
        <w:t>vutrisiran</w:t>
      </w:r>
      <w:proofErr w:type="spellEnd"/>
      <w:r>
        <w:rPr>
          <w:szCs w:val="22"/>
        </w:rPr>
        <w:t xml:space="preserve"> is rapidly eliminated from the plasma with a half-life between the </w:t>
      </w:r>
    </w:p>
    <w:p w14:paraId="036081AE" w14:textId="50B27924" w:rsidR="00C834FE" w:rsidRDefault="00C834FE" w:rsidP="0005414B">
      <w:pPr>
        <w:rPr>
          <w:szCs w:val="22"/>
        </w:rPr>
      </w:pPr>
      <w:r>
        <w:rPr>
          <w:szCs w:val="22"/>
        </w:rPr>
        <w:t xml:space="preserve">range of 2 to 7.5 hours. </w:t>
      </w:r>
      <w:r w:rsidR="00FA6B92">
        <w:rPr>
          <w:szCs w:val="22"/>
        </w:rPr>
        <w:t>V</w:t>
      </w:r>
      <w:r>
        <w:rPr>
          <w:szCs w:val="22"/>
        </w:rPr>
        <w:t xml:space="preserve">alues </w:t>
      </w:r>
      <w:r w:rsidR="00FA6B92">
        <w:rPr>
          <w:szCs w:val="22"/>
        </w:rPr>
        <w:t>for t</w:t>
      </w:r>
      <w:r w:rsidR="00FA6B92" w:rsidRPr="00FA6B92">
        <w:rPr>
          <w:szCs w:val="22"/>
          <w:vertAlign w:val="subscript"/>
        </w:rPr>
        <w:t>1/2</w:t>
      </w:r>
      <w:r>
        <w:rPr>
          <w:szCs w:val="22"/>
        </w:rPr>
        <w:t xml:space="preserve">were comparable between healthy volunteers and patients. Only a small fraction of the drug is excreted in urine. Elimination from plasma is assumed to be mainly driven by distribution of the drug to the liver. Due to the long residence time in the </w:t>
      </w:r>
      <w:r w:rsidR="004E7F94">
        <w:rPr>
          <w:szCs w:val="22"/>
        </w:rPr>
        <w:t>liver,</w:t>
      </w:r>
      <w:r>
        <w:rPr>
          <w:szCs w:val="22"/>
        </w:rPr>
        <w:t xml:space="preserve"> there is no correlation between drug plasma concentrations and efficacy. </w:t>
      </w:r>
    </w:p>
    <w:p w14:paraId="0FB79355" w14:textId="4B47FF9C" w:rsidR="00D26EEB" w:rsidRDefault="00C834FE" w:rsidP="0005414B">
      <w:r>
        <w:t>There were no unexpected metabolites identified in the clinical studies. These results are in-line with what could be expected based on experience with similar RNA-based drug products and with general data on nucleotide metabolism.</w:t>
      </w:r>
    </w:p>
    <w:p w14:paraId="4877D931" w14:textId="77777777" w:rsidR="00803E04" w:rsidRDefault="00803E04" w:rsidP="00625B2C">
      <w:pPr>
        <w:pStyle w:val="Heading5"/>
      </w:pPr>
      <w:r w:rsidRPr="00803E04">
        <w:t>Population PK data (popPK)</w:t>
      </w:r>
    </w:p>
    <w:p w14:paraId="38D41613" w14:textId="47BD3E4C" w:rsidR="00803E04" w:rsidRDefault="00803E04" w:rsidP="0005414B">
      <w:r w:rsidRPr="00803E04">
        <w:t>Population pharmacokinetic analysis of vutrisiran was performed using data from 182 participants (60 healthy subjects and 122 patients with hereditary ATTR amyloidosis) from Study 001 and HELIOS-A), including single and multiple dose administration of SC vutrisiran.</w:t>
      </w:r>
    </w:p>
    <w:p w14:paraId="3B5FB89C" w14:textId="2988BB98" w:rsidR="00803E04" w:rsidRDefault="00803E04" w:rsidP="0005414B">
      <w:proofErr w:type="spellStart"/>
      <w:r w:rsidRPr="00803E04">
        <w:t>Vutrisiran</w:t>
      </w:r>
      <w:proofErr w:type="spellEnd"/>
      <w:r w:rsidRPr="00803E04">
        <w:t xml:space="preserve"> plasma concentration-time profiles were best fit by a 2-compartment model, with absorption from the SC injection site via a first-order process with rate constant Ka. Total plasma clearance was the sum of hepatic clearance and renal </w:t>
      </w:r>
      <w:r w:rsidR="004E7F94" w:rsidRPr="00803E04">
        <w:t>clearance. Final</w:t>
      </w:r>
      <w:r w:rsidRPr="00803E04">
        <w:t xml:space="preserve"> PK parameters are given in the table below.</w:t>
      </w:r>
    </w:p>
    <w:p w14:paraId="14DDC5CC" w14:textId="77777777" w:rsidR="0005414B" w:rsidRDefault="00803E04" w:rsidP="005103C3">
      <w:pPr>
        <w:pStyle w:val="TableTitle"/>
      </w:pPr>
      <w:r w:rsidRPr="00803E04">
        <w:t>Table</w:t>
      </w:r>
      <w:r>
        <w:t xml:space="preserve"> 5</w:t>
      </w:r>
      <w:r w:rsidRPr="00803E04">
        <w:t xml:space="preserve">: Parameter Estimates for the Final </w:t>
      </w:r>
      <w:proofErr w:type="spellStart"/>
      <w:r w:rsidRPr="00803E04">
        <w:t>Vutrisiran</w:t>
      </w:r>
      <w:proofErr w:type="spellEnd"/>
      <w:r w:rsidRPr="00803E04">
        <w:t xml:space="preserve"> Population PK Model</w:t>
      </w:r>
    </w:p>
    <w:p w14:paraId="70F80292" w14:textId="35AEFAF1" w:rsidR="00C06F29" w:rsidRDefault="0029608F" w:rsidP="0005414B">
      <w:r>
        <w:rPr>
          <w:noProof/>
        </w:rPr>
        <w:drawing>
          <wp:inline distT="0" distB="0" distL="0" distR="0" wp14:anchorId="277CA359" wp14:editId="4BDD5B78">
            <wp:extent cx="5759450" cy="1117600"/>
            <wp:effectExtent l="0" t="0" r="0" b="6350"/>
            <wp:docPr id="1789202830"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202830" name="Picture 1" descr="A table with numbers and text&#10;&#10;Description automatically generated"/>
                    <pic:cNvPicPr/>
                  </pic:nvPicPr>
                  <pic:blipFill rotWithShape="1">
                    <a:blip r:embed="rId28"/>
                    <a:srcRect b="11111"/>
                    <a:stretch/>
                  </pic:blipFill>
                  <pic:spPr bwMode="auto">
                    <a:xfrm>
                      <a:off x="0" y="0"/>
                      <a:ext cx="5759450" cy="1117600"/>
                    </a:xfrm>
                    <a:prstGeom prst="rect">
                      <a:avLst/>
                    </a:prstGeom>
                    <a:ln>
                      <a:noFill/>
                    </a:ln>
                    <a:extLst>
                      <a:ext uri="{53640926-AAD7-44D8-BBD7-CCE9431645EC}">
                        <a14:shadowObscured xmlns:a14="http://schemas.microsoft.com/office/drawing/2010/main"/>
                      </a:ext>
                    </a:extLst>
                  </pic:spPr>
                </pic:pic>
              </a:graphicData>
            </a:graphic>
          </wp:inline>
        </w:drawing>
      </w:r>
      <w:r w:rsidR="005103C3" w:rsidRPr="005103C3">
        <w:rPr>
          <w:noProof/>
        </w:rPr>
        <w:t xml:space="preserve"> </w:t>
      </w:r>
      <w:r w:rsidR="005103C3">
        <w:rPr>
          <w:noProof/>
        </w:rPr>
        <w:drawing>
          <wp:inline distT="0" distB="0" distL="0" distR="0" wp14:anchorId="71595CD3" wp14:editId="6B6E820B">
            <wp:extent cx="5759450" cy="2749550"/>
            <wp:effectExtent l="0" t="0" r="0" b="0"/>
            <wp:docPr id="1764374675"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374675" name="Picture 1" descr="A table with numbers and text&#10;&#10;Description automatically generated"/>
                    <pic:cNvPicPr/>
                  </pic:nvPicPr>
                  <pic:blipFill>
                    <a:blip r:embed="rId29"/>
                    <a:stretch>
                      <a:fillRect/>
                    </a:stretch>
                  </pic:blipFill>
                  <pic:spPr>
                    <a:xfrm>
                      <a:off x="0" y="0"/>
                      <a:ext cx="5759450" cy="2749550"/>
                    </a:xfrm>
                    <a:prstGeom prst="rect">
                      <a:avLst/>
                    </a:prstGeom>
                  </pic:spPr>
                </pic:pic>
              </a:graphicData>
            </a:graphic>
          </wp:inline>
        </w:drawing>
      </w:r>
    </w:p>
    <w:p w14:paraId="08FD0F08" w14:textId="77777777" w:rsidR="00C923C4" w:rsidRDefault="00C923C4" w:rsidP="00EC0422">
      <w:r w:rsidRPr="00C923C4">
        <w:t>The EU Assessor commented “The PPK model for plasma concentrations has been evaluated with standard plots and is considered acceptable.”</w:t>
      </w:r>
    </w:p>
    <w:p w14:paraId="6F364E97" w14:textId="77777777" w:rsidR="00C923C4" w:rsidRPr="00C923C4" w:rsidRDefault="00C923C4" w:rsidP="00625B2C">
      <w:pPr>
        <w:pStyle w:val="Heading5"/>
      </w:pPr>
      <w:r w:rsidRPr="00C923C4">
        <w:t>Pharmacodynamics (PD)</w:t>
      </w:r>
    </w:p>
    <w:p w14:paraId="6F054259" w14:textId="4D86C119" w:rsidR="00D26EEB" w:rsidRDefault="00C923C4" w:rsidP="00EC0422">
      <w:r w:rsidRPr="00C923C4">
        <w:t>Pharmacodynamic effects of vutrisiran have been investigated in a single-ascending dose</w:t>
      </w:r>
      <w:r w:rsidR="00625B2C">
        <w:t xml:space="preserve"> first-in-human</w:t>
      </w:r>
      <w:r w:rsidRPr="00C923C4">
        <w:t xml:space="preserve"> trial as well as the pivotal study in patients. The clinical development rationale for vutrisiran was to find a dosing schedule that shows PD activity that is comparable to patisiran but where the drug is given less frequently. Pronounced and prolonged primary and secondary pharmacodynamic effects were observed even after single doses as low as 5 mg. The biomarkers of pharmacodynamic activity confirmed that 25 mg vutrisiran given subcutaneously once every three months provides stable and durable reduction of TTR comparable to patisiran.</w:t>
      </w:r>
    </w:p>
    <w:p w14:paraId="322743EE" w14:textId="77777777" w:rsidR="00C923C4" w:rsidRPr="00C923C4" w:rsidRDefault="00C923C4" w:rsidP="00625B2C">
      <w:pPr>
        <w:pStyle w:val="Heading6"/>
      </w:pPr>
      <w:r w:rsidRPr="00C923C4">
        <w:t>Mechanism of action</w:t>
      </w:r>
    </w:p>
    <w:p w14:paraId="09309AEF" w14:textId="5342898D" w:rsidR="00C923C4" w:rsidRDefault="00C923C4" w:rsidP="00C923C4">
      <w:pPr>
        <w:pStyle w:val="Default"/>
        <w:rPr>
          <w:sz w:val="22"/>
          <w:szCs w:val="22"/>
        </w:rPr>
      </w:pPr>
      <w:r w:rsidRPr="00C923C4">
        <w:rPr>
          <w:sz w:val="22"/>
          <w:szCs w:val="22"/>
        </w:rPr>
        <w:t>Vutrisiran is an RNAi therapeutic comprised of a synthetic, chemically modified, double-stranded siRNA. It contains an GalNAc ligand allowing rapid and specific delivery to hepatocytes via uptake by the asialoglycoprotein receptor. Following delivery to the liver, vutrisiran uses the naturally occurring RNAi pathway to specifically target and silence TTR mRNA.</w:t>
      </w:r>
      <w:r w:rsidR="00EC0422">
        <w:rPr>
          <w:sz w:val="22"/>
          <w:szCs w:val="22"/>
        </w:rPr>
        <w:t xml:space="preserve"> </w:t>
      </w:r>
      <w:r w:rsidRPr="00C923C4">
        <w:rPr>
          <w:sz w:val="22"/>
          <w:szCs w:val="22"/>
        </w:rPr>
        <w:t xml:space="preserve">Reduction of both variant and wt TTR production in the liver reduces ongoing deposition of amyloid deposits and potentially allows for clearance of existing deposits, thus </w:t>
      </w:r>
      <w:proofErr w:type="gramStart"/>
      <w:r w:rsidRPr="00C923C4">
        <w:rPr>
          <w:sz w:val="22"/>
          <w:szCs w:val="22"/>
        </w:rPr>
        <w:t>halting</w:t>
      </w:r>
      <w:proofErr w:type="gramEnd"/>
      <w:r w:rsidRPr="00C923C4">
        <w:rPr>
          <w:sz w:val="22"/>
          <w:szCs w:val="22"/>
        </w:rPr>
        <w:t xml:space="preserve"> or reversing disease progression. The clinical data from the patisiran APOLLO study supports the therapeutic hypothesis for vutrisiran.</w:t>
      </w:r>
    </w:p>
    <w:p w14:paraId="28B48387" w14:textId="77777777" w:rsidR="00C923C4" w:rsidRPr="00C923C4" w:rsidRDefault="00C923C4" w:rsidP="00735D19">
      <w:pPr>
        <w:pStyle w:val="Heading6"/>
      </w:pPr>
      <w:r w:rsidRPr="00C923C4">
        <w:t>Primary pharmacology</w:t>
      </w:r>
    </w:p>
    <w:p w14:paraId="52DB4A08" w14:textId="0018739C" w:rsidR="00C923C4" w:rsidRDefault="00C923C4" w:rsidP="00C923C4">
      <w:pPr>
        <w:pStyle w:val="Default"/>
        <w:rPr>
          <w:sz w:val="22"/>
          <w:szCs w:val="22"/>
        </w:rPr>
      </w:pPr>
      <w:r w:rsidRPr="00C923C4">
        <w:rPr>
          <w:sz w:val="22"/>
          <w:szCs w:val="22"/>
        </w:rPr>
        <w:t xml:space="preserve">Single SC doses of vutrisiran (5 to 300 mg) in healthy adult subjects reduced serum TTR in a dose-dependent manner, with higher doses achieving a faster onset and more durable suppression of serum TTR levels. The PD effect of 25 mg vutrisiran was comparable across Study 001 and HELIOS‑A, with a similar magnitude of TTR reduction from baseline at 90 days </w:t>
      </w:r>
      <w:r w:rsidR="004E7F94" w:rsidRPr="00C923C4">
        <w:rPr>
          <w:sz w:val="22"/>
          <w:szCs w:val="22"/>
        </w:rPr>
        <w:t>post dose</w:t>
      </w:r>
      <w:r w:rsidRPr="00C923C4">
        <w:rPr>
          <w:sz w:val="22"/>
          <w:szCs w:val="22"/>
        </w:rPr>
        <w:t xml:space="preserve"> (median of 81.8% in Study 001 versus 73.6% in HELIOS-A). With repeat q3M dosing in HELIOS‑A, further TTR reductions were achieved, though it is not clear if at the time of the endpoint</w:t>
      </w:r>
      <w:r w:rsidR="00DE19EE">
        <w:rPr>
          <w:sz w:val="22"/>
          <w:szCs w:val="22"/>
        </w:rPr>
        <w:t xml:space="preserve">, </w:t>
      </w:r>
      <w:r w:rsidR="00DE19EE" w:rsidRPr="00DE19EE">
        <w:rPr>
          <w:sz w:val="22"/>
          <w:szCs w:val="22"/>
        </w:rPr>
        <w:t xml:space="preserve">Modified Neuropathy Impairment Score + 7 (Ionis Version) </w:t>
      </w:r>
      <w:r w:rsidR="001E0DA5">
        <w:rPr>
          <w:sz w:val="22"/>
          <w:szCs w:val="22"/>
        </w:rPr>
        <w:t>(</w:t>
      </w:r>
      <w:r w:rsidRPr="00C923C4">
        <w:rPr>
          <w:sz w:val="22"/>
          <w:szCs w:val="22"/>
        </w:rPr>
        <w:t>mNIS+7</w:t>
      </w:r>
      <w:r w:rsidR="001E0DA5">
        <w:rPr>
          <w:sz w:val="22"/>
          <w:szCs w:val="22"/>
        </w:rPr>
        <w:t>)</w:t>
      </w:r>
      <w:r w:rsidRPr="00C923C4">
        <w:rPr>
          <w:sz w:val="22"/>
          <w:szCs w:val="22"/>
        </w:rPr>
        <w:t xml:space="preserve"> (9 months, not formally the primary endpoint for EU) a true steady state was already achieved.</w:t>
      </w:r>
      <w:r w:rsidR="00735D19">
        <w:rPr>
          <w:sz w:val="22"/>
          <w:szCs w:val="22"/>
        </w:rPr>
        <w:t xml:space="preserve"> </w:t>
      </w:r>
      <w:r w:rsidRPr="00C923C4">
        <w:rPr>
          <w:sz w:val="22"/>
          <w:szCs w:val="22"/>
        </w:rPr>
        <w:t>In healthy volunteers TTR reductions were comparable between Japanese and Non-Japanese subjects.</w:t>
      </w:r>
    </w:p>
    <w:p w14:paraId="41B3FEE4" w14:textId="77777777" w:rsidR="00C923C4" w:rsidRPr="00C923C4" w:rsidRDefault="00C923C4" w:rsidP="00735D19">
      <w:pPr>
        <w:pStyle w:val="Heading6"/>
      </w:pPr>
      <w:r w:rsidRPr="00C923C4">
        <w:t>Secondary pharmacology</w:t>
      </w:r>
    </w:p>
    <w:p w14:paraId="31465B3A" w14:textId="77777777" w:rsidR="00C923C4" w:rsidRDefault="00C923C4" w:rsidP="0005414B">
      <w:r w:rsidRPr="00C923C4">
        <w:t xml:space="preserve">Since TTR serves as a carrier for vitamin A, a secondary effect of treatment may be dose-dependent decreases in serum vitamin A levels. Serum vitamin A profiles paralleled changes in serum TTR and a significant correlation was found between TTR and vitamin A reduction (correlation coefficient of 0.9388; p&lt;0.0001). Vitamin A reductions in Japanese subjects were similar to those in the </w:t>
      </w:r>
      <w:proofErr w:type="gramStart"/>
      <w:r w:rsidRPr="00C923C4">
        <w:t>Non-Japanese</w:t>
      </w:r>
      <w:proofErr w:type="gramEnd"/>
      <w:r w:rsidRPr="00C923C4">
        <w:t xml:space="preserve"> population.</w:t>
      </w:r>
    </w:p>
    <w:p w14:paraId="020E58B8" w14:textId="77777777" w:rsidR="00AE6D5C" w:rsidRDefault="00C923C4" w:rsidP="0005414B">
      <w:r w:rsidRPr="00C923C4">
        <w:t>Across Study 001 and HELIOS-A, the incidence of treatment-emergent anti-drug antibodies (ADA) due to vutrisiran was 2.2% (4/179). The presence of ADA had no impact on the PK, PD, efficacy, or safety of vutrisiran.</w:t>
      </w:r>
      <w:r w:rsidR="00AE6D5C">
        <w:t xml:space="preserve"> </w:t>
      </w:r>
    </w:p>
    <w:p w14:paraId="2A83D5F9" w14:textId="7B6E3759" w:rsidR="00C923C4" w:rsidRDefault="00C923C4" w:rsidP="0005414B">
      <w:r w:rsidRPr="00C923C4">
        <w:t>Results from Study 001 showed that vutrisiran has no effect on QTc interval at supratherapeutic plasma concentrations approximately 12-fold higher than the mean Cmax of vutrisiran at the clinically relevant dose of 25 mg</w:t>
      </w:r>
      <w:r w:rsidR="008F40D4">
        <w:t>.</w:t>
      </w:r>
    </w:p>
    <w:p w14:paraId="1EB485E7" w14:textId="77777777" w:rsidR="00C923C4" w:rsidRPr="00C923C4" w:rsidRDefault="00C923C4" w:rsidP="008F40D4">
      <w:pPr>
        <w:pStyle w:val="Heading6"/>
      </w:pPr>
      <w:r w:rsidRPr="00C923C4">
        <w:t xml:space="preserve">Dose-response </w:t>
      </w:r>
      <w:proofErr w:type="gramStart"/>
      <w:r w:rsidRPr="00C923C4">
        <w:t>relationship</w:t>
      </w:r>
      <w:proofErr w:type="gramEnd"/>
    </w:p>
    <w:p w14:paraId="31DB46D9" w14:textId="0E81BD99" w:rsidR="00D26EEB" w:rsidRDefault="00C923C4" w:rsidP="00C923C4">
      <w:pPr>
        <w:pStyle w:val="Default"/>
        <w:rPr>
          <w:sz w:val="22"/>
          <w:szCs w:val="22"/>
        </w:rPr>
      </w:pPr>
      <w:r w:rsidRPr="00C923C4">
        <w:rPr>
          <w:sz w:val="22"/>
          <w:szCs w:val="22"/>
        </w:rPr>
        <w:t xml:space="preserve">Single SC doses of vutrisiran reduced serum TTR in a dose-dependent manner, with higher doses achieving faster, greater magnitude, and more durable suppression of serum TTR levels with reduced inter-patient variability. A semi-mechanistic population PK/PD model was developed with data from healthy subjects to examine the relationship between vutrisiran dose and serum TTR reduction. With repeat dosing, at steady state the 25 mg q3M regimen was predicted to achieve median trough TTR reduction of 86.2%. This is </w:t>
      </w:r>
      <w:proofErr w:type="gramStart"/>
      <w:r w:rsidRPr="00C923C4">
        <w:rPr>
          <w:sz w:val="22"/>
          <w:szCs w:val="22"/>
        </w:rPr>
        <w:t>similar to</w:t>
      </w:r>
      <w:proofErr w:type="gramEnd"/>
      <w:r w:rsidRPr="00C923C4">
        <w:rPr>
          <w:sz w:val="22"/>
          <w:szCs w:val="22"/>
        </w:rPr>
        <w:t xml:space="preserve"> the observed median trough TTR reductions of 81% with patisiran at Months 9 and 18. In HELIOS-A, the observed median trough TTR percent reduction at Month 9 was 84.8%.</w:t>
      </w:r>
    </w:p>
    <w:p w14:paraId="49831CCF" w14:textId="77777777" w:rsidR="005A3AEC" w:rsidRPr="005A3AEC" w:rsidRDefault="005A3AEC" w:rsidP="008F40D4">
      <w:pPr>
        <w:pStyle w:val="Heading6"/>
      </w:pPr>
      <w:r w:rsidRPr="005A3AEC">
        <w:t>PK/PD and PD-Efficacy Relationship</w:t>
      </w:r>
    </w:p>
    <w:p w14:paraId="45F50D83" w14:textId="77777777" w:rsidR="005A3AEC" w:rsidRDefault="005A3AEC" w:rsidP="0005414B">
      <w:r w:rsidRPr="005A3AEC">
        <w:t>Population PK/PD analyses in healthy subjects and hATTR amyloidosis patients (n=202) demonstrated a relationship between predicted vutrisiran liver concentrations and reductions in serum TTR. Covariate analyses showed similar TTR reductions in patients with mild to moderate renal impairment or mild hepatic impairment, as well as by sex, race, prior use of TTR stabilisers, TTR genotype, ADA status, delay in dosing due to COVID-19 pandemic, vutrisiran presentation (vial with syringe versus prefilled syringe), and across a wide age and body weight range.</w:t>
      </w:r>
    </w:p>
    <w:p w14:paraId="0B42E858" w14:textId="77777777" w:rsidR="008F40D4" w:rsidRPr="005A3AEC" w:rsidRDefault="008F40D4" w:rsidP="0005414B"/>
    <w:p w14:paraId="65142C09" w14:textId="77777777" w:rsidR="005A3AEC" w:rsidRDefault="005A3AEC" w:rsidP="0005414B">
      <w:r w:rsidRPr="005A3AEC">
        <w:t>The EU Assessor concluded: “The population PK/PD model supports the use of vutrisiran 25 mg administered q3M in all patients with ATTR amyloidosis.”</w:t>
      </w:r>
    </w:p>
    <w:p w14:paraId="1DAEC11E" w14:textId="77777777" w:rsidR="008F40D4" w:rsidRPr="005A3AEC" w:rsidRDefault="008F40D4" w:rsidP="0005414B"/>
    <w:p w14:paraId="51EA401E" w14:textId="77777777" w:rsidR="005A3AEC" w:rsidRDefault="005A3AEC" w:rsidP="0005414B">
      <w:r w:rsidRPr="005A3AEC">
        <w:t>A disease progression model to quantitatively describe mNIS+7 change over time as a function of serum TTR levels in patients with hATTR amyloidosis was developed. Over 9 months, a median +12.9 change in mNIS+7 is predicted in placebo treated patients and a median -0.654 change in mNIS+7 is predicted in vutrisiran-treated patients (median TTR reduction 85.4%). Over 18 months, a median +27.4 change in mNIS+7 is predicted in placebo-treated patients and a median -2.15 change in mNIS+7 is predicted in vutrisiran-treated patients (median TTR reduction 88.7%).</w:t>
      </w:r>
    </w:p>
    <w:p w14:paraId="22AA997D" w14:textId="77777777" w:rsidR="005A3AEC" w:rsidRPr="005A3AEC" w:rsidRDefault="005A3AEC" w:rsidP="0005414B">
      <w:proofErr w:type="spellStart"/>
      <w:r w:rsidRPr="005A3AEC">
        <w:t>Vutrisiran</w:t>
      </w:r>
      <w:proofErr w:type="spellEnd"/>
      <w:r w:rsidRPr="005A3AEC">
        <w:t xml:space="preserve"> significantly reduced disease progression across all subgroups evaluated in the model, which included sex, race, TTR genotype, prior TTR stabilisers use, symptom onset age at less than 50 years, treatment group (vutrisiran versus patisiran), delay in dosing due to COVID-19 pandemic, age, body weight, baseline serum TTR, and baseline mNIS+7.</w:t>
      </w:r>
    </w:p>
    <w:p w14:paraId="05CF1B0B" w14:textId="77777777" w:rsidR="005A3AEC" w:rsidRDefault="005A3AEC" w:rsidP="0005414B">
      <w:r w:rsidRPr="005A3AEC">
        <w:t>The EU Assessor concluded: “The disease progression model supports the use of 25 mg vutrisiran administered q3M in all patients with hATTR amyloidosis.”</w:t>
      </w:r>
    </w:p>
    <w:p w14:paraId="582702A3" w14:textId="3DBF3F1C" w:rsidR="00AE6D5C" w:rsidRPr="005A3AEC" w:rsidRDefault="005A3AEC" w:rsidP="0005414B">
      <w:r w:rsidRPr="005A3AEC">
        <w:t>In terms of pharmacodynamics the overall conclusions of the EU Assessor were:</w:t>
      </w:r>
    </w:p>
    <w:p w14:paraId="2B980152" w14:textId="0B865425" w:rsidR="005A3AEC" w:rsidRDefault="005A3AEC" w:rsidP="0005414B">
      <w:r w:rsidRPr="005A3AEC">
        <w:t xml:space="preserve">“Primary and secondary pharmacodynamic effects of vutrisiran have been investigated in two clinical trials. A dose dependent reduction of TTR with a prolonged effect even after single doses was found. The clinical development rational that was used for vutrisiran was to achieve similar TTR reduction as found with patisiran. </w:t>
      </w:r>
      <w:r w:rsidR="004E7F94" w:rsidRPr="005A3AEC">
        <w:t>Overall,</w:t>
      </w:r>
      <w:r w:rsidRPr="005A3AEC">
        <w:t xml:space="preserve"> a durable and stable reduction of TTR has been established with corresponding secondary reductions of vitamin A, although some uncertainties about long-term steady state effects require some clarification. (OC) Overall, however, the pharmacodynamic effects as well as the dose-response relationship have been well characterized and support use of vutrisiran at the 25 mg 3qM dose.”</w:t>
      </w:r>
    </w:p>
    <w:p w14:paraId="236FE35F" w14:textId="45F22398" w:rsidR="00530428" w:rsidRDefault="005A3AEC" w:rsidP="0005414B">
      <w:r w:rsidRPr="005A3AEC">
        <w:t xml:space="preserve">Within the </w:t>
      </w:r>
      <w:r w:rsidR="00CE0E84">
        <w:t>Sponsor</w:t>
      </w:r>
      <w:r w:rsidRPr="005A3AEC">
        <w:t>’s response to the Day 150 Clinical Assessment Repor</w:t>
      </w:r>
      <w:r w:rsidR="00AE6D5C">
        <w:t>t</w:t>
      </w:r>
      <w:r w:rsidRPr="005A3AEC">
        <w:t xml:space="preserve">, they stated that based on the vutrisiran PK-PD model and predicted half-life of vutrisiran in the liver, approximately 90%, 95% and 99% of steady state is expected by </w:t>
      </w:r>
      <w:r w:rsidR="00AE6D5C">
        <w:t>m</w:t>
      </w:r>
      <w:r w:rsidRPr="005A3AEC">
        <w:t xml:space="preserve">onth 6, 9 and </w:t>
      </w:r>
      <w:r w:rsidR="004E7F94" w:rsidRPr="005A3AEC">
        <w:t>18,</w:t>
      </w:r>
      <w:r w:rsidRPr="005A3AEC">
        <w:t xml:space="preserve"> respectively. Hence the Week 36 median trough levels were reported to achieve a value as close to steady state as possible in the initial study cut off point of 9 months. The </w:t>
      </w:r>
      <w:r w:rsidR="00CE0E84">
        <w:t>Sponsor</w:t>
      </w:r>
      <w:r w:rsidRPr="005A3AEC">
        <w:t xml:space="preserve">’s reasoning for a median range reduction level at </w:t>
      </w:r>
      <w:r w:rsidR="0087738C">
        <w:t>m</w:t>
      </w:r>
      <w:r w:rsidRPr="005A3AEC">
        <w:t xml:space="preserve">onth 9 being below the trough reduction at </w:t>
      </w:r>
      <w:r w:rsidR="00530428">
        <w:t>m</w:t>
      </w:r>
      <w:r w:rsidRPr="005A3AEC">
        <w:t xml:space="preserve">onth 6 was due to the incremental difference in vutrisiran’s steady state TTR lowering from </w:t>
      </w:r>
      <w:r w:rsidR="00530428">
        <w:t>m</w:t>
      </w:r>
      <w:r w:rsidRPr="005A3AEC">
        <w:t xml:space="preserve">onth 6 to </w:t>
      </w:r>
      <w:r w:rsidR="00530428">
        <w:t>m</w:t>
      </w:r>
      <w:r w:rsidRPr="005A3AEC">
        <w:t xml:space="preserve">onth 9, </w:t>
      </w:r>
      <w:r w:rsidR="0056284C">
        <w:t>shown</w:t>
      </w:r>
      <w:r w:rsidRPr="005A3AEC">
        <w:t xml:space="preserve"> in </w:t>
      </w:r>
      <w:r w:rsidR="0087738C">
        <w:t>F</w:t>
      </w:r>
      <w:r w:rsidRPr="005A3AEC">
        <w:t>igure</w:t>
      </w:r>
      <w:r w:rsidR="0087738C">
        <w:t xml:space="preserve"> 2</w:t>
      </w:r>
      <w:r w:rsidRPr="005A3AEC">
        <w:t>.</w:t>
      </w:r>
    </w:p>
    <w:p w14:paraId="252AD77B" w14:textId="2FB73B6F" w:rsidR="0037392B" w:rsidRDefault="0037392B" w:rsidP="00530428">
      <w:pPr>
        <w:pStyle w:val="FigureTitle"/>
      </w:pPr>
      <w:r>
        <w:t>Figure</w:t>
      </w:r>
      <w:r w:rsidR="00530428">
        <w:t xml:space="preserve"> 2</w:t>
      </w:r>
      <w:r>
        <w:t>. Observed percentage change in TTR from baseline at month 6 (week 24) and month 9 (week 36) f</w:t>
      </w:r>
      <w:r w:rsidR="00414CD5">
        <w:t>o</w:t>
      </w:r>
      <w:r>
        <w:t>llowing the first dose of</w:t>
      </w:r>
      <w:r w:rsidR="00414CD5">
        <w:t xml:space="preserve"> </w:t>
      </w:r>
      <w:r>
        <w:t>vutri</w:t>
      </w:r>
      <w:r w:rsidR="00414CD5">
        <w:t xml:space="preserve">siran (25mg q3M) – HELIOS A. </w:t>
      </w:r>
    </w:p>
    <w:p w14:paraId="386EEAAD" w14:textId="1CC41614" w:rsidR="001F22DC" w:rsidRDefault="001F22DC" w:rsidP="0005414B">
      <w:pPr>
        <w:rPr>
          <w:szCs w:val="22"/>
        </w:rPr>
      </w:pPr>
      <w:r>
        <w:rPr>
          <w:noProof/>
        </w:rPr>
        <w:drawing>
          <wp:inline distT="0" distB="0" distL="0" distR="0" wp14:anchorId="298FC08E" wp14:editId="1A7FEC2B">
            <wp:extent cx="4268331" cy="3005244"/>
            <wp:effectExtent l="0" t="0" r="0" b="5080"/>
            <wp:docPr id="220500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00606" name=""/>
                    <pic:cNvPicPr/>
                  </pic:nvPicPr>
                  <pic:blipFill>
                    <a:blip r:embed="rId30">
                      <a:extLst>
                        <a:ext uri="{BEBA8EAE-BF5A-486C-A8C5-ECC9F3942E4B}">
                          <a14:imgProps xmlns:a14="http://schemas.microsoft.com/office/drawing/2010/main">
                            <a14:imgLayer r:embed="rId31">
                              <a14:imgEffect>
                                <a14:sharpenSoften amount="25000"/>
                              </a14:imgEffect>
                              <a14:imgEffect>
                                <a14:saturation sat="0"/>
                              </a14:imgEffect>
                            </a14:imgLayer>
                          </a14:imgProps>
                        </a:ext>
                      </a:extLst>
                    </a:blip>
                    <a:stretch>
                      <a:fillRect/>
                    </a:stretch>
                  </pic:blipFill>
                  <pic:spPr>
                    <a:xfrm>
                      <a:off x="0" y="0"/>
                      <a:ext cx="4273246" cy="3008704"/>
                    </a:xfrm>
                    <a:prstGeom prst="rect">
                      <a:avLst/>
                    </a:prstGeom>
                  </pic:spPr>
                </pic:pic>
              </a:graphicData>
            </a:graphic>
          </wp:inline>
        </w:drawing>
      </w:r>
    </w:p>
    <w:p w14:paraId="3A576907" w14:textId="7CBBA2B6" w:rsidR="0027662B" w:rsidRDefault="0027662B" w:rsidP="0005414B">
      <w:r>
        <w:t xml:space="preserve">The </w:t>
      </w:r>
      <w:r w:rsidR="00CE0E84">
        <w:t>Sponsor</w:t>
      </w:r>
      <w:r>
        <w:t xml:space="preserve"> </w:t>
      </w:r>
      <w:r w:rsidR="00530428">
        <w:t>submitted</w:t>
      </w:r>
      <w:r>
        <w:t xml:space="preserve"> data available from </w:t>
      </w:r>
      <w:r w:rsidR="00530428">
        <w:t>m</w:t>
      </w:r>
      <w:r>
        <w:t xml:space="preserve">onth 18 which indicated that the median peak, trough and average TTR reductions (%) between </w:t>
      </w:r>
      <w:r w:rsidR="00530428">
        <w:t>w</w:t>
      </w:r>
      <w:r>
        <w:t>eeks 60 and 72 from baseline were 91.6%, 86.2% and 86.9%</w:t>
      </w:r>
      <w:r w:rsidR="00530428">
        <w:t>,</w:t>
      </w:r>
      <w:r>
        <w:t xml:space="preserve"> respectively. This was consistent with modelling predictions</w:t>
      </w:r>
      <w:r w:rsidR="00530428">
        <w:t>;</w:t>
      </w:r>
      <w:r>
        <w:t xml:space="preserve"> that </w:t>
      </w:r>
      <w:r w:rsidR="00530428">
        <w:t>m</w:t>
      </w:r>
      <w:r>
        <w:t xml:space="preserve">onth 18 TTR lowering would be slightly greater (predicted 99% from 95%) than </w:t>
      </w:r>
      <w:r w:rsidR="00530428">
        <w:t>m</w:t>
      </w:r>
      <w:r>
        <w:t xml:space="preserve">onth 9 results. Additionally, the </w:t>
      </w:r>
      <w:proofErr w:type="gramStart"/>
      <w:r>
        <w:t>time</w:t>
      </w:r>
      <w:r w:rsidR="00530428">
        <w:t>-</w:t>
      </w:r>
      <w:r>
        <w:t>averaged</w:t>
      </w:r>
      <w:proofErr w:type="gramEnd"/>
      <w:r>
        <w:t xml:space="preserve"> TTR at </w:t>
      </w:r>
      <w:r w:rsidR="00530428">
        <w:t>m</w:t>
      </w:r>
      <w:r>
        <w:t xml:space="preserve">onth 18 fell within the peak and trough TTR values, which as the </w:t>
      </w:r>
      <w:r w:rsidR="00CE0E84">
        <w:t>Sponsor</w:t>
      </w:r>
      <w:r>
        <w:t xml:space="preserve"> proposed, was more reflective of true steady state TTR reductions expected with chronic therapy. Similarly increased reductions at </w:t>
      </w:r>
      <w:r w:rsidR="00530428">
        <w:t>m</w:t>
      </w:r>
      <w:r>
        <w:t xml:space="preserve">onth 18 were observed for </w:t>
      </w:r>
      <w:r w:rsidR="00530428">
        <w:t>v</w:t>
      </w:r>
      <w:r>
        <w:t xml:space="preserve">itamin A levels, however the differences had not translated into any observed adverse events or impact on the safety profile of vutrisiran. </w:t>
      </w:r>
    </w:p>
    <w:p w14:paraId="466502C4" w14:textId="77777777" w:rsidR="0027662B" w:rsidRDefault="0027662B" w:rsidP="00827CB0">
      <w:pPr>
        <w:pStyle w:val="Heading4"/>
      </w:pPr>
      <w:bookmarkStart w:id="42" w:name="_Toc177466086"/>
      <w:r>
        <w:t>Efficacy</w:t>
      </w:r>
      <w:bookmarkEnd w:id="42"/>
      <w:r>
        <w:t xml:space="preserve"> </w:t>
      </w:r>
    </w:p>
    <w:p w14:paraId="2C27EF26" w14:textId="77777777" w:rsidR="0027662B" w:rsidRDefault="0027662B" w:rsidP="0005414B">
      <w:r>
        <w:t xml:space="preserve">The HELIOS-A Study was the one available study for the evaluation of efficacy, safety, PK and PD of vutrisiran in adult patients with hATTR amyloidosis with polyneuropathy. The placebo group was derived from the APOLLO study, a completed study investigating patisiran. In relation to the HELIOS-A study confirmatory primary analysis and the formal primary and secondary endpoints review at 18 months was considered by the EU, not 9 months as reviewed by the US. </w:t>
      </w:r>
    </w:p>
    <w:p w14:paraId="130E4565" w14:textId="77777777" w:rsidR="0027662B" w:rsidRDefault="0027662B" w:rsidP="0005414B">
      <w:r>
        <w:t xml:space="preserve">HELIOS-A is a Phase 3 global, randomised, open-label study to evaluate the efficacy and safety of vutrisiran in patients with hATTR amyloidosis. The primary objective is to determine the efficacy of vutrisiran in patients with hATTR amyloidosis by evaluating the effect on neurologic impairment. The secondary objectives are 1) to determine the efficacy of vutrisiran on quality of life, gait speed, neurologic impairment, nutritional status, and disability, and 2) to demonstrate the noninferiority of vutrisiran compared to patisiran with respect to serum transthyretin levels. </w:t>
      </w:r>
    </w:p>
    <w:p w14:paraId="49966217" w14:textId="77777777" w:rsidR="00783ABB" w:rsidRDefault="0027662B" w:rsidP="0005414B">
      <w:r>
        <w:t>The study was conducted at 57 centres in 22 countries in North America, South America, Europe, Asia, and Australia</w:t>
      </w:r>
      <w:r w:rsidR="00783ABB">
        <w:t xml:space="preserve"> </w:t>
      </w:r>
      <w:r>
        <w:t xml:space="preserve">between February 2019 and August 2021. </w:t>
      </w:r>
    </w:p>
    <w:p w14:paraId="5331C6C4" w14:textId="0B250D26" w:rsidR="0027662B" w:rsidRDefault="0027662B" w:rsidP="0005414B">
      <w:r>
        <w:t xml:space="preserve">The study included 2 parts: an 18-month treatment period, with primary efficacy analysis at </w:t>
      </w:r>
      <w:r w:rsidR="00783ABB">
        <w:t>m</w:t>
      </w:r>
      <w:r>
        <w:t xml:space="preserve">onth 9 and additional efficacy analyses at </w:t>
      </w:r>
      <w:r w:rsidR="00783ABB">
        <w:t>m</w:t>
      </w:r>
      <w:r>
        <w:t>onth 18, and an 18-month treatment extension period. Subjects were randomised 3:1 to receive vutrisiran or patisiran for the duration of the 18-month treatment period. Randomisation stratifications included TTR genotype (V30M vs non-V30M) and baseline</w:t>
      </w:r>
      <w:r w:rsidR="00D375CD">
        <w:t xml:space="preserve"> </w:t>
      </w:r>
      <w:r w:rsidR="00D375CD" w:rsidRPr="00D375CD">
        <w:t>Neurological Impairment Scale</w:t>
      </w:r>
      <w:r>
        <w:t xml:space="preserve"> </w:t>
      </w:r>
      <w:r w:rsidR="00D375CD">
        <w:t>(</w:t>
      </w:r>
      <w:r>
        <w:t>NIS</w:t>
      </w:r>
      <w:r w:rsidR="00D375CD">
        <w:t>)</w:t>
      </w:r>
      <w:r>
        <w:t xml:space="preserve"> score (&lt;50 and ≥50). All patients included in the randomised treatment extension period (RTE), upon completion of the 18-month treatment period, were randomised 1:1 to receive vutrisiran 25mg 3 monthly or</w:t>
      </w:r>
      <w:r w:rsidRPr="0027662B">
        <w:t xml:space="preserve"> </w:t>
      </w:r>
      <w:r>
        <w:t xml:space="preserve">vutrisiran 50mg 6 monthly. During this RTE, safety assessments occurred quarterly, and efficacy assessments occurred at </w:t>
      </w:r>
      <w:r w:rsidR="00AF1211">
        <w:t>m</w:t>
      </w:r>
      <w:r>
        <w:t xml:space="preserve">onth 9 and </w:t>
      </w:r>
      <w:r w:rsidR="00AF1211">
        <w:t>m</w:t>
      </w:r>
      <w:r>
        <w:t xml:space="preserve">onth 18. </w:t>
      </w:r>
    </w:p>
    <w:p w14:paraId="4DE929A1" w14:textId="0FFEEB53" w:rsidR="00F03603" w:rsidRDefault="0006086C" w:rsidP="0005414B">
      <w:r>
        <w:t>Eligibility was limited to a</w:t>
      </w:r>
      <w:r w:rsidR="0027662B">
        <w:t xml:space="preserve">dults aged 18 to 85 years, with a documented TTR mutation, and a confirmed diagnosis of symptomatic hATTR amyloidosis with a NIS of 5 to 130 (inclusive) a </w:t>
      </w:r>
      <w:r w:rsidR="00344C1E" w:rsidRPr="00344C1E">
        <w:t>polyneuropathy disability</w:t>
      </w:r>
      <w:r w:rsidR="00524B84">
        <w:t xml:space="preserve"> </w:t>
      </w:r>
      <w:r w:rsidR="00344C1E" w:rsidRPr="00344C1E">
        <w:t>sco</w:t>
      </w:r>
      <w:r w:rsidR="00344C1E">
        <w:t xml:space="preserve">re </w:t>
      </w:r>
      <w:r w:rsidR="0027662B">
        <w:t xml:space="preserve">of ≤ 3b, and </w:t>
      </w:r>
      <w:r w:rsidR="008F1E51" w:rsidRPr="008F1E51">
        <w:t>Karnofsky Performance Scale</w:t>
      </w:r>
      <w:r w:rsidR="008F1E51">
        <w:t xml:space="preserve"> </w:t>
      </w:r>
      <w:r w:rsidR="008F1E51" w:rsidRPr="008F1E51">
        <w:t xml:space="preserve">Index </w:t>
      </w:r>
      <w:r w:rsidR="0027662B">
        <w:t xml:space="preserve">≥ 60%. </w:t>
      </w:r>
    </w:p>
    <w:p w14:paraId="078B34C7" w14:textId="04EEDEBB" w:rsidR="0027662B" w:rsidRDefault="0027662B" w:rsidP="0005414B">
      <w:r>
        <w:t xml:space="preserve">160 subjects were planned, and 164 subjects were enrolled. 122 patients were randomised to the vutrisiran group and 42 patients to the patisiran group. 164 subjects were included in the analyses. These patients were reported to broadly represent the disease demographic typical of hATTR amyloidosis. </w:t>
      </w:r>
    </w:p>
    <w:p w14:paraId="4E948589" w14:textId="77777777" w:rsidR="00BB703F" w:rsidRDefault="0027662B" w:rsidP="0005414B">
      <w:r>
        <w:t xml:space="preserve">Within the Day 150 Critical Assessment Report, the </w:t>
      </w:r>
      <w:r w:rsidR="00CE0E84">
        <w:t>Sponsor</w:t>
      </w:r>
      <w:r>
        <w:t xml:space="preserve"> responded to the following major efficacy concerns:</w:t>
      </w:r>
    </w:p>
    <w:p w14:paraId="4732BA6D" w14:textId="32D3B83B" w:rsidR="0027662B" w:rsidRPr="00F03603" w:rsidRDefault="0027662B" w:rsidP="00BB703F">
      <w:pPr>
        <w:ind w:left="720"/>
        <w:rPr>
          <w:b/>
          <w:bCs/>
          <w:i/>
          <w:iCs/>
          <w:szCs w:val="22"/>
        </w:rPr>
      </w:pPr>
      <w:r w:rsidRPr="00F03603">
        <w:rPr>
          <w:b/>
          <w:bCs/>
          <w:i/>
          <w:iCs/>
          <w:szCs w:val="22"/>
        </w:rPr>
        <w:t xml:space="preserve">Comparison of the </w:t>
      </w:r>
      <w:proofErr w:type="spellStart"/>
      <w:r w:rsidRPr="00F03603">
        <w:rPr>
          <w:b/>
          <w:bCs/>
          <w:i/>
          <w:iCs/>
          <w:szCs w:val="22"/>
        </w:rPr>
        <w:t>vutrisiran</w:t>
      </w:r>
      <w:proofErr w:type="spellEnd"/>
      <w:r w:rsidRPr="00F03603">
        <w:rPr>
          <w:b/>
          <w:bCs/>
          <w:i/>
          <w:iCs/>
          <w:szCs w:val="22"/>
        </w:rPr>
        <w:t xml:space="preserve"> group in HELIOS-A with the placebo group in APOLLO</w:t>
      </w:r>
      <w:r w:rsidR="004E7F94" w:rsidRPr="00F03603">
        <w:rPr>
          <w:b/>
          <w:bCs/>
          <w:i/>
          <w:iCs/>
          <w:szCs w:val="22"/>
        </w:rPr>
        <w:t xml:space="preserve">. </w:t>
      </w:r>
    </w:p>
    <w:p w14:paraId="0026D407" w14:textId="0F413EBA" w:rsidR="0027662B" w:rsidRDefault="0027662B" w:rsidP="00BB703F">
      <w:pPr>
        <w:ind w:left="720"/>
      </w:pPr>
      <w:r>
        <w:t xml:space="preserve">The </w:t>
      </w:r>
      <w:r w:rsidR="00CE0E84">
        <w:t>Sponsor</w:t>
      </w:r>
      <w:r>
        <w:t xml:space="preserve"> stated that the HELIOS-A and APOLLO studies had similar inclusion and exclusion criteria, and the same assessments, definitions, and timing of endpoints. They considered that it was not ethical to conduct a placebo-controlled study when effective therapy was known, and that a non-inferiority design with patisiran as a control arm was not considered feasible given the required large sample size. </w:t>
      </w:r>
    </w:p>
    <w:p w14:paraId="6CA0AE49" w14:textId="494D0DE6" w:rsidR="0027662B" w:rsidRPr="00BB703F" w:rsidRDefault="0027662B" w:rsidP="00BB703F">
      <w:pPr>
        <w:ind w:left="720"/>
        <w:rPr>
          <w:b/>
          <w:bCs/>
          <w:i/>
          <w:iCs/>
        </w:rPr>
      </w:pPr>
      <w:r w:rsidRPr="00BB703F">
        <w:rPr>
          <w:b/>
          <w:bCs/>
          <w:i/>
          <w:iCs/>
        </w:rPr>
        <w:t xml:space="preserve">Provision of 18 Month data </w:t>
      </w:r>
    </w:p>
    <w:p w14:paraId="76B9B18F" w14:textId="668C484C" w:rsidR="00414CD5" w:rsidRDefault="0027662B" w:rsidP="00BB703F">
      <w:pPr>
        <w:ind w:left="720"/>
        <w:rPr>
          <w:szCs w:val="22"/>
        </w:rPr>
      </w:pPr>
      <w:r>
        <w:rPr>
          <w:szCs w:val="22"/>
        </w:rPr>
        <w:t>The analyses at Month 18 were to be considered the confirmatory analyses. A second CSR for HELIOS-A with a data cutoff date of the 26</w:t>
      </w:r>
      <w:r>
        <w:rPr>
          <w:sz w:val="14"/>
          <w:szCs w:val="14"/>
        </w:rPr>
        <w:t xml:space="preserve">th </w:t>
      </w:r>
      <w:r>
        <w:rPr>
          <w:szCs w:val="22"/>
        </w:rPr>
        <w:t xml:space="preserve">of August 2021, was finalised and presented for evaluation. The </w:t>
      </w:r>
      <w:r w:rsidR="00CE0E84">
        <w:rPr>
          <w:szCs w:val="22"/>
        </w:rPr>
        <w:t>Sponsor</w:t>
      </w:r>
      <w:r>
        <w:rPr>
          <w:szCs w:val="22"/>
        </w:rPr>
        <w:t xml:space="preserve"> suggested that at Month 18, vutrisiran had demonstrated persistent efficacy and HELIOS-A met all secondary endpoints. A summary of these results is presented in the table below. The COR-</w:t>
      </w:r>
      <w:r w:rsidR="00CE0E84">
        <w:rPr>
          <w:szCs w:val="22"/>
        </w:rPr>
        <w:t>Evaluator</w:t>
      </w:r>
      <w:r>
        <w:rPr>
          <w:szCs w:val="22"/>
        </w:rPr>
        <w:t xml:space="preserve"> acknowledged these findings and agreed that based on primary, key secondary and secondary endpoints, that vutrisiran demonstrated in HELIOS-A statistically significant differences from an external placebo group and that efficacy had been shown at Month 9 and maintained until Month 18. A limitation of these results was that analyses of the mITT population should be updated and provided. A summary of major efficacy results is included in the tables and figures below.</w:t>
      </w:r>
    </w:p>
    <w:p w14:paraId="62AB312B" w14:textId="3B5A6A07" w:rsidR="00171FCE" w:rsidRDefault="00171FCE" w:rsidP="00060610">
      <w:pPr>
        <w:pStyle w:val="TableTitle"/>
      </w:pPr>
      <w:r>
        <w:t>Table</w:t>
      </w:r>
      <w:r w:rsidR="00060610">
        <w:t xml:space="preserve"> 6.</w:t>
      </w:r>
      <w:r>
        <w:t xml:space="preserve"> Clinical efficacy results summary for HELIOS-A at month </w:t>
      </w:r>
      <w:r w:rsidR="0056284C">
        <w:t xml:space="preserve">9 </w:t>
      </w:r>
      <w:r>
        <w:t>and month 18</w:t>
      </w:r>
    </w:p>
    <w:p w14:paraId="66BFC4B6" w14:textId="704FBABB" w:rsidR="00D26EEB" w:rsidRDefault="00171FCE" w:rsidP="00BB703F">
      <w:r w:rsidRPr="00171FCE">
        <w:rPr>
          <w:noProof/>
        </w:rPr>
        <w:drawing>
          <wp:inline distT="0" distB="0" distL="0" distR="0" wp14:anchorId="307D5244" wp14:editId="4BB1AE5C">
            <wp:extent cx="5778500" cy="2582488"/>
            <wp:effectExtent l="0" t="0" r="0" b="8890"/>
            <wp:docPr id="19824578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l="699" t="7329" b="499"/>
                    <a:stretch/>
                  </pic:blipFill>
                  <pic:spPr bwMode="auto">
                    <a:xfrm>
                      <a:off x="0" y="0"/>
                      <a:ext cx="5779523" cy="2582945"/>
                    </a:xfrm>
                    <a:prstGeom prst="rect">
                      <a:avLst/>
                    </a:prstGeom>
                    <a:noFill/>
                    <a:ln>
                      <a:noFill/>
                    </a:ln>
                    <a:extLst>
                      <a:ext uri="{53640926-AAD7-44D8-BBD7-CCE9431645EC}">
                        <a14:shadowObscured xmlns:a14="http://schemas.microsoft.com/office/drawing/2010/main"/>
                      </a:ext>
                    </a:extLst>
                  </pic:spPr>
                </pic:pic>
              </a:graphicData>
            </a:graphic>
          </wp:inline>
        </w:drawing>
      </w:r>
      <w:r w:rsidR="004F23E7" w:rsidRPr="004F23E7">
        <w:rPr>
          <w:noProof/>
        </w:rPr>
        <w:drawing>
          <wp:inline distT="0" distB="0" distL="0" distR="0" wp14:anchorId="36958AC2" wp14:editId="6B8A7E81">
            <wp:extent cx="5759450" cy="2896870"/>
            <wp:effectExtent l="0" t="0" r="0" b="0"/>
            <wp:docPr id="19912469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a:extLst>
                        <a:ext uri="{28A0092B-C50C-407E-A947-70E740481C1C}">
                          <a14:useLocalDpi xmlns:a14="http://schemas.microsoft.com/office/drawing/2010/main" val="0"/>
                        </a:ext>
                      </a:extLst>
                    </a:blip>
                    <a:srcRect t="28562"/>
                    <a:stretch/>
                  </pic:blipFill>
                  <pic:spPr bwMode="auto">
                    <a:xfrm>
                      <a:off x="0" y="0"/>
                      <a:ext cx="5759450" cy="2896870"/>
                    </a:xfrm>
                    <a:prstGeom prst="rect">
                      <a:avLst/>
                    </a:prstGeom>
                    <a:noFill/>
                    <a:ln>
                      <a:noFill/>
                    </a:ln>
                    <a:extLst>
                      <a:ext uri="{53640926-AAD7-44D8-BBD7-CCE9431645EC}">
                        <a14:shadowObscured xmlns:a14="http://schemas.microsoft.com/office/drawing/2010/main"/>
                      </a:ext>
                    </a:extLst>
                  </pic:spPr>
                </pic:pic>
              </a:graphicData>
            </a:graphic>
          </wp:inline>
        </w:drawing>
      </w:r>
    </w:p>
    <w:p w14:paraId="278D7BB2" w14:textId="6BC31384" w:rsidR="007C6D75" w:rsidRDefault="007C6D75" w:rsidP="00BB703F">
      <w:pPr>
        <w:pStyle w:val="FigureTitle"/>
      </w:pPr>
      <w:r w:rsidRPr="007C6D75">
        <w:t>Figure</w:t>
      </w:r>
      <w:r w:rsidR="00060610">
        <w:t xml:space="preserve"> 3.</w:t>
      </w:r>
      <w:r w:rsidRPr="007C6D75">
        <w:t xml:space="preserve"> mNIS+7 change from baseline over time (mITT population)</w:t>
      </w:r>
    </w:p>
    <w:p w14:paraId="658DB780" w14:textId="23463320" w:rsidR="004B2773" w:rsidRDefault="004B2773" w:rsidP="00BB703F">
      <w:pPr>
        <w:rPr>
          <w:szCs w:val="22"/>
        </w:rPr>
      </w:pPr>
      <w:r>
        <w:rPr>
          <w:noProof/>
        </w:rPr>
        <w:drawing>
          <wp:inline distT="0" distB="0" distL="0" distR="0" wp14:anchorId="572422CC" wp14:editId="374A0AAD">
            <wp:extent cx="5759450" cy="3074670"/>
            <wp:effectExtent l="0" t="0" r="0" b="0"/>
            <wp:docPr id="1477326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26718" name=""/>
                    <pic:cNvPicPr/>
                  </pic:nvPicPr>
                  <pic:blipFill>
                    <a:blip r:embed="rId34"/>
                    <a:stretch>
                      <a:fillRect/>
                    </a:stretch>
                  </pic:blipFill>
                  <pic:spPr>
                    <a:xfrm>
                      <a:off x="0" y="0"/>
                      <a:ext cx="5759450" cy="3074670"/>
                    </a:xfrm>
                    <a:prstGeom prst="rect">
                      <a:avLst/>
                    </a:prstGeom>
                  </pic:spPr>
                </pic:pic>
              </a:graphicData>
            </a:graphic>
          </wp:inline>
        </w:drawing>
      </w:r>
    </w:p>
    <w:p w14:paraId="6C26958B" w14:textId="589D7D6D" w:rsidR="007C6D75" w:rsidRDefault="00006F47" w:rsidP="00BB703F">
      <w:pPr>
        <w:rPr>
          <w:szCs w:val="22"/>
        </w:rPr>
      </w:pPr>
      <w:r>
        <w:rPr>
          <w:noProof/>
        </w:rPr>
        <w:drawing>
          <wp:inline distT="0" distB="0" distL="0" distR="0" wp14:anchorId="2CE1B62F" wp14:editId="27C39108">
            <wp:extent cx="5759450" cy="841375"/>
            <wp:effectExtent l="0" t="0" r="0" b="0"/>
            <wp:docPr id="1700155351" name="Picture 1" descr="A close 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155351" name="Picture 1" descr="A close up of a number&#10;&#10;Description automatically generated"/>
                    <pic:cNvPicPr/>
                  </pic:nvPicPr>
                  <pic:blipFill>
                    <a:blip r:embed="rId35"/>
                    <a:stretch>
                      <a:fillRect/>
                    </a:stretch>
                  </pic:blipFill>
                  <pic:spPr>
                    <a:xfrm>
                      <a:off x="0" y="0"/>
                      <a:ext cx="5759450" cy="841375"/>
                    </a:xfrm>
                    <a:prstGeom prst="rect">
                      <a:avLst/>
                    </a:prstGeom>
                  </pic:spPr>
                </pic:pic>
              </a:graphicData>
            </a:graphic>
          </wp:inline>
        </w:drawing>
      </w:r>
    </w:p>
    <w:p w14:paraId="27374A3E" w14:textId="60064FBE" w:rsidR="003B7161" w:rsidRDefault="00A6000F" w:rsidP="00BB703F">
      <w:pPr>
        <w:pStyle w:val="FigureTitle"/>
      </w:pPr>
      <w:r>
        <w:t>Figure.</w:t>
      </w:r>
      <w:r w:rsidR="00060610">
        <w:t xml:space="preserve"> 4</w:t>
      </w:r>
      <w:r>
        <w:t xml:space="preserve"> </w:t>
      </w:r>
      <w:r w:rsidRPr="00A6000F">
        <w:t>Norfolk Quality of Life - Diabetic Neuropathy (QoL-DN) Total Score: Change from Baseline Over Time Series Plot</w:t>
      </w:r>
      <w:r w:rsidR="00056A53">
        <w:t xml:space="preserve"> </w:t>
      </w:r>
      <w:r w:rsidR="00056A53" w:rsidRPr="00056A53">
        <w:t>(mITT population)</w:t>
      </w:r>
    </w:p>
    <w:p w14:paraId="4B1A911D" w14:textId="4F0BE3F8" w:rsidR="003B7161" w:rsidRDefault="003B7161" w:rsidP="00BB703F">
      <w:pPr>
        <w:rPr>
          <w:szCs w:val="22"/>
        </w:rPr>
      </w:pPr>
      <w:r>
        <w:rPr>
          <w:noProof/>
        </w:rPr>
        <w:drawing>
          <wp:inline distT="0" distB="0" distL="0" distR="0" wp14:anchorId="163577CA" wp14:editId="75EC8FB6">
            <wp:extent cx="5759450" cy="3148330"/>
            <wp:effectExtent l="0" t="0" r="0" b="0"/>
            <wp:docPr id="787888080"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888080" name="Picture 1" descr="A diagram of a graph&#10;&#10;Description automatically generated"/>
                    <pic:cNvPicPr/>
                  </pic:nvPicPr>
                  <pic:blipFill>
                    <a:blip r:embed="rId36"/>
                    <a:stretch>
                      <a:fillRect/>
                    </a:stretch>
                  </pic:blipFill>
                  <pic:spPr>
                    <a:xfrm>
                      <a:off x="0" y="0"/>
                      <a:ext cx="5759450" cy="3148330"/>
                    </a:xfrm>
                    <a:prstGeom prst="rect">
                      <a:avLst/>
                    </a:prstGeom>
                  </pic:spPr>
                </pic:pic>
              </a:graphicData>
            </a:graphic>
          </wp:inline>
        </w:drawing>
      </w:r>
    </w:p>
    <w:p w14:paraId="68C55757" w14:textId="3D0D2A4A" w:rsidR="001946BD" w:rsidRDefault="00A216CA" w:rsidP="00A216CA">
      <w:pPr>
        <w:pStyle w:val="TableTitle"/>
      </w:pPr>
      <w:r w:rsidRPr="00A216CA">
        <w:t>Table</w:t>
      </w:r>
      <w:r w:rsidR="00060610">
        <w:t xml:space="preserve"> 7.</w:t>
      </w:r>
      <w:r w:rsidRPr="00A216CA">
        <w:t xml:space="preserve"> Serum TTR (mg/L) percent reduction from baseline through </w:t>
      </w:r>
      <w:r w:rsidR="00060610">
        <w:t>m</w:t>
      </w:r>
      <w:r w:rsidRPr="00A216CA">
        <w:t>onth 18 (TTR PP population)</w:t>
      </w:r>
    </w:p>
    <w:p w14:paraId="2C2C6181" w14:textId="78219B79" w:rsidR="001946BD" w:rsidRDefault="001946BD" w:rsidP="00BB703F">
      <w:pPr>
        <w:rPr>
          <w:szCs w:val="22"/>
        </w:rPr>
      </w:pPr>
      <w:r>
        <w:rPr>
          <w:noProof/>
        </w:rPr>
        <w:drawing>
          <wp:inline distT="0" distB="0" distL="0" distR="0" wp14:anchorId="3C566E76" wp14:editId="6BF546EF">
            <wp:extent cx="5694338" cy="6108700"/>
            <wp:effectExtent l="0" t="0" r="1905" b="6350"/>
            <wp:docPr id="1770389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389663" name=""/>
                    <pic:cNvPicPr/>
                  </pic:nvPicPr>
                  <pic:blipFill>
                    <a:blip r:embed="rId37"/>
                    <a:stretch>
                      <a:fillRect/>
                    </a:stretch>
                  </pic:blipFill>
                  <pic:spPr>
                    <a:xfrm>
                      <a:off x="0" y="0"/>
                      <a:ext cx="5698916" cy="6113611"/>
                    </a:xfrm>
                    <a:prstGeom prst="rect">
                      <a:avLst/>
                    </a:prstGeom>
                  </pic:spPr>
                </pic:pic>
              </a:graphicData>
            </a:graphic>
          </wp:inline>
        </w:drawing>
      </w:r>
    </w:p>
    <w:p w14:paraId="2AFAE893" w14:textId="3388C3EB" w:rsidR="00A216CA" w:rsidRPr="0026185F" w:rsidRDefault="00A216CA" w:rsidP="00BB703F">
      <w:r w:rsidRPr="00BB703F">
        <w:rPr>
          <w:b/>
          <w:bCs/>
        </w:rPr>
        <w:t>Extension of indication to include patients with stage 3 polyneuropathy</w:t>
      </w:r>
      <w:r w:rsidRPr="0026185F">
        <w:t>.</w:t>
      </w:r>
    </w:p>
    <w:p w14:paraId="76B925A4" w14:textId="7AF7A658" w:rsidR="00A216CA" w:rsidRDefault="00A216CA" w:rsidP="00BB703F">
      <w:r w:rsidRPr="00A216CA">
        <w:t xml:space="preserve">The </w:t>
      </w:r>
      <w:r w:rsidR="00CE0E84">
        <w:t>Sponsor</w:t>
      </w:r>
      <w:r w:rsidRPr="00A216CA">
        <w:t xml:space="preserve"> presented several arguments for the inclusion of patients with stage 3 neuropathy in the treatment indication, despite the lack of patients with this disease severity included in the HELIOS-A study design. The COR</w:t>
      </w:r>
      <w:r w:rsidR="0026185F">
        <w:t xml:space="preserve"> </w:t>
      </w:r>
      <w:r w:rsidR="00CE0E84">
        <w:t>Evaluator</w:t>
      </w:r>
      <w:r w:rsidRPr="00A216CA">
        <w:t xml:space="preserve"> acknowledged these arguments, however maintained the position that no stage 3 patients had been recruited in HELIOS-A and that certain selective analyses based on </w:t>
      </w:r>
      <w:r w:rsidR="00284E21">
        <w:t>neuropathy impairment score (</w:t>
      </w:r>
      <w:r w:rsidRPr="00A216CA">
        <w:t>NIS</w:t>
      </w:r>
      <w:r w:rsidR="00284E21">
        <w:t>)</w:t>
      </w:r>
      <w:r w:rsidRPr="00A216CA">
        <w:t xml:space="preserve"> quartiles could not substitute </w:t>
      </w:r>
      <w:r w:rsidR="0026185F">
        <w:t xml:space="preserve">for </w:t>
      </w:r>
      <w:r w:rsidRPr="00A216CA">
        <w:t>the absence of data for these patients. The issue was considered unresolved and the request to narrow the therapeutic indication was maintained by the COR</w:t>
      </w:r>
      <w:r w:rsidR="0026185F">
        <w:t xml:space="preserve"> </w:t>
      </w:r>
      <w:r w:rsidR="00CE0E84">
        <w:t>Evaluator</w:t>
      </w:r>
      <w:r w:rsidRPr="00A216CA">
        <w:t xml:space="preserve">. The restriction of the treatment indication to patients with </w:t>
      </w:r>
      <w:r w:rsidR="0026185F">
        <w:t xml:space="preserve">only </w:t>
      </w:r>
      <w:r w:rsidRPr="00A216CA">
        <w:t xml:space="preserve">stage 1 or stage 2 polyneuropathy was accepted by the </w:t>
      </w:r>
      <w:r w:rsidR="00CE0E84">
        <w:t>Sponsor</w:t>
      </w:r>
      <w:r w:rsidRPr="00A216CA">
        <w:t>.</w:t>
      </w:r>
    </w:p>
    <w:p w14:paraId="64D74205" w14:textId="1190D74C" w:rsidR="00D26EEB" w:rsidRDefault="00A216CA" w:rsidP="00BB703F">
      <w:r w:rsidRPr="00A216CA">
        <w:t xml:space="preserve">There were no unresolved efficacy issues at the conclusion of the </w:t>
      </w:r>
      <w:r w:rsidR="0026185F">
        <w:t>d</w:t>
      </w:r>
      <w:r w:rsidRPr="00A216CA">
        <w:t>ay 195 Critical Assessment Repor</w:t>
      </w:r>
      <w:r w:rsidR="00143E37">
        <w:t>t</w:t>
      </w:r>
    </w:p>
    <w:p w14:paraId="6197186C" w14:textId="77777777" w:rsidR="00143E37" w:rsidRPr="00143E37" w:rsidRDefault="00143E37" w:rsidP="00827CB0">
      <w:pPr>
        <w:pStyle w:val="Heading4"/>
      </w:pPr>
      <w:bookmarkStart w:id="43" w:name="_Toc177466087"/>
      <w:r w:rsidRPr="00143E37">
        <w:t>Safety</w:t>
      </w:r>
      <w:bookmarkEnd w:id="43"/>
    </w:p>
    <w:p w14:paraId="7C90E0D7" w14:textId="77777777" w:rsidR="00143E37" w:rsidRDefault="00143E37" w:rsidP="00BB703F">
      <w:r w:rsidRPr="00143E37">
        <w:t>During the initial COR-assessment process, HELIOS-A was the primary source of safety information for vutrisiran, where 133 patients with hATTR amyloidosis with polyneuropathy were exposed to vutrisiran, with a cumulative exposure of 181.6 person years as of the safety cut off (9th of April 2021). The main safety comparison within this study occurred with the placebo group derived from the APOLLO Study. Some concerns were raised in relation to the APOLLO placebo population group having more advanced diseased related to hATTR amyloidosis (including the baseline severity of disease-associated cardiomyopathy), and that HELIOS-A was an open-label study.</w:t>
      </w:r>
    </w:p>
    <w:p w14:paraId="0539375F" w14:textId="2C03FAA9" w:rsidR="00143E37" w:rsidRDefault="00143E37" w:rsidP="00BB703F">
      <w:r w:rsidRPr="00143E37">
        <w:t>In the Day 150 Clinical Assessment Report an updated clinical study report for the HELIOS-A 18-month treatment period was provided, including safety data (as of 26th of August 2021). This represented a cumulative vutrisiran exposure increased from 131.3 patient years to 233.0 patient</w:t>
      </w:r>
      <w:r w:rsidR="00AB3D97">
        <w:t>-</w:t>
      </w:r>
      <w:r w:rsidRPr="00143E37">
        <w:t>years. Adverse events occurring in &gt;5% of vutrisiran-treated patients during the extended treatment period are included in the table below.</w:t>
      </w:r>
    </w:p>
    <w:p w14:paraId="216EB31E" w14:textId="270B95B4" w:rsidR="005F58DB" w:rsidRDefault="005F58DB" w:rsidP="00AB3D97">
      <w:pPr>
        <w:pStyle w:val="TableTitle"/>
      </w:pPr>
      <w:r>
        <w:t>Table</w:t>
      </w:r>
      <w:r w:rsidR="00AB3D97">
        <w:t xml:space="preserve"> 8</w:t>
      </w:r>
      <w:r>
        <w:t xml:space="preserve">. Adverse events in </w:t>
      </w:r>
      <w:r w:rsidR="007A6A36">
        <w:t>≥5 of vutrisiran-treated patients by preferred term</w:t>
      </w:r>
      <w:r w:rsidR="0021401C">
        <w:t xml:space="preserve"> during the treatment period (safety population)</w:t>
      </w:r>
    </w:p>
    <w:p w14:paraId="239B4581" w14:textId="4805AF7A" w:rsidR="0021401C" w:rsidRDefault="0021401C" w:rsidP="00BB703F">
      <w:pPr>
        <w:rPr>
          <w:szCs w:val="22"/>
        </w:rPr>
      </w:pPr>
      <w:r>
        <w:rPr>
          <w:noProof/>
        </w:rPr>
        <w:drawing>
          <wp:inline distT="0" distB="0" distL="0" distR="0" wp14:anchorId="1D29C6B2" wp14:editId="460C6026">
            <wp:extent cx="4552414" cy="5633049"/>
            <wp:effectExtent l="0" t="0" r="635" b="6350"/>
            <wp:docPr id="1623969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969378" name=""/>
                    <pic:cNvPicPr/>
                  </pic:nvPicPr>
                  <pic:blipFill>
                    <a:blip r:embed="rId38">
                      <a:extLst>
                        <a:ext uri="{BEBA8EAE-BF5A-486C-A8C5-ECC9F3942E4B}">
                          <a14:imgProps xmlns:a14="http://schemas.microsoft.com/office/drawing/2010/main">
                            <a14:imgLayer r:embed="rId39">
                              <a14:imgEffect>
                                <a14:sharpenSoften amount="25000"/>
                              </a14:imgEffect>
                              <a14:imgEffect>
                                <a14:brightnessContrast contrast="-20000"/>
                              </a14:imgEffect>
                            </a14:imgLayer>
                          </a14:imgProps>
                        </a:ext>
                      </a:extLst>
                    </a:blip>
                    <a:stretch>
                      <a:fillRect/>
                    </a:stretch>
                  </pic:blipFill>
                  <pic:spPr>
                    <a:xfrm>
                      <a:off x="0" y="0"/>
                      <a:ext cx="4581423" cy="5668944"/>
                    </a:xfrm>
                    <a:prstGeom prst="rect">
                      <a:avLst/>
                    </a:prstGeom>
                  </pic:spPr>
                </pic:pic>
              </a:graphicData>
            </a:graphic>
          </wp:inline>
        </w:drawing>
      </w:r>
    </w:p>
    <w:p w14:paraId="0B53EE8B" w14:textId="77777777" w:rsidR="007F5E86" w:rsidRDefault="007F5E86" w:rsidP="00BB703F">
      <w:r>
        <w:t xml:space="preserve">Injection site reactions (ISRs) were reviewed during both the treatment and treatment extension period. ISRs were reported in 4.1% of patients in the vutrisiran group and in 0.6% of the 836 total doses of vutrisiran administered in the original study period. In the treatment extension period, ISRs were reported in 3.9% of patients in the vutrisiran group (6 patients) and in 0.6% of the 1079 doses of vutrisiran administered. All were nonserious, transient and considered mild in severity, with no ISRs leading to treatment discontinuation. </w:t>
      </w:r>
    </w:p>
    <w:p w14:paraId="2DF2F0C9" w14:textId="1414DFF5" w:rsidR="007F5E86" w:rsidRDefault="007F5E86" w:rsidP="00BB703F">
      <w:r>
        <w:t xml:space="preserve">The </w:t>
      </w:r>
      <w:r w:rsidR="00CE0E84">
        <w:t>Sponsor</w:t>
      </w:r>
      <w:r>
        <w:t xml:space="preserve"> also provided an analysis of the safety profile of the HELIOS-A vutrisiran group compared to that of the pooled (HELIOS-A and APOLLO) patisiran group and presented all TEAEs that occurred with ≥ 2% higher frequency in the HELIOS-A vutrisiran vs pooled patisiran group and that had also displayed a higher incidence vs the APOLLO placebo group. In these analyses, pain in extremity, injection site reaction, and arthralgia were proposed as adverse drug reactions (ADRs). ADRs that occurred with a ≥ 2% higher frequency in the HELIOS-A vutrisiran vs the pooled patisiran group were ISRs, </w:t>
      </w:r>
      <w:r w:rsidR="00A03ACD">
        <w:t>decreased v</w:t>
      </w:r>
      <w:r>
        <w:t xml:space="preserve">itamin A and dry eye. </w:t>
      </w:r>
    </w:p>
    <w:p w14:paraId="5C0C21E4" w14:textId="77777777" w:rsidR="007F5E86" w:rsidRDefault="007F5E86" w:rsidP="00BB703F">
      <w:r>
        <w:t xml:space="preserve">There were nine medical concept groups that had ≥ 2% higher incidence in the vutrisiran compared with the pooled patisiran group, including pain in extremity, vitamin A decreased, visual impairment, with six groupings with a lower or similar incidence in HELIOS-A vutrisiran vs APOLLO placebo group. </w:t>
      </w:r>
    </w:p>
    <w:p w14:paraId="587CFD9F" w14:textId="153B7E65" w:rsidR="007F5E86" w:rsidRDefault="007F5E86" w:rsidP="00BB703F">
      <w:r>
        <w:t>It was considered that no additional safety concerns were ob</w:t>
      </w:r>
      <w:r w:rsidR="001D2F8D">
        <w:t>s</w:t>
      </w:r>
      <w:r>
        <w:t xml:space="preserve">erved from the presented comparison of the safety profile of the HELIOS-A vutrisiran group with that of the pooled (HELIOS-A and APOLLO) patisiran group. </w:t>
      </w:r>
    </w:p>
    <w:p w14:paraId="4E1A95C7" w14:textId="6033B516" w:rsidR="007F5E86" w:rsidRDefault="007F5E86" w:rsidP="00BB703F">
      <w:r>
        <w:t xml:space="preserve">The </w:t>
      </w:r>
      <w:r w:rsidR="00CE0E84">
        <w:t>Sponsor</w:t>
      </w:r>
      <w:r>
        <w:t xml:space="preserve"> was requested to also comment on the following issues specifically: </w:t>
      </w:r>
    </w:p>
    <w:p w14:paraId="6CF0C50A" w14:textId="77777777" w:rsidR="007F5E86" w:rsidRPr="00696912" w:rsidRDefault="007F5E86" w:rsidP="00BB703F">
      <w:pPr>
        <w:rPr>
          <w:b/>
          <w:bCs/>
        </w:rPr>
      </w:pPr>
      <w:r w:rsidRPr="00696912">
        <w:rPr>
          <w:b/>
          <w:bCs/>
        </w:rPr>
        <w:t xml:space="preserve">Influenza like illness and rash with possible association with hypersensitivity reactions </w:t>
      </w:r>
    </w:p>
    <w:p w14:paraId="6BC3F0FD" w14:textId="1851AD91" w:rsidR="007F5E86" w:rsidRDefault="007F5E86" w:rsidP="00BB703F">
      <w:r>
        <w:t xml:space="preserve">The </w:t>
      </w:r>
      <w:r w:rsidR="00CE0E84">
        <w:t>Sponsor</w:t>
      </w:r>
      <w:r>
        <w:t xml:space="preserve"> indicated that during the 18-month </w:t>
      </w:r>
      <w:r w:rsidR="00696912">
        <w:t>t</w:t>
      </w:r>
      <w:r>
        <w:t xml:space="preserve">reatment </w:t>
      </w:r>
      <w:r w:rsidR="00696912">
        <w:t>p</w:t>
      </w:r>
      <w:r>
        <w:t xml:space="preserve">eriod, AEs of influenza like illness were reported at a similar frequency in the vutrisiran group (3.3%) versus the APOLLO placebo group (2.6%), and the clinical features of the reported events were inconsistent with systemic hypersensitivity reactions. Rash was observed during the 18-month </w:t>
      </w:r>
      <w:r w:rsidR="00696912">
        <w:t>t</w:t>
      </w:r>
      <w:r>
        <w:t xml:space="preserve">reatment </w:t>
      </w:r>
      <w:r w:rsidR="00696912">
        <w:t>p</w:t>
      </w:r>
      <w:r>
        <w:t xml:space="preserve">eriod at comparable rates in the vutrisiran group (5.7%) and the APOLLO placebo group (3.9%) The COR </w:t>
      </w:r>
      <w:r w:rsidR="00CE0E84">
        <w:t>Evaluator</w:t>
      </w:r>
      <w:r>
        <w:t xml:space="preserve">’s overall conclusion was that there was currently insufficient data to justify the inclusion of influenza like illness (or rash) as an ADR in the SmPC. </w:t>
      </w:r>
    </w:p>
    <w:p w14:paraId="57010A87" w14:textId="77777777" w:rsidR="007F5E86" w:rsidRPr="00696912" w:rsidRDefault="007F5E86" w:rsidP="00BB703F">
      <w:pPr>
        <w:rPr>
          <w:b/>
          <w:bCs/>
        </w:rPr>
      </w:pPr>
      <w:r w:rsidRPr="00696912">
        <w:rPr>
          <w:b/>
          <w:bCs/>
        </w:rPr>
        <w:t xml:space="preserve">Potential systemic hypersensitivity reactions </w:t>
      </w:r>
    </w:p>
    <w:p w14:paraId="5DFDB72E" w14:textId="0D9C93FF" w:rsidR="007F5E86" w:rsidRDefault="007F5E86" w:rsidP="00BB703F">
      <w:r>
        <w:t xml:space="preserve">The </w:t>
      </w:r>
      <w:r w:rsidR="00CE0E84">
        <w:t>Sponsor</w:t>
      </w:r>
      <w:r>
        <w:t xml:space="preserve"> was asked to comment on severe AEs reported in two subjects concerning potential systemic hypersensitivity reactions. The first patient developed dizziness, dry mouth, hyperhidrosis, hyperthermia, scleral discolouration, and dyspepsia on </w:t>
      </w:r>
      <w:r w:rsidR="00375013">
        <w:t>d</w:t>
      </w:r>
      <w:r>
        <w:t xml:space="preserve">ay 1 of the first dose of study drug. </w:t>
      </w:r>
      <w:proofErr w:type="gramStart"/>
      <w:r>
        <w:t>All of</w:t>
      </w:r>
      <w:proofErr w:type="gramEnd"/>
      <w:r>
        <w:t xml:space="preserve"> the AEs were transient. The second patient developed peripheral oedema related to vutrisiran on Day 317 however this case was not considered related to a potential hypersensitivity reaction. </w:t>
      </w:r>
    </w:p>
    <w:p w14:paraId="69694D41" w14:textId="15DEE5F8" w:rsidR="007F5E86" w:rsidRDefault="007F5E86" w:rsidP="00BB703F">
      <w:r>
        <w:t xml:space="preserve">The COR </w:t>
      </w:r>
      <w:r w:rsidR="00CE0E84">
        <w:t>Evaluator</w:t>
      </w:r>
      <w:r>
        <w:t xml:space="preserve"> noted that there was no clear concern regarding hypersensitivity events and there was no requirement for specific conditions to facilitate safe home administration. However, it is noted in the SmPC that vutrisiran should still be administered by a healthcare professional. </w:t>
      </w:r>
    </w:p>
    <w:p w14:paraId="07C5A5E3" w14:textId="77777777" w:rsidR="007F5E86" w:rsidRPr="003A78D3" w:rsidRDefault="007F5E86" w:rsidP="00BB703F">
      <w:pPr>
        <w:rPr>
          <w:b/>
          <w:bCs/>
        </w:rPr>
      </w:pPr>
      <w:r w:rsidRPr="003A78D3">
        <w:rPr>
          <w:b/>
          <w:bCs/>
        </w:rPr>
        <w:t xml:space="preserve">Raised alkaline phosphatase levels. </w:t>
      </w:r>
    </w:p>
    <w:p w14:paraId="44799ED3" w14:textId="7F0DAADC" w:rsidR="007F5E86" w:rsidRDefault="007F5E86" w:rsidP="00BB703F">
      <w:r>
        <w:t xml:space="preserve">The </w:t>
      </w:r>
      <w:r w:rsidR="00CE0E84">
        <w:t>Sponsor</w:t>
      </w:r>
      <w:r>
        <w:t xml:space="preserve"> was requested to discuss the clinical relevance of alkaline phosphatase (ALP) level increases found in the HELIOS-A study, where ALP increases (&gt;1.5 ULN) were reported in 11 (9.0%) vutrisiran vs 1 (2.4%) patisiran subjects and in 1 (1.3%) APOLLO placebo subjects. </w:t>
      </w:r>
    </w:p>
    <w:p w14:paraId="3DFA829C" w14:textId="486B08F7" w:rsidR="007F5E86" w:rsidRDefault="007F5E86" w:rsidP="00BB703F">
      <w:r w:rsidRPr="007F5E86">
        <w:t xml:space="preserve">In their response, the </w:t>
      </w:r>
      <w:r w:rsidR="00CE0E84">
        <w:t>Sponsor</w:t>
      </w:r>
      <w:r w:rsidRPr="007F5E86">
        <w:t xml:space="preserve"> provided brief details regarding each of these 11 vutrisiran treated cases. The </w:t>
      </w:r>
      <w:r w:rsidR="00CE0E84">
        <w:t>Sponsor</w:t>
      </w:r>
      <w:r w:rsidRPr="007F5E86">
        <w:t xml:space="preserve"> suggested at least 4 of the cases, in which the ALP was elevated at baseline, had a confounding factor, or had ALP levels that were relatively stable from baseline. Of the other 7 cases where ALP levels were normal at baseline, the concurrent rises in other liver function tests were reportedly transient and mild, with no pattern in the time of onset of the ALP elevation.</w:t>
      </w:r>
    </w:p>
    <w:p w14:paraId="4E717C61" w14:textId="7CBE5F11" w:rsidR="007F5E86" w:rsidRDefault="007F5E86" w:rsidP="00BB703F">
      <w:r w:rsidRPr="007F5E86">
        <w:t xml:space="preserve">Despite these findings, the COR </w:t>
      </w:r>
      <w:r w:rsidR="00CE0E84">
        <w:t>Evaluator</w:t>
      </w:r>
      <w:r w:rsidRPr="007F5E86">
        <w:t xml:space="preserve"> noted that there appeared to be a steady increase in ALP levels over time, which appeared to develop similarly in the HELIOS-A patisiran group, constituting a mean relative change from Day 1 to Day 673 of 36.71% for vutrisiran and 32.24% for </w:t>
      </w:r>
      <w:r w:rsidR="004E7F94" w:rsidRPr="007F5E86">
        <w:t>patisiran,</w:t>
      </w:r>
      <w:r w:rsidRPr="007F5E86">
        <w:t xml:space="preserve"> respectively. The clinical relevance of this continuous relative increase was thought to be currently unclear.</w:t>
      </w:r>
    </w:p>
    <w:p w14:paraId="3227E6E4" w14:textId="7B9BCFED" w:rsidR="00096FE5" w:rsidRDefault="00096FE5" w:rsidP="00BB703F">
      <w:r w:rsidRPr="003E14DC">
        <w:t xml:space="preserve">Within their submission, the </w:t>
      </w:r>
      <w:r w:rsidR="00CE0E84">
        <w:t>Sponsor</w:t>
      </w:r>
      <w:r w:rsidRPr="003E14DC">
        <w:t xml:space="preserve"> discusses their past review of cumulative data (from</w:t>
      </w:r>
      <w:r w:rsidR="003E14DC">
        <w:t xml:space="preserve"> </w:t>
      </w:r>
      <w:r w:rsidRPr="003E14DC">
        <w:t>May 10th, 2016, onwards) that informed their analysis of the abnormal liver function tests</w:t>
      </w:r>
      <w:r w:rsidR="003E14DC">
        <w:t xml:space="preserve"> </w:t>
      </w:r>
      <w:r w:rsidRPr="003E14DC">
        <w:t>signal within the PBRER 01 dated 13th of February 2023. All AEs coding to the SMQ Drug</w:t>
      </w:r>
      <w:r w:rsidR="003E14DC">
        <w:t xml:space="preserve"> </w:t>
      </w:r>
      <w:r w:rsidRPr="003E14DC">
        <w:t>related hepatic disorders were searched. Ultimately, the entire signal was reportedly closed</w:t>
      </w:r>
      <w:r w:rsidR="003E14DC">
        <w:t xml:space="preserve"> </w:t>
      </w:r>
      <w:r w:rsidRPr="003E14DC">
        <w:t>as refuted.</w:t>
      </w:r>
      <w:r w:rsidR="00BA221C" w:rsidRPr="00BA221C">
        <w:t xml:space="preserve"> The </w:t>
      </w:r>
      <w:r w:rsidR="00CE0E84">
        <w:t>Sponsor</w:t>
      </w:r>
      <w:r w:rsidR="00BA221C" w:rsidRPr="00BA221C">
        <w:t xml:space="preserve"> also provided findings from a search of all SAEs and AECIs from vutrisiran clinical trials and post-marketing event reports (SAEs/AEs/AECIs) through to the 5th of March 2024. Of the 6229 identified events coding to the MedDRA SOC hepatobiliary disorders, there was only 1 event with PT blood alkaline phosphatase increased. </w:t>
      </w:r>
      <w:r w:rsidR="003E14DC" w:rsidRPr="003E14DC">
        <w:t xml:space="preserve">The </w:t>
      </w:r>
      <w:r w:rsidR="00CE0E84">
        <w:t>Evaluator</w:t>
      </w:r>
      <w:r w:rsidR="003E14DC" w:rsidRPr="003E14DC">
        <w:t xml:space="preserve"> considers this</w:t>
      </w:r>
      <w:r w:rsidR="003E14DC">
        <w:t xml:space="preserve"> </w:t>
      </w:r>
      <w:r w:rsidR="003E14DC" w:rsidRPr="003E14DC">
        <w:t xml:space="preserve">long-term monitoring and reporting to be adequate. Additionally, the </w:t>
      </w:r>
      <w:r w:rsidR="00CE0E84">
        <w:t>Evaluator</w:t>
      </w:r>
      <w:r w:rsidR="003E14DC" w:rsidRPr="003E14DC">
        <w:t xml:space="preserve"> suggests that</w:t>
      </w:r>
      <w:r w:rsidR="003E14DC">
        <w:t xml:space="preserve"> </w:t>
      </w:r>
      <w:r w:rsidR="003E14DC" w:rsidRPr="003E14DC">
        <w:t>a statement regarding the average trend of ALP elevation could be considered as an</w:t>
      </w:r>
      <w:r w:rsidR="003E14DC">
        <w:t xml:space="preserve"> </w:t>
      </w:r>
      <w:r w:rsidR="003E14DC" w:rsidRPr="003E14DC">
        <w:t>inclusion to Section 4.4 of the PI ‘Effects on laboratory tests</w:t>
      </w:r>
      <w:r w:rsidR="004E7F94" w:rsidRPr="003E14DC">
        <w:t>.’</w:t>
      </w:r>
    </w:p>
    <w:p w14:paraId="72BD69AE" w14:textId="77777777" w:rsidR="007F5E86" w:rsidRPr="003A78D3" w:rsidRDefault="007F5E86" w:rsidP="00BB703F">
      <w:pPr>
        <w:rPr>
          <w:b/>
          <w:bCs/>
        </w:rPr>
      </w:pPr>
      <w:r w:rsidRPr="003A78D3">
        <w:rPr>
          <w:b/>
          <w:bCs/>
        </w:rPr>
        <w:t>Cardiac arrhythmia HLGT adverse events</w:t>
      </w:r>
    </w:p>
    <w:p w14:paraId="678C2D3F" w14:textId="3716C419" w:rsidR="007F5E86" w:rsidRDefault="007F5E86" w:rsidP="00BB703F">
      <w:r w:rsidRPr="007F5E86">
        <w:t xml:space="preserve">It was noted that there was </w:t>
      </w:r>
      <w:proofErr w:type="gramStart"/>
      <w:r w:rsidRPr="007F5E86">
        <w:t>a three times</w:t>
      </w:r>
      <w:proofErr w:type="gramEnd"/>
      <w:r w:rsidRPr="007F5E86">
        <w:t xml:space="preserve"> higher incidence of cardiac arrhythmia HLGT AEs in the HELIOS-A vutrisiran vs patisiran group, which was found in the overall safety population and cardiac subpopulation, including a higher incidence of syncope in the HELIOS-A vutrisiran group. The </w:t>
      </w:r>
      <w:r w:rsidR="00CE0E84">
        <w:t>Sponsor</w:t>
      </w:r>
      <w:r w:rsidRPr="007F5E86">
        <w:t xml:space="preserve"> adequately addressed the apparent higher frequency in the HELIOS-A vutrisiran group vs the patisiran group and the COR </w:t>
      </w:r>
      <w:r w:rsidR="00CE0E84">
        <w:t>Evaluator</w:t>
      </w:r>
      <w:r w:rsidRPr="007F5E86">
        <w:t xml:space="preserve"> accepted the findings and found that the currently available information did not raise any serious cardiac safety concerns.</w:t>
      </w:r>
    </w:p>
    <w:p w14:paraId="07B0BF9A" w14:textId="77777777" w:rsidR="007F5E86" w:rsidRPr="003A78D3" w:rsidRDefault="007F5E86" w:rsidP="00BB703F">
      <w:pPr>
        <w:rPr>
          <w:b/>
          <w:bCs/>
        </w:rPr>
      </w:pPr>
      <w:r w:rsidRPr="003A78D3">
        <w:rPr>
          <w:b/>
          <w:bCs/>
        </w:rPr>
        <w:t>ECG changes from baseline, including QTcF abnormalities.</w:t>
      </w:r>
    </w:p>
    <w:p w14:paraId="22B33823" w14:textId="626F6368" w:rsidR="007F5E86" w:rsidRDefault="007F5E86" w:rsidP="00BB703F">
      <w:r w:rsidRPr="007F5E86">
        <w:t xml:space="preserve">Although infrequent, it was noted that clinically significant ECG changes from baseline had occurred only in the vutrisiran group and not in the patisiran group. Despite this finding, at both Month 9 and Month 18, the incidence of clinically significant changes from baseline were substantially lower in the vutrisiran group compared with the APOLLO placebo group at both timepoints. The COR </w:t>
      </w:r>
      <w:r w:rsidR="00CE0E84">
        <w:t>Evaluator</w:t>
      </w:r>
      <w:r w:rsidRPr="007F5E86">
        <w:t xml:space="preserve"> felt that no clear safety signal could be derived from this data.</w:t>
      </w:r>
    </w:p>
    <w:p w14:paraId="507D4B3D" w14:textId="77777777" w:rsidR="007F5E86" w:rsidRPr="003A78D3" w:rsidRDefault="007F5E86" w:rsidP="00BB703F">
      <w:pPr>
        <w:rPr>
          <w:b/>
          <w:bCs/>
        </w:rPr>
      </w:pPr>
      <w:r w:rsidRPr="003A78D3">
        <w:rPr>
          <w:b/>
          <w:bCs/>
        </w:rPr>
        <w:t>Other AEs</w:t>
      </w:r>
    </w:p>
    <w:p w14:paraId="71BC49A9" w14:textId="10000D9E" w:rsidR="007F5E86" w:rsidRDefault="007F5E86" w:rsidP="00BB703F">
      <w:r w:rsidRPr="007F5E86">
        <w:t xml:space="preserve">The COR </w:t>
      </w:r>
      <w:r w:rsidR="00CE0E84">
        <w:t>Evaluator</w:t>
      </w:r>
      <w:r w:rsidRPr="007F5E86">
        <w:t xml:space="preserve"> determined that pain in extremity (noted in the above table) met the frequency criteria for it to be added to Section 4.8 of the SmPC. In addition, it was noted that the incidence of arthralgia had raised from common to very common (9.8% to 10.7%), and for this to be reflected as such in the SmPC.</w:t>
      </w:r>
    </w:p>
    <w:p w14:paraId="5F62C4D0" w14:textId="77777777" w:rsidR="007F5E86" w:rsidRDefault="007F5E86" w:rsidP="00BB703F">
      <w:r w:rsidRPr="007F5E86">
        <w:t>An updated detailed subgroup analysis was provided, and there was only a higher incidence of SAEs and TEAEs in the subgroup aged ≥ 65 years, representing adverse events typically expected with advancing age. Therefore, the safety profile was otherwise considered consistent across the evaluated subgroups (age, sex, race, weight, genotype, FAP stage and geographic region). In addition, the dose of Vitamin A supplementation that was recommended within the HELIOS-A study was clarified to be 2500IU to 3000IU daily, and this was advised to be reflected in the product documentation.</w:t>
      </w:r>
    </w:p>
    <w:p w14:paraId="6B255978" w14:textId="17E8A604" w:rsidR="007F5E86" w:rsidRDefault="007F5E86" w:rsidP="00BB703F">
      <w:r w:rsidRPr="007F5E86">
        <w:t>Overall, in the CHMP Final Assessment Report</w:t>
      </w:r>
      <w:r w:rsidR="001C0CB7">
        <w:t>,</w:t>
      </w:r>
      <w:r w:rsidRPr="007F5E86">
        <w:t xml:space="preserve"> it was agreed that the listed very common frequency adverse events would be arthralgia and pain in extremity, with dyspnoea, blood alkaline phosphatase increase and injection site reactions as common frequency adverse events.</w:t>
      </w:r>
    </w:p>
    <w:p w14:paraId="12E63EBE" w14:textId="77777777" w:rsidR="007F5E86" w:rsidRPr="001C0CB7" w:rsidRDefault="007F5E86" w:rsidP="00BB703F">
      <w:pPr>
        <w:rPr>
          <w:b/>
          <w:bCs/>
        </w:rPr>
      </w:pPr>
      <w:r w:rsidRPr="001C0CB7">
        <w:rPr>
          <w:b/>
          <w:bCs/>
        </w:rPr>
        <w:t xml:space="preserve">Post-marketing experience not assessed by COR </w:t>
      </w:r>
      <w:proofErr w:type="gramStart"/>
      <w:r w:rsidRPr="001C0CB7">
        <w:rPr>
          <w:b/>
          <w:bCs/>
        </w:rPr>
        <w:t>report</w:t>
      </w:r>
      <w:proofErr w:type="gramEnd"/>
    </w:p>
    <w:p w14:paraId="1B8F4427" w14:textId="5335ADE3" w:rsidR="007F5E86" w:rsidRDefault="007F5E86" w:rsidP="00BB703F">
      <w:r w:rsidRPr="007F5E86">
        <w:t>Since initial approval in the EU on the 15th of September 2022, the first PSUR was submitted and assessed by the EMA PRAC, with recommendations that there be no change to the EU marketing</w:t>
      </w:r>
      <w:r>
        <w:t xml:space="preserve"> </w:t>
      </w:r>
      <w:r w:rsidRPr="007F5E86">
        <w:t>authorisation. This PSUR covered the period between 13th of June 2022 and the 12th of December 2022. Within that interval period, HELIOS-A study and HELIOS-B study were ongoing, along with the completion of a carcinogenicity study in rats (with another study in mice still ongoing). No new safety findings had been reported from these carcinogenicity studies.</w:t>
      </w:r>
    </w:p>
    <w:p w14:paraId="62364CC1" w14:textId="7B35B1C5" w:rsidR="007F5E86" w:rsidRDefault="007F5E86" w:rsidP="00BB703F">
      <w:r w:rsidRPr="007F5E86">
        <w:t xml:space="preserve">Cumulatively, since the Development International Birth Date for vutrisiran on the 10th of May 2016 and the data lock point for the first PSUR reporting period, 898 subjects had been enrolled and 897 subjects dosed in 3 clinical trials. During the PSUR reporting period, 723 prefilled syringes of </w:t>
      </w:r>
      <w:r w:rsidR="00654BC7">
        <w:t>Amvuttra</w:t>
      </w:r>
      <w:r w:rsidRPr="007F5E86">
        <w:t xml:space="preserve"> had been sold worldwide, equating to an estimated 180.75 patient-years exposure, with an estimated 435 patients treated.</w:t>
      </w:r>
    </w:p>
    <w:p w14:paraId="582B77FB" w14:textId="77777777" w:rsidR="007F5E86" w:rsidRDefault="007F5E86" w:rsidP="00BB703F">
      <w:r w:rsidRPr="007F5E86">
        <w:t xml:space="preserve">In total, 158 unblinded SAEs had been reported for vutrisiran in clinical studies, of which the most frequently reported were infections and infestations (n=28) and cardiac disorders (n=25), both not considered to be important risks with vutrisiran use. No fatal cases were deemed to be related to treatment. In one fatal case in an </w:t>
      </w:r>
      <w:proofErr w:type="gramStart"/>
      <w:r w:rsidRPr="007F5E86">
        <w:t>83 year old</w:t>
      </w:r>
      <w:proofErr w:type="gramEnd"/>
      <w:r w:rsidRPr="007F5E86">
        <w:t xml:space="preserve"> women no causality assessment was made.</w:t>
      </w:r>
    </w:p>
    <w:p w14:paraId="16A6B94B" w14:textId="30A37F32" w:rsidR="007F5E86" w:rsidRDefault="007F5E86" w:rsidP="00BB703F">
      <w:r w:rsidRPr="007F5E86">
        <w:t xml:space="preserve">The </w:t>
      </w:r>
      <w:r w:rsidR="00CE0E84">
        <w:t>Sponsor</w:t>
      </w:r>
      <w:r w:rsidRPr="007F5E86">
        <w:t xml:space="preserve"> found there were no new safety signals or information elicited from a periodic review of the literature or reported cases of off-label use. The PRAC, based on consideration of the PSUR, recommended the maintenance of the terms, and no changes to the annexes, of the marketing authorisation.</w:t>
      </w:r>
    </w:p>
    <w:p w14:paraId="0B0ABF19" w14:textId="19558D0F" w:rsidR="007F5E86" w:rsidRDefault="007F5E86" w:rsidP="00BB703F">
      <w:r w:rsidRPr="007F5E86">
        <w:t xml:space="preserve">The </w:t>
      </w:r>
      <w:r w:rsidR="00375013">
        <w:t>c</w:t>
      </w:r>
      <w:r w:rsidRPr="007F5E86">
        <w:t xml:space="preserve">linical </w:t>
      </w:r>
      <w:r w:rsidR="00CE0E84">
        <w:t>Evaluator</w:t>
      </w:r>
      <w:r w:rsidRPr="007F5E86">
        <w:t xml:space="preserve"> </w:t>
      </w:r>
      <w:r w:rsidR="00FE70FC">
        <w:t xml:space="preserve">endorses </w:t>
      </w:r>
      <w:r w:rsidRPr="007F5E86">
        <w:t xml:space="preserve">the </w:t>
      </w:r>
      <w:r w:rsidR="00CE0E84">
        <w:t>Sponsor</w:t>
      </w:r>
      <w:r w:rsidRPr="007F5E86">
        <w:t xml:space="preserve">’s proposal to register </w:t>
      </w:r>
      <w:r w:rsidR="00654BC7">
        <w:t>Amvuttra</w:t>
      </w:r>
      <w:r w:rsidRPr="007F5E86">
        <w:t xml:space="preserve"> (vutrisiran)</w:t>
      </w:r>
      <w:r w:rsidR="00FE70FC">
        <w:t xml:space="preserve"> </w:t>
      </w:r>
      <w:r w:rsidRPr="007F5E86">
        <w:t>as part of a COR-B Type A application pathway</w:t>
      </w:r>
      <w:r w:rsidR="00FE70FC">
        <w:t xml:space="preserve">. </w:t>
      </w:r>
    </w:p>
    <w:p w14:paraId="009BA5D1" w14:textId="1F5B881E" w:rsidR="00611EA7" w:rsidRDefault="00611EA7" w:rsidP="001D2F8D">
      <w:pPr>
        <w:pStyle w:val="Heading3"/>
      </w:pPr>
      <w:bookmarkStart w:id="44" w:name="_Toc177466088"/>
      <w:r w:rsidRPr="00611EA7">
        <w:t xml:space="preserve">Risk </w:t>
      </w:r>
      <w:r w:rsidR="00BB703F" w:rsidRPr="00611EA7">
        <w:t xml:space="preserve">management plan </w:t>
      </w:r>
      <w:r w:rsidRPr="00611EA7">
        <w:t>evaluation</w:t>
      </w:r>
      <w:r w:rsidR="007874CC">
        <w:t xml:space="preserve"> </w:t>
      </w:r>
      <w:proofErr w:type="gramStart"/>
      <w:r w:rsidR="007874CC">
        <w:t>summary</w:t>
      </w:r>
      <w:bookmarkEnd w:id="44"/>
      <w:proofErr w:type="gramEnd"/>
    </w:p>
    <w:p w14:paraId="6E34EB03" w14:textId="05EB2466" w:rsidR="00611EA7" w:rsidRDefault="00611EA7" w:rsidP="00BB703F">
      <w:r w:rsidRPr="00611EA7">
        <w:t xml:space="preserve">The </w:t>
      </w:r>
      <w:r w:rsidR="00CE0E84">
        <w:t>Sponsor</w:t>
      </w:r>
      <w:r w:rsidRPr="00611EA7">
        <w:t xml:space="preserve"> has submitted EU-</w:t>
      </w:r>
      <w:r w:rsidR="00650A0B" w:rsidRPr="00650A0B">
        <w:t xml:space="preserve">Risk Management Plan </w:t>
      </w:r>
      <w:r w:rsidR="00650A0B">
        <w:t>(</w:t>
      </w:r>
      <w:r w:rsidRPr="00611EA7">
        <w:t>RMP</w:t>
      </w:r>
      <w:r w:rsidR="00650A0B">
        <w:t>)</w:t>
      </w:r>
      <w:r w:rsidRPr="00611EA7">
        <w:t xml:space="preserve"> version 1.0 (dated 19 July 2022; DLP26 August 2021) and ASA version 0.1 (dated 19 September 2023) in support of this application. At round 2, the </w:t>
      </w:r>
      <w:r w:rsidR="00CE0E84">
        <w:t>Sponsor</w:t>
      </w:r>
      <w:r w:rsidRPr="00611EA7">
        <w:t xml:space="preserve"> submitted EU RMP version 1.2 (dated 13 October 2023; DLP 26 August 2021) in association with ASA version 0.2 (dated 20 March 2024).</w:t>
      </w:r>
    </w:p>
    <w:p w14:paraId="34429719" w14:textId="6BE906DF" w:rsidR="001B6E16" w:rsidRDefault="00611EA7" w:rsidP="00BB703F">
      <w:r w:rsidRPr="00611EA7">
        <w:t xml:space="preserve">The proposed summary of safety concerns and their associated risk monitoring and mitigation strategies are summarised </w:t>
      </w:r>
      <w:r w:rsidR="003A78D3">
        <w:t>in Table 9</w:t>
      </w:r>
      <w:r w:rsidRPr="00611EA7">
        <w:t>.</w:t>
      </w:r>
    </w:p>
    <w:p w14:paraId="6D817B29" w14:textId="50C3C6C7" w:rsidR="003A78D3" w:rsidRDefault="003A78D3" w:rsidP="003A78D3">
      <w:pPr>
        <w:pStyle w:val="TableTitle"/>
      </w:pPr>
      <w:r>
        <w:t xml:space="preserve">Table 9. Summary of safety concerns. </w:t>
      </w:r>
    </w:p>
    <w:p w14:paraId="72CCDF6A" w14:textId="35302A08" w:rsidR="00D26EEB" w:rsidRDefault="001B6E16" w:rsidP="00BB703F">
      <w:pPr>
        <w:rPr>
          <w:szCs w:val="22"/>
        </w:rPr>
      </w:pPr>
      <w:r>
        <w:rPr>
          <w:noProof/>
        </w:rPr>
        <w:drawing>
          <wp:inline distT="0" distB="0" distL="0" distR="0" wp14:anchorId="3BA9A9CB" wp14:editId="6F5146F2">
            <wp:extent cx="5759450" cy="2655146"/>
            <wp:effectExtent l="0" t="0" r="0" b="0"/>
            <wp:docPr id="125923762" name="Picture 1" descr="A screenshot of a medical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3762" name="Picture 1" descr="A screenshot of a medical survey&#10;&#10;Description automatically generated"/>
                    <pic:cNvPicPr/>
                  </pic:nvPicPr>
                  <pic:blipFill rotWithShape="1">
                    <a:blip r:embed="rId40"/>
                    <a:srcRect b="1314"/>
                    <a:stretch/>
                  </pic:blipFill>
                  <pic:spPr bwMode="auto">
                    <a:xfrm>
                      <a:off x="0" y="0"/>
                      <a:ext cx="5759450" cy="2655146"/>
                    </a:xfrm>
                    <a:prstGeom prst="rect">
                      <a:avLst/>
                    </a:prstGeom>
                    <a:ln>
                      <a:noFill/>
                    </a:ln>
                    <a:extLst>
                      <a:ext uri="{53640926-AAD7-44D8-BBD7-CCE9431645EC}">
                        <a14:shadowObscured xmlns:a14="http://schemas.microsoft.com/office/drawing/2010/main"/>
                      </a:ext>
                    </a:extLst>
                  </pic:spPr>
                </pic:pic>
              </a:graphicData>
            </a:graphic>
          </wp:inline>
        </w:drawing>
      </w:r>
      <w:r w:rsidR="0059443A">
        <w:rPr>
          <w:szCs w:val="22"/>
        </w:rPr>
        <w:t xml:space="preserve">      </w:t>
      </w:r>
      <w:r w:rsidR="0059443A">
        <w:rPr>
          <w:noProof/>
        </w:rPr>
        <w:drawing>
          <wp:inline distT="0" distB="0" distL="0" distR="0" wp14:anchorId="2D151615" wp14:editId="0E202B3A">
            <wp:extent cx="5736572" cy="490855"/>
            <wp:effectExtent l="0" t="0" r="0" b="4445"/>
            <wp:docPr id="255882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882275" name=""/>
                    <pic:cNvPicPr/>
                  </pic:nvPicPr>
                  <pic:blipFill>
                    <a:blip r:embed="rId41"/>
                    <a:stretch>
                      <a:fillRect/>
                    </a:stretch>
                  </pic:blipFill>
                  <pic:spPr>
                    <a:xfrm>
                      <a:off x="0" y="0"/>
                      <a:ext cx="5827585" cy="498643"/>
                    </a:xfrm>
                    <a:prstGeom prst="rect">
                      <a:avLst/>
                    </a:prstGeom>
                  </pic:spPr>
                </pic:pic>
              </a:graphicData>
            </a:graphic>
          </wp:inline>
        </w:drawing>
      </w:r>
    </w:p>
    <w:p w14:paraId="07EFE50F" w14:textId="350418CE" w:rsidR="00D85E6F" w:rsidRDefault="00D85E6F" w:rsidP="00BB703F">
      <w:r>
        <w:t xml:space="preserve">The </w:t>
      </w:r>
      <w:r w:rsidR="00CE0E84">
        <w:t>Sponsor</w:t>
      </w:r>
      <w:r>
        <w:t xml:space="preserve"> has proposed routine pharmacovigilance for all safety concerns including specific targeted follow-up questionnaire for reports of vitamin A deficiency/ocular toxicity. </w:t>
      </w:r>
    </w:p>
    <w:p w14:paraId="0D909785" w14:textId="73C57594" w:rsidR="00D85E6F" w:rsidRDefault="00BF6BF6" w:rsidP="00D62449">
      <w:pPr>
        <w:pStyle w:val="Heading2"/>
      </w:pPr>
      <w:bookmarkStart w:id="45" w:name="_Toc177466089"/>
      <w:r>
        <w:t>R</w:t>
      </w:r>
      <w:r w:rsidRPr="00BF6BF6">
        <w:t xml:space="preserve">isk/benefit </w:t>
      </w:r>
      <w:proofErr w:type="gramStart"/>
      <w:r w:rsidRPr="00BF6BF6">
        <w:t>assessment</w:t>
      </w:r>
      <w:bookmarkEnd w:id="45"/>
      <w:proofErr w:type="gramEnd"/>
      <w:r w:rsidR="00D85E6F">
        <w:t xml:space="preserve"> </w:t>
      </w:r>
    </w:p>
    <w:p w14:paraId="1A164E71" w14:textId="77777777" w:rsidR="00D85E6F" w:rsidRDefault="00D85E6F" w:rsidP="00BB703F">
      <w:pPr>
        <w:rPr>
          <w:szCs w:val="22"/>
        </w:rPr>
      </w:pPr>
      <w:r>
        <w:rPr>
          <w:szCs w:val="22"/>
        </w:rPr>
        <w:t xml:space="preserve">The HELIOS-A Study was the one available study for the evaluation of efficacy, safety, PK and PD of vutrisiran in adult patients with hATTR amyloidosis with polyneuropathy. The placebo group was derived from the APOLLO Study, a completed study investigating patisiran. </w:t>
      </w:r>
    </w:p>
    <w:p w14:paraId="64CC17B2" w14:textId="77777777" w:rsidR="00D85E6F" w:rsidRDefault="00D85E6F" w:rsidP="00BB703F">
      <w:pPr>
        <w:rPr>
          <w:szCs w:val="22"/>
        </w:rPr>
      </w:pPr>
      <w:r>
        <w:rPr>
          <w:szCs w:val="22"/>
        </w:rPr>
        <w:t xml:space="preserve">HELIOS-A is a Phase 3 global, randomised, open-label study to evaluate the efficacy and safety of vutrisiran in patients with hATTR amyloidosis. The primary objective is to determine the efficacy of vutrisiran in patients with hATTR amyloidosis by evaluating the effect on neurologic impairment. </w:t>
      </w:r>
    </w:p>
    <w:p w14:paraId="04B5EEEB" w14:textId="0282CC27" w:rsidR="00D85E6F" w:rsidRDefault="00D85E6F" w:rsidP="00BB703F">
      <w:pPr>
        <w:rPr>
          <w:szCs w:val="22"/>
        </w:rPr>
      </w:pPr>
      <w:r>
        <w:rPr>
          <w:szCs w:val="22"/>
        </w:rPr>
        <w:t xml:space="preserve">At </w:t>
      </w:r>
      <w:r w:rsidR="00DE6A52">
        <w:rPr>
          <w:szCs w:val="22"/>
        </w:rPr>
        <w:t>m</w:t>
      </w:r>
      <w:r>
        <w:rPr>
          <w:szCs w:val="22"/>
        </w:rPr>
        <w:t xml:space="preserve">onth 18, </w:t>
      </w:r>
      <w:proofErr w:type="spellStart"/>
      <w:r>
        <w:rPr>
          <w:szCs w:val="22"/>
        </w:rPr>
        <w:t>vutrisiran</w:t>
      </w:r>
      <w:proofErr w:type="spellEnd"/>
      <w:r>
        <w:rPr>
          <w:szCs w:val="22"/>
        </w:rPr>
        <w:t xml:space="preserve"> had demonstrated persistent efficacy and HELIOS-A met all secondary endpoints. The COR </w:t>
      </w:r>
      <w:r w:rsidR="00CE0E84">
        <w:rPr>
          <w:szCs w:val="22"/>
        </w:rPr>
        <w:t>Evaluator</w:t>
      </w:r>
      <w:r>
        <w:rPr>
          <w:szCs w:val="22"/>
        </w:rPr>
        <w:t xml:space="preserve"> acknowledged these findings and agreed that based on primary, key secondary and secondary endpoints, that vutrisiran demonstrated in HELIOS-A statistically significant differences from an external placebo group and that efficacy had been shown at </w:t>
      </w:r>
      <w:r w:rsidR="00DE6A52">
        <w:rPr>
          <w:szCs w:val="22"/>
        </w:rPr>
        <w:t>m</w:t>
      </w:r>
      <w:r>
        <w:rPr>
          <w:szCs w:val="22"/>
        </w:rPr>
        <w:t xml:space="preserve">onth 9 and maintained until </w:t>
      </w:r>
      <w:r w:rsidR="00DE6A52">
        <w:rPr>
          <w:szCs w:val="22"/>
        </w:rPr>
        <w:t>m</w:t>
      </w:r>
      <w:r>
        <w:rPr>
          <w:szCs w:val="22"/>
        </w:rPr>
        <w:t xml:space="preserve">onth 18. </w:t>
      </w:r>
    </w:p>
    <w:p w14:paraId="529B6C63" w14:textId="77777777" w:rsidR="00D85E6F" w:rsidRDefault="00D85E6F" w:rsidP="00BB703F">
      <w:pPr>
        <w:rPr>
          <w:szCs w:val="22"/>
        </w:rPr>
      </w:pPr>
      <w:r>
        <w:rPr>
          <w:szCs w:val="22"/>
        </w:rPr>
        <w:t xml:space="preserve">A large and statistically significant reduction in TTR levels was noted in the pivotal trial, the HELIOS-A study, and indicates that vutrisiran appears to be a safe and efficacious treatment for an otherwise progressive, rare illness associated with significant morbidity and mortality. </w:t>
      </w:r>
    </w:p>
    <w:p w14:paraId="2F99E297" w14:textId="77777777" w:rsidR="00D85E6F" w:rsidRDefault="00D85E6F" w:rsidP="00BB703F">
      <w:pPr>
        <w:rPr>
          <w:szCs w:val="22"/>
        </w:rPr>
      </w:pPr>
      <w:proofErr w:type="spellStart"/>
      <w:r>
        <w:rPr>
          <w:szCs w:val="22"/>
        </w:rPr>
        <w:t>Vutrisiran</w:t>
      </w:r>
      <w:proofErr w:type="spellEnd"/>
      <w:r>
        <w:rPr>
          <w:szCs w:val="22"/>
        </w:rPr>
        <w:t xml:space="preserve"> and </w:t>
      </w:r>
      <w:proofErr w:type="spellStart"/>
      <w:r>
        <w:rPr>
          <w:szCs w:val="22"/>
        </w:rPr>
        <w:t>patisiran</w:t>
      </w:r>
      <w:proofErr w:type="spellEnd"/>
      <w:r>
        <w:rPr>
          <w:szCs w:val="22"/>
        </w:rPr>
        <w:t xml:space="preserve">, the only currently registered treatment for hATTR amyloidosis share the same mechanism of action. However, the longer interval between dosing, and SC rather than IV administration, are favourable features of vutrisiran compared to patisiran. </w:t>
      </w:r>
    </w:p>
    <w:p w14:paraId="3D967F6A" w14:textId="77777777" w:rsidR="00D85E6F" w:rsidRDefault="00D85E6F" w:rsidP="00BB703F">
      <w:pPr>
        <w:rPr>
          <w:szCs w:val="22"/>
        </w:rPr>
      </w:pPr>
      <w:r>
        <w:rPr>
          <w:szCs w:val="22"/>
        </w:rPr>
        <w:t xml:space="preserve">The treatment indication was narrowed to those patients that had been studied within the HELIOS-A study (i.e. only patients with stage 1 or 2 polyneuropathy). </w:t>
      </w:r>
    </w:p>
    <w:p w14:paraId="51A2E710" w14:textId="6E424034" w:rsidR="00D85E6F" w:rsidRDefault="00D85E6F" w:rsidP="00BB703F">
      <w:pPr>
        <w:rPr>
          <w:szCs w:val="22"/>
        </w:rPr>
      </w:pPr>
      <w:r>
        <w:rPr>
          <w:szCs w:val="22"/>
        </w:rPr>
        <w:t xml:space="preserve">Arthralgia, pain in the extremities, dyspnoea and injection site reactions have been identified as ADRs, and most reported ADRs tended to be mild or moderate in severity. </w:t>
      </w:r>
    </w:p>
    <w:p w14:paraId="1015A123" w14:textId="73EF7E59" w:rsidR="001C5CE5" w:rsidRDefault="001C5CE5" w:rsidP="001C5CE5">
      <w:pPr>
        <w:pStyle w:val="Heading2"/>
      </w:pPr>
      <w:bookmarkStart w:id="46" w:name="_Toc177466090"/>
      <w:r>
        <w:t>Outcome</w:t>
      </w:r>
      <w:bookmarkEnd w:id="46"/>
    </w:p>
    <w:p w14:paraId="04BD9FBA" w14:textId="2D97140B" w:rsidR="007F0B09" w:rsidRPr="0017005C" w:rsidRDefault="007F0B09" w:rsidP="007F0B09">
      <w:r w:rsidRPr="0017005C">
        <w:t xml:space="preserve">Based on a review of quality, safety, and efficacy, the TGA </w:t>
      </w:r>
      <w:r>
        <w:t>decided to</w:t>
      </w:r>
      <w:r w:rsidRPr="0017005C">
        <w:t xml:space="preserve"> regist</w:t>
      </w:r>
      <w:r>
        <w:t>er</w:t>
      </w:r>
      <w:r w:rsidRPr="0017005C">
        <w:t xml:space="preserve"> </w:t>
      </w:r>
      <w:r w:rsidRPr="007F0B09">
        <w:t>Amvuttra (vutrisiran)</w:t>
      </w:r>
      <w:r w:rsidR="007874CC">
        <w:t xml:space="preserve"> for the following indic</w:t>
      </w:r>
      <w:r w:rsidR="001C0CB7">
        <w:t>ation</w:t>
      </w:r>
      <w:r w:rsidRPr="0017005C">
        <w:t>:</w:t>
      </w:r>
    </w:p>
    <w:p w14:paraId="5D880CDB" w14:textId="77777777" w:rsidR="002519B0" w:rsidRDefault="002519B0" w:rsidP="002519B0">
      <w:pPr>
        <w:pStyle w:val="Indication"/>
      </w:pPr>
      <w:r>
        <w:t>Amvuttra is indicated for the treatment of hereditary transthyretin-</w:t>
      </w:r>
      <w:proofErr w:type="gramStart"/>
      <w:r>
        <w:t>mediated</w:t>
      </w:r>
      <w:proofErr w:type="gramEnd"/>
    </w:p>
    <w:p w14:paraId="476219C1" w14:textId="77777777" w:rsidR="002519B0" w:rsidRDefault="002519B0" w:rsidP="002519B0">
      <w:pPr>
        <w:pStyle w:val="Indication"/>
      </w:pPr>
      <w:r>
        <w:t>amyloidosis (hATTR amyloidosis) in adult patients with stage 1 or stage 2</w:t>
      </w:r>
    </w:p>
    <w:p w14:paraId="315A1C34" w14:textId="010444EB" w:rsidR="003A5E96" w:rsidRPr="003A5E96" w:rsidRDefault="002519B0" w:rsidP="002519B0">
      <w:pPr>
        <w:pStyle w:val="Indication"/>
      </w:pPr>
      <w:r>
        <w:t>polyneuropathy</w:t>
      </w:r>
    </w:p>
    <w:p w14:paraId="0D732DA4" w14:textId="77777777" w:rsidR="00854D98" w:rsidRDefault="00854D98" w:rsidP="009E3553">
      <w:pPr>
        <w:pStyle w:val="Heading4"/>
      </w:pPr>
      <w:bookmarkStart w:id="47" w:name="_Toc103679301"/>
      <w:bookmarkStart w:id="48" w:name="_Toc177466091"/>
      <w:r w:rsidRPr="00D23139">
        <w:t>Specific conditions of registration applying to these goods</w:t>
      </w:r>
      <w:bookmarkEnd w:id="47"/>
      <w:bookmarkEnd w:id="48"/>
    </w:p>
    <w:p w14:paraId="1DBF956F" w14:textId="77777777" w:rsidR="00644087" w:rsidRDefault="00644087" w:rsidP="00BB703F">
      <w:r>
        <w:t xml:space="preserve">Amvuttra (vutrisiran) is to be included in the Black Triangle Scheme. The PI and CMI for Amvuttra must include the black triangle symbol and mandatory accompanying text for five years, which starts from the date of first supply of the product. </w:t>
      </w:r>
    </w:p>
    <w:p w14:paraId="0F35DFAA" w14:textId="6D621114" w:rsidR="00644087" w:rsidRDefault="00644087" w:rsidP="00BB703F">
      <w:r>
        <w:t>The Amvuttra EU-Risk Management Plan (RMP) (version 1.2, dated 13 October 2023,</w:t>
      </w:r>
      <w:r w:rsidR="00BB703F">
        <w:t xml:space="preserve"> </w:t>
      </w:r>
      <w:r>
        <w:t>data lock point 26 August 2021), with Australian Specific Annex (version 0.2, dated 20</w:t>
      </w:r>
      <w:r w:rsidR="00BB703F">
        <w:t xml:space="preserve"> </w:t>
      </w:r>
      <w:r>
        <w:t>March 2024), included with submission PM-2023-04200-1-1, to be revised to the satisfaction of the TGA, and any subsequent revisions, will be implemented in Australia.</w:t>
      </w:r>
    </w:p>
    <w:p w14:paraId="34879C9F" w14:textId="202ADD76" w:rsidR="00644087" w:rsidRDefault="00644087" w:rsidP="00BB703F">
      <w:r>
        <w:t>An obligatory component of risk management plans is routine pharmacovigilance. Routine pharmacovigilance includes the submission of periodic safety update reports (PSURs).</w:t>
      </w:r>
    </w:p>
    <w:p w14:paraId="5D3103CE" w14:textId="77777777" w:rsidR="003A5E96" w:rsidRDefault="00644087" w:rsidP="00BB703F">
      <w:r>
        <w:t xml:space="preserve">Reports are to be provided in line with the current published list of EU reference dates and frequency of submission of PSURs until the period covered by such reports is not less than three years from the date of this approval letter. Each report must be submitted within ninety calendar days of the data lock point for that report. </w:t>
      </w:r>
    </w:p>
    <w:p w14:paraId="79C5A27F" w14:textId="3C6BDDD6" w:rsidR="00644087" w:rsidRPr="00644087" w:rsidRDefault="00644087" w:rsidP="00BB703F">
      <w:r>
        <w:t>The reports are to at least meet the requirements for PSURs as described in the European Medicines Agency’s Guideline on good pharmacovigilance practices (GVP) Module VII-periodic safety update report (Rev 1), Part VII.B Structures and processes.</w:t>
      </w:r>
      <w:r w:rsidR="003A5E96">
        <w:t xml:space="preserve"> </w:t>
      </w:r>
      <w:r>
        <w:t>Note that submission of a PSUR does not constitute an application to vary the</w:t>
      </w:r>
      <w:r w:rsidR="003A5E96">
        <w:t xml:space="preserve"> </w:t>
      </w:r>
      <w:r>
        <w:t>registration.</w:t>
      </w:r>
    </w:p>
    <w:p w14:paraId="451DC3FC" w14:textId="2D1EC6E2" w:rsidR="00C22214" w:rsidRDefault="00C22214" w:rsidP="00BB703F">
      <w:pPr>
        <w:pStyle w:val="Heading2"/>
      </w:pPr>
      <w:bookmarkStart w:id="49" w:name="_Toc103679303"/>
      <w:bookmarkStart w:id="50" w:name="_Toc177466092"/>
      <w:r>
        <w:t>Attachment 1. Product Information</w:t>
      </w:r>
      <w:bookmarkEnd w:id="49"/>
      <w:bookmarkEnd w:id="50"/>
    </w:p>
    <w:p w14:paraId="74F59983" w14:textId="0CD3CC76" w:rsidR="00675F81" w:rsidRPr="00BD5DBD" w:rsidRDefault="00675F81" w:rsidP="00675F81">
      <w:pPr>
        <w:rPr>
          <w:szCs w:val="22"/>
        </w:rPr>
      </w:pPr>
      <w:r w:rsidRPr="00BD5DBD">
        <w:rPr>
          <w:szCs w:val="22"/>
        </w:rPr>
        <w:t xml:space="preserve">The </w:t>
      </w:r>
      <w:hyperlink r:id="rId42" w:history="1">
        <w:r w:rsidRPr="00BD5DBD">
          <w:rPr>
            <w:rStyle w:val="Hyperlink"/>
            <w:szCs w:val="22"/>
          </w:rPr>
          <w:t>Product Information</w:t>
        </w:r>
      </w:hyperlink>
      <w:r w:rsidRPr="00BD5DBD">
        <w:rPr>
          <w:szCs w:val="22"/>
        </w:rPr>
        <w:t xml:space="preserve"> (</w:t>
      </w:r>
      <w:hyperlink r:id="rId43" w:history="1">
        <w:r w:rsidRPr="00BD5DBD">
          <w:rPr>
            <w:rStyle w:val="Hyperlink"/>
            <w:szCs w:val="22"/>
          </w:rPr>
          <w:t>PI</w:t>
        </w:r>
      </w:hyperlink>
      <w:r w:rsidRPr="00BD5DBD">
        <w:rPr>
          <w:szCs w:val="22"/>
        </w:rPr>
        <w:t>) approved with the submission</w:t>
      </w:r>
      <w:r w:rsidR="0017005C" w:rsidRPr="0017005C">
        <w:rPr>
          <w:szCs w:val="22"/>
        </w:rPr>
        <w:t xml:space="preserve"> </w:t>
      </w:r>
      <w:r w:rsidR="0017005C" w:rsidRPr="00BD5DBD">
        <w:rPr>
          <w:szCs w:val="22"/>
        </w:rPr>
        <w:t xml:space="preserve">for </w:t>
      </w:r>
      <w:r w:rsidR="003A5E96">
        <w:t xml:space="preserve">Amvuttra </w:t>
      </w:r>
      <w:r w:rsidRPr="00BD5DBD">
        <w:rPr>
          <w:szCs w:val="22"/>
        </w:rPr>
        <w:t xml:space="preserve">which is described in this AusPAR can be found as Attachment 1. </w:t>
      </w:r>
      <w:r w:rsidR="0025785B">
        <w:t xml:space="preserve">It may have been superseded. </w:t>
      </w:r>
      <w:r w:rsidRPr="00BD5DBD">
        <w:rPr>
          <w:szCs w:val="22"/>
        </w:rPr>
        <w:t xml:space="preserve">For the most recent PI and </w:t>
      </w:r>
      <w:hyperlink r:id="rId44" w:history="1">
        <w:r w:rsidRPr="00BD5DBD">
          <w:rPr>
            <w:rStyle w:val="Hyperlink"/>
            <w:szCs w:val="22"/>
          </w:rPr>
          <w:t>Consumer Medicines Information</w:t>
        </w:r>
      </w:hyperlink>
      <w:r w:rsidRPr="00BD5DBD">
        <w:rPr>
          <w:szCs w:val="22"/>
        </w:rPr>
        <w:t xml:space="preserve"> (CMI), please refer to the TGA </w:t>
      </w:r>
      <w:hyperlink r:id="rId45" w:history="1">
        <w:r w:rsidRPr="00BD5DBD">
          <w:rPr>
            <w:rStyle w:val="Hyperlink"/>
            <w:szCs w:val="22"/>
          </w:rPr>
          <w:t>PI/CMI search facility.</w:t>
        </w:r>
      </w:hyperlink>
    </w:p>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46"/>
          <w:footerReference w:type="default" r:id="rId47"/>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BF6BF6" w14:paraId="3C0C07BF" w14:textId="77777777" w:rsidTr="007452E8">
        <w:trPr>
          <w:trHeight w:hRule="exact" w:val="565"/>
          <w:jc w:val="center"/>
        </w:trPr>
        <w:tc>
          <w:tcPr>
            <w:tcW w:w="9145" w:type="dxa"/>
          </w:tcPr>
          <w:bookmarkEnd w:id="4"/>
          <w:bookmarkEnd w:id="5"/>
          <w:p w14:paraId="7E090B86" w14:textId="77777777" w:rsidR="00F02AEC" w:rsidRPr="00BF6BF6" w:rsidRDefault="00F02AEC" w:rsidP="007452E8">
            <w:pPr>
              <w:pStyle w:val="TGASignoff"/>
              <w:rPr>
                <w:rFonts w:cs="Arial"/>
              </w:rPr>
            </w:pPr>
            <w:r w:rsidRPr="00BF6BF6">
              <w:rPr>
                <w:rFonts w:cs="Arial"/>
              </w:rPr>
              <w:t>Therapeutic Goods Administration</w:t>
            </w:r>
          </w:p>
        </w:tc>
      </w:tr>
      <w:tr w:rsidR="00F02AEC" w:rsidRPr="00BF6BF6" w14:paraId="70F47EA1" w14:textId="77777777" w:rsidTr="007452E8">
        <w:trPr>
          <w:trHeight w:val="963"/>
          <w:jc w:val="center"/>
        </w:trPr>
        <w:tc>
          <w:tcPr>
            <w:tcW w:w="9145" w:type="dxa"/>
            <w:tcMar>
              <w:top w:w="28" w:type="dxa"/>
            </w:tcMar>
          </w:tcPr>
          <w:p w14:paraId="3491EBCD" w14:textId="77777777" w:rsidR="00F02AEC" w:rsidRPr="00BF6BF6" w:rsidRDefault="00F02AEC" w:rsidP="007452E8">
            <w:pPr>
              <w:pStyle w:val="Address"/>
              <w:jc w:val="center"/>
              <w:rPr>
                <w:rFonts w:cs="Arial"/>
              </w:rPr>
            </w:pPr>
            <w:r w:rsidRPr="00BF6BF6">
              <w:rPr>
                <w:rFonts w:cs="Arial"/>
              </w:rPr>
              <w:t>PO Box 100 Woden ACT 2606 Australia</w:t>
            </w:r>
          </w:p>
          <w:p w14:paraId="5D0FE0E7" w14:textId="53CB9479" w:rsidR="00F02AEC" w:rsidRPr="00BF6BF6" w:rsidRDefault="00F02AEC">
            <w:pPr>
              <w:pStyle w:val="Address"/>
              <w:jc w:val="center"/>
              <w:rPr>
                <w:rFonts w:cs="Arial"/>
                <w:sz w:val="22"/>
                <w:szCs w:val="22"/>
              </w:rPr>
            </w:pPr>
            <w:r w:rsidRPr="00BF6BF6">
              <w:rPr>
                <w:rFonts w:cs="Arial"/>
              </w:rPr>
              <w:t xml:space="preserve">Email: </w:t>
            </w:r>
            <w:hyperlink r:id="rId48" w:history="1">
              <w:r w:rsidRPr="00BF6BF6">
                <w:rPr>
                  <w:rStyle w:val="Hyperlink"/>
                  <w:rFonts w:ascii="Arial" w:hAnsi="Arial" w:cs="Arial"/>
                </w:rPr>
                <w:t>info@tga.gov.au</w:t>
              </w:r>
            </w:hyperlink>
            <w:r w:rsidRPr="00BF6BF6">
              <w:rPr>
                <w:rFonts w:cs="Arial"/>
              </w:rPr>
              <w:t xml:space="preserve">  Phone: 1800 020 </w:t>
            </w:r>
            <w:proofErr w:type="gramStart"/>
            <w:r w:rsidRPr="00BF6BF6">
              <w:rPr>
                <w:rFonts w:cs="Arial"/>
              </w:rPr>
              <w:t>653  Fax</w:t>
            </w:r>
            <w:proofErr w:type="gramEnd"/>
            <w:r w:rsidRPr="00BF6BF6">
              <w:rPr>
                <w:rFonts w:cs="Arial"/>
              </w:rPr>
              <w:t>: 02 6203 1605</w:t>
            </w:r>
          </w:p>
          <w:p w14:paraId="4533D80F" w14:textId="1519D7A3" w:rsidR="00F02AEC" w:rsidRPr="00BF6BF6" w:rsidRDefault="00FE504D">
            <w:pPr>
              <w:pStyle w:val="Address"/>
              <w:jc w:val="center"/>
              <w:rPr>
                <w:rStyle w:val="Hyperlink"/>
                <w:rFonts w:ascii="Arial" w:hAnsi="Arial" w:cs="Arial"/>
                <w:b/>
                <w:color w:val="auto"/>
                <w:sz w:val="22"/>
              </w:rPr>
            </w:pPr>
            <w:hyperlink r:id="rId49" w:history="1">
              <w:r w:rsidR="00F02AEC" w:rsidRPr="00BF6BF6">
                <w:rPr>
                  <w:rStyle w:val="Hyperlink"/>
                  <w:rFonts w:ascii="Arial" w:hAnsi="Arial" w:cs="Arial"/>
                  <w:b/>
                </w:rPr>
                <w:t>https://www.tga.gov.au</w:t>
              </w:r>
            </w:hyperlink>
          </w:p>
        </w:tc>
      </w:tr>
      <w:tr w:rsidR="00F02AEC" w:rsidRPr="00BF6BF6" w14:paraId="2AD74347" w14:textId="77777777" w:rsidTr="007452E8">
        <w:trPr>
          <w:trHeight w:val="251"/>
          <w:jc w:val="center"/>
        </w:trPr>
        <w:tc>
          <w:tcPr>
            <w:tcW w:w="9145" w:type="dxa"/>
            <w:tcMar>
              <w:top w:w="28" w:type="dxa"/>
            </w:tcMar>
          </w:tcPr>
          <w:p w14:paraId="6EAAD5C1" w14:textId="793CA12E" w:rsidR="00F02AEC" w:rsidRPr="00BF6BF6" w:rsidRDefault="00F02AEC" w:rsidP="007452E8">
            <w:pPr>
              <w:pStyle w:val="Address"/>
              <w:jc w:val="center"/>
              <w:rPr>
                <w:rFonts w:cs="Arial"/>
              </w:rPr>
            </w:pPr>
          </w:p>
        </w:tc>
      </w:tr>
    </w:tbl>
    <w:p w14:paraId="788B80FD" w14:textId="77777777" w:rsidR="007452E8" w:rsidRDefault="007452E8"/>
    <w:sectPr w:rsidR="007452E8" w:rsidSect="007452E8">
      <w:headerReference w:type="first" r:id="rId50"/>
      <w:footerReference w:type="first" r:id="rId51"/>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B208A" w14:textId="77777777" w:rsidR="00FF36FD" w:rsidRDefault="00FF36FD" w:rsidP="00F02AEC">
      <w:pPr>
        <w:spacing w:after="0" w:line="240" w:lineRule="auto"/>
      </w:pPr>
      <w:r>
        <w:separator/>
      </w:r>
    </w:p>
  </w:endnote>
  <w:endnote w:type="continuationSeparator" w:id="0">
    <w:p w14:paraId="3B27F3ED" w14:textId="77777777" w:rsidR="00FF36FD" w:rsidRDefault="00FF36FD" w:rsidP="00F02AEC">
      <w:pPr>
        <w:spacing w:after="0" w:line="240" w:lineRule="auto"/>
      </w:pPr>
      <w:r>
        <w:continuationSeparator/>
      </w:r>
    </w:p>
  </w:endnote>
  <w:endnote w:type="continuationNotice" w:id="1">
    <w:p w14:paraId="68918EA2" w14:textId="77777777" w:rsidR="00FF36FD" w:rsidRDefault="00FF36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 xml:space="preserve"> NUMPAGES  </w:instrText>
              </w:r>
              <w:r>
                <w:fldChar w:fldCharType="separate"/>
              </w:r>
              <w:r>
                <w:rPr>
                  <w:noProof/>
                </w:rPr>
                <w:t>2</w:t>
              </w:r>
              <w:r>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513"/>
      <w:gridCol w:w="1559"/>
    </w:tblGrid>
    <w:tr w:rsidR="007452E8" w:rsidRPr="004A3084" w14:paraId="6266BC33" w14:textId="77777777" w:rsidTr="00FE504D">
      <w:trPr>
        <w:trHeight w:val="423"/>
      </w:trPr>
      <w:tc>
        <w:tcPr>
          <w:tcW w:w="7513" w:type="dxa"/>
          <w:tcBorders>
            <w:top w:val="single" w:sz="4" w:space="0" w:color="auto"/>
          </w:tcBorders>
        </w:tcPr>
        <w:p w14:paraId="3C421323" w14:textId="4E781134" w:rsidR="007452E8" w:rsidRPr="004A3084" w:rsidRDefault="007452E8" w:rsidP="007452E8">
          <w:pPr>
            <w:pStyle w:val="Footer"/>
          </w:pPr>
          <w:r w:rsidRPr="00487162">
            <w:t>AusPA</w:t>
          </w:r>
          <w:r>
            <w:t xml:space="preserve">R - </w:t>
          </w:r>
          <w:r w:rsidR="00A91D38">
            <w:t>Amvuttra</w:t>
          </w:r>
          <w:r>
            <w:t xml:space="preserve"> -</w:t>
          </w:r>
          <w:r w:rsidRPr="00460036">
            <w:t xml:space="preserve"> </w:t>
          </w:r>
          <w:r w:rsidR="00407F4E" w:rsidRPr="00407F4E">
            <w:t>vutrisiran</w:t>
          </w:r>
          <w:r w:rsidRPr="00460036">
            <w:t xml:space="preserve"> </w:t>
          </w:r>
          <w:r w:rsidR="00E91B33">
            <w:t>–</w:t>
          </w:r>
          <w:r>
            <w:t xml:space="preserve"> </w:t>
          </w:r>
          <w:proofErr w:type="spellStart"/>
          <w:r w:rsidR="00FE504D" w:rsidRPr="00FE504D">
            <w:t>Medison</w:t>
          </w:r>
          <w:proofErr w:type="spellEnd"/>
          <w:r w:rsidR="00FE504D" w:rsidRPr="00FE504D">
            <w:t xml:space="preserve"> Pharma Australia Pty Ltd</w:t>
          </w:r>
          <w:r>
            <w:t xml:space="preserve"> </w:t>
          </w:r>
          <w:r w:rsidR="00E91B33">
            <w:t>–</w:t>
          </w:r>
          <w:r>
            <w:t xml:space="preserve"> </w:t>
          </w:r>
          <w:r w:rsidR="00E91B33">
            <w:t xml:space="preserve">Type A - </w:t>
          </w:r>
          <w:r w:rsidR="001C5CE5" w:rsidRPr="001C5CE5">
            <w:t>PM-2023-04200-1-1</w:t>
          </w:r>
          <w:r>
            <w:br/>
          </w:r>
          <w:r w:rsidRPr="00487162">
            <w:t>Date of Finalisation</w:t>
          </w:r>
          <w:r w:rsidR="00F76E3E">
            <w:t>: 12 September 2024</w:t>
          </w:r>
        </w:p>
      </w:tc>
      <w:tc>
        <w:tcPr>
          <w:tcW w:w="1559"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fldChar w:fldCharType="begin"/>
              </w:r>
              <w:r>
                <w:instrText xml:space="preserve"> NUMPAGES  </w:instrText>
              </w:r>
              <w:r>
                <w:fldChar w:fldCharType="separate"/>
              </w:r>
              <w:r w:rsidR="006D6B44">
                <w:rPr>
                  <w:noProof/>
                </w:rPr>
                <w:t>17</w:t>
              </w:r>
              <w:r>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2E1DC" w14:textId="77777777" w:rsidR="00FF36FD" w:rsidRDefault="00FF36FD" w:rsidP="00F02AEC">
      <w:pPr>
        <w:spacing w:after="0" w:line="240" w:lineRule="auto"/>
      </w:pPr>
      <w:r>
        <w:separator/>
      </w:r>
    </w:p>
  </w:footnote>
  <w:footnote w:type="continuationSeparator" w:id="0">
    <w:p w14:paraId="35EDF26B" w14:textId="77777777" w:rsidR="00FF36FD" w:rsidRDefault="00FF36FD" w:rsidP="00F02AEC">
      <w:pPr>
        <w:spacing w:after="0" w:line="240" w:lineRule="auto"/>
      </w:pPr>
      <w:r>
        <w:continuationSeparator/>
      </w:r>
    </w:p>
  </w:footnote>
  <w:footnote w:type="continuationNotice" w:id="1">
    <w:p w14:paraId="4B8D6361" w14:textId="77777777" w:rsidR="00FF36FD" w:rsidRDefault="00FF36FD">
      <w:pPr>
        <w:spacing w:after="0" w:line="240" w:lineRule="auto"/>
      </w:pPr>
    </w:p>
  </w:footnote>
  <w:footnote w:id="2">
    <w:p w14:paraId="224CD836" w14:textId="131AD545" w:rsidR="00500D68" w:rsidRDefault="00500D68">
      <w:pPr>
        <w:pStyle w:val="FootnoteText"/>
      </w:pPr>
      <w:r>
        <w:rPr>
          <w:rStyle w:val="FootnoteReference"/>
        </w:rPr>
        <w:footnoteRef/>
      </w:r>
      <w:r>
        <w:t xml:space="preserve"> </w:t>
      </w:r>
      <w:r w:rsidR="00AD0111" w:rsidRPr="00AD0111">
        <w:t xml:space="preserve"> </w:t>
      </w:r>
      <w:r w:rsidR="00A25E6E" w:rsidRPr="00A25E6E">
        <w:t>The ‘</w:t>
      </w:r>
      <w:r w:rsidR="00CE0E84">
        <w:t>Delegate</w:t>
      </w:r>
      <w:r w:rsidR="00A25E6E" w:rsidRPr="00A25E6E">
        <w:t xml:space="preserve">’ is the </w:t>
      </w:r>
      <w:r w:rsidR="00CE0E84">
        <w:t>Delegate</w:t>
      </w:r>
      <w:r w:rsidR="00A25E6E" w:rsidRPr="00A25E6E">
        <w:t xml:space="preserve"> of the Secretary of the Department of Health and Aged Care who made the final decision to either include the new medicine/indication on the ARTG or reject the submission, under section 25 of the Therapeutic Goods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FE504D"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58241"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58240"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9556E"/>
    <w:multiLevelType w:val="hybridMultilevel"/>
    <w:tmpl w:val="4A727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3"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6"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7" w15:restartNumberingAfterBreak="0">
    <w:nsid w:val="2EC572B8"/>
    <w:multiLevelType w:val="hybridMultilevel"/>
    <w:tmpl w:val="BB86A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295593"/>
    <w:multiLevelType w:val="hybridMultilevel"/>
    <w:tmpl w:val="5F549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0"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1"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2"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4" w15:restartNumberingAfterBreak="0">
    <w:nsid w:val="5AD3156A"/>
    <w:multiLevelType w:val="hybridMultilevel"/>
    <w:tmpl w:val="75768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4"/>
  </w:num>
  <w:num w:numId="2" w16cid:durableId="1856573705">
    <w:abstractNumId w:val="1"/>
  </w:num>
  <w:num w:numId="3" w16cid:durableId="357703499">
    <w:abstractNumId w:val="3"/>
  </w:num>
  <w:num w:numId="4" w16cid:durableId="1869176708">
    <w:abstractNumId w:val="12"/>
  </w:num>
  <w:num w:numId="5" w16cid:durableId="1652950129">
    <w:abstractNumId w:val="6"/>
  </w:num>
  <w:num w:numId="6" w16cid:durableId="1053193207">
    <w:abstractNumId w:val="10"/>
  </w:num>
  <w:num w:numId="7" w16cid:durableId="20113592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1"/>
  </w:num>
  <w:num w:numId="9" w16cid:durableId="173421270">
    <w:abstractNumId w:val="2"/>
  </w:num>
  <w:num w:numId="10" w16cid:durableId="2108043357">
    <w:abstractNumId w:val="5"/>
  </w:num>
  <w:num w:numId="11" w16cid:durableId="1725904230">
    <w:abstractNumId w:val="9"/>
  </w:num>
  <w:num w:numId="12" w16cid:durableId="141579354">
    <w:abstractNumId w:val="13"/>
  </w:num>
  <w:num w:numId="13" w16cid:durableId="283735081">
    <w:abstractNumId w:val="15"/>
  </w:num>
  <w:num w:numId="14" w16cid:durableId="8457137">
    <w:abstractNumId w:val="8"/>
  </w:num>
  <w:num w:numId="15" w16cid:durableId="1846434600">
    <w:abstractNumId w:val="14"/>
  </w:num>
  <w:num w:numId="16" w16cid:durableId="2010448723">
    <w:abstractNumId w:val="7"/>
  </w:num>
  <w:num w:numId="17" w16cid:durableId="129520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1540"/>
    <w:rsid w:val="000019C8"/>
    <w:rsid w:val="00004431"/>
    <w:rsid w:val="00005062"/>
    <w:rsid w:val="00006F47"/>
    <w:rsid w:val="0001064C"/>
    <w:rsid w:val="0001384A"/>
    <w:rsid w:val="00032A0F"/>
    <w:rsid w:val="000343A0"/>
    <w:rsid w:val="000375F0"/>
    <w:rsid w:val="00040D8D"/>
    <w:rsid w:val="000455AC"/>
    <w:rsid w:val="00046423"/>
    <w:rsid w:val="00053F77"/>
    <w:rsid w:val="0005414B"/>
    <w:rsid w:val="00056A53"/>
    <w:rsid w:val="00060610"/>
    <w:rsid w:val="0006086C"/>
    <w:rsid w:val="0006104E"/>
    <w:rsid w:val="000640BD"/>
    <w:rsid w:val="00065839"/>
    <w:rsid w:val="00065FDF"/>
    <w:rsid w:val="00077844"/>
    <w:rsid w:val="000904B4"/>
    <w:rsid w:val="00090510"/>
    <w:rsid w:val="0009070F"/>
    <w:rsid w:val="000917AE"/>
    <w:rsid w:val="00094B81"/>
    <w:rsid w:val="00095604"/>
    <w:rsid w:val="00096FE5"/>
    <w:rsid w:val="000975AA"/>
    <w:rsid w:val="000A085E"/>
    <w:rsid w:val="000A0C74"/>
    <w:rsid w:val="000A178A"/>
    <w:rsid w:val="000A245F"/>
    <w:rsid w:val="000A2E7C"/>
    <w:rsid w:val="000A3EBE"/>
    <w:rsid w:val="000B5197"/>
    <w:rsid w:val="000B6B15"/>
    <w:rsid w:val="000C0794"/>
    <w:rsid w:val="000C25A7"/>
    <w:rsid w:val="000C6207"/>
    <w:rsid w:val="000C7723"/>
    <w:rsid w:val="000D78EC"/>
    <w:rsid w:val="000D7934"/>
    <w:rsid w:val="000E2597"/>
    <w:rsid w:val="000E2724"/>
    <w:rsid w:val="000E511D"/>
    <w:rsid w:val="000E6746"/>
    <w:rsid w:val="000F44E8"/>
    <w:rsid w:val="000F44F3"/>
    <w:rsid w:val="000F7B51"/>
    <w:rsid w:val="00101BEE"/>
    <w:rsid w:val="00101CE6"/>
    <w:rsid w:val="00101FB1"/>
    <w:rsid w:val="0010558A"/>
    <w:rsid w:val="00105DF5"/>
    <w:rsid w:val="001101FF"/>
    <w:rsid w:val="00113F9F"/>
    <w:rsid w:val="0012473C"/>
    <w:rsid w:val="001266BA"/>
    <w:rsid w:val="00127A74"/>
    <w:rsid w:val="0013132F"/>
    <w:rsid w:val="0013306D"/>
    <w:rsid w:val="0013528C"/>
    <w:rsid w:val="00143307"/>
    <w:rsid w:val="00143E37"/>
    <w:rsid w:val="001442A2"/>
    <w:rsid w:val="001468CA"/>
    <w:rsid w:val="001500A8"/>
    <w:rsid w:val="001516B3"/>
    <w:rsid w:val="00155D85"/>
    <w:rsid w:val="00165D28"/>
    <w:rsid w:val="0017005C"/>
    <w:rsid w:val="00171FCE"/>
    <w:rsid w:val="001735DF"/>
    <w:rsid w:val="00175CD8"/>
    <w:rsid w:val="001802E3"/>
    <w:rsid w:val="00182BD8"/>
    <w:rsid w:val="00193608"/>
    <w:rsid w:val="001946BD"/>
    <w:rsid w:val="001A26EE"/>
    <w:rsid w:val="001A76F9"/>
    <w:rsid w:val="001B06FF"/>
    <w:rsid w:val="001B118B"/>
    <w:rsid w:val="001B1703"/>
    <w:rsid w:val="001B6E16"/>
    <w:rsid w:val="001C0CB7"/>
    <w:rsid w:val="001C1C2E"/>
    <w:rsid w:val="001C31A1"/>
    <w:rsid w:val="001C3FA2"/>
    <w:rsid w:val="001C5CE5"/>
    <w:rsid w:val="001C5EE2"/>
    <w:rsid w:val="001D0077"/>
    <w:rsid w:val="001D2F8D"/>
    <w:rsid w:val="001D33AE"/>
    <w:rsid w:val="001D37E5"/>
    <w:rsid w:val="001E0DA5"/>
    <w:rsid w:val="001E407B"/>
    <w:rsid w:val="001E7FC6"/>
    <w:rsid w:val="001F22DC"/>
    <w:rsid w:val="001F2502"/>
    <w:rsid w:val="001F5989"/>
    <w:rsid w:val="001F5B03"/>
    <w:rsid w:val="001F70A5"/>
    <w:rsid w:val="0020235D"/>
    <w:rsid w:val="0020369B"/>
    <w:rsid w:val="00207B4D"/>
    <w:rsid w:val="00210B85"/>
    <w:rsid w:val="00211352"/>
    <w:rsid w:val="002117B1"/>
    <w:rsid w:val="0021401C"/>
    <w:rsid w:val="00217CCE"/>
    <w:rsid w:val="002203B1"/>
    <w:rsid w:val="00220522"/>
    <w:rsid w:val="00226F39"/>
    <w:rsid w:val="002334AD"/>
    <w:rsid w:val="00234770"/>
    <w:rsid w:val="00241B60"/>
    <w:rsid w:val="002449EA"/>
    <w:rsid w:val="002519B0"/>
    <w:rsid w:val="00252730"/>
    <w:rsid w:val="00253353"/>
    <w:rsid w:val="002562FD"/>
    <w:rsid w:val="0025785B"/>
    <w:rsid w:val="00257969"/>
    <w:rsid w:val="0026185F"/>
    <w:rsid w:val="0027662B"/>
    <w:rsid w:val="00280048"/>
    <w:rsid w:val="0028489E"/>
    <w:rsid w:val="002848DE"/>
    <w:rsid w:val="00284E21"/>
    <w:rsid w:val="00284E9F"/>
    <w:rsid w:val="0028794E"/>
    <w:rsid w:val="0029608F"/>
    <w:rsid w:val="002A5841"/>
    <w:rsid w:val="002B1EDF"/>
    <w:rsid w:val="002B2061"/>
    <w:rsid w:val="002C1232"/>
    <w:rsid w:val="002C1E44"/>
    <w:rsid w:val="002C5C92"/>
    <w:rsid w:val="002C5E29"/>
    <w:rsid w:val="002C6119"/>
    <w:rsid w:val="002D0478"/>
    <w:rsid w:val="002D7127"/>
    <w:rsid w:val="002F189A"/>
    <w:rsid w:val="002F599E"/>
    <w:rsid w:val="003008D8"/>
    <w:rsid w:val="003009E7"/>
    <w:rsid w:val="00301D9A"/>
    <w:rsid w:val="00303959"/>
    <w:rsid w:val="00306E72"/>
    <w:rsid w:val="00312AC3"/>
    <w:rsid w:val="00314430"/>
    <w:rsid w:val="003163BC"/>
    <w:rsid w:val="0032351A"/>
    <w:rsid w:val="00324B33"/>
    <w:rsid w:val="00327488"/>
    <w:rsid w:val="00336FE1"/>
    <w:rsid w:val="00342D56"/>
    <w:rsid w:val="00344C1E"/>
    <w:rsid w:val="003456E7"/>
    <w:rsid w:val="00346EC2"/>
    <w:rsid w:val="003477F9"/>
    <w:rsid w:val="0035076A"/>
    <w:rsid w:val="0035444D"/>
    <w:rsid w:val="00356D62"/>
    <w:rsid w:val="003572E7"/>
    <w:rsid w:val="00363EE3"/>
    <w:rsid w:val="00367543"/>
    <w:rsid w:val="003735F3"/>
    <w:rsid w:val="0037392B"/>
    <w:rsid w:val="00374729"/>
    <w:rsid w:val="00374F1F"/>
    <w:rsid w:val="00375013"/>
    <w:rsid w:val="00387298"/>
    <w:rsid w:val="00387631"/>
    <w:rsid w:val="00387984"/>
    <w:rsid w:val="00395140"/>
    <w:rsid w:val="003A1DDF"/>
    <w:rsid w:val="003A2422"/>
    <w:rsid w:val="003A5E96"/>
    <w:rsid w:val="003A78D3"/>
    <w:rsid w:val="003B149C"/>
    <w:rsid w:val="003B2158"/>
    <w:rsid w:val="003B420E"/>
    <w:rsid w:val="003B6302"/>
    <w:rsid w:val="003B7161"/>
    <w:rsid w:val="003B7E73"/>
    <w:rsid w:val="003C0FDB"/>
    <w:rsid w:val="003C1192"/>
    <w:rsid w:val="003C21B9"/>
    <w:rsid w:val="003C55E2"/>
    <w:rsid w:val="003C63D5"/>
    <w:rsid w:val="003C7AA8"/>
    <w:rsid w:val="003D71A1"/>
    <w:rsid w:val="003E14DC"/>
    <w:rsid w:val="003E1BBC"/>
    <w:rsid w:val="00407F4E"/>
    <w:rsid w:val="00412509"/>
    <w:rsid w:val="00413BCA"/>
    <w:rsid w:val="00414CD5"/>
    <w:rsid w:val="00415CB7"/>
    <w:rsid w:val="0041688F"/>
    <w:rsid w:val="0042376F"/>
    <w:rsid w:val="00423B61"/>
    <w:rsid w:val="004246B8"/>
    <w:rsid w:val="004248F1"/>
    <w:rsid w:val="00433318"/>
    <w:rsid w:val="00442A56"/>
    <w:rsid w:val="004444B0"/>
    <w:rsid w:val="0045060B"/>
    <w:rsid w:val="004626FF"/>
    <w:rsid w:val="00470A52"/>
    <w:rsid w:val="00471BD5"/>
    <w:rsid w:val="0047698B"/>
    <w:rsid w:val="00477C4E"/>
    <w:rsid w:val="00477F07"/>
    <w:rsid w:val="00481503"/>
    <w:rsid w:val="00481D12"/>
    <w:rsid w:val="004854A6"/>
    <w:rsid w:val="00491A55"/>
    <w:rsid w:val="00494C3E"/>
    <w:rsid w:val="00497DF1"/>
    <w:rsid w:val="004A1C40"/>
    <w:rsid w:val="004A318E"/>
    <w:rsid w:val="004A57E8"/>
    <w:rsid w:val="004B2773"/>
    <w:rsid w:val="004B3081"/>
    <w:rsid w:val="004B4A09"/>
    <w:rsid w:val="004C41CE"/>
    <w:rsid w:val="004C617F"/>
    <w:rsid w:val="004C631B"/>
    <w:rsid w:val="004D2F00"/>
    <w:rsid w:val="004D31D8"/>
    <w:rsid w:val="004D41F2"/>
    <w:rsid w:val="004D480D"/>
    <w:rsid w:val="004D5388"/>
    <w:rsid w:val="004D6D5C"/>
    <w:rsid w:val="004E2269"/>
    <w:rsid w:val="004E7F16"/>
    <w:rsid w:val="004E7F94"/>
    <w:rsid w:val="004F18EC"/>
    <w:rsid w:val="004F23E7"/>
    <w:rsid w:val="00500D68"/>
    <w:rsid w:val="00501F40"/>
    <w:rsid w:val="005103C3"/>
    <w:rsid w:val="00510426"/>
    <w:rsid w:val="00516C0E"/>
    <w:rsid w:val="00524B84"/>
    <w:rsid w:val="00530428"/>
    <w:rsid w:val="0053377D"/>
    <w:rsid w:val="00535DFE"/>
    <w:rsid w:val="005373B5"/>
    <w:rsid w:val="00537AAA"/>
    <w:rsid w:val="00537AB7"/>
    <w:rsid w:val="0054669B"/>
    <w:rsid w:val="0055213D"/>
    <w:rsid w:val="005610D1"/>
    <w:rsid w:val="0056284C"/>
    <w:rsid w:val="00562F42"/>
    <w:rsid w:val="00564B3B"/>
    <w:rsid w:val="00565739"/>
    <w:rsid w:val="0056766D"/>
    <w:rsid w:val="00575215"/>
    <w:rsid w:val="0057601D"/>
    <w:rsid w:val="0058575E"/>
    <w:rsid w:val="0058783C"/>
    <w:rsid w:val="005911AE"/>
    <w:rsid w:val="005926E2"/>
    <w:rsid w:val="0059313A"/>
    <w:rsid w:val="0059443A"/>
    <w:rsid w:val="00595D41"/>
    <w:rsid w:val="005A3AEC"/>
    <w:rsid w:val="005A54EA"/>
    <w:rsid w:val="005B023F"/>
    <w:rsid w:val="005B02A2"/>
    <w:rsid w:val="005B1417"/>
    <w:rsid w:val="005B429A"/>
    <w:rsid w:val="005B5DED"/>
    <w:rsid w:val="005B61D8"/>
    <w:rsid w:val="005B6613"/>
    <w:rsid w:val="005B69CF"/>
    <w:rsid w:val="005C1126"/>
    <w:rsid w:val="005C3F07"/>
    <w:rsid w:val="005C45DB"/>
    <w:rsid w:val="005C4B46"/>
    <w:rsid w:val="005C5DC5"/>
    <w:rsid w:val="005D14CA"/>
    <w:rsid w:val="005D2089"/>
    <w:rsid w:val="005D7514"/>
    <w:rsid w:val="005E0FC6"/>
    <w:rsid w:val="005E1A7B"/>
    <w:rsid w:val="005E231F"/>
    <w:rsid w:val="005E3B1C"/>
    <w:rsid w:val="005F58DB"/>
    <w:rsid w:val="00602D6E"/>
    <w:rsid w:val="00605C05"/>
    <w:rsid w:val="00611351"/>
    <w:rsid w:val="00611EA7"/>
    <w:rsid w:val="0061217D"/>
    <w:rsid w:val="006178C7"/>
    <w:rsid w:val="00623C8A"/>
    <w:rsid w:val="00625B2C"/>
    <w:rsid w:val="00625F74"/>
    <w:rsid w:val="006277A1"/>
    <w:rsid w:val="00633BD7"/>
    <w:rsid w:val="00634580"/>
    <w:rsid w:val="00634884"/>
    <w:rsid w:val="006351D9"/>
    <w:rsid w:val="00637130"/>
    <w:rsid w:val="00637F0E"/>
    <w:rsid w:val="006423F2"/>
    <w:rsid w:val="00644087"/>
    <w:rsid w:val="00650234"/>
    <w:rsid w:val="00650A0B"/>
    <w:rsid w:val="006522F5"/>
    <w:rsid w:val="00654BC7"/>
    <w:rsid w:val="0066044B"/>
    <w:rsid w:val="006630AA"/>
    <w:rsid w:val="00663544"/>
    <w:rsid w:val="00666539"/>
    <w:rsid w:val="00666911"/>
    <w:rsid w:val="00675F81"/>
    <w:rsid w:val="0067671A"/>
    <w:rsid w:val="00680D37"/>
    <w:rsid w:val="0068113B"/>
    <w:rsid w:val="0068143E"/>
    <w:rsid w:val="0068507D"/>
    <w:rsid w:val="00691AF2"/>
    <w:rsid w:val="00692B80"/>
    <w:rsid w:val="00692CCD"/>
    <w:rsid w:val="00692D51"/>
    <w:rsid w:val="0069377B"/>
    <w:rsid w:val="00694DD7"/>
    <w:rsid w:val="0069636B"/>
    <w:rsid w:val="00696912"/>
    <w:rsid w:val="006A15B5"/>
    <w:rsid w:val="006A1762"/>
    <w:rsid w:val="006A1F0B"/>
    <w:rsid w:val="006A277A"/>
    <w:rsid w:val="006A5973"/>
    <w:rsid w:val="006B5B27"/>
    <w:rsid w:val="006B7126"/>
    <w:rsid w:val="006B7659"/>
    <w:rsid w:val="006C401E"/>
    <w:rsid w:val="006C4BD7"/>
    <w:rsid w:val="006C604E"/>
    <w:rsid w:val="006C6B86"/>
    <w:rsid w:val="006D4553"/>
    <w:rsid w:val="006D4A35"/>
    <w:rsid w:val="006D6B44"/>
    <w:rsid w:val="006E27FE"/>
    <w:rsid w:val="00701110"/>
    <w:rsid w:val="00702E91"/>
    <w:rsid w:val="0070330F"/>
    <w:rsid w:val="00703624"/>
    <w:rsid w:val="007046ED"/>
    <w:rsid w:val="007072A1"/>
    <w:rsid w:val="007076FA"/>
    <w:rsid w:val="00710BC5"/>
    <w:rsid w:val="007121CA"/>
    <w:rsid w:val="0072003B"/>
    <w:rsid w:val="00721059"/>
    <w:rsid w:val="007211E6"/>
    <w:rsid w:val="007220C4"/>
    <w:rsid w:val="00722288"/>
    <w:rsid w:val="00732361"/>
    <w:rsid w:val="00734E00"/>
    <w:rsid w:val="007350A1"/>
    <w:rsid w:val="00735371"/>
    <w:rsid w:val="007357B9"/>
    <w:rsid w:val="00735D19"/>
    <w:rsid w:val="00741AB9"/>
    <w:rsid w:val="00742D03"/>
    <w:rsid w:val="00744216"/>
    <w:rsid w:val="007452E8"/>
    <w:rsid w:val="00746990"/>
    <w:rsid w:val="00747093"/>
    <w:rsid w:val="0075020F"/>
    <w:rsid w:val="00750D70"/>
    <w:rsid w:val="00750DBC"/>
    <w:rsid w:val="00752AC0"/>
    <w:rsid w:val="007575D0"/>
    <w:rsid w:val="007620F0"/>
    <w:rsid w:val="00764792"/>
    <w:rsid w:val="007662E0"/>
    <w:rsid w:val="00767AE3"/>
    <w:rsid w:val="00776E9C"/>
    <w:rsid w:val="007816D8"/>
    <w:rsid w:val="00783ABB"/>
    <w:rsid w:val="00784150"/>
    <w:rsid w:val="007874CC"/>
    <w:rsid w:val="00793272"/>
    <w:rsid w:val="0079499A"/>
    <w:rsid w:val="00794B64"/>
    <w:rsid w:val="007967C3"/>
    <w:rsid w:val="007A0A33"/>
    <w:rsid w:val="007A6A36"/>
    <w:rsid w:val="007B04DE"/>
    <w:rsid w:val="007B0AE6"/>
    <w:rsid w:val="007C0F0B"/>
    <w:rsid w:val="007C1152"/>
    <w:rsid w:val="007C57BC"/>
    <w:rsid w:val="007C6D75"/>
    <w:rsid w:val="007D04CA"/>
    <w:rsid w:val="007D0A2B"/>
    <w:rsid w:val="007D12A1"/>
    <w:rsid w:val="007D13A9"/>
    <w:rsid w:val="007D40E5"/>
    <w:rsid w:val="007D4138"/>
    <w:rsid w:val="007E4178"/>
    <w:rsid w:val="007F0A77"/>
    <w:rsid w:val="007F0B09"/>
    <w:rsid w:val="007F1E37"/>
    <w:rsid w:val="007F50D3"/>
    <w:rsid w:val="007F5E86"/>
    <w:rsid w:val="007F6B1F"/>
    <w:rsid w:val="00803E04"/>
    <w:rsid w:val="00804897"/>
    <w:rsid w:val="0081079B"/>
    <w:rsid w:val="00824BD8"/>
    <w:rsid w:val="00826DDF"/>
    <w:rsid w:val="00827CB0"/>
    <w:rsid w:val="008329DB"/>
    <w:rsid w:val="008361C5"/>
    <w:rsid w:val="0083628F"/>
    <w:rsid w:val="00837AB9"/>
    <w:rsid w:val="00840293"/>
    <w:rsid w:val="008408A6"/>
    <w:rsid w:val="00850637"/>
    <w:rsid w:val="00854D98"/>
    <w:rsid w:val="0085751E"/>
    <w:rsid w:val="00860B29"/>
    <w:rsid w:val="008622E8"/>
    <w:rsid w:val="00863E8A"/>
    <w:rsid w:val="008645EE"/>
    <w:rsid w:val="00866083"/>
    <w:rsid w:val="00870144"/>
    <w:rsid w:val="008708EE"/>
    <w:rsid w:val="00873D7A"/>
    <w:rsid w:val="00874337"/>
    <w:rsid w:val="00874D96"/>
    <w:rsid w:val="00875791"/>
    <w:rsid w:val="0087738C"/>
    <w:rsid w:val="00877CB3"/>
    <w:rsid w:val="008804CF"/>
    <w:rsid w:val="00882D58"/>
    <w:rsid w:val="00882F19"/>
    <w:rsid w:val="008834A0"/>
    <w:rsid w:val="00883D35"/>
    <w:rsid w:val="00884569"/>
    <w:rsid w:val="00887A51"/>
    <w:rsid w:val="00890D9B"/>
    <w:rsid w:val="00891C6C"/>
    <w:rsid w:val="00893CCD"/>
    <w:rsid w:val="008964B3"/>
    <w:rsid w:val="008A7C47"/>
    <w:rsid w:val="008B1CB5"/>
    <w:rsid w:val="008B3975"/>
    <w:rsid w:val="008C0B07"/>
    <w:rsid w:val="008C2D69"/>
    <w:rsid w:val="008C49C6"/>
    <w:rsid w:val="008C754C"/>
    <w:rsid w:val="008D0BBD"/>
    <w:rsid w:val="008D56C9"/>
    <w:rsid w:val="008D6A54"/>
    <w:rsid w:val="008E2585"/>
    <w:rsid w:val="008E2D7A"/>
    <w:rsid w:val="008E4C7D"/>
    <w:rsid w:val="008F1E51"/>
    <w:rsid w:val="008F3215"/>
    <w:rsid w:val="008F40D4"/>
    <w:rsid w:val="008F4412"/>
    <w:rsid w:val="008F4A62"/>
    <w:rsid w:val="008F668B"/>
    <w:rsid w:val="008F7256"/>
    <w:rsid w:val="0090054A"/>
    <w:rsid w:val="009016C2"/>
    <w:rsid w:val="0090424C"/>
    <w:rsid w:val="0090605E"/>
    <w:rsid w:val="009076FB"/>
    <w:rsid w:val="009108CE"/>
    <w:rsid w:val="00912940"/>
    <w:rsid w:val="00915A9F"/>
    <w:rsid w:val="00921772"/>
    <w:rsid w:val="00924721"/>
    <w:rsid w:val="00930D58"/>
    <w:rsid w:val="00935AAA"/>
    <w:rsid w:val="0095031E"/>
    <w:rsid w:val="00954297"/>
    <w:rsid w:val="00960A56"/>
    <w:rsid w:val="00966EF1"/>
    <w:rsid w:val="00967223"/>
    <w:rsid w:val="009751F7"/>
    <w:rsid w:val="00976C60"/>
    <w:rsid w:val="0098350E"/>
    <w:rsid w:val="0099404F"/>
    <w:rsid w:val="00996FA5"/>
    <w:rsid w:val="009A1E42"/>
    <w:rsid w:val="009B1D66"/>
    <w:rsid w:val="009B5662"/>
    <w:rsid w:val="009C2211"/>
    <w:rsid w:val="009C40E8"/>
    <w:rsid w:val="009C45C5"/>
    <w:rsid w:val="009E17FB"/>
    <w:rsid w:val="009E3553"/>
    <w:rsid w:val="009E6858"/>
    <w:rsid w:val="009E6F8C"/>
    <w:rsid w:val="009F405F"/>
    <w:rsid w:val="00A01C3F"/>
    <w:rsid w:val="00A01C56"/>
    <w:rsid w:val="00A03ACD"/>
    <w:rsid w:val="00A11E61"/>
    <w:rsid w:val="00A216CA"/>
    <w:rsid w:val="00A25E6E"/>
    <w:rsid w:val="00A2720D"/>
    <w:rsid w:val="00A32C50"/>
    <w:rsid w:val="00A358E7"/>
    <w:rsid w:val="00A4380B"/>
    <w:rsid w:val="00A51A2D"/>
    <w:rsid w:val="00A524C3"/>
    <w:rsid w:val="00A55316"/>
    <w:rsid w:val="00A5596B"/>
    <w:rsid w:val="00A6000F"/>
    <w:rsid w:val="00A63C07"/>
    <w:rsid w:val="00A63D9B"/>
    <w:rsid w:val="00A704DC"/>
    <w:rsid w:val="00A774FD"/>
    <w:rsid w:val="00A91285"/>
    <w:rsid w:val="00A91D38"/>
    <w:rsid w:val="00A93DC6"/>
    <w:rsid w:val="00A9411A"/>
    <w:rsid w:val="00AA20F3"/>
    <w:rsid w:val="00AA4A4B"/>
    <w:rsid w:val="00AA6682"/>
    <w:rsid w:val="00AB0613"/>
    <w:rsid w:val="00AB3D97"/>
    <w:rsid w:val="00AB7C5C"/>
    <w:rsid w:val="00AB7CBF"/>
    <w:rsid w:val="00AD0111"/>
    <w:rsid w:val="00AD1F00"/>
    <w:rsid w:val="00AD3018"/>
    <w:rsid w:val="00AD4C72"/>
    <w:rsid w:val="00AD5451"/>
    <w:rsid w:val="00AE1947"/>
    <w:rsid w:val="00AE2892"/>
    <w:rsid w:val="00AE2A66"/>
    <w:rsid w:val="00AE6D5C"/>
    <w:rsid w:val="00AF1211"/>
    <w:rsid w:val="00AF1C8B"/>
    <w:rsid w:val="00AF299B"/>
    <w:rsid w:val="00AF2E65"/>
    <w:rsid w:val="00AF7E43"/>
    <w:rsid w:val="00B02AE0"/>
    <w:rsid w:val="00B044EF"/>
    <w:rsid w:val="00B05326"/>
    <w:rsid w:val="00B07163"/>
    <w:rsid w:val="00B14545"/>
    <w:rsid w:val="00B14E60"/>
    <w:rsid w:val="00B17BA2"/>
    <w:rsid w:val="00B17EA6"/>
    <w:rsid w:val="00B24C1D"/>
    <w:rsid w:val="00B26DC3"/>
    <w:rsid w:val="00B30B9D"/>
    <w:rsid w:val="00B37FB4"/>
    <w:rsid w:val="00B4100F"/>
    <w:rsid w:val="00B4574D"/>
    <w:rsid w:val="00B468E1"/>
    <w:rsid w:val="00B46BC0"/>
    <w:rsid w:val="00B46DFB"/>
    <w:rsid w:val="00B5141B"/>
    <w:rsid w:val="00B53679"/>
    <w:rsid w:val="00B544BB"/>
    <w:rsid w:val="00B55681"/>
    <w:rsid w:val="00B57AAD"/>
    <w:rsid w:val="00B65C68"/>
    <w:rsid w:val="00B72747"/>
    <w:rsid w:val="00B72B16"/>
    <w:rsid w:val="00B80408"/>
    <w:rsid w:val="00B80D2A"/>
    <w:rsid w:val="00B80FB1"/>
    <w:rsid w:val="00B81397"/>
    <w:rsid w:val="00B81B3E"/>
    <w:rsid w:val="00B81EFE"/>
    <w:rsid w:val="00B925DB"/>
    <w:rsid w:val="00B967FF"/>
    <w:rsid w:val="00B974B9"/>
    <w:rsid w:val="00BA221C"/>
    <w:rsid w:val="00BA3F6D"/>
    <w:rsid w:val="00BA4BE6"/>
    <w:rsid w:val="00BA4FC0"/>
    <w:rsid w:val="00BA61E0"/>
    <w:rsid w:val="00BA7F7D"/>
    <w:rsid w:val="00BB12AB"/>
    <w:rsid w:val="00BB1C14"/>
    <w:rsid w:val="00BB6847"/>
    <w:rsid w:val="00BB703F"/>
    <w:rsid w:val="00BB7F8F"/>
    <w:rsid w:val="00BC716A"/>
    <w:rsid w:val="00BD07DF"/>
    <w:rsid w:val="00BD26F4"/>
    <w:rsid w:val="00BD5DBD"/>
    <w:rsid w:val="00BD5DF6"/>
    <w:rsid w:val="00BE0041"/>
    <w:rsid w:val="00BE229E"/>
    <w:rsid w:val="00BE640F"/>
    <w:rsid w:val="00BF01E3"/>
    <w:rsid w:val="00BF4638"/>
    <w:rsid w:val="00BF5C2B"/>
    <w:rsid w:val="00BF6BF6"/>
    <w:rsid w:val="00C059D0"/>
    <w:rsid w:val="00C06F29"/>
    <w:rsid w:val="00C07551"/>
    <w:rsid w:val="00C1109F"/>
    <w:rsid w:val="00C125ED"/>
    <w:rsid w:val="00C12D65"/>
    <w:rsid w:val="00C133AB"/>
    <w:rsid w:val="00C13EC3"/>
    <w:rsid w:val="00C14534"/>
    <w:rsid w:val="00C20B56"/>
    <w:rsid w:val="00C21453"/>
    <w:rsid w:val="00C22214"/>
    <w:rsid w:val="00C26F72"/>
    <w:rsid w:val="00C270F3"/>
    <w:rsid w:val="00C309A7"/>
    <w:rsid w:val="00C335AB"/>
    <w:rsid w:val="00C34932"/>
    <w:rsid w:val="00C407AB"/>
    <w:rsid w:val="00C466C3"/>
    <w:rsid w:val="00C468B9"/>
    <w:rsid w:val="00C52B7B"/>
    <w:rsid w:val="00C547CD"/>
    <w:rsid w:val="00C570FF"/>
    <w:rsid w:val="00C57CEA"/>
    <w:rsid w:val="00C60FEC"/>
    <w:rsid w:val="00C6574E"/>
    <w:rsid w:val="00C6605C"/>
    <w:rsid w:val="00C707FD"/>
    <w:rsid w:val="00C762C1"/>
    <w:rsid w:val="00C76DEB"/>
    <w:rsid w:val="00C816C6"/>
    <w:rsid w:val="00C834FE"/>
    <w:rsid w:val="00C863A7"/>
    <w:rsid w:val="00C875B0"/>
    <w:rsid w:val="00C911E1"/>
    <w:rsid w:val="00C912F4"/>
    <w:rsid w:val="00C9153D"/>
    <w:rsid w:val="00C9156F"/>
    <w:rsid w:val="00C923C4"/>
    <w:rsid w:val="00C938EA"/>
    <w:rsid w:val="00C9581A"/>
    <w:rsid w:val="00C97D29"/>
    <w:rsid w:val="00CB0550"/>
    <w:rsid w:val="00CB607B"/>
    <w:rsid w:val="00CB6813"/>
    <w:rsid w:val="00CC393D"/>
    <w:rsid w:val="00CD3DFD"/>
    <w:rsid w:val="00CE0E84"/>
    <w:rsid w:val="00CF6A55"/>
    <w:rsid w:val="00CF6DC6"/>
    <w:rsid w:val="00CF6DCF"/>
    <w:rsid w:val="00CF7252"/>
    <w:rsid w:val="00D01DDB"/>
    <w:rsid w:val="00D078BE"/>
    <w:rsid w:val="00D13F8A"/>
    <w:rsid w:val="00D16F60"/>
    <w:rsid w:val="00D22981"/>
    <w:rsid w:val="00D26EEB"/>
    <w:rsid w:val="00D3349B"/>
    <w:rsid w:val="00D36904"/>
    <w:rsid w:val="00D375CD"/>
    <w:rsid w:val="00D4245F"/>
    <w:rsid w:val="00D424A8"/>
    <w:rsid w:val="00D4547F"/>
    <w:rsid w:val="00D6036F"/>
    <w:rsid w:val="00D62449"/>
    <w:rsid w:val="00D62877"/>
    <w:rsid w:val="00D63760"/>
    <w:rsid w:val="00D6703F"/>
    <w:rsid w:val="00D67706"/>
    <w:rsid w:val="00D71E32"/>
    <w:rsid w:val="00D734EB"/>
    <w:rsid w:val="00D7480C"/>
    <w:rsid w:val="00D76427"/>
    <w:rsid w:val="00D82713"/>
    <w:rsid w:val="00D85E6F"/>
    <w:rsid w:val="00D86F00"/>
    <w:rsid w:val="00D918D5"/>
    <w:rsid w:val="00D9340C"/>
    <w:rsid w:val="00D94C1E"/>
    <w:rsid w:val="00D94C8E"/>
    <w:rsid w:val="00DA48E1"/>
    <w:rsid w:val="00DB1372"/>
    <w:rsid w:val="00DB192C"/>
    <w:rsid w:val="00DB1CF3"/>
    <w:rsid w:val="00DB5425"/>
    <w:rsid w:val="00DB72A6"/>
    <w:rsid w:val="00DC34D8"/>
    <w:rsid w:val="00DC6611"/>
    <w:rsid w:val="00DD1CF7"/>
    <w:rsid w:val="00DE1344"/>
    <w:rsid w:val="00DE19EE"/>
    <w:rsid w:val="00DE6A52"/>
    <w:rsid w:val="00DF1C50"/>
    <w:rsid w:val="00DF5BFE"/>
    <w:rsid w:val="00E0523F"/>
    <w:rsid w:val="00E06A33"/>
    <w:rsid w:val="00E11060"/>
    <w:rsid w:val="00E22C04"/>
    <w:rsid w:val="00E23E50"/>
    <w:rsid w:val="00E26213"/>
    <w:rsid w:val="00E274DF"/>
    <w:rsid w:val="00E31A84"/>
    <w:rsid w:val="00E34D66"/>
    <w:rsid w:val="00E362C4"/>
    <w:rsid w:val="00E46CC2"/>
    <w:rsid w:val="00E470CF"/>
    <w:rsid w:val="00E47E0C"/>
    <w:rsid w:val="00E51813"/>
    <w:rsid w:val="00E52C0B"/>
    <w:rsid w:val="00E53D3F"/>
    <w:rsid w:val="00E5579B"/>
    <w:rsid w:val="00E57FF4"/>
    <w:rsid w:val="00E60D45"/>
    <w:rsid w:val="00E626FB"/>
    <w:rsid w:val="00E65E03"/>
    <w:rsid w:val="00E6674D"/>
    <w:rsid w:val="00E679D1"/>
    <w:rsid w:val="00E67C1C"/>
    <w:rsid w:val="00E75A6F"/>
    <w:rsid w:val="00E82F1A"/>
    <w:rsid w:val="00E873F0"/>
    <w:rsid w:val="00E91B33"/>
    <w:rsid w:val="00E91F11"/>
    <w:rsid w:val="00E9706D"/>
    <w:rsid w:val="00EA328A"/>
    <w:rsid w:val="00EA3AF4"/>
    <w:rsid w:val="00EA7742"/>
    <w:rsid w:val="00EB2CEC"/>
    <w:rsid w:val="00EC0422"/>
    <w:rsid w:val="00EC136F"/>
    <w:rsid w:val="00EC1F77"/>
    <w:rsid w:val="00ED018B"/>
    <w:rsid w:val="00EE5693"/>
    <w:rsid w:val="00EF3F0B"/>
    <w:rsid w:val="00EF5583"/>
    <w:rsid w:val="00F0289D"/>
    <w:rsid w:val="00F02AEC"/>
    <w:rsid w:val="00F03603"/>
    <w:rsid w:val="00F07572"/>
    <w:rsid w:val="00F157FC"/>
    <w:rsid w:val="00F202F9"/>
    <w:rsid w:val="00F30AF3"/>
    <w:rsid w:val="00F40079"/>
    <w:rsid w:val="00F400E4"/>
    <w:rsid w:val="00F43CD1"/>
    <w:rsid w:val="00F45AE0"/>
    <w:rsid w:val="00F52BA6"/>
    <w:rsid w:val="00F60CF2"/>
    <w:rsid w:val="00F657B4"/>
    <w:rsid w:val="00F7649F"/>
    <w:rsid w:val="00F76E3E"/>
    <w:rsid w:val="00F8083B"/>
    <w:rsid w:val="00F865A7"/>
    <w:rsid w:val="00F871C3"/>
    <w:rsid w:val="00F956CF"/>
    <w:rsid w:val="00FA0754"/>
    <w:rsid w:val="00FA1BC9"/>
    <w:rsid w:val="00FA49C3"/>
    <w:rsid w:val="00FA6027"/>
    <w:rsid w:val="00FA6B92"/>
    <w:rsid w:val="00FB236E"/>
    <w:rsid w:val="00FB3F7B"/>
    <w:rsid w:val="00FB4C2A"/>
    <w:rsid w:val="00FC19E8"/>
    <w:rsid w:val="00FC2107"/>
    <w:rsid w:val="00FC48FE"/>
    <w:rsid w:val="00FC6F56"/>
    <w:rsid w:val="00FD30AA"/>
    <w:rsid w:val="00FE087C"/>
    <w:rsid w:val="00FE504D"/>
    <w:rsid w:val="00FE70FC"/>
    <w:rsid w:val="00FE79A0"/>
    <w:rsid w:val="00FF0939"/>
    <w:rsid w:val="00FF3577"/>
    <w:rsid w:val="00FF36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414B"/>
    <w:rPr>
      <w:rFonts w:ascii="Cambria" w:hAnsi="Cambria"/>
      <w:sz w:val="22"/>
    </w:rPr>
  </w:style>
  <w:style w:type="paragraph" w:styleId="Heading1">
    <w:name w:val="heading 1"/>
    <w:basedOn w:val="Normal"/>
    <w:next w:val="Normal"/>
    <w:link w:val="Heading1Char"/>
    <w:uiPriority w:val="9"/>
    <w:qFormat/>
    <w:rsid w:val="00FA602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autoRedefine/>
    <w:uiPriority w:val="34"/>
    <w:qFormat/>
    <w:rsid w:val="000C6207"/>
    <w:pPr>
      <w:spacing w:after="160"/>
      <w:ind w:left="720"/>
      <w:contextualSpacing/>
    </w:pPr>
    <w:rPr>
      <w:rFonts w:cs="Times New Roman"/>
      <w:szCs w:val="24"/>
    </w:rPr>
  </w:style>
  <w:style w:type="character" w:customStyle="1" w:styleId="ListParagraphChar">
    <w:name w:val="List Paragraph Char"/>
    <w:basedOn w:val="DefaultParagraphFont"/>
    <w:link w:val="ListParagraph"/>
    <w:uiPriority w:val="34"/>
    <w:locked/>
    <w:rsid w:val="000C6207"/>
    <w:rPr>
      <w:rFonts w:ascii="Cambria" w:hAnsi="Cambria" w:cs="Times New Roman"/>
      <w:sz w:val="22"/>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customStyle="1" w:styleId="Default">
    <w:name w:val="Default"/>
    <w:rsid w:val="002562FD"/>
    <w:pPr>
      <w:autoSpaceDE w:val="0"/>
      <w:autoSpaceDN w:val="0"/>
      <w:adjustRightInd w:val="0"/>
      <w:spacing w:after="0" w:line="240" w:lineRule="auto"/>
    </w:pPr>
    <w:rPr>
      <w:rFonts w:ascii="Cambria" w:hAnsi="Cambria" w:cs="Cambria"/>
      <w:color w:val="000000"/>
      <w:sz w:val="24"/>
      <w:szCs w:val="24"/>
    </w:rPr>
  </w:style>
  <w:style w:type="character" w:customStyle="1" w:styleId="Heading1Char">
    <w:name w:val="Heading 1 Char"/>
    <w:basedOn w:val="DefaultParagraphFont"/>
    <w:link w:val="Heading1"/>
    <w:uiPriority w:val="9"/>
    <w:rsid w:val="00FA602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054027">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936716999">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790733467">
      <w:bodyDiv w:val="1"/>
      <w:marLeft w:val="0"/>
      <w:marRight w:val="0"/>
      <w:marTop w:val="0"/>
      <w:marBottom w:val="0"/>
      <w:divBdr>
        <w:top w:val="none" w:sz="0" w:space="0" w:color="auto"/>
        <w:left w:val="none" w:sz="0" w:space="0" w:color="auto"/>
        <w:bottom w:val="none" w:sz="0" w:space="0" w:color="auto"/>
        <w:right w:val="none" w:sz="0" w:space="0" w:color="auto"/>
      </w:divBdr>
    </w:div>
    <w:div w:id="2124230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black-triangle-scheme" TargetMode="External"/><Relationship Id="rId26" Type="http://schemas.openxmlformats.org/officeDocument/2006/relationships/image" Target="media/image6.png"/><Relationship Id="rId39" Type="http://schemas.microsoft.com/office/2007/relationships/hdphoto" Target="media/hdphoto2.wdp"/><Relationship Id="rId3" Type="http://schemas.openxmlformats.org/officeDocument/2006/relationships/customXml" Target="../customXml/item3.xml"/><Relationship Id="rId21" Type="http://schemas.openxmlformats.org/officeDocument/2006/relationships/hyperlink" Target="https://www.tga.gov.au/comparable-overseas-regulators-cors-timeframes-and-milestones" TargetMode="External"/><Relationship Id="rId34" Type="http://schemas.openxmlformats.org/officeDocument/2006/relationships/image" Target="media/image13.png"/><Relationship Id="rId42" Type="http://schemas.openxmlformats.org/officeDocument/2006/relationships/hyperlink" Target="https://www.tga.gov.au/products/australian-register-therapeutic-goods-artg/product-information-one" TargetMode="External"/><Relationship Id="rId47" Type="http://schemas.openxmlformats.org/officeDocument/2006/relationships/footer" Target="footer3.xml"/><Relationship Id="rId50"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image" Target="media/image5.png"/><Relationship Id="rId33" Type="http://schemas.openxmlformats.org/officeDocument/2006/relationships/image" Target="media/image12.emf"/><Relationship Id="rId38" Type="http://schemas.openxmlformats.org/officeDocument/2006/relationships/image" Target="media/image17.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0" Type="http://schemas.openxmlformats.org/officeDocument/2006/relationships/hyperlink" Target="https://www.tga.gov.au/obstetric-drug-information-services" TargetMode="External"/><Relationship Id="rId29" Type="http://schemas.openxmlformats.org/officeDocument/2006/relationships/image" Target="media/image9.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1.emf"/><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hyperlink" Target="https://www.tga.gov.au/picmi-search-facility"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hyperlink" Target="https://www.tga.gov.au/resources/resource/guidance/orphan-drug-designation" TargetMode="External"/><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hyperlink" Target="https://www.tga.gov.au" TargetMode="External"/><Relationship Id="rId10" Type="http://schemas.openxmlformats.org/officeDocument/2006/relationships/endnotes" Target="endnotes.xml"/><Relationship Id="rId19" Type="http://schemas.openxmlformats.org/officeDocument/2006/relationships/hyperlink" Target="https://www.tga.gov.au/products/medicines/find-information-about-medicine/prescribing-medicines-pregnancy-database" TargetMode="External"/><Relationship Id="rId31" Type="http://schemas.microsoft.com/office/2007/relationships/hdphoto" Target="media/hdphoto1.wdp"/><Relationship Id="rId44" Type="http://schemas.openxmlformats.org/officeDocument/2006/relationships/hyperlink" Target="https://www.tga.gov.au/products/australian-register-therapeutic-goods-artg/consumer-medicines-information-cmi"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how-we-regulate/supply-therapeutic-good-0/supply-prescription-medicine/application-process/prescription-medicines-registration-process" TargetMode="External"/><Relationship Id="rId27" Type="http://schemas.openxmlformats.org/officeDocument/2006/relationships/image" Target="media/image7.emf"/><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hyperlink" Target="https://www.tga.gov.au/products/australian-register-therapeutic-goods-artg/product-information-one" TargetMode="External"/><Relationship Id="rId48" Type="http://schemas.openxmlformats.org/officeDocument/2006/relationships/hyperlink" Target="mailto:info@tga.gov.au" TargetMode="External"/><Relationship Id="rId8" Type="http://schemas.openxmlformats.org/officeDocument/2006/relationships/webSettings" Target="webSettings.xml"/><Relationship Id="rId51" Type="http://schemas.openxmlformats.org/officeDocument/2006/relationships/footer" Target="footer4.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9e442c4-0d36-402b-acd9-d9da3631050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E8C8B55D3699844A856B0E8ED1BF38F" ma:contentTypeVersion="12" ma:contentTypeDescription="Create a new document." ma:contentTypeScope="" ma:versionID="1699510031c25f9e29e6485a84950a3d">
  <xsd:schema xmlns:xsd="http://www.w3.org/2001/XMLSchema" xmlns:xs="http://www.w3.org/2001/XMLSchema" xmlns:p="http://schemas.microsoft.com/office/2006/metadata/properties" xmlns:ns2="79e442c4-0d36-402b-acd9-d9da36310500" xmlns:ns3="046c35e8-9e02-4a9b-b720-75e9a83d69c5" targetNamespace="http://schemas.microsoft.com/office/2006/metadata/properties" ma:root="true" ma:fieldsID="a0dccff7b1e2d2c5c9bf9fe488be5095" ns2:_="" ns3:_="">
    <xsd:import namespace="79e442c4-0d36-402b-acd9-d9da36310500"/>
    <xsd:import namespace="046c35e8-9e02-4a9b-b720-75e9a83d69c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e442c4-0d36-402b-acd9-d9da363105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5cba8db-96d4-423d-aafb-a54777582bc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6c35e8-9e02-4a9b-b720-75e9a83d69c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2.xml><?xml version="1.0" encoding="utf-8"?>
<ds:datastoreItem xmlns:ds="http://schemas.openxmlformats.org/officeDocument/2006/customXml" ds:itemID="{EF0A6B7E-0411-4371-800F-B7412608D97B}">
  <ds:schemaRefs>
    <ds:schemaRef ds:uri="http://schemas.microsoft.com/office/2006/metadata/properties"/>
    <ds:schemaRef ds:uri="http://schemas.microsoft.com/office/infopath/2007/PartnerControls"/>
    <ds:schemaRef ds:uri="79e442c4-0d36-402b-acd9-d9da36310500"/>
  </ds:schemaRefs>
</ds:datastoreItem>
</file>

<file path=customXml/itemProps3.xml><?xml version="1.0" encoding="utf-8"?>
<ds:datastoreItem xmlns:ds="http://schemas.openxmlformats.org/officeDocument/2006/customXml" ds:itemID="{A8E9F071-5793-476A-A376-7E77E44519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e442c4-0d36-402b-acd9-d9da36310500"/>
    <ds:schemaRef ds:uri="046c35e8-9e02-4a9b-b720-75e9a83d69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54AA6C-3ADF-4B56-8643-57FEA36DD8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28</Pages>
  <Words>8801</Words>
  <Characters>50080</Characters>
  <Application>Microsoft Office Word</Application>
  <DocSecurity>0</DocSecurity>
  <Lines>963</Lines>
  <Paragraphs>467</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Australian public assessment report for</vt:lpstr>
      <vt:lpstr>    About the Therapeutic Goods Administration (TGA)</vt:lpstr>
      <vt:lpstr>    About AusPARs</vt:lpstr>
      <vt:lpstr>    Copyright</vt:lpstr>
      <vt:lpstr>    &lt;Contents</vt:lpstr>
      <vt:lpstr>    List of abbreviations</vt:lpstr>
      <vt:lpstr>    Amvuttra (vutrisiran) submission</vt:lpstr>
      <vt:lpstr>        Amvuttra (vutrisiran) – proposed indication</vt:lpstr>
      <vt:lpstr>        Hereditary transthyretin-mediated amyloidosis (hATTR amyloidosis)</vt:lpstr>
      <vt:lpstr>        Current treatment options for hATTR amyloidosis</vt:lpstr>
      <vt:lpstr>        Clinical rationale for vutrisiran in hATTR amyloidosis</vt:lpstr>
      <vt:lpstr>    Regulatory status</vt:lpstr>
      <vt:lpstr>        Australian regulatory status</vt:lpstr>
      <vt:lpstr>        International regulatory status</vt:lpstr>
      <vt:lpstr>        Registration timeline</vt:lpstr>
      <vt:lpstr>    Evaluation overview</vt:lpstr>
      <vt:lpstr>        Quality evaluation summary</vt:lpstr>
      <vt:lpstr>        Nonclinical (toxicology) evaluation summary</vt:lpstr>
      <vt:lpstr>        Clinical evaluation summary</vt:lpstr>
      <vt:lpstr>        Risk Management Plan evaluation summary</vt:lpstr>
      <vt:lpstr>    Risk/benefit assessment </vt:lpstr>
      <vt:lpstr>    Outcome</vt:lpstr>
    </vt:vector>
  </TitlesOfParts>
  <Company>Department of Health and Aged Care</Company>
  <LinksUpToDate>false</LinksUpToDate>
  <CharactersWithSpaces>58414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dc:title>
  <dc:subject>Prescription medicines</dc:subject>
  <dc:creator>Therapeutic Goods Administration</dc:creator>
  <cp:keywords/>
  <dc:description/>
  <cp:lastModifiedBy>LACK, Janet</cp:lastModifiedBy>
  <cp:revision>4</cp:revision>
  <dcterms:created xsi:type="dcterms:W3CDTF">2024-09-17T01:47:00Z</dcterms:created>
  <dcterms:modified xsi:type="dcterms:W3CDTF">2024-09-17T03:55:00Z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0x0101007E8C8B55D3699844A856B0E8ED1BF38F</vt:lpwstr>
  </property>
  <property fmtid="{D5CDD505-2E9C-101B-9397-08002B2CF9AE}" pid="3" name="MediaServiceImageTags">
    <vt:lpwstr/>
  </property>
</Properties>
</file>