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E737" w14:textId="77777777" w:rsidR="00365624" w:rsidRDefault="002B025E">
      <w:pPr>
        <w:spacing w:before="86"/>
        <w:ind w:left="260" w:right="1223" w:hanging="1"/>
        <w:rPr>
          <w:sz w:val="24"/>
        </w:rPr>
      </w:pPr>
      <w:r>
        <w:rPr>
          <w:noProof/>
          <w:position w:val="1"/>
        </w:rPr>
        <w:drawing>
          <wp:inline distT="0" distB="0" distL="0" distR="0" wp14:anchorId="06ACE893" wp14:editId="06ACE894">
            <wp:extent cx="230504" cy="18478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30504" cy="184784"/>
                    </a:xfrm>
                    <a:prstGeom prst="rect">
                      <a:avLst/>
                    </a:prstGeom>
                  </pic:spPr>
                </pic:pic>
              </a:graphicData>
            </a:graphic>
          </wp:inline>
        </w:drawing>
      </w:r>
      <w:r>
        <w:rPr>
          <w:rFonts w:ascii="Times New Roman"/>
          <w:spacing w:val="82"/>
          <w:sz w:val="20"/>
        </w:rPr>
        <w:t xml:space="preserve"> </w:t>
      </w:r>
      <w:bookmarkStart w:id="0" w:name="AUSTRALIAN_PRODUCT_INFORMATIONWINLEVI®_("/>
      <w:bookmarkStart w:id="1" w:name="1_NAME_OF_THE_MEDICINE"/>
      <w:bookmarkEnd w:id="0"/>
      <w:bookmarkEnd w:id="1"/>
      <w:r>
        <w:rPr>
          <w:color w:val="2C2C2C"/>
          <w:sz w:val="24"/>
        </w:rPr>
        <w:t>This medicinal product is subject to additional monitoring in Australia. This will allow quick identification</w:t>
      </w:r>
      <w:r>
        <w:rPr>
          <w:color w:val="2C2C2C"/>
          <w:spacing w:val="-14"/>
          <w:sz w:val="24"/>
        </w:rPr>
        <w:t xml:space="preserve"> </w:t>
      </w:r>
      <w:r>
        <w:rPr>
          <w:color w:val="2C2C2C"/>
          <w:sz w:val="24"/>
        </w:rPr>
        <w:t>of</w:t>
      </w:r>
      <w:r>
        <w:rPr>
          <w:color w:val="2C2C2C"/>
          <w:spacing w:val="-14"/>
          <w:sz w:val="24"/>
        </w:rPr>
        <w:t xml:space="preserve"> </w:t>
      </w:r>
      <w:r>
        <w:rPr>
          <w:color w:val="2C2C2C"/>
          <w:sz w:val="24"/>
        </w:rPr>
        <w:t>new</w:t>
      </w:r>
      <w:r>
        <w:rPr>
          <w:color w:val="2C2C2C"/>
          <w:spacing w:val="-15"/>
          <w:sz w:val="24"/>
        </w:rPr>
        <w:t xml:space="preserve"> </w:t>
      </w:r>
      <w:r>
        <w:rPr>
          <w:color w:val="2C2C2C"/>
          <w:sz w:val="24"/>
        </w:rPr>
        <w:t>safety</w:t>
      </w:r>
      <w:r>
        <w:rPr>
          <w:color w:val="2C2C2C"/>
          <w:spacing w:val="-14"/>
          <w:sz w:val="24"/>
        </w:rPr>
        <w:t xml:space="preserve"> </w:t>
      </w:r>
      <w:r>
        <w:rPr>
          <w:color w:val="2C2C2C"/>
          <w:sz w:val="24"/>
        </w:rPr>
        <w:t>information.</w:t>
      </w:r>
      <w:r>
        <w:rPr>
          <w:color w:val="2C2C2C"/>
          <w:spacing w:val="-14"/>
          <w:sz w:val="24"/>
        </w:rPr>
        <w:t xml:space="preserve"> </w:t>
      </w:r>
      <w:r>
        <w:rPr>
          <w:color w:val="2C2C2C"/>
          <w:sz w:val="24"/>
        </w:rPr>
        <w:t>Healthcare</w:t>
      </w:r>
      <w:r>
        <w:rPr>
          <w:color w:val="2C2C2C"/>
          <w:spacing w:val="-13"/>
          <w:sz w:val="24"/>
        </w:rPr>
        <w:t xml:space="preserve"> </w:t>
      </w:r>
      <w:r>
        <w:rPr>
          <w:color w:val="2C2C2C"/>
          <w:sz w:val="24"/>
        </w:rPr>
        <w:t>professionals</w:t>
      </w:r>
      <w:r>
        <w:rPr>
          <w:color w:val="2C2C2C"/>
          <w:spacing w:val="-14"/>
          <w:sz w:val="24"/>
        </w:rPr>
        <w:t xml:space="preserve"> </w:t>
      </w:r>
      <w:r>
        <w:rPr>
          <w:color w:val="2C2C2C"/>
          <w:sz w:val="24"/>
        </w:rPr>
        <w:t>are</w:t>
      </w:r>
      <w:r>
        <w:rPr>
          <w:color w:val="2C2C2C"/>
          <w:spacing w:val="-14"/>
          <w:sz w:val="24"/>
        </w:rPr>
        <w:t xml:space="preserve"> </w:t>
      </w:r>
      <w:r>
        <w:rPr>
          <w:color w:val="2C2C2C"/>
          <w:sz w:val="24"/>
        </w:rPr>
        <w:t>asked</w:t>
      </w:r>
      <w:r>
        <w:rPr>
          <w:color w:val="2C2C2C"/>
          <w:spacing w:val="-14"/>
          <w:sz w:val="24"/>
        </w:rPr>
        <w:t xml:space="preserve"> </w:t>
      </w:r>
      <w:r>
        <w:rPr>
          <w:color w:val="2C2C2C"/>
          <w:sz w:val="24"/>
        </w:rPr>
        <w:t>to</w:t>
      </w:r>
      <w:r>
        <w:rPr>
          <w:color w:val="2C2C2C"/>
          <w:spacing w:val="-13"/>
          <w:sz w:val="24"/>
        </w:rPr>
        <w:t xml:space="preserve"> </w:t>
      </w:r>
      <w:r>
        <w:rPr>
          <w:color w:val="2C2C2C"/>
          <w:sz w:val="24"/>
        </w:rPr>
        <w:t>report</w:t>
      </w:r>
      <w:r>
        <w:rPr>
          <w:color w:val="2C2C2C"/>
          <w:spacing w:val="-14"/>
          <w:sz w:val="24"/>
        </w:rPr>
        <w:t xml:space="preserve"> </w:t>
      </w:r>
      <w:r>
        <w:rPr>
          <w:color w:val="2C2C2C"/>
          <w:sz w:val="24"/>
        </w:rPr>
        <w:t>any</w:t>
      </w:r>
      <w:r>
        <w:rPr>
          <w:color w:val="2C2C2C"/>
          <w:spacing w:val="-14"/>
          <w:sz w:val="24"/>
        </w:rPr>
        <w:t xml:space="preserve"> </w:t>
      </w:r>
      <w:r>
        <w:rPr>
          <w:color w:val="2C2C2C"/>
          <w:sz w:val="24"/>
        </w:rPr>
        <w:t xml:space="preserve">suspected adverse events at </w:t>
      </w:r>
      <w:r>
        <w:rPr>
          <w:color w:val="006CAC"/>
          <w:sz w:val="24"/>
          <w:u w:val="single" w:color="006CAC"/>
        </w:rPr>
        <w:t>Report a problem or side effect.</w:t>
      </w:r>
    </w:p>
    <w:p w14:paraId="06ACE738" w14:textId="77777777" w:rsidR="00365624" w:rsidRDefault="00365624">
      <w:pPr>
        <w:pStyle w:val="BodyText"/>
        <w:spacing w:before="239"/>
        <w:ind w:left="0"/>
        <w:rPr>
          <w:sz w:val="28"/>
        </w:rPr>
      </w:pPr>
    </w:p>
    <w:p w14:paraId="06ACE739" w14:textId="77777777" w:rsidR="00365624" w:rsidRDefault="002B025E">
      <w:pPr>
        <w:spacing w:before="1"/>
        <w:ind w:left="260"/>
        <w:rPr>
          <w:b/>
          <w:sz w:val="28"/>
        </w:rPr>
      </w:pPr>
      <w:bookmarkStart w:id="2" w:name="2_QUALITATIVE_AND_QUANTITATIVE_COMPOSITI"/>
      <w:bookmarkStart w:id="3" w:name="3_PHARMACEUTICAL_FORM"/>
      <w:bookmarkStart w:id="4" w:name="4_CLINICAL_PARTICULARS"/>
      <w:bookmarkEnd w:id="2"/>
      <w:bookmarkEnd w:id="3"/>
      <w:bookmarkEnd w:id="4"/>
      <w:r>
        <w:rPr>
          <w:b/>
          <w:spacing w:val="-8"/>
          <w:sz w:val="28"/>
        </w:rPr>
        <w:t>AUSTRALIAN</w:t>
      </w:r>
      <w:r>
        <w:rPr>
          <w:b/>
          <w:spacing w:val="-5"/>
          <w:sz w:val="28"/>
        </w:rPr>
        <w:t xml:space="preserve"> </w:t>
      </w:r>
      <w:r>
        <w:rPr>
          <w:b/>
          <w:spacing w:val="-8"/>
          <w:sz w:val="28"/>
        </w:rPr>
        <w:t>PRODUCT</w:t>
      </w:r>
      <w:r>
        <w:rPr>
          <w:b/>
          <w:spacing w:val="3"/>
          <w:sz w:val="28"/>
        </w:rPr>
        <w:t xml:space="preserve"> </w:t>
      </w:r>
      <w:r>
        <w:rPr>
          <w:b/>
          <w:spacing w:val="-8"/>
          <w:sz w:val="28"/>
        </w:rPr>
        <w:t>INFORMATION</w:t>
      </w:r>
    </w:p>
    <w:p w14:paraId="06ACE73A" w14:textId="77777777" w:rsidR="00365624" w:rsidRDefault="002B025E">
      <w:pPr>
        <w:spacing w:before="57"/>
        <w:ind w:left="260"/>
        <w:rPr>
          <w:b/>
          <w:sz w:val="28"/>
        </w:rPr>
      </w:pPr>
      <w:r>
        <w:rPr>
          <w:b/>
          <w:spacing w:val="-4"/>
          <w:sz w:val="28"/>
        </w:rPr>
        <w:t>WINLEVI</w:t>
      </w:r>
      <w:r>
        <w:rPr>
          <w:b/>
          <w:spacing w:val="-4"/>
          <w:position w:val="7"/>
          <w:sz w:val="18"/>
        </w:rPr>
        <w:t>®</w:t>
      </w:r>
      <w:r>
        <w:rPr>
          <w:b/>
          <w:spacing w:val="1"/>
          <w:position w:val="7"/>
          <w:sz w:val="18"/>
        </w:rPr>
        <w:t xml:space="preserve"> </w:t>
      </w:r>
      <w:r>
        <w:rPr>
          <w:b/>
          <w:spacing w:val="-2"/>
          <w:sz w:val="28"/>
        </w:rPr>
        <w:t>(clascoterone)</w:t>
      </w:r>
    </w:p>
    <w:p w14:paraId="06ACE73B" w14:textId="77777777" w:rsidR="00365624" w:rsidRDefault="00365624">
      <w:pPr>
        <w:pStyle w:val="BodyText"/>
        <w:spacing w:before="198"/>
        <w:ind w:left="0"/>
        <w:rPr>
          <w:b/>
          <w:sz w:val="28"/>
        </w:rPr>
      </w:pPr>
    </w:p>
    <w:p w14:paraId="06ACE73C" w14:textId="77777777" w:rsidR="00365624" w:rsidRDefault="002B025E">
      <w:pPr>
        <w:pStyle w:val="ListParagraph"/>
        <w:numPr>
          <w:ilvl w:val="0"/>
          <w:numId w:val="1"/>
        </w:numPr>
        <w:tabs>
          <w:tab w:val="left" w:pos="446"/>
        </w:tabs>
        <w:ind w:left="446" w:hanging="186"/>
        <w:rPr>
          <w:b/>
          <w:sz w:val="28"/>
        </w:rPr>
      </w:pPr>
      <w:r>
        <w:rPr>
          <w:b/>
          <w:spacing w:val="-4"/>
          <w:sz w:val="28"/>
        </w:rPr>
        <w:t>NAME</w:t>
      </w:r>
      <w:r>
        <w:rPr>
          <w:b/>
          <w:spacing w:val="-12"/>
          <w:sz w:val="28"/>
        </w:rPr>
        <w:t xml:space="preserve"> </w:t>
      </w:r>
      <w:r>
        <w:rPr>
          <w:b/>
          <w:spacing w:val="-4"/>
          <w:sz w:val="28"/>
        </w:rPr>
        <w:t>OF</w:t>
      </w:r>
      <w:r>
        <w:rPr>
          <w:b/>
          <w:spacing w:val="-11"/>
          <w:sz w:val="28"/>
        </w:rPr>
        <w:t xml:space="preserve"> </w:t>
      </w:r>
      <w:r>
        <w:rPr>
          <w:b/>
          <w:spacing w:val="-4"/>
          <w:sz w:val="28"/>
        </w:rPr>
        <w:t>THE</w:t>
      </w:r>
      <w:r>
        <w:rPr>
          <w:b/>
          <w:spacing w:val="-13"/>
          <w:sz w:val="28"/>
        </w:rPr>
        <w:t xml:space="preserve"> </w:t>
      </w:r>
      <w:r>
        <w:rPr>
          <w:b/>
          <w:spacing w:val="-4"/>
          <w:sz w:val="28"/>
        </w:rPr>
        <w:t>MEDICINE</w:t>
      </w:r>
    </w:p>
    <w:p w14:paraId="06ACE73D" w14:textId="77777777" w:rsidR="00365624" w:rsidRDefault="002B025E">
      <w:pPr>
        <w:pStyle w:val="BodyText"/>
        <w:spacing w:before="58"/>
      </w:pPr>
      <w:r>
        <w:rPr>
          <w:spacing w:val="-2"/>
        </w:rPr>
        <w:t>Clascoterone</w:t>
      </w:r>
    </w:p>
    <w:p w14:paraId="06ACE73E" w14:textId="77777777" w:rsidR="00365624" w:rsidRDefault="002B025E">
      <w:pPr>
        <w:pStyle w:val="Heading1"/>
        <w:numPr>
          <w:ilvl w:val="0"/>
          <w:numId w:val="1"/>
        </w:numPr>
        <w:tabs>
          <w:tab w:val="left" w:pos="446"/>
        </w:tabs>
        <w:spacing w:before="242"/>
        <w:ind w:left="446" w:hanging="186"/>
      </w:pPr>
      <w:r>
        <w:rPr>
          <w:spacing w:val="-8"/>
        </w:rPr>
        <w:t>QUALITATIVE</w:t>
      </w:r>
      <w:r>
        <w:rPr>
          <w:spacing w:val="4"/>
        </w:rPr>
        <w:t xml:space="preserve"> </w:t>
      </w:r>
      <w:r>
        <w:rPr>
          <w:spacing w:val="-8"/>
        </w:rPr>
        <w:t>AND</w:t>
      </w:r>
      <w:r>
        <w:rPr>
          <w:spacing w:val="-1"/>
        </w:rPr>
        <w:t xml:space="preserve"> </w:t>
      </w:r>
      <w:r>
        <w:rPr>
          <w:spacing w:val="-8"/>
        </w:rPr>
        <w:t>QUANTITATIVE</w:t>
      </w:r>
      <w:r>
        <w:rPr>
          <w:spacing w:val="4"/>
        </w:rPr>
        <w:t xml:space="preserve"> </w:t>
      </w:r>
      <w:r>
        <w:rPr>
          <w:spacing w:val="-8"/>
        </w:rPr>
        <w:t>COMPOSITION</w:t>
      </w:r>
    </w:p>
    <w:p w14:paraId="06ACE73F" w14:textId="77777777" w:rsidR="00365624" w:rsidRDefault="002B025E">
      <w:pPr>
        <w:pStyle w:val="BodyText"/>
        <w:spacing w:before="62" w:line="348" w:lineRule="auto"/>
        <w:ind w:right="4647"/>
      </w:pPr>
      <w:r>
        <w:rPr>
          <w:spacing w:val="-2"/>
        </w:rPr>
        <w:t>Each</w:t>
      </w:r>
      <w:r>
        <w:rPr>
          <w:spacing w:val="-11"/>
        </w:rPr>
        <w:t xml:space="preserve"> </w:t>
      </w:r>
      <w:r>
        <w:rPr>
          <w:spacing w:val="-2"/>
        </w:rPr>
        <w:t>gram</w:t>
      </w:r>
      <w:r>
        <w:rPr>
          <w:spacing w:val="-11"/>
        </w:rPr>
        <w:t xml:space="preserve"> </w:t>
      </w:r>
      <w:r>
        <w:rPr>
          <w:spacing w:val="-2"/>
        </w:rPr>
        <w:t>of</w:t>
      </w:r>
      <w:r>
        <w:rPr>
          <w:spacing w:val="-10"/>
        </w:rPr>
        <w:t xml:space="preserve"> </w:t>
      </w:r>
      <w:r>
        <w:rPr>
          <w:spacing w:val="-2"/>
        </w:rPr>
        <w:t>WINLEVI</w:t>
      </w:r>
      <w:r>
        <w:rPr>
          <w:spacing w:val="-11"/>
        </w:rPr>
        <w:t xml:space="preserve"> </w:t>
      </w:r>
      <w:r>
        <w:rPr>
          <w:spacing w:val="-2"/>
        </w:rPr>
        <w:t>cream</w:t>
      </w:r>
      <w:r>
        <w:rPr>
          <w:spacing w:val="-10"/>
        </w:rPr>
        <w:t xml:space="preserve"> </w:t>
      </w:r>
      <w:r>
        <w:rPr>
          <w:spacing w:val="-2"/>
        </w:rPr>
        <w:t>contains</w:t>
      </w:r>
      <w:r>
        <w:rPr>
          <w:spacing w:val="-9"/>
        </w:rPr>
        <w:t xml:space="preserve"> </w:t>
      </w:r>
      <w:r>
        <w:rPr>
          <w:spacing w:val="-2"/>
        </w:rPr>
        <w:t>10</w:t>
      </w:r>
      <w:r>
        <w:rPr>
          <w:spacing w:val="-11"/>
        </w:rPr>
        <w:t xml:space="preserve"> </w:t>
      </w:r>
      <w:r>
        <w:rPr>
          <w:spacing w:val="-2"/>
        </w:rPr>
        <w:t>mg</w:t>
      </w:r>
      <w:r>
        <w:rPr>
          <w:spacing w:val="-11"/>
        </w:rPr>
        <w:t xml:space="preserve"> </w:t>
      </w:r>
      <w:r>
        <w:rPr>
          <w:spacing w:val="-2"/>
        </w:rPr>
        <w:t>of</w:t>
      </w:r>
      <w:r>
        <w:rPr>
          <w:spacing w:val="-10"/>
        </w:rPr>
        <w:t xml:space="preserve"> </w:t>
      </w:r>
      <w:r>
        <w:rPr>
          <w:spacing w:val="-2"/>
        </w:rPr>
        <w:t xml:space="preserve">clascoterone. </w:t>
      </w:r>
      <w:r>
        <w:t>For the full list of excipients, see section 6.1.</w:t>
      </w:r>
    </w:p>
    <w:p w14:paraId="06ACE740" w14:textId="77777777" w:rsidR="00365624" w:rsidRDefault="002B025E">
      <w:pPr>
        <w:pStyle w:val="Heading1"/>
        <w:numPr>
          <w:ilvl w:val="0"/>
          <w:numId w:val="1"/>
        </w:numPr>
        <w:tabs>
          <w:tab w:val="left" w:pos="446"/>
        </w:tabs>
        <w:spacing w:before="130"/>
        <w:ind w:left="446" w:hanging="186"/>
      </w:pPr>
      <w:bookmarkStart w:id="5" w:name="4.1_THERAPEUTIC_INDICATIONS"/>
      <w:bookmarkStart w:id="6" w:name="4.2_DOSE_AND_METHOD_OF_ADMINISTRATION"/>
      <w:bookmarkEnd w:id="5"/>
      <w:bookmarkEnd w:id="6"/>
      <w:r>
        <w:rPr>
          <w:spacing w:val="-9"/>
        </w:rPr>
        <w:t>PHARMACEUTICAL</w:t>
      </w:r>
      <w:r>
        <w:rPr>
          <w:spacing w:val="6"/>
        </w:rPr>
        <w:t xml:space="preserve"> </w:t>
      </w:r>
      <w:r>
        <w:rPr>
          <w:spacing w:val="-4"/>
        </w:rPr>
        <w:t>FORM</w:t>
      </w:r>
    </w:p>
    <w:p w14:paraId="06ACE741" w14:textId="77777777" w:rsidR="00365624" w:rsidRDefault="002B025E">
      <w:pPr>
        <w:pStyle w:val="BodyText"/>
        <w:spacing w:before="58"/>
      </w:pPr>
      <w:r>
        <w:rPr>
          <w:spacing w:val="-4"/>
        </w:rPr>
        <w:t>White</w:t>
      </w:r>
      <w:r>
        <w:rPr>
          <w:spacing w:val="-9"/>
        </w:rPr>
        <w:t xml:space="preserve"> </w:t>
      </w:r>
      <w:r>
        <w:rPr>
          <w:spacing w:val="-4"/>
        </w:rPr>
        <w:t>to</w:t>
      </w:r>
      <w:r>
        <w:rPr>
          <w:spacing w:val="-9"/>
        </w:rPr>
        <w:t xml:space="preserve"> </w:t>
      </w:r>
      <w:r>
        <w:rPr>
          <w:spacing w:val="-4"/>
        </w:rPr>
        <w:t>almost</w:t>
      </w:r>
      <w:r>
        <w:rPr>
          <w:spacing w:val="-6"/>
        </w:rPr>
        <w:t xml:space="preserve"> </w:t>
      </w:r>
      <w:r>
        <w:rPr>
          <w:spacing w:val="-4"/>
        </w:rPr>
        <w:t>white</w:t>
      </w:r>
      <w:r>
        <w:rPr>
          <w:spacing w:val="-8"/>
        </w:rPr>
        <w:t xml:space="preserve"> </w:t>
      </w:r>
      <w:r>
        <w:rPr>
          <w:spacing w:val="-4"/>
        </w:rPr>
        <w:t>cream.</w:t>
      </w:r>
    </w:p>
    <w:p w14:paraId="06ACE742" w14:textId="77777777" w:rsidR="00365624" w:rsidRDefault="002B025E">
      <w:pPr>
        <w:pStyle w:val="Heading1"/>
        <w:numPr>
          <w:ilvl w:val="0"/>
          <w:numId w:val="1"/>
        </w:numPr>
        <w:tabs>
          <w:tab w:val="left" w:pos="446"/>
        </w:tabs>
        <w:spacing w:before="242"/>
        <w:ind w:left="446" w:hanging="186"/>
      </w:pPr>
      <w:r>
        <w:rPr>
          <w:spacing w:val="-6"/>
        </w:rPr>
        <w:t>CLINICAL</w:t>
      </w:r>
      <w:r>
        <w:rPr>
          <w:spacing w:val="-8"/>
        </w:rPr>
        <w:t xml:space="preserve"> </w:t>
      </w:r>
      <w:r>
        <w:rPr>
          <w:spacing w:val="-2"/>
        </w:rPr>
        <w:t>PARTICULARS</w:t>
      </w:r>
    </w:p>
    <w:p w14:paraId="06ACE743" w14:textId="77777777" w:rsidR="00365624" w:rsidRDefault="002B025E">
      <w:pPr>
        <w:pStyle w:val="ListParagraph"/>
        <w:numPr>
          <w:ilvl w:val="1"/>
          <w:numId w:val="1"/>
        </w:numPr>
        <w:tabs>
          <w:tab w:val="left" w:pos="628"/>
        </w:tabs>
        <w:spacing w:before="198"/>
        <w:ind w:left="628" w:hanging="368"/>
        <w:rPr>
          <w:b/>
          <w:sz w:val="28"/>
        </w:rPr>
      </w:pPr>
      <w:r>
        <w:rPr>
          <w:b/>
          <w:spacing w:val="-8"/>
          <w:sz w:val="28"/>
        </w:rPr>
        <w:t>THERAPEUTIC</w:t>
      </w:r>
      <w:r>
        <w:rPr>
          <w:b/>
          <w:spacing w:val="-3"/>
          <w:sz w:val="28"/>
        </w:rPr>
        <w:t xml:space="preserve"> </w:t>
      </w:r>
      <w:r>
        <w:rPr>
          <w:b/>
          <w:spacing w:val="-2"/>
          <w:sz w:val="28"/>
        </w:rPr>
        <w:t>INDICATIONS</w:t>
      </w:r>
    </w:p>
    <w:p w14:paraId="06ACE744" w14:textId="77777777" w:rsidR="00365624" w:rsidRDefault="002B025E">
      <w:pPr>
        <w:pStyle w:val="BodyText"/>
        <w:spacing w:before="120"/>
        <w:ind w:right="761"/>
      </w:pPr>
      <w:r>
        <w:t>WINLEVI</w:t>
      </w:r>
      <w:r>
        <w:rPr>
          <w:spacing w:val="-10"/>
        </w:rPr>
        <w:t xml:space="preserve"> </w:t>
      </w:r>
      <w:r>
        <w:t>(clascoterone)</w:t>
      </w:r>
      <w:r>
        <w:rPr>
          <w:spacing w:val="-10"/>
        </w:rPr>
        <w:t xml:space="preserve"> </w:t>
      </w:r>
      <w:r>
        <w:t>cream</w:t>
      </w:r>
      <w:r>
        <w:rPr>
          <w:spacing w:val="-9"/>
        </w:rPr>
        <w:t xml:space="preserve"> </w:t>
      </w:r>
      <w:r>
        <w:t>is</w:t>
      </w:r>
      <w:r>
        <w:rPr>
          <w:spacing w:val="-13"/>
        </w:rPr>
        <w:t xml:space="preserve"> </w:t>
      </w:r>
      <w:r>
        <w:t>indicated</w:t>
      </w:r>
      <w:r>
        <w:rPr>
          <w:spacing w:val="-12"/>
        </w:rPr>
        <w:t xml:space="preserve"> </w:t>
      </w:r>
      <w:r>
        <w:t>for</w:t>
      </w:r>
      <w:r>
        <w:rPr>
          <w:spacing w:val="-12"/>
        </w:rPr>
        <w:t xml:space="preserve"> </w:t>
      </w:r>
      <w:r>
        <w:t>the</w:t>
      </w:r>
      <w:r>
        <w:rPr>
          <w:spacing w:val="-13"/>
        </w:rPr>
        <w:t xml:space="preserve"> </w:t>
      </w:r>
      <w:r>
        <w:t>topical</w:t>
      </w:r>
      <w:r>
        <w:rPr>
          <w:spacing w:val="-10"/>
        </w:rPr>
        <w:t xml:space="preserve"> </w:t>
      </w:r>
      <w:r>
        <w:t>treatment</w:t>
      </w:r>
      <w:r>
        <w:rPr>
          <w:spacing w:val="-7"/>
        </w:rPr>
        <w:t xml:space="preserve"> </w:t>
      </w:r>
      <w:r>
        <w:t>of</w:t>
      </w:r>
      <w:r>
        <w:rPr>
          <w:spacing w:val="-8"/>
        </w:rPr>
        <w:t xml:space="preserve"> </w:t>
      </w:r>
      <w:r>
        <w:t>acne</w:t>
      </w:r>
      <w:r>
        <w:rPr>
          <w:spacing w:val="-12"/>
        </w:rPr>
        <w:t xml:space="preserve"> </w:t>
      </w:r>
      <w:r>
        <w:t>vulgaris</w:t>
      </w:r>
      <w:r>
        <w:rPr>
          <w:spacing w:val="-10"/>
        </w:rPr>
        <w:t xml:space="preserve"> </w:t>
      </w:r>
      <w:r>
        <w:t>in</w:t>
      </w:r>
      <w:r>
        <w:rPr>
          <w:spacing w:val="-13"/>
        </w:rPr>
        <w:t xml:space="preserve"> </w:t>
      </w:r>
      <w:r>
        <w:t>patients</w:t>
      </w:r>
      <w:r>
        <w:rPr>
          <w:spacing w:val="-6"/>
        </w:rPr>
        <w:t xml:space="preserve"> </w:t>
      </w:r>
      <w:r>
        <w:t>12</w:t>
      </w:r>
      <w:r>
        <w:rPr>
          <w:spacing w:val="-12"/>
        </w:rPr>
        <w:t xml:space="preserve"> </w:t>
      </w:r>
      <w:r>
        <w:t>years</w:t>
      </w:r>
      <w:r>
        <w:rPr>
          <w:spacing w:val="-8"/>
        </w:rPr>
        <w:t xml:space="preserve"> </w:t>
      </w:r>
      <w:r>
        <w:t>of</w:t>
      </w:r>
      <w:r>
        <w:rPr>
          <w:spacing w:val="-13"/>
        </w:rPr>
        <w:t xml:space="preserve"> </w:t>
      </w:r>
      <w:r>
        <w:t>age and older.</w:t>
      </w:r>
    </w:p>
    <w:p w14:paraId="06ACE745" w14:textId="77777777" w:rsidR="00365624" w:rsidRDefault="002B025E">
      <w:pPr>
        <w:pStyle w:val="Heading1"/>
        <w:numPr>
          <w:ilvl w:val="1"/>
          <w:numId w:val="1"/>
        </w:numPr>
        <w:tabs>
          <w:tab w:val="left" w:pos="628"/>
        </w:tabs>
        <w:spacing w:before="203"/>
        <w:ind w:left="628" w:hanging="368"/>
      </w:pPr>
      <w:r>
        <w:rPr>
          <w:spacing w:val="-4"/>
        </w:rPr>
        <w:t>DOSE</w:t>
      </w:r>
      <w:r>
        <w:rPr>
          <w:spacing w:val="-17"/>
        </w:rPr>
        <w:t xml:space="preserve"> </w:t>
      </w:r>
      <w:r>
        <w:rPr>
          <w:spacing w:val="-4"/>
        </w:rPr>
        <w:t>AND</w:t>
      </w:r>
      <w:r>
        <w:rPr>
          <w:spacing w:val="-13"/>
        </w:rPr>
        <w:t xml:space="preserve"> </w:t>
      </w:r>
      <w:r>
        <w:rPr>
          <w:spacing w:val="-4"/>
        </w:rPr>
        <w:t>METHOD</w:t>
      </w:r>
      <w:r>
        <w:rPr>
          <w:spacing w:val="-12"/>
        </w:rPr>
        <w:t xml:space="preserve"> </w:t>
      </w:r>
      <w:r>
        <w:rPr>
          <w:spacing w:val="-4"/>
        </w:rPr>
        <w:t>OF</w:t>
      </w:r>
      <w:r>
        <w:rPr>
          <w:spacing w:val="-14"/>
        </w:rPr>
        <w:t xml:space="preserve"> </w:t>
      </w:r>
      <w:r>
        <w:rPr>
          <w:spacing w:val="-4"/>
        </w:rPr>
        <w:t>ADMINISTRATION</w:t>
      </w:r>
    </w:p>
    <w:p w14:paraId="06ACE746" w14:textId="77777777" w:rsidR="00365624" w:rsidRDefault="002B025E">
      <w:pPr>
        <w:pStyle w:val="Heading2"/>
        <w:spacing w:before="198"/>
      </w:pPr>
      <w:r>
        <w:rPr>
          <w:spacing w:val="-2"/>
        </w:rPr>
        <w:t>Recommended</w:t>
      </w:r>
      <w:r>
        <w:rPr>
          <w:spacing w:val="-3"/>
        </w:rPr>
        <w:t xml:space="preserve"> </w:t>
      </w:r>
      <w:r>
        <w:rPr>
          <w:spacing w:val="-2"/>
        </w:rPr>
        <w:t>Dose</w:t>
      </w:r>
      <w:r>
        <w:rPr>
          <w:spacing w:val="-4"/>
        </w:rPr>
        <w:t xml:space="preserve"> </w:t>
      </w:r>
      <w:r>
        <w:rPr>
          <w:spacing w:val="-2"/>
        </w:rPr>
        <w:t>and</w:t>
      </w:r>
      <w:r>
        <w:t xml:space="preserve"> </w:t>
      </w:r>
      <w:r>
        <w:rPr>
          <w:spacing w:val="-2"/>
        </w:rPr>
        <w:t>Administration</w:t>
      </w:r>
    </w:p>
    <w:p w14:paraId="06ACE747" w14:textId="77777777" w:rsidR="00365624" w:rsidRDefault="002B025E">
      <w:pPr>
        <w:pStyle w:val="BodyText"/>
        <w:spacing w:before="81"/>
        <w:ind w:right="668"/>
        <w:jc w:val="both"/>
      </w:pPr>
      <w:r>
        <w:t>Cleanse the entire area to be treated and dry gently. After the skin is dry, apply a thin uniform layer of WINLEVI twice</w:t>
      </w:r>
      <w:r>
        <w:rPr>
          <w:spacing w:val="-1"/>
        </w:rPr>
        <w:t xml:space="preserve"> </w:t>
      </w:r>
      <w:r>
        <w:t>per</w:t>
      </w:r>
      <w:r>
        <w:rPr>
          <w:spacing w:val="-1"/>
        </w:rPr>
        <w:t xml:space="preserve"> </w:t>
      </w:r>
      <w:r>
        <w:t>day,</w:t>
      </w:r>
      <w:r>
        <w:rPr>
          <w:spacing w:val="-1"/>
        </w:rPr>
        <w:t xml:space="preserve"> </w:t>
      </w:r>
      <w:r>
        <w:t>in</w:t>
      </w:r>
      <w:r>
        <w:rPr>
          <w:spacing w:val="-3"/>
        </w:rPr>
        <w:t xml:space="preserve"> </w:t>
      </w:r>
      <w:r>
        <w:t>the</w:t>
      </w:r>
      <w:r>
        <w:rPr>
          <w:spacing w:val="-3"/>
        </w:rPr>
        <w:t xml:space="preserve"> </w:t>
      </w:r>
      <w:r>
        <w:t>morning and</w:t>
      </w:r>
      <w:r>
        <w:rPr>
          <w:spacing w:val="-1"/>
        </w:rPr>
        <w:t xml:space="preserve"> </w:t>
      </w:r>
      <w:r>
        <w:t>in</w:t>
      </w:r>
      <w:r>
        <w:rPr>
          <w:spacing w:val="-3"/>
        </w:rPr>
        <w:t xml:space="preserve"> </w:t>
      </w:r>
      <w:r>
        <w:t>the</w:t>
      </w:r>
      <w:r>
        <w:rPr>
          <w:spacing w:val="-3"/>
        </w:rPr>
        <w:t xml:space="preserve"> </w:t>
      </w:r>
      <w:r>
        <w:t>evening, over</w:t>
      </w:r>
      <w:r>
        <w:rPr>
          <w:spacing w:val="-1"/>
        </w:rPr>
        <w:t xml:space="preserve"> </w:t>
      </w:r>
      <w:r>
        <w:t>the</w:t>
      </w:r>
      <w:r>
        <w:rPr>
          <w:spacing w:val="-1"/>
        </w:rPr>
        <w:t xml:space="preserve"> </w:t>
      </w:r>
      <w:r>
        <w:t>entire</w:t>
      </w:r>
      <w:r>
        <w:rPr>
          <w:spacing w:val="-1"/>
        </w:rPr>
        <w:t xml:space="preserve"> </w:t>
      </w:r>
      <w:r>
        <w:t>area</w:t>
      </w:r>
      <w:r>
        <w:rPr>
          <w:spacing w:val="-2"/>
        </w:rPr>
        <w:t xml:space="preserve"> </w:t>
      </w:r>
      <w:r>
        <w:t>prone</w:t>
      </w:r>
      <w:r>
        <w:rPr>
          <w:spacing w:val="-2"/>
        </w:rPr>
        <w:t xml:space="preserve"> </w:t>
      </w:r>
      <w:r>
        <w:t>to</w:t>
      </w:r>
      <w:r>
        <w:rPr>
          <w:spacing w:val="-3"/>
        </w:rPr>
        <w:t xml:space="preserve"> </w:t>
      </w:r>
      <w:r>
        <w:t>acne.</w:t>
      </w:r>
      <w:r>
        <w:rPr>
          <w:spacing w:val="-1"/>
        </w:rPr>
        <w:t xml:space="preserve"> </w:t>
      </w:r>
      <w:r>
        <w:t>It</w:t>
      </w:r>
      <w:r>
        <w:rPr>
          <w:spacing w:val="-1"/>
        </w:rPr>
        <w:t xml:space="preserve"> </w:t>
      </w:r>
      <w:r>
        <w:t>is</w:t>
      </w:r>
      <w:r>
        <w:rPr>
          <w:spacing w:val="-1"/>
        </w:rPr>
        <w:t xml:space="preserve"> </w:t>
      </w:r>
      <w:r>
        <w:t>advised</w:t>
      </w:r>
      <w:r>
        <w:rPr>
          <w:spacing w:val="-3"/>
        </w:rPr>
        <w:t xml:space="preserve"> </w:t>
      </w:r>
      <w:r>
        <w:t>to</w:t>
      </w:r>
      <w:r>
        <w:rPr>
          <w:spacing w:val="-3"/>
        </w:rPr>
        <w:t xml:space="preserve"> </w:t>
      </w:r>
      <w:r>
        <w:t>use</w:t>
      </w:r>
      <w:r>
        <w:rPr>
          <w:spacing w:val="-1"/>
        </w:rPr>
        <w:t xml:space="preserve"> </w:t>
      </w:r>
      <w:r>
        <w:t>WINLEVI as instructed by the prescribing healthcare professional.</w:t>
      </w:r>
      <w:r>
        <w:rPr>
          <w:spacing w:val="40"/>
        </w:rPr>
        <w:t xml:space="preserve"> </w:t>
      </w:r>
      <w:r>
        <w:t>For optimal effectiveness, do not spot treat.</w:t>
      </w:r>
    </w:p>
    <w:p w14:paraId="06ACE748" w14:textId="77777777" w:rsidR="00365624" w:rsidRDefault="002B025E">
      <w:pPr>
        <w:pStyle w:val="BodyText"/>
        <w:spacing w:before="119"/>
        <w:jc w:val="both"/>
      </w:pPr>
      <w:r>
        <w:rPr>
          <w:spacing w:val="-6"/>
        </w:rPr>
        <w:t>Hands</w:t>
      </w:r>
      <w:r>
        <w:rPr>
          <w:spacing w:val="-2"/>
        </w:rPr>
        <w:t xml:space="preserve"> </w:t>
      </w:r>
      <w:r>
        <w:rPr>
          <w:spacing w:val="-6"/>
        </w:rPr>
        <w:t>should</w:t>
      </w:r>
      <w:r>
        <w:rPr>
          <w:spacing w:val="4"/>
        </w:rPr>
        <w:t xml:space="preserve"> </w:t>
      </w:r>
      <w:r>
        <w:rPr>
          <w:spacing w:val="-6"/>
        </w:rPr>
        <w:t>be</w:t>
      </w:r>
      <w:r>
        <w:rPr>
          <w:spacing w:val="-3"/>
        </w:rPr>
        <w:t xml:space="preserve"> </w:t>
      </w:r>
      <w:r>
        <w:rPr>
          <w:spacing w:val="-6"/>
        </w:rPr>
        <w:t>washed</w:t>
      </w:r>
      <w:r>
        <w:rPr>
          <w:spacing w:val="3"/>
        </w:rPr>
        <w:t xml:space="preserve"> </w:t>
      </w:r>
      <w:r>
        <w:rPr>
          <w:spacing w:val="-6"/>
        </w:rPr>
        <w:t>before and</w:t>
      </w:r>
      <w:r>
        <w:rPr>
          <w:spacing w:val="1"/>
        </w:rPr>
        <w:t xml:space="preserve"> </w:t>
      </w:r>
      <w:r>
        <w:rPr>
          <w:spacing w:val="-6"/>
        </w:rPr>
        <w:t>after</w:t>
      </w:r>
      <w:r>
        <w:rPr>
          <w:spacing w:val="-1"/>
        </w:rPr>
        <w:t xml:space="preserve"> </w:t>
      </w:r>
      <w:r>
        <w:rPr>
          <w:spacing w:val="-6"/>
        </w:rPr>
        <w:t>applying</w:t>
      </w:r>
      <w:r>
        <w:rPr>
          <w:spacing w:val="-2"/>
        </w:rPr>
        <w:t xml:space="preserve"> </w:t>
      </w:r>
      <w:r>
        <w:rPr>
          <w:spacing w:val="-6"/>
        </w:rPr>
        <w:t>WINLEVI</w:t>
      </w:r>
      <w:r>
        <w:rPr>
          <w:spacing w:val="1"/>
        </w:rPr>
        <w:t xml:space="preserve"> </w:t>
      </w:r>
      <w:r>
        <w:rPr>
          <w:spacing w:val="-6"/>
        </w:rPr>
        <w:t>cream.</w:t>
      </w:r>
    </w:p>
    <w:p w14:paraId="06ACE749" w14:textId="77777777" w:rsidR="00365624" w:rsidRDefault="002B025E">
      <w:pPr>
        <w:pStyle w:val="Heading2"/>
        <w:spacing w:before="202"/>
      </w:pPr>
      <w:bookmarkStart w:id="7" w:name="4.3_CONTRAINDICATIONS"/>
      <w:bookmarkEnd w:id="7"/>
      <w:r>
        <w:rPr>
          <w:spacing w:val="-2"/>
        </w:rPr>
        <w:t>Missed</w:t>
      </w:r>
      <w:r>
        <w:rPr>
          <w:spacing w:val="-6"/>
        </w:rPr>
        <w:t xml:space="preserve"> </w:t>
      </w:r>
      <w:r>
        <w:rPr>
          <w:spacing w:val="-4"/>
        </w:rPr>
        <w:t>Dose</w:t>
      </w:r>
    </w:p>
    <w:p w14:paraId="06ACE74A" w14:textId="77777777" w:rsidR="00365624" w:rsidRDefault="002B025E">
      <w:pPr>
        <w:pStyle w:val="BodyText"/>
        <w:spacing w:before="77"/>
        <w:ind w:right="675"/>
        <w:jc w:val="both"/>
      </w:pPr>
      <w:r>
        <w:t>If patients forget to take a dose of WINLEVI, they should be instructed to apply the next dose at the usual time. Patients should be instructed to not apply a double dose to make up for forgotten doses.</w:t>
      </w:r>
    </w:p>
    <w:p w14:paraId="06ACE74B" w14:textId="77777777" w:rsidR="00365624" w:rsidRDefault="002B025E">
      <w:pPr>
        <w:pStyle w:val="Heading2"/>
        <w:spacing w:before="202"/>
        <w:jc w:val="left"/>
      </w:pPr>
      <w:r>
        <w:t>Dosing</w:t>
      </w:r>
      <w:r>
        <w:rPr>
          <w:spacing w:val="-12"/>
        </w:rPr>
        <w:t xml:space="preserve"> </w:t>
      </w:r>
      <w:r>
        <w:rPr>
          <w:spacing w:val="-2"/>
        </w:rPr>
        <w:t>Considerations</w:t>
      </w:r>
    </w:p>
    <w:p w14:paraId="06ACE74C" w14:textId="77777777" w:rsidR="00365624" w:rsidRDefault="002B025E">
      <w:pPr>
        <w:pStyle w:val="BodyText"/>
        <w:spacing w:before="80"/>
      </w:pPr>
      <w:r>
        <w:rPr>
          <w:spacing w:val="-4"/>
        </w:rPr>
        <w:t>WINLEVI</w:t>
      </w:r>
      <w:r>
        <w:rPr>
          <w:spacing w:val="-9"/>
        </w:rPr>
        <w:t xml:space="preserve"> </w:t>
      </w:r>
      <w:r>
        <w:rPr>
          <w:spacing w:val="-4"/>
        </w:rPr>
        <w:t>is</w:t>
      </w:r>
      <w:r>
        <w:rPr>
          <w:spacing w:val="-9"/>
        </w:rPr>
        <w:t xml:space="preserve"> </w:t>
      </w:r>
      <w:r>
        <w:rPr>
          <w:spacing w:val="-4"/>
        </w:rPr>
        <w:t>for</w:t>
      </w:r>
      <w:r>
        <w:rPr>
          <w:spacing w:val="-8"/>
        </w:rPr>
        <w:t xml:space="preserve"> </w:t>
      </w:r>
      <w:r>
        <w:rPr>
          <w:spacing w:val="-4"/>
        </w:rPr>
        <w:t>external</w:t>
      </w:r>
      <w:r>
        <w:rPr>
          <w:spacing w:val="-8"/>
        </w:rPr>
        <w:t xml:space="preserve"> </w:t>
      </w:r>
      <w:r>
        <w:rPr>
          <w:spacing w:val="-4"/>
        </w:rPr>
        <w:t>use</w:t>
      </w:r>
      <w:r>
        <w:rPr>
          <w:spacing w:val="-8"/>
        </w:rPr>
        <w:t xml:space="preserve"> </w:t>
      </w:r>
      <w:r>
        <w:rPr>
          <w:spacing w:val="-4"/>
        </w:rPr>
        <w:t>only.</w:t>
      </w:r>
      <w:r>
        <w:rPr>
          <w:spacing w:val="-7"/>
        </w:rPr>
        <w:t xml:space="preserve"> </w:t>
      </w:r>
      <w:r>
        <w:rPr>
          <w:spacing w:val="-4"/>
        </w:rPr>
        <w:t>WINLEVI is</w:t>
      </w:r>
      <w:r>
        <w:rPr>
          <w:spacing w:val="-8"/>
        </w:rPr>
        <w:t xml:space="preserve"> </w:t>
      </w:r>
      <w:r>
        <w:rPr>
          <w:spacing w:val="-4"/>
        </w:rPr>
        <w:t>not</w:t>
      </w:r>
      <w:r>
        <w:rPr>
          <w:spacing w:val="-8"/>
        </w:rPr>
        <w:t xml:space="preserve"> </w:t>
      </w:r>
      <w:r>
        <w:rPr>
          <w:spacing w:val="-4"/>
        </w:rPr>
        <w:t>for</w:t>
      </w:r>
      <w:r>
        <w:rPr>
          <w:spacing w:val="-8"/>
        </w:rPr>
        <w:t xml:space="preserve"> </w:t>
      </w:r>
      <w:r>
        <w:rPr>
          <w:spacing w:val="-4"/>
        </w:rPr>
        <w:t xml:space="preserve">ophthalmic, </w:t>
      </w:r>
      <w:proofErr w:type="gramStart"/>
      <w:r>
        <w:rPr>
          <w:spacing w:val="-4"/>
        </w:rPr>
        <w:t>oral</w:t>
      </w:r>
      <w:proofErr w:type="gramEnd"/>
      <w:r>
        <w:rPr>
          <w:spacing w:val="-9"/>
        </w:rPr>
        <w:t xml:space="preserve"> </w:t>
      </w:r>
      <w:r>
        <w:rPr>
          <w:spacing w:val="-4"/>
        </w:rPr>
        <w:t>or</w:t>
      </w:r>
      <w:r>
        <w:rPr>
          <w:spacing w:val="-5"/>
        </w:rPr>
        <w:t xml:space="preserve"> </w:t>
      </w:r>
      <w:r>
        <w:rPr>
          <w:spacing w:val="-4"/>
        </w:rPr>
        <w:t>vaginal</w:t>
      </w:r>
      <w:r>
        <w:rPr>
          <w:spacing w:val="-7"/>
        </w:rPr>
        <w:t xml:space="preserve"> </w:t>
      </w:r>
      <w:r>
        <w:rPr>
          <w:spacing w:val="-4"/>
        </w:rPr>
        <w:t>use.</w:t>
      </w:r>
    </w:p>
    <w:p w14:paraId="06ACE74D" w14:textId="77777777" w:rsidR="00365624" w:rsidRDefault="002B025E">
      <w:pPr>
        <w:pStyle w:val="BodyText"/>
        <w:spacing w:before="120"/>
        <w:ind w:right="761"/>
      </w:pPr>
      <w:r>
        <w:t>Avoid</w:t>
      </w:r>
      <w:r>
        <w:rPr>
          <w:spacing w:val="-10"/>
        </w:rPr>
        <w:t xml:space="preserve"> </w:t>
      </w:r>
      <w:r>
        <w:t>accidental</w:t>
      </w:r>
      <w:r>
        <w:rPr>
          <w:spacing w:val="-12"/>
        </w:rPr>
        <w:t xml:space="preserve"> </w:t>
      </w:r>
      <w:r>
        <w:t>transfer</w:t>
      </w:r>
      <w:r>
        <w:rPr>
          <w:spacing w:val="-11"/>
        </w:rPr>
        <w:t xml:space="preserve"> </w:t>
      </w:r>
      <w:r>
        <w:t>of</w:t>
      </w:r>
      <w:r>
        <w:rPr>
          <w:spacing w:val="-7"/>
        </w:rPr>
        <w:t xml:space="preserve"> </w:t>
      </w:r>
      <w:r>
        <w:t>WINLEVI</w:t>
      </w:r>
      <w:r>
        <w:rPr>
          <w:spacing w:val="-8"/>
        </w:rPr>
        <w:t xml:space="preserve"> </w:t>
      </w:r>
      <w:r>
        <w:t>into</w:t>
      </w:r>
      <w:r>
        <w:rPr>
          <w:spacing w:val="-12"/>
        </w:rPr>
        <w:t xml:space="preserve"> </w:t>
      </w:r>
      <w:r>
        <w:t>eyes,</w:t>
      </w:r>
      <w:r>
        <w:rPr>
          <w:spacing w:val="-10"/>
        </w:rPr>
        <w:t xml:space="preserve"> </w:t>
      </w:r>
      <w:r>
        <w:t>lips,</w:t>
      </w:r>
      <w:r>
        <w:rPr>
          <w:spacing w:val="-13"/>
        </w:rPr>
        <w:t xml:space="preserve"> </w:t>
      </w:r>
      <w:r>
        <w:t>mouth,</w:t>
      </w:r>
      <w:r>
        <w:rPr>
          <w:spacing w:val="-7"/>
        </w:rPr>
        <w:t xml:space="preserve"> </w:t>
      </w:r>
      <w:r>
        <w:t>corners</w:t>
      </w:r>
      <w:r>
        <w:rPr>
          <w:spacing w:val="-12"/>
        </w:rPr>
        <w:t xml:space="preserve"> </w:t>
      </w:r>
      <w:r>
        <w:t>of</w:t>
      </w:r>
      <w:r>
        <w:rPr>
          <w:spacing w:val="-10"/>
        </w:rPr>
        <w:t xml:space="preserve"> </w:t>
      </w:r>
      <w:r>
        <w:t>the</w:t>
      </w:r>
      <w:r>
        <w:rPr>
          <w:spacing w:val="-11"/>
        </w:rPr>
        <w:t xml:space="preserve"> </w:t>
      </w:r>
      <w:r>
        <w:t>nose,</w:t>
      </w:r>
      <w:r>
        <w:rPr>
          <w:spacing w:val="-13"/>
        </w:rPr>
        <w:t xml:space="preserve"> </w:t>
      </w:r>
      <w:r>
        <w:t>or</w:t>
      </w:r>
      <w:r>
        <w:rPr>
          <w:spacing w:val="-8"/>
        </w:rPr>
        <w:t xml:space="preserve"> </w:t>
      </w:r>
      <w:r>
        <w:t>other</w:t>
      </w:r>
      <w:r>
        <w:rPr>
          <w:spacing w:val="-11"/>
        </w:rPr>
        <w:t xml:space="preserve"> </w:t>
      </w:r>
      <w:r>
        <w:t>mucous</w:t>
      </w:r>
      <w:r>
        <w:rPr>
          <w:spacing w:val="-10"/>
        </w:rPr>
        <w:t xml:space="preserve"> </w:t>
      </w:r>
      <w:r>
        <w:t>membranes.</w:t>
      </w:r>
      <w:r>
        <w:rPr>
          <w:spacing w:val="-9"/>
        </w:rPr>
        <w:t xml:space="preserve"> </w:t>
      </w:r>
      <w:r>
        <w:t>If contact with mucous membranes occurs, rinse immediately and thoroughly with water.</w:t>
      </w:r>
    </w:p>
    <w:p w14:paraId="06ACE74E" w14:textId="77777777" w:rsidR="00365624" w:rsidRDefault="002B025E">
      <w:pPr>
        <w:pStyle w:val="BodyText"/>
        <w:spacing w:before="120"/>
      </w:pPr>
      <w:r>
        <w:rPr>
          <w:spacing w:val="-6"/>
        </w:rPr>
        <w:t>This</w:t>
      </w:r>
      <w:r>
        <w:rPr>
          <w:spacing w:val="-3"/>
        </w:rPr>
        <w:t xml:space="preserve"> </w:t>
      </w:r>
      <w:r>
        <w:rPr>
          <w:spacing w:val="-6"/>
        </w:rPr>
        <w:t>medication</w:t>
      </w:r>
      <w:r>
        <w:t xml:space="preserve"> </w:t>
      </w:r>
      <w:r>
        <w:rPr>
          <w:spacing w:val="-6"/>
        </w:rPr>
        <w:t>should</w:t>
      </w:r>
      <w:r>
        <w:rPr>
          <w:spacing w:val="4"/>
        </w:rPr>
        <w:t xml:space="preserve"> </w:t>
      </w:r>
      <w:r>
        <w:rPr>
          <w:spacing w:val="-6"/>
        </w:rPr>
        <w:t>not</w:t>
      </w:r>
      <w:r>
        <w:rPr>
          <w:spacing w:val="8"/>
        </w:rPr>
        <w:t xml:space="preserve"> </w:t>
      </w:r>
      <w:r>
        <w:rPr>
          <w:spacing w:val="-6"/>
        </w:rPr>
        <w:t>be</w:t>
      </w:r>
      <w:r>
        <w:rPr>
          <w:spacing w:val="-3"/>
        </w:rPr>
        <w:t xml:space="preserve"> </w:t>
      </w:r>
      <w:r>
        <w:rPr>
          <w:spacing w:val="-6"/>
        </w:rPr>
        <w:t>applied</w:t>
      </w:r>
      <w:r>
        <w:rPr>
          <w:spacing w:val="2"/>
        </w:rPr>
        <w:t xml:space="preserve"> </w:t>
      </w:r>
      <w:r>
        <w:rPr>
          <w:spacing w:val="-6"/>
        </w:rPr>
        <w:t>to</w:t>
      </w:r>
      <w:r>
        <w:rPr>
          <w:spacing w:val="-3"/>
        </w:rPr>
        <w:t xml:space="preserve"> </w:t>
      </w:r>
      <w:r>
        <w:rPr>
          <w:spacing w:val="-6"/>
        </w:rPr>
        <w:t>cuts,</w:t>
      </w:r>
      <w:r>
        <w:t xml:space="preserve"> </w:t>
      </w:r>
      <w:r>
        <w:rPr>
          <w:spacing w:val="-6"/>
        </w:rPr>
        <w:t>abrasions,</w:t>
      </w:r>
      <w:r>
        <w:rPr>
          <w:spacing w:val="5"/>
        </w:rPr>
        <w:t xml:space="preserve"> </w:t>
      </w:r>
      <w:r>
        <w:rPr>
          <w:spacing w:val="-6"/>
        </w:rPr>
        <w:t>eczematous,</w:t>
      </w:r>
      <w:r>
        <w:rPr>
          <w:spacing w:val="9"/>
        </w:rPr>
        <w:t xml:space="preserve"> </w:t>
      </w:r>
      <w:r>
        <w:rPr>
          <w:spacing w:val="-6"/>
        </w:rPr>
        <w:t>or</w:t>
      </w:r>
      <w:r>
        <w:rPr>
          <w:spacing w:val="1"/>
        </w:rPr>
        <w:t xml:space="preserve"> </w:t>
      </w:r>
      <w:r>
        <w:rPr>
          <w:spacing w:val="-6"/>
        </w:rPr>
        <w:t>sunburned</w:t>
      </w:r>
      <w:r>
        <w:rPr>
          <w:spacing w:val="3"/>
        </w:rPr>
        <w:t xml:space="preserve"> </w:t>
      </w:r>
      <w:r>
        <w:rPr>
          <w:spacing w:val="-6"/>
        </w:rPr>
        <w:t>skin.</w:t>
      </w:r>
    </w:p>
    <w:p w14:paraId="06ACE74F" w14:textId="77777777" w:rsidR="00365624" w:rsidRDefault="002B025E">
      <w:pPr>
        <w:pStyle w:val="Heading1"/>
        <w:numPr>
          <w:ilvl w:val="1"/>
          <w:numId w:val="1"/>
        </w:numPr>
        <w:tabs>
          <w:tab w:val="left" w:pos="628"/>
        </w:tabs>
        <w:spacing w:before="201"/>
        <w:ind w:left="628" w:hanging="368"/>
      </w:pPr>
      <w:r>
        <w:rPr>
          <w:spacing w:val="-2"/>
        </w:rPr>
        <w:t>CONTRAINDICATIONS</w:t>
      </w:r>
    </w:p>
    <w:p w14:paraId="06ACE750" w14:textId="77777777" w:rsidR="00365624" w:rsidRDefault="002B025E">
      <w:pPr>
        <w:pStyle w:val="BodyText"/>
        <w:spacing w:before="121"/>
        <w:jc w:val="both"/>
      </w:pPr>
      <w:r>
        <w:rPr>
          <w:spacing w:val="-4"/>
        </w:rPr>
        <w:t>Hypersensitivity</w:t>
      </w:r>
      <w:r>
        <w:rPr>
          <w:spacing w:val="-9"/>
        </w:rPr>
        <w:t xml:space="preserve"> </w:t>
      </w:r>
      <w:r>
        <w:rPr>
          <w:spacing w:val="-4"/>
        </w:rPr>
        <w:t>to</w:t>
      </w:r>
      <w:r>
        <w:rPr>
          <w:spacing w:val="-9"/>
        </w:rPr>
        <w:t xml:space="preserve"> </w:t>
      </w:r>
      <w:r>
        <w:rPr>
          <w:spacing w:val="-4"/>
        </w:rPr>
        <w:t>the</w:t>
      </w:r>
      <w:r>
        <w:rPr>
          <w:spacing w:val="-9"/>
        </w:rPr>
        <w:t xml:space="preserve"> </w:t>
      </w:r>
      <w:r>
        <w:rPr>
          <w:spacing w:val="-4"/>
        </w:rPr>
        <w:t>active</w:t>
      </w:r>
      <w:r>
        <w:rPr>
          <w:spacing w:val="-8"/>
        </w:rPr>
        <w:t xml:space="preserve"> </w:t>
      </w:r>
      <w:r>
        <w:rPr>
          <w:spacing w:val="-4"/>
        </w:rPr>
        <w:t>substance</w:t>
      </w:r>
      <w:r>
        <w:rPr>
          <w:spacing w:val="-9"/>
        </w:rPr>
        <w:t xml:space="preserve"> </w:t>
      </w:r>
      <w:r>
        <w:rPr>
          <w:spacing w:val="-4"/>
        </w:rPr>
        <w:t>or</w:t>
      </w:r>
      <w:r>
        <w:rPr>
          <w:spacing w:val="-8"/>
        </w:rPr>
        <w:t xml:space="preserve"> </w:t>
      </w:r>
      <w:r>
        <w:rPr>
          <w:spacing w:val="-4"/>
        </w:rPr>
        <w:t>to</w:t>
      </w:r>
      <w:r>
        <w:rPr>
          <w:spacing w:val="-9"/>
        </w:rPr>
        <w:t xml:space="preserve"> </w:t>
      </w:r>
      <w:r>
        <w:rPr>
          <w:spacing w:val="-4"/>
        </w:rPr>
        <w:t>any</w:t>
      </w:r>
      <w:r>
        <w:rPr>
          <w:spacing w:val="-8"/>
        </w:rPr>
        <w:t xml:space="preserve"> </w:t>
      </w:r>
      <w:r>
        <w:rPr>
          <w:spacing w:val="-4"/>
        </w:rPr>
        <w:t>of</w:t>
      </w:r>
      <w:r>
        <w:rPr>
          <w:spacing w:val="-9"/>
        </w:rPr>
        <w:t xml:space="preserve"> </w:t>
      </w:r>
      <w:r>
        <w:rPr>
          <w:spacing w:val="-4"/>
        </w:rPr>
        <w:t>the</w:t>
      </w:r>
      <w:r>
        <w:rPr>
          <w:spacing w:val="-8"/>
        </w:rPr>
        <w:t xml:space="preserve"> </w:t>
      </w:r>
      <w:r>
        <w:rPr>
          <w:spacing w:val="-4"/>
        </w:rPr>
        <w:t>excipients</w:t>
      </w:r>
      <w:r>
        <w:rPr>
          <w:spacing w:val="-5"/>
        </w:rPr>
        <w:t xml:space="preserve"> </w:t>
      </w:r>
      <w:r>
        <w:rPr>
          <w:spacing w:val="-4"/>
        </w:rPr>
        <w:t>listed</w:t>
      </w:r>
      <w:r>
        <w:rPr>
          <w:spacing w:val="-8"/>
        </w:rPr>
        <w:t xml:space="preserve"> </w:t>
      </w:r>
      <w:r>
        <w:rPr>
          <w:spacing w:val="-4"/>
        </w:rPr>
        <w:t>in</w:t>
      </w:r>
      <w:r>
        <w:rPr>
          <w:spacing w:val="-9"/>
        </w:rPr>
        <w:t xml:space="preserve"> </w:t>
      </w:r>
      <w:r>
        <w:rPr>
          <w:spacing w:val="-4"/>
        </w:rPr>
        <w:t>section</w:t>
      </w:r>
      <w:r>
        <w:rPr>
          <w:spacing w:val="-5"/>
        </w:rPr>
        <w:t xml:space="preserve"> </w:t>
      </w:r>
      <w:r>
        <w:rPr>
          <w:spacing w:val="-4"/>
        </w:rPr>
        <w:t>6.1.</w:t>
      </w:r>
    </w:p>
    <w:p w14:paraId="06ACE751" w14:textId="77777777" w:rsidR="00365624" w:rsidRDefault="00365624">
      <w:pPr>
        <w:jc w:val="both"/>
        <w:sectPr w:rsidR="00365624">
          <w:headerReference w:type="default" r:id="rId8"/>
          <w:footerReference w:type="default" r:id="rId9"/>
          <w:type w:val="continuous"/>
          <w:pgSz w:w="11920" w:h="16860"/>
          <w:pgMar w:top="980" w:right="760" w:bottom="800" w:left="1180" w:header="718" w:footer="604" w:gutter="0"/>
          <w:pgNumType w:start="1"/>
          <w:cols w:space="720"/>
        </w:sectPr>
      </w:pPr>
    </w:p>
    <w:p w14:paraId="06ACE752" w14:textId="77777777" w:rsidR="00365624" w:rsidRDefault="002B025E">
      <w:pPr>
        <w:pStyle w:val="Heading1"/>
        <w:numPr>
          <w:ilvl w:val="1"/>
          <w:numId w:val="1"/>
        </w:numPr>
        <w:tabs>
          <w:tab w:val="left" w:pos="628"/>
        </w:tabs>
        <w:spacing w:before="213"/>
        <w:ind w:left="628" w:hanging="368"/>
      </w:pPr>
      <w:bookmarkStart w:id="9" w:name="4.4_SPECIAL_WARNINGS_AND_PRECAUTIONS_FOR"/>
      <w:bookmarkEnd w:id="9"/>
      <w:r>
        <w:rPr>
          <w:spacing w:val="-6"/>
        </w:rPr>
        <w:lastRenderedPageBreak/>
        <w:t>SPECIAL</w:t>
      </w:r>
      <w:r>
        <w:rPr>
          <w:spacing w:val="-12"/>
        </w:rPr>
        <w:t xml:space="preserve"> </w:t>
      </w:r>
      <w:r>
        <w:rPr>
          <w:spacing w:val="-6"/>
        </w:rPr>
        <w:t>WARNINGS</w:t>
      </w:r>
      <w:r>
        <w:rPr>
          <w:spacing w:val="-15"/>
        </w:rPr>
        <w:t xml:space="preserve"> </w:t>
      </w:r>
      <w:r>
        <w:rPr>
          <w:spacing w:val="-6"/>
        </w:rPr>
        <w:t>AND</w:t>
      </w:r>
      <w:r>
        <w:rPr>
          <w:spacing w:val="-8"/>
        </w:rPr>
        <w:t xml:space="preserve"> </w:t>
      </w:r>
      <w:r>
        <w:rPr>
          <w:spacing w:val="-6"/>
        </w:rPr>
        <w:t>PRECAUTIONS</w:t>
      </w:r>
      <w:r>
        <w:rPr>
          <w:spacing w:val="-15"/>
        </w:rPr>
        <w:t xml:space="preserve"> </w:t>
      </w:r>
      <w:r>
        <w:rPr>
          <w:spacing w:val="-6"/>
        </w:rPr>
        <w:t>FOR</w:t>
      </w:r>
      <w:r>
        <w:rPr>
          <w:spacing w:val="-13"/>
        </w:rPr>
        <w:t xml:space="preserve"> </w:t>
      </w:r>
      <w:r>
        <w:rPr>
          <w:spacing w:val="-6"/>
        </w:rPr>
        <w:t>USE</w:t>
      </w:r>
    </w:p>
    <w:p w14:paraId="06ACE753" w14:textId="77777777" w:rsidR="00365624" w:rsidRDefault="002B025E">
      <w:pPr>
        <w:pStyle w:val="Heading2"/>
        <w:spacing w:before="201"/>
        <w:jc w:val="left"/>
      </w:pPr>
      <w:r>
        <w:rPr>
          <w:spacing w:val="-2"/>
        </w:rPr>
        <w:t>General</w:t>
      </w:r>
    </w:p>
    <w:p w14:paraId="06ACE754" w14:textId="77777777" w:rsidR="00365624" w:rsidRDefault="002B025E">
      <w:pPr>
        <w:pStyle w:val="BodyText"/>
        <w:spacing w:before="119" w:line="355" w:lineRule="auto"/>
        <w:ind w:right="3225"/>
      </w:pPr>
      <w:r>
        <w:t xml:space="preserve">WINLEVI is for external use only. Not for ophthalmic, </w:t>
      </w:r>
      <w:proofErr w:type="gramStart"/>
      <w:r>
        <w:t>oral</w:t>
      </w:r>
      <w:proofErr w:type="gramEnd"/>
      <w:r>
        <w:t xml:space="preserve"> or vaginal use. </w:t>
      </w:r>
      <w:r>
        <w:rPr>
          <w:spacing w:val="-2"/>
        </w:rPr>
        <w:t>WINLEVI</w:t>
      </w:r>
      <w:r>
        <w:rPr>
          <w:spacing w:val="-5"/>
        </w:rPr>
        <w:t xml:space="preserve"> </w:t>
      </w:r>
      <w:r>
        <w:rPr>
          <w:spacing w:val="-2"/>
        </w:rPr>
        <w:t>should</w:t>
      </w:r>
      <w:r>
        <w:rPr>
          <w:spacing w:val="-5"/>
        </w:rPr>
        <w:t xml:space="preserve"> </w:t>
      </w:r>
      <w:r>
        <w:rPr>
          <w:spacing w:val="-2"/>
        </w:rPr>
        <w:t>not</w:t>
      </w:r>
      <w:r>
        <w:rPr>
          <w:spacing w:val="-3"/>
        </w:rPr>
        <w:t xml:space="preserve"> </w:t>
      </w:r>
      <w:r>
        <w:rPr>
          <w:spacing w:val="-2"/>
        </w:rPr>
        <w:t>be</w:t>
      </w:r>
      <w:r>
        <w:rPr>
          <w:spacing w:val="-6"/>
        </w:rPr>
        <w:t xml:space="preserve"> </w:t>
      </w:r>
      <w:r>
        <w:rPr>
          <w:spacing w:val="-2"/>
        </w:rPr>
        <w:t>applied</w:t>
      </w:r>
      <w:r>
        <w:rPr>
          <w:spacing w:val="-3"/>
        </w:rPr>
        <w:t xml:space="preserve"> </w:t>
      </w:r>
      <w:r>
        <w:rPr>
          <w:spacing w:val="-2"/>
        </w:rPr>
        <w:t>to</w:t>
      </w:r>
      <w:r>
        <w:rPr>
          <w:spacing w:val="-6"/>
        </w:rPr>
        <w:t xml:space="preserve"> </w:t>
      </w:r>
      <w:r>
        <w:rPr>
          <w:spacing w:val="-2"/>
        </w:rPr>
        <w:t>cuts,</w:t>
      </w:r>
      <w:r>
        <w:rPr>
          <w:spacing w:val="-3"/>
        </w:rPr>
        <w:t xml:space="preserve"> </w:t>
      </w:r>
      <w:r>
        <w:rPr>
          <w:spacing w:val="-2"/>
        </w:rPr>
        <w:t>abrasions,</w:t>
      </w:r>
      <w:r>
        <w:rPr>
          <w:spacing w:val="-5"/>
        </w:rPr>
        <w:t xml:space="preserve"> </w:t>
      </w:r>
      <w:r>
        <w:rPr>
          <w:spacing w:val="-2"/>
        </w:rPr>
        <w:t>eczematous</w:t>
      </w:r>
      <w:r>
        <w:rPr>
          <w:spacing w:val="-3"/>
        </w:rPr>
        <w:t xml:space="preserve"> </w:t>
      </w:r>
      <w:r>
        <w:rPr>
          <w:spacing w:val="-2"/>
        </w:rPr>
        <w:t>or</w:t>
      </w:r>
      <w:r>
        <w:rPr>
          <w:spacing w:val="-5"/>
        </w:rPr>
        <w:t xml:space="preserve"> </w:t>
      </w:r>
      <w:r>
        <w:rPr>
          <w:spacing w:val="-2"/>
        </w:rPr>
        <w:t>sunburned</w:t>
      </w:r>
      <w:r>
        <w:rPr>
          <w:spacing w:val="-3"/>
        </w:rPr>
        <w:t xml:space="preserve"> </w:t>
      </w:r>
      <w:r>
        <w:rPr>
          <w:spacing w:val="-2"/>
        </w:rPr>
        <w:t>skin.</w:t>
      </w:r>
    </w:p>
    <w:p w14:paraId="06ACE755" w14:textId="77777777" w:rsidR="00365624" w:rsidRDefault="002B025E">
      <w:pPr>
        <w:pStyle w:val="BodyText"/>
        <w:spacing w:before="1"/>
        <w:ind w:right="235"/>
      </w:pPr>
      <w:r>
        <w:t>Avoid</w:t>
      </w:r>
      <w:r>
        <w:rPr>
          <w:spacing w:val="-10"/>
        </w:rPr>
        <w:t xml:space="preserve"> </w:t>
      </w:r>
      <w:r>
        <w:t>accidental</w:t>
      </w:r>
      <w:r>
        <w:rPr>
          <w:spacing w:val="-12"/>
        </w:rPr>
        <w:t xml:space="preserve"> </w:t>
      </w:r>
      <w:r>
        <w:t>transfer</w:t>
      </w:r>
      <w:r>
        <w:rPr>
          <w:spacing w:val="-12"/>
        </w:rPr>
        <w:t xml:space="preserve"> </w:t>
      </w:r>
      <w:r>
        <w:t>of</w:t>
      </w:r>
      <w:r>
        <w:rPr>
          <w:spacing w:val="-10"/>
        </w:rPr>
        <w:t xml:space="preserve"> </w:t>
      </w:r>
      <w:r>
        <w:t>WINLEVI</w:t>
      </w:r>
      <w:r>
        <w:rPr>
          <w:spacing w:val="-8"/>
        </w:rPr>
        <w:t xml:space="preserve"> </w:t>
      </w:r>
      <w:r>
        <w:t>into</w:t>
      </w:r>
      <w:r>
        <w:rPr>
          <w:spacing w:val="-12"/>
        </w:rPr>
        <w:t xml:space="preserve"> </w:t>
      </w:r>
      <w:r>
        <w:t>eyes,</w:t>
      </w:r>
      <w:r>
        <w:rPr>
          <w:spacing w:val="-12"/>
        </w:rPr>
        <w:t xml:space="preserve"> </w:t>
      </w:r>
      <w:r>
        <w:t>lips,</w:t>
      </w:r>
      <w:r>
        <w:rPr>
          <w:spacing w:val="-12"/>
        </w:rPr>
        <w:t xml:space="preserve"> </w:t>
      </w:r>
      <w:r>
        <w:t>mouth,</w:t>
      </w:r>
      <w:r>
        <w:rPr>
          <w:spacing w:val="-12"/>
        </w:rPr>
        <w:t xml:space="preserve"> </w:t>
      </w:r>
      <w:r>
        <w:t>corners</w:t>
      </w:r>
      <w:r>
        <w:rPr>
          <w:spacing w:val="-10"/>
        </w:rPr>
        <w:t xml:space="preserve"> </w:t>
      </w:r>
      <w:r>
        <w:t>of</w:t>
      </w:r>
      <w:r>
        <w:rPr>
          <w:spacing w:val="-12"/>
        </w:rPr>
        <w:t xml:space="preserve"> </w:t>
      </w:r>
      <w:r>
        <w:t>the</w:t>
      </w:r>
      <w:r>
        <w:rPr>
          <w:spacing w:val="-10"/>
        </w:rPr>
        <w:t xml:space="preserve"> </w:t>
      </w:r>
      <w:r>
        <w:t>nose,</w:t>
      </w:r>
      <w:r>
        <w:rPr>
          <w:spacing w:val="-10"/>
        </w:rPr>
        <w:t xml:space="preserve"> </w:t>
      </w:r>
      <w:r>
        <w:t>or</w:t>
      </w:r>
      <w:r>
        <w:rPr>
          <w:spacing w:val="-8"/>
        </w:rPr>
        <w:t xml:space="preserve"> </w:t>
      </w:r>
      <w:r>
        <w:t>other</w:t>
      </w:r>
      <w:r>
        <w:rPr>
          <w:spacing w:val="-11"/>
        </w:rPr>
        <w:t xml:space="preserve"> </w:t>
      </w:r>
      <w:r>
        <w:t>mucous</w:t>
      </w:r>
      <w:r>
        <w:rPr>
          <w:spacing w:val="-12"/>
        </w:rPr>
        <w:t xml:space="preserve"> </w:t>
      </w:r>
      <w:r>
        <w:t>membranes.</w:t>
      </w:r>
      <w:r>
        <w:rPr>
          <w:spacing w:val="-9"/>
        </w:rPr>
        <w:t xml:space="preserve"> </w:t>
      </w:r>
      <w:r>
        <w:t>If</w:t>
      </w:r>
      <w:r>
        <w:rPr>
          <w:spacing w:val="-12"/>
        </w:rPr>
        <w:t xml:space="preserve"> </w:t>
      </w:r>
      <w:r>
        <w:t>contact with mucous membranes occurs, rinse immediately and thoroughly with water.</w:t>
      </w:r>
    </w:p>
    <w:p w14:paraId="06ACE756" w14:textId="77777777" w:rsidR="00365624" w:rsidRDefault="002B025E">
      <w:pPr>
        <w:pStyle w:val="Heading2"/>
        <w:spacing w:before="195"/>
      </w:pPr>
      <w:r>
        <w:rPr>
          <w:spacing w:val="-2"/>
        </w:rPr>
        <w:t>Hypothalamic-pituitary-adrenal (HPA)</w:t>
      </w:r>
      <w:r>
        <w:rPr>
          <w:spacing w:val="-1"/>
        </w:rPr>
        <w:t xml:space="preserve"> </w:t>
      </w:r>
      <w:r>
        <w:rPr>
          <w:spacing w:val="-2"/>
        </w:rPr>
        <w:t>axis</w:t>
      </w:r>
      <w:r>
        <w:rPr>
          <w:spacing w:val="4"/>
        </w:rPr>
        <w:t xml:space="preserve"> </w:t>
      </w:r>
      <w:r>
        <w:rPr>
          <w:spacing w:val="-2"/>
        </w:rPr>
        <w:t>suppression</w:t>
      </w:r>
    </w:p>
    <w:p w14:paraId="06ACE757" w14:textId="77777777" w:rsidR="00365624" w:rsidRDefault="002B025E">
      <w:pPr>
        <w:pStyle w:val="BodyText"/>
        <w:spacing w:before="82"/>
        <w:ind w:right="661"/>
        <w:jc w:val="both"/>
      </w:pPr>
      <w:r>
        <w:t xml:space="preserve">Clascoterone is structurally </w:t>
      </w:r>
      <w:proofErr w:type="gramStart"/>
      <w:r>
        <w:t>similar to</w:t>
      </w:r>
      <w:proofErr w:type="gramEnd"/>
      <w:r>
        <w:t xml:space="preserve"> non-androgen corticosteroids and may exert its efficacy by means other than the AR.</w:t>
      </w:r>
    </w:p>
    <w:p w14:paraId="06ACE758" w14:textId="77777777" w:rsidR="00365624" w:rsidRDefault="002B025E">
      <w:pPr>
        <w:pStyle w:val="BodyText"/>
        <w:spacing w:before="82"/>
        <w:ind w:right="666"/>
        <w:jc w:val="both"/>
      </w:pPr>
      <w:r>
        <w:t>The main metabolite of clascoterone, cortexolone, is an intermediate in the synthesis of glucocorticoids and exhibits weak glucocorticoid properties.</w:t>
      </w:r>
    </w:p>
    <w:p w14:paraId="06ACE759" w14:textId="77777777" w:rsidR="00365624" w:rsidRDefault="002B025E">
      <w:pPr>
        <w:pStyle w:val="BodyText"/>
        <w:spacing w:before="82"/>
        <w:ind w:right="658"/>
        <w:jc w:val="both"/>
      </w:pPr>
      <w:r>
        <w:t>Reversible physiologic hypothalamic-pituitary-adrenal (HPA) axis suppression was observed in two maximal use clinical studies with exposure conditions up to 3 times the recommended WINLEVI daily dose for up to 2 weeks. Reversible HPA axis suppression may occur during or after treatment with clascoterone. In both studies, all patients who demonstrated an abnormal HPA axis response returned to normal HPA axis response at follow-up visit, 4 weeks after stopping treatment (see section 4.4 Special Warnings and Precautions for Use, Paediatric</w:t>
      </w:r>
      <w:r>
        <w:rPr>
          <w:spacing w:val="40"/>
        </w:rPr>
        <w:t xml:space="preserve"> </w:t>
      </w:r>
      <w:proofErr w:type="gramStart"/>
      <w:r>
        <w:t>Use</w:t>
      </w:r>
      <w:proofErr w:type="gramEnd"/>
      <w:r>
        <w:t xml:space="preserve"> and section 5.1 Pharmacodynamic Properties). Conditions which augment systemic absorption include use over large surface areas, prolonged use, and the use of occlusive dressings.</w:t>
      </w:r>
    </w:p>
    <w:p w14:paraId="06ACE75A" w14:textId="77777777" w:rsidR="00365624" w:rsidRDefault="002B025E">
      <w:pPr>
        <w:pStyle w:val="BodyText"/>
        <w:spacing w:before="124"/>
        <w:jc w:val="both"/>
      </w:pPr>
      <w:r>
        <w:rPr>
          <w:spacing w:val="-2"/>
        </w:rPr>
        <w:t>If</w:t>
      </w:r>
      <w:r>
        <w:rPr>
          <w:spacing w:val="-5"/>
        </w:rPr>
        <w:t xml:space="preserve"> </w:t>
      </w:r>
      <w:r>
        <w:rPr>
          <w:spacing w:val="-2"/>
        </w:rPr>
        <w:t>HPA</w:t>
      </w:r>
      <w:r>
        <w:rPr>
          <w:spacing w:val="-6"/>
        </w:rPr>
        <w:t xml:space="preserve"> </w:t>
      </w:r>
      <w:r>
        <w:rPr>
          <w:spacing w:val="-2"/>
        </w:rPr>
        <w:t>axis</w:t>
      </w:r>
      <w:r>
        <w:rPr>
          <w:spacing w:val="-4"/>
        </w:rPr>
        <w:t xml:space="preserve"> </w:t>
      </w:r>
      <w:r>
        <w:rPr>
          <w:spacing w:val="-2"/>
        </w:rPr>
        <w:t>suppression</w:t>
      </w:r>
      <w:r>
        <w:rPr>
          <w:spacing w:val="-4"/>
        </w:rPr>
        <w:t xml:space="preserve"> </w:t>
      </w:r>
      <w:r>
        <w:rPr>
          <w:spacing w:val="-2"/>
        </w:rPr>
        <w:t>develops,</w:t>
      </w:r>
      <w:r>
        <w:rPr>
          <w:spacing w:val="-4"/>
        </w:rPr>
        <w:t xml:space="preserve"> </w:t>
      </w:r>
      <w:r>
        <w:rPr>
          <w:spacing w:val="-2"/>
        </w:rPr>
        <w:t>an</w:t>
      </w:r>
      <w:r>
        <w:rPr>
          <w:spacing w:val="-6"/>
        </w:rPr>
        <w:t xml:space="preserve"> </w:t>
      </w:r>
      <w:r>
        <w:rPr>
          <w:spacing w:val="-2"/>
        </w:rPr>
        <w:t>attempt</w:t>
      </w:r>
      <w:r>
        <w:rPr>
          <w:spacing w:val="-5"/>
        </w:rPr>
        <w:t xml:space="preserve"> </w:t>
      </w:r>
      <w:r>
        <w:rPr>
          <w:spacing w:val="-2"/>
        </w:rPr>
        <w:t>should</w:t>
      </w:r>
      <w:r>
        <w:rPr>
          <w:spacing w:val="-3"/>
        </w:rPr>
        <w:t xml:space="preserve"> </w:t>
      </w:r>
      <w:r>
        <w:rPr>
          <w:spacing w:val="-2"/>
        </w:rPr>
        <w:t>be</w:t>
      </w:r>
      <w:r>
        <w:rPr>
          <w:spacing w:val="-5"/>
        </w:rPr>
        <w:t xml:space="preserve"> </w:t>
      </w:r>
      <w:r>
        <w:rPr>
          <w:spacing w:val="-2"/>
        </w:rPr>
        <w:t>made</w:t>
      </w:r>
      <w:r>
        <w:rPr>
          <w:spacing w:val="-5"/>
        </w:rPr>
        <w:t xml:space="preserve"> </w:t>
      </w:r>
      <w:r>
        <w:rPr>
          <w:spacing w:val="-2"/>
        </w:rPr>
        <w:t>to</w:t>
      </w:r>
      <w:r>
        <w:rPr>
          <w:spacing w:val="-7"/>
        </w:rPr>
        <w:t xml:space="preserve"> </w:t>
      </w:r>
      <w:r>
        <w:rPr>
          <w:spacing w:val="-2"/>
        </w:rPr>
        <w:t>withdraw</w:t>
      </w:r>
      <w:r>
        <w:rPr>
          <w:spacing w:val="-3"/>
        </w:rPr>
        <w:t xml:space="preserve"> </w:t>
      </w:r>
      <w:r>
        <w:rPr>
          <w:spacing w:val="-2"/>
        </w:rPr>
        <w:t>the</w:t>
      </w:r>
      <w:r>
        <w:rPr>
          <w:spacing w:val="-4"/>
        </w:rPr>
        <w:t xml:space="preserve"> </w:t>
      </w:r>
      <w:r>
        <w:rPr>
          <w:spacing w:val="-2"/>
        </w:rPr>
        <w:t>drug.</w:t>
      </w:r>
    </w:p>
    <w:p w14:paraId="06ACE75B" w14:textId="77777777" w:rsidR="00365624" w:rsidRDefault="002B025E">
      <w:pPr>
        <w:pStyle w:val="Heading2"/>
        <w:spacing w:before="197"/>
      </w:pPr>
      <w:r>
        <w:t>Local</w:t>
      </w:r>
      <w:r>
        <w:rPr>
          <w:spacing w:val="-12"/>
        </w:rPr>
        <w:t xml:space="preserve"> </w:t>
      </w:r>
      <w:r>
        <w:t>skin</w:t>
      </w:r>
      <w:r>
        <w:rPr>
          <w:spacing w:val="-10"/>
        </w:rPr>
        <w:t xml:space="preserve"> </w:t>
      </w:r>
      <w:r>
        <w:rPr>
          <w:spacing w:val="-2"/>
        </w:rPr>
        <w:t>reactions</w:t>
      </w:r>
    </w:p>
    <w:p w14:paraId="06ACE75C" w14:textId="77777777" w:rsidR="00365624" w:rsidRDefault="002B025E">
      <w:pPr>
        <w:pStyle w:val="BodyText"/>
        <w:spacing w:before="79"/>
        <w:ind w:right="690"/>
        <w:jc w:val="both"/>
      </w:pPr>
      <w:r>
        <w:t xml:space="preserve">WINLEVI may induce local irritation (edema, erythema/redness, pruritus, scaling/dryness, skin atrophy, stinging/burning, striae rubrea, telangiectasia). Concomitant use with other potentially irritating topical products (medicated or abrasive soaps and cleansers, soaps and cosmetics that have a strong drying effect and products with high concentrations of alcohol, astringents, </w:t>
      </w:r>
      <w:proofErr w:type="gramStart"/>
      <w:r>
        <w:t>spices</w:t>
      </w:r>
      <w:proofErr w:type="gramEnd"/>
      <w:r>
        <w:t xml:space="preserve"> or lime) should be limited.</w:t>
      </w:r>
    </w:p>
    <w:p w14:paraId="06ACE75D" w14:textId="77777777" w:rsidR="00365624" w:rsidRDefault="002B025E">
      <w:pPr>
        <w:pStyle w:val="Heading2"/>
      </w:pPr>
      <w:r>
        <w:t>Use</w:t>
      </w:r>
      <w:r>
        <w:rPr>
          <w:spacing w:val="-13"/>
        </w:rPr>
        <w:t xml:space="preserve"> </w:t>
      </w:r>
      <w:r>
        <w:t>in</w:t>
      </w:r>
      <w:r>
        <w:rPr>
          <w:spacing w:val="-7"/>
        </w:rPr>
        <w:t xml:space="preserve"> </w:t>
      </w:r>
      <w:r>
        <w:t>the</w:t>
      </w:r>
      <w:r>
        <w:rPr>
          <w:spacing w:val="-4"/>
        </w:rPr>
        <w:t xml:space="preserve"> </w:t>
      </w:r>
      <w:proofErr w:type="gramStart"/>
      <w:r>
        <w:rPr>
          <w:spacing w:val="-2"/>
        </w:rPr>
        <w:t>elderly</w:t>
      </w:r>
      <w:proofErr w:type="gramEnd"/>
    </w:p>
    <w:p w14:paraId="06ACE75E" w14:textId="77777777" w:rsidR="00365624" w:rsidRDefault="002B025E">
      <w:pPr>
        <w:pStyle w:val="BodyText"/>
        <w:spacing w:before="76"/>
        <w:jc w:val="both"/>
      </w:pPr>
      <w:r>
        <w:rPr>
          <w:spacing w:val="-6"/>
        </w:rPr>
        <w:t>There</w:t>
      </w:r>
      <w:r>
        <w:rPr>
          <w:spacing w:val="-3"/>
        </w:rPr>
        <w:t xml:space="preserve"> </w:t>
      </w:r>
      <w:r>
        <w:rPr>
          <w:spacing w:val="-6"/>
        </w:rPr>
        <w:t>are</w:t>
      </w:r>
      <w:r>
        <w:rPr>
          <w:spacing w:val="3"/>
        </w:rPr>
        <w:t xml:space="preserve"> </w:t>
      </w:r>
      <w:r>
        <w:rPr>
          <w:spacing w:val="-6"/>
        </w:rPr>
        <w:t>no</w:t>
      </w:r>
      <w:r>
        <w:t xml:space="preserve"> </w:t>
      </w:r>
      <w:r>
        <w:rPr>
          <w:spacing w:val="-6"/>
        </w:rPr>
        <w:t>data</w:t>
      </w:r>
      <w:r>
        <w:rPr>
          <w:spacing w:val="-5"/>
        </w:rPr>
        <w:t xml:space="preserve"> </w:t>
      </w:r>
      <w:r>
        <w:rPr>
          <w:spacing w:val="-6"/>
        </w:rPr>
        <w:t>available</w:t>
      </w:r>
      <w:r>
        <w:rPr>
          <w:spacing w:val="-1"/>
        </w:rPr>
        <w:t xml:space="preserve"> </w:t>
      </w:r>
      <w:r>
        <w:rPr>
          <w:spacing w:val="-6"/>
        </w:rPr>
        <w:t>for</w:t>
      </w:r>
      <w:r>
        <w:rPr>
          <w:spacing w:val="2"/>
        </w:rPr>
        <w:t xml:space="preserve"> </w:t>
      </w:r>
      <w:r>
        <w:rPr>
          <w:spacing w:val="-6"/>
        </w:rPr>
        <w:t>patients</w:t>
      </w:r>
      <w:r>
        <w:rPr>
          <w:spacing w:val="2"/>
        </w:rPr>
        <w:t xml:space="preserve"> </w:t>
      </w:r>
      <w:r>
        <w:rPr>
          <w:spacing w:val="-6"/>
        </w:rPr>
        <w:t>aged</w:t>
      </w:r>
      <w:r>
        <w:rPr>
          <w:spacing w:val="4"/>
        </w:rPr>
        <w:t xml:space="preserve"> </w:t>
      </w:r>
      <w:r>
        <w:rPr>
          <w:spacing w:val="-6"/>
        </w:rPr>
        <w:t>older</w:t>
      </w:r>
      <w:r>
        <w:rPr>
          <w:spacing w:val="-3"/>
        </w:rPr>
        <w:t xml:space="preserve"> </w:t>
      </w:r>
      <w:r>
        <w:rPr>
          <w:spacing w:val="-6"/>
        </w:rPr>
        <w:t>than</w:t>
      </w:r>
      <w:r>
        <w:rPr>
          <w:spacing w:val="-2"/>
        </w:rPr>
        <w:t xml:space="preserve"> </w:t>
      </w:r>
      <w:r>
        <w:rPr>
          <w:spacing w:val="-6"/>
        </w:rPr>
        <w:t>65</w:t>
      </w:r>
      <w:r>
        <w:rPr>
          <w:spacing w:val="-3"/>
        </w:rPr>
        <w:t xml:space="preserve"> </w:t>
      </w:r>
      <w:r>
        <w:rPr>
          <w:spacing w:val="-6"/>
        </w:rPr>
        <w:t>years</w:t>
      </w:r>
      <w:r>
        <w:rPr>
          <w:spacing w:val="3"/>
        </w:rPr>
        <w:t xml:space="preserve"> </w:t>
      </w:r>
      <w:r>
        <w:rPr>
          <w:spacing w:val="-6"/>
        </w:rPr>
        <w:t>as</w:t>
      </w:r>
      <w:r>
        <w:rPr>
          <w:spacing w:val="3"/>
        </w:rPr>
        <w:t xml:space="preserve"> </w:t>
      </w:r>
      <w:r>
        <w:rPr>
          <w:spacing w:val="-6"/>
        </w:rPr>
        <w:t>none</w:t>
      </w:r>
      <w:r>
        <w:rPr>
          <w:spacing w:val="-3"/>
        </w:rPr>
        <w:t xml:space="preserve"> </w:t>
      </w:r>
      <w:r>
        <w:rPr>
          <w:spacing w:val="-6"/>
        </w:rPr>
        <w:t>were</w:t>
      </w:r>
      <w:r>
        <w:rPr>
          <w:spacing w:val="-2"/>
        </w:rPr>
        <w:t xml:space="preserve"> </w:t>
      </w:r>
      <w:r>
        <w:rPr>
          <w:spacing w:val="-6"/>
        </w:rPr>
        <w:t>included</w:t>
      </w:r>
      <w:r>
        <w:rPr>
          <w:spacing w:val="-3"/>
        </w:rPr>
        <w:t xml:space="preserve"> </w:t>
      </w:r>
      <w:r>
        <w:rPr>
          <w:spacing w:val="-6"/>
        </w:rPr>
        <w:t>in</w:t>
      </w:r>
      <w:r>
        <w:rPr>
          <w:spacing w:val="-2"/>
        </w:rPr>
        <w:t xml:space="preserve"> </w:t>
      </w:r>
      <w:r>
        <w:rPr>
          <w:spacing w:val="-6"/>
        </w:rPr>
        <w:t>the</w:t>
      </w:r>
      <w:r>
        <w:rPr>
          <w:spacing w:val="1"/>
        </w:rPr>
        <w:t xml:space="preserve"> </w:t>
      </w:r>
      <w:r>
        <w:rPr>
          <w:spacing w:val="-6"/>
        </w:rPr>
        <w:t>clinical</w:t>
      </w:r>
      <w:r>
        <w:rPr>
          <w:spacing w:val="1"/>
        </w:rPr>
        <w:t xml:space="preserve"> </w:t>
      </w:r>
      <w:r>
        <w:rPr>
          <w:spacing w:val="-6"/>
        </w:rPr>
        <w:t>programme.</w:t>
      </w:r>
    </w:p>
    <w:p w14:paraId="06ACE75F" w14:textId="77777777" w:rsidR="00365624" w:rsidRDefault="002B025E">
      <w:pPr>
        <w:pStyle w:val="BodyText"/>
        <w:spacing w:before="79"/>
        <w:ind w:right="670"/>
        <w:jc w:val="both"/>
      </w:pPr>
      <w:r>
        <w:t>Other reported clinical experience has not identified differences in responses between the elderly and younger patients.</w:t>
      </w:r>
      <w:r>
        <w:rPr>
          <w:spacing w:val="-1"/>
        </w:rPr>
        <w:t xml:space="preserve"> </w:t>
      </w:r>
      <w:r>
        <w:t>In</w:t>
      </w:r>
      <w:r>
        <w:rPr>
          <w:spacing w:val="-1"/>
        </w:rPr>
        <w:t xml:space="preserve"> </w:t>
      </w:r>
      <w:r>
        <w:t>general,</w:t>
      </w:r>
      <w:r>
        <w:rPr>
          <w:spacing w:val="-1"/>
        </w:rPr>
        <w:t xml:space="preserve"> </w:t>
      </w:r>
      <w:r>
        <w:t>dose</w:t>
      </w:r>
      <w:r>
        <w:rPr>
          <w:spacing w:val="-1"/>
        </w:rPr>
        <w:t xml:space="preserve"> </w:t>
      </w:r>
      <w:r>
        <w:t>selection</w:t>
      </w:r>
      <w:r>
        <w:rPr>
          <w:spacing w:val="-1"/>
        </w:rPr>
        <w:t xml:space="preserve"> </w:t>
      </w:r>
      <w:r>
        <w:t>for an</w:t>
      </w:r>
      <w:r>
        <w:rPr>
          <w:spacing w:val="-1"/>
        </w:rPr>
        <w:t xml:space="preserve"> </w:t>
      </w:r>
      <w:r>
        <w:t>elderly</w:t>
      </w:r>
      <w:r>
        <w:rPr>
          <w:spacing w:val="-1"/>
        </w:rPr>
        <w:t xml:space="preserve"> </w:t>
      </w:r>
      <w:r>
        <w:t>patient</w:t>
      </w:r>
      <w:r>
        <w:rPr>
          <w:spacing w:val="-1"/>
        </w:rPr>
        <w:t xml:space="preserve"> </w:t>
      </w:r>
      <w:r>
        <w:t>should</w:t>
      </w:r>
      <w:r>
        <w:rPr>
          <w:spacing w:val="-1"/>
        </w:rPr>
        <w:t xml:space="preserve"> </w:t>
      </w:r>
      <w:r>
        <w:t>be</w:t>
      </w:r>
      <w:r>
        <w:rPr>
          <w:spacing w:val="-1"/>
        </w:rPr>
        <w:t xml:space="preserve"> </w:t>
      </w:r>
      <w:r>
        <w:t>cautious,</w:t>
      </w:r>
      <w:r>
        <w:rPr>
          <w:spacing w:val="-1"/>
        </w:rPr>
        <w:t xml:space="preserve"> </w:t>
      </w:r>
      <w:r>
        <w:t>usually starting</w:t>
      </w:r>
      <w:r>
        <w:rPr>
          <w:spacing w:val="-1"/>
        </w:rPr>
        <w:t xml:space="preserve"> </w:t>
      </w:r>
      <w:r>
        <w:t>at</w:t>
      </w:r>
      <w:r>
        <w:rPr>
          <w:spacing w:val="-1"/>
        </w:rPr>
        <w:t xml:space="preserve"> </w:t>
      </w:r>
      <w:r>
        <w:t>the</w:t>
      </w:r>
      <w:r>
        <w:rPr>
          <w:spacing w:val="-1"/>
        </w:rPr>
        <w:t xml:space="preserve"> </w:t>
      </w:r>
      <w:r>
        <w:t>low end</w:t>
      </w:r>
      <w:r>
        <w:rPr>
          <w:spacing w:val="-1"/>
        </w:rPr>
        <w:t xml:space="preserve"> </w:t>
      </w:r>
      <w:r>
        <w:t>of</w:t>
      </w:r>
      <w:r>
        <w:rPr>
          <w:spacing w:val="-1"/>
        </w:rPr>
        <w:t xml:space="preserve"> </w:t>
      </w:r>
      <w:r>
        <w:t>the dosing</w:t>
      </w:r>
      <w:r>
        <w:rPr>
          <w:spacing w:val="-4"/>
        </w:rPr>
        <w:t xml:space="preserve"> </w:t>
      </w:r>
      <w:r>
        <w:t>range,</w:t>
      </w:r>
      <w:r>
        <w:rPr>
          <w:spacing w:val="-3"/>
        </w:rPr>
        <w:t xml:space="preserve"> </w:t>
      </w:r>
      <w:r>
        <w:t>reflecting</w:t>
      </w:r>
      <w:r>
        <w:rPr>
          <w:spacing w:val="-5"/>
        </w:rPr>
        <w:t xml:space="preserve"> </w:t>
      </w:r>
      <w:r>
        <w:t>the</w:t>
      </w:r>
      <w:r>
        <w:rPr>
          <w:spacing w:val="-5"/>
        </w:rPr>
        <w:t xml:space="preserve"> </w:t>
      </w:r>
      <w:r>
        <w:t>greater</w:t>
      </w:r>
      <w:r>
        <w:rPr>
          <w:spacing w:val="-4"/>
        </w:rPr>
        <w:t xml:space="preserve"> </w:t>
      </w:r>
      <w:r>
        <w:t>frequency</w:t>
      </w:r>
      <w:r>
        <w:rPr>
          <w:spacing w:val="-5"/>
        </w:rPr>
        <w:t xml:space="preserve"> </w:t>
      </w:r>
      <w:r>
        <w:t>of</w:t>
      </w:r>
      <w:r>
        <w:rPr>
          <w:spacing w:val="-4"/>
        </w:rPr>
        <w:t xml:space="preserve"> </w:t>
      </w:r>
      <w:r>
        <w:t>decreased</w:t>
      </w:r>
      <w:r>
        <w:rPr>
          <w:spacing w:val="-4"/>
        </w:rPr>
        <w:t xml:space="preserve"> </w:t>
      </w:r>
      <w:r>
        <w:t>hepatic,</w:t>
      </w:r>
      <w:r>
        <w:rPr>
          <w:spacing w:val="-4"/>
        </w:rPr>
        <w:t xml:space="preserve"> </w:t>
      </w:r>
      <w:r>
        <w:t>renal,</w:t>
      </w:r>
      <w:r>
        <w:rPr>
          <w:spacing w:val="-1"/>
        </w:rPr>
        <w:t xml:space="preserve"> </w:t>
      </w:r>
      <w:r>
        <w:t>or</w:t>
      </w:r>
      <w:r>
        <w:rPr>
          <w:spacing w:val="-4"/>
        </w:rPr>
        <w:t xml:space="preserve"> </w:t>
      </w:r>
      <w:r>
        <w:t>cardiac</w:t>
      </w:r>
      <w:r>
        <w:rPr>
          <w:spacing w:val="-6"/>
        </w:rPr>
        <w:t xml:space="preserve"> </w:t>
      </w:r>
      <w:r>
        <w:t>function,</w:t>
      </w:r>
      <w:r>
        <w:rPr>
          <w:spacing w:val="-3"/>
        </w:rPr>
        <w:t xml:space="preserve"> </w:t>
      </w:r>
      <w:r>
        <w:t>and</w:t>
      </w:r>
      <w:r>
        <w:rPr>
          <w:spacing w:val="-5"/>
        </w:rPr>
        <w:t xml:space="preserve"> </w:t>
      </w:r>
      <w:r>
        <w:t>of</w:t>
      </w:r>
      <w:r>
        <w:rPr>
          <w:spacing w:val="-7"/>
        </w:rPr>
        <w:t xml:space="preserve"> </w:t>
      </w:r>
      <w:r>
        <w:t>concomitant disease or other drug therapy.</w:t>
      </w:r>
    </w:p>
    <w:p w14:paraId="06ACE760" w14:textId="77777777" w:rsidR="00365624" w:rsidRDefault="002B025E">
      <w:pPr>
        <w:pStyle w:val="Heading2"/>
      </w:pPr>
      <w:r>
        <w:rPr>
          <w:spacing w:val="-2"/>
        </w:rPr>
        <w:t>Paediatric</w:t>
      </w:r>
      <w:r>
        <w:t xml:space="preserve"> </w:t>
      </w:r>
      <w:r>
        <w:rPr>
          <w:spacing w:val="-5"/>
        </w:rPr>
        <w:t>use</w:t>
      </w:r>
    </w:p>
    <w:p w14:paraId="06ACE761" w14:textId="77777777" w:rsidR="00365624" w:rsidRDefault="002B025E">
      <w:pPr>
        <w:pStyle w:val="BodyText"/>
        <w:spacing w:before="79"/>
        <w:ind w:right="662"/>
        <w:jc w:val="both"/>
      </w:pPr>
      <w:r>
        <w:t>There</w:t>
      </w:r>
      <w:r>
        <w:rPr>
          <w:spacing w:val="-12"/>
        </w:rPr>
        <w:t xml:space="preserve"> </w:t>
      </w:r>
      <w:r>
        <w:t>are</w:t>
      </w:r>
      <w:r>
        <w:rPr>
          <w:spacing w:val="-12"/>
        </w:rPr>
        <w:t xml:space="preserve"> </w:t>
      </w:r>
      <w:r>
        <w:t>insufficient</w:t>
      </w:r>
      <w:r>
        <w:rPr>
          <w:spacing w:val="-10"/>
        </w:rPr>
        <w:t xml:space="preserve"> </w:t>
      </w:r>
      <w:r>
        <w:t>data</w:t>
      </w:r>
      <w:r>
        <w:rPr>
          <w:spacing w:val="-11"/>
        </w:rPr>
        <w:t xml:space="preserve"> </w:t>
      </w:r>
      <w:r>
        <w:t>to</w:t>
      </w:r>
      <w:r>
        <w:rPr>
          <w:spacing w:val="-11"/>
        </w:rPr>
        <w:t xml:space="preserve"> </w:t>
      </w:r>
      <w:r>
        <w:t>recommend</w:t>
      </w:r>
      <w:r>
        <w:rPr>
          <w:spacing w:val="-11"/>
        </w:rPr>
        <w:t xml:space="preserve"> </w:t>
      </w:r>
      <w:r>
        <w:t>the</w:t>
      </w:r>
      <w:r>
        <w:rPr>
          <w:spacing w:val="-11"/>
        </w:rPr>
        <w:t xml:space="preserve"> </w:t>
      </w:r>
      <w:r>
        <w:t>use</w:t>
      </w:r>
      <w:r>
        <w:rPr>
          <w:spacing w:val="-12"/>
        </w:rPr>
        <w:t xml:space="preserve"> </w:t>
      </w:r>
      <w:r>
        <w:t>of</w:t>
      </w:r>
      <w:r>
        <w:rPr>
          <w:spacing w:val="-9"/>
        </w:rPr>
        <w:t xml:space="preserve"> </w:t>
      </w:r>
      <w:r>
        <w:t>WINLEVI</w:t>
      </w:r>
      <w:r>
        <w:rPr>
          <w:spacing w:val="-10"/>
        </w:rPr>
        <w:t xml:space="preserve"> </w:t>
      </w:r>
      <w:r>
        <w:t>in</w:t>
      </w:r>
      <w:r>
        <w:rPr>
          <w:spacing w:val="-10"/>
        </w:rPr>
        <w:t xml:space="preserve"> </w:t>
      </w:r>
      <w:r>
        <w:t>children</w:t>
      </w:r>
      <w:r>
        <w:rPr>
          <w:spacing w:val="-12"/>
        </w:rPr>
        <w:t xml:space="preserve"> </w:t>
      </w:r>
      <w:r>
        <w:t>under</w:t>
      </w:r>
      <w:r>
        <w:rPr>
          <w:spacing w:val="-9"/>
        </w:rPr>
        <w:t xml:space="preserve"> </w:t>
      </w:r>
      <w:r>
        <w:t>the</w:t>
      </w:r>
      <w:r>
        <w:rPr>
          <w:spacing w:val="-12"/>
        </w:rPr>
        <w:t xml:space="preserve"> </w:t>
      </w:r>
      <w:r>
        <w:t>age</w:t>
      </w:r>
      <w:r>
        <w:rPr>
          <w:spacing w:val="-12"/>
        </w:rPr>
        <w:t xml:space="preserve"> </w:t>
      </w:r>
      <w:r>
        <w:t>of</w:t>
      </w:r>
      <w:r>
        <w:rPr>
          <w:spacing w:val="-8"/>
        </w:rPr>
        <w:t xml:space="preserve"> </w:t>
      </w:r>
      <w:r>
        <w:t>12</w:t>
      </w:r>
      <w:r>
        <w:rPr>
          <w:spacing w:val="-12"/>
        </w:rPr>
        <w:t xml:space="preserve"> </w:t>
      </w:r>
      <w:r>
        <w:t>years.</w:t>
      </w:r>
      <w:r>
        <w:rPr>
          <w:spacing w:val="-9"/>
        </w:rPr>
        <w:t xml:space="preserve"> </w:t>
      </w:r>
      <w:r>
        <w:t>Under</w:t>
      </w:r>
      <w:r>
        <w:rPr>
          <w:spacing w:val="-10"/>
        </w:rPr>
        <w:t xml:space="preserve"> </w:t>
      </w:r>
      <w:r>
        <w:t>maximal use conditions, HPA-axis suppression was seen more frequently in children less than 12 years old (See Section 4.4 HPA-axis suppression).</w:t>
      </w:r>
    </w:p>
    <w:p w14:paraId="06ACE762" w14:textId="77777777" w:rsidR="00365624" w:rsidRDefault="002B025E">
      <w:pPr>
        <w:pStyle w:val="BodyText"/>
        <w:spacing w:before="79"/>
        <w:ind w:right="661"/>
        <w:jc w:val="both"/>
      </w:pPr>
      <w:r>
        <w:t>The safety and efficacy of WINLEVI for the topical treatment of acne vulgaris have been established in 641 paediatric patients, aged 12</w:t>
      </w:r>
      <w:r>
        <w:rPr>
          <w:spacing w:val="-1"/>
        </w:rPr>
        <w:t xml:space="preserve"> </w:t>
      </w:r>
      <w:r>
        <w:t>to 18 years in two</w:t>
      </w:r>
      <w:r>
        <w:rPr>
          <w:spacing w:val="-1"/>
        </w:rPr>
        <w:t xml:space="preserve"> </w:t>
      </w:r>
      <w:r>
        <w:t xml:space="preserve">identical multicentre, randomised, double-blind, vehicle-controlled, 12-week trials and 2 open-label pharmacokinetic studies (see section 5.1 Pharmacodynamic Properties, Clinical </w:t>
      </w:r>
      <w:r>
        <w:rPr>
          <w:spacing w:val="-2"/>
        </w:rPr>
        <w:t>Trials).</w:t>
      </w:r>
    </w:p>
    <w:p w14:paraId="06ACE763" w14:textId="77777777" w:rsidR="00365624" w:rsidRDefault="002B025E">
      <w:pPr>
        <w:pStyle w:val="BodyText"/>
        <w:spacing w:before="124"/>
        <w:ind w:right="663"/>
        <w:jc w:val="both"/>
      </w:pPr>
      <w:r>
        <w:t>In two, maximum use clinical studies, with WINLEVI administered at up to 3 times the recommended daily dose, for up to 2</w:t>
      </w:r>
      <w:r>
        <w:rPr>
          <w:spacing w:val="-1"/>
        </w:rPr>
        <w:t xml:space="preserve"> </w:t>
      </w:r>
      <w:r>
        <w:t>weeks, in 20 adult patients and 22 adolescent patients, HPA axis</w:t>
      </w:r>
      <w:r>
        <w:rPr>
          <w:spacing w:val="-1"/>
        </w:rPr>
        <w:t xml:space="preserve"> </w:t>
      </w:r>
      <w:r>
        <w:t>suppression (as demonstrated by 30 minute</w:t>
      </w:r>
      <w:r>
        <w:rPr>
          <w:spacing w:val="-4"/>
        </w:rPr>
        <w:t xml:space="preserve"> </w:t>
      </w:r>
      <w:r>
        <w:t>post-stimulation</w:t>
      </w:r>
      <w:r>
        <w:rPr>
          <w:spacing w:val="-5"/>
        </w:rPr>
        <w:t xml:space="preserve"> </w:t>
      </w:r>
      <w:r>
        <w:t>serum</w:t>
      </w:r>
      <w:r>
        <w:rPr>
          <w:spacing w:val="-4"/>
        </w:rPr>
        <w:t xml:space="preserve"> </w:t>
      </w:r>
      <w:r>
        <w:t>cortisol</w:t>
      </w:r>
      <w:r>
        <w:rPr>
          <w:spacing w:val="-4"/>
        </w:rPr>
        <w:t xml:space="preserve"> </w:t>
      </w:r>
      <w:r>
        <w:t>level</w:t>
      </w:r>
      <w:r>
        <w:rPr>
          <w:spacing w:val="-2"/>
        </w:rPr>
        <w:t xml:space="preserve"> </w:t>
      </w:r>
      <w:r>
        <w:t>≤497</w:t>
      </w:r>
      <w:r>
        <w:rPr>
          <w:spacing w:val="-3"/>
        </w:rPr>
        <w:t xml:space="preserve"> </w:t>
      </w:r>
      <w:r>
        <w:t>nmol/L)</w:t>
      </w:r>
      <w:r>
        <w:rPr>
          <w:spacing w:val="-2"/>
        </w:rPr>
        <w:t xml:space="preserve"> </w:t>
      </w:r>
      <w:r>
        <w:t>was</w:t>
      </w:r>
      <w:r>
        <w:rPr>
          <w:spacing w:val="-2"/>
        </w:rPr>
        <w:t xml:space="preserve"> </w:t>
      </w:r>
      <w:r>
        <w:t>observed</w:t>
      </w:r>
      <w:r>
        <w:rPr>
          <w:spacing w:val="-3"/>
        </w:rPr>
        <w:t xml:space="preserve"> </w:t>
      </w:r>
      <w:r>
        <w:t>in</w:t>
      </w:r>
      <w:r>
        <w:rPr>
          <w:spacing w:val="-6"/>
        </w:rPr>
        <w:t xml:space="preserve"> </w:t>
      </w:r>
      <w:r>
        <w:t>1/20</w:t>
      </w:r>
      <w:r>
        <w:rPr>
          <w:spacing w:val="-6"/>
        </w:rPr>
        <w:t xml:space="preserve"> </w:t>
      </w:r>
      <w:r>
        <w:t>(5%)</w:t>
      </w:r>
      <w:r>
        <w:rPr>
          <w:spacing w:val="-4"/>
        </w:rPr>
        <w:t xml:space="preserve"> </w:t>
      </w:r>
      <w:r>
        <w:t>adult</w:t>
      </w:r>
      <w:r>
        <w:rPr>
          <w:spacing w:val="-2"/>
        </w:rPr>
        <w:t xml:space="preserve"> </w:t>
      </w:r>
      <w:r>
        <w:t>patients</w:t>
      </w:r>
      <w:r>
        <w:rPr>
          <w:spacing w:val="-1"/>
        </w:rPr>
        <w:t xml:space="preserve"> </w:t>
      </w:r>
      <w:r>
        <w:t>and</w:t>
      </w:r>
      <w:r>
        <w:rPr>
          <w:spacing w:val="-4"/>
        </w:rPr>
        <w:t xml:space="preserve"> </w:t>
      </w:r>
      <w:r>
        <w:t>2/22</w:t>
      </w:r>
      <w:r>
        <w:rPr>
          <w:spacing w:val="-6"/>
        </w:rPr>
        <w:t xml:space="preserve"> </w:t>
      </w:r>
      <w:r>
        <w:t>(9%) adolescent patients. These were generally minimal reductions below normal levels.</w:t>
      </w:r>
    </w:p>
    <w:p w14:paraId="06ACE764" w14:textId="77777777" w:rsidR="00365624" w:rsidRDefault="002B025E">
      <w:pPr>
        <w:pStyle w:val="BodyText"/>
        <w:spacing w:before="119"/>
        <w:ind w:right="663"/>
        <w:jc w:val="both"/>
      </w:pPr>
      <w:r>
        <w:t>All</w:t>
      </w:r>
      <w:r>
        <w:rPr>
          <w:spacing w:val="-8"/>
        </w:rPr>
        <w:t xml:space="preserve"> </w:t>
      </w:r>
      <w:r>
        <w:t>subjects</w:t>
      </w:r>
      <w:r>
        <w:rPr>
          <w:spacing w:val="-6"/>
        </w:rPr>
        <w:t xml:space="preserve"> </w:t>
      </w:r>
      <w:r>
        <w:t>returned</w:t>
      </w:r>
      <w:r>
        <w:rPr>
          <w:spacing w:val="-8"/>
        </w:rPr>
        <w:t xml:space="preserve"> </w:t>
      </w:r>
      <w:r>
        <w:t>to</w:t>
      </w:r>
      <w:r>
        <w:rPr>
          <w:spacing w:val="-8"/>
        </w:rPr>
        <w:t xml:space="preserve"> </w:t>
      </w:r>
      <w:r>
        <w:t>normal</w:t>
      </w:r>
      <w:r>
        <w:rPr>
          <w:spacing w:val="-8"/>
        </w:rPr>
        <w:t xml:space="preserve"> </w:t>
      </w:r>
      <w:r>
        <w:t>HPA</w:t>
      </w:r>
      <w:r>
        <w:rPr>
          <w:spacing w:val="-7"/>
        </w:rPr>
        <w:t xml:space="preserve"> </w:t>
      </w:r>
      <w:r>
        <w:t>axis</w:t>
      </w:r>
      <w:r>
        <w:rPr>
          <w:spacing w:val="-5"/>
        </w:rPr>
        <w:t xml:space="preserve"> </w:t>
      </w:r>
      <w:r>
        <w:t>response</w:t>
      </w:r>
      <w:r>
        <w:rPr>
          <w:spacing w:val="-5"/>
        </w:rPr>
        <w:t xml:space="preserve"> </w:t>
      </w:r>
      <w:r>
        <w:t>at</w:t>
      </w:r>
      <w:r>
        <w:rPr>
          <w:spacing w:val="-7"/>
        </w:rPr>
        <w:t xml:space="preserve"> </w:t>
      </w:r>
      <w:r>
        <w:t>follow-up</w:t>
      </w:r>
      <w:r>
        <w:rPr>
          <w:spacing w:val="-6"/>
        </w:rPr>
        <w:t xml:space="preserve"> </w:t>
      </w:r>
      <w:r>
        <w:t>4</w:t>
      </w:r>
      <w:r>
        <w:rPr>
          <w:spacing w:val="-7"/>
        </w:rPr>
        <w:t xml:space="preserve"> </w:t>
      </w:r>
      <w:r>
        <w:t>weeks</w:t>
      </w:r>
      <w:r>
        <w:rPr>
          <w:spacing w:val="-7"/>
        </w:rPr>
        <w:t xml:space="preserve"> </w:t>
      </w:r>
      <w:r>
        <w:t>after</w:t>
      </w:r>
      <w:r>
        <w:rPr>
          <w:spacing w:val="-9"/>
        </w:rPr>
        <w:t xml:space="preserve"> </w:t>
      </w:r>
      <w:r>
        <w:t>stopping</w:t>
      </w:r>
      <w:r>
        <w:rPr>
          <w:spacing w:val="-7"/>
        </w:rPr>
        <w:t xml:space="preserve"> </w:t>
      </w:r>
      <w:r>
        <w:t>the</w:t>
      </w:r>
      <w:r>
        <w:rPr>
          <w:spacing w:val="-6"/>
        </w:rPr>
        <w:t xml:space="preserve"> </w:t>
      </w:r>
      <w:r>
        <w:t>treatment.</w:t>
      </w:r>
      <w:r>
        <w:rPr>
          <w:spacing w:val="-7"/>
        </w:rPr>
        <w:t xml:space="preserve"> </w:t>
      </w:r>
      <w:r>
        <w:t>Children</w:t>
      </w:r>
      <w:r>
        <w:rPr>
          <w:spacing w:val="-7"/>
        </w:rPr>
        <w:t xml:space="preserve"> </w:t>
      </w:r>
      <w:r>
        <w:t xml:space="preserve">may </w:t>
      </w:r>
      <w:r>
        <w:lastRenderedPageBreak/>
        <w:t xml:space="preserve">be more susceptible to systemic toxicity when treated with clascoterone (see section 5.1 Pharmacodynamic </w:t>
      </w:r>
      <w:r>
        <w:rPr>
          <w:spacing w:val="-2"/>
        </w:rPr>
        <w:t>Properties).</w:t>
      </w:r>
    </w:p>
    <w:p w14:paraId="06ACE765" w14:textId="77777777" w:rsidR="00365624" w:rsidRDefault="002B025E">
      <w:pPr>
        <w:pStyle w:val="Heading2"/>
        <w:spacing w:before="202"/>
      </w:pPr>
      <w:r>
        <w:rPr>
          <w:spacing w:val="-2"/>
        </w:rPr>
        <w:t>Effects</w:t>
      </w:r>
      <w:r>
        <w:rPr>
          <w:spacing w:val="-7"/>
        </w:rPr>
        <w:t xml:space="preserve"> </w:t>
      </w:r>
      <w:r>
        <w:rPr>
          <w:spacing w:val="-2"/>
        </w:rPr>
        <w:t>on</w:t>
      </w:r>
      <w:r>
        <w:rPr>
          <w:spacing w:val="-4"/>
        </w:rPr>
        <w:t xml:space="preserve"> </w:t>
      </w:r>
      <w:r>
        <w:rPr>
          <w:spacing w:val="-2"/>
        </w:rPr>
        <w:t>Laboratory</w:t>
      </w:r>
      <w:r>
        <w:t xml:space="preserve"> </w:t>
      </w:r>
      <w:r>
        <w:rPr>
          <w:spacing w:val="-4"/>
        </w:rPr>
        <w:t>Tests</w:t>
      </w:r>
    </w:p>
    <w:p w14:paraId="06ACE766" w14:textId="77777777" w:rsidR="00365624" w:rsidRDefault="002B025E">
      <w:pPr>
        <w:pStyle w:val="BodyText"/>
        <w:spacing w:before="81"/>
        <w:jc w:val="both"/>
        <w:rPr>
          <w:spacing w:val="-4"/>
        </w:rPr>
      </w:pPr>
      <w:r>
        <w:rPr>
          <w:spacing w:val="-4"/>
        </w:rPr>
        <w:t>No</w:t>
      </w:r>
      <w:r>
        <w:rPr>
          <w:spacing w:val="-10"/>
        </w:rPr>
        <w:t xml:space="preserve"> </w:t>
      </w:r>
      <w:r>
        <w:rPr>
          <w:spacing w:val="-4"/>
        </w:rPr>
        <w:t>data</w:t>
      </w:r>
      <w:r>
        <w:rPr>
          <w:spacing w:val="-3"/>
        </w:rPr>
        <w:t xml:space="preserve"> </w:t>
      </w:r>
      <w:r>
        <w:rPr>
          <w:spacing w:val="-4"/>
        </w:rPr>
        <w:t>available.</w:t>
      </w:r>
    </w:p>
    <w:p w14:paraId="1F2968DE" w14:textId="77777777" w:rsidR="008B5AF3" w:rsidRDefault="008B5AF3">
      <w:pPr>
        <w:pStyle w:val="BodyText"/>
        <w:spacing w:before="81"/>
        <w:jc w:val="both"/>
      </w:pPr>
    </w:p>
    <w:p w14:paraId="06ACE768" w14:textId="77777777" w:rsidR="00365624" w:rsidRDefault="002B025E">
      <w:pPr>
        <w:pStyle w:val="Heading1"/>
        <w:numPr>
          <w:ilvl w:val="1"/>
          <w:numId w:val="1"/>
        </w:numPr>
        <w:tabs>
          <w:tab w:val="left" w:pos="628"/>
        </w:tabs>
        <w:spacing w:before="15"/>
        <w:ind w:left="260" w:right="2175" w:firstLine="0"/>
      </w:pPr>
      <w:bookmarkStart w:id="10" w:name="4.5_INTERACTIONS_WITH_OTHER_MEDICINES_AN"/>
      <w:bookmarkStart w:id="11" w:name="4.6_FERTILITY,_PREGNANCY_AND_LACTATION"/>
      <w:bookmarkEnd w:id="10"/>
      <w:bookmarkEnd w:id="11"/>
      <w:r>
        <w:rPr>
          <w:spacing w:val="-2"/>
        </w:rPr>
        <w:t>INTERACTIONS</w:t>
      </w:r>
      <w:r>
        <w:rPr>
          <w:spacing w:val="-8"/>
        </w:rPr>
        <w:t xml:space="preserve"> </w:t>
      </w:r>
      <w:r>
        <w:rPr>
          <w:spacing w:val="-2"/>
        </w:rPr>
        <w:t>WITH</w:t>
      </w:r>
      <w:r>
        <w:rPr>
          <w:spacing w:val="-8"/>
        </w:rPr>
        <w:t xml:space="preserve"> </w:t>
      </w:r>
      <w:r>
        <w:rPr>
          <w:spacing w:val="-2"/>
        </w:rPr>
        <w:t>OTHER</w:t>
      </w:r>
      <w:r>
        <w:rPr>
          <w:spacing w:val="-9"/>
        </w:rPr>
        <w:t xml:space="preserve"> </w:t>
      </w:r>
      <w:r>
        <w:rPr>
          <w:spacing w:val="-2"/>
        </w:rPr>
        <w:t>MEDICINES</w:t>
      </w:r>
      <w:r>
        <w:rPr>
          <w:spacing w:val="-10"/>
        </w:rPr>
        <w:t xml:space="preserve"> </w:t>
      </w:r>
      <w:r>
        <w:rPr>
          <w:spacing w:val="-2"/>
        </w:rPr>
        <w:t>AND</w:t>
      </w:r>
      <w:r>
        <w:rPr>
          <w:spacing w:val="-9"/>
        </w:rPr>
        <w:t xml:space="preserve"> </w:t>
      </w:r>
      <w:r>
        <w:rPr>
          <w:spacing w:val="-2"/>
        </w:rPr>
        <w:t>OTHER</w:t>
      </w:r>
      <w:r>
        <w:rPr>
          <w:spacing w:val="-8"/>
        </w:rPr>
        <w:t xml:space="preserve"> </w:t>
      </w:r>
      <w:r>
        <w:rPr>
          <w:spacing w:val="-2"/>
        </w:rPr>
        <w:t>FORMS</w:t>
      </w:r>
      <w:r>
        <w:rPr>
          <w:spacing w:val="-9"/>
        </w:rPr>
        <w:t xml:space="preserve"> </w:t>
      </w:r>
      <w:r>
        <w:rPr>
          <w:spacing w:val="-2"/>
        </w:rPr>
        <w:t>OF INTERACTIONS</w:t>
      </w:r>
    </w:p>
    <w:p w14:paraId="06ACE769" w14:textId="77777777" w:rsidR="00365624" w:rsidRDefault="002B025E">
      <w:pPr>
        <w:pStyle w:val="BodyText"/>
        <w:spacing w:before="82"/>
      </w:pPr>
      <w:r>
        <w:rPr>
          <w:spacing w:val="-6"/>
        </w:rPr>
        <w:t>No clinical</w:t>
      </w:r>
      <w:r>
        <w:rPr>
          <w:spacing w:val="1"/>
        </w:rPr>
        <w:t xml:space="preserve"> </w:t>
      </w:r>
      <w:r>
        <w:rPr>
          <w:spacing w:val="-6"/>
        </w:rPr>
        <w:t>studies</w:t>
      </w:r>
      <w:r>
        <w:rPr>
          <w:spacing w:val="5"/>
        </w:rPr>
        <w:t xml:space="preserve"> </w:t>
      </w:r>
      <w:r>
        <w:rPr>
          <w:spacing w:val="-6"/>
        </w:rPr>
        <w:t>evaluating</w:t>
      </w:r>
      <w:r>
        <w:rPr>
          <w:spacing w:val="-2"/>
        </w:rPr>
        <w:t xml:space="preserve"> </w:t>
      </w:r>
      <w:r>
        <w:rPr>
          <w:spacing w:val="-6"/>
        </w:rPr>
        <w:t>the</w:t>
      </w:r>
      <w:r>
        <w:rPr>
          <w:spacing w:val="2"/>
        </w:rPr>
        <w:t xml:space="preserve"> </w:t>
      </w:r>
      <w:r>
        <w:rPr>
          <w:spacing w:val="-6"/>
        </w:rPr>
        <w:t>drug</w:t>
      </w:r>
      <w:r>
        <w:rPr>
          <w:spacing w:val="-1"/>
        </w:rPr>
        <w:t xml:space="preserve"> </w:t>
      </w:r>
      <w:r>
        <w:rPr>
          <w:spacing w:val="-6"/>
        </w:rPr>
        <w:t>interaction</w:t>
      </w:r>
      <w:r>
        <w:rPr>
          <w:spacing w:val="2"/>
        </w:rPr>
        <w:t xml:space="preserve"> </w:t>
      </w:r>
      <w:r>
        <w:rPr>
          <w:spacing w:val="-6"/>
        </w:rPr>
        <w:t>potential</w:t>
      </w:r>
      <w:r>
        <w:rPr>
          <w:spacing w:val="-1"/>
        </w:rPr>
        <w:t xml:space="preserve"> </w:t>
      </w:r>
      <w:r>
        <w:rPr>
          <w:spacing w:val="-6"/>
        </w:rPr>
        <w:t>of</w:t>
      </w:r>
      <w:r>
        <w:rPr>
          <w:spacing w:val="8"/>
        </w:rPr>
        <w:t xml:space="preserve"> </w:t>
      </w:r>
      <w:r>
        <w:rPr>
          <w:spacing w:val="-6"/>
        </w:rPr>
        <w:t>WINLEVI</w:t>
      </w:r>
      <w:r>
        <w:rPr>
          <w:spacing w:val="7"/>
        </w:rPr>
        <w:t xml:space="preserve"> </w:t>
      </w:r>
      <w:r>
        <w:rPr>
          <w:spacing w:val="-6"/>
        </w:rPr>
        <w:t>have</w:t>
      </w:r>
      <w:r>
        <w:t xml:space="preserve"> </w:t>
      </w:r>
      <w:r>
        <w:rPr>
          <w:spacing w:val="-6"/>
        </w:rPr>
        <w:t>been</w:t>
      </w:r>
      <w:r>
        <w:rPr>
          <w:spacing w:val="1"/>
        </w:rPr>
        <w:t xml:space="preserve"> </w:t>
      </w:r>
      <w:r>
        <w:rPr>
          <w:spacing w:val="-6"/>
        </w:rPr>
        <w:t>conducted.</w:t>
      </w:r>
    </w:p>
    <w:p w14:paraId="06ACE76A" w14:textId="77777777" w:rsidR="00365624" w:rsidRDefault="002B025E">
      <w:pPr>
        <w:pStyle w:val="Heading4"/>
        <w:spacing w:before="120"/>
      </w:pPr>
      <w:r>
        <w:rPr>
          <w:spacing w:val="-4"/>
        </w:rPr>
        <w:t>In</w:t>
      </w:r>
      <w:r>
        <w:rPr>
          <w:spacing w:val="-7"/>
        </w:rPr>
        <w:t xml:space="preserve"> </w:t>
      </w:r>
      <w:r>
        <w:rPr>
          <w:spacing w:val="-4"/>
        </w:rPr>
        <w:t>Vitro</w:t>
      </w:r>
      <w:r>
        <w:rPr>
          <w:spacing w:val="-2"/>
        </w:rPr>
        <w:t xml:space="preserve"> </w:t>
      </w:r>
      <w:r>
        <w:rPr>
          <w:spacing w:val="-4"/>
        </w:rPr>
        <w:t>Studies</w:t>
      </w:r>
    </w:p>
    <w:p w14:paraId="06ACE76B" w14:textId="77777777" w:rsidR="00365624" w:rsidRDefault="002B025E">
      <w:pPr>
        <w:pStyle w:val="BodyText"/>
        <w:spacing w:before="119"/>
        <w:ind w:right="761"/>
      </w:pPr>
      <w:r>
        <w:rPr>
          <w:i/>
        </w:rPr>
        <w:t>In</w:t>
      </w:r>
      <w:r>
        <w:rPr>
          <w:i/>
          <w:spacing w:val="-9"/>
        </w:rPr>
        <w:t xml:space="preserve"> </w:t>
      </w:r>
      <w:r>
        <w:rPr>
          <w:i/>
        </w:rPr>
        <w:t>vitro</w:t>
      </w:r>
      <w:r>
        <w:rPr>
          <w:i/>
          <w:spacing w:val="-9"/>
        </w:rPr>
        <w:t xml:space="preserve"> </w:t>
      </w:r>
      <w:r>
        <w:t>findings</w:t>
      </w:r>
      <w:r>
        <w:rPr>
          <w:spacing w:val="-5"/>
        </w:rPr>
        <w:t xml:space="preserve"> </w:t>
      </w:r>
      <w:r>
        <w:t>suggest</w:t>
      </w:r>
      <w:r>
        <w:rPr>
          <w:spacing w:val="-8"/>
        </w:rPr>
        <w:t xml:space="preserve"> </w:t>
      </w:r>
      <w:r>
        <w:t>that</w:t>
      </w:r>
      <w:r>
        <w:rPr>
          <w:spacing w:val="-7"/>
        </w:rPr>
        <w:t xml:space="preserve"> </w:t>
      </w:r>
      <w:r>
        <w:t>clascoterone</w:t>
      </w:r>
      <w:r>
        <w:rPr>
          <w:spacing w:val="-7"/>
        </w:rPr>
        <w:t xml:space="preserve"> </w:t>
      </w:r>
      <w:r>
        <w:t>has</w:t>
      </w:r>
      <w:r>
        <w:rPr>
          <w:spacing w:val="-8"/>
        </w:rPr>
        <w:t xml:space="preserve"> </w:t>
      </w:r>
      <w:r>
        <w:t>no</w:t>
      </w:r>
      <w:r>
        <w:rPr>
          <w:spacing w:val="-9"/>
        </w:rPr>
        <w:t xml:space="preserve"> </w:t>
      </w:r>
      <w:r>
        <w:t>clinically</w:t>
      </w:r>
      <w:r>
        <w:rPr>
          <w:spacing w:val="-5"/>
        </w:rPr>
        <w:t xml:space="preserve"> </w:t>
      </w:r>
      <w:r>
        <w:t>meaningful</w:t>
      </w:r>
      <w:r>
        <w:rPr>
          <w:spacing w:val="-7"/>
        </w:rPr>
        <w:t xml:space="preserve"> </w:t>
      </w:r>
      <w:r>
        <w:t>effect</w:t>
      </w:r>
      <w:r>
        <w:rPr>
          <w:spacing w:val="-7"/>
        </w:rPr>
        <w:t xml:space="preserve"> </w:t>
      </w:r>
      <w:r>
        <w:t>on</w:t>
      </w:r>
      <w:r>
        <w:rPr>
          <w:spacing w:val="-9"/>
        </w:rPr>
        <w:t xml:space="preserve"> </w:t>
      </w:r>
      <w:r>
        <w:t>the</w:t>
      </w:r>
      <w:r>
        <w:rPr>
          <w:spacing w:val="-9"/>
        </w:rPr>
        <w:t xml:space="preserve"> </w:t>
      </w:r>
      <w:r>
        <w:t>PK</w:t>
      </w:r>
      <w:r>
        <w:rPr>
          <w:spacing w:val="-7"/>
        </w:rPr>
        <w:t xml:space="preserve"> </w:t>
      </w:r>
      <w:r>
        <w:t>of</w:t>
      </w:r>
      <w:r>
        <w:rPr>
          <w:spacing w:val="-8"/>
        </w:rPr>
        <w:t xml:space="preserve"> </w:t>
      </w:r>
      <w:r>
        <w:t>drugs</w:t>
      </w:r>
      <w:r>
        <w:rPr>
          <w:spacing w:val="-7"/>
        </w:rPr>
        <w:t xml:space="preserve"> </w:t>
      </w:r>
      <w:r>
        <w:t>metabolised</w:t>
      </w:r>
      <w:r>
        <w:rPr>
          <w:spacing w:val="-8"/>
        </w:rPr>
        <w:t xml:space="preserve"> </w:t>
      </w:r>
      <w:r>
        <w:t>by CYP1A2, 2B6, 2C8, 2C9, 2C19, 2D6, 2E1 and 3A4.</w:t>
      </w:r>
    </w:p>
    <w:p w14:paraId="06ACE76C" w14:textId="77777777" w:rsidR="00365624" w:rsidRDefault="002B025E">
      <w:pPr>
        <w:pStyle w:val="Heading1"/>
        <w:numPr>
          <w:ilvl w:val="1"/>
          <w:numId w:val="1"/>
        </w:numPr>
        <w:tabs>
          <w:tab w:val="left" w:pos="628"/>
        </w:tabs>
        <w:spacing w:before="139"/>
        <w:ind w:left="628" w:hanging="368"/>
      </w:pPr>
      <w:r>
        <w:rPr>
          <w:spacing w:val="-8"/>
        </w:rPr>
        <w:t>FERTILITY,</w:t>
      </w:r>
      <w:r>
        <w:rPr>
          <w:spacing w:val="2"/>
        </w:rPr>
        <w:t xml:space="preserve"> </w:t>
      </w:r>
      <w:r>
        <w:rPr>
          <w:spacing w:val="-8"/>
        </w:rPr>
        <w:t>PREGNANCY</w:t>
      </w:r>
      <w:r>
        <w:rPr>
          <w:spacing w:val="1"/>
        </w:rPr>
        <w:t xml:space="preserve"> </w:t>
      </w:r>
      <w:r>
        <w:rPr>
          <w:spacing w:val="-8"/>
        </w:rPr>
        <w:t>AND</w:t>
      </w:r>
      <w:r>
        <w:rPr>
          <w:spacing w:val="1"/>
        </w:rPr>
        <w:t xml:space="preserve"> </w:t>
      </w:r>
      <w:r>
        <w:rPr>
          <w:spacing w:val="-8"/>
        </w:rPr>
        <w:t>LACTATION</w:t>
      </w:r>
    </w:p>
    <w:p w14:paraId="06ACE76D" w14:textId="77777777" w:rsidR="00365624" w:rsidRDefault="002B025E">
      <w:pPr>
        <w:pStyle w:val="Heading2"/>
        <w:spacing w:before="203"/>
      </w:pPr>
      <w:r>
        <w:rPr>
          <w:spacing w:val="-2"/>
        </w:rPr>
        <w:t>Effects</w:t>
      </w:r>
      <w:r>
        <w:rPr>
          <w:spacing w:val="-6"/>
        </w:rPr>
        <w:t xml:space="preserve"> </w:t>
      </w:r>
      <w:r>
        <w:rPr>
          <w:spacing w:val="-2"/>
        </w:rPr>
        <w:t>on</w:t>
      </w:r>
      <w:r>
        <w:rPr>
          <w:spacing w:val="-4"/>
        </w:rPr>
        <w:t xml:space="preserve"> </w:t>
      </w:r>
      <w:r>
        <w:rPr>
          <w:spacing w:val="-2"/>
        </w:rPr>
        <w:t>Fertility</w:t>
      </w:r>
    </w:p>
    <w:p w14:paraId="06ACE76E" w14:textId="77777777" w:rsidR="00365624" w:rsidRDefault="002B025E">
      <w:pPr>
        <w:pStyle w:val="BodyText"/>
        <w:spacing w:before="77"/>
        <w:ind w:right="581"/>
        <w:jc w:val="both"/>
      </w:pPr>
      <w:r>
        <w:t>In</w:t>
      </w:r>
      <w:r>
        <w:rPr>
          <w:spacing w:val="-12"/>
        </w:rPr>
        <w:t xml:space="preserve"> </w:t>
      </w:r>
      <w:r>
        <w:t>a</w:t>
      </w:r>
      <w:r>
        <w:rPr>
          <w:spacing w:val="-12"/>
        </w:rPr>
        <w:t xml:space="preserve"> </w:t>
      </w:r>
      <w:r>
        <w:t>fertility</w:t>
      </w:r>
      <w:r>
        <w:rPr>
          <w:spacing w:val="-10"/>
        </w:rPr>
        <w:t xml:space="preserve"> </w:t>
      </w:r>
      <w:r>
        <w:t>and</w:t>
      </w:r>
      <w:r>
        <w:rPr>
          <w:spacing w:val="-11"/>
        </w:rPr>
        <w:t xml:space="preserve"> </w:t>
      </w:r>
      <w:r>
        <w:t>early</w:t>
      </w:r>
      <w:r>
        <w:rPr>
          <w:spacing w:val="-12"/>
        </w:rPr>
        <w:t xml:space="preserve"> </w:t>
      </w:r>
      <w:r>
        <w:t>embryonic</w:t>
      </w:r>
      <w:r>
        <w:rPr>
          <w:spacing w:val="-11"/>
        </w:rPr>
        <w:t xml:space="preserve"> </w:t>
      </w:r>
      <w:r>
        <w:t>development</w:t>
      </w:r>
      <w:r>
        <w:rPr>
          <w:spacing w:val="-10"/>
        </w:rPr>
        <w:t xml:space="preserve"> </w:t>
      </w:r>
      <w:r>
        <w:t>study</w:t>
      </w:r>
      <w:r>
        <w:rPr>
          <w:spacing w:val="-11"/>
        </w:rPr>
        <w:t xml:space="preserve"> </w:t>
      </w:r>
      <w:r>
        <w:t>in</w:t>
      </w:r>
      <w:r>
        <w:rPr>
          <w:spacing w:val="-12"/>
        </w:rPr>
        <w:t xml:space="preserve"> </w:t>
      </w:r>
      <w:r>
        <w:t>rats,</w:t>
      </w:r>
      <w:r>
        <w:rPr>
          <w:spacing w:val="-12"/>
        </w:rPr>
        <w:t xml:space="preserve"> </w:t>
      </w:r>
      <w:r>
        <w:t>clascoterone</w:t>
      </w:r>
      <w:r>
        <w:rPr>
          <w:spacing w:val="-12"/>
        </w:rPr>
        <w:t xml:space="preserve"> </w:t>
      </w:r>
      <w:r>
        <w:t>was</w:t>
      </w:r>
      <w:r>
        <w:rPr>
          <w:spacing w:val="-12"/>
        </w:rPr>
        <w:t xml:space="preserve"> </w:t>
      </w:r>
      <w:r>
        <w:t>administered</w:t>
      </w:r>
      <w:r>
        <w:rPr>
          <w:spacing w:val="-11"/>
        </w:rPr>
        <w:t xml:space="preserve"> </w:t>
      </w:r>
      <w:r>
        <w:t>subcutaneously</w:t>
      </w:r>
      <w:r>
        <w:rPr>
          <w:spacing w:val="-10"/>
        </w:rPr>
        <w:t xml:space="preserve"> </w:t>
      </w:r>
      <w:r>
        <w:t>at</w:t>
      </w:r>
      <w:r>
        <w:rPr>
          <w:spacing w:val="-12"/>
        </w:rPr>
        <w:t xml:space="preserve"> </w:t>
      </w:r>
      <w:r>
        <w:t>doses up to 12.5 mg/kg/day from 2 – 4 weeks before mating and throughout mating. Clascoterone increased pre- implantation</w:t>
      </w:r>
      <w:r>
        <w:rPr>
          <w:spacing w:val="-12"/>
        </w:rPr>
        <w:t xml:space="preserve"> </w:t>
      </w:r>
      <w:r>
        <w:t>loss</w:t>
      </w:r>
      <w:r>
        <w:rPr>
          <w:spacing w:val="-12"/>
        </w:rPr>
        <w:t xml:space="preserve"> </w:t>
      </w:r>
      <w:r>
        <w:t>at</w:t>
      </w:r>
      <w:r>
        <w:rPr>
          <w:spacing w:val="-10"/>
        </w:rPr>
        <w:t xml:space="preserve"> </w:t>
      </w:r>
      <w:r>
        <w:t>12.5</w:t>
      </w:r>
      <w:r>
        <w:rPr>
          <w:spacing w:val="-12"/>
        </w:rPr>
        <w:t xml:space="preserve"> </w:t>
      </w:r>
      <w:r>
        <w:t>mg/kg/day</w:t>
      </w:r>
      <w:r>
        <w:rPr>
          <w:spacing w:val="-10"/>
        </w:rPr>
        <w:t xml:space="preserve"> </w:t>
      </w:r>
      <w:r>
        <w:t>(estimated</w:t>
      </w:r>
      <w:r>
        <w:rPr>
          <w:spacing w:val="-12"/>
        </w:rPr>
        <w:t xml:space="preserve"> </w:t>
      </w:r>
      <w:r>
        <w:t>35</w:t>
      </w:r>
      <w:r>
        <w:rPr>
          <w:spacing w:val="-11"/>
        </w:rPr>
        <w:t xml:space="preserve"> </w:t>
      </w:r>
      <w:r>
        <w:t>times</w:t>
      </w:r>
      <w:r>
        <w:rPr>
          <w:spacing w:val="-12"/>
        </w:rPr>
        <w:t xml:space="preserve"> </w:t>
      </w:r>
      <w:r>
        <w:t>the</w:t>
      </w:r>
      <w:r>
        <w:rPr>
          <w:spacing w:val="-10"/>
        </w:rPr>
        <w:t xml:space="preserve"> </w:t>
      </w:r>
      <w:r>
        <w:t>AUC</w:t>
      </w:r>
      <w:r>
        <w:rPr>
          <w:spacing w:val="-11"/>
        </w:rPr>
        <w:t xml:space="preserve"> </w:t>
      </w:r>
      <w:r>
        <w:t>at</w:t>
      </w:r>
      <w:r>
        <w:rPr>
          <w:spacing w:val="-9"/>
        </w:rPr>
        <w:t xml:space="preserve"> </w:t>
      </w:r>
      <w:r>
        <w:t>a</w:t>
      </w:r>
      <w:r>
        <w:rPr>
          <w:spacing w:val="-10"/>
        </w:rPr>
        <w:t xml:space="preserve"> </w:t>
      </w:r>
      <w:r>
        <w:t>human</w:t>
      </w:r>
      <w:r>
        <w:rPr>
          <w:spacing w:val="-10"/>
        </w:rPr>
        <w:t xml:space="preserve"> </w:t>
      </w:r>
      <w:r>
        <w:t>dose</w:t>
      </w:r>
      <w:r>
        <w:rPr>
          <w:spacing w:val="-11"/>
        </w:rPr>
        <w:t xml:space="preserve"> </w:t>
      </w:r>
      <w:r>
        <w:t>of</w:t>
      </w:r>
      <w:r>
        <w:rPr>
          <w:spacing w:val="-9"/>
        </w:rPr>
        <w:t xml:space="preserve"> </w:t>
      </w:r>
      <w:r>
        <w:t>6</w:t>
      </w:r>
      <w:r>
        <w:rPr>
          <w:spacing w:val="-10"/>
        </w:rPr>
        <w:t xml:space="preserve"> </w:t>
      </w:r>
      <w:r>
        <w:t>g</w:t>
      </w:r>
      <w:r>
        <w:rPr>
          <w:spacing w:val="-11"/>
        </w:rPr>
        <w:t xml:space="preserve"> </w:t>
      </w:r>
      <w:r>
        <w:t>of</w:t>
      </w:r>
      <w:r>
        <w:rPr>
          <w:spacing w:val="-8"/>
        </w:rPr>
        <w:t xml:space="preserve"> </w:t>
      </w:r>
      <w:r>
        <w:t>cream</w:t>
      </w:r>
      <w:r>
        <w:rPr>
          <w:spacing w:val="-9"/>
        </w:rPr>
        <w:t xml:space="preserve"> </w:t>
      </w:r>
      <w:r>
        <w:t>per</w:t>
      </w:r>
      <w:r>
        <w:rPr>
          <w:spacing w:val="-9"/>
        </w:rPr>
        <w:t xml:space="preserve"> </w:t>
      </w:r>
      <w:r>
        <w:t>day).</w:t>
      </w:r>
      <w:r>
        <w:rPr>
          <w:spacing w:val="-11"/>
        </w:rPr>
        <w:t xml:space="preserve"> </w:t>
      </w:r>
      <w:r>
        <w:t xml:space="preserve">Adverse </w:t>
      </w:r>
      <w:r>
        <w:rPr>
          <w:spacing w:val="-8"/>
        </w:rPr>
        <w:t>effects</w:t>
      </w:r>
      <w:r>
        <w:rPr>
          <w:spacing w:val="-4"/>
        </w:rPr>
        <w:t xml:space="preserve"> </w:t>
      </w:r>
      <w:r>
        <w:rPr>
          <w:spacing w:val="-8"/>
        </w:rPr>
        <w:t>on</w:t>
      </w:r>
      <w:r>
        <w:rPr>
          <w:spacing w:val="-5"/>
        </w:rPr>
        <w:t xml:space="preserve"> </w:t>
      </w:r>
      <w:r>
        <w:rPr>
          <w:spacing w:val="-8"/>
        </w:rPr>
        <w:t>male</w:t>
      </w:r>
      <w:r>
        <w:rPr>
          <w:spacing w:val="-3"/>
        </w:rPr>
        <w:t xml:space="preserve"> </w:t>
      </w:r>
      <w:r>
        <w:rPr>
          <w:spacing w:val="-8"/>
        </w:rPr>
        <w:t>reproductive</w:t>
      </w:r>
      <w:r>
        <w:rPr>
          <w:spacing w:val="-4"/>
        </w:rPr>
        <w:t xml:space="preserve"> </w:t>
      </w:r>
      <w:r>
        <w:rPr>
          <w:spacing w:val="-8"/>
        </w:rPr>
        <w:t>organs</w:t>
      </w:r>
      <w:r>
        <w:rPr>
          <w:spacing w:val="-4"/>
        </w:rPr>
        <w:t xml:space="preserve"> </w:t>
      </w:r>
      <w:r>
        <w:rPr>
          <w:spacing w:val="-8"/>
        </w:rPr>
        <w:t>and</w:t>
      </w:r>
      <w:r>
        <w:rPr>
          <w:spacing w:val="-5"/>
        </w:rPr>
        <w:t xml:space="preserve"> </w:t>
      </w:r>
      <w:r>
        <w:rPr>
          <w:spacing w:val="-8"/>
        </w:rPr>
        <w:t>testicular</w:t>
      </w:r>
      <w:r>
        <w:rPr>
          <w:spacing w:val="-2"/>
        </w:rPr>
        <w:t xml:space="preserve"> </w:t>
      </w:r>
      <w:r>
        <w:rPr>
          <w:spacing w:val="-8"/>
        </w:rPr>
        <w:t>sperm</w:t>
      </w:r>
      <w:r>
        <w:rPr>
          <w:spacing w:val="-4"/>
        </w:rPr>
        <w:t xml:space="preserve"> </w:t>
      </w:r>
      <w:r>
        <w:rPr>
          <w:spacing w:val="-8"/>
        </w:rPr>
        <w:t>counts</w:t>
      </w:r>
      <w:r>
        <w:rPr>
          <w:spacing w:val="-4"/>
        </w:rPr>
        <w:t xml:space="preserve"> </w:t>
      </w:r>
      <w:r>
        <w:rPr>
          <w:spacing w:val="-8"/>
        </w:rPr>
        <w:t>were</w:t>
      </w:r>
      <w:r>
        <w:rPr>
          <w:spacing w:val="-4"/>
        </w:rPr>
        <w:t xml:space="preserve"> </w:t>
      </w:r>
      <w:r>
        <w:rPr>
          <w:spacing w:val="-8"/>
        </w:rPr>
        <w:t>also</w:t>
      </w:r>
      <w:r>
        <w:rPr>
          <w:spacing w:val="-4"/>
        </w:rPr>
        <w:t xml:space="preserve"> </w:t>
      </w:r>
      <w:r>
        <w:rPr>
          <w:spacing w:val="-8"/>
        </w:rPr>
        <w:t>seen</w:t>
      </w:r>
      <w:r>
        <w:rPr>
          <w:spacing w:val="-4"/>
        </w:rPr>
        <w:t xml:space="preserve"> </w:t>
      </w:r>
      <w:r>
        <w:rPr>
          <w:spacing w:val="-8"/>
        </w:rPr>
        <w:t>at</w:t>
      </w:r>
      <w:r>
        <w:rPr>
          <w:spacing w:val="-3"/>
        </w:rPr>
        <w:t xml:space="preserve"> </w:t>
      </w:r>
      <w:r>
        <w:rPr>
          <w:spacing w:val="-8"/>
        </w:rPr>
        <w:t>this</w:t>
      </w:r>
      <w:r>
        <w:rPr>
          <w:spacing w:val="-4"/>
        </w:rPr>
        <w:t xml:space="preserve"> </w:t>
      </w:r>
      <w:r>
        <w:rPr>
          <w:spacing w:val="-8"/>
        </w:rPr>
        <w:t>dose.</w:t>
      </w:r>
      <w:r>
        <w:rPr>
          <w:spacing w:val="-5"/>
        </w:rPr>
        <w:t xml:space="preserve"> </w:t>
      </w:r>
      <w:r>
        <w:rPr>
          <w:spacing w:val="-8"/>
        </w:rPr>
        <w:t>No</w:t>
      </w:r>
      <w:r>
        <w:rPr>
          <w:spacing w:val="-2"/>
        </w:rPr>
        <w:t xml:space="preserve"> </w:t>
      </w:r>
      <w:r>
        <w:rPr>
          <w:spacing w:val="-8"/>
        </w:rPr>
        <w:t>effects</w:t>
      </w:r>
      <w:r>
        <w:rPr>
          <w:spacing w:val="-4"/>
        </w:rPr>
        <w:t xml:space="preserve"> </w:t>
      </w:r>
      <w:r>
        <w:rPr>
          <w:spacing w:val="-8"/>
        </w:rPr>
        <w:t>were</w:t>
      </w:r>
      <w:r>
        <w:rPr>
          <w:spacing w:val="11"/>
        </w:rPr>
        <w:t xml:space="preserve"> </w:t>
      </w:r>
      <w:r>
        <w:rPr>
          <w:spacing w:val="-8"/>
        </w:rPr>
        <w:t>noted</w:t>
      </w:r>
      <w:r>
        <w:rPr>
          <w:spacing w:val="9"/>
        </w:rPr>
        <w:t xml:space="preserve"> </w:t>
      </w:r>
      <w:r>
        <w:rPr>
          <w:spacing w:val="-8"/>
        </w:rPr>
        <w:t>at</w:t>
      </w:r>
      <w:r>
        <w:rPr>
          <w:spacing w:val="9"/>
        </w:rPr>
        <w:t xml:space="preserve"> </w:t>
      </w:r>
      <w:r>
        <w:rPr>
          <w:spacing w:val="-8"/>
        </w:rPr>
        <w:t xml:space="preserve">doses </w:t>
      </w:r>
      <w:r>
        <w:t>up to 2.5 mg/kg/day (7 times the AUC at a human dose of 6 g of cream per day).</w:t>
      </w:r>
    </w:p>
    <w:p w14:paraId="06ACE76F" w14:textId="77777777" w:rsidR="00365624" w:rsidRDefault="002B025E">
      <w:pPr>
        <w:pStyle w:val="Heading2"/>
        <w:spacing w:before="203"/>
        <w:ind w:left="261"/>
      </w:pPr>
      <w:r>
        <w:t>Use</w:t>
      </w:r>
      <w:r>
        <w:rPr>
          <w:spacing w:val="65"/>
        </w:rPr>
        <w:t xml:space="preserve"> </w:t>
      </w:r>
      <w:r>
        <w:t>in</w:t>
      </w:r>
      <w:r>
        <w:rPr>
          <w:spacing w:val="67"/>
        </w:rPr>
        <w:t xml:space="preserve"> </w:t>
      </w:r>
      <w:r>
        <w:rPr>
          <w:spacing w:val="-2"/>
        </w:rPr>
        <w:t>Pregnancy</w:t>
      </w:r>
    </w:p>
    <w:p w14:paraId="06ACE770" w14:textId="77777777" w:rsidR="00365624" w:rsidRDefault="002B025E">
      <w:pPr>
        <w:spacing w:before="199"/>
        <w:ind w:left="261"/>
        <w:jc w:val="both"/>
        <w:rPr>
          <w:sz w:val="24"/>
        </w:rPr>
      </w:pPr>
      <w:r>
        <w:rPr>
          <w:spacing w:val="-2"/>
          <w:sz w:val="24"/>
        </w:rPr>
        <w:t>Pregnancy</w:t>
      </w:r>
      <w:r>
        <w:rPr>
          <w:spacing w:val="-6"/>
          <w:sz w:val="24"/>
        </w:rPr>
        <w:t xml:space="preserve"> </w:t>
      </w:r>
      <w:r>
        <w:rPr>
          <w:spacing w:val="-2"/>
          <w:sz w:val="24"/>
        </w:rPr>
        <w:t>Category:</w:t>
      </w:r>
      <w:r>
        <w:rPr>
          <w:spacing w:val="-6"/>
          <w:sz w:val="24"/>
        </w:rPr>
        <w:t xml:space="preserve"> </w:t>
      </w:r>
      <w:r>
        <w:rPr>
          <w:spacing w:val="-10"/>
          <w:sz w:val="24"/>
        </w:rPr>
        <w:t>D</w:t>
      </w:r>
    </w:p>
    <w:p w14:paraId="06ACE771" w14:textId="77777777" w:rsidR="00365624" w:rsidRDefault="002B025E">
      <w:pPr>
        <w:pStyle w:val="BodyText"/>
        <w:spacing w:before="77"/>
        <w:ind w:right="837"/>
        <w:jc w:val="both"/>
      </w:pPr>
      <w:r>
        <w:t>There</w:t>
      </w:r>
      <w:r>
        <w:rPr>
          <w:spacing w:val="-2"/>
        </w:rPr>
        <w:t xml:space="preserve"> </w:t>
      </w:r>
      <w:r>
        <w:t>are</w:t>
      </w:r>
      <w:r>
        <w:rPr>
          <w:spacing w:val="-2"/>
        </w:rPr>
        <w:t xml:space="preserve"> </w:t>
      </w:r>
      <w:r>
        <w:t>no</w:t>
      </w:r>
      <w:r>
        <w:rPr>
          <w:spacing w:val="-3"/>
        </w:rPr>
        <w:t xml:space="preserve"> </w:t>
      </w:r>
      <w:r>
        <w:t>available</w:t>
      </w:r>
      <w:r>
        <w:rPr>
          <w:spacing w:val="-2"/>
        </w:rPr>
        <w:t xml:space="preserve"> </w:t>
      </w:r>
      <w:r>
        <w:t>data</w:t>
      </w:r>
      <w:r>
        <w:rPr>
          <w:spacing w:val="-2"/>
        </w:rPr>
        <w:t xml:space="preserve"> </w:t>
      </w:r>
      <w:r>
        <w:t>on</w:t>
      </w:r>
      <w:r>
        <w:rPr>
          <w:spacing w:val="-3"/>
        </w:rPr>
        <w:t xml:space="preserve"> </w:t>
      </w:r>
      <w:r>
        <w:t>the</w:t>
      </w:r>
      <w:r>
        <w:rPr>
          <w:spacing w:val="-2"/>
        </w:rPr>
        <w:t xml:space="preserve"> </w:t>
      </w:r>
      <w:r>
        <w:t>use</w:t>
      </w:r>
      <w:r>
        <w:rPr>
          <w:spacing w:val="-2"/>
        </w:rPr>
        <w:t xml:space="preserve"> </w:t>
      </w:r>
      <w:r>
        <w:t>of</w:t>
      </w:r>
      <w:r>
        <w:rPr>
          <w:spacing w:val="-1"/>
        </w:rPr>
        <w:t xml:space="preserve"> </w:t>
      </w:r>
      <w:r>
        <w:t>WINLEVI</w:t>
      </w:r>
      <w:r>
        <w:rPr>
          <w:spacing w:val="-2"/>
        </w:rPr>
        <w:t xml:space="preserve"> </w:t>
      </w:r>
      <w:r>
        <w:t>in</w:t>
      </w:r>
      <w:r>
        <w:rPr>
          <w:spacing w:val="-3"/>
        </w:rPr>
        <w:t xml:space="preserve"> </w:t>
      </w:r>
      <w:r>
        <w:t>pregnant women</w:t>
      </w:r>
      <w:r>
        <w:rPr>
          <w:spacing w:val="-2"/>
        </w:rPr>
        <w:t xml:space="preserve"> </w:t>
      </w:r>
      <w:r>
        <w:t>to</w:t>
      </w:r>
      <w:r>
        <w:rPr>
          <w:spacing w:val="-2"/>
        </w:rPr>
        <w:t xml:space="preserve"> </w:t>
      </w:r>
      <w:r>
        <w:t>evaluate</w:t>
      </w:r>
      <w:r>
        <w:rPr>
          <w:spacing w:val="-3"/>
        </w:rPr>
        <w:t xml:space="preserve"> </w:t>
      </w:r>
      <w:r>
        <w:t>for</w:t>
      </w:r>
      <w:r>
        <w:rPr>
          <w:spacing w:val="-3"/>
        </w:rPr>
        <w:t xml:space="preserve"> </w:t>
      </w:r>
      <w:r>
        <w:t>a drug-associated</w:t>
      </w:r>
      <w:r>
        <w:rPr>
          <w:spacing w:val="-3"/>
        </w:rPr>
        <w:t xml:space="preserve"> </w:t>
      </w:r>
      <w:r>
        <w:t>risk</w:t>
      </w:r>
      <w:r>
        <w:rPr>
          <w:spacing w:val="-1"/>
        </w:rPr>
        <w:t xml:space="preserve"> </w:t>
      </w:r>
      <w:r>
        <w:t>of major birth defects, miscarriage, or adverse maternal or fetal outcomes.</w:t>
      </w:r>
    </w:p>
    <w:p w14:paraId="06ACE772" w14:textId="77777777" w:rsidR="00365624" w:rsidRDefault="002B025E">
      <w:pPr>
        <w:pStyle w:val="BodyText"/>
        <w:spacing w:before="83"/>
        <w:ind w:right="658"/>
        <w:jc w:val="both"/>
      </w:pPr>
      <w:r>
        <w:t>Teratogenicity</w:t>
      </w:r>
      <w:r>
        <w:rPr>
          <w:spacing w:val="-5"/>
        </w:rPr>
        <w:t xml:space="preserve"> </w:t>
      </w:r>
      <w:r>
        <w:t>and</w:t>
      </w:r>
      <w:r>
        <w:rPr>
          <w:spacing w:val="-7"/>
        </w:rPr>
        <w:t xml:space="preserve"> </w:t>
      </w:r>
      <w:r>
        <w:t>embryofetal</w:t>
      </w:r>
      <w:r>
        <w:rPr>
          <w:spacing w:val="-6"/>
        </w:rPr>
        <w:t xml:space="preserve"> </w:t>
      </w:r>
      <w:r>
        <w:t>death</w:t>
      </w:r>
      <w:r>
        <w:rPr>
          <w:spacing w:val="-7"/>
        </w:rPr>
        <w:t xml:space="preserve"> </w:t>
      </w:r>
      <w:r>
        <w:t>were</w:t>
      </w:r>
      <w:r>
        <w:rPr>
          <w:spacing w:val="-8"/>
        </w:rPr>
        <w:t xml:space="preserve"> </w:t>
      </w:r>
      <w:r>
        <w:t>seen</w:t>
      </w:r>
      <w:r>
        <w:rPr>
          <w:spacing w:val="-8"/>
        </w:rPr>
        <w:t xml:space="preserve"> </w:t>
      </w:r>
      <w:r>
        <w:t>in</w:t>
      </w:r>
      <w:r>
        <w:rPr>
          <w:spacing w:val="-6"/>
        </w:rPr>
        <w:t xml:space="preserve"> </w:t>
      </w:r>
      <w:r>
        <w:t>animal</w:t>
      </w:r>
      <w:r>
        <w:rPr>
          <w:spacing w:val="-6"/>
        </w:rPr>
        <w:t xml:space="preserve"> </w:t>
      </w:r>
      <w:r>
        <w:t>embryofetal</w:t>
      </w:r>
      <w:r>
        <w:rPr>
          <w:spacing w:val="-6"/>
        </w:rPr>
        <w:t xml:space="preserve"> </w:t>
      </w:r>
      <w:r>
        <w:t>development</w:t>
      </w:r>
      <w:r>
        <w:rPr>
          <w:spacing w:val="-8"/>
        </w:rPr>
        <w:t xml:space="preserve"> </w:t>
      </w:r>
      <w:r>
        <w:t>studies.</w:t>
      </w:r>
      <w:r>
        <w:rPr>
          <w:spacing w:val="-5"/>
        </w:rPr>
        <w:t xml:space="preserve"> </w:t>
      </w:r>
      <w:r>
        <w:t>Clascoterone</w:t>
      </w:r>
      <w:r>
        <w:rPr>
          <w:spacing w:val="-7"/>
        </w:rPr>
        <w:t xml:space="preserve"> </w:t>
      </w:r>
      <w:r>
        <w:t xml:space="preserve">related fetal malformations (omphalocele, severe dilation of the lateral and third cerebral ventricles; thin skin, small size, </w:t>
      </w:r>
      <w:r>
        <w:rPr>
          <w:spacing w:val="-2"/>
        </w:rPr>
        <w:t>and</w:t>
      </w:r>
      <w:r>
        <w:rPr>
          <w:spacing w:val="-9"/>
        </w:rPr>
        <w:t xml:space="preserve"> </w:t>
      </w:r>
      <w:r>
        <w:rPr>
          <w:spacing w:val="-2"/>
        </w:rPr>
        <w:t>protruding</w:t>
      </w:r>
      <w:r>
        <w:rPr>
          <w:spacing w:val="-9"/>
        </w:rPr>
        <w:t xml:space="preserve"> </w:t>
      </w:r>
      <w:r>
        <w:rPr>
          <w:spacing w:val="-2"/>
        </w:rPr>
        <w:t>tongue)</w:t>
      </w:r>
      <w:r>
        <w:rPr>
          <w:spacing w:val="-7"/>
        </w:rPr>
        <w:t xml:space="preserve"> </w:t>
      </w:r>
      <w:r>
        <w:rPr>
          <w:spacing w:val="-2"/>
        </w:rPr>
        <w:t>were</w:t>
      </w:r>
      <w:r>
        <w:rPr>
          <w:spacing w:val="-8"/>
        </w:rPr>
        <w:t xml:space="preserve"> </w:t>
      </w:r>
      <w:r>
        <w:rPr>
          <w:spacing w:val="-2"/>
        </w:rPr>
        <w:t>noted</w:t>
      </w:r>
      <w:r>
        <w:rPr>
          <w:spacing w:val="-8"/>
        </w:rPr>
        <w:t xml:space="preserve"> </w:t>
      </w:r>
      <w:r>
        <w:rPr>
          <w:spacing w:val="-2"/>
        </w:rPr>
        <w:t>in</w:t>
      </w:r>
      <w:r>
        <w:rPr>
          <w:spacing w:val="-9"/>
        </w:rPr>
        <w:t xml:space="preserve"> </w:t>
      </w:r>
      <w:r>
        <w:rPr>
          <w:spacing w:val="-2"/>
        </w:rPr>
        <w:t>rats</w:t>
      </w:r>
      <w:r>
        <w:rPr>
          <w:spacing w:val="-6"/>
        </w:rPr>
        <w:t xml:space="preserve"> </w:t>
      </w:r>
      <w:r>
        <w:rPr>
          <w:spacing w:val="-2"/>
        </w:rPr>
        <w:t>at</w:t>
      </w:r>
      <w:r>
        <w:rPr>
          <w:spacing w:val="-8"/>
        </w:rPr>
        <w:t xml:space="preserve"> </w:t>
      </w:r>
      <w:r>
        <w:rPr>
          <w:spacing w:val="-2"/>
        </w:rPr>
        <w:t>subcutaneous</w:t>
      </w:r>
      <w:r>
        <w:rPr>
          <w:spacing w:val="-6"/>
        </w:rPr>
        <w:t xml:space="preserve"> </w:t>
      </w:r>
      <w:r>
        <w:rPr>
          <w:spacing w:val="-2"/>
        </w:rPr>
        <w:t>doses</w:t>
      </w:r>
      <w:r>
        <w:rPr>
          <w:spacing w:val="-7"/>
        </w:rPr>
        <w:t xml:space="preserve"> </w:t>
      </w:r>
      <w:r>
        <w:rPr>
          <w:spacing w:val="-2"/>
        </w:rPr>
        <w:t>≥1</w:t>
      </w:r>
      <w:r>
        <w:rPr>
          <w:spacing w:val="-9"/>
        </w:rPr>
        <w:t xml:space="preserve"> </w:t>
      </w:r>
      <w:r>
        <w:rPr>
          <w:spacing w:val="-2"/>
        </w:rPr>
        <w:t>mg/kg/day</w:t>
      </w:r>
      <w:r>
        <w:rPr>
          <w:spacing w:val="-8"/>
        </w:rPr>
        <w:t xml:space="preserve"> </w:t>
      </w:r>
      <w:r>
        <w:rPr>
          <w:spacing w:val="-2"/>
        </w:rPr>
        <w:t>(2.8</w:t>
      </w:r>
      <w:r>
        <w:rPr>
          <w:spacing w:val="-9"/>
        </w:rPr>
        <w:t xml:space="preserve"> </w:t>
      </w:r>
      <w:r>
        <w:rPr>
          <w:spacing w:val="-2"/>
        </w:rPr>
        <w:t>times</w:t>
      </w:r>
      <w:r>
        <w:rPr>
          <w:spacing w:val="-9"/>
        </w:rPr>
        <w:t xml:space="preserve"> </w:t>
      </w:r>
      <w:r>
        <w:rPr>
          <w:spacing w:val="-2"/>
        </w:rPr>
        <w:t>the</w:t>
      </w:r>
      <w:r>
        <w:rPr>
          <w:spacing w:val="-9"/>
        </w:rPr>
        <w:t xml:space="preserve"> </w:t>
      </w:r>
      <w:r>
        <w:rPr>
          <w:spacing w:val="-2"/>
        </w:rPr>
        <w:t>AUC</w:t>
      </w:r>
      <w:r>
        <w:rPr>
          <w:spacing w:val="-4"/>
        </w:rPr>
        <w:t xml:space="preserve"> </w:t>
      </w:r>
      <w:r>
        <w:rPr>
          <w:spacing w:val="-2"/>
        </w:rPr>
        <w:t>at</w:t>
      </w:r>
      <w:r>
        <w:rPr>
          <w:spacing w:val="-3"/>
        </w:rPr>
        <w:t xml:space="preserve"> </w:t>
      </w:r>
      <w:r>
        <w:rPr>
          <w:spacing w:val="-2"/>
        </w:rPr>
        <w:t>a</w:t>
      </w:r>
      <w:r>
        <w:rPr>
          <w:spacing w:val="-4"/>
        </w:rPr>
        <w:t xml:space="preserve"> </w:t>
      </w:r>
      <w:r>
        <w:rPr>
          <w:spacing w:val="-2"/>
        </w:rPr>
        <w:t>human</w:t>
      </w:r>
      <w:r>
        <w:rPr>
          <w:spacing w:val="-3"/>
        </w:rPr>
        <w:t xml:space="preserve"> </w:t>
      </w:r>
      <w:r>
        <w:rPr>
          <w:spacing w:val="-2"/>
        </w:rPr>
        <w:t xml:space="preserve">dose </w:t>
      </w:r>
      <w:r>
        <w:t>of 6 g of cream per day). A no adverse effect level for teratogenicity was not established in this species. Post- implantation</w:t>
      </w:r>
      <w:r>
        <w:rPr>
          <w:spacing w:val="-9"/>
        </w:rPr>
        <w:t xml:space="preserve"> </w:t>
      </w:r>
      <w:r>
        <w:t>loss</w:t>
      </w:r>
      <w:r>
        <w:rPr>
          <w:spacing w:val="-7"/>
        </w:rPr>
        <w:t xml:space="preserve"> </w:t>
      </w:r>
      <w:r>
        <w:t>and</w:t>
      </w:r>
      <w:r>
        <w:rPr>
          <w:spacing w:val="-8"/>
        </w:rPr>
        <w:t xml:space="preserve"> </w:t>
      </w:r>
      <w:r>
        <w:t>resorptions</w:t>
      </w:r>
      <w:r>
        <w:rPr>
          <w:spacing w:val="-5"/>
        </w:rPr>
        <w:t xml:space="preserve"> </w:t>
      </w:r>
      <w:r>
        <w:t>were</w:t>
      </w:r>
      <w:r>
        <w:rPr>
          <w:spacing w:val="-8"/>
        </w:rPr>
        <w:t xml:space="preserve"> </w:t>
      </w:r>
      <w:r>
        <w:t>increased</w:t>
      </w:r>
      <w:r>
        <w:rPr>
          <w:spacing w:val="-7"/>
        </w:rPr>
        <w:t xml:space="preserve"> </w:t>
      </w:r>
      <w:r>
        <w:t>in</w:t>
      </w:r>
      <w:r>
        <w:rPr>
          <w:spacing w:val="-8"/>
        </w:rPr>
        <w:t xml:space="preserve"> </w:t>
      </w:r>
      <w:r>
        <w:t>rabbits</w:t>
      </w:r>
      <w:r>
        <w:rPr>
          <w:spacing w:val="-5"/>
        </w:rPr>
        <w:t xml:space="preserve"> </w:t>
      </w:r>
      <w:r>
        <w:t>at</w:t>
      </w:r>
      <w:r>
        <w:rPr>
          <w:spacing w:val="-7"/>
        </w:rPr>
        <w:t xml:space="preserve"> </w:t>
      </w:r>
      <w:r>
        <w:t>a</w:t>
      </w:r>
      <w:r>
        <w:rPr>
          <w:spacing w:val="-8"/>
        </w:rPr>
        <w:t xml:space="preserve"> </w:t>
      </w:r>
      <w:r>
        <w:t>subcutaneous</w:t>
      </w:r>
      <w:r>
        <w:rPr>
          <w:spacing w:val="-5"/>
        </w:rPr>
        <w:t xml:space="preserve"> </w:t>
      </w:r>
      <w:r>
        <w:t>dose</w:t>
      </w:r>
      <w:r>
        <w:rPr>
          <w:spacing w:val="-7"/>
        </w:rPr>
        <w:t xml:space="preserve"> </w:t>
      </w:r>
      <w:r>
        <w:t>of</w:t>
      </w:r>
      <w:r>
        <w:rPr>
          <w:spacing w:val="-7"/>
        </w:rPr>
        <w:t xml:space="preserve"> </w:t>
      </w:r>
      <w:r>
        <w:t>1.5</w:t>
      </w:r>
      <w:r>
        <w:rPr>
          <w:spacing w:val="-6"/>
        </w:rPr>
        <w:t xml:space="preserve"> </w:t>
      </w:r>
      <w:r>
        <w:t>mg/kg/day</w:t>
      </w:r>
      <w:r>
        <w:rPr>
          <w:spacing w:val="-7"/>
        </w:rPr>
        <w:t xml:space="preserve"> </w:t>
      </w:r>
      <w:r>
        <w:t>(13</w:t>
      </w:r>
      <w:r>
        <w:rPr>
          <w:spacing w:val="-6"/>
        </w:rPr>
        <w:t xml:space="preserve"> </w:t>
      </w:r>
      <w:r>
        <w:t>times</w:t>
      </w:r>
      <w:r>
        <w:rPr>
          <w:spacing w:val="-8"/>
        </w:rPr>
        <w:t xml:space="preserve"> </w:t>
      </w:r>
      <w:r>
        <w:t>the AUC</w:t>
      </w:r>
      <w:r>
        <w:rPr>
          <w:spacing w:val="-4"/>
        </w:rPr>
        <w:t xml:space="preserve"> </w:t>
      </w:r>
      <w:r>
        <w:t>at</w:t>
      </w:r>
      <w:r>
        <w:rPr>
          <w:spacing w:val="-3"/>
        </w:rPr>
        <w:t xml:space="preserve"> </w:t>
      </w:r>
      <w:r>
        <w:t>a</w:t>
      </w:r>
      <w:r>
        <w:rPr>
          <w:spacing w:val="-4"/>
        </w:rPr>
        <w:t xml:space="preserve"> </w:t>
      </w:r>
      <w:r>
        <w:t>human</w:t>
      </w:r>
      <w:r>
        <w:rPr>
          <w:spacing w:val="-4"/>
        </w:rPr>
        <w:t xml:space="preserve"> </w:t>
      </w:r>
      <w:r>
        <w:t>dose</w:t>
      </w:r>
      <w:r>
        <w:rPr>
          <w:spacing w:val="-3"/>
        </w:rPr>
        <w:t xml:space="preserve"> </w:t>
      </w:r>
      <w:r>
        <w:t>of</w:t>
      </w:r>
      <w:r>
        <w:rPr>
          <w:spacing w:val="-3"/>
        </w:rPr>
        <w:t xml:space="preserve"> </w:t>
      </w:r>
      <w:r>
        <w:t>6</w:t>
      </w:r>
      <w:r>
        <w:rPr>
          <w:spacing w:val="-5"/>
        </w:rPr>
        <w:t xml:space="preserve"> </w:t>
      </w:r>
      <w:r>
        <w:t>g</w:t>
      </w:r>
      <w:r>
        <w:rPr>
          <w:spacing w:val="-3"/>
        </w:rPr>
        <w:t xml:space="preserve"> </w:t>
      </w:r>
      <w:r>
        <w:t>of</w:t>
      </w:r>
      <w:r>
        <w:rPr>
          <w:spacing w:val="-3"/>
        </w:rPr>
        <w:t xml:space="preserve"> </w:t>
      </w:r>
      <w:r>
        <w:t>cream</w:t>
      </w:r>
      <w:r>
        <w:rPr>
          <w:spacing w:val="-4"/>
        </w:rPr>
        <w:t xml:space="preserve"> </w:t>
      </w:r>
      <w:r>
        <w:t>per</w:t>
      </w:r>
      <w:r>
        <w:rPr>
          <w:spacing w:val="-4"/>
        </w:rPr>
        <w:t xml:space="preserve"> </w:t>
      </w:r>
      <w:r>
        <w:t>day).</w:t>
      </w:r>
      <w:r>
        <w:rPr>
          <w:spacing w:val="-3"/>
        </w:rPr>
        <w:t xml:space="preserve"> </w:t>
      </w:r>
      <w:r>
        <w:t>No</w:t>
      </w:r>
      <w:r>
        <w:rPr>
          <w:spacing w:val="-4"/>
        </w:rPr>
        <w:t xml:space="preserve"> </w:t>
      </w:r>
      <w:r>
        <w:t>embryofetal</w:t>
      </w:r>
      <w:r>
        <w:rPr>
          <w:spacing w:val="-3"/>
        </w:rPr>
        <w:t xml:space="preserve"> </w:t>
      </w:r>
      <w:r>
        <w:t>developmental</w:t>
      </w:r>
      <w:r>
        <w:rPr>
          <w:spacing w:val="-3"/>
        </w:rPr>
        <w:t xml:space="preserve"> </w:t>
      </w:r>
      <w:r>
        <w:t>toxicity</w:t>
      </w:r>
      <w:r>
        <w:rPr>
          <w:spacing w:val="-2"/>
        </w:rPr>
        <w:t xml:space="preserve"> </w:t>
      </w:r>
      <w:r>
        <w:t>was</w:t>
      </w:r>
      <w:r>
        <w:rPr>
          <w:spacing w:val="-5"/>
        </w:rPr>
        <w:t xml:space="preserve"> </w:t>
      </w:r>
      <w:r>
        <w:t>seen</w:t>
      </w:r>
      <w:r>
        <w:rPr>
          <w:spacing w:val="-4"/>
        </w:rPr>
        <w:t xml:space="preserve"> </w:t>
      </w:r>
      <w:r>
        <w:t>in</w:t>
      </w:r>
      <w:r>
        <w:rPr>
          <w:spacing w:val="-5"/>
        </w:rPr>
        <w:t xml:space="preserve"> </w:t>
      </w:r>
      <w:r>
        <w:t>this</w:t>
      </w:r>
      <w:r>
        <w:rPr>
          <w:spacing w:val="-3"/>
        </w:rPr>
        <w:t xml:space="preserve"> </w:t>
      </w:r>
      <w:r>
        <w:t>species</w:t>
      </w:r>
      <w:r>
        <w:rPr>
          <w:spacing w:val="-4"/>
        </w:rPr>
        <w:t xml:space="preserve"> </w:t>
      </w:r>
      <w:r>
        <w:t>at subcutaneous doses up to 0.4 mg/kg/day (~4 times the AUC at a human dose of 6 g of cream per day).</w:t>
      </w:r>
    </w:p>
    <w:p w14:paraId="06ACE773" w14:textId="77777777" w:rsidR="00365624" w:rsidRDefault="002B025E">
      <w:pPr>
        <w:pStyle w:val="BodyText"/>
        <w:spacing w:before="121"/>
        <w:jc w:val="both"/>
      </w:pPr>
      <w:r>
        <w:rPr>
          <w:spacing w:val="-2"/>
        </w:rPr>
        <w:t>WINLEVI</w:t>
      </w:r>
      <w:r>
        <w:rPr>
          <w:spacing w:val="-5"/>
        </w:rPr>
        <w:t xml:space="preserve"> </w:t>
      </w:r>
      <w:r>
        <w:rPr>
          <w:spacing w:val="-2"/>
        </w:rPr>
        <w:t>should</w:t>
      </w:r>
      <w:r>
        <w:rPr>
          <w:spacing w:val="-4"/>
        </w:rPr>
        <w:t xml:space="preserve"> </w:t>
      </w:r>
      <w:r>
        <w:rPr>
          <w:spacing w:val="-2"/>
        </w:rPr>
        <w:t>not</w:t>
      </w:r>
      <w:r>
        <w:rPr>
          <w:spacing w:val="-6"/>
        </w:rPr>
        <w:t xml:space="preserve"> </w:t>
      </w:r>
      <w:r>
        <w:rPr>
          <w:spacing w:val="-2"/>
        </w:rPr>
        <w:t>be</w:t>
      </w:r>
      <w:r>
        <w:rPr>
          <w:spacing w:val="-3"/>
        </w:rPr>
        <w:t xml:space="preserve"> </w:t>
      </w:r>
      <w:r>
        <w:rPr>
          <w:spacing w:val="-2"/>
        </w:rPr>
        <w:t>used</w:t>
      </w:r>
      <w:r>
        <w:rPr>
          <w:spacing w:val="-3"/>
        </w:rPr>
        <w:t xml:space="preserve"> </w:t>
      </w:r>
      <w:r>
        <w:rPr>
          <w:spacing w:val="-2"/>
        </w:rPr>
        <w:t>during</w:t>
      </w:r>
      <w:r>
        <w:rPr>
          <w:spacing w:val="-5"/>
        </w:rPr>
        <w:t xml:space="preserve"> </w:t>
      </w:r>
      <w:r>
        <w:rPr>
          <w:spacing w:val="-2"/>
        </w:rPr>
        <w:t>pregnancy.</w:t>
      </w:r>
    </w:p>
    <w:p w14:paraId="06ACE774" w14:textId="77777777" w:rsidR="00365624" w:rsidRDefault="002B025E">
      <w:pPr>
        <w:pStyle w:val="Heading2"/>
        <w:spacing w:before="198"/>
      </w:pPr>
      <w:r>
        <w:t>Use</w:t>
      </w:r>
      <w:r>
        <w:rPr>
          <w:spacing w:val="-8"/>
        </w:rPr>
        <w:t xml:space="preserve"> </w:t>
      </w:r>
      <w:r>
        <w:t>in</w:t>
      </w:r>
      <w:r>
        <w:rPr>
          <w:spacing w:val="-6"/>
        </w:rPr>
        <w:t xml:space="preserve"> </w:t>
      </w:r>
      <w:r>
        <w:rPr>
          <w:spacing w:val="-2"/>
        </w:rPr>
        <w:t>Lactation</w:t>
      </w:r>
    </w:p>
    <w:p w14:paraId="06ACE775" w14:textId="77777777" w:rsidR="00365624" w:rsidRDefault="002B025E">
      <w:pPr>
        <w:pStyle w:val="BodyText"/>
        <w:spacing w:before="82"/>
        <w:ind w:right="663"/>
        <w:jc w:val="both"/>
      </w:pPr>
      <w:r>
        <w:t>There</w:t>
      </w:r>
      <w:r>
        <w:rPr>
          <w:spacing w:val="-2"/>
        </w:rPr>
        <w:t xml:space="preserve"> </w:t>
      </w:r>
      <w:r>
        <w:t>are</w:t>
      </w:r>
      <w:r>
        <w:rPr>
          <w:spacing w:val="-3"/>
        </w:rPr>
        <w:t xml:space="preserve"> </w:t>
      </w:r>
      <w:r>
        <w:t>no</w:t>
      </w:r>
      <w:r>
        <w:rPr>
          <w:spacing w:val="-3"/>
        </w:rPr>
        <w:t xml:space="preserve"> </w:t>
      </w:r>
      <w:r>
        <w:t>available</w:t>
      </w:r>
      <w:r>
        <w:rPr>
          <w:spacing w:val="-2"/>
        </w:rPr>
        <w:t xml:space="preserve"> </w:t>
      </w:r>
      <w:r>
        <w:t>data</w:t>
      </w:r>
      <w:r>
        <w:rPr>
          <w:spacing w:val="-3"/>
        </w:rPr>
        <w:t xml:space="preserve"> </w:t>
      </w:r>
      <w:r>
        <w:t>regarding</w:t>
      </w:r>
      <w:r>
        <w:rPr>
          <w:spacing w:val="-3"/>
        </w:rPr>
        <w:t xml:space="preserve"> </w:t>
      </w:r>
      <w:r>
        <w:t>the</w:t>
      </w:r>
      <w:r>
        <w:rPr>
          <w:spacing w:val="-3"/>
        </w:rPr>
        <w:t xml:space="preserve"> </w:t>
      </w:r>
      <w:r>
        <w:t>presence</w:t>
      </w:r>
      <w:r>
        <w:rPr>
          <w:spacing w:val="-2"/>
        </w:rPr>
        <w:t xml:space="preserve"> </w:t>
      </w:r>
      <w:r>
        <w:t>of</w:t>
      </w:r>
      <w:r>
        <w:rPr>
          <w:spacing w:val="-3"/>
        </w:rPr>
        <w:t xml:space="preserve"> </w:t>
      </w:r>
      <w:r>
        <w:t>clascoterone</w:t>
      </w:r>
      <w:r>
        <w:rPr>
          <w:spacing w:val="-1"/>
        </w:rPr>
        <w:t xml:space="preserve"> </w:t>
      </w:r>
      <w:r>
        <w:t>or</w:t>
      </w:r>
      <w:r>
        <w:rPr>
          <w:spacing w:val="-2"/>
        </w:rPr>
        <w:t xml:space="preserve"> </w:t>
      </w:r>
      <w:r>
        <w:t>its</w:t>
      </w:r>
      <w:r>
        <w:rPr>
          <w:spacing w:val="-1"/>
        </w:rPr>
        <w:t xml:space="preserve"> </w:t>
      </w:r>
      <w:r>
        <w:t>metabolite</w:t>
      </w:r>
      <w:r>
        <w:rPr>
          <w:spacing w:val="-3"/>
        </w:rPr>
        <w:t xml:space="preserve"> </w:t>
      </w:r>
      <w:r>
        <w:t>in</w:t>
      </w:r>
      <w:r>
        <w:rPr>
          <w:spacing w:val="-3"/>
        </w:rPr>
        <w:t xml:space="preserve"> </w:t>
      </w:r>
      <w:r>
        <w:t>human</w:t>
      </w:r>
      <w:r>
        <w:rPr>
          <w:spacing w:val="-2"/>
        </w:rPr>
        <w:t xml:space="preserve"> </w:t>
      </w:r>
      <w:r>
        <w:t>milk,</w:t>
      </w:r>
      <w:r>
        <w:rPr>
          <w:spacing w:val="-3"/>
        </w:rPr>
        <w:t xml:space="preserve"> </w:t>
      </w:r>
      <w:r>
        <w:t>the</w:t>
      </w:r>
      <w:r>
        <w:rPr>
          <w:spacing w:val="-2"/>
        </w:rPr>
        <w:t xml:space="preserve"> </w:t>
      </w:r>
      <w:r>
        <w:t>effects</w:t>
      </w:r>
      <w:r>
        <w:rPr>
          <w:spacing w:val="-1"/>
        </w:rPr>
        <w:t xml:space="preserve"> </w:t>
      </w:r>
      <w:r>
        <w:t xml:space="preserve">on </w:t>
      </w:r>
      <w:bookmarkStart w:id="12" w:name="4.7_EFFECTS_ON_ABILITY_TO_DRIVE_AND_USE_"/>
      <w:bookmarkStart w:id="13" w:name="4.8_ADVERSE_EFFECTS_(UNDESIRABLE_EFFECTS"/>
      <w:bookmarkEnd w:id="12"/>
      <w:bookmarkEnd w:id="13"/>
      <w:r>
        <w:t>the breastfed infant or the effects on milk production. The lack of clinical data during lactation precludes a clear determination of the risk of clascoterone to an infant during lactation. Therefore, the developmental and health benefits of breastfeeding should be considered along with the mother's clinical need for clascoterone and any potential adverse effects on the breastfed child from clascoterone and any underlying maternal condition.</w:t>
      </w:r>
    </w:p>
    <w:p w14:paraId="06ACE776" w14:textId="77777777" w:rsidR="00365624" w:rsidRDefault="00365624">
      <w:pPr>
        <w:pStyle w:val="BodyText"/>
        <w:ind w:left="0"/>
      </w:pPr>
    </w:p>
    <w:p w14:paraId="06ACE777" w14:textId="77777777" w:rsidR="00365624" w:rsidRDefault="00365624">
      <w:pPr>
        <w:pStyle w:val="BodyText"/>
        <w:spacing w:before="23"/>
        <w:ind w:left="0"/>
      </w:pPr>
    </w:p>
    <w:p w14:paraId="06ACE778" w14:textId="77777777" w:rsidR="00365624" w:rsidRDefault="002B025E">
      <w:pPr>
        <w:pStyle w:val="Heading1"/>
        <w:numPr>
          <w:ilvl w:val="1"/>
          <w:numId w:val="1"/>
        </w:numPr>
        <w:tabs>
          <w:tab w:val="left" w:pos="628"/>
        </w:tabs>
        <w:spacing w:before="1"/>
        <w:ind w:left="628" w:hanging="368"/>
      </w:pPr>
      <w:r>
        <w:rPr>
          <w:spacing w:val="-6"/>
        </w:rPr>
        <w:t>EFFECTS</w:t>
      </w:r>
      <w:r>
        <w:rPr>
          <w:spacing w:val="-7"/>
        </w:rPr>
        <w:t xml:space="preserve"> </w:t>
      </w:r>
      <w:r>
        <w:rPr>
          <w:spacing w:val="-6"/>
        </w:rPr>
        <w:t>ON</w:t>
      </w:r>
      <w:r>
        <w:rPr>
          <w:spacing w:val="-9"/>
        </w:rPr>
        <w:t xml:space="preserve"> </w:t>
      </w:r>
      <w:r>
        <w:rPr>
          <w:spacing w:val="-6"/>
        </w:rPr>
        <w:t>ABILITY</w:t>
      </w:r>
      <w:r>
        <w:rPr>
          <w:spacing w:val="-9"/>
        </w:rPr>
        <w:t xml:space="preserve"> </w:t>
      </w:r>
      <w:r>
        <w:rPr>
          <w:spacing w:val="-6"/>
        </w:rPr>
        <w:t>TO</w:t>
      </w:r>
      <w:r>
        <w:rPr>
          <w:spacing w:val="-5"/>
        </w:rPr>
        <w:t xml:space="preserve"> </w:t>
      </w:r>
      <w:r>
        <w:rPr>
          <w:spacing w:val="-6"/>
        </w:rPr>
        <w:t>DRIVE AND</w:t>
      </w:r>
      <w:r>
        <w:rPr>
          <w:spacing w:val="-4"/>
        </w:rPr>
        <w:t xml:space="preserve"> </w:t>
      </w:r>
      <w:r>
        <w:rPr>
          <w:spacing w:val="-6"/>
        </w:rPr>
        <w:t>USE</w:t>
      </w:r>
      <w:r>
        <w:rPr>
          <w:spacing w:val="-7"/>
        </w:rPr>
        <w:t xml:space="preserve"> </w:t>
      </w:r>
      <w:r>
        <w:rPr>
          <w:spacing w:val="-6"/>
        </w:rPr>
        <w:t>MACHINES</w:t>
      </w:r>
    </w:p>
    <w:p w14:paraId="06ACE779" w14:textId="77777777" w:rsidR="00365624" w:rsidRDefault="002B025E">
      <w:pPr>
        <w:pStyle w:val="BodyText"/>
        <w:spacing w:before="123"/>
        <w:jc w:val="both"/>
      </w:pPr>
      <w:r>
        <w:rPr>
          <w:spacing w:val="-6"/>
        </w:rPr>
        <w:t>The</w:t>
      </w:r>
      <w:r>
        <w:rPr>
          <w:spacing w:val="-14"/>
        </w:rPr>
        <w:t xml:space="preserve"> </w:t>
      </w:r>
      <w:r>
        <w:rPr>
          <w:spacing w:val="-6"/>
        </w:rPr>
        <w:t>effects</w:t>
      </w:r>
      <w:r>
        <w:rPr>
          <w:spacing w:val="-2"/>
        </w:rPr>
        <w:t xml:space="preserve"> </w:t>
      </w:r>
      <w:r>
        <w:rPr>
          <w:spacing w:val="-6"/>
        </w:rPr>
        <w:t>of</w:t>
      </w:r>
      <w:r>
        <w:rPr>
          <w:spacing w:val="-9"/>
        </w:rPr>
        <w:t xml:space="preserve"> </w:t>
      </w:r>
      <w:r>
        <w:rPr>
          <w:spacing w:val="-6"/>
        </w:rPr>
        <w:t>WINLEVI</w:t>
      </w:r>
      <w:r>
        <w:rPr>
          <w:spacing w:val="-7"/>
        </w:rPr>
        <w:t xml:space="preserve"> </w:t>
      </w:r>
      <w:r>
        <w:rPr>
          <w:spacing w:val="-6"/>
        </w:rPr>
        <w:t>on</w:t>
      </w:r>
      <w:r>
        <w:rPr>
          <w:spacing w:val="-12"/>
        </w:rPr>
        <w:t xml:space="preserve"> </w:t>
      </w:r>
      <w:r>
        <w:rPr>
          <w:spacing w:val="-6"/>
        </w:rPr>
        <w:t>a</w:t>
      </w:r>
      <w:r>
        <w:rPr>
          <w:spacing w:val="-11"/>
        </w:rPr>
        <w:t xml:space="preserve"> </w:t>
      </w:r>
      <w:r>
        <w:rPr>
          <w:spacing w:val="-6"/>
        </w:rPr>
        <w:t>person's</w:t>
      </w:r>
      <w:r>
        <w:rPr>
          <w:spacing w:val="-11"/>
        </w:rPr>
        <w:t xml:space="preserve"> </w:t>
      </w:r>
      <w:r>
        <w:rPr>
          <w:spacing w:val="-6"/>
        </w:rPr>
        <w:t>ability</w:t>
      </w:r>
      <w:r>
        <w:rPr>
          <w:spacing w:val="-7"/>
        </w:rPr>
        <w:t xml:space="preserve"> </w:t>
      </w:r>
      <w:r>
        <w:rPr>
          <w:spacing w:val="-6"/>
        </w:rPr>
        <w:t>to</w:t>
      </w:r>
      <w:r>
        <w:rPr>
          <w:spacing w:val="-14"/>
        </w:rPr>
        <w:t xml:space="preserve"> </w:t>
      </w:r>
      <w:r>
        <w:rPr>
          <w:spacing w:val="-6"/>
        </w:rPr>
        <w:t>drive</w:t>
      </w:r>
      <w:r>
        <w:rPr>
          <w:spacing w:val="-11"/>
        </w:rPr>
        <w:t xml:space="preserve"> </w:t>
      </w:r>
      <w:r>
        <w:rPr>
          <w:spacing w:val="-6"/>
        </w:rPr>
        <w:t>and</w:t>
      </w:r>
      <w:r>
        <w:rPr>
          <w:spacing w:val="-13"/>
        </w:rPr>
        <w:t xml:space="preserve"> </w:t>
      </w:r>
      <w:r>
        <w:rPr>
          <w:spacing w:val="-6"/>
        </w:rPr>
        <w:t>use</w:t>
      </w:r>
      <w:r>
        <w:rPr>
          <w:spacing w:val="-13"/>
        </w:rPr>
        <w:t xml:space="preserve"> </w:t>
      </w:r>
      <w:r>
        <w:rPr>
          <w:spacing w:val="-6"/>
        </w:rPr>
        <w:t>machines were</w:t>
      </w:r>
      <w:r>
        <w:rPr>
          <w:spacing w:val="-11"/>
        </w:rPr>
        <w:t xml:space="preserve"> </w:t>
      </w:r>
      <w:r>
        <w:rPr>
          <w:spacing w:val="-6"/>
        </w:rPr>
        <w:t>not</w:t>
      </w:r>
      <w:r>
        <w:rPr>
          <w:spacing w:val="-8"/>
        </w:rPr>
        <w:t xml:space="preserve"> </w:t>
      </w:r>
      <w:r>
        <w:rPr>
          <w:spacing w:val="-6"/>
        </w:rPr>
        <w:t>assessed</w:t>
      </w:r>
      <w:r>
        <w:rPr>
          <w:spacing w:val="-15"/>
        </w:rPr>
        <w:t xml:space="preserve"> </w:t>
      </w:r>
      <w:r>
        <w:rPr>
          <w:spacing w:val="-6"/>
        </w:rPr>
        <w:t>as</w:t>
      </w:r>
      <w:r>
        <w:rPr>
          <w:spacing w:val="-13"/>
        </w:rPr>
        <w:t xml:space="preserve"> </w:t>
      </w:r>
      <w:r>
        <w:rPr>
          <w:spacing w:val="-6"/>
        </w:rPr>
        <w:t>part</w:t>
      </w:r>
      <w:r>
        <w:rPr>
          <w:spacing w:val="-10"/>
        </w:rPr>
        <w:t xml:space="preserve"> </w:t>
      </w:r>
      <w:r>
        <w:rPr>
          <w:spacing w:val="-6"/>
        </w:rPr>
        <w:t>of</w:t>
      </w:r>
      <w:r>
        <w:rPr>
          <w:spacing w:val="-11"/>
        </w:rPr>
        <w:t xml:space="preserve"> </w:t>
      </w:r>
      <w:r>
        <w:rPr>
          <w:spacing w:val="-6"/>
        </w:rPr>
        <w:t>its</w:t>
      </w:r>
      <w:r>
        <w:rPr>
          <w:spacing w:val="-11"/>
        </w:rPr>
        <w:t xml:space="preserve"> </w:t>
      </w:r>
      <w:r>
        <w:rPr>
          <w:spacing w:val="-6"/>
        </w:rPr>
        <w:t>registration.</w:t>
      </w:r>
    </w:p>
    <w:p w14:paraId="06ACE77A" w14:textId="77777777" w:rsidR="00365624" w:rsidRDefault="00365624">
      <w:pPr>
        <w:pStyle w:val="BodyText"/>
        <w:spacing w:before="225"/>
        <w:ind w:left="0"/>
      </w:pPr>
    </w:p>
    <w:p w14:paraId="06ACE77B" w14:textId="77777777" w:rsidR="00365624" w:rsidRDefault="002B025E" w:rsidP="008B5AF3">
      <w:pPr>
        <w:pStyle w:val="Heading1"/>
        <w:keepNext/>
        <w:numPr>
          <w:ilvl w:val="1"/>
          <w:numId w:val="1"/>
        </w:numPr>
        <w:tabs>
          <w:tab w:val="left" w:pos="628"/>
        </w:tabs>
        <w:ind w:hanging="369"/>
      </w:pPr>
      <w:r>
        <w:rPr>
          <w:spacing w:val="-8"/>
        </w:rPr>
        <w:lastRenderedPageBreak/>
        <w:t>ADVERSE</w:t>
      </w:r>
      <w:r>
        <w:rPr>
          <w:spacing w:val="4"/>
        </w:rPr>
        <w:t xml:space="preserve"> </w:t>
      </w:r>
      <w:r>
        <w:rPr>
          <w:spacing w:val="-8"/>
        </w:rPr>
        <w:t>EFFECTS</w:t>
      </w:r>
      <w:r>
        <w:rPr>
          <w:spacing w:val="-2"/>
        </w:rPr>
        <w:t xml:space="preserve"> </w:t>
      </w:r>
      <w:r>
        <w:rPr>
          <w:spacing w:val="-8"/>
        </w:rPr>
        <w:t>(UNDESIRABLE</w:t>
      </w:r>
      <w:r>
        <w:rPr>
          <w:spacing w:val="8"/>
        </w:rPr>
        <w:t xml:space="preserve"> </w:t>
      </w:r>
      <w:r>
        <w:rPr>
          <w:spacing w:val="-8"/>
        </w:rPr>
        <w:t>EFFECTS)</w:t>
      </w:r>
    </w:p>
    <w:p w14:paraId="06ACE77C" w14:textId="77777777" w:rsidR="00365624" w:rsidRDefault="002B025E">
      <w:pPr>
        <w:pStyle w:val="Heading2"/>
        <w:spacing w:before="202"/>
      </w:pPr>
      <w:r>
        <w:rPr>
          <w:spacing w:val="-2"/>
        </w:rPr>
        <w:t>Clinical</w:t>
      </w:r>
      <w:r>
        <w:rPr>
          <w:spacing w:val="-3"/>
        </w:rPr>
        <w:t xml:space="preserve"> </w:t>
      </w:r>
      <w:r>
        <w:rPr>
          <w:spacing w:val="-2"/>
        </w:rPr>
        <w:t>Trial</w:t>
      </w:r>
      <w:r>
        <w:rPr>
          <w:spacing w:val="-4"/>
        </w:rPr>
        <w:t xml:space="preserve"> </w:t>
      </w:r>
      <w:r>
        <w:rPr>
          <w:spacing w:val="-2"/>
        </w:rPr>
        <w:t>Adverse</w:t>
      </w:r>
      <w:r>
        <w:t xml:space="preserve"> </w:t>
      </w:r>
      <w:r>
        <w:rPr>
          <w:spacing w:val="-2"/>
        </w:rPr>
        <w:t>Reactions</w:t>
      </w:r>
    </w:p>
    <w:p w14:paraId="06ACE77D" w14:textId="77777777" w:rsidR="00365624" w:rsidRDefault="002B025E">
      <w:pPr>
        <w:pStyle w:val="BodyText"/>
        <w:spacing w:before="75"/>
        <w:ind w:right="665"/>
        <w:jc w:val="both"/>
      </w:pPr>
      <w:r>
        <w:t>Clinical trials are conducted under very specific conditions. The adverse reaction rates observed in the clinical trials, therefore, may not reflect the rates observed in practice and should not be compared to the rates in the clinical trials of another drug. Adverse reaction information from clinical trials may be useful in identifying and approximating rates of adverse drug reactions in real-world use.</w:t>
      </w:r>
    </w:p>
    <w:p w14:paraId="06ACE77E" w14:textId="77777777" w:rsidR="00365624" w:rsidRDefault="002B025E">
      <w:pPr>
        <w:pStyle w:val="BodyText"/>
        <w:spacing w:before="121"/>
        <w:ind w:right="665"/>
        <w:jc w:val="both"/>
      </w:pPr>
      <w:r>
        <w:t>Local</w:t>
      </w:r>
      <w:r>
        <w:rPr>
          <w:spacing w:val="-5"/>
        </w:rPr>
        <w:t xml:space="preserve"> </w:t>
      </w:r>
      <w:r>
        <w:t>skin</w:t>
      </w:r>
      <w:r>
        <w:rPr>
          <w:spacing w:val="-4"/>
        </w:rPr>
        <w:t xml:space="preserve"> </w:t>
      </w:r>
      <w:r>
        <w:t>reactions</w:t>
      </w:r>
      <w:r>
        <w:rPr>
          <w:spacing w:val="-3"/>
        </w:rPr>
        <w:t xml:space="preserve"> </w:t>
      </w:r>
      <w:r>
        <w:t>were</w:t>
      </w:r>
      <w:r>
        <w:rPr>
          <w:spacing w:val="-4"/>
        </w:rPr>
        <w:t xml:space="preserve"> </w:t>
      </w:r>
      <w:r>
        <w:t>observed</w:t>
      </w:r>
      <w:r>
        <w:rPr>
          <w:spacing w:val="-2"/>
        </w:rPr>
        <w:t xml:space="preserve"> </w:t>
      </w:r>
      <w:r>
        <w:t>during</w:t>
      </w:r>
      <w:r>
        <w:rPr>
          <w:spacing w:val="-5"/>
        </w:rPr>
        <w:t xml:space="preserve"> </w:t>
      </w:r>
      <w:r>
        <w:t>the</w:t>
      </w:r>
      <w:r>
        <w:rPr>
          <w:spacing w:val="-6"/>
        </w:rPr>
        <w:t xml:space="preserve"> </w:t>
      </w:r>
      <w:r>
        <w:t>12-week</w:t>
      </w:r>
      <w:r>
        <w:rPr>
          <w:spacing w:val="-4"/>
        </w:rPr>
        <w:t xml:space="preserve"> </w:t>
      </w:r>
      <w:r>
        <w:t>treatment</w:t>
      </w:r>
      <w:r>
        <w:rPr>
          <w:spacing w:val="-2"/>
        </w:rPr>
        <w:t xml:space="preserve"> </w:t>
      </w:r>
      <w:r>
        <w:t>and</w:t>
      </w:r>
      <w:r>
        <w:rPr>
          <w:spacing w:val="-5"/>
        </w:rPr>
        <w:t xml:space="preserve"> </w:t>
      </w:r>
      <w:r>
        <w:t>occurred</w:t>
      </w:r>
      <w:r>
        <w:rPr>
          <w:spacing w:val="-4"/>
        </w:rPr>
        <w:t xml:space="preserve"> </w:t>
      </w:r>
      <w:r>
        <w:t>in</w:t>
      </w:r>
      <w:r>
        <w:rPr>
          <w:spacing w:val="-4"/>
        </w:rPr>
        <w:t xml:space="preserve"> </w:t>
      </w:r>
      <w:r>
        <w:t>a</w:t>
      </w:r>
      <w:r>
        <w:rPr>
          <w:spacing w:val="-5"/>
        </w:rPr>
        <w:t xml:space="preserve"> </w:t>
      </w:r>
      <w:r>
        <w:t>similar</w:t>
      </w:r>
      <w:r>
        <w:rPr>
          <w:spacing w:val="-6"/>
        </w:rPr>
        <w:t xml:space="preserve"> </w:t>
      </w:r>
      <w:r>
        <w:t>percentage</w:t>
      </w:r>
      <w:r>
        <w:rPr>
          <w:spacing w:val="-2"/>
        </w:rPr>
        <w:t xml:space="preserve"> </w:t>
      </w:r>
      <w:r>
        <w:t>of</w:t>
      </w:r>
      <w:r>
        <w:rPr>
          <w:spacing w:val="-3"/>
        </w:rPr>
        <w:t xml:space="preserve"> </w:t>
      </w:r>
      <w:r>
        <w:t>patients treated with vehicle. Local skin reactions reported by ≥ 1% of patients treated with WINLEVI are shown in the following table.</w:t>
      </w:r>
    </w:p>
    <w:p w14:paraId="2AE9FF9F" w14:textId="77777777" w:rsidR="008B5AF3" w:rsidRDefault="008B5AF3">
      <w:pPr>
        <w:pStyle w:val="BodyText"/>
        <w:spacing w:before="121"/>
        <w:ind w:right="665"/>
        <w:jc w:val="both"/>
      </w:pPr>
    </w:p>
    <w:p w14:paraId="06ACE780" w14:textId="77777777" w:rsidR="00365624" w:rsidRDefault="002B025E">
      <w:pPr>
        <w:pStyle w:val="Heading3"/>
        <w:spacing w:before="15"/>
        <w:ind w:left="1146" w:right="761" w:hanging="886"/>
        <w:rPr>
          <w:sz w:val="14"/>
        </w:rPr>
      </w:pPr>
      <w:r>
        <w:t>Table</w:t>
      </w:r>
      <w:r>
        <w:rPr>
          <w:spacing w:val="-13"/>
        </w:rPr>
        <w:t xml:space="preserve"> </w:t>
      </w:r>
      <w:r>
        <w:t>1</w:t>
      </w:r>
      <w:r>
        <w:rPr>
          <w:spacing w:val="-13"/>
        </w:rPr>
        <w:t xml:space="preserve"> </w:t>
      </w:r>
      <w:r>
        <w:t>-</w:t>
      </w:r>
      <w:r>
        <w:rPr>
          <w:spacing w:val="-13"/>
        </w:rPr>
        <w:t xml:space="preserve"> </w:t>
      </w:r>
      <w:r>
        <w:t>Incidence</w:t>
      </w:r>
      <w:r>
        <w:rPr>
          <w:spacing w:val="-12"/>
        </w:rPr>
        <w:t xml:space="preserve"> </w:t>
      </w:r>
      <w:r>
        <w:t>of</w:t>
      </w:r>
      <w:r>
        <w:rPr>
          <w:spacing w:val="-13"/>
        </w:rPr>
        <w:t xml:space="preserve"> </w:t>
      </w:r>
      <w:r>
        <w:t>New</w:t>
      </w:r>
      <w:r>
        <w:rPr>
          <w:spacing w:val="-12"/>
        </w:rPr>
        <w:t xml:space="preserve"> </w:t>
      </w:r>
      <w:r>
        <w:t>or</w:t>
      </w:r>
      <w:r>
        <w:rPr>
          <w:spacing w:val="-13"/>
        </w:rPr>
        <w:t xml:space="preserve"> </w:t>
      </w:r>
      <w:r>
        <w:t>Worsening</w:t>
      </w:r>
      <w:r>
        <w:rPr>
          <w:spacing w:val="-12"/>
        </w:rPr>
        <w:t xml:space="preserve"> </w:t>
      </w:r>
      <w:r>
        <w:t>Treatment-Emergent</w:t>
      </w:r>
      <w:r>
        <w:rPr>
          <w:spacing w:val="-12"/>
        </w:rPr>
        <w:t xml:space="preserve"> </w:t>
      </w:r>
      <w:r>
        <w:t>Local</w:t>
      </w:r>
      <w:r>
        <w:rPr>
          <w:spacing w:val="-12"/>
        </w:rPr>
        <w:t xml:space="preserve"> </w:t>
      </w:r>
      <w:r>
        <w:t>Skin</w:t>
      </w:r>
      <w:r>
        <w:rPr>
          <w:spacing w:val="-12"/>
        </w:rPr>
        <w:t xml:space="preserve"> </w:t>
      </w:r>
      <w:r>
        <w:t>Reactions</w:t>
      </w:r>
      <w:r>
        <w:rPr>
          <w:spacing w:val="-13"/>
        </w:rPr>
        <w:t xml:space="preserve"> </w:t>
      </w:r>
      <w:r>
        <w:t>Reported</w:t>
      </w:r>
      <w:r>
        <w:rPr>
          <w:spacing w:val="-12"/>
        </w:rPr>
        <w:t xml:space="preserve"> </w:t>
      </w:r>
      <w:r>
        <w:t>by</w:t>
      </w:r>
      <w:r>
        <w:rPr>
          <w:spacing w:val="-13"/>
        </w:rPr>
        <w:t xml:space="preserve"> </w:t>
      </w:r>
      <w:r>
        <w:t>≥</w:t>
      </w:r>
      <w:r>
        <w:rPr>
          <w:spacing w:val="-9"/>
        </w:rPr>
        <w:t xml:space="preserve"> </w:t>
      </w:r>
      <w:r>
        <w:t>1%</w:t>
      </w:r>
      <w:r>
        <w:rPr>
          <w:spacing w:val="-14"/>
        </w:rPr>
        <w:t xml:space="preserve"> </w:t>
      </w:r>
      <w:r>
        <w:t xml:space="preserve">of Patients Treated with WINLEVI Cream After Day 1 in 12-Week Controlled Phase 3 Clinical </w:t>
      </w:r>
      <w:r>
        <w:rPr>
          <w:spacing w:val="-2"/>
        </w:rPr>
        <w:t>Trials</w:t>
      </w:r>
      <w:r>
        <w:rPr>
          <w:spacing w:val="-2"/>
          <w:position w:val="6"/>
          <w:sz w:val="14"/>
        </w:rPr>
        <w:t>a</w:t>
      </w:r>
    </w:p>
    <w:p w14:paraId="06ACE781" w14:textId="77777777" w:rsidR="00365624" w:rsidRDefault="00365624">
      <w:pPr>
        <w:pStyle w:val="BodyText"/>
        <w:spacing w:before="7"/>
        <w:ind w:left="0"/>
        <w:rPr>
          <w:b/>
          <w:sz w:val="8"/>
        </w:rPr>
      </w:pPr>
    </w:p>
    <w:tbl>
      <w:tblPr>
        <w:tblW w:w="0" w:type="auto"/>
        <w:tblInd w:w="398" w:type="dxa"/>
        <w:tblBorders>
          <w:top w:val="single" w:sz="4" w:space="0" w:color="BABABA"/>
          <w:left w:val="single" w:sz="4" w:space="0" w:color="BABABA"/>
          <w:bottom w:val="single" w:sz="4" w:space="0" w:color="BABABA"/>
          <w:right w:val="single" w:sz="4" w:space="0" w:color="BABABA"/>
          <w:insideH w:val="single" w:sz="4" w:space="0" w:color="BABABA"/>
          <w:insideV w:val="single" w:sz="4" w:space="0" w:color="BABABA"/>
        </w:tblBorders>
        <w:tblLayout w:type="fixed"/>
        <w:tblCellMar>
          <w:left w:w="0" w:type="dxa"/>
          <w:right w:w="0" w:type="dxa"/>
        </w:tblCellMar>
        <w:tblLook w:val="01E0" w:firstRow="1" w:lastRow="1" w:firstColumn="1" w:lastColumn="1" w:noHBand="0" w:noVBand="0"/>
      </w:tblPr>
      <w:tblGrid>
        <w:gridCol w:w="4950"/>
        <w:gridCol w:w="2251"/>
        <w:gridCol w:w="2158"/>
      </w:tblGrid>
      <w:tr w:rsidR="00365624" w14:paraId="06ACE786" w14:textId="77777777">
        <w:trPr>
          <w:trHeight w:val="754"/>
        </w:trPr>
        <w:tc>
          <w:tcPr>
            <w:tcW w:w="4950" w:type="dxa"/>
            <w:shd w:val="clear" w:color="auto" w:fill="EDEDED"/>
          </w:tcPr>
          <w:p w14:paraId="06ACE782" w14:textId="77777777" w:rsidR="00365624" w:rsidRDefault="002B025E">
            <w:pPr>
              <w:pStyle w:val="TableParagraph"/>
              <w:spacing w:before="0"/>
              <w:ind w:left="463"/>
              <w:rPr>
                <w:b/>
              </w:rPr>
            </w:pPr>
            <w:r>
              <w:rPr>
                <w:b/>
                <w:spacing w:val="-6"/>
              </w:rPr>
              <w:t xml:space="preserve">Adverse </w:t>
            </w:r>
            <w:r>
              <w:rPr>
                <w:b/>
                <w:spacing w:val="-2"/>
              </w:rPr>
              <w:t>Event</w:t>
            </w:r>
          </w:p>
        </w:tc>
        <w:tc>
          <w:tcPr>
            <w:tcW w:w="2251" w:type="dxa"/>
            <w:shd w:val="clear" w:color="auto" w:fill="EDEDED"/>
          </w:tcPr>
          <w:p w14:paraId="06ACE783" w14:textId="77777777" w:rsidR="00365624" w:rsidRDefault="002B025E">
            <w:pPr>
              <w:pStyle w:val="TableParagraph"/>
              <w:spacing w:before="0" w:line="242" w:lineRule="exact"/>
              <w:ind w:left="730" w:right="674"/>
              <w:jc w:val="center"/>
              <w:rPr>
                <w:b/>
              </w:rPr>
            </w:pPr>
            <w:r>
              <w:rPr>
                <w:b/>
                <w:spacing w:val="-2"/>
              </w:rPr>
              <w:t>WINLEVI</w:t>
            </w:r>
          </w:p>
          <w:p w14:paraId="06ACE784" w14:textId="77777777" w:rsidR="00365624" w:rsidRDefault="002B025E">
            <w:pPr>
              <w:pStyle w:val="TableParagraph"/>
              <w:spacing w:before="20" w:line="223" w:lineRule="auto"/>
              <w:ind w:left="730" w:right="656"/>
              <w:jc w:val="center"/>
              <w:rPr>
                <w:b/>
              </w:rPr>
            </w:pPr>
            <w:r>
              <w:rPr>
                <w:b/>
                <w:spacing w:val="-4"/>
              </w:rPr>
              <w:t>n</w:t>
            </w:r>
            <w:r>
              <w:rPr>
                <w:b/>
                <w:spacing w:val="-19"/>
              </w:rPr>
              <w:t xml:space="preserve"> </w:t>
            </w:r>
            <w:r>
              <w:rPr>
                <w:b/>
                <w:spacing w:val="-4"/>
              </w:rPr>
              <w:t>=</w:t>
            </w:r>
            <w:r>
              <w:rPr>
                <w:b/>
                <w:spacing w:val="-19"/>
              </w:rPr>
              <w:t xml:space="preserve"> </w:t>
            </w:r>
            <w:r>
              <w:rPr>
                <w:b/>
                <w:spacing w:val="-4"/>
              </w:rPr>
              <w:t>674</w:t>
            </w:r>
            <w:r>
              <w:rPr>
                <w:b/>
                <w:spacing w:val="-4"/>
                <w:position w:val="6"/>
                <w:sz w:val="14"/>
              </w:rPr>
              <w:t>b</w:t>
            </w:r>
            <w:r>
              <w:rPr>
                <w:b/>
                <w:spacing w:val="40"/>
                <w:position w:val="6"/>
                <w:sz w:val="14"/>
              </w:rPr>
              <w:t xml:space="preserve"> </w:t>
            </w:r>
            <w:r>
              <w:rPr>
                <w:b/>
                <w:spacing w:val="-4"/>
              </w:rPr>
              <w:t>(%)</w:t>
            </w:r>
          </w:p>
        </w:tc>
        <w:tc>
          <w:tcPr>
            <w:tcW w:w="2158" w:type="dxa"/>
            <w:shd w:val="clear" w:color="auto" w:fill="EDEDED"/>
          </w:tcPr>
          <w:p w14:paraId="06ACE785" w14:textId="77777777" w:rsidR="00365624" w:rsidRDefault="002B025E">
            <w:pPr>
              <w:pStyle w:val="TableParagraph"/>
              <w:spacing w:before="6" w:line="230" w:lineRule="auto"/>
              <w:ind w:left="794" w:right="715" w:firstLine="2"/>
              <w:jc w:val="center"/>
              <w:rPr>
                <w:b/>
              </w:rPr>
            </w:pPr>
            <w:r>
              <w:rPr>
                <w:b/>
                <w:spacing w:val="-2"/>
              </w:rPr>
              <w:t xml:space="preserve">Vehicle </w:t>
            </w:r>
            <w:r>
              <w:rPr>
                <w:b/>
                <w:spacing w:val="-4"/>
              </w:rPr>
              <w:t>n</w:t>
            </w:r>
            <w:r>
              <w:rPr>
                <w:b/>
                <w:spacing w:val="-19"/>
              </w:rPr>
              <w:t xml:space="preserve"> </w:t>
            </w:r>
            <w:r>
              <w:rPr>
                <w:b/>
                <w:spacing w:val="-4"/>
              </w:rPr>
              <w:t>=</w:t>
            </w:r>
            <w:r>
              <w:rPr>
                <w:b/>
                <w:spacing w:val="-19"/>
              </w:rPr>
              <w:t xml:space="preserve"> </w:t>
            </w:r>
            <w:r>
              <w:rPr>
                <w:b/>
                <w:spacing w:val="-4"/>
              </w:rPr>
              <w:t>656</w:t>
            </w:r>
            <w:r>
              <w:rPr>
                <w:b/>
                <w:spacing w:val="-4"/>
                <w:position w:val="6"/>
                <w:sz w:val="14"/>
              </w:rPr>
              <w:t>b</w:t>
            </w:r>
            <w:r>
              <w:rPr>
                <w:b/>
                <w:spacing w:val="40"/>
                <w:position w:val="6"/>
                <w:sz w:val="14"/>
              </w:rPr>
              <w:t xml:space="preserve"> </w:t>
            </w:r>
            <w:r>
              <w:rPr>
                <w:b/>
                <w:spacing w:val="-4"/>
              </w:rPr>
              <w:t>(%)</w:t>
            </w:r>
          </w:p>
        </w:tc>
      </w:tr>
      <w:tr w:rsidR="00365624" w14:paraId="06ACE78A" w14:textId="77777777">
        <w:trPr>
          <w:trHeight w:val="392"/>
        </w:trPr>
        <w:tc>
          <w:tcPr>
            <w:tcW w:w="4950" w:type="dxa"/>
          </w:tcPr>
          <w:p w14:paraId="06ACE787" w14:textId="77777777" w:rsidR="00365624" w:rsidRDefault="002B025E">
            <w:pPr>
              <w:pStyle w:val="TableParagraph"/>
              <w:spacing w:before="95"/>
              <w:ind w:left="463"/>
            </w:pPr>
            <w:r>
              <w:rPr>
                <w:spacing w:val="-2"/>
              </w:rPr>
              <w:t>Edema</w:t>
            </w:r>
          </w:p>
        </w:tc>
        <w:tc>
          <w:tcPr>
            <w:tcW w:w="2251" w:type="dxa"/>
          </w:tcPr>
          <w:p w14:paraId="06ACE788" w14:textId="77777777" w:rsidR="00365624" w:rsidRDefault="002B025E">
            <w:pPr>
              <w:pStyle w:val="TableParagraph"/>
              <w:spacing w:before="95"/>
              <w:ind w:left="730" w:right="673"/>
              <w:jc w:val="center"/>
            </w:pPr>
            <w:r>
              <w:rPr>
                <w:spacing w:val="-4"/>
              </w:rPr>
              <w:t>24</w:t>
            </w:r>
            <w:r>
              <w:rPr>
                <w:spacing w:val="-16"/>
              </w:rPr>
              <w:t xml:space="preserve"> </w:t>
            </w:r>
            <w:r>
              <w:rPr>
                <w:spacing w:val="-2"/>
              </w:rPr>
              <w:t>(3.6)</w:t>
            </w:r>
          </w:p>
        </w:tc>
        <w:tc>
          <w:tcPr>
            <w:tcW w:w="2158" w:type="dxa"/>
          </w:tcPr>
          <w:p w14:paraId="06ACE789" w14:textId="77777777" w:rsidR="00365624" w:rsidRDefault="002B025E">
            <w:pPr>
              <w:pStyle w:val="TableParagraph"/>
              <w:spacing w:before="95"/>
              <w:ind w:left="64"/>
              <w:jc w:val="center"/>
            </w:pPr>
            <w:r>
              <w:rPr>
                <w:spacing w:val="-4"/>
              </w:rPr>
              <w:t>23</w:t>
            </w:r>
            <w:r>
              <w:rPr>
                <w:spacing w:val="-16"/>
              </w:rPr>
              <w:t xml:space="preserve"> </w:t>
            </w:r>
            <w:r>
              <w:rPr>
                <w:spacing w:val="-2"/>
              </w:rPr>
              <w:t>(3.5)</w:t>
            </w:r>
          </w:p>
        </w:tc>
      </w:tr>
      <w:tr w:rsidR="00365624" w14:paraId="06ACE78E" w14:textId="77777777">
        <w:trPr>
          <w:trHeight w:val="388"/>
        </w:trPr>
        <w:tc>
          <w:tcPr>
            <w:tcW w:w="4950" w:type="dxa"/>
          </w:tcPr>
          <w:p w14:paraId="06ACE78B" w14:textId="77777777" w:rsidR="00365624" w:rsidRDefault="002B025E">
            <w:pPr>
              <w:pStyle w:val="TableParagraph"/>
              <w:spacing w:before="95"/>
              <w:ind w:left="463"/>
            </w:pPr>
            <w:r>
              <w:rPr>
                <w:spacing w:val="-2"/>
              </w:rPr>
              <w:t>Erythema/redness</w:t>
            </w:r>
          </w:p>
        </w:tc>
        <w:tc>
          <w:tcPr>
            <w:tcW w:w="2251" w:type="dxa"/>
          </w:tcPr>
          <w:p w14:paraId="06ACE78C" w14:textId="77777777" w:rsidR="00365624" w:rsidRDefault="002B025E">
            <w:pPr>
              <w:pStyle w:val="TableParagraph"/>
              <w:spacing w:before="95"/>
              <w:ind w:left="730" w:right="671"/>
              <w:jc w:val="center"/>
            </w:pPr>
            <w:r>
              <w:rPr>
                <w:spacing w:val="-4"/>
              </w:rPr>
              <w:t>82</w:t>
            </w:r>
            <w:r>
              <w:rPr>
                <w:spacing w:val="-16"/>
              </w:rPr>
              <w:t xml:space="preserve"> </w:t>
            </w:r>
            <w:r>
              <w:rPr>
                <w:spacing w:val="-2"/>
              </w:rPr>
              <w:t>(12.2)</w:t>
            </w:r>
          </w:p>
        </w:tc>
        <w:tc>
          <w:tcPr>
            <w:tcW w:w="2158" w:type="dxa"/>
          </w:tcPr>
          <w:p w14:paraId="06ACE78D" w14:textId="77777777" w:rsidR="00365624" w:rsidRDefault="002B025E">
            <w:pPr>
              <w:pStyle w:val="TableParagraph"/>
              <w:spacing w:before="95"/>
              <w:ind w:left="64" w:right="3"/>
              <w:jc w:val="center"/>
            </w:pPr>
            <w:r>
              <w:rPr>
                <w:spacing w:val="-6"/>
              </w:rPr>
              <w:t>101</w:t>
            </w:r>
            <w:r>
              <w:rPr>
                <w:spacing w:val="-11"/>
              </w:rPr>
              <w:t xml:space="preserve"> </w:t>
            </w:r>
            <w:r>
              <w:rPr>
                <w:spacing w:val="-2"/>
              </w:rPr>
              <w:t>(15.4)</w:t>
            </w:r>
          </w:p>
        </w:tc>
      </w:tr>
      <w:tr w:rsidR="00365624" w14:paraId="06ACE792" w14:textId="77777777">
        <w:trPr>
          <w:trHeight w:val="393"/>
        </w:trPr>
        <w:tc>
          <w:tcPr>
            <w:tcW w:w="4950" w:type="dxa"/>
          </w:tcPr>
          <w:p w14:paraId="06ACE78F" w14:textId="77777777" w:rsidR="00365624" w:rsidRDefault="002B025E">
            <w:pPr>
              <w:pStyle w:val="TableParagraph"/>
              <w:spacing w:before="97"/>
              <w:ind w:left="463"/>
            </w:pPr>
            <w:r>
              <w:rPr>
                <w:spacing w:val="-2"/>
              </w:rPr>
              <w:t>Pruritus</w:t>
            </w:r>
          </w:p>
        </w:tc>
        <w:tc>
          <w:tcPr>
            <w:tcW w:w="2251" w:type="dxa"/>
          </w:tcPr>
          <w:p w14:paraId="06ACE790" w14:textId="77777777" w:rsidR="00365624" w:rsidRDefault="002B025E">
            <w:pPr>
              <w:pStyle w:val="TableParagraph"/>
              <w:spacing w:before="97"/>
              <w:ind w:left="730" w:right="673"/>
              <w:jc w:val="center"/>
            </w:pPr>
            <w:r>
              <w:rPr>
                <w:spacing w:val="-4"/>
              </w:rPr>
              <w:t>52</w:t>
            </w:r>
            <w:r>
              <w:rPr>
                <w:spacing w:val="-16"/>
              </w:rPr>
              <w:t xml:space="preserve"> </w:t>
            </w:r>
            <w:r>
              <w:rPr>
                <w:spacing w:val="-2"/>
              </w:rPr>
              <w:t>(7.7)</w:t>
            </w:r>
          </w:p>
        </w:tc>
        <w:tc>
          <w:tcPr>
            <w:tcW w:w="2158" w:type="dxa"/>
          </w:tcPr>
          <w:p w14:paraId="06ACE791" w14:textId="77777777" w:rsidR="00365624" w:rsidRDefault="002B025E">
            <w:pPr>
              <w:pStyle w:val="TableParagraph"/>
              <w:spacing w:before="97"/>
              <w:ind w:left="64"/>
              <w:jc w:val="center"/>
            </w:pPr>
            <w:r>
              <w:rPr>
                <w:spacing w:val="-4"/>
              </w:rPr>
              <w:t>54</w:t>
            </w:r>
            <w:r>
              <w:rPr>
                <w:spacing w:val="-16"/>
              </w:rPr>
              <w:t xml:space="preserve"> </w:t>
            </w:r>
            <w:r>
              <w:rPr>
                <w:spacing w:val="-2"/>
              </w:rPr>
              <w:t>(8.2)</w:t>
            </w:r>
          </w:p>
        </w:tc>
      </w:tr>
      <w:tr w:rsidR="00365624" w14:paraId="06ACE796" w14:textId="77777777">
        <w:trPr>
          <w:trHeight w:val="388"/>
        </w:trPr>
        <w:tc>
          <w:tcPr>
            <w:tcW w:w="4950" w:type="dxa"/>
          </w:tcPr>
          <w:p w14:paraId="06ACE793" w14:textId="77777777" w:rsidR="00365624" w:rsidRDefault="002B025E">
            <w:pPr>
              <w:pStyle w:val="TableParagraph"/>
              <w:spacing w:before="95"/>
              <w:ind w:left="463"/>
            </w:pPr>
            <w:r>
              <w:rPr>
                <w:spacing w:val="-2"/>
              </w:rPr>
              <w:t>Scaling/dryness</w:t>
            </w:r>
          </w:p>
        </w:tc>
        <w:tc>
          <w:tcPr>
            <w:tcW w:w="2251" w:type="dxa"/>
          </w:tcPr>
          <w:p w14:paraId="06ACE794" w14:textId="77777777" w:rsidR="00365624" w:rsidRDefault="002B025E">
            <w:pPr>
              <w:pStyle w:val="TableParagraph"/>
              <w:spacing w:before="95"/>
              <w:ind w:left="730" w:right="671"/>
              <w:jc w:val="center"/>
            </w:pPr>
            <w:r>
              <w:rPr>
                <w:spacing w:val="-4"/>
              </w:rPr>
              <w:t>71</w:t>
            </w:r>
            <w:r>
              <w:rPr>
                <w:spacing w:val="-16"/>
              </w:rPr>
              <w:t xml:space="preserve"> </w:t>
            </w:r>
            <w:r>
              <w:rPr>
                <w:spacing w:val="-2"/>
              </w:rPr>
              <w:t>(10.5)</w:t>
            </w:r>
          </w:p>
        </w:tc>
        <w:tc>
          <w:tcPr>
            <w:tcW w:w="2158" w:type="dxa"/>
          </w:tcPr>
          <w:p w14:paraId="06ACE795" w14:textId="77777777" w:rsidR="00365624" w:rsidRDefault="002B025E">
            <w:pPr>
              <w:pStyle w:val="TableParagraph"/>
              <w:spacing w:before="95"/>
              <w:ind w:left="64" w:right="5"/>
              <w:jc w:val="center"/>
            </w:pPr>
            <w:r>
              <w:rPr>
                <w:spacing w:val="-4"/>
              </w:rPr>
              <w:t>68</w:t>
            </w:r>
            <w:r>
              <w:rPr>
                <w:spacing w:val="-16"/>
              </w:rPr>
              <w:t xml:space="preserve"> </w:t>
            </w:r>
            <w:r>
              <w:rPr>
                <w:spacing w:val="-2"/>
              </w:rPr>
              <w:t>(10.4)</w:t>
            </w:r>
          </w:p>
        </w:tc>
      </w:tr>
      <w:tr w:rsidR="00365624" w14:paraId="06ACE79A" w14:textId="77777777">
        <w:trPr>
          <w:trHeight w:val="393"/>
        </w:trPr>
        <w:tc>
          <w:tcPr>
            <w:tcW w:w="4950" w:type="dxa"/>
          </w:tcPr>
          <w:p w14:paraId="06ACE797" w14:textId="77777777" w:rsidR="00365624" w:rsidRDefault="002B025E">
            <w:pPr>
              <w:pStyle w:val="TableParagraph"/>
              <w:spacing w:before="95"/>
              <w:ind w:left="463"/>
            </w:pPr>
            <w:r>
              <w:rPr>
                <w:spacing w:val="-5"/>
              </w:rPr>
              <w:t xml:space="preserve">Skin </w:t>
            </w:r>
            <w:r>
              <w:rPr>
                <w:spacing w:val="-2"/>
              </w:rPr>
              <w:t>atrophy</w:t>
            </w:r>
          </w:p>
        </w:tc>
        <w:tc>
          <w:tcPr>
            <w:tcW w:w="2251" w:type="dxa"/>
          </w:tcPr>
          <w:p w14:paraId="06ACE798" w14:textId="77777777" w:rsidR="00365624" w:rsidRDefault="002B025E">
            <w:pPr>
              <w:pStyle w:val="TableParagraph"/>
              <w:spacing w:before="95"/>
              <w:ind w:left="730" w:right="673"/>
              <w:jc w:val="center"/>
            </w:pPr>
            <w:r>
              <w:rPr>
                <w:spacing w:val="-4"/>
              </w:rPr>
              <w:t>11</w:t>
            </w:r>
            <w:r>
              <w:rPr>
                <w:spacing w:val="-16"/>
              </w:rPr>
              <w:t xml:space="preserve"> </w:t>
            </w:r>
            <w:r>
              <w:rPr>
                <w:spacing w:val="-2"/>
              </w:rPr>
              <w:t>(1.6)</w:t>
            </w:r>
          </w:p>
        </w:tc>
        <w:tc>
          <w:tcPr>
            <w:tcW w:w="2158" w:type="dxa"/>
          </w:tcPr>
          <w:p w14:paraId="06ACE799" w14:textId="77777777" w:rsidR="00365624" w:rsidRDefault="002B025E">
            <w:pPr>
              <w:pStyle w:val="TableParagraph"/>
              <w:spacing w:before="95"/>
              <w:ind w:left="64"/>
              <w:jc w:val="center"/>
            </w:pPr>
            <w:r>
              <w:rPr>
                <w:spacing w:val="-4"/>
              </w:rPr>
              <w:t>17</w:t>
            </w:r>
            <w:r>
              <w:rPr>
                <w:spacing w:val="-16"/>
              </w:rPr>
              <w:t xml:space="preserve"> </w:t>
            </w:r>
            <w:r>
              <w:rPr>
                <w:spacing w:val="-2"/>
              </w:rPr>
              <w:t>(2.6)</w:t>
            </w:r>
          </w:p>
        </w:tc>
      </w:tr>
      <w:tr w:rsidR="00365624" w14:paraId="06ACE79E" w14:textId="77777777">
        <w:trPr>
          <w:trHeight w:val="392"/>
        </w:trPr>
        <w:tc>
          <w:tcPr>
            <w:tcW w:w="4950" w:type="dxa"/>
          </w:tcPr>
          <w:p w14:paraId="06ACE79B" w14:textId="77777777" w:rsidR="00365624" w:rsidRDefault="002B025E">
            <w:pPr>
              <w:pStyle w:val="TableParagraph"/>
              <w:spacing w:before="95"/>
              <w:ind w:left="463"/>
            </w:pPr>
            <w:r>
              <w:rPr>
                <w:spacing w:val="-2"/>
              </w:rPr>
              <w:t>Stinging/burning</w:t>
            </w:r>
          </w:p>
        </w:tc>
        <w:tc>
          <w:tcPr>
            <w:tcW w:w="2251" w:type="dxa"/>
          </w:tcPr>
          <w:p w14:paraId="06ACE79C" w14:textId="77777777" w:rsidR="00365624" w:rsidRDefault="002B025E">
            <w:pPr>
              <w:pStyle w:val="TableParagraph"/>
              <w:spacing w:before="95"/>
              <w:ind w:left="730" w:right="673"/>
              <w:jc w:val="center"/>
            </w:pPr>
            <w:r>
              <w:rPr>
                <w:spacing w:val="-4"/>
              </w:rPr>
              <w:t>28</w:t>
            </w:r>
            <w:r>
              <w:rPr>
                <w:spacing w:val="-16"/>
              </w:rPr>
              <w:t xml:space="preserve"> </w:t>
            </w:r>
            <w:r>
              <w:rPr>
                <w:spacing w:val="-2"/>
              </w:rPr>
              <w:t>(4.2)</w:t>
            </w:r>
          </w:p>
        </w:tc>
        <w:tc>
          <w:tcPr>
            <w:tcW w:w="2158" w:type="dxa"/>
          </w:tcPr>
          <w:p w14:paraId="06ACE79D" w14:textId="77777777" w:rsidR="00365624" w:rsidRDefault="002B025E">
            <w:pPr>
              <w:pStyle w:val="TableParagraph"/>
              <w:spacing w:before="95"/>
              <w:ind w:left="64"/>
              <w:jc w:val="center"/>
            </w:pPr>
            <w:r>
              <w:rPr>
                <w:spacing w:val="-4"/>
              </w:rPr>
              <w:t>28</w:t>
            </w:r>
            <w:r>
              <w:rPr>
                <w:spacing w:val="-16"/>
              </w:rPr>
              <w:t xml:space="preserve"> </w:t>
            </w:r>
            <w:r>
              <w:rPr>
                <w:spacing w:val="-2"/>
              </w:rPr>
              <w:t>(4.3)</w:t>
            </w:r>
          </w:p>
        </w:tc>
      </w:tr>
      <w:tr w:rsidR="00365624" w14:paraId="06ACE7A2" w14:textId="77777777">
        <w:trPr>
          <w:trHeight w:val="390"/>
        </w:trPr>
        <w:tc>
          <w:tcPr>
            <w:tcW w:w="4950" w:type="dxa"/>
          </w:tcPr>
          <w:p w14:paraId="06ACE79F" w14:textId="77777777" w:rsidR="00365624" w:rsidRDefault="002B025E">
            <w:pPr>
              <w:pStyle w:val="TableParagraph"/>
              <w:spacing w:before="95"/>
              <w:ind w:left="463"/>
            </w:pPr>
            <w:r>
              <w:rPr>
                <w:spacing w:val="-5"/>
              </w:rPr>
              <w:t xml:space="preserve">Striae </w:t>
            </w:r>
            <w:r>
              <w:rPr>
                <w:spacing w:val="-2"/>
              </w:rPr>
              <w:t>rubrae</w:t>
            </w:r>
          </w:p>
        </w:tc>
        <w:tc>
          <w:tcPr>
            <w:tcW w:w="2251" w:type="dxa"/>
          </w:tcPr>
          <w:p w14:paraId="06ACE7A0" w14:textId="77777777" w:rsidR="00365624" w:rsidRDefault="002B025E">
            <w:pPr>
              <w:pStyle w:val="TableParagraph"/>
              <w:spacing w:before="95"/>
              <w:ind w:left="730" w:right="673"/>
              <w:jc w:val="center"/>
            </w:pPr>
            <w:r>
              <w:rPr>
                <w:spacing w:val="-4"/>
              </w:rPr>
              <w:t>17</w:t>
            </w:r>
            <w:r>
              <w:rPr>
                <w:spacing w:val="-16"/>
              </w:rPr>
              <w:t xml:space="preserve"> </w:t>
            </w:r>
            <w:r>
              <w:rPr>
                <w:spacing w:val="-2"/>
              </w:rPr>
              <w:t>(2.5)</w:t>
            </w:r>
          </w:p>
        </w:tc>
        <w:tc>
          <w:tcPr>
            <w:tcW w:w="2158" w:type="dxa"/>
          </w:tcPr>
          <w:p w14:paraId="06ACE7A1" w14:textId="77777777" w:rsidR="00365624" w:rsidRDefault="002B025E">
            <w:pPr>
              <w:pStyle w:val="TableParagraph"/>
              <w:spacing w:before="95"/>
              <w:ind w:left="64"/>
              <w:jc w:val="center"/>
            </w:pPr>
            <w:r>
              <w:rPr>
                <w:spacing w:val="-4"/>
              </w:rPr>
              <w:t>10</w:t>
            </w:r>
            <w:r>
              <w:rPr>
                <w:spacing w:val="-16"/>
              </w:rPr>
              <w:t xml:space="preserve"> </w:t>
            </w:r>
            <w:r>
              <w:rPr>
                <w:spacing w:val="-2"/>
              </w:rPr>
              <w:t>(1.5)</w:t>
            </w:r>
          </w:p>
        </w:tc>
      </w:tr>
      <w:tr w:rsidR="00365624" w14:paraId="06ACE7A6" w14:textId="77777777">
        <w:trPr>
          <w:trHeight w:val="393"/>
        </w:trPr>
        <w:tc>
          <w:tcPr>
            <w:tcW w:w="4950" w:type="dxa"/>
          </w:tcPr>
          <w:p w14:paraId="06ACE7A3" w14:textId="77777777" w:rsidR="00365624" w:rsidRDefault="002B025E">
            <w:pPr>
              <w:pStyle w:val="TableParagraph"/>
              <w:spacing w:before="93"/>
              <w:ind w:left="463"/>
            </w:pPr>
            <w:r>
              <w:rPr>
                <w:spacing w:val="-2"/>
              </w:rPr>
              <w:t>Telangiectasia</w:t>
            </w:r>
          </w:p>
        </w:tc>
        <w:tc>
          <w:tcPr>
            <w:tcW w:w="2251" w:type="dxa"/>
          </w:tcPr>
          <w:p w14:paraId="06ACE7A4" w14:textId="77777777" w:rsidR="00365624" w:rsidRDefault="002B025E">
            <w:pPr>
              <w:pStyle w:val="TableParagraph"/>
              <w:spacing w:before="93"/>
              <w:ind w:left="730" w:right="673"/>
              <w:jc w:val="center"/>
            </w:pPr>
            <w:r>
              <w:rPr>
                <w:spacing w:val="-2"/>
              </w:rPr>
              <w:t>8</w:t>
            </w:r>
            <w:r>
              <w:rPr>
                <w:spacing w:val="-15"/>
              </w:rPr>
              <w:t xml:space="preserve"> </w:t>
            </w:r>
            <w:r>
              <w:rPr>
                <w:spacing w:val="-2"/>
              </w:rPr>
              <w:t>(1.2)</w:t>
            </w:r>
          </w:p>
        </w:tc>
        <w:tc>
          <w:tcPr>
            <w:tcW w:w="2158" w:type="dxa"/>
          </w:tcPr>
          <w:p w14:paraId="06ACE7A5" w14:textId="77777777" w:rsidR="00365624" w:rsidRDefault="002B025E">
            <w:pPr>
              <w:pStyle w:val="TableParagraph"/>
              <w:spacing w:before="93"/>
              <w:ind w:left="64"/>
              <w:jc w:val="center"/>
            </w:pPr>
            <w:r>
              <w:rPr>
                <w:spacing w:val="-4"/>
              </w:rPr>
              <w:t>12</w:t>
            </w:r>
            <w:r>
              <w:rPr>
                <w:spacing w:val="-16"/>
              </w:rPr>
              <w:t xml:space="preserve"> </w:t>
            </w:r>
            <w:r>
              <w:rPr>
                <w:spacing w:val="-2"/>
              </w:rPr>
              <w:t>(1.8)</w:t>
            </w:r>
          </w:p>
        </w:tc>
      </w:tr>
    </w:tbl>
    <w:p w14:paraId="06ACE7A7" w14:textId="77777777" w:rsidR="00365624" w:rsidRDefault="002B025E">
      <w:pPr>
        <w:spacing w:before="10"/>
        <w:ind w:left="260"/>
        <w:rPr>
          <w:sz w:val="20"/>
        </w:rPr>
      </w:pPr>
      <w:r>
        <w:rPr>
          <w:spacing w:val="-2"/>
          <w:position w:val="5"/>
          <w:sz w:val="13"/>
        </w:rPr>
        <w:t>a</w:t>
      </w:r>
      <w:r>
        <w:rPr>
          <w:spacing w:val="-10"/>
          <w:position w:val="5"/>
          <w:sz w:val="13"/>
        </w:rPr>
        <w:t xml:space="preserve"> </w:t>
      </w:r>
      <w:r>
        <w:rPr>
          <w:spacing w:val="-2"/>
          <w:sz w:val="20"/>
        </w:rPr>
        <w:t>Pooled</w:t>
      </w:r>
      <w:r>
        <w:rPr>
          <w:spacing w:val="-6"/>
          <w:sz w:val="20"/>
        </w:rPr>
        <w:t xml:space="preserve"> </w:t>
      </w:r>
      <w:r>
        <w:rPr>
          <w:spacing w:val="-2"/>
          <w:sz w:val="20"/>
        </w:rPr>
        <w:t>Data</w:t>
      </w:r>
      <w:r>
        <w:rPr>
          <w:spacing w:val="-8"/>
          <w:sz w:val="20"/>
        </w:rPr>
        <w:t xml:space="preserve"> </w:t>
      </w:r>
      <w:r>
        <w:rPr>
          <w:spacing w:val="-2"/>
          <w:sz w:val="20"/>
        </w:rPr>
        <w:t>of</w:t>
      </w:r>
      <w:r>
        <w:rPr>
          <w:spacing w:val="-6"/>
          <w:sz w:val="20"/>
        </w:rPr>
        <w:t xml:space="preserve"> </w:t>
      </w:r>
      <w:r>
        <w:rPr>
          <w:spacing w:val="-2"/>
          <w:sz w:val="20"/>
        </w:rPr>
        <w:t>Trial</w:t>
      </w:r>
      <w:r>
        <w:rPr>
          <w:spacing w:val="-6"/>
          <w:sz w:val="20"/>
        </w:rPr>
        <w:t xml:space="preserve"> </w:t>
      </w:r>
      <w:r>
        <w:rPr>
          <w:spacing w:val="-2"/>
          <w:sz w:val="20"/>
        </w:rPr>
        <w:t>1</w:t>
      </w:r>
      <w:r>
        <w:rPr>
          <w:spacing w:val="-7"/>
          <w:sz w:val="20"/>
        </w:rPr>
        <w:t xml:space="preserve"> </w:t>
      </w:r>
      <w:r>
        <w:rPr>
          <w:spacing w:val="-2"/>
          <w:sz w:val="20"/>
        </w:rPr>
        <w:t>and</w:t>
      </w:r>
      <w:r>
        <w:rPr>
          <w:spacing w:val="-8"/>
          <w:sz w:val="20"/>
        </w:rPr>
        <w:t xml:space="preserve"> </w:t>
      </w:r>
      <w:r>
        <w:rPr>
          <w:spacing w:val="-2"/>
          <w:sz w:val="20"/>
        </w:rPr>
        <w:t>Trial</w:t>
      </w:r>
      <w:r>
        <w:rPr>
          <w:spacing w:val="-10"/>
          <w:sz w:val="20"/>
        </w:rPr>
        <w:t xml:space="preserve"> 2</w:t>
      </w:r>
    </w:p>
    <w:p w14:paraId="06ACE7A8" w14:textId="77777777" w:rsidR="00365624" w:rsidRDefault="002B025E">
      <w:pPr>
        <w:spacing w:before="5"/>
        <w:ind w:left="260" w:right="235"/>
        <w:rPr>
          <w:sz w:val="20"/>
        </w:rPr>
      </w:pPr>
      <w:r>
        <w:rPr>
          <w:position w:val="5"/>
          <w:sz w:val="13"/>
        </w:rPr>
        <w:t>b</w:t>
      </w:r>
      <w:r>
        <w:rPr>
          <w:spacing w:val="-6"/>
          <w:position w:val="5"/>
          <w:sz w:val="13"/>
        </w:rPr>
        <w:t xml:space="preserve"> </w:t>
      </w:r>
      <w:proofErr w:type="gramStart"/>
      <w:r>
        <w:rPr>
          <w:sz w:val="20"/>
        </w:rPr>
        <w:t>The</w:t>
      </w:r>
      <w:proofErr w:type="gramEnd"/>
      <w:r>
        <w:rPr>
          <w:spacing w:val="-8"/>
          <w:sz w:val="20"/>
        </w:rPr>
        <w:t xml:space="preserve"> </w:t>
      </w:r>
      <w:r>
        <w:rPr>
          <w:sz w:val="20"/>
        </w:rPr>
        <w:t>denominators</w:t>
      </w:r>
      <w:r>
        <w:rPr>
          <w:spacing w:val="-8"/>
          <w:sz w:val="20"/>
        </w:rPr>
        <w:t xml:space="preserve"> </w:t>
      </w:r>
      <w:r>
        <w:rPr>
          <w:sz w:val="20"/>
        </w:rPr>
        <w:t>for</w:t>
      </w:r>
      <w:r>
        <w:rPr>
          <w:spacing w:val="-9"/>
          <w:sz w:val="20"/>
        </w:rPr>
        <w:t xml:space="preserve"> </w:t>
      </w:r>
      <w:r>
        <w:rPr>
          <w:sz w:val="20"/>
        </w:rPr>
        <w:t>calculating</w:t>
      </w:r>
      <w:r>
        <w:rPr>
          <w:spacing w:val="-8"/>
          <w:sz w:val="20"/>
        </w:rPr>
        <w:t xml:space="preserve"> </w:t>
      </w:r>
      <w:r>
        <w:rPr>
          <w:sz w:val="20"/>
        </w:rPr>
        <w:t>the</w:t>
      </w:r>
      <w:r>
        <w:rPr>
          <w:spacing w:val="-9"/>
          <w:sz w:val="20"/>
        </w:rPr>
        <w:t xml:space="preserve"> </w:t>
      </w:r>
      <w:r>
        <w:rPr>
          <w:sz w:val="20"/>
        </w:rPr>
        <w:t>percentages</w:t>
      </w:r>
      <w:r>
        <w:rPr>
          <w:spacing w:val="-11"/>
          <w:sz w:val="20"/>
        </w:rPr>
        <w:t xml:space="preserve"> </w:t>
      </w:r>
      <w:r>
        <w:rPr>
          <w:sz w:val="20"/>
        </w:rPr>
        <w:t>were</w:t>
      </w:r>
      <w:r>
        <w:rPr>
          <w:spacing w:val="-8"/>
          <w:sz w:val="20"/>
        </w:rPr>
        <w:t xml:space="preserve"> </w:t>
      </w:r>
      <w:r>
        <w:rPr>
          <w:sz w:val="20"/>
        </w:rPr>
        <w:t>the</w:t>
      </w:r>
      <w:r>
        <w:rPr>
          <w:spacing w:val="-11"/>
          <w:sz w:val="20"/>
        </w:rPr>
        <w:t xml:space="preserve"> </w:t>
      </w:r>
      <w:r>
        <w:rPr>
          <w:sz w:val="20"/>
        </w:rPr>
        <w:t>674</w:t>
      </w:r>
      <w:r>
        <w:rPr>
          <w:spacing w:val="-10"/>
          <w:sz w:val="20"/>
        </w:rPr>
        <w:t xml:space="preserve"> </w:t>
      </w:r>
      <w:r>
        <w:rPr>
          <w:sz w:val="20"/>
        </w:rPr>
        <w:t>of</w:t>
      </w:r>
      <w:r>
        <w:rPr>
          <w:spacing w:val="-10"/>
          <w:sz w:val="20"/>
        </w:rPr>
        <w:t xml:space="preserve"> </w:t>
      </w:r>
      <w:r>
        <w:rPr>
          <w:sz w:val="20"/>
        </w:rPr>
        <w:t>709</w:t>
      </w:r>
      <w:r>
        <w:rPr>
          <w:spacing w:val="-9"/>
          <w:sz w:val="20"/>
        </w:rPr>
        <w:t xml:space="preserve"> </w:t>
      </w:r>
      <w:r>
        <w:rPr>
          <w:sz w:val="20"/>
        </w:rPr>
        <w:t>patients</w:t>
      </w:r>
      <w:r>
        <w:rPr>
          <w:spacing w:val="-12"/>
          <w:sz w:val="20"/>
        </w:rPr>
        <w:t xml:space="preserve"> </w:t>
      </w:r>
      <w:r>
        <w:rPr>
          <w:sz w:val="20"/>
        </w:rPr>
        <w:t>treated</w:t>
      </w:r>
      <w:r>
        <w:rPr>
          <w:spacing w:val="-8"/>
          <w:sz w:val="20"/>
        </w:rPr>
        <w:t xml:space="preserve"> </w:t>
      </w:r>
      <w:r>
        <w:rPr>
          <w:sz w:val="20"/>
        </w:rPr>
        <w:t>with</w:t>
      </w:r>
      <w:r>
        <w:rPr>
          <w:spacing w:val="-10"/>
          <w:sz w:val="20"/>
        </w:rPr>
        <w:t xml:space="preserve"> </w:t>
      </w:r>
      <w:r>
        <w:rPr>
          <w:sz w:val="20"/>
        </w:rPr>
        <w:t>WINLEVI</w:t>
      </w:r>
      <w:r>
        <w:rPr>
          <w:spacing w:val="-11"/>
          <w:sz w:val="20"/>
        </w:rPr>
        <w:t xml:space="preserve"> </w:t>
      </w:r>
      <w:r>
        <w:rPr>
          <w:sz w:val="20"/>
        </w:rPr>
        <w:t>and</w:t>
      </w:r>
      <w:r>
        <w:rPr>
          <w:spacing w:val="-10"/>
          <w:sz w:val="20"/>
        </w:rPr>
        <w:t xml:space="preserve"> </w:t>
      </w:r>
      <w:r>
        <w:rPr>
          <w:sz w:val="20"/>
        </w:rPr>
        <w:t>656</w:t>
      </w:r>
      <w:r>
        <w:rPr>
          <w:spacing w:val="-10"/>
          <w:sz w:val="20"/>
        </w:rPr>
        <w:t xml:space="preserve"> </w:t>
      </w:r>
      <w:r>
        <w:rPr>
          <w:sz w:val="20"/>
        </w:rPr>
        <w:t>of</w:t>
      </w:r>
      <w:r>
        <w:rPr>
          <w:spacing w:val="-10"/>
          <w:sz w:val="20"/>
        </w:rPr>
        <w:t xml:space="preserve"> </w:t>
      </w:r>
      <w:r>
        <w:rPr>
          <w:sz w:val="20"/>
        </w:rPr>
        <w:t>712</w:t>
      </w:r>
      <w:r>
        <w:rPr>
          <w:spacing w:val="-8"/>
          <w:sz w:val="20"/>
        </w:rPr>
        <w:t xml:space="preserve"> </w:t>
      </w:r>
      <w:r>
        <w:rPr>
          <w:sz w:val="20"/>
        </w:rPr>
        <w:t>patients treated with vehicle in these trials who had local skin reaction results reported after Day 1.</w:t>
      </w:r>
    </w:p>
    <w:p w14:paraId="06ACE7A9" w14:textId="77777777" w:rsidR="00365624" w:rsidRDefault="00365624">
      <w:pPr>
        <w:pStyle w:val="BodyText"/>
        <w:spacing w:before="158"/>
        <w:ind w:left="0"/>
        <w:rPr>
          <w:sz w:val="20"/>
        </w:rPr>
      </w:pPr>
    </w:p>
    <w:p w14:paraId="06ACE7AA" w14:textId="77777777" w:rsidR="00365624" w:rsidRDefault="002B025E">
      <w:pPr>
        <w:pStyle w:val="BodyText"/>
        <w:ind w:right="235"/>
      </w:pPr>
      <w:r>
        <w:rPr>
          <w:spacing w:val="-2"/>
        </w:rPr>
        <w:t>The</w:t>
      </w:r>
      <w:r>
        <w:rPr>
          <w:spacing w:val="-4"/>
        </w:rPr>
        <w:t xml:space="preserve"> </w:t>
      </w:r>
      <w:r>
        <w:rPr>
          <w:spacing w:val="-2"/>
        </w:rPr>
        <w:t>only</w:t>
      </w:r>
      <w:r>
        <w:rPr>
          <w:spacing w:val="-4"/>
        </w:rPr>
        <w:t xml:space="preserve"> </w:t>
      </w:r>
      <w:r>
        <w:rPr>
          <w:spacing w:val="-2"/>
        </w:rPr>
        <w:t>other</w:t>
      </w:r>
      <w:r>
        <w:rPr>
          <w:spacing w:val="-4"/>
        </w:rPr>
        <w:t xml:space="preserve"> </w:t>
      </w:r>
      <w:r>
        <w:rPr>
          <w:spacing w:val="-2"/>
        </w:rPr>
        <w:t>treatment-emergent</w:t>
      </w:r>
      <w:r>
        <w:rPr>
          <w:spacing w:val="-4"/>
        </w:rPr>
        <w:t xml:space="preserve"> </w:t>
      </w:r>
      <w:r>
        <w:rPr>
          <w:spacing w:val="-2"/>
        </w:rPr>
        <w:t>adverse</w:t>
      </w:r>
      <w:r>
        <w:rPr>
          <w:spacing w:val="-4"/>
        </w:rPr>
        <w:t xml:space="preserve"> </w:t>
      </w:r>
      <w:r>
        <w:rPr>
          <w:spacing w:val="-2"/>
        </w:rPr>
        <w:t>event</w:t>
      </w:r>
      <w:r>
        <w:rPr>
          <w:spacing w:val="-4"/>
        </w:rPr>
        <w:t xml:space="preserve"> </w:t>
      </w:r>
      <w:r>
        <w:rPr>
          <w:spacing w:val="-2"/>
        </w:rPr>
        <w:t>(TEAE)</w:t>
      </w:r>
      <w:r>
        <w:rPr>
          <w:spacing w:val="-3"/>
        </w:rPr>
        <w:t xml:space="preserve"> </w:t>
      </w:r>
      <w:r>
        <w:rPr>
          <w:spacing w:val="-2"/>
        </w:rPr>
        <w:t>reported</w:t>
      </w:r>
      <w:r>
        <w:rPr>
          <w:spacing w:val="-7"/>
        </w:rPr>
        <w:t xml:space="preserve"> </w:t>
      </w:r>
      <w:r>
        <w:rPr>
          <w:spacing w:val="-2"/>
        </w:rPr>
        <w:t>for</w:t>
      </w:r>
      <w:r>
        <w:rPr>
          <w:spacing w:val="-6"/>
        </w:rPr>
        <w:t xml:space="preserve"> </w:t>
      </w:r>
      <w:r>
        <w:rPr>
          <w:spacing w:val="-2"/>
        </w:rPr>
        <w:t>≥</w:t>
      </w:r>
      <w:r>
        <w:rPr>
          <w:spacing w:val="-4"/>
        </w:rPr>
        <w:t xml:space="preserve"> </w:t>
      </w:r>
      <w:r>
        <w:rPr>
          <w:spacing w:val="-2"/>
        </w:rPr>
        <w:t>1%</w:t>
      </w:r>
      <w:r>
        <w:rPr>
          <w:spacing w:val="-4"/>
        </w:rPr>
        <w:t xml:space="preserve"> </w:t>
      </w:r>
      <w:r>
        <w:rPr>
          <w:spacing w:val="-2"/>
        </w:rPr>
        <w:t>of</w:t>
      </w:r>
      <w:r>
        <w:rPr>
          <w:spacing w:val="-4"/>
        </w:rPr>
        <w:t xml:space="preserve"> </w:t>
      </w:r>
      <w:r>
        <w:rPr>
          <w:spacing w:val="-2"/>
        </w:rPr>
        <w:t>patients</w:t>
      </w:r>
      <w:r>
        <w:rPr>
          <w:spacing w:val="-3"/>
        </w:rPr>
        <w:t xml:space="preserve"> </w:t>
      </w:r>
      <w:r>
        <w:rPr>
          <w:spacing w:val="-2"/>
        </w:rPr>
        <w:t>in</w:t>
      </w:r>
      <w:r>
        <w:rPr>
          <w:spacing w:val="-6"/>
        </w:rPr>
        <w:t xml:space="preserve"> </w:t>
      </w:r>
      <w:r>
        <w:rPr>
          <w:spacing w:val="-2"/>
        </w:rPr>
        <w:t>either</w:t>
      </w:r>
      <w:r>
        <w:rPr>
          <w:spacing w:val="-6"/>
        </w:rPr>
        <w:t xml:space="preserve"> </w:t>
      </w:r>
      <w:r>
        <w:rPr>
          <w:spacing w:val="-2"/>
        </w:rPr>
        <w:t>treatment group</w:t>
      </w:r>
      <w:r>
        <w:rPr>
          <w:spacing w:val="-4"/>
        </w:rPr>
        <w:t xml:space="preserve"> </w:t>
      </w:r>
      <w:r>
        <w:rPr>
          <w:spacing w:val="-2"/>
        </w:rPr>
        <w:t>in</w:t>
      </w:r>
      <w:r>
        <w:rPr>
          <w:spacing w:val="-6"/>
        </w:rPr>
        <w:t xml:space="preserve"> </w:t>
      </w:r>
      <w:r>
        <w:rPr>
          <w:spacing w:val="-2"/>
        </w:rPr>
        <w:t xml:space="preserve">the </w:t>
      </w:r>
      <w:r>
        <w:t>pooled randomised, double-blind, vehicle-controlled studies was nasopharyngitis (1.4% WINLEVI, 2.8% vehicle).</w:t>
      </w:r>
    </w:p>
    <w:p w14:paraId="06ACE7AB" w14:textId="77777777" w:rsidR="00365624" w:rsidRDefault="002B025E">
      <w:pPr>
        <w:pStyle w:val="Heading2"/>
      </w:pPr>
      <w:r>
        <w:t>Clinical</w:t>
      </w:r>
      <w:r>
        <w:rPr>
          <w:spacing w:val="-14"/>
        </w:rPr>
        <w:t xml:space="preserve"> </w:t>
      </w:r>
      <w:r>
        <w:t>Trial</w:t>
      </w:r>
      <w:r>
        <w:rPr>
          <w:spacing w:val="-14"/>
        </w:rPr>
        <w:t xml:space="preserve"> </w:t>
      </w:r>
      <w:r>
        <w:t>Adverse</w:t>
      </w:r>
      <w:r>
        <w:rPr>
          <w:spacing w:val="-13"/>
        </w:rPr>
        <w:t xml:space="preserve"> </w:t>
      </w:r>
      <w:r>
        <w:t>Reactions</w:t>
      </w:r>
      <w:r>
        <w:rPr>
          <w:spacing w:val="-11"/>
        </w:rPr>
        <w:t xml:space="preserve"> </w:t>
      </w:r>
      <w:r>
        <w:t>–</w:t>
      </w:r>
      <w:r>
        <w:rPr>
          <w:spacing w:val="-11"/>
        </w:rPr>
        <w:t xml:space="preserve"> </w:t>
      </w:r>
      <w:r>
        <w:rPr>
          <w:spacing w:val="-2"/>
        </w:rPr>
        <w:t>Paediatrics</w:t>
      </w:r>
    </w:p>
    <w:p w14:paraId="06ACE7AC" w14:textId="77777777" w:rsidR="00365624" w:rsidRDefault="002B025E">
      <w:pPr>
        <w:pStyle w:val="BodyText"/>
        <w:spacing w:before="77" w:after="2"/>
        <w:ind w:left="118" w:right="335"/>
        <w:jc w:val="both"/>
      </w:pPr>
      <w:r>
        <w:t>In</w:t>
      </w:r>
      <w:r>
        <w:rPr>
          <w:spacing w:val="-5"/>
        </w:rPr>
        <w:t xml:space="preserve"> </w:t>
      </w:r>
      <w:r>
        <w:t>patients</w:t>
      </w:r>
      <w:r>
        <w:rPr>
          <w:spacing w:val="-2"/>
        </w:rPr>
        <w:t xml:space="preserve"> </w:t>
      </w:r>
      <w:r>
        <w:t>aged</w:t>
      </w:r>
      <w:r>
        <w:rPr>
          <w:spacing w:val="-3"/>
        </w:rPr>
        <w:t xml:space="preserve"> </w:t>
      </w:r>
      <w:r>
        <w:t>12</w:t>
      </w:r>
      <w:r>
        <w:rPr>
          <w:spacing w:val="-5"/>
        </w:rPr>
        <w:t xml:space="preserve"> </w:t>
      </w:r>
      <w:r>
        <w:t>to</w:t>
      </w:r>
      <w:r>
        <w:rPr>
          <w:spacing w:val="-4"/>
        </w:rPr>
        <w:t xml:space="preserve"> </w:t>
      </w:r>
      <w:r>
        <w:t>18</w:t>
      </w:r>
      <w:r>
        <w:rPr>
          <w:spacing w:val="-5"/>
        </w:rPr>
        <w:t xml:space="preserve"> </w:t>
      </w:r>
      <w:r>
        <w:t>years</w:t>
      </w:r>
      <w:r>
        <w:rPr>
          <w:spacing w:val="-4"/>
        </w:rPr>
        <w:t xml:space="preserve"> </w:t>
      </w:r>
      <w:r>
        <w:t>of</w:t>
      </w:r>
      <w:r>
        <w:rPr>
          <w:spacing w:val="-4"/>
        </w:rPr>
        <w:t xml:space="preserve"> </w:t>
      </w:r>
      <w:r>
        <w:t>age,</w:t>
      </w:r>
      <w:r>
        <w:rPr>
          <w:spacing w:val="-1"/>
        </w:rPr>
        <w:t xml:space="preserve"> </w:t>
      </w:r>
      <w:r>
        <w:t>TEAEs</w:t>
      </w:r>
      <w:r>
        <w:rPr>
          <w:spacing w:val="-4"/>
        </w:rPr>
        <w:t xml:space="preserve"> </w:t>
      </w:r>
      <w:r>
        <w:t>were</w:t>
      </w:r>
      <w:r>
        <w:rPr>
          <w:spacing w:val="-5"/>
        </w:rPr>
        <w:t xml:space="preserve"> </w:t>
      </w:r>
      <w:r>
        <w:t>reported</w:t>
      </w:r>
      <w:r>
        <w:rPr>
          <w:spacing w:val="-3"/>
        </w:rPr>
        <w:t xml:space="preserve"> </w:t>
      </w:r>
      <w:r>
        <w:t>in</w:t>
      </w:r>
      <w:r>
        <w:rPr>
          <w:spacing w:val="-4"/>
        </w:rPr>
        <w:t xml:space="preserve"> </w:t>
      </w:r>
      <w:r>
        <w:t>10.8%</w:t>
      </w:r>
      <w:r>
        <w:rPr>
          <w:spacing w:val="-4"/>
        </w:rPr>
        <w:t xml:space="preserve"> </w:t>
      </w:r>
      <w:r>
        <w:t>(34/316)</w:t>
      </w:r>
      <w:r>
        <w:rPr>
          <w:spacing w:val="-2"/>
        </w:rPr>
        <w:t xml:space="preserve"> </w:t>
      </w:r>
      <w:r>
        <w:t>of</w:t>
      </w:r>
      <w:r>
        <w:rPr>
          <w:spacing w:val="-3"/>
        </w:rPr>
        <w:t xml:space="preserve"> </w:t>
      </w:r>
      <w:r>
        <w:t>WINLEVI-treated</w:t>
      </w:r>
      <w:r>
        <w:rPr>
          <w:spacing w:val="-5"/>
        </w:rPr>
        <w:t xml:space="preserve"> </w:t>
      </w:r>
      <w:r>
        <w:t>patients</w:t>
      </w:r>
      <w:r>
        <w:rPr>
          <w:spacing w:val="-1"/>
        </w:rPr>
        <w:t xml:space="preserve"> </w:t>
      </w:r>
      <w:r>
        <w:t>and</w:t>
      </w:r>
      <w:r>
        <w:rPr>
          <w:spacing w:val="-5"/>
        </w:rPr>
        <w:t xml:space="preserve"> </w:t>
      </w:r>
      <w:r>
        <w:t>14.2% (46/325)</w:t>
      </w:r>
      <w:r>
        <w:rPr>
          <w:spacing w:val="-4"/>
        </w:rPr>
        <w:t xml:space="preserve"> </w:t>
      </w:r>
      <w:r>
        <w:t>in</w:t>
      </w:r>
      <w:r>
        <w:rPr>
          <w:spacing w:val="-4"/>
        </w:rPr>
        <w:t xml:space="preserve"> </w:t>
      </w:r>
      <w:r>
        <w:t>vehicle.</w:t>
      </w:r>
      <w:r>
        <w:rPr>
          <w:spacing w:val="-3"/>
        </w:rPr>
        <w:t xml:space="preserve"> </w:t>
      </w:r>
      <w:r>
        <w:t>The</w:t>
      </w:r>
      <w:r>
        <w:rPr>
          <w:spacing w:val="-4"/>
        </w:rPr>
        <w:t xml:space="preserve"> </w:t>
      </w:r>
      <w:r>
        <w:t>only</w:t>
      </w:r>
      <w:r>
        <w:rPr>
          <w:spacing w:val="-2"/>
        </w:rPr>
        <w:t xml:space="preserve"> </w:t>
      </w:r>
      <w:r>
        <w:t>TEAEs</w:t>
      </w:r>
      <w:r>
        <w:rPr>
          <w:spacing w:val="-3"/>
        </w:rPr>
        <w:t xml:space="preserve"> </w:t>
      </w:r>
      <w:r>
        <w:t>reported</w:t>
      </w:r>
      <w:r>
        <w:rPr>
          <w:spacing w:val="-3"/>
        </w:rPr>
        <w:t xml:space="preserve"> </w:t>
      </w:r>
      <w:r>
        <w:t>in</w:t>
      </w:r>
      <w:r>
        <w:rPr>
          <w:spacing w:val="-4"/>
        </w:rPr>
        <w:t xml:space="preserve"> </w:t>
      </w:r>
      <w:r>
        <w:t>≥</w:t>
      </w:r>
      <w:r>
        <w:rPr>
          <w:spacing w:val="-4"/>
        </w:rPr>
        <w:t xml:space="preserve"> </w:t>
      </w:r>
      <w:r>
        <w:t>1%</w:t>
      </w:r>
      <w:r>
        <w:rPr>
          <w:spacing w:val="-4"/>
        </w:rPr>
        <w:t xml:space="preserve"> </w:t>
      </w:r>
      <w:r>
        <w:t>of</w:t>
      </w:r>
      <w:r>
        <w:rPr>
          <w:spacing w:val="-3"/>
        </w:rPr>
        <w:t xml:space="preserve"> </w:t>
      </w:r>
      <w:r>
        <w:t>patients</w:t>
      </w:r>
      <w:r>
        <w:rPr>
          <w:spacing w:val="-2"/>
        </w:rPr>
        <w:t xml:space="preserve"> </w:t>
      </w:r>
      <w:r>
        <w:t>aged</w:t>
      </w:r>
      <w:r>
        <w:rPr>
          <w:spacing w:val="-4"/>
        </w:rPr>
        <w:t xml:space="preserve"> </w:t>
      </w:r>
      <w:r>
        <w:t>12</w:t>
      </w:r>
      <w:r>
        <w:rPr>
          <w:spacing w:val="-4"/>
        </w:rPr>
        <w:t xml:space="preserve"> </w:t>
      </w:r>
      <w:r>
        <w:t>to</w:t>
      </w:r>
      <w:r>
        <w:rPr>
          <w:spacing w:val="-4"/>
        </w:rPr>
        <w:t xml:space="preserve"> </w:t>
      </w:r>
      <w:r>
        <w:t>18</w:t>
      </w:r>
      <w:r>
        <w:rPr>
          <w:spacing w:val="-5"/>
        </w:rPr>
        <w:t xml:space="preserve"> </w:t>
      </w:r>
      <w:r>
        <w:t>years</w:t>
      </w:r>
      <w:r>
        <w:rPr>
          <w:spacing w:val="-3"/>
        </w:rPr>
        <w:t xml:space="preserve"> </w:t>
      </w:r>
      <w:r>
        <w:t>in</w:t>
      </w:r>
      <w:r>
        <w:rPr>
          <w:spacing w:val="-4"/>
        </w:rPr>
        <w:t xml:space="preserve"> </w:t>
      </w:r>
      <w:r>
        <w:t>the</w:t>
      </w:r>
      <w:r>
        <w:rPr>
          <w:spacing w:val="-4"/>
        </w:rPr>
        <w:t xml:space="preserve"> </w:t>
      </w:r>
      <w:r>
        <w:t>pooled</w:t>
      </w:r>
      <w:r>
        <w:rPr>
          <w:spacing w:val="-4"/>
        </w:rPr>
        <w:t xml:space="preserve"> </w:t>
      </w:r>
      <w:r>
        <w:t>phase</w:t>
      </w:r>
      <w:r>
        <w:rPr>
          <w:spacing w:val="-3"/>
        </w:rPr>
        <w:t xml:space="preserve"> </w:t>
      </w:r>
      <w:r>
        <w:t>3</w:t>
      </w:r>
      <w:r>
        <w:rPr>
          <w:spacing w:val="-4"/>
        </w:rPr>
        <w:t xml:space="preserve"> </w:t>
      </w:r>
      <w:r>
        <w:t>studies,</w:t>
      </w:r>
      <w:r>
        <w:rPr>
          <w:spacing w:val="-3"/>
        </w:rPr>
        <w:t xml:space="preserve"> </w:t>
      </w:r>
      <w:r>
        <w:t xml:space="preserve">are shown in the following </w:t>
      </w:r>
      <w:proofErr w:type="gramStart"/>
      <w:r>
        <w:t>table</w:t>
      </w:r>
      <w:proofErr w:type="gramEnd"/>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3209"/>
        <w:gridCol w:w="3201"/>
      </w:tblGrid>
      <w:tr w:rsidR="00365624" w14:paraId="06ACE7B2" w14:textId="77777777">
        <w:trPr>
          <w:trHeight w:val="755"/>
        </w:trPr>
        <w:tc>
          <w:tcPr>
            <w:tcW w:w="3177" w:type="dxa"/>
          </w:tcPr>
          <w:p w14:paraId="06ACE7AD" w14:textId="77777777" w:rsidR="00365624" w:rsidRDefault="002B025E">
            <w:pPr>
              <w:pStyle w:val="TableParagraph"/>
              <w:spacing w:before="197"/>
              <w:ind w:left="121"/>
              <w:rPr>
                <w:b/>
                <w:sz w:val="24"/>
              </w:rPr>
            </w:pPr>
            <w:r>
              <w:rPr>
                <w:b/>
                <w:spacing w:val="-2"/>
                <w:sz w:val="24"/>
              </w:rPr>
              <w:t>Adverse</w:t>
            </w:r>
            <w:r>
              <w:rPr>
                <w:b/>
                <w:spacing w:val="-4"/>
                <w:sz w:val="24"/>
              </w:rPr>
              <w:t xml:space="preserve"> </w:t>
            </w:r>
            <w:r>
              <w:rPr>
                <w:b/>
                <w:spacing w:val="-2"/>
                <w:sz w:val="24"/>
              </w:rPr>
              <w:t>Event</w:t>
            </w:r>
            <w:r>
              <w:rPr>
                <w:b/>
                <w:sz w:val="24"/>
              </w:rPr>
              <w:t xml:space="preserve"> </w:t>
            </w:r>
            <w:r>
              <w:rPr>
                <w:b/>
                <w:spacing w:val="-2"/>
                <w:sz w:val="24"/>
              </w:rPr>
              <w:t>(TEAE)</w:t>
            </w:r>
          </w:p>
        </w:tc>
        <w:tc>
          <w:tcPr>
            <w:tcW w:w="3209" w:type="dxa"/>
            <w:shd w:val="clear" w:color="auto" w:fill="EDEDED"/>
          </w:tcPr>
          <w:p w14:paraId="06ACE7AE" w14:textId="77777777" w:rsidR="00365624" w:rsidRDefault="002B025E">
            <w:pPr>
              <w:pStyle w:val="TableParagraph"/>
              <w:spacing w:before="0" w:line="243" w:lineRule="exact"/>
              <w:ind w:left="59"/>
              <w:jc w:val="center"/>
              <w:rPr>
                <w:b/>
              </w:rPr>
            </w:pPr>
            <w:r>
              <w:rPr>
                <w:b/>
                <w:spacing w:val="-2"/>
              </w:rPr>
              <w:t>WINLEVI</w:t>
            </w:r>
          </w:p>
          <w:p w14:paraId="06ACE7AF" w14:textId="77777777" w:rsidR="00365624" w:rsidRDefault="002B025E">
            <w:pPr>
              <w:pStyle w:val="TableParagraph"/>
              <w:spacing w:before="0" w:line="248" w:lineRule="exact"/>
              <w:ind w:left="1349" w:right="1287" w:hanging="7"/>
              <w:jc w:val="center"/>
              <w:rPr>
                <w:b/>
              </w:rPr>
            </w:pPr>
            <w:r>
              <w:rPr>
                <w:b/>
              </w:rPr>
              <w:t xml:space="preserve">n = </w:t>
            </w:r>
            <w:r>
              <w:rPr>
                <w:b/>
                <w:spacing w:val="-6"/>
              </w:rPr>
              <w:t>316(%)</w:t>
            </w:r>
          </w:p>
        </w:tc>
        <w:tc>
          <w:tcPr>
            <w:tcW w:w="3201" w:type="dxa"/>
            <w:shd w:val="clear" w:color="auto" w:fill="EDEDED"/>
          </w:tcPr>
          <w:p w14:paraId="06ACE7B0" w14:textId="77777777" w:rsidR="00365624" w:rsidRDefault="002B025E">
            <w:pPr>
              <w:pStyle w:val="TableParagraph"/>
              <w:spacing w:before="4" w:line="235" w:lineRule="auto"/>
              <w:ind w:left="1290" w:right="1226"/>
              <w:jc w:val="center"/>
              <w:rPr>
                <w:b/>
              </w:rPr>
            </w:pPr>
            <w:r>
              <w:rPr>
                <w:b/>
                <w:spacing w:val="-4"/>
              </w:rPr>
              <w:t xml:space="preserve">Vehicle </w:t>
            </w:r>
            <w:r>
              <w:rPr>
                <w:b/>
              </w:rPr>
              <w:t>n =</w:t>
            </w:r>
          </w:p>
          <w:p w14:paraId="06ACE7B1" w14:textId="77777777" w:rsidR="00365624" w:rsidRDefault="002B025E">
            <w:pPr>
              <w:pStyle w:val="TableParagraph"/>
              <w:spacing w:before="0" w:line="236" w:lineRule="exact"/>
              <w:ind w:left="1290" w:right="1227"/>
              <w:jc w:val="center"/>
              <w:rPr>
                <w:b/>
              </w:rPr>
            </w:pPr>
            <w:r>
              <w:rPr>
                <w:b/>
                <w:spacing w:val="-2"/>
              </w:rPr>
              <w:t>325(%)</w:t>
            </w:r>
          </w:p>
        </w:tc>
      </w:tr>
      <w:tr w:rsidR="00365624" w14:paraId="06ACE7B6" w14:textId="77777777">
        <w:trPr>
          <w:trHeight w:val="454"/>
        </w:trPr>
        <w:tc>
          <w:tcPr>
            <w:tcW w:w="3177" w:type="dxa"/>
          </w:tcPr>
          <w:p w14:paraId="06ACE7B3" w14:textId="77777777" w:rsidR="00365624" w:rsidRDefault="002B025E">
            <w:pPr>
              <w:pStyle w:val="TableParagraph"/>
              <w:spacing w:before="159"/>
              <w:ind w:left="121"/>
              <w:rPr>
                <w:sz w:val="24"/>
              </w:rPr>
            </w:pPr>
            <w:r>
              <w:rPr>
                <w:spacing w:val="-2"/>
                <w:sz w:val="24"/>
              </w:rPr>
              <w:t>Nasopharyngitis</w:t>
            </w:r>
          </w:p>
        </w:tc>
        <w:tc>
          <w:tcPr>
            <w:tcW w:w="3209" w:type="dxa"/>
          </w:tcPr>
          <w:p w14:paraId="06ACE7B4" w14:textId="77777777" w:rsidR="00365624" w:rsidRDefault="002B025E">
            <w:pPr>
              <w:pStyle w:val="TableParagraph"/>
              <w:spacing w:before="159"/>
              <w:ind w:left="59" w:right="12"/>
              <w:jc w:val="center"/>
              <w:rPr>
                <w:sz w:val="24"/>
              </w:rPr>
            </w:pPr>
            <w:r>
              <w:rPr>
                <w:spacing w:val="-5"/>
                <w:sz w:val="24"/>
              </w:rPr>
              <w:t>1.9</w:t>
            </w:r>
          </w:p>
        </w:tc>
        <w:tc>
          <w:tcPr>
            <w:tcW w:w="3201" w:type="dxa"/>
          </w:tcPr>
          <w:p w14:paraId="06ACE7B5" w14:textId="77777777" w:rsidR="00365624" w:rsidRDefault="002B025E">
            <w:pPr>
              <w:pStyle w:val="TableParagraph"/>
              <w:spacing w:before="159"/>
              <w:ind w:left="1290" w:right="1242"/>
              <w:jc w:val="center"/>
              <w:rPr>
                <w:sz w:val="24"/>
              </w:rPr>
            </w:pPr>
            <w:r>
              <w:rPr>
                <w:spacing w:val="-5"/>
                <w:sz w:val="24"/>
              </w:rPr>
              <w:t>4.9</w:t>
            </w:r>
          </w:p>
        </w:tc>
      </w:tr>
      <w:tr w:rsidR="00365624" w14:paraId="06ACE7BA" w14:textId="77777777">
        <w:trPr>
          <w:trHeight w:val="477"/>
        </w:trPr>
        <w:tc>
          <w:tcPr>
            <w:tcW w:w="3177" w:type="dxa"/>
          </w:tcPr>
          <w:p w14:paraId="06ACE7B7" w14:textId="77777777" w:rsidR="00365624" w:rsidRDefault="002B025E">
            <w:pPr>
              <w:pStyle w:val="TableParagraph"/>
              <w:spacing w:before="179"/>
              <w:ind w:left="121"/>
              <w:rPr>
                <w:sz w:val="24"/>
              </w:rPr>
            </w:pPr>
            <w:r>
              <w:rPr>
                <w:spacing w:val="-2"/>
                <w:sz w:val="24"/>
              </w:rPr>
              <w:t>Headache</w:t>
            </w:r>
          </w:p>
        </w:tc>
        <w:tc>
          <w:tcPr>
            <w:tcW w:w="3209" w:type="dxa"/>
          </w:tcPr>
          <w:p w14:paraId="06ACE7B8" w14:textId="77777777" w:rsidR="00365624" w:rsidRDefault="002B025E">
            <w:pPr>
              <w:pStyle w:val="TableParagraph"/>
              <w:spacing w:before="179"/>
              <w:ind w:left="59" w:right="12"/>
              <w:jc w:val="center"/>
              <w:rPr>
                <w:sz w:val="24"/>
              </w:rPr>
            </w:pPr>
            <w:r>
              <w:rPr>
                <w:spacing w:val="-5"/>
                <w:sz w:val="24"/>
              </w:rPr>
              <w:t>1.3</w:t>
            </w:r>
          </w:p>
        </w:tc>
        <w:tc>
          <w:tcPr>
            <w:tcW w:w="3201" w:type="dxa"/>
          </w:tcPr>
          <w:p w14:paraId="06ACE7B9" w14:textId="77777777" w:rsidR="00365624" w:rsidRDefault="002B025E">
            <w:pPr>
              <w:pStyle w:val="TableParagraph"/>
              <w:spacing w:before="179"/>
              <w:ind w:left="1290" w:right="1242"/>
              <w:jc w:val="center"/>
              <w:rPr>
                <w:sz w:val="24"/>
              </w:rPr>
            </w:pPr>
            <w:r>
              <w:rPr>
                <w:spacing w:val="-5"/>
                <w:sz w:val="24"/>
              </w:rPr>
              <w:t>0.3</w:t>
            </w:r>
          </w:p>
        </w:tc>
      </w:tr>
    </w:tbl>
    <w:p w14:paraId="06ACE7BB" w14:textId="77777777" w:rsidR="00365624" w:rsidRDefault="002B025E">
      <w:pPr>
        <w:pStyle w:val="Heading2"/>
      </w:pPr>
      <w:r>
        <w:t>Less</w:t>
      </w:r>
      <w:r>
        <w:rPr>
          <w:spacing w:val="-14"/>
        </w:rPr>
        <w:t xml:space="preserve"> </w:t>
      </w:r>
      <w:r>
        <w:t>Common</w:t>
      </w:r>
      <w:r>
        <w:rPr>
          <w:spacing w:val="-14"/>
        </w:rPr>
        <w:t xml:space="preserve"> </w:t>
      </w:r>
      <w:r>
        <w:t>Clinical</w:t>
      </w:r>
      <w:r>
        <w:rPr>
          <w:spacing w:val="-11"/>
        </w:rPr>
        <w:t xml:space="preserve"> </w:t>
      </w:r>
      <w:r>
        <w:t>Trial</w:t>
      </w:r>
      <w:r>
        <w:rPr>
          <w:spacing w:val="-11"/>
        </w:rPr>
        <w:t xml:space="preserve"> </w:t>
      </w:r>
      <w:r>
        <w:t>Adverse</w:t>
      </w:r>
      <w:r>
        <w:rPr>
          <w:spacing w:val="-12"/>
        </w:rPr>
        <w:t xml:space="preserve"> </w:t>
      </w:r>
      <w:r>
        <w:rPr>
          <w:spacing w:val="-2"/>
        </w:rPr>
        <w:t>Reactions</w:t>
      </w:r>
    </w:p>
    <w:p w14:paraId="06ACE7BC" w14:textId="77777777" w:rsidR="00365624" w:rsidRDefault="002B025E">
      <w:pPr>
        <w:pStyle w:val="BodyText"/>
        <w:spacing w:before="81"/>
        <w:ind w:right="684"/>
        <w:jc w:val="both"/>
      </w:pPr>
      <w:r>
        <w:t xml:space="preserve">Treatment-emergent adverse events occurring in &lt;1% of WINLEVI treated patients (with a higher incidence compared to vehicle and occurring in at least 2 patients), aged 18 years and older, are presented below. The </w:t>
      </w:r>
      <w:r>
        <w:lastRenderedPageBreak/>
        <w:t>events are categorized by body system.</w:t>
      </w:r>
    </w:p>
    <w:p w14:paraId="06ACE7BD" w14:textId="77777777" w:rsidR="00365624" w:rsidRDefault="002B025E">
      <w:pPr>
        <w:pStyle w:val="BodyText"/>
        <w:spacing w:before="117"/>
        <w:jc w:val="both"/>
      </w:pPr>
      <w:r>
        <w:rPr>
          <w:spacing w:val="-6"/>
          <w:u w:val="single"/>
        </w:rPr>
        <w:t>Infections</w:t>
      </w:r>
      <w:r>
        <w:rPr>
          <w:spacing w:val="7"/>
          <w:u w:val="single"/>
        </w:rPr>
        <w:t xml:space="preserve"> </w:t>
      </w:r>
      <w:r>
        <w:rPr>
          <w:spacing w:val="-6"/>
          <w:u w:val="single"/>
        </w:rPr>
        <w:t>and</w:t>
      </w:r>
      <w:r>
        <w:rPr>
          <w:spacing w:val="5"/>
          <w:u w:val="single"/>
        </w:rPr>
        <w:t xml:space="preserve"> </w:t>
      </w:r>
      <w:r>
        <w:rPr>
          <w:spacing w:val="-6"/>
          <w:u w:val="single"/>
        </w:rPr>
        <w:t>infestations</w:t>
      </w:r>
      <w:r>
        <w:rPr>
          <w:i/>
          <w:spacing w:val="-6"/>
        </w:rPr>
        <w:t>:</w:t>
      </w:r>
      <w:r>
        <w:rPr>
          <w:i/>
          <w:spacing w:val="13"/>
        </w:rPr>
        <w:t xml:space="preserve"> </w:t>
      </w:r>
      <w:r>
        <w:rPr>
          <w:spacing w:val="-6"/>
        </w:rPr>
        <w:t>bronchitis,</w:t>
      </w:r>
      <w:r>
        <w:rPr>
          <w:spacing w:val="11"/>
        </w:rPr>
        <w:t xml:space="preserve"> </w:t>
      </w:r>
      <w:r>
        <w:rPr>
          <w:spacing w:val="-6"/>
        </w:rPr>
        <w:t>peritonsillar</w:t>
      </w:r>
      <w:r>
        <w:rPr>
          <w:spacing w:val="13"/>
        </w:rPr>
        <w:t xml:space="preserve"> </w:t>
      </w:r>
      <w:r>
        <w:rPr>
          <w:spacing w:val="-6"/>
        </w:rPr>
        <w:t>abscess</w:t>
      </w:r>
    </w:p>
    <w:p w14:paraId="06ACE7BE" w14:textId="77777777" w:rsidR="00365624" w:rsidRDefault="002B025E">
      <w:pPr>
        <w:pStyle w:val="BodyText"/>
        <w:spacing w:before="126" w:line="348" w:lineRule="auto"/>
        <w:ind w:right="3565"/>
        <w:jc w:val="both"/>
      </w:pPr>
      <w:r>
        <w:rPr>
          <w:u w:val="single"/>
        </w:rPr>
        <w:t>General</w:t>
      </w:r>
      <w:r>
        <w:rPr>
          <w:spacing w:val="-1"/>
          <w:u w:val="single"/>
        </w:rPr>
        <w:t xml:space="preserve"> </w:t>
      </w:r>
      <w:r>
        <w:rPr>
          <w:u w:val="single"/>
        </w:rPr>
        <w:t>disorders</w:t>
      </w:r>
      <w:r>
        <w:rPr>
          <w:spacing w:val="-1"/>
          <w:u w:val="single"/>
        </w:rPr>
        <w:t xml:space="preserve"> </w:t>
      </w:r>
      <w:r>
        <w:rPr>
          <w:u w:val="single"/>
        </w:rPr>
        <w:t>and</w:t>
      </w:r>
      <w:r>
        <w:rPr>
          <w:spacing w:val="-2"/>
          <w:u w:val="single"/>
        </w:rPr>
        <w:t xml:space="preserve"> </w:t>
      </w:r>
      <w:r>
        <w:rPr>
          <w:u w:val="single"/>
        </w:rPr>
        <w:t>administration</w:t>
      </w:r>
      <w:r>
        <w:rPr>
          <w:spacing w:val="-3"/>
          <w:u w:val="single"/>
        </w:rPr>
        <w:t xml:space="preserve"> </w:t>
      </w:r>
      <w:r>
        <w:rPr>
          <w:u w:val="single"/>
        </w:rPr>
        <w:t>site</w:t>
      </w:r>
      <w:r>
        <w:rPr>
          <w:spacing w:val="-4"/>
          <w:u w:val="single"/>
        </w:rPr>
        <w:t xml:space="preserve"> </w:t>
      </w:r>
      <w:r>
        <w:rPr>
          <w:u w:val="single"/>
        </w:rPr>
        <w:t>conditions</w:t>
      </w:r>
      <w:r>
        <w:rPr>
          <w:i/>
        </w:rPr>
        <w:t>:</w:t>
      </w:r>
      <w:r>
        <w:rPr>
          <w:i/>
          <w:spacing w:val="-1"/>
        </w:rPr>
        <w:t xml:space="preserve"> </w:t>
      </w:r>
      <w:r>
        <w:t>application</w:t>
      </w:r>
      <w:r>
        <w:rPr>
          <w:spacing w:val="-1"/>
        </w:rPr>
        <w:t xml:space="preserve"> </w:t>
      </w:r>
      <w:r>
        <w:t>site</w:t>
      </w:r>
      <w:r>
        <w:rPr>
          <w:spacing w:val="-2"/>
        </w:rPr>
        <w:t xml:space="preserve"> </w:t>
      </w:r>
      <w:r>
        <w:t xml:space="preserve">dryness </w:t>
      </w:r>
      <w:r>
        <w:rPr>
          <w:u w:val="single"/>
        </w:rPr>
        <w:t>Gastrointestinal conditions</w:t>
      </w:r>
      <w:r>
        <w:rPr>
          <w:i/>
        </w:rPr>
        <w:t xml:space="preserve">: </w:t>
      </w:r>
      <w:r>
        <w:t>vomiting</w:t>
      </w:r>
    </w:p>
    <w:p w14:paraId="06ACE7BF" w14:textId="77777777" w:rsidR="00365624" w:rsidRDefault="002B025E">
      <w:pPr>
        <w:pStyle w:val="BodyText"/>
        <w:spacing w:before="124"/>
        <w:jc w:val="both"/>
      </w:pPr>
      <w:r>
        <w:rPr>
          <w:spacing w:val="-2"/>
          <w:u w:val="single"/>
        </w:rPr>
        <w:t>Hair</w:t>
      </w:r>
      <w:r>
        <w:rPr>
          <w:spacing w:val="-4"/>
          <w:u w:val="single"/>
        </w:rPr>
        <w:t xml:space="preserve"> </w:t>
      </w:r>
      <w:r>
        <w:rPr>
          <w:spacing w:val="-2"/>
          <w:u w:val="single"/>
        </w:rPr>
        <w:t>colour</w:t>
      </w:r>
      <w:r>
        <w:rPr>
          <w:spacing w:val="-4"/>
          <w:u w:val="single"/>
        </w:rPr>
        <w:t xml:space="preserve"> </w:t>
      </w:r>
      <w:r>
        <w:rPr>
          <w:spacing w:val="-2"/>
          <w:u w:val="single"/>
        </w:rPr>
        <w:t>changes</w:t>
      </w:r>
    </w:p>
    <w:p w14:paraId="06ACE7C0" w14:textId="77777777" w:rsidR="00365624" w:rsidRDefault="002B025E">
      <w:pPr>
        <w:pStyle w:val="Heading2"/>
        <w:spacing w:before="201"/>
      </w:pPr>
      <w:r>
        <w:rPr>
          <w:spacing w:val="-2"/>
        </w:rPr>
        <w:t>Less</w:t>
      </w:r>
      <w:r>
        <w:rPr>
          <w:spacing w:val="-4"/>
        </w:rPr>
        <w:t xml:space="preserve"> </w:t>
      </w:r>
      <w:r>
        <w:rPr>
          <w:spacing w:val="-2"/>
        </w:rPr>
        <w:t>Common</w:t>
      </w:r>
      <w:r>
        <w:rPr>
          <w:spacing w:val="-3"/>
        </w:rPr>
        <w:t xml:space="preserve"> </w:t>
      </w:r>
      <w:r>
        <w:rPr>
          <w:spacing w:val="-2"/>
        </w:rPr>
        <w:t>Clinical</w:t>
      </w:r>
      <w:r>
        <w:rPr>
          <w:spacing w:val="-1"/>
        </w:rPr>
        <w:t xml:space="preserve"> </w:t>
      </w:r>
      <w:r>
        <w:rPr>
          <w:spacing w:val="-2"/>
        </w:rPr>
        <w:t>Trial Adverse Reactions</w:t>
      </w:r>
      <w:r>
        <w:rPr>
          <w:spacing w:val="1"/>
        </w:rPr>
        <w:t xml:space="preserve"> </w:t>
      </w:r>
      <w:r>
        <w:rPr>
          <w:spacing w:val="-2"/>
        </w:rPr>
        <w:t>–Paediatrics</w:t>
      </w:r>
    </w:p>
    <w:p w14:paraId="06ACE7C1" w14:textId="77777777" w:rsidR="00365624" w:rsidRDefault="002B025E">
      <w:pPr>
        <w:pStyle w:val="BodyText"/>
        <w:spacing w:before="77"/>
        <w:ind w:right="691"/>
        <w:jc w:val="both"/>
      </w:pPr>
      <w:r>
        <w:t>Treatment-emergent adverse events occurring in &lt;1% of WINLEVI treated patients (with a higher incidence compared to vehicle and occurring in at least 2 patients), aged 12 to 18 years, are presented below. The events are categorized by body system.</w:t>
      </w:r>
    </w:p>
    <w:p w14:paraId="06ACE7C2" w14:textId="77777777" w:rsidR="00365624" w:rsidRDefault="002B025E">
      <w:pPr>
        <w:pStyle w:val="BodyText"/>
        <w:spacing w:before="126" w:line="355" w:lineRule="auto"/>
        <w:ind w:right="4414"/>
        <w:jc w:val="both"/>
      </w:pPr>
      <w:r>
        <w:rPr>
          <w:u w:val="single"/>
        </w:rPr>
        <w:t>Infections</w:t>
      </w:r>
      <w:r>
        <w:rPr>
          <w:spacing w:val="-3"/>
          <w:u w:val="single"/>
        </w:rPr>
        <w:t xml:space="preserve"> </w:t>
      </w:r>
      <w:r>
        <w:rPr>
          <w:u w:val="single"/>
        </w:rPr>
        <w:t>and</w:t>
      </w:r>
      <w:r>
        <w:rPr>
          <w:spacing w:val="-4"/>
          <w:u w:val="single"/>
        </w:rPr>
        <w:t xml:space="preserve"> </w:t>
      </w:r>
      <w:r>
        <w:rPr>
          <w:u w:val="single"/>
        </w:rPr>
        <w:t>infestations:</w:t>
      </w:r>
      <w:r>
        <w:rPr>
          <w:spacing w:val="-4"/>
        </w:rPr>
        <w:t xml:space="preserve"> </w:t>
      </w:r>
      <w:r>
        <w:t>respiratory</w:t>
      </w:r>
      <w:r>
        <w:rPr>
          <w:spacing w:val="-4"/>
        </w:rPr>
        <w:t xml:space="preserve"> </w:t>
      </w:r>
      <w:r>
        <w:t>tract</w:t>
      </w:r>
      <w:r>
        <w:rPr>
          <w:spacing w:val="-4"/>
        </w:rPr>
        <w:t xml:space="preserve"> </w:t>
      </w:r>
      <w:r>
        <w:t>infection</w:t>
      </w:r>
      <w:r>
        <w:rPr>
          <w:spacing w:val="-4"/>
        </w:rPr>
        <w:t xml:space="preserve"> </w:t>
      </w:r>
      <w:r>
        <w:t>viral,</w:t>
      </w:r>
      <w:r>
        <w:rPr>
          <w:spacing w:val="-2"/>
        </w:rPr>
        <w:t xml:space="preserve"> </w:t>
      </w:r>
      <w:r>
        <w:t xml:space="preserve">sinusitis </w:t>
      </w:r>
      <w:r>
        <w:rPr>
          <w:u w:val="single"/>
        </w:rPr>
        <w:t>Gastrointestinal disorders</w:t>
      </w:r>
      <w:r>
        <w:rPr>
          <w:i/>
        </w:rPr>
        <w:t xml:space="preserve">: </w:t>
      </w:r>
      <w:r>
        <w:t>abdominal pain upper</w:t>
      </w:r>
    </w:p>
    <w:p w14:paraId="06ACE7C3" w14:textId="77777777" w:rsidR="00365624" w:rsidRDefault="002B025E">
      <w:pPr>
        <w:pStyle w:val="BodyText"/>
        <w:spacing w:line="237" w:lineRule="exact"/>
        <w:jc w:val="both"/>
        <w:rPr>
          <w:spacing w:val="-6"/>
        </w:rPr>
      </w:pPr>
      <w:r>
        <w:rPr>
          <w:spacing w:val="-6"/>
          <w:u w:val="single"/>
        </w:rPr>
        <w:t>Reproductive</w:t>
      </w:r>
      <w:r>
        <w:rPr>
          <w:spacing w:val="-1"/>
          <w:u w:val="single"/>
        </w:rPr>
        <w:t xml:space="preserve"> </w:t>
      </w:r>
      <w:r>
        <w:rPr>
          <w:spacing w:val="-6"/>
          <w:u w:val="single"/>
        </w:rPr>
        <w:t>system</w:t>
      </w:r>
      <w:r>
        <w:rPr>
          <w:spacing w:val="2"/>
          <w:u w:val="single"/>
        </w:rPr>
        <w:t xml:space="preserve"> </w:t>
      </w:r>
      <w:r>
        <w:rPr>
          <w:spacing w:val="-6"/>
          <w:u w:val="single"/>
        </w:rPr>
        <w:t>and</w:t>
      </w:r>
      <w:r>
        <w:rPr>
          <w:spacing w:val="2"/>
          <w:u w:val="single"/>
        </w:rPr>
        <w:t xml:space="preserve"> </w:t>
      </w:r>
      <w:r>
        <w:rPr>
          <w:spacing w:val="-6"/>
          <w:u w:val="single"/>
        </w:rPr>
        <w:t>breast</w:t>
      </w:r>
      <w:r>
        <w:rPr>
          <w:spacing w:val="3"/>
          <w:u w:val="single"/>
        </w:rPr>
        <w:t xml:space="preserve"> </w:t>
      </w:r>
      <w:r>
        <w:rPr>
          <w:spacing w:val="-6"/>
          <w:u w:val="single"/>
        </w:rPr>
        <w:t>disorders</w:t>
      </w:r>
      <w:r>
        <w:rPr>
          <w:i/>
          <w:spacing w:val="-6"/>
        </w:rPr>
        <w:t>:</w:t>
      </w:r>
      <w:r>
        <w:rPr>
          <w:i/>
          <w:spacing w:val="5"/>
        </w:rPr>
        <w:t xml:space="preserve"> </w:t>
      </w:r>
      <w:r>
        <w:rPr>
          <w:spacing w:val="-6"/>
        </w:rPr>
        <w:t>dysmenorrhea</w:t>
      </w:r>
    </w:p>
    <w:p w14:paraId="4F4FDDA4" w14:textId="77777777" w:rsidR="008B5AF3" w:rsidRDefault="008B5AF3">
      <w:pPr>
        <w:pStyle w:val="BodyText"/>
        <w:spacing w:line="237" w:lineRule="exact"/>
        <w:jc w:val="both"/>
      </w:pPr>
    </w:p>
    <w:p w14:paraId="06ACE7C5" w14:textId="77777777" w:rsidR="00365624" w:rsidRDefault="002B025E">
      <w:pPr>
        <w:pStyle w:val="Heading2"/>
        <w:spacing w:before="14"/>
        <w:jc w:val="left"/>
      </w:pPr>
      <w:r>
        <w:rPr>
          <w:spacing w:val="-2"/>
        </w:rPr>
        <w:t>Abnormal</w:t>
      </w:r>
      <w:r>
        <w:rPr>
          <w:spacing w:val="-6"/>
        </w:rPr>
        <w:t xml:space="preserve"> </w:t>
      </w:r>
      <w:r>
        <w:rPr>
          <w:spacing w:val="-2"/>
        </w:rPr>
        <w:t>Laboratory</w:t>
      </w:r>
      <w:r>
        <w:rPr>
          <w:spacing w:val="3"/>
        </w:rPr>
        <w:t xml:space="preserve"> </w:t>
      </w:r>
      <w:r>
        <w:rPr>
          <w:spacing w:val="-2"/>
        </w:rPr>
        <w:t>Findings:</w:t>
      </w:r>
      <w:r>
        <w:rPr>
          <w:spacing w:val="-3"/>
        </w:rPr>
        <w:t xml:space="preserve"> </w:t>
      </w:r>
      <w:r>
        <w:rPr>
          <w:spacing w:val="-2"/>
        </w:rPr>
        <w:t>Hematologic,</w:t>
      </w:r>
      <w:r>
        <w:rPr>
          <w:spacing w:val="-3"/>
        </w:rPr>
        <w:t xml:space="preserve"> </w:t>
      </w:r>
      <w:r>
        <w:rPr>
          <w:spacing w:val="-2"/>
        </w:rPr>
        <w:t>Clinical</w:t>
      </w:r>
      <w:r>
        <w:rPr>
          <w:spacing w:val="1"/>
        </w:rPr>
        <w:t xml:space="preserve"> </w:t>
      </w:r>
      <w:r>
        <w:rPr>
          <w:spacing w:val="-2"/>
        </w:rPr>
        <w:t>Chemistry</w:t>
      </w:r>
      <w:r>
        <w:t xml:space="preserve"> </w:t>
      </w:r>
      <w:r>
        <w:rPr>
          <w:spacing w:val="-2"/>
        </w:rPr>
        <w:t>and</w:t>
      </w:r>
      <w:r>
        <w:rPr>
          <w:spacing w:val="-1"/>
        </w:rPr>
        <w:t xml:space="preserve"> </w:t>
      </w:r>
      <w:r>
        <w:rPr>
          <w:spacing w:val="-2"/>
        </w:rPr>
        <w:t>Other</w:t>
      </w:r>
      <w:r>
        <w:rPr>
          <w:spacing w:val="-7"/>
        </w:rPr>
        <w:t xml:space="preserve"> </w:t>
      </w:r>
      <w:r>
        <w:rPr>
          <w:spacing w:val="-2"/>
        </w:rPr>
        <w:t>Quantitative</w:t>
      </w:r>
      <w:r>
        <w:t xml:space="preserve"> </w:t>
      </w:r>
      <w:r>
        <w:rPr>
          <w:spacing w:val="-4"/>
        </w:rPr>
        <w:t>Data</w:t>
      </w:r>
    </w:p>
    <w:p w14:paraId="06ACE7C6" w14:textId="77777777" w:rsidR="00365624" w:rsidRDefault="002B025E">
      <w:pPr>
        <w:pStyle w:val="Heading4"/>
        <w:spacing w:before="84"/>
      </w:pPr>
      <w:r>
        <w:rPr>
          <w:spacing w:val="-4"/>
        </w:rPr>
        <w:t>Clinical</w:t>
      </w:r>
      <w:r>
        <w:rPr>
          <w:spacing w:val="-2"/>
        </w:rPr>
        <w:t xml:space="preserve"> </w:t>
      </w:r>
      <w:r>
        <w:rPr>
          <w:spacing w:val="-4"/>
        </w:rPr>
        <w:t>Trial</w:t>
      </w:r>
      <w:r>
        <w:rPr>
          <w:spacing w:val="-3"/>
        </w:rPr>
        <w:t xml:space="preserve"> </w:t>
      </w:r>
      <w:r>
        <w:rPr>
          <w:spacing w:val="-4"/>
        </w:rPr>
        <w:t>Findings</w:t>
      </w:r>
    </w:p>
    <w:p w14:paraId="06ACE7C7" w14:textId="77777777" w:rsidR="00365624" w:rsidRDefault="002B025E">
      <w:pPr>
        <w:pStyle w:val="BodyText"/>
        <w:spacing w:before="116"/>
      </w:pPr>
      <w:r>
        <w:rPr>
          <w:spacing w:val="-2"/>
        </w:rPr>
        <w:t>Hyperkalemia</w:t>
      </w:r>
    </w:p>
    <w:p w14:paraId="06ACE7C8" w14:textId="77777777" w:rsidR="00365624" w:rsidRDefault="002B025E">
      <w:pPr>
        <w:pStyle w:val="BodyText"/>
        <w:spacing w:before="120"/>
        <w:ind w:right="761"/>
      </w:pPr>
      <w:r>
        <w:t>Although clinical laboratory evaluations were not performed in the Phase 3 studies, changes in the clinical laboratory</w:t>
      </w:r>
      <w:r>
        <w:rPr>
          <w:spacing w:val="-6"/>
        </w:rPr>
        <w:t xml:space="preserve"> </w:t>
      </w:r>
      <w:r>
        <w:t>studies</w:t>
      </w:r>
      <w:r>
        <w:rPr>
          <w:spacing w:val="-8"/>
        </w:rPr>
        <w:t xml:space="preserve"> </w:t>
      </w:r>
      <w:r>
        <w:t>in</w:t>
      </w:r>
      <w:r>
        <w:rPr>
          <w:spacing w:val="-9"/>
        </w:rPr>
        <w:t xml:space="preserve"> </w:t>
      </w:r>
      <w:r>
        <w:t>phase</w:t>
      </w:r>
      <w:r>
        <w:rPr>
          <w:spacing w:val="-13"/>
        </w:rPr>
        <w:t xml:space="preserve"> </w:t>
      </w:r>
      <w:r>
        <w:t>1</w:t>
      </w:r>
      <w:r>
        <w:rPr>
          <w:spacing w:val="-12"/>
        </w:rPr>
        <w:t xml:space="preserve"> </w:t>
      </w:r>
      <w:r>
        <w:t>and</w:t>
      </w:r>
      <w:r>
        <w:rPr>
          <w:spacing w:val="-10"/>
        </w:rPr>
        <w:t xml:space="preserve"> </w:t>
      </w:r>
      <w:r>
        <w:t>phase</w:t>
      </w:r>
      <w:r>
        <w:rPr>
          <w:spacing w:val="-11"/>
        </w:rPr>
        <w:t xml:space="preserve"> </w:t>
      </w:r>
      <w:r>
        <w:t>2</w:t>
      </w:r>
      <w:r>
        <w:rPr>
          <w:spacing w:val="-12"/>
        </w:rPr>
        <w:t xml:space="preserve"> </w:t>
      </w:r>
      <w:r>
        <w:t>studies</w:t>
      </w:r>
      <w:r>
        <w:rPr>
          <w:spacing w:val="-8"/>
        </w:rPr>
        <w:t xml:space="preserve"> </w:t>
      </w:r>
      <w:r>
        <w:t>were</w:t>
      </w:r>
      <w:r>
        <w:rPr>
          <w:spacing w:val="-13"/>
        </w:rPr>
        <w:t xml:space="preserve"> </w:t>
      </w:r>
      <w:r>
        <w:t>identified.</w:t>
      </w:r>
      <w:r>
        <w:rPr>
          <w:spacing w:val="-5"/>
        </w:rPr>
        <w:t xml:space="preserve"> </w:t>
      </w:r>
      <w:r>
        <w:t>Shifts</w:t>
      </w:r>
      <w:r>
        <w:rPr>
          <w:spacing w:val="-12"/>
        </w:rPr>
        <w:t xml:space="preserve"> </w:t>
      </w:r>
      <w:r>
        <w:t>from</w:t>
      </w:r>
      <w:r>
        <w:rPr>
          <w:spacing w:val="-10"/>
        </w:rPr>
        <w:t xml:space="preserve"> </w:t>
      </w:r>
      <w:r>
        <w:t>normal</w:t>
      </w:r>
      <w:r>
        <w:rPr>
          <w:spacing w:val="-13"/>
        </w:rPr>
        <w:t xml:space="preserve"> </w:t>
      </w:r>
      <w:r>
        <w:t>to</w:t>
      </w:r>
      <w:r>
        <w:rPr>
          <w:spacing w:val="-9"/>
        </w:rPr>
        <w:t xml:space="preserve"> </w:t>
      </w:r>
      <w:r>
        <w:t>elevated</w:t>
      </w:r>
      <w:r>
        <w:rPr>
          <w:spacing w:val="-8"/>
        </w:rPr>
        <w:t xml:space="preserve"> </w:t>
      </w:r>
      <w:r>
        <w:t>potassium</w:t>
      </w:r>
      <w:r>
        <w:rPr>
          <w:spacing w:val="-9"/>
        </w:rPr>
        <w:t xml:space="preserve"> </w:t>
      </w:r>
      <w:r>
        <w:t>levels were</w:t>
      </w:r>
      <w:r>
        <w:rPr>
          <w:spacing w:val="-6"/>
        </w:rPr>
        <w:t xml:space="preserve"> </w:t>
      </w:r>
      <w:r>
        <w:t>observed</w:t>
      </w:r>
      <w:r>
        <w:rPr>
          <w:spacing w:val="-3"/>
        </w:rPr>
        <w:t xml:space="preserve"> </w:t>
      </w:r>
      <w:r>
        <w:t>in</w:t>
      </w:r>
      <w:r>
        <w:rPr>
          <w:spacing w:val="-5"/>
        </w:rPr>
        <w:t xml:space="preserve"> </w:t>
      </w:r>
      <w:r>
        <w:t>3.7%</w:t>
      </w:r>
      <w:r>
        <w:rPr>
          <w:spacing w:val="-7"/>
        </w:rPr>
        <w:t xml:space="preserve"> </w:t>
      </w:r>
      <w:r>
        <w:t>(17/461)</w:t>
      </w:r>
      <w:r>
        <w:rPr>
          <w:spacing w:val="-6"/>
        </w:rPr>
        <w:t xml:space="preserve"> </w:t>
      </w:r>
      <w:r>
        <w:t>of</w:t>
      </w:r>
      <w:r>
        <w:rPr>
          <w:spacing w:val="-4"/>
        </w:rPr>
        <w:t xml:space="preserve"> </w:t>
      </w:r>
      <w:r>
        <w:t>clascoterone-treated</w:t>
      </w:r>
      <w:r>
        <w:rPr>
          <w:spacing w:val="-4"/>
        </w:rPr>
        <w:t xml:space="preserve"> </w:t>
      </w:r>
      <w:r>
        <w:t>patients</w:t>
      </w:r>
      <w:r>
        <w:rPr>
          <w:spacing w:val="-5"/>
        </w:rPr>
        <w:t xml:space="preserve"> </w:t>
      </w:r>
      <w:r>
        <w:t>and</w:t>
      </w:r>
      <w:r>
        <w:rPr>
          <w:spacing w:val="-5"/>
        </w:rPr>
        <w:t xml:space="preserve"> </w:t>
      </w:r>
      <w:r>
        <w:t>3.9</w:t>
      </w:r>
      <w:r>
        <w:rPr>
          <w:spacing w:val="-6"/>
        </w:rPr>
        <w:t xml:space="preserve"> </w:t>
      </w:r>
      <w:r>
        <w:t>(4/103)</w:t>
      </w:r>
      <w:r>
        <w:rPr>
          <w:spacing w:val="-4"/>
        </w:rPr>
        <w:t xml:space="preserve"> </w:t>
      </w:r>
      <w:r>
        <w:t>of</w:t>
      </w:r>
      <w:r>
        <w:rPr>
          <w:spacing w:val="-5"/>
        </w:rPr>
        <w:t xml:space="preserve"> </w:t>
      </w:r>
      <w:r>
        <w:t>vehicle-treated</w:t>
      </w:r>
      <w:r>
        <w:rPr>
          <w:spacing w:val="-4"/>
        </w:rPr>
        <w:t xml:space="preserve"> </w:t>
      </w:r>
      <w:r>
        <w:t>patients</w:t>
      </w:r>
      <w:r>
        <w:rPr>
          <w:spacing w:val="-5"/>
        </w:rPr>
        <w:t xml:space="preserve"> </w:t>
      </w:r>
      <w:r>
        <w:t>ages ranging from 12 to 64 (see section 5.1 Pharmacodynamic Properties).</w:t>
      </w:r>
    </w:p>
    <w:p w14:paraId="06ACE7C9" w14:textId="77777777" w:rsidR="00365624" w:rsidRDefault="002B025E">
      <w:pPr>
        <w:pStyle w:val="Heading2"/>
      </w:pPr>
      <w:r>
        <w:rPr>
          <w:spacing w:val="-2"/>
        </w:rPr>
        <w:t>Reporting suspected</w:t>
      </w:r>
      <w:r>
        <w:rPr>
          <w:spacing w:val="-1"/>
        </w:rPr>
        <w:t xml:space="preserve"> </w:t>
      </w:r>
      <w:r>
        <w:rPr>
          <w:spacing w:val="-2"/>
        </w:rPr>
        <w:t>adverse</w:t>
      </w:r>
      <w:r>
        <w:rPr>
          <w:spacing w:val="2"/>
        </w:rPr>
        <w:t xml:space="preserve"> </w:t>
      </w:r>
      <w:r>
        <w:rPr>
          <w:spacing w:val="-2"/>
        </w:rPr>
        <w:t>effects</w:t>
      </w:r>
    </w:p>
    <w:p w14:paraId="06ACE7CA" w14:textId="77777777" w:rsidR="00365624" w:rsidRDefault="002B025E">
      <w:pPr>
        <w:pStyle w:val="BodyText"/>
        <w:spacing w:before="81"/>
        <w:ind w:right="668"/>
        <w:jc w:val="both"/>
      </w:pPr>
      <w:bookmarkStart w:id="14" w:name="4.9_OVERDOSE"/>
      <w:bookmarkEnd w:id="14"/>
      <w:r>
        <w:t>Reporting</w:t>
      </w:r>
      <w:r>
        <w:rPr>
          <w:spacing w:val="-2"/>
        </w:rPr>
        <w:t xml:space="preserve"> </w:t>
      </w:r>
      <w:r>
        <w:t>suspected</w:t>
      </w:r>
      <w:r>
        <w:rPr>
          <w:spacing w:val="-1"/>
        </w:rPr>
        <w:t xml:space="preserve"> </w:t>
      </w:r>
      <w:r>
        <w:t>adverse reactions after registration</w:t>
      </w:r>
      <w:r>
        <w:rPr>
          <w:spacing w:val="-2"/>
        </w:rPr>
        <w:t xml:space="preserve"> </w:t>
      </w:r>
      <w:r>
        <w:t>of the</w:t>
      </w:r>
      <w:r>
        <w:rPr>
          <w:spacing w:val="-3"/>
        </w:rPr>
        <w:t xml:space="preserve"> </w:t>
      </w:r>
      <w:r>
        <w:t>medicinal product</w:t>
      </w:r>
      <w:r>
        <w:rPr>
          <w:spacing w:val="-1"/>
        </w:rPr>
        <w:t xml:space="preserve"> </w:t>
      </w:r>
      <w:r>
        <w:t>is important.</w:t>
      </w:r>
      <w:r>
        <w:rPr>
          <w:spacing w:val="-1"/>
        </w:rPr>
        <w:t xml:space="preserve"> </w:t>
      </w:r>
      <w:r>
        <w:t>It allows</w:t>
      </w:r>
      <w:r>
        <w:rPr>
          <w:spacing w:val="-1"/>
        </w:rPr>
        <w:t xml:space="preserve"> </w:t>
      </w:r>
      <w:r>
        <w:t xml:space="preserve">continued monitoring of the benefit-risk balance of the medicinal product. Healthcare professionals are asked to report any suspected adverse reactions at </w:t>
      </w:r>
      <w:hyperlink r:id="rId10">
        <w:r>
          <w:rPr>
            <w:color w:val="0000FF"/>
            <w:u w:val="single" w:color="0000FF"/>
          </w:rPr>
          <w:t>www.tga.gov.au/reporting-problems</w:t>
        </w:r>
        <w:r>
          <w:t>.</w:t>
        </w:r>
      </w:hyperlink>
    </w:p>
    <w:p w14:paraId="06ACE7CB" w14:textId="77777777" w:rsidR="00365624" w:rsidRDefault="002B025E">
      <w:pPr>
        <w:pStyle w:val="BodyText"/>
        <w:spacing w:before="137"/>
        <w:jc w:val="both"/>
      </w:pPr>
      <w:r>
        <w:rPr>
          <w:spacing w:val="-6"/>
        </w:rPr>
        <w:t>Adverse</w:t>
      </w:r>
      <w:r>
        <w:rPr>
          <w:spacing w:val="-4"/>
        </w:rPr>
        <w:t xml:space="preserve"> </w:t>
      </w:r>
      <w:r>
        <w:rPr>
          <w:spacing w:val="-6"/>
        </w:rPr>
        <w:t>effects</w:t>
      </w:r>
      <w:r>
        <w:rPr>
          <w:spacing w:val="1"/>
        </w:rPr>
        <w:t xml:space="preserve"> </w:t>
      </w:r>
      <w:r>
        <w:rPr>
          <w:spacing w:val="-6"/>
        </w:rPr>
        <w:t>can</w:t>
      </w:r>
      <w:r>
        <w:rPr>
          <w:spacing w:val="2"/>
        </w:rPr>
        <w:t xml:space="preserve"> </w:t>
      </w:r>
      <w:r>
        <w:rPr>
          <w:spacing w:val="-6"/>
        </w:rPr>
        <w:t>also</w:t>
      </w:r>
      <w:r>
        <w:rPr>
          <w:spacing w:val="2"/>
        </w:rPr>
        <w:t xml:space="preserve"> </w:t>
      </w:r>
      <w:r>
        <w:rPr>
          <w:spacing w:val="-6"/>
        </w:rPr>
        <w:t>be</w:t>
      </w:r>
      <w:r>
        <w:rPr>
          <w:spacing w:val="-1"/>
        </w:rPr>
        <w:t xml:space="preserve"> </w:t>
      </w:r>
      <w:r>
        <w:rPr>
          <w:spacing w:val="-6"/>
        </w:rPr>
        <w:t>reported</w:t>
      </w:r>
      <w:r>
        <w:rPr>
          <w:spacing w:val="-2"/>
        </w:rPr>
        <w:t xml:space="preserve"> </w:t>
      </w:r>
      <w:r>
        <w:rPr>
          <w:spacing w:val="-6"/>
        </w:rPr>
        <w:t>to</w:t>
      </w:r>
      <w:r>
        <w:t xml:space="preserve"> </w:t>
      </w:r>
      <w:hyperlink r:id="rId11">
        <w:r>
          <w:rPr>
            <w:spacing w:val="-6"/>
          </w:rPr>
          <w:t>adverse.events.aus@sunpharma.com</w:t>
        </w:r>
      </w:hyperlink>
      <w:r>
        <w:rPr>
          <w:spacing w:val="10"/>
        </w:rPr>
        <w:t xml:space="preserve"> </w:t>
      </w:r>
      <w:r>
        <w:rPr>
          <w:spacing w:val="-6"/>
        </w:rPr>
        <w:t>or</w:t>
      </w:r>
      <w:r>
        <w:rPr>
          <w:spacing w:val="5"/>
        </w:rPr>
        <w:t xml:space="preserve"> </w:t>
      </w:r>
      <w:r>
        <w:rPr>
          <w:spacing w:val="-6"/>
        </w:rPr>
        <w:t>1800</w:t>
      </w:r>
      <w:r>
        <w:t xml:space="preserve"> </w:t>
      </w:r>
      <w:r>
        <w:rPr>
          <w:spacing w:val="-6"/>
        </w:rPr>
        <w:t>726</w:t>
      </w:r>
      <w:r>
        <w:rPr>
          <w:spacing w:val="5"/>
        </w:rPr>
        <w:t xml:space="preserve"> </w:t>
      </w:r>
      <w:r>
        <w:rPr>
          <w:spacing w:val="-6"/>
        </w:rPr>
        <w:t>229.</w:t>
      </w:r>
    </w:p>
    <w:p w14:paraId="06ACE7CC" w14:textId="77777777" w:rsidR="00365624" w:rsidRDefault="002B025E">
      <w:pPr>
        <w:pStyle w:val="Heading1"/>
        <w:numPr>
          <w:ilvl w:val="1"/>
          <w:numId w:val="1"/>
        </w:numPr>
        <w:tabs>
          <w:tab w:val="left" w:pos="628"/>
        </w:tabs>
        <w:spacing w:before="201"/>
        <w:ind w:left="628" w:hanging="368"/>
      </w:pPr>
      <w:r>
        <w:rPr>
          <w:spacing w:val="-2"/>
        </w:rPr>
        <w:t>OVERDOSE</w:t>
      </w:r>
    </w:p>
    <w:p w14:paraId="06ACE7CD" w14:textId="77777777" w:rsidR="00365624" w:rsidRDefault="002B025E">
      <w:pPr>
        <w:pStyle w:val="BodyText"/>
        <w:spacing w:before="121" w:line="350" w:lineRule="auto"/>
        <w:ind w:right="919"/>
        <w:jc w:val="both"/>
      </w:pPr>
      <w:r>
        <w:t>For</w:t>
      </w:r>
      <w:r>
        <w:rPr>
          <w:spacing w:val="-12"/>
        </w:rPr>
        <w:t xml:space="preserve"> </w:t>
      </w:r>
      <w:r>
        <w:t>information</w:t>
      </w:r>
      <w:r>
        <w:rPr>
          <w:spacing w:val="-10"/>
        </w:rPr>
        <w:t xml:space="preserve"> </w:t>
      </w:r>
      <w:r>
        <w:t>on</w:t>
      </w:r>
      <w:r>
        <w:rPr>
          <w:spacing w:val="-12"/>
        </w:rPr>
        <w:t xml:space="preserve"> </w:t>
      </w:r>
      <w:r>
        <w:t>the</w:t>
      </w:r>
      <w:r>
        <w:rPr>
          <w:spacing w:val="-12"/>
        </w:rPr>
        <w:t xml:space="preserve"> </w:t>
      </w:r>
      <w:r>
        <w:t>management</w:t>
      </w:r>
      <w:r>
        <w:rPr>
          <w:spacing w:val="-7"/>
        </w:rPr>
        <w:t xml:space="preserve"> </w:t>
      </w:r>
      <w:r>
        <w:t>of</w:t>
      </w:r>
      <w:r>
        <w:rPr>
          <w:spacing w:val="-10"/>
        </w:rPr>
        <w:t xml:space="preserve"> </w:t>
      </w:r>
      <w:r>
        <w:t>overdose,</w:t>
      </w:r>
      <w:r>
        <w:rPr>
          <w:spacing w:val="-10"/>
        </w:rPr>
        <w:t xml:space="preserve"> </w:t>
      </w:r>
      <w:r>
        <w:t>contact</w:t>
      </w:r>
      <w:r>
        <w:rPr>
          <w:spacing w:val="-10"/>
        </w:rPr>
        <w:t xml:space="preserve"> </w:t>
      </w:r>
      <w:r>
        <w:t>the</w:t>
      </w:r>
      <w:r>
        <w:rPr>
          <w:spacing w:val="-11"/>
        </w:rPr>
        <w:t xml:space="preserve"> </w:t>
      </w:r>
      <w:r>
        <w:t>Poisons</w:t>
      </w:r>
      <w:r>
        <w:rPr>
          <w:spacing w:val="-10"/>
        </w:rPr>
        <w:t xml:space="preserve"> </w:t>
      </w:r>
      <w:r>
        <w:t>Information</w:t>
      </w:r>
      <w:r>
        <w:rPr>
          <w:spacing w:val="-12"/>
        </w:rPr>
        <w:t xml:space="preserve"> </w:t>
      </w:r>
      <w:r>
        <w:t>Centre</w:t>
      </w:r>
      <w:r>
        <w:rPr>
          <w:spacing w:val="-11"/>
        </w:rPr>
        <w:t xml:space="preserve"> </w:t>
      </w:r>
      <w:r>
        <w:t>on</w:t>
      </w:r>
      <w:r>
        <w:rPr>
          <w:spacing w:val="-11"/>
        </w:rPr>
        <w:t xml:space="preserve"> </w:t>
      </w:r>
      <w:r>
        <w:t>131126</w:t>
      </w:r>
      <w:r>
        <w:rPr>
          <w:spacing w:val="-12"/>
        </w:rPr>
        <w:t xml:space="preserve"> </w:t>
      </w:r>
      <w:r>
        <w:t xml:space="preserve">(Australia). </w:t>
      </w:r>
      <w:bookmarkStart w:id="15" w:name="5_PHARMACOLOGICAL_PROPERTIES"/>
      <w:bookmarkStart w:id="16" w:name="5.1_PHARMACODYNAMIC_PROPERTIES"/>
      <w:bookmarkEnd w:id="15"/>
      <w:bookmarkEnd w:id="16"/>
      <w:r>
        <w:t>WINLEVI is for twice-daily topical use only.</w:t>
      </w:r>
    </w:p>
    <w:p w14:paraId="06ACE7CE" w14:textId="77777777" w:rsidR="00365624" w:rsidRDefault="002B025E">
      <w:pPr>
        <w:pStyle w:val="BodyText"/>
        <w:ind w:right="393"/>
        <w:jc w:val="both"/>
      </w:pPr>
      <w:r>
        <w:t>In case of accidental ingestion, appropriate symptomatic measures should be taken. Although no data are available, the</w:t>
      </w:r>
      <w:r>
        <w:rPr>
          <w:spacing w:val="-5"/>
        </w:rPr>
        <w:t xml:space="preserve"> </w:t>
      </w:r>
      <w:r>
        <w:t>active</w:t>
      </w:r>
      <w:r>
        <w:rPr>
          <w:spacing w:val="-4"/>
        </w:rPr>
        <w:t xml:space="preserve"> </w:t>
      </w:r>
      <w:r>
        <w:t>ingredient</w:t>
      </w:r>
      <w:r>
        <w:rPr>
          <w:spacing w:val="-4"/>
        </w:rPr>
        <w:t xml:space="preserve"> </w:t>
      </w:r>
      <w:r>
        <w:t>in</w:t>
      </w:r>
      <w:r>
        <w:rPr>
          <w:spacing w:val="-5"/>
        </w:rPr>
        <w:t xml:space="preserve"> </w:t>
      </w:r>
      <w:r>
        <w:t>WINLEVI</w:t>
      </w:r>
      <w:r>
        <w:rPr>
          <w:spacing w:val="-4"/>
        </w:rPr>
        <w:t xml:space="preserve"> </w:t>
      </w:r>
      <w:r>
        <w:t>has</w:t>
      </w:r>
      <w:r>
        <w:rPr>
          <w:spacing w:val="-4"/>
        </w:rPr>
        <w:t xml:space="preserve"> </w:t>
      </w:r>
      <w:r>
        <w:t>anti-androgenic</w:t>
      </w:r>
      <w:r>
        <w:rPr>
          <w:spacing w:val="-4"/>
        </w:rPr>
        <w:t xml:space="preserve"> </w:t>
      </w:r>
      <w:r>
        <w:t>effects,</w:t>
      </w:r>
      <w:r>
        <w:rPr>
          <w:spacing w:val="-4"/>
        </w:rPr>
        <w:t xml:space="preserve"> </w:t>
      </w:r>
      <w:r>
        <w:t>HPA-axis</w:t>
      </w:r>
      <w:r>
        <w:rPr>
          <w:spacing w:val="-5"/>
        </w:rPr>
        <w:t xml:space="preserve"> </w:t>
      </w:r>
      <w:r>
        <w:t>suppression</w:t>
      </w:r>
      <w:r>
        <w:rPr>
          <w:spacing w:val="-5"/>
        </w:rPr>
        <w:t xml:space="preserve"> </w:t>
      </w:r>
      <w:r>
        <w:t>and</w:t>
      </w:r>
      <w:r>
        <w:rPr>
          <w:spacing w:val="-5"/>
        </w:rPr>
        <w:t xml:space="preserve"> </w:t>
      </w:r>
      <w:r>
        <w:t>hyperkalaemia</w:t>
      </w:r>
      <w:r>
        <w:rPr>
          <w:spacing w:val="-4"/>
        </w:rPr>
        <w:t xml:space="preserve"> </w:t>
      </w:r>
      <w:r>
        <w:t>may</w:t>
      </w:r>
      <w:r>
        <w:rPr>
          <w:spacing w:val="-5"/>
        </w:rPr>
        <w:t xml:space="preserve"> </w:t>
      </w:r>
      <w:r>
        <w:t>be</w:t>
      </w:r>
      <w:r>
        <w:rPr>
          <w:spacing w:val="-6"/>
        </w:rPr>
        <w:t xml:space="preserve"> </w:t>
      </w:r>
      <w:r>
        <w:t xml:space="preserve">seen following accidental oral </w:t>
      </w:r>
      <w:proofErr w:type="gramStart"/>
      <w:r>
        <w:t>ingestion</w:t>
      </w:r>
      <w:proofErr w:type="gramEnd"/>
    </w:p>
    <w:p w14:paraId="06ACE7CF" w14:textId="77777777" w:rsidR="00365624" w:rsidRDefault="002B025E">
      <w:pPr>
        <w:pStyle w:val="Heading1"/>
        <w:numPr>
          <w:ilvl w:val="0"/>
          <w:numId w:val="1"/>
        </w:numPr>
        <w:tabs>
          <w:tab w:val="left" w:pos="446"/>
        </w:tabs>
        <w:spacing w:before="243"/>
        <w:ind w:left="446" w:hanging="186"/>
      </w:pPr>
      <w:r>
        <w:rPr>
          <w:spacing w:val="-9"/>
        </w:rPr>
        <w:t>PHARMACOLOGICAL</w:t>
      </w:r>
      <w:r>
        <w:rPr>
          <w:spacing w:val="12"/>
        </w:rPr>
        <w:t xml:space="preserve"> </w:t>
      </w:r>
      <w:r>
        <w:rPr>
          <w:spacing w:val="-2"/>
        </w:rPr>
        <w:t>PROPERTIES</w:t>
      </w:r>
    </w:p>
    <w:p w14:paraId="06ACE7D0" w14:textId="77777777" w:rsidR="00365624" w:rsidRDefault="002B025E">
      <w:pPr>
        <w:pStyle w:val="ListParagraph"/>
        <w:numPr>
          <w:ilvl w:val="1"/>
          <w:numId w:val="1"/>
        </w:numPr>
        <w:tabs>
          <w:tab w:val="left" w:pos="628"/>
        </w:tabs>
        <w:spacing w:before="200"/>
        <w:ind w:left="628" w:hanging="368"/>
        <w:rPr>
          <w:b/>
          <w:sz w:val="28"/>
        </w:rPr>
      </w:pPr>
      <w:r>
        <w:rPr>
          <w:b/>
          <w:spacing w:val="-9"/>
          <w:sz w:val="28"/>
        </w:rPr>
        <w:t>PHARMACODYNAMIC</w:t>
      </w:r>
      <w:r>
        <w:rPr>
          <w:b/>
          <w:spacing w:val="5"/>
          <w:sz w:val="28"/>
        </w:rPr>
        <w:t xml:space="preserve"> </w:t>
      </w:r>
      <w:r>
        <w:rPr>
          <w:b/>
          <w:spacing w:val="-2"/>
          <w:sz w:val="28"/>
        </w:rPr>
        <w:t>PROPERTIES</w:t>
      </w:r>
    </w:p>
    <w:p w14:paraId="06ACE7D1" w14:textId="77777777" w:rsidR="00365624" w:rsidRDefault="002B025E">
      <w:pPr>
        <w:pStyle w:val="Heading2"/>
        <w:spacing w:before="202"/>
        <w:jc w:val="left"/>
      </w:pPr>
      <w:r>
        <w:t>Mechanism</w:t>
      </w:r>
      <w:r>
        <w:rPr>
          <w:spacing w:val="-7"/>
        </w:rPr>
        <w:t xml:space="preserve"> </w:t>
      </w:r>
      <w:r>
        <w:t>of</w:t>
      </w:r>
      <w:r>
        <w:rPr>
          <w:spacing w:val="-5"/>
        </w:rPr>
        <w:t xml:space="preserve"> </w:t>
      </w:r>
      <w:r>
        <w:rPr>
          <w:spacing w:val="-2"/>
        </w:rPr>
        <w:t>Action</w:t>
      </w:r>
    </w:p>
    <w:p w14:paraId="06ACE7D2" w14:textId="77777777" w:rsidR="00365624" w:rsidRDefault="002B025E">
      <w:pPr>
        <w:pStyle w:val="BodyText"/>
        <w:spacing w:before="118"/>
        <w:ind w:right="235"/>
      </w:pPr>
      <w:r>
        <w:t>Clascoterone</w:t>
      </w:r>
      <w:r>
        <w:rPr>
          <w:spacing w:val="-7"/>
        </w:rPr>
        <w:t xml:space="preserve"> </w:t>
      </w:r>
      <w:r>
        <w:t>is</w:t>
      </w:r>
      <w:r>
        <w:rPr>
          <w:spacing w:val="-11"/>
        </w:rPr>
        <w:t xml:space="preserve"> </w:t>
      </w:r>
      <w:r>
        <w:t>an</w:t>
      </w:r>
      <w:r>
        <w:rPr>
          <w:spacing w:val="-9"/>
        </w:rPr>
        <w:t xml:space="preserve"> </w:t>
      </w:r>
      <w:r>
        <w:t>androgen</w:t>
      </w:r>
      <w:r>
        <w:rPr>
          <w:spacing w:val="-8"/>
        </w:rPr>
        <w:t xml:space="preserve"> </w:t>
      </w:r>
      <w:r>
        <w:t>receptor</w:t>
      </w:r>
      <w:r>
        <w:rPr>
          <w:spacing w:val="-9"/>
        </w:rPr>
        <w:t xml:space="preserve"> </w:t>
      </w:r>
      <w:r>
        <w:t>inhibitor.</w:t>
      </w:r>
      <w:r>
        <w:rPr>
          <w:spacing w:val="-11"/>
        </w:rPr>
        <w:t xml:space="preserve"> </w:t>
      </w:r>
      <w:r>
        <w:t>The</w:t>
      </w:r>
      <w:r>
        <w:rPr>
          <w:spacing w:val="-9"/>
        </w:rPr>
        <w:t xml:space="preserve"> </w:t>
      </w:r>
      <w:r>
        <w:t>exact</w:t>
      </w:r>
      <w:r>
        <w:rPr>
          <w:spacing w:val="-8"/>
        </w:rPr>
        <w:t xml:space="preserve"> </w:t>
      </w:r>
      <w:r>
        <w:t>mechanism</w:t>
      </w:r>
      <w:r>
        <w:rPr>
          <w:spacing w:val="-8"/>
        </w:rPr>
        <w:t xml:space="preserve"> </w:t>
      </w:r>
      <w:r>
        <w:t>of</w:t>
      </w:r>
      <w:r>
        <w:rPr>
          <w:spacing w:val="-7"/>
        </w:rPr>
        <w:t xml:space="preserve"> </w:t>
      </w:r>
      <w:r>
        <w:t>action</w:t>
      </w:r>
      <w:r>
        <w:rPr>
          <w:spacing w:val="-9"/>
        </w:rPr>
        <w:t xml:space="preserve"> </w:t>
      </w:r>
      <w:r>
        <w:t>of</w:t>
      </w:r>
      <w:r>
        <w:rPr>
          <w:spacing w:val="-10"/>
        </w:rPr>
        <w:t xml:space="preserve"> </w:t>
      </w:r>
      <w:r>
        <w:t>WINLEVI</w:t>
      </w:r>
      <w:r>
        <w:rPr>
          <w:spacing w:val="-8"/>
        </w:rPr>
        <w:t xml:space="preserve"> </w:t>
      </w:r>
      <w:r>
        <w:t>for</w:t>
      </w:r>
      <w:r>
        <w:rPr>
          <w:spacing w:val="-11"/>
        </w:rPr>
        <w:t xml:space="preserve"> </w:t>
      </w:r>
      <w:r>
        <w:t>the</w:t>
      </w:r>
      <w:r>
        <w:rPr>
          <w:spacing w:val="-11"/>
        </w:rPr>
        <w:t xml:space="preserve"> </w:t>
      </w:r>
      <w:r>
        <w:t>topical</w:t>
      </w:r>
      <w:r>
        <w:rPr>
          <w:spacing w:val="-11"/>
        </w:rPr>
        <w:t xml:space="preserve"> </w:t>
      </w:r>
      <w:r>
        <w:t>treatment</w:t>
      </w:r>
      <w:r>
        <w:rPr>
          <w:spacing w:val="-6"/>
        </w:rPr>
        <w:t xml:space="preserve"> </w:t>
      </w:r>
      <w:r>
        <w:t>of acne vulgaris is unknown.</w:t>
      </w:r>
    </w:p>
    <w:p w14:paraId="06ACE7D3" w14:textId="77777777" w:rsidR="00365624" w:rsidRDefault="002B025E">
      <w:pPr>
        <w:pStyle w:val="Heading4"/>
      </w:pPr>
      <w:r>
        <w:rPr>
          <w:spacing w:val="-6"/>
        </w:rPr>
        <w:t>Hypothalamic-Pituitary-Adrenal</w:t>
      </w:r>
      <w:r>
        <w:rPr>
          <w:spacing w:val="3"/>
        </w:rPr>
        <w:t xml:space="preserve"> </w:t>
      </w:r>
      <w:r>
        <w:rPr>
          <w:spacing w:val="-6"/>
        </w:rPr>
        <w:t>(HPA)</w:t>
      </w:r>
      <w:r>
        <w:rPr>
          <w:spacing w:val="2"/>
        </w:rPr>
        <w:t xml:space="preserve"> </w:t>
      </w:r>
      <w:r>
        <w:rPr>
          <w:spacing w:val="-6"/>
        </w:rPr>
        <w:t>Axis</w:t>
      </w:r>
      <w:r>
        <w:rPr>
          <w:spacing w:val="5"/>
        </w:rPr>
        <w:t xml:space="preserve"> </w:t>
      </w:r>
      <w:r>
        <w:rPr>
          <w:spacing w:val="-6"/>
        </w:rPr>
        <w:t>Suppression</w:t>
      </w:r>
    </w:p>
    <w:p w14:paraId="06ACE7D4" w14:textId="77777777" w:rsidR="00365624" w:rsidRDefault="002B025E">
      <w:pPr>
        <w:pStyle w:val="BodyText"/>
        <w:spacing w:before="120"/>
        <w:ind w:right="676"/>
        <w:jc w:val="both"/>
      </w:pPr>
      <w:r>
        <w:t>HPA axis suppression was evaluated in adult (n=20), adolescent (n=22) and paediatric (n=27, &lt; 12</w:t>
      </w:r>
      <w:r>
        <w:rPr>
          <w:spacing w:val="-1"/>
        </w:rPr>
        <w:t xml:space="preserve"> </w:t>
      </w:r>
      <w:r>
        <w:t xml:space="preserve">years of age) patients with acne vulgaris, following twice daily application of WINLEVI for 2 weeks, in two maximum use </w:t>
      </w:r>
      <w:r>
        <w:lastRenderedPageBreak/>
        <w:t>pharmacokinetic studies. HPA axis suppression, indicated by 30-minute post-stimulation serum cortisol level of</w:t>
      </w:r>
    </w:p>
    <w:p w14:paraId="06ACE7D5" w14:textId="77777777" w:rsidR="00365624" w:rsidRDefault="002B025E">
      <w:pPr>
        <w:pStyle w:val="BodyText"/>
        <w:spacing w:before="2"/>
        <w:ind w:right="684"/>
        <w:jc w:val="both"/>
      </w:pPr>
      <w:r>
        <w:t>≤497 nmol/L, was observed</w:t>
      </w:r>
      <w:r>
        <w:rPr>
          <w:spacing w:val="-1"/>
        </w:rPr>
        <w:t xml:space="preserve"> </w:t>
      </w:r>
      <w:r>
        <w:t>in</w:t>
      </w:r>
      <w:r>
        <w:rPr>
          <w:spacing w:val="-1"/>
        </w:rPr>
        <w:t xml:space="preserve"> </w:t>
      </w:r>
      <w:r>
        <w:t>1/20 (5%) of adult subjects, 2/22 (9%) of adolescent and 2/23 (8.7%) of paediatric patients</w:t>
      </w:r>
      <w:r>
        <w:rPr>
          <w:spacing w:val="-8"/>
        </w:rPr>
        <w:t xml:space="preserve"> </w:t>
      </w:r>
      <w:r>
        <w:t>at</w:t>
      </w:r>
      <w:r>
        <w:rPr>
          <w:spacing w:val="-16"/>
        </w:rPr>
        <w:t xml:space="preserve"> </w:t>
      </w:r>
      <w:r>
        <w:t>Day</w:t>
      </w:r>
      <w:r>
        <w:rPr>
          <w:spacing w:val="-14"/>
        </w:rPr>
        <w:t xml:space="preserve"> </w:t>
      </w:r>
      <w:r>
        <w:t>14.</w:t>
      </w:r>
      <w:r>
        <w:rPr>
          <w:spacing w:val="-12"/>
        </w:rPr>
        <w:t xml:space="preserve"> </w:t>
      </w:r>
      <w:r>
        <w:t>All</w:t>
      </w:r>
      <w:r>
        <w:rPr>
          <w:spacing w:val="-11"/>
        </w:rPr>
        <w:t xml:space="preserve"> </w:t>
      </w:r>
      <w:r>
        <w:t>patients</w:t>
      </w:r>
      <w:r>
        <w:rPr>
          <w:spacing w:val="-10"/>
        </w:rPr>
        <w:t xml:space="preserve"> </w:t>
      </w:r>
      <w:r>
        <w:t>returned</w:t>
      </w:r>
      <w:r>
        <w:rPr>
          <w:spacing w:val="-15"/>
        </w:rPr>
        <w:t xml:space="preserve"> </w:t>
      </w:r>
      <w:r>
        <w:t>to</w:t>
      </w:r>
      <w:r>
        <w:rPr>
          <w:spacing w:val="-15"/>
        </w:rPr>
        <w:t xml:space="preserve"> </w:t>
      </w:r>
      <w:r>
        <w:t>normal</w:t>
      </w:r>
      <w:r>
        <w:rPr>
          <w:spacing w:val="-11"/>
        </w:rPr>
        <w:t xml:space="preserve"> </w:t>
      </w:r>
      <w:r>
        <w:t>HPA</w:t>
      </w:r>
      <w:r>
        <w:rPr>
          <w:spacing w:val="-14"/>
        </w:rPr>
        <w:t xml:space="preserve"> </w:t>
      </w:r>
      <w:r>
        <w:t>axis</w:t>
      </w:r>
      <w:r>
        <w:rPr>
          <w:spacing w:val="-11"/>
        </w:rPr>
        <w:t xml:space="preserve"> </w:t>
      </w:r>
      <w:r>
        <w:t>function</w:t>
      </w:r>
      <w:r>
        <w:rPr>
          <w:spacing w:val="-13"/>
        </w:rPr>
        <w:t xml:space="preserve"> </w:t>
      </w:r>
      <w:r>
        <w:t>at</w:t>
      </w:r>
      <w:r>
        <w:rPr>
          <w:spacing w:val="-16"/>
        </w:rPr>
        <w:t xml:space="preserve"> </w:t>
      </w:r>
      <w:r>
        <w:t>follow-up</w:t>
      </w:r>
      <w:r>
        <w:rPr>
          <w:spacing w:val="-15"/>
        </w:rPr>
        <w:t xml:space="preserve"> </w:t>
      </w:r>
      <w:r>
        <w:t>4</w:t>
      </w:r>
      <w:r>
        <w:rPr>
          <w:spacing w:val="-14"/>
        </w:rPr>
        <w:t xml:space="preserve"> </w:t>
      </w:r>
      <w:r>
        <w:t>weeks</w:t>
      </w:r>
      <w:r>
        <w:rPr>
          <w:spacing w:val="-11"/>
        </w:rPr>
        <w:t xml:space="preserve"> </w:t>
      </w:r>
      <w:r>
        <w:t>after</w:t>
      </w:r>
      <w:r>
        <w:rPr>
          <w:spacing w:val="-16"/>
        </w:rPr>
        <w:t xml:space="preserve"> </w:t>
      </w:r>
      <w:r>
        <w:t>the</w:t>
      </w:r>
      <w:r>
        <w:rPr>
          <w:spacing w:val="-13"/>
        </w:rPr>
        <w:t xml:space="preserve"> </w:t>
      </w:r>
      <w:r>
        <w:t>end</w:t>
      </w:r>
      <w:r>
        <w:rPr>
          <w:spacing w:val="-13"/>
        </w:rPr>
        <w:t xml:space="preserve"> </w:t>
      </w:r>
      <w:r>
        <w:t>of</w:t>
      </w:r>
      <w:r>
        <w:rPr>
          <w:spacing w:val="-16"/>
        </w:rPr>
        <w:t xml:space="preserve"> </w:t>
      </w:r>
      <w:r>
        <w:t>treatment.</w:t>
      </w:r>
    </w:p>
    <w:p w14:paraId="06ACE7D6" w14:textId="77777777" w:rsidR="00365624" w:rsidRDefault="002B025E">
      <w:pPr>
        <w:pStyle w:val="Heading4"/>
      </w:pPr>
      <w:r>
        <w:rPr>
          <w:spacing w:val="-2"/>
        </w:rPr>
        <w:t>Potassium</w:t>
      </w:r>
    </w:p>
    <w:p w14:paraId="06ACE7D7" w14:textId="77777777" w:rsidR="00365624" w:rsidRDefault="002B025E">
      <w:pPr>
        <w:pStyle w:val="BodyText"/>
        <w:spacing w:before="118"/>
        <w:ind w:right="643"/>
      </w:pPr>
      <w:r>
        <w:t>Shifts</w:t>
      </w:r>
      <w:r>
        <w:rPr>
          <w:spacing w:val="-10"/>
        </w:rPr>
        <w:t xml:space="preserve"> </w:t>
      </w:r>
      <w:r>
        <w:t>from</w:t>
      </w:r>
      <w:r>
        <w:rPr>
          <w:spacing w:val="-10"/>
        </w:rPr>
        <w:t xml:space="preserve"> </w:t>
      </w:r>
      <w:r>
        <w:t>normal</w:t>
      </w:r>
      <w:r>
        <w:rPr>
          <w:spacing w:val="-11"/>
        </w:rPr>
        <w:t xml:space="preserve"> </w:t>
      </w:r>
      <w:r>
        <w:t>to</w:t>
      </w:r>
      <w:r>
        <w:rPr>
          <w:spacing w:val="-12"/>
        </w:rPr>
        <w:t xml:space="preserve"> </w:t>
      </w:r>
      <w:r>
        <w:t>elevated</w:t>
      </w:r>
      <w:r>
        <w:rPr>
          <w:spacing w:val="-13"/>
        </w:rPr>
        <w:t xml:space="preserve"> </w:t>
      </w:r>
      <w:r>
        <w:t>potassium</w:t>
      </w:r>
      <w:r>
        <w:rPr>
          <w:spacing w:val="-12"/>
        </w:rPr>
        <w:t xml:space="preserve"> </w:t>
      </w:r>
      <w:r>
        <w:t>levels</w:t>
      </w:r>
      <w:r>
        <w:rPr>
          <w:spacing w:val="-9"/>
        </w:rPr>
        <w:t xml:space="preserve"> </w:t>
      </w:r>
      <w:r>
        <w:t>were</w:t>
      </w:r>
      <w:r>
        <w:rPr>
          <w:spacing w:val="-13"/>
        </w:rPr>
        <w:t xml:space="preserve"> </w:t>
      </w:r>
      <w:r>
        <w:t>observed</w:t>
      </w:r>
      <w:r>
        <w:rPr>
          <w:spacing w:val="-12"/>
        </w:rPr>
        <w:t xml:space="preserve"> </w:t>
      </w:r>
      <w:r>
        <w:t>in</w:t>
      </w:r>
      <w:r>
        <w:rPr>
          <w:spacing w:val="-9"/>
        </w:rPr>
        <w:t xml:space="preserve"> </w:t>
      </w:r>
      <w:r>
        <w:t>3.7%</w:t>
      </w:r>
      <w:r>
        <w:rPr>
          <w:spacing w:val="-12"/>
        </w:rPr>
        <w:t xml:space="preserve"> </w:t>
      </w:r>
      <w:r>
        <w:t>(17/461)</w:t>
      </w:r>
      <w:r>
        <w:rPr>
          <w:spacing w:val="-10"/>
        </w:rPr>
        <w:t xml:space="preserve"> </w:t>
      </w:r>
      <w:r>
        <w:t>of</w:t>
      </w:r>
      <w:r>
        <w:rPr>
          <w:spacing w:val="-13"/>
        </w:rPr>
        <w:t xml:space="preserve"> </w:t>
      </w:r>
      <w:r>
        <w:t>clascoterone-treated</w:t>
      </w:r>
      <w:r>
        <w:rPr>
          <w:spacing w:val="-10"/>
        </w:rPr>
        <w:t xml:space="preserve"> </w:t>
      </w:r>
      <w:r>
        <w:t>patients and 3.9 (4/103) of vehicle-treated patients ages ranging from 12 to 64.</w:t>
      </w:r>
    </w:p>
    <w:p w14:paraId="06ACE7D8" w14:textId="77777777" w:rsidR="00365624" w:rsidRDefault="002B025E">
      <w:pPr>
        <w:pStyle w:val="Heading4"/>
        <w:spacing w:before="122"/>
      </w:pPr>
      <w:r>
        <w:rPr>
          <w:spacing w:val="-6"/>
        </w:rPr>
        <w:t>Cardiac</w:t>
      </w:r>
      <w:r>
        <w:t xml:space="preserve"> </w:t>
      </w:r>
      <w:r>
        <w:rPr>
          <w:spacing w:val="-2"/>
        </w:rPr>
        <w:t>Electrophysiology</w:t>
      </w:r>
    </w:p>
    <w:p w14:paraId="06ACE7D9" w14:textId="77777777" w:rsidR="00365624" w:rsidRDefault="002B025E">
      <w:pPr>
        <w:pStyle w:val="BodyText"/>
        <w:spacing w:before="120" w:line="242" w:lineRule="auto"/>
        <w:ind w:right="643"/>
      </w:pPr>
      <w:r>
        <w:rPr>
          <w:spacing w:val="-2"/>
        </w:rPr>
        <w:t>At</w:t>
      </w:r>
      <w:r>
        <w:rPr>
          <w:spacing w:val="-4"/>
        </w:rPr>
        <w:t xml:space="preserve"> </w:t>
      </w:r>
      <w:r>
        <w:rPr>
          <w:spacing w:val="-2"/>
        </w:rPr>
        <w:t>approximately</w:t>
      </w:r>
      <w:r>
        <w:rPr>
          <w:spacing w:val="-4"/>
        </w:rPr>
        <w:t xml:space="preserve"> </w:t>
      </w:r>
      <w:r>
        <w:rPr>
          <w:spacing w:val="-2"/>
        </w:rPr>
        <w:t>2</w:t>
      </w:r>
      <w:r>
        <w:rPr>
          <w:spacing w:val="-6"/>
        </w:rPr>
        <w:t xml:space="preserve"> </w:t>
      </w:r>
      <w:r>
        <w:rPr>
          <w:spacing w:val="-2"/>
        </w:rPr>
        <w:t>times</w:t>
      </w:r>
      <w:r>
        <w:rPr>
          <w:spacing w:val="-7"/>
        </w:rPr>
        <w:t xml:space="preserve"> </w:t>
      </w:r>
      <w:r>
        <w:rPr>
          <w:spacing w:val="-2"/>
        </w:rPr>
        <w:t>the</w:t>
      </w:r>
      <w:r>
        <w:rPr>
          <w:spacing w:val="-7"/>
        </w:rPr>
        <w:t xml:space="preserve"> </w:t>
      </w:r>
      <w:r>
        <w:rPr>
          <w:spacing w:val="-2"/>
        </w:rPr>
        <w:t>systemic</w:t>
      </w:r>
      <w:r>
        <w:rPr>
          <w:spacing w:val="-4"/>
        </w:rPr>
        <w:t xml:space="preserve"> </w:t>
      </w:r>
      <w:r>
        <w:rPr>
          <w:spacing w:val="-2"/>
        </w:rPr>
        <w:t>exposure</w:t>
      </w:r>
      <w:r>
        <w:rPr>
          <w:spacing w:val="-3"/>
        </w:rPr>
        <w:t xml:space="preserve"> </w:t>
      </w:r>
      <w:r>
        <w:rPr>
          <w:spacing w:val="-2"/>
        </w:rPr>
        <w:t>observed</w:t>
      </w:r>
      <w:r>
        <w:rPr>
          <w:spacing w:val="-4"/>
        </w:rPr>
        <w:t xml:space="preserve"> </w:t>
      </w:r>
      <w:r>
        <w:rPr>
          <w:spacing w:val="-2"/>
        </w:rPr>
        <w:t>with</w:t>
      </w:r>
      <w:r>
        <w:rPr>
          <w:spacing w:val="-6"/>
        </w:rPr>
        <w:t xml:space="preserve"> </w:t>
      </w:r>
      <w:r>
        <w:rPr>
          <w:spacing w:val="-2"/>
        </w:rPr>
        <w:t>the</w:t>
      </w:r>
      <w:r>
        <w:rPr>
          <w:spacing w:val="-4"/>
        </w:rPr>
        <w:t xml:space="preserve"> </w:t>
      </w:r>
      <w:r>
        <w:rPr>
          <w:spacing w:val="-2"/>
        </w:rPr>
        <w:t>maximum</w:t>
      </w:r>
      <w:r>
        <w:rPr>
          <w:spacing w:val="-4"/>
        </w:rPr>
        <w:t xml:space="preserve"> </w:t>
      </w:r>
      <w:r>
        <w:rPr>
          <w:spacing w:val="-2"/>
        </w:rPr>
        <w:t>dose, WINLEVI</w:t>
      </w:r>
      <w:r>
        <w:rPr>
          <w:spacing w:val="-4"/>
        </w:rPr>
        <w:t xml:space="preserve"> </w:t>
      </w:r>
      <w:r>
        <w:rPr>
          <w:spacing w:val="-2"/>
        </w:rPr>
        <w:t>does</w:t>
      </w:r>
      <w:r>
        <w:rPr>
          <w:spacing w:val="-3"/>
        </w:rPr>
        <w:t xml:space="preserve"> </w:t>
      </w:r>
      <w:r>
        <w:rPr>
          <w:spacing w:val="-2"/>
        </w:rPr>
        <w:t>not prolong</w:t>
      </w:r>
      <w:r>
        <w:rPr>
          <w:spacing w:val="-4"/>
        </w:rPr>
        <w:t xml:space="preserve"> </w:t>
      </w:r>
      <w:r>
        <w:rPr>
          <w:spacing w:val="-2"/>
        </w:rPr>
        <w:t xml:space="preserve">the </w:t>
      </w:r>
      <w:r>
        <w:t>QT interval to any clinically relevant extent.</w:t>
      </w:r>
    </w:p>
    <w:p w14:paraId="06ACE7DA" w14:textId="77777777" w:rsidR="00365624" w:rsidRDefault="002B025E">
      <w:pPr>
        <w:pStyle w:val="Heading2"/>
        <w:spacing w:before="173"/>
      </w:pPr>
      <w:r>
        <w:t>Clinical</w:t>
      </w:r>
      <w:r>
        <w:rPr>
          <w:spacing w:val="-11"/>
        </w:rPr>
        <w:t xml:space="preserve"> </w:t>
      </w:r>
      <w:r>
        <w:rPr>
          <w:spacing w:val="-2"/>
        </w:rPr>
        <w:t>trials</w:t>
      </w:r>
    </w:p>
    <w:p w14:paraId="06ACE7DB" w14:textId="77777777" w:rsidR="00365624" w:rsidRDefault="002B025E">
      <w:pPr>
        <w:pStyle w:val="BodyText"/>
        <w:spacing w:before="78"/>
        <w:ind w:right="663"/>
        <w:jc w:val="both"/>
      </w:pPr>
      <w:r>
        <w:t>The</w:t>
      </w:r>
      <w:r>
        <w:rPr>
          <w:spacing w:val="-9"/>
        </w:rPr>
        <w:t xml:space="preserve"> </w:t>
      </w:r>
      <w:r>
        <w:t>safety</w:t>
      </w:r>
      <w:r>
        <w:rPr>
          <w:spacing w:val="-5"/>
        </w:rPr>
        <w:t xml:space="preserve"> </w:t>
      </w:r>
      <w:r>
        <w:t>and</w:t>
      </w:r>
      <w:r>
        <w:rPr>
          <w:spacing w:val="-6"/>
        </w:rPr>
        <w:t xml:space="preserve"> </w:t>
      </w:r>
      <w:r>
        <w:t>efficacy</w:t>
      </w:r>
      <w:r>
        <w:rPr>
          <w:spacing w:val="-6"/>
        </w:rPr>
        <w:t xml:space="preserve"> </w:t>
      </w:r>
      <w:r>
        <w:t>of</w:t>
      </w:r>
      <w:r>
        <w:rPr>
          <w:spacing w:val="-6"/>
        </w:rPr>
        <w:t xml:space="preserve"> </w:t>
      </w:r>
      <w:r>
        <w:t>WINLEVI,</w:t>
      </w:r>
      <w:r>
        <w:rPr>
          <w:spacing w:val="-5"/>
        </w:rPr>
        <w:t xml:space="preserve"> </w:t>
      </w:r>
      <w:r>
        <w:t>when</w:t>
      </w:r>
      <w:r>
        <w:rPr>
          <w:spacing w:val="-8"/>
        </w:rPr>
        <w:t xml:space="preserve"> </w:t>
      </w:r>
      <w:r>
        <w:t>applied</w:t>
      </w:r>
      <w:r>
        <w:rPr>
          <w:spacing w:val="-9"/>
        </w:rPr>
        <w:t xml:space="preserve"> </w:t>
      </w:r>
      <w:r>
        <w:t>twice</w:t>
      </w:r>
      <w:r>
        <w:rPr>
          <w:spacing w:val="-7"/>
        </w:rPr>
        <w:t xml:space="preserve"> </w:t>
      </w:r>
      <w:r>
        <w:t>daily</w:t>
      </w:r>
      <w:r>
        <w:rPr>
          <w:spacing w:val="-8"/>
        </w:rPr>
        <w:t xml:space="preserve"> </w:t>
      </w:r>
      <w:r>
        <w:t>for</w:t>
      </w:r>
      <w:r>
        <w:rPr>
          <w:spacing w:val="-7"/>
        </w:rPr>
        <w:t xml:space="preserve"> </w:t>
      </w:r>
      <w:r>
        <w:t>12</w:t>
      </w:r>
      <w:r>
        <w:rPr>
          <w:spacing w:val="-9"/>
        </w:rPr>
        <w:t xml:space="preserve"> </w:t>
      </w:r>
      <w:r>
        <w:t>weeks</w:t>
      </w:r>
      <w:r>
        <w:rPr>
          <w:spacing w:val="-5"/>
        </w:rPr>
        <w:t xml:space="preserve"> </w:t>
      </w:r>
      <w:r>
        <w:t>for</w:t>
      </w:r>
      <w:r>
        <w:rPr>
          <w:spacing w:val="-7"/>
        </w:rPr>
        <w:t xml:space="preserve"> </w:t>
      </w:r>
      <w:r>
        <w:t>the</w:t>
      </w:r>
      <w:r>
        <w:rPr>
          <w:spacing w:val="-9"/>
        </w:rPr>
        <w:t xml:space="preserve"> </w:t>
      </w:r>
      <w:r>
        <w:t>treatment</w:t>
      </w:r>
      <w:r>
        <w:rPr>
          <w:spacing w:val="-8"/>
        </w:rPr>
        <w:t xml:space="preserve"> </w:t>
      </w:r>
      <w:r>
        <w:t>of</w:t>
      </w:r>
      <w:r>
        <w:rPr>
          <w:spacing w:val="-6"/>
        </w:rPr>
        <w:t xml:space="preserve"> </w:t>
      </w:r>
      <w:r>
        <w:t>acne</w:t>
      </w:r>
      <w:r>
        <w:rPr>
          <w:spacing w:val="-9"/>
        </w:rPr>
        <w:t xml:space="preserve"> </w:t>
      </w:r>
      <w:r>
        <w:t>vulgaris,</w:t>
      </w:r>
      <w:r>
        <w:rPr>
          <w:spacing w:val="-5"/>
        </w:rPr>
        <w:t xml:space="preserve"> </w:t>
      </w:r>
      <w:r>
        <w:t>were assessed</w:t>
      </w:r>
      <w:r>
        <w:rPr>
          <w:spacing w:val="-1"/>
        </w:rPr>
        <w:t xml:space="preserve"> </w:t>
      </w:r>
      <w:r>
        <w:t>in two</w:t>
      </w:r>
      <w:r>
        <w:rPr>
          <w:spacing w:val="-2"/>
        </w:rPr>
        <w:t xml:space="preserve"> </w:t>
      </w:r>
      <w:proofErr w:type="gramStart"/>
      <w:r>
        <w:t>identically-designed</w:t>
      </w:r>
      <w:proofErr w:type="gramEnd"/>
      <w:r>
        <w:t>, multicentre, randomised, double-blind,</w:t>
      </w:r>
      <w:r>
        <w:rPr>
          <w:spacing w:val="-2"/>
        </w:rPr>
        <w:t xml:space="preserve"> </w:t>
      </w:r>
      <w:r>
        <w:t>vehicle-controlled clinical</w:t>
      </w:r>
      <w:r>
        <w:rPr>
          <w:spacing w:val="-1"/>
        </w:rPr>
        <w:t xml:space="preserve"> </w:t>
      </w:r>
      <w:r>
        <w:t xml:space="preserve">trials (Trial 1 and Trial 2) enrolling 1440 patients with facial acne vulgaris. The trials enrolled patients 9 years or older with Investigator’s Global Assessment (IGA) of moderate or severe facial acne vulgaris (score of 3 or 4), 30 to 75 inflammatory lesions (papules, </w:t>
      </w:r>
      <w:proofErr w:type="gramStart"/>
      <w:r>
        <w:t>pustules</w:t>
      </w:r>
      <w:proofErr w:type="gramEnd"/>
      <w:r>
        <w:t xml:space="preserve"> and nodules), and 30 to 100 non-inflammatory lesions (open and closed comedones). Patients with more than 2 facial nodules or nodulocystic acne were excluded.</w:t>
      </w:r>
    </w:p>
    <w:p w14:paraId="06ACE7DC" w14:textId="77777777" w:rsidR="00365624" w:rsidRDefault="002B025E">
      <w:pPr>
        <w:pStyle w:val="BodyText"/>
        <w:spacing w:before="123"/>
        <w:ind w:right="670"/>
        <w:jc w:val="both"/>
      </w:pPr>
      <w:r>
        <w:t>A total of 1421 patients 12 years and older with facial acne vulgaris were enrolled. The treatment groups in each study were well-balanced with similar demographic and baseline characteristics in the intent-to-treat (ITT) population, both</w:t>
      </w:r>
      <w:r>
        <w:rPr>
          <w:spacing w:val="-1"/>
        </w:rPr>
        <w:t xml:space="preserve"> </w:t>
      </w:r>
      <w:r>
        <w:t>within and between Trial 1 and Trial 2. Of these subjects, 641 (45%)</w:t>
      </w:r>
      <w:r>
        <w:rPr>
          <w:spacing w:val="-1"/>
        </w:rPr>
        <w:t xml:space="preserve"> </w:t>
      </w:r>
      <w:r>
        <w:t>were 12 to</w:t>
      </w:r>
      <w:r>
        <w:rPr>
          <w:spacing w:val="-1"/>
        </w:rPr>
        <w:t xml:space="preserve"> </w:t>
      </w:r>
      <w:r>
        <w:t>17 years</w:t>
      </w:r>
      <w:r>
        <w:rPr>
          <w:spacing w:val="-1"/>
        </w:rPr>
        <w:t xml:space="preserve"> </w:t>
      </w:r>
      <w:r>
        <w:t>of age,</w:t>
      </w:r>
    </w:p>
    <w:p w14:paraId="06ACE7DE" w14:textId="77777777" w:rsidR="00365624" w:rsidRDefault="002B025E">
      <w:pPr>
        <w:pStyle w:val="BodyText"/>
        <w:spacing w:before="15"/>
        <w:ind w:right="666"/>
        <w:jc w:val="both"/>
      </w:pPr>
      <w:r>
        <w:t>and 780 (55%) were 18 years of age or older. In addition, 62% of the patients were female, and 91% were Caucasian. At baseline, patients had a mean inflammatory lesion count of 42.4 and a mean non-inflammatory lesion count of 61.4. Additionally, approximately 83% of patients had an IGA score of 3 (“moderate”).</w:t>
      </w:r>
    </w:p>
    <w:p w14:paraId="06ACE7DF" w14:textId="77777777" w:rsidR="00365624" w:rsidRDefault="002B025E">
      <w:pPr>
        <w:pStyle w:val="BodyText"/>
        <w:spacing w:before="80"/>
        <w:ind w:right="661"/>
        <w:jc w:val="both"/>
      </w:pPr>
      <w:r>
        <w:t>Primary and secondary efficacy endpoints were assessed at Week 12. Co-primary efficacy endpoints included proportion</w:t>
      </w:r>
      <w:r>
        <w:rPr>
          <w:spacing w:val="-6"/>
        </w:rPr>
        <w:t xml:space="preserve"> </w:t>
      </w:r>
      <w:r>
        <w:t>of</w:t>
      </w:r>
      <w:r>
        <w:rPr>
          <w:spacing w:val="-7"/>
        </w:rPr>
        <w:t xml:space="preserve"> </w:t>
      </w:r>
      <w:r>
        <w:t>patients</w:t>
      </w:r>
      <w:r>
        <w:rPr>
          <w:spacing w:val="-7"/>
        </w:rPr>
        <w:t xml:space="preserve"> </w:t>
      </w:r>
      <w:r>
        <w:t>in</w:t>
      </w:r>
      <w:r>
        <w:rPr>
          <w:spacing w:val="-7"/>
        </w:rPr>
        <w:t xml:space="preserve"> </w:t>
      </w:r>
      <w:r>
        <w:t>each</w:t>
      </w:r>
      <w:r>
        <w:rPr>
          <w:spacing w:val="-7"/>
        </w:rPr>
        <w:t xml:space="preserve"> </w:t>
      </w:r>
      <w:r>
        <w:t>treatment</w:t>
      </w:r>
      <w:r>
        <w:rPr>
          <w:spacing w:val="-5"/>
        </w:rPr>
        <w:t xml:space="preserve"> </w:t>
      </w:r>
      <w:r>
        <w:t>group</w:t>
      </w:r>
      <w:r>
        <w:rPr>
          <w:spacing w:val="-7"/>
        </w:rPr>
        <w:t xml:space="preserve"> </w:t>
      </w:r>
      <w:r>
        <w:t>with</w:t>
      </w:r>
      <w:r>
        <w:rPr>
          <w:spacing w:val="-6"/>
        </w:rPr>
        <w:t xml:space="preserve"> </w:t>
      </w:r>
      <w:r>
        <w:t>at</w:t>
      </w:r>
      <w:r>
        <w:rPr>
          <w:spacing w:val="-5"/>
        </w:rPr>
        <w:t xml:space="preserve"> </w:t>
      </w:r>
      <w:r>
        <w:t>least</w:t>
      </w:r>
      <w:r>
        <w:rPr>
          <w:spacing w:val="-6"/>
        </w:rPr>
        <w:t xml:space="preserve"> </w:t>
      </w:r>
      <w:r>
        <w:t>a</w:t>
      </w:r>
      <w:r>
        <w:rPr>
          <w:spacing w:val="-7"/>
        </w:rPr>
        <w:t xml:space="preserve"> </w:t>
      </w:r>
      <w:r>
        <w:t>2-point</w:t>
      </w:r>
      <w:r>
        <w:rPr>
          <w:spacing w:val="-6"/>
        </w:rPr>
        <w:t xml:space="preserve"> </w:t>
      </w:r>
      <w:r>
        <w:t>reduction</w:t>
      </w:r>
      <w:r>
        <w:rPr>
          <w:spacing w:val="-7"/>
        </w:rPr>
        <w:t xml:space="preserve"> </w:t>
      </w:r>
      <w:r>
        <w:t>in</w:t>
      </w:r>
      <w:r>
        <w:rPr>
          <w:spacing w:val="-7"/>
        </w:rPr>
        <w:t xml:space="preserve"> </w:t>
      </w:r>
      <w:r>
        <w:t>IGA</w:t>
      </w:r>
      <w:r>
        <w:rPr>
          <w:spacing w:val="-7"/>
        </w:rPr>
        <w:t xml:space="preserve"> </w:t>
      </w:r>
      <w:r>
        <w:t>compared</w:t>
      </w:r>
      <w:r>
        <w:rPr>
          <w:spacing w:val="-7"/>
        </w:rPr>
        <w:t xml:space="preserve"> </w:t>
      </w:r>
      <w:r>
        <w:t>to</w:t>
      </w:r>
      <w:r>
        <w:rPr>
          <w:spacing w:val="-7"/>
        </w:rPr>
        <w:t xml:space="preserve"> </w:t>
      </w:r>
      <w:r>
        <w:t>baseline</w:t>
      </w:r>
      <w:r>
        <w:rPr>
          <w:spacing w:val="-7"/>
        </w:rPr>
        <w:t xml:space="preserve"> </w:t>
      </w:r>
      <w:r>
        <w:t>and</w:t>
      </w:r>
      <w:r>
        <w:rPr>
          <w:spacing w:val="-7"/>
        </w:rPr>
        <w:t xml:space="preserve"> </w:t>
      </w:r>
      <w:r>
        <w:t>an IGA score of 0 (clear) or 1 (almost clear) and absolute change from baseline in non-inflammatory lesion count (NILC) and inflammatory lesion count (ILC). Secondary efficacy endpoints included absolute and percent change from baseline in total lesion count (TLC</w:t>
      </w:r>
      <w:proofErr w:type="gramStart"/>
      <w:r>
        <w:t>);</w:t>
      </w:r>
      <w:proofErr w:type="gramEnd"/>
      <w:r>
        <w:t xml:space="preserve"> percent change from baseline in non-inflammatory and inflammatory lesion count. The IGA success rate and mean absolute and percent reduction from baseline in acne lesion count after 12 weeks of treatment, for subjects 12 years of age and older, are presented in the following table.</w:t>
      </w:r>
    </w:p>
    <w:p w14:paraId="06ACE7E0" w14:textId="77777777" w:rsidR="00365624" w:rsidRDefault="002B025E" w:rsidP="008B5AF3">
      <w:pPr>
        <w:pStyle w:val="Heading3"/>
        <w:pageBreakBefore/>
        <w:spacing w:before="120"/>
        <w:ind w:left="261"/>
        <w:jc w:val="both"/>
      </w:pPr>
      <w:r>
        <w:rPr>
          <w:spacing w:val="-4"/>
        </w:rPr>
        <w:lastRenderedPageBreak/>
        <w:t>Table</w:t>
      </w:r>
      <w:r>
        <w:rPr>
          <w:spacing w:val="-10"/>
        </w:rPr>
        <w:t xml:space="preserve"> </w:t>
      </w:r>
      <w:r>
        <w:rPr>
          <w:spacing w:val="-4"/>
        </w:rPr>
        <w:t>2.</w:t>
      </w:r>
      <w:r>
        <w:rPr>
          <w:spacing w:val="-9"/>
        </w:rPr>
        <w:t xml:space="preserve"> </w:t>
      </w:r>
      <w:r>
        <w:rPr>
          <w:spacing w:val="-4"/>
        </w:rPr>
        <w:t>Clinical</w:t>
      </w:r>
      <w:r>
        <w:rPr>
          <w:spacing w:val="-9"/>
        </w:rPr>
        <w:t xml:space="preserve"> </w:t>
      </w:r>
      <w:r>
        <w:rPr>
          <w:spacing w:val="-4"/>
        </w:rPr>
        <w:t>Efficacy</w:t>
      </w:r>
      <w:r>
        <w:rPr>
          <w:spacing w:val="-8"/>
        </w:rPr>
        <w:t xml:space="preserve"> </w:t>
      </w:r>
      <w:r>
        <w:rPr>
          <w:spacing w:val="-4"/>
        </w:rPr>
        <w:t>of</w:t>
      </w:r>
      <w:r>
        <w:rPr>
          <w:spacing w:val="-10"/>
        </w:rPr>
        <w:t xml:space="preserve"> </w:t>
      </w:r>
      <w:r>
        <w:rPr>
          <w:spacing w:val="-4"/>
        </w:rPr>
        <w:t>WINLEVI</w:t>
      </w:r>
      <w:r>
        <w:rPr>
          <w:spacing w:val="-9"/>
        </w:rPr>
        <w:t xml:space="preserve"> </w:t>
      </w:r>
      <w:r>
        <w:rPr>
          <w:spacing w:val="-4"/>
        </w:rPr>
        <w:t>in</w:t>
      </w:r>
      <w:r>
        <w:rPr>
          <w:spacing w:val="-8"/>
        </w:rPr>
        <w:t xml:space="preserve"> </w:t>
      </w:r>
      <w:r>
        <w:rPr>
          <w:spacing w:val="-4"/>
        </w:rPr>
        <w:t>subjects</w:t>
      </w:r>
      <w:r>
        <w:rPr>
          <w:spacing w:val="-9"/>
        </w:rPr>
        <w:t xml:space="preserve"> </w:t>
      </w:r>
      <w:r>
        <w:rPr>
          <w:spacing w:val="-4"/>
        </w:rPr>
        <w:t>with</w:t>
      </w:r>
      <w:r>
        <w:rPr>
          <w:spacing w:val="-8"/>
        </w:rPr>
        <w:t xml:space="preserve"> </w:t>
      </w:r>
      <w:r>
        <w:rPr>
          <w:spacing w:val="-4"/>
        </w:rPr>
        <w:t>Acne</w:t>
      </w:r>
      <w:r>
        <w:rPr>
          <w:spacing w:val="-9"/>
        </w:rPr>
        <w:t xml:space="preserve"> </w:t>
      </w:r>
      <w:r>
        <w:rPr>
          <w:spacing w:val="-4"/>
        </w:rPr>
        <w:t>Vulgaris</w:t>
      </w:r>
      <w:r>
        <w:rPr>
          <w:spacing w:val="-8"/>
        </w:rPr>
        <w:t xml:space="preserve"> </w:t>
      </w:r>
      <w:r>
        <w:rPr>
          <w:spacing w:val="-4"/>
        </w:rPr>
        <w:t>at</w:t>
      </w:r>
      <w:r>
        <w:rPr>
          <w:spacing w:val="-5"/>
        </w:rPr>
        <w:t xml:space="preserve"> </w:t>
      </w:r>
      <w:r>
        <w:rPr>
          <w:spacing w:val="-4"/>
        </w:rPr>
        <w:t>Week</w:t>
      </w:r>
      <w:r>
        <w:rPr>
          <w:spacing w:val="-9"/>
        </w:rPr>
        <w:t xml:space="preserve"> </w:t>
      </w:r>
      <w:r>
        <w:rPr>
          <w:spacing w:val="-5"/>
        </w:rPr>
        <w:t>12</w:t>
      </w:r>
    </w:p>
    <w:p w14:paraId="06ACE7E1" w14:textId="77777777" w:rsidR="00365624" w:rsidRDefault="00365624">
      <w:pPr>
        <w:pStyle w:val="BodyText"/>
        <w:spacing w:before="3"/>
        <w:ind w:left="0"/>
        <w:rPr>
          <w:b/>
          <w:sz w:val="5"/>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1950"/>
        <w:gridCol w:w="1046"/>
        <w:gridCol w:w="1545"/>
        <w:gridCol w:w="1464"/>
      </w:tblGrid>
      <w:tr w:rsidR="00365624" w14:paraId="06ACE7E5" w14:textId="77777777">
        <w:trPr>
          <w:trHeight w:val="135"/>
        </w:trPr>
        <w:tc>
          <w:tcPr>
            <w:tcW w:w="3020" w:type="dxa"/>
            <w:tcBorders>
              <w:left w:val="nil"/>
              <w:right w:val="nil"/>
            </w:tcBorders>
          </w:tcPr>
          <w:p w14:paraId="06ACE7E2" w14:textId="77777777" w:rsidR="00365624" w:rsidRDefault="00365624">
            <w:pPr>
              <w:pStyle w:val="TableParagraph"/>
              <w:spacing w:before="0"/>
              <w:rPr>
                <w:rFonts w:ascii="Times New Roman"/>
                <w:sz w:val="8"/>
              </w:rPr>
            </w:pPr>
          </w:p>
        </w:tc>
        <w:tc>
          <w:tcPr>
            <w:tcW w:w="2996" w:type="dxa"/>
            <w:gridSpan w:val="2"/>
            <w:tcBorders>
              <w:left w:val="nil"/>
              <w:right w:val="nil"/>
            </w:tcBorders>
          </w:tcPr>
          <w:p w14:paraId="06ACE7E3" w14:textId="77777777" w:rsidR="00365624" w:rsidRDefault="00365624">
            <w:pPr>
              <w:pStyle w:val="TableParagraph"/>
              <w:spacing w:before="0"/>
              <w:rPr>
                <w:rFonts w:ascii="Times New Roman"/>
                <w:sz w:val="8"/>
              </w:rPr>
            </w:pPr>
          </w:p>
        </w:tc>
        <w:tc>
          <w:tcPr>
            <w:tcW w:w="3009" w:type="dxa"/>
            <w:gridSpan w:val="2"/>
            <w:tcBorders>
              <w:left w:val="nil"/>
              <w:right w:val="nil"/>
            </w:tcBorders>
          </w:tcPr>
          <w:p w14:paraId="06ACE7E4" w14:textId="77777777" w:rsidR="00365624" w:rsidRDefault="00365624">
            <w:pPr>
              <w:pStyle w:val="TableParagraph"/>
              <w:spacing w:before="0"/>
              <w:rPr>
                <w:rFonts w:ascii="Times New Roman"/>
                <w:sz w:val="8"/>
              </w:rPr>
            </w:pPr>
          </w:p>
        </w:tc>
      </w:tr>
      <w:tr w:rsidR="00365624" w14:paraId="06ACE7E9" w14:textId="77777777">
        <w:trPr>
          <w:trHeight w:val="390"/>
        </w:trPr>
        <w:tc>
          <w:tcPr>
            <w:tcW w:w="3020" w:type="dxa"/>
            <w:vMerge w:val="restart"/>
          </w:tcPr>
          <w:p w14:paraId="06ACE7E6" w14:textId="77777777" w:rsidR="00365624" w:rsidRDefault="00365624">
            <w:pPr>
              <w:pStyle w:val="TableParagraph"/>
              <w:spacing w:before="0"/>
              <w:rPr>
                <w:rFonts w:ascii="Times New Roman"/>
                <w:sz w:val="20"/>
              </w:rPr>
            </w:pPr>
          </w:p>
        </w:tc>
        <w:tc>
          <w:tcPr>
            <w:tcW w:w="2996" w:type="dxa"/>
            <w:gridSpan w:val="2"/>
          </w:tcPr>
          <w:p w14:paraId="06ACE7E7" w14:textId="77777777" w:rsidR="00365624" w:rsidRDefault="002B025E">
            <w:pPr>
              <w:pStyle w:val="TableParagraph"/>
              <w:spacing w:before="21"/>
              <w:ind w:left="70" w:right="3"/>
              <w:jc w:val="center"/>
              <w:rPr>
                <w:b/>
              </w:rPr>
            </w:pPr>
            <w:r>
              <w:rPr>
                <w:b/>
                <w:spacing w:val="-4"/>
              </w:rPr>
              <w:t>Trial</w:t>
            </w:r>
            <w:r>
              <w:rPr>
                <w:b/>
                <w:spacing w:val="-5"/>
              </w:rPr>
              <w:t xml:space="preserve"> </w:t>
            </w:r>
            <w:r>
              <w:rPr>
                <w:b/>
                <w:spacing w:val="-10"/>
              </w:rPr>
              <w:t>1</w:t>
            </w:r>
          </w:p>
        </w:tc>
        <w:tc>
          <w:tcPr>
            <w:tcW w:w="3009" w:type="dxa"/>
            <w:gridSpan w:val="2"/>
          </w:tcPr>
          <w:p w14:paraId="06ACE7E8" w14:textId="77777777" w:rsidR="00365624" w:rsidRDefault="002B025E">
            <w:pPr>
              <w:pStyle w:val="TableParagraph"/>
              <w:spacing w:before="21"/>
              <w:ind w:left="77"/>
              <w:jc w:val="center"/>
              <w:rPr>
                <w:b/>
              </w:rPr>
            </w:pPr>
            <w:r>
              <w:rPr>
                <w:b/>
                <w:spacing w:val="-4"/>
              </w:rPr>
              <w:t>Trial</w:t>
            </w:r>
            <w:r>
              <w:rPr>
                <w:b/>
                <w:spacing w:val="-5"/>
              </w:rPr>
              <w:t xml:space="preserve"> </w:t>
            </w:r>
            <w:r>
              <w:rPr>
                <w:b/>
                <w:spacing w:val="-10"/>
              </w:rPr>
              <w:t>2</w:t>
            </w:r>
          </w:p>
        </w:tc>
      </w:tr>
      <w:tr w:rsidR="00365624" w14:paraId="06ACE7F3" w14:textId="77777777">
        <w:trPr>
          <w:trHeight w:val="763"/>
        </w:trPr>
        <w:tc>
          <w:tcPr>
            <w:tcW w:w="3020" w:type="dxa"/>
            <w:vMerge/>
            <w:tcBorders>
              <w:top w:val="nil"/>
            </w:tcBorders>
          </w:tcPr>
          <w:p w14:paraId="06ACE7EA" w14:textId="77777777" w:rsidR="00365624" w:rsidRDefault="00365624">
            <w:pPr>
              <w:rPr>
                <w:sz w:val="2"/>
                <w:szCs w:val="2"/>
              </w:rPr>
            </w:pPr>
          </w:p>
        </w:tc>
        <w:tc>
          <w:tcPr>
            <w:tcW w:w="1950" w:type="dxa"/>
            <w:tcBorders>
              <w:right w:val="nil"/>
            </w:tcBorders>
          </w:tcPr>
          <w:p w14:paraId="06ACE7EB" w14:textId="77777777" w:rsidR="00365624" w:rsidRDefault="002B025E">
            <w:pPr>
              <w:pStyle w:val="TableParagraph"/>
              <w:spacing w:before="18"/>
              <w:ind w:left="381"/>
              <w:rPr>
                <w:b/>
              </w:rPr>
            </w:pPr>
            <w:r>
              <w:rPr>
                <w:b/>
                <w:spacing w:val="-2"/>
              </w:rPr>
              <w:t>WINLEVI</w:t>
            </w:r>
          </w:p>
          <w:p w14:paraId="06ACE7EC" w14:textId="77777777" w:rsidR="00365624" w:rsidRDefault="002B025E">
            <w:pPr>
              <w:pStyle w:val="TableParagraph"/>
              <w:spacing w:before="119"/>
              <w:ind w:left="489"/>
              <w:rPr>
                <w:b/>
              </w:rPr>
            </w:pPr>
            <w:r>
              <w:rPr>
                <w:b/>
                <w:spacing w:val="-2"/>
              </w:rPr>
              <w:t>N=342</w:t>
            </w:r>
          </w:p>
        </w:tc>
        <w:tc>
          <w:tcPr>
            <w:tcW w:w="1046" w:type="dxa"/>
            <w:tcBorders>
              <w:left w:val="nil"/>
            </w:tcBorders>
          </w:tcPr>
          <w:p w14:paraId="06ACE7ED" w14:textId="77777777" w:rsidR="00365624" w:rsidRDefault="002B025E">
            <w:pPr>
              <w:pStyle w:val="TableParagraph"/>
              <w:spacing w:before="18"/>
              <w:rPr>
                <w:b/>
              </w:rPr>
            </w:pPr>
            <w:r>
              <w:rPr>
                <w:b/>
                <w:spacing w:val="-2"/>
              </w:rPr>
              <w:t>Vehicle</w:t>
            </w:r>
          </w:p>
          <w:p w14:paraId="06ACE7EE" w14:textId="77777777" w:rsidR="00365624" w:rsidRDefault="002B025E">
            <w:pPr>
              <w:pStyle w:val="TableParagraph"/>
              <w:spacing w:before="119"/>
              <w:ind w:left="48"/>
              <w:rPr>
                <w:b/>
              </w:rPr>
            </w:pPr>
            <w:r>
              <w:rPr>
                <w:b/>
                <w:spacing w:val="-2"/>
              </w:rPr>
              <w:t>N=350</w:t>
            </w:r>
          </w:p>
        </w:tc>
        <w:tc>
          <w:tcPr>
            <w:tcW w:w="1545" w:type="dxa"/>
            <w:tcBorders>
              <w:right w:val="nil"/>
            </w:tcBorders>
          </w:tcPr>
          <w:p w14:paraId="06ACE7EF" w14:textId="77777777" w:rsidR="00365624" w:rsidRDefault="002B025E">
            <w:pPr>
              <w:pStyle w:val="TableParagraph"/>
              <w:spacing w:before="18"/>
              <w:ind w:left="392"/>
              <w:rPr>
                <w:b/>
              </w:rPr>
            </w:pPr>
            <w:r>
              <w:rPr>
                <w:b/>
                <w:spacing w:val="-2"/>
              </w:rPr>
              <w:t>WINLEVI</w:t>
            </w:r>
          </w:p>
          <w:p w14:paraId="06ACE7F0" w14:textId="77777777" w:rsidR="00365624" w:rsidRDefault="002B025E">
            <w:pPr>
              <w:pStyle w:val="TableParagraph"/>
              <w:spacing w:before="119"/>
              <w:ind w:left="499"/>
              <w:rPr>
                <w:b/>
              </w:rPr>
            </w:pPr>
            <w:r>
              <w:rPr>
                <w:b/>
                <w:spacing w:val="-2"/>
              </w:rPr>
              <w:t>N=367</w:t>
            </w:r>
          </w:p>
        </w:tc>
        <w:tc>
          <w:tcPr>
            <w:tcW w:w="1464" w:type="dxa"/>
            <w:tcBorders>
              <w:left w:val="nil"/>
            </w:tcBorders>
          </w:tcPr>
          <w:p w14:paraId="06ACE7F1" w14:textId="77777777" w:rsidR="00365624" w:rsidRDefault="002B025E">
            <w:pPr>
              <w:pStyle w:val="TableParagraph"/>
              <w:spacing w:before="18"/>
              <w:ind w:left="416"/>
              <w:rPr>
                <w:b/>
              </w:rPr>
            </w:pPr>
            <w:r>
              <w:rPr>
                <w:b/>
                <w:spacing w:val="-2"/>
              </w:rPr>
              <w:t>Vehicle</w:t>
            </w:r>
          </w:p>
          <w:p w14:paraId="06ACE7F2" w14:textId="77777777" w:rsidR="00365624" w:rsidRDefault="002B025E">
            <w:pPr>
              <w:pStyle w:val="TableParagraph"/>
              <w:spacing w:before="119"/>
              <w:ind w:left="464"/>
              <w:rPr>
                <w:b/>
              </w:rPr>
            </w:pPr>
            <w:r>
              <w:rPr>
                <w:b/>
                <w:spacing w:val="-2"/>
              </w:rPr>
              <w:t>N=362</w:t>
            </w:r>
          </w:p>
        </w:tc>
      </w:tr>
      <w:tr w:rsidR="00365624" w14:paraId="06ACE7FC" w14:textId="77777777">
        <w:trPr>
          <w:trHeight w:val="1134"/>
        </w:trPr>
        <w:tc>
          <w:tcPr>
            <w:tcW w:w="3020" w:type="dxa"/>
          </w:tcPr>
          <w:p w14:paraId="06ACE7F4" w14:textId="77777777" w:rsidR="00365624" w:rsidRDefault="002B025E">
            <w:pPr>
              <w:pStyle w:val="TableParagraph"/>
              <w:spacing w:before="19"/>
              <w:ind w:left="127"/>
              <w:rPr>
                <w:b/>
                <w:sz w:val="14"/>
              </w:rPr>
            </w:pPr>
            <w:r>
              <w:rPr>
                <w:b/>
                <w:spacing w:val="-5"/>
              </w:rPr>
              <w:t>IGA</w:t>
            </w:r>
            <w:r>
              <w:rPr>
                <w:b/>
                <w:spacing w:val="-8"/>
              </w:rPr>
              <w:t xml:space="preserve"> </w:t>
            </w:r>
            <w:r>
              <w:rPr>
                <w:b/>
                <w:spacing w:val="-2"/>
              </w:rPr>
              <w:t>Success</w:t>
            </w:r>
            <w:r>
              <w:rPr>
                <w:b/>
                <w:spacing w:val="-2"/>
                <w:position w:val="6"/>
                <w:sz w:val="14"/>
              </w:rPr>
              <w:t>a</w:t>
            </w:r>
          </w:p>
          <w:p w14:paraId="06ACE7F5" w14:textId="77777777" w:rsidR="00365624" w:rsidRDefault="002B025E">
            <w:pPr>
              <w:pStyle w:val="TableParagraph"/>
              <w:spacing w:before="6" w:line="370" w:lineRule="atLeast"/>
              <w:ind w:left="331" w:right="902"/>
              <w:rPr>
                <w:i/>
              </w:rPr>
            </w:pPr>
            <w:r>
              <w:rPr>
                <w:i/>
                <w:spacing w:val="-4"/>
              </w:rPr>
              <w:t>Difference</w:t>
            </w:r>
            <w:r>
              <w:rPr>
                <w:i/>
                <w:spacing w:val="-19"/>
              </w:rPr>
              <w:t xml:space="preserve"> </w:t>
            </w:r>
            <w:r>
              <w:rPr>
                <w:i/>
                <w:spacing w:val="-4"/>
              </w:rPr>
              <w:t>from</w:t>
            </w:r>
            <w:r>
              <w:rPr>
                <w:i/>
                <w:spacing w:val="-16"/>
              </w:rPr>
              <w:t xml:space="preserve"> </w:t>
            </w:r>
            <w:r>
              <w:rPr>
                <w:i/>
                <w:spacing w:val="-4"/>
              </w:rPr>
              <w:t xml:space="preserve">Vehicle </w:t>
            </w:r>
            <w:r>
              <w:rPr>
                <w:i/>
              </w:rPr>
              <w:t>(95%</w:t>
            </w:r>
            <w:r>
              <w:rPr>
                <w:i/>
                <w:spacing w:val="-7"/>
              </w:rPr>
              <w:t xml:space="preserve"> </w:t>
            </w:r>
            <w:r>
              <w:rPr>
                <w:i/>
              </w:rPr>
              <w:t>CI)</w:t>
            </w:r>
          </w:p>
        </w:tc>
        <w:tc>
          <w:tcPr>
            <w:tcW w:w="2996" w:type="dxa"/>
            <w:gridSpan w:val="2"/>
          </w:tcPr>
          <w:p w14:paraId="06ACE7F6" w14:textId="77777777" w:rsidR="00365624" w:rsidRDefault="002B025E">
            <w:pPr>
              <w:pStyle w:val="TableParagraph"/>
              <w:tabs>
                <w:tab w:val="left" w:pos="1615"/>
              </w:tabs>
              <w:spacing w:before="19"/>
              <w:ind w:right="3"/>
              <w:jc w:val="center"/>
            </w:pPr>
            <w:r>
              <w:rPr>
                <w:spacing w:val="-2"/>
              </w:rPr>
              <w:t>18.8%</w:t>
            </w:r>
            <w:r>
              <w:tab/>
            </w:r>
            <w:r>
              <w:rPr>
                <w:spacing w:val="-4"/>
              </w:rPr>
              <w:t>8.7%</w:t>
            </w:r>
          </w:p>
          <w:p w14:paraId="06ACE7F7" w14:textId="77777777" w:rsidR="00365624" w:rsidRDefault="002B025E">
            <w:pPr>
              <w:pStyle w:val="TableParagraph"/>
              <w:spacing w:before="120"/>
              <w:ind w:left="67" w:right="192"/>
              <w:jc w:val="center"/>
            </w:pPr>
            <w:r>
              <w:rPr>
                <w:spacing w:val="-2"/>
              </w:rPr>
              <w:t>10.1%</w:t>
            </w:r>
          </w:p>
          <w:p w14:paraId="06ACE7F8" w14:textId="77777777" w:rsidR="00365624" w:rsidRDefault="002B025E">
            <w:pPr>
              <w:pStyle w:val="TableParagraph"/>
              <w:spacing w:before="119"/>
              <w:ind w:left="3"/>
              <w:jc w:val="center"/>
            </w:pPr>
            <w:r>
              <w:rPr>
                <w:spacing w:val="-5"/>
              </w:rPr>
              <w:t xml:space="preserve">(4.1%, </w:t>
            </w:r>
            <w:r>
              <w:rPr>
                <w:spacing w:val="-2"/>
              </w:rPr>
              <w:t>16.0%)</w:t>
            </w:r>
          </w:p>
        </w:tc>
        <w:tc>
          <w:tcPr>
            <w:tcW w:w="3009" w:type="dxa"/>
            <w:gridSpan w:val="2"/>
          </w:tcPr>
          <w:p w14:paraId="06ACE7F9" w14:textId="77777777" w:rsidR="00365624" w:rsidRDefault="002B025E">
            <w:pPr>
              <w:pStyle w:val="TableParagraph"/>
              <w:tabs>
                <w:tab w:val="left" w:pos="1604"/>
              </w:tabs>
              <w:spacing w:before="19"/>
              <w:ind w:left="40"/>
              <w:jc w:val="center"/>
            </w:pPr>
            <w:r>
              <w:rPr>
                <w:spacing w:val="-2"/>
              </w:rPr>
              <w:t>20.9%</w:t>
            </w:r>
            <w:r>
              <w:tab/>
            </w:r>
            <w:r>
              <w:rPr>
                <w:spacing w:val="-4"/>
              </w:rPr>
              <w:t>6.6%</w:t>
            </w:r>
          </w:p>
          <w:p w14:paraId="06ACE7FA" w14:textId="77777777" w:rsidR="00365624" w:rsidRDefault="002B025E">
            <w:pPr>
              <w:pStyle w:val="TableParagraph"/>
              <w:spacing w:before="120"/>
              <w:ind w:left="75"/>
              <w:jc w:val="center"/>
            </w:pPr>
            <w:r>
              <w:rPr>
                <w:spacing w:val="-2"/>
              </w:rPr>
              <w:t>14.3%</w:t>
            </w:r>
          </w:p>
          <w:p w14:paraId="06ACE7FB" w14:textId="77777777" w:rsidR="00365624" w:rsidRDefault="002B025E">
            <w:pPr>
              <w:pStyle w:val="TableParagraph"/>
              <w:spacing w:before="119"/>
              <w:ind w:left="107"/>
              <w:jc w:val="center"/>
            </w:pPr>
            <w:r>
              <w:rPr>
                <w:spacing w:val="-5"/>
              </w:rPr>
              <w:t xml:space="preserve">(8.9%, </w:t>
            </w:r>
            <w:r>
              <w:rPr>
                <w:spacing w:val="-2"/>
              </w:rPr>
              <w:t>19.7%)</w:t>
            </w:r>
          </w:p>
        </w:tc>
      </w:tr>
      <w:tr w:rsidR="00365624" w14:paraId="06ACE801" w14:textId="77777777">
        <w:trPr>
          <w:trHeight w:val="331"/>
        </w:trPr>
        <w:tc>
          <w:tcPr>
            <w:tcW w:w="3020" w:type="dxa"/>
            <w:tcBorders>
              <w:bottom w:val="nil"/>
            </w:tcBorders>
          </w:tcPr>
          <w:p w14:paraId="06ACE7FD" w14:textId="77777777" w:rsidR="00365624" w:rsidRDefault="002B025E">
            <w:pPr>
              <w:pStyle w:val="TableParagraph"/>
              <w:spacing w:before="20"/>
              <w:ind w:left="127"/>
              <w:rPr>
                <w:b/>
              </w:rPr>
            </w:pPr>
            <w:r>
              <w:rPr>
                <w:b/>
                <w:spacing w:val="-6"/>
              </w:rPr>
              <w:t>Non-inflammatory</w:t>
            </w:r>
            <w:r>
              <w:rPr>
                <w:b/>
                <w:spacing w:val="2"/>
              </w:rPr>
              <w:t xml:space="preserve"> </w:t>
            </w:r>
            <w:r>
              <w:rPr>
                <w:b/>
                <w:spacing w:val="-6"/>
              </w:rPr>
              <w:t>Lesions</w:t>
            </w:r>
          </w:p>
        </w:tc>
        <w:tc>
          <w:tcPr>
            <w:tcW w:w="1950" w:type="dxa"/>
            <w:tcBorders>
              <w:bottom w:val="nil"/>
              <w:right w:val="nil"/>
            </w:tcBorders>
          </w:tcPr>
          <w:p w14:paraId="06ACE7FE" w14:textId="77777777" w:rsidR="00365624" w:rsidRDefault="00365624">
            <w:pPr>
              <w:pStyle w:val="TableParagraph"/>
              <w:spacing w:before="0"/>
              <w:rPr>
                <w:rFonts w:ascii="Times New Roman"/>
                <w:sz w:val="20"/>
              </w:rPr>
            </w:pPr>
          </w:p>
        </w:tc>
        <w:tc>
          <w:tcPr>
            <w:tcW w:w="1046" w:type="dxa"/>
            <w:tcBorders>
              <w:left w:val="nil"/>
              <w:bottom w:val="nil"/>
            </w:tcBorders>
          </w:tcPr>
          <w:p w14:paraId="06ACE7FF" w14:textId="77777777" w:rsidR="00365624" w:rsidRDefault="00365624">
            <w:pPr>
              <w:pStyle w:val="TableParagraph"/>
              <w:spacing w:before="0"/>
              <w:rPr>
                <w:rFonts w:ascii="Times New Roman"/>
                <w:sz w:val="20"/>
              </w:rPr>
            </w:pPr>
          </w:p>
        </w:tc>
        <w:tc>
          <w:tcPr>
            <w:tcW w:w="3009" w:type="dxa"/>
            <w:gridSpan w:val="2"/>
            <w:tcBorders>
              <w:bottom w:val="nil"/>
            </w:tcBorders>
          </w:tcPr>
          <w:p w14:paraId="06ACE800" w14:textId="77777777" w:rsidR="00365624" w:rsidRDefault="00365624">
            <w:pPr>
              <w:pStyle w:val="TableParagraph"/>
              <w:spacing w:before="0"/>
              <w:rPr>
                <w:rFonts w:ascii="Times New Roman"/>
                <w:sz w:val="20"/>
              </w:rPr>
            </w:pPr>
          </w:p>
        </w:tc>
      </w:tr>
      <w:tr w:rsidR="00365624" w14:paraId="06ACE806" w14:textId="77777777">
        <w:trPr>
          <w:trHeight w:val="370"/>
        </w:trPr>
        <w:tc>
          <w:tcPr>
            <w:tcW w:w="3020" w:type="dxa"/>
            <w:tcBorders>
              <w:top w:val="nil"/>
              <w:bottom w:val="nil"/>
            </w:tcBorders>
          </w:tcPr>
          <w:p w14:paraId="06ACE802" w14:textId="77777777" w:rsidR="00365624" w:rsidRDefault="002B025E">
            <w:pPr>
              <w:pStyle w:val="TableParagraph"/>
              <w:ind w:left="127"/>
            </w:pPr>
            <w:r>
              <w:rPr>
                <w:spacing w:val="-6"/>
              </w:rPr>
              <w:t>Mean</w:t>
            </w:r>
            <w:r>
              <w:rPr>
                <w:spacing w:val="-1"/>
              </w:rPr>
              <w:t xml:space="preserve"> </w:t>
            </w:r>
            <w:r>
              <w:rPr>
                <w:spacing w:val="-6"/>
              </w:rPr>
              <w:t>Absolute</w:t>
            </w:r>
            <w:r>
              <w:rPr>
                <w:spacing w:val="2"/>
              </w:rPr>
              <w:t xml:space="preserve"> </w:t>
            </w:r>
            <w:r>
              <w:rPr>
                <w:spacing w:val="-6"/>
              </w:rPr>
              <w:t>Reduction</w:t>
            </w:r>
          </w:p>
        </w:tc>
        <w:tc>
          <w:tcPr>
            <w:tcW w:w="1950" w:type="dxa"/>
            <w:tcBorders>
              <w:top w:val="nil"/>
              <w:bottom w:val="nil"/>
              <w:right w:val="nil"/>
            </w:tcBorders>
          </w:tcPr>
          <w:p w14:paraId="06ACE803" w14:textId="77777777" w:rsidR="00365624" w:rsidRDefault="002B025E">
            <w:pPr>
              <w:pStyle w:val="TableParagraph"/>
              <w:ind w:left="514"/>
            </w:pPr>
            <w:r>
              <w:rPr>
                <w:spacing w:val="-4"/>
              </w:rPr>
              <w:t>20.4</w:t>
            </w:r>
          </w:p>
        </w:tc>
        <w:tc>
          <w:tcPr>
            <w:tcW w:w="1046" w:type="dxa"/>
            <w:tcBorders>
              <w:top w:val="nil"/>
              <w:left w:val="nil"/>
              <w:bottom w:val="nil"/>
            </w:tcBorders>
          </w:tcPr>
          <w:p w14:paraId="06ACE804" w14:textId="77777777" w:rsidR="00365624" w:rsidRDefault="002B025E">
            <w:pPr>
              <w:pStyle w:val="TableParagraph"/>
              <w:ind w:left="123"/>
            </w:pPr>
            <w:r>
              <w:rPr>
                <w:spacing w:val="-4"/>
              </w:rPr>
              <w:t>13.0</w:t>
            </w:r>
          </w:p>
        </w:tc>
        <w:tc>
          <w:tcPr>
            <w:tcW w:w="3009" w:type="dxa"/>
            <w:gridSpan w:val="2"/>
            <w:tcBorders>
              <w:top w:val="nil"/>
              <w:bottom w:val="nil"/>
            </w:tcBorders>
          </w:tcPr>
          <w:p w14:paraId="06ACE805" w14:textId="77777777" w:rsidR="00365624" w:rsidRDefault="002B025E">
            <w:pPr>
              <w:pStyle w:val="TableParagraph"/>
              <w:tabs>
                <w:tab w:val="left" w:pos="2083"/>
              </w:tabs>
              <w:ind w:left="528"/>
            </w:pPr>
            <w:r>
              <w:rPr>
                <w:spacing w:val="-4"/>
              </w:rPr>
              <w:t>19.5</w:t>
            </w:r>
            <w:r>
              <w:tab/>
            </w:r>
            <w:r>
              <w:rPr>
                <w:spacing w:val="-4"/>
              </w:rPr>
              <w:t>10.8</w:t>
            </w:r>
          </w:p>
        </w:tc>
      </w:tr>
      <w:tr w:rsidR="00365624" w14:paraId="06ACE80C" w14:textId="77777777">
        <w:trPr>
          <w:trHeight w:val="372"/>
        </w:trPr>
        <w:tc>
          <w:tcPr>
            <w:tcW w:w="3020" w:type="dxa"/>
            <w:tcBorders>
              <w:top w:val="nil"/>
              <w:bottom w:val="nil"/>
            </w:tcBorders>
          </w:tcPr>
          <w:p w14:paraId="06ACE807" w14:textId="77777777" w:rsidR="00365624" w:rsidRDefault="002B025E">
            <w:pPr>
              <w:pStyle w:val="TableParagraph"/>
              <w:spacing w:before="59"/>
              <w:ind w:left="379"/>
              <w:rPr>
                <w:i/>
              </w:rPr>
            </w:pPr>
            <w:r>
              <w:rPr>
                <w:i/>
                <w:spacing w:val="-6"/>
              </w:rPr>
              <w:t>Difference</w:t>
            </w:r>
            <w:r>
              <w:rPr>
                <w:i/>
                <w:spacing w:val="-1"/>
              </w:rPr>
              <w:t xml:space="preserve"> </w:t>
            </w:r>
            <w:r>
              <w:rPr>
                <w:i/>
                <w:spacing w:val="-6"/>
              </w:rPr>
              <w:t>from</w:t>
            </w:r>
            <w:r>
              <w:rPr>
                <w:i/>
                <w:spacing w:val="6"/>
              </w:rPr>
              <w:t xml:space="preserve"> </w:t>
            </w:r>
            <w:r>
              <w:rPr>
                <w:i/>
                <w:spacing w:val="-6"/>
              </w:rPr>
              <w:t>Vehicle</w:t>
            </w:r>
          </w:p>
        </w:tc>
        <w:tc>
          <w:tcPr>
            <w:tcW w:w="1950" w:type="dxa"/>
            <w:tcBorders>
              <w:top w:val="nil"/>
              <w:bottom w:val="nil"/>
              <w:right w:val="nil"/>
            </w:tcBorders>
          </w:tcPr>
          <w:p w14:paraId="06ACE808" w14:textId="77777777" w:rsidR="00365624" w:rsidRDefault="002B025E">
            <w:pPr>
              <w:pStyle w:val="TableParagraph"/>
              <w:spacing w:before="59"/>
              <w:ind w:left="1217"/>
            </w:pPr>
            <w:r>
              <w:rPr>
                <w:spacing w:val="-5"/>
              </w:rPr>
              <w:t>7.3</w:t>
            </w:r>
          </w:p>
        </w:tc>
        <w:tc>
          <w:tcPr>
            <w:tcW w:w="1046" w:type="dxa"/>
            <w:tcBorders>
              <w:top w:val="nil"/>
              <w:left w:val="nil"/>
              <w:bottom w:val="nil"/>
            </w:tcBorders>
          </w:tcPr>
          <w:p w14:paraId="06ACE809" w14:textId="77777777" w:rsidR="00365624" w:rsidRDefault="00365624">
            <w:pPr>
              <w:pStyle w:val="TableParagraph"/>
              <w:spacing w:before="0"/>
              <w:rPr>
                <w:rFonts w:ascii="Times New Roman"/>
                <w:sz w:val="20"/>
              </w:rPr>
            </w:pPr>
          </w:p>
        </w:tc>
        <w:tc>
          <w:tcPr>
            <w:tcW w:w="1545" w:type="dxa"/>
            <w:tcBorders>
              <w:top w:val="nil"/>
              <w:bottom w:val="nil"/>
              <w:right w:val="nil"/>
            </w:tcBorders>
          </w:tcPr>
          <w:p w14:paraId="06ACE80A" w14:textId="77777777" w:rsidR="00365624" w:rsidRDefault="002B025E">
            <w:pPr>
              <w:pStyle w:val="TableParagraph"/>
              <w:spacing w:before="59"/>
              <w:ind w:right="-29"/>
              <w:jc w:val="right"/>
            </w:pPr>
            <w:r>
              <w:rPr>
                <w:spacing w:val="-5"/>
              </w:rPr>
              <w:t>8.7</w:t>
            </w:r>
          </w:p>
        </w:tc>
        <w:tc>
          <w:tcPr>
            <w:tcW w:w="1464" w:type="dxa"/>
            <w:tcBorders>
              <w:top w:val="nil"/>
              <w:left w:val="nil"/>
              <w:bottom w:val="nil"/>
            </w:tcBorders>
          </w:tcPr>
          <w:p w14:paraId="06ACE80B" w14:textId="77777777" w:rsidR="00365624" w:rsidRDefault="00365624">
            <w:pPr>
              <w:pStyle w:val="TableParagraph"/>
              <w:spacing w:before="0"/>
              <w:rPr>
                <w:rFonts w:ascii="Times New Roman"/>
                <w:sz w:val="20"/>
              </w:rPr>
            </w:pPr>
          </w:p>
        </w:tc>
      </w:tr>
      <w:tr w:rsidR="00365624" w14:paraId="06ACE811" w14:textId="77777777">
        <w:trPr>
          <w:trHeight w:val="372"/>
        </w:trPr>
        <w:tc>
          <w:tcPr>
            <w:tcW w:w="3020" w:type="dxa"/>
            <w:tcBorders>
              <w:top w:val="nil"/>
              <w:bottom w:val="nil"/>
            </w:tcBorders>
          </w:tcPr>
          <w:p w14:paraId="06ACE80D" w14:textId="77777777" w:rsidR="00365624" w:rsidRDefault="002B025E">
            <w:pPr>
              <w:pStyle w:val="TableParagraph"/>
              <w:spacing w:before="59"/>
              <w:ind w:left="379"/>
              <w:rPr>
                <w:i/>
              </w:rPr>
            </w:pPr>
            <w:r>
              <w:rPr>
                <w:i/>
                <w:spacing w:val="-5"/>
              </w:rPr>
              <w:t>(95%</w:t>
            </w:r>
            <w:r>
              <w:rPr>
                <w:i/>
                <w:spacing w:val="-16"/>
              </w:rPr>
              <w:t xml:space="preserve"> </w:t>
            </w:r>
            <w:r>
              <w:rPr>
                <w:i/>
                <w:spacing w:val="-5"/>
              </w:rPr>
              <w:t>CI)</w:t>
            </w:r>
          </w:p>
        </w:tc>
        <w:tc>
          <w:tcPr>
            <w:tcW w:w="1950" w:type="dxa"/>
            <w:tcBorders>
              <w:top w:val="nil"/>
              <w:bottom w:val="nil"/>
              <w:right w:val="nil"/>
            </w:tcBorders>
          </w:tcPr>
          <w:p w14:paraId="06ACE80E" w14:textId="77777777" w:rsidR="00365624" w:rsidRDefault="002B025E">
            <w:pPr>
              <w:pStyle w:val="TableParagraph"/>
              <w:spacing w:before="59"/>
              <w:ind w:left="969"/>
            </w:pPr>
            <w:r>
              <w:rPr>
                <w:spacing w:val="-4"/>
              </w:rPr>
              <w:t>(3.5,</w:t>
            </w:r>
            <w:r>
              <w:rPr>
                <w:spacing w:val="-5"/>
              </w:rPr>
              <w:t xml:space="preserve"> </w:t>
            </w:r>
            <w:r>
              <w:rPr>
                <w:spacing w:val="-2"/>
              </w:rPr>
              <w:t>11.1)</w:t>
            </w:r>
          </w:p>
        </w:tc>
        <w:tc>
          <w:tcPr>
            <w:tcW w:w="1046" w:type="dxa"/>
            <w:tcBorders>
              <w:top w:val="nil"/>
              <w:left w:val="nil"/>
              <w:bottom w:val="nil"/>
            </w:tcBorders>
          </w:tcPr>
          <w:p w14:paraId="06ACE80F" w14:textId="77777777" w:rsidR="00365624" w:rsidRDefault="00365624">
            <w:pPr>
              <w:pStyle w:val="TableParagraph"/>
              <w:spacing w:before="0"/>
              <w:rPr>
                <w:rFonts w:ascii="Times New Roman"/>
                <w:sz w:val="20"/>
              </w:rPr>
            </w:pPr>
          </w:p>
        </w:tc>
        <w:tc>
          <w:tcPr>
            <w:tcW w:w="3009" w:type="dxa"/>
            <w:gridSpan w:val="2"/>
            <w:tcBorders>
              <w:top w:val="nil"/>
              <w:bottom w:val="nil"/>
            </w:tcBorders>
          </w:tcPr>
          <w:p w14:paraId="06ACE810" w14:textId="77777777" w:rsidR="00365624" w:rsidRDefault="002B025E">
            <w:pPr>
              <w:pStyle w:val="TableParagraph"/>
              <w:spacing w:before="59"/>
              <w:ind w:left="107" w:right="207"/>
              <w:jc w:val="center"/>
            </w:pPr>
            <w:r>
              <w:rPr>
                <w:spacing w:val="-4"/>
              </w:rPr>
              <w:t>(4.5,</w:t>
            </w:r>
            <w:r>
              <w:rPr>
                <w:spacing w:val="-3"/>
              </w:rPr>
              <w:t xml:space="preserve"> </w:t>
            </w:r>
            <w:r>
              <w:rPr>
                <w:spacing w:val="-2"/>
              </w:rPr>
              <w:t>12.4)</w:t>
            </w:r>
          </w:p>
        </w:tc>
      </w:tr>
      <w:tr w:rsidR="00365624" w14:paraId="06ACE816" w14:textId="77777777">
        <w:trPr>
          <w:trHeight w:val="371"/>
        </w:trPr>
        <w:tc>
          <w:tcPr>
            <w:tcW w:w="3020" w:type="dxa"/>
            <w:tcBorders>
              <w:top w:val="nil"/>
              <w:bottom w:val="nil"/>
            </w:tcBorders>
          </w:tcPr>
          <w:p w14:paraId="06ACE812" w14:textId="77777777" w:rsidR="00365624" w:rsidRDefault="002B025E">
            <w:pPr>
              <w:pStyle w:val="TableParagraph"/>
              <w:spacing w:before="59"/>
              <w:ind w:left="127"/>
            </w:pPr>
            <w:r>
              <w:rPr>
                <w:spacing w:val="-4"/>
              </w:rPr>
              <w:t>Mean</w:t>
            </w:r>
            <w:r>
              <w:rPr>
                <w:spacing w:val="-10"/>
              </w:rPr>
              <w:t xml:space="preserve"> </w:t>
            </w:r>
            <w:r>
              <w:rPr>
                <w:spacing w:val="-4"/>
              </w:rPr>
              <w:t>Percent</w:t>
            </w:r>
            <w:r>
              <w:rPr>
                <w:spacing w:val="-6"/>
              </w:rPr>
              <w:t xml:space="preserve"> </w:t>
            </w:r>
            <w:r>
              <w:rPr>
                <w:spacing w:val="-4"/>
              </w:rPr>
              <w:t>Reduction</w:t>
            </w:r>
          </w:p>
        </w:tc>
        <w:tc>
          <w:tcPr>
            <w:tcW w:w="1950" w:type="dxa"/>
            <w:tcBorders>
              <w:top w:val="nil"/>
              <w:bottom w:val="nil"/>
              <w:right w:val="nil"/>
            </w:tcBorders>
          </w:tcPr>
          <w:p w14:paraId="06ACE813" w14:textId="77777777" w:rsidR="00365624" w:rsidRDefault="002B025E">
            <w:pPr>
              <w:pStyle w:val="TableParagraph"/>
              <w:spacing w:before="59"/>
              <w:ind w:left="514"/>
            </w:pPr>
            <w:r>
              <w:rPr>
                <w:spacing w:val="-2"/>
              </w:rPr>
              <w:t>32.6%</w:t>
            </w:r>
          </w:p>
        </w:tc>
        <w:tc>
          <w:tcPr>
            <w:tcW w:w="1046" w:type="dxa"/>
            <w:tcBorders>
              <w:top w:val="nil"/>
              <w:left w:val="nil"/>
              <w:bottom w:val="nil"/>
            </w:tcBorders>
          </w:tcPr>
          <w:p w14:paraId="06ACE814" w14:textId="77777777" w:rsidR="00365624" w:rsidRDefault="002B025E">
            <w:pPr>
              <w:pStyle w:val="TableParagraph"/>
              <w:spacing w:before="59"/>
              <w:ind w:left="139"/>
            </w:pPr>
            <w:r>
              <w:rPr>
                <w:spacing w:val="-2"/>
              </w:rPr>
              <w:t>21.8%</w:t>
            </w:r>
          </w:p>
        </w:tc>
        <w:tc>
          <w:tcPr>
            <w:tcW w:w="3009" w:type="dxa"/>
            <w:gridSpan w:val="2"/>
            <w:tcBorders>
              <w:top w:val="nil"/>
              <w:bottom w:val="nil"/>
            </w:tcBorders>
          </w:tcPr>
          <w:p w14:paraId="06ACE815" w14:textId="77777777" w:rsidR="00365624" w:rsidRDefault="002B025E">
            <w:pPr>
              <w:pStyle w:val="TableParagraph"/>
              <w:tabs>
                <w:tab w:val="left" w:pos="2094"/>
              </w:tabs>
              <w:spacing w:before="59"/>
              <w:ind w:left="528"/>
            </w:pPr>
            <w:r>
              <w:rPr>
                <w:spacing w:val="-2"/>
              </w:rPr>
              <w:t>29.6%</w:t>
            </w:r>
            <w:r>
              <w:tab/>
            </w:r>
            <w:r>
              <w:rPr>
                <w:spacing w:val="-4"/>
              </w:rPr>
              <w:t>15.7%</w:t>
            </w:r>
          </w:p>
        </w:tc>
      </w:tr>
      <w:tr w:rsidR="00365624" w14:paraId="06ACE81B" w14:textId="77777777">
        <w:trPr>
          <w:trHeight w:val="370"/>
        </w:trPr>
        <w:tc>
          <w:tcPr>
            <w:tcW w:w="3020" w:type="dxa"/>
            <w:tcBorders>
              <w:top w:val="nil"/>
              <w:bottom w:val="nil"/>
            </w:tcBorders>
          </w:tcPr>
          <w:p w14:paraId="06ACE817" w14:textId="77777777" w:rsidR="00365624" w:rsidRDefault="002B025E">
            <w:pPr>
              <w:pStyle w:val="TableParagraph"/>
              <w:ind w:left="379"/>
              <w:rPr>
                <w:i/>
              </w:rPr>
            </w:pPr>
            <w:r>
              <w:rPr>
                <w:i/>
                <w:spacing w:val="-6"/>
              </w:rPr>
              <w:t>Difference</w:t>
            </w:r>
            <w:r>
              <w:rPr>
                <w:i/>
                <w:spacing w:val="-1"/>
              </w:rPr>
              <w:t xml:space="preserve"> </w:t>
            </w:r>
            <w:r>
              <w:rPr>
                <w:i/>
                <w:spacing w:val="-6"/>
              </w:rPr>
              <w:t>from</w:t>
            </w:r>
            <w:r>
              <w:rPr>
                <w:i/>
                <w:spacing w:val="6"/>
              </w:rPr>
              <w:t xml:space="preserve"> </w:t>
            </w:r>
            <w:r>
              <w:rPr>
                <w:i/>
                <w:spacing w:val="-6"/>
              </w:rPr>
              <w:t>Vehicle</w:t>
            </w:r>
          </w:p>
        </w:tc>
        <w:tc>
          <w:tcPr>
            <w:tcW w:w="1950" w:type="dxa"/>
            <w:tcBorders>
              <w:top w:val="nil"/>
              <w:bottom w:val="nil"/>
              <w:right w:val="nil"/>
            </w:tcBorders>
          </w:tcPr>
          <w:p w14:paraId="06ACE818" w14:textId="77777777" w:rsidR="00365624" w:rsidRDefault="002B025E">
            <w:pPr>
              <w:pStyle w:val="TableParagraph"/>
              <w:ind w:left="1168"/>
            </w:pPr>
            <w:r>
              <w:rPr>
                <w:spacing w:val="-2"/>
              </w:rPr>
              <w:t>10.8%</w:t>
            </w:r>
          </w:p>
        </w:tc>
        <w:tc>
          <w:tcPr>
            <w:tcW w:w="1046" w:type="dxa"/>
            <w:tcBorders>
              <w:top w:val="nil"/>
              <w:left w:val="nil"/>
              <w:bottom w:val="nil"/>
            </w:tcBorders>
          </w:tcPr>
          <w:p w14:paraId="06ACE819" w14:textId="77777777" w:rsidR="00365624" w:rsidRDefault="00365624">
            <w:pPr>
              <w:pStyle w:val="TableParagraph"/>
              <w:spacing w:before="0"/>
              <w:rPr>
                <w:rFonts w:ascii="Times New Roman"/>
                <w:sz w:val="20"/>
              </w:rPr>
            </w:pPr>
          </w:p>
        </w:tc>
        <w:tc>
          <w:tcPr>
            <w:tcW w:w="3009" w:type="dxa"/>
            <w:gridSpan w:val="2"/>
            <w:tcBorders>
              <w:top w:val="nil"/>
              <w:bottom w:val="nil"/>
            </w:tcBorders>
          </w:tcPr>
          <w:p w14:paraId="06ACE81A" w14:textId="77777777" w:rsidR="00365624" w:rsidRDefault="002B025E">
            <w:pPr>
              <w:pStyle w:val="TableParagraph"/>
              <w:ind w:left="75"/>
              <w:jc w:val="center"/>
            </w:pPr>
            <w:r>
              <w:rPr>
                <w:spacing w:val="-2"/>
              </w:rPr>
              <w:t>13.8%</w:t>
            </w:r>
          </w:p>
        </w:tc>
      </w:tr>
      <w:tr w:rsidR="00365624" w14:paraId="06ACE820" w14:textId="77777777">
        <w:trPr>
          <w:trHeight w:val="432"/>
        </w:trPr>
        <w:tc>
          <w:tcPr>
            <w:tcW w:w="3020" w:type="dxa"/>
            <w:tcBorders>
              <w:top w:val="nil"/>
            </w:tcBorders>
          </w:tcPr>
          <w:p w14:paraId="06ACE81C" w14:textId="77777777" w:rsidR="00365624" w:rsidRDefault="002B025E">
            <w:pPr>
              <w:pStyle w:val="TableParagraph"/>
              <w:ind w:left="379"/>
              <w:rPr>
                <w:i/>
              </w:rPr>
            </w:pPr>
            <w:r>
              <w:rPr>
                <w:i/>
                <w:spacing w:val="-5"/>
              </w:rPr>
              <w:t>(95%</w:t>
            </w:r>
            <w:r>
              <w:rPr>
                <w:i/>
                <w:spacing w:val="-16"/>
              </w:rPr>
              <w:t xml:space="preserve"> </w:t>
            </w:r>
            <w:r>
              <w:rPr>
                <w:i/>
                <w:spacing w:val="-5"/>
              </w:rPr>
              <w:t>CI)</w:t>
            </w:r>
          </w:p>
        </w:tc>
        <w:tc>
          <w:tcPr>
            <w:tcW w:w="1950" w:type="dxa"/>
            <w:tcBorders>
              <w:top w:val="nil"/>
              <w:right w:val="nil"/>
            </w:tcBorders>
          </w:tcPr>
          <w:p w14:paraId="06ACE81D" w14:textId="77777777" w:rsidR="00365624" w:rsidRDefault="002B025E">
            <w:pPr>
              <w:pStyle w:val="TableParagraph"/>
              <w:ind w:right="3"/>
              <w:jc w:val="right"/>
            </w:pPr>
            <w:r>
              <w:rPr>
                <w:spacing w:val="-5"/>
              </w:rPr>
              <w:t xml:space="preserve">(3.9%, </w:t>
            </w:r>
            <w:r>
              <w:rPr>
                <w:spacing w:val="-2"/>
              </w:rPr>
              <w:t>17.6%</w:t>
            </w:r>
          </w:p>
        </w:tc>
        <w:tc>
          <w:tcPr>
            <w:tcW w:w="1046" w:type="dxa"/>
            <w:tcBorders>
              <w:top w:val="nil"/>
              <w:left w:val="nil"/>
            </w:tcBorders>
          </w:tcPr>
          <w:p w14:paraId="06ACE81E" w14:textId="77777777" w:rsidR="00365624" w:rsidRDefault="00365624">
            <w:pPr>
              <w:pStyle w:val="TableParagraph"/>
              <w:spacing w:before="0"/>
              <w:rPr>
                <w:rFonts w:ascii="Times New Roman"/>
                <w:sz w:val="20"/>
              </w:rPr>
            </w:pPr>
          </w:p>
        </w:tc>
        <w:tc>
          <w:tcPr>
            <w:tcW w:w="3009" w:type="dxa"/>
            <w:gridSpan w:val="2"/>
            <w:tcBorders>
              <w:top w:val="nil"/>
            </w:tcBorders>
          </w:tcPr>
          <w:p w14:paraId="06ACE81F" w14:textId="77777777" w:rsidR="00365624" w:rsidRDefault="002B025E">
            <w:pPr>
              <w:pStyle w:val="TableParagraph"/>
              <w:ind w:left="979"/>
            </w:pPr>
            <w:r>
              <w:rPr>
                <w:spacing w:val="-5"/>
              </w:rPr>
              <w:t xml:space="preserve">(7.5%, </w:t>
            </w:r>
            <w:r>
              <w:rPr>
                <w:spacing w:val="-2"/>
              </w:rPr>
              <w:t>20.1%)</w:t>
            </w:r>
          </w:p>
        </w:tc>
      </w:tr>
      <w:tr w:rsidR="00365624" w14:paraId="06ACE825" w14:textId="77777777">
        <w:trPr>
          <w:trHeight w:val="330"/>
        </w:trPr>
        <w:tc>
          <w:tcPr>
            <w:tcW w:w="3020" w:type="dxa"/>
            <w:tcBorders>
              <w:bottom w:val="nil"/>
            </w:tcBorders>
          </w:tcPr>
          <w:p w14:paraId="06ACE821" w14:textId="77777777" w:rsidR="00365624" w:rsidRDefault="002B025E">
            <w:pPr>
              <w:pStyle w:val="TableParagraph"/>
              <w:spacing w:before="19"/>
              <w:ind w:left="127"/>
              <w:rPr>
                <w:b/>
              </w:rPr>
            </w:pPr>
            <w:r>
              <w:rPr>
                <w:b/>
                <w:spacing w:val="-7"/>
              </w:rPr>
              <w:t>Inflammatory</w:t>
            </w:r>
            <w:r>
              <w:rPr>
                <w:b/>
                <w:spacing w:val="10"/>
              </w:rPr>
              <w:t xml:space="preserve"> </w:t>
            </w:r>
            <w:r>
              <w:rPr>
                <w:b/>
                <w:spacing w:val="-2"/>
              </w:rPr>
              <w:t>Lesions</w:t>
            </w:r>
          </w:p>
        </w:tc>
        <w:tc>
          <w:tcPr>
            <w:tcW w:w="1950" w:type="dxa"/>
            <w:tcBorders>
              <w:bottom w:val="nil"/>
              <w:right w:val="nil"/>
            </w:tcBorders>
          </w:tcPr>
          <w:p w14:paraId="06ACE822" w14:textId="77777777" w:rsidR="00365624" w:rsidRDefault="00365624">
            <w:pPr>
              <w:pStyle w:val="TableParagraph"/>
              <w:spacing w:before="0"/>
              <w:rPr>
                <w:rFonts w:ascii="Times New Roman"/>
                <w:sz w:val="20"/>
              </w:rPr>
            </w:pPr>
          </w:p>
        </w:tc>
        <w:tc>
          <w:tcPr>
            <w:tcW w:w="1046" w:type="dxa"/>
            <w:tcBorders>
              <w:left w:val="nil"/>
              <w:bottom w:val="nil"/>
            </w:tcBorders>
          </w:tcPr>
          <w:p w14:paraId="06ACE823" w14:textId="77777777" w:rsidR="00365624" w:rsidRDefault="00365624">
            <w:pPr>
              <w:pStyle w:val="TableParagraph"/>
              <w:spacing w:before="0"/>
              <w:rPr>
                <w:rFonts w:ascii="Times New Roman"/>
                <w:sz w:val="20"/>
              </w:rPr>
            </w:pPr>
          </w:p>
        </w:tc>
        <w:tc>
          <w:tcPr>
            <w:tcW w:w="3009" w:type="dxa"/>
            <w:gridSpan w:val="2"/>
            <w:tcBorders>
              <w:bottom w:val="nil"/>
            </w:tcBorders>
          </w:tcPr>
          <w:p w14:paraId="06ACE824" w14:textId="77777777" w:rsidR="00365624" w:rsidRDefault="00365624">
            <w:pPr>
              <w:pStyle w:val="TableParagraph"/>
              <w:spacing w:before="0"/>
              <w:rPr>
                <w:rFonts w:ascii="Times New Roman"/>
                <w:sz w:val="20"/>
              </w:rPr>
            </w:pPr>
          </w:p>
        </w:tc>
      </w:tr>
      <w:tr w:rsidR="00365624" w14:paraId="06ACE82A" w14:textId="77777777">
        <w:trPr>
          <w:trHeight w:val="370"/>
        </w:trPr>
        <w:tc>
          <w:tcPr>
            <w:tcW w:w="3020" w:type="dxa"/>
            <w:tcBorders>
              <w:top w:val="nil"/>
              <w:bottom w:val="nil"/>
            </w:tcBorders>
          </w:tcPr>
          <w:p w14:paraId="06ACE826" w14:textId="77777777" w:rsidR="00365624" w:rsidRDefault="002B025E">
            <w:pPr>
              <w:pStyle w:val="TableParagraph"/>
              <w:ind w:left="127"/>
            </w:pPr>
            <w:r>
              <w:rPr>
                <w:spacing w:val="-6"/>
              </w:rPr>
              <w:t>Mean</w:t>
            </w:r>
            <w:r>
              <w:rPr>
                <w:spacing w:val="-1"/>
              </w:rPr>
              <w:t xml:space="preserve"> </w:t>
            </w:r>
            <w:r>
              <w:rPr>
                <w:spacing w:val="-6"/>
              </w:rPr>
              <w:t>Absolute</w:t>
            </w:r>
            <w:r>
              <w:rPr>
                <w:spacing w:val="2"/>
              </w:rPr>
              <w:t xml:space="preserve"> </w:t>
            </w:r>
            <w:r>
              <w:rPr>
                <w:spacing w:val="-6"/>
              </w:rPr>
              <w:t>Reduction</w:t>
            </w:r>
          </w:p>
        </w:tc>
        <w:tc>
          <w:tcPr>
            <w:tcW w:w="1950" w:type="dxa"/>
            <w:tcBorders>
              <w:top w:val="nil"/>
              <w:bottom w:val="nil"/>
              <w:right w:val="nil"/>
            </w:tcBorders>
          </w:tcPr>
          <w:p w14:paraId="06ACE827" w14:textId="77777777" w:rsidR="00365624" w:rsidRDefault="002B025E">
            <w:pPr>
              <w:pStyle w:val="TableParagraph"/>
              <w:ind w:left="514"/>
            </w:pPr>
            <w:r>
              <w:rPr>
                <w:spacing w:val="-4"/>
              </w:rPr>
              <w:t>19.3</w:t>
            </w:r>
          </w:p>
        </w:tc>
        <w:tc>
          <w:tcPr>
            <w:tcW w:w="1046" w:type="dxa"/>
            <w:tcBorders>
              <w:top w:val="nil"/>
              <w:left w:val="nil"/>
              <w:bottom w:val="nil"/>
            </w:tcBorders>
          </w:tcPr>
          <w:p w14:paraId="06ACE828" w14:textId="77777777" w:rsidR="00365624" w:rsidRDefault="002B025E">
            <w:pPr>
              <w:pStyle w:val="TableParagraph"/>
              <w:ind w:left="123"/>
            </w:pPr>
            <w:r>
              <w:rPr>
                <w:spacing w:val="-4"/>
              </w:rPr>
              <w:t>15.4</w:t>
            </w:r>
          </w:p>
        </w:tc>
        <w:tc>
          <w:tcPr>
            <w:tcW w:w="3009" w:type="dxa"/>
            <w:gridSpan w:val="2"/>
            <w:tcBorders>
              <w:top w:val="nil"/>
              <w:bottom w:val="nil"/>
            </w:tcBorders>
          </w:tcPr>
          <w:p w14:paraId="06ACE829" w14:textId="77777777" w:rsidR="00365624" w:rsidRDefault="002B025E">
            <w:pPr>
              <w:pStyle w:val="TableParagraph"/>
              <w:tabs>
                <w:tab w:val="left" w:pos="2083"/>
              </w:tabs>
              <w:ind w:left="528"/>
            </w:pPr>
            <w:r>
              <w:rPr>
                <w:spacing w:val="-4"/>
              </w:rPr>
              <w:t>20.1</w:t>
            </w:r>
            <w:r>
              <w:tab/>
            </w:r>
            <w:r>
              <w:rPr>
                <w:spacing w:val="-4"/>
              </w:rPr>
              <w:t>12.6</w:t>
            </w:r>
          </w:p>
        </w:tc>
      </w:tr>
      <w:tr w:rsidR="00365624" w14:paraId="06ACE830" w14:textId="77777777">
        <w:trPr>
          <w:trHeight w:val="370"/>
        </w:trPr>
        <w:tc>
          <w:tcPr>
            <w:tcW w:w="3020" w:type="dxa"/>
            <w:tcBorders>
              <w:top w:val="nil"/>
              <w:bottom w:val="nil"/>
            </w:tcBorders>
          </w:tcPr>
          <w:p w14:paraId="06ACE82B" w14:textId="77777777" w:rsidR="00365624" w:rsidRDefault="002B025E">
            <w:pPr>
              <w:pStyle w:val="TableParagraph"/>
              <w:ind w:left="379"/>
              <w:rPr>
                <w:i/>
              </w:rPr>
            </w:pPr>
            <w:r>
              <w:rPr>
                <w:i/>
                <w:spacing w:val="-6"/>
              </w:rPr>
              <w:t>Difference</w:t>
            </w:r>
            <w:r>
              <w:rPr>
                <w:i/>
                <w:spacing w:val="-1"/>
              </w:rPr>
              <w:t xml:space="preserve"> </w:t>
            </w:r>
            <w:r>
              <w:rPr>
                <w:i/>
                <w:spacing w:val="-6"/>
              </w:rPr>
              <w:t>from</w:t>
            </w:r>
            <w:r>
              <w:rPr>
                <w:i/>
                <w:spacing w:val="6"/>
              </w:rPr>
              <w:t xml:space="preserve"> </w:t>
            </w:r>
            <w:r>
              <w:rPr>
                <w:i/>
                <w:spacing w:val="-6"/>
              </w:rPr>
              <w:t>Vehicle</w:t>
            </w:r>
          </w:p>
        </w:tc>
        <w:tc>
          <w:tcPr>
            <w:tcW w:w="1950" w:type="dxa"/>
            <w:tcBorders>
              <w:top w:val="nil"/>
              <w:bottom w:val="nil"/>
              <w:right w:val="nil"/>
            </w:tcBorders>
          </w:tcPr>
          <w:p w14:paraId="06ACE82C" w14:textId="77777777" w:rsidR="00365624" w:rsidRDefault="002B025E">
            <w:pPr>
              <w:pStyle w:val="TableParagraph"/>
              <w:ind w:left="1217"/>
            </w:pPr>
            <w:r>
              <w:rPr>
                <w:spacing w:val="-5"/>
              </w:rPr>
              <w:t>3.9</w:t>
            </w:r>
          </w:p>
        </w:tc>
        <w:tc>
          <w:tcPr>
            <w:tcW w:w="1046" w:type="dxa"/>
            <w:tcBorders>
              <w:top w:val="nil"/>
              <w:left w:val="nil"/>
              <w:bottom w:val="nil"/>
            </w:tcBorders>
          </w:tcPr>
          <w:p w14:paraId="06ACE82D" w14:textId="77777777" w:rsidR="00365624" w:rsidRDefault="00365624">
            <w:pPr>
              <w:pStyle w:val="TableParagraph"/>
              <w:spacing w:before="0"/>
              <w:rPr>
                <w:rFonts w:ascii="Times New Roman"/>
                <w:sz w:val="20"/>
              </w:rPr>
            </w:pPr>
          </w:p>
        </w:tc>
        <w:tc>
          <w:tcPr>
            <w:tcW w:w="1545" w:type="dxa"/>
            <w:tcBorders>
              <w:top w:val="nil"/>
              <w:bottom w:val="nil"/>
              <w:right w:val="nil"/>
            </w:tcBorders>
          </w:tcPr>
          <w:p w14:paraId="06ACE82E" w14:textId="77777777" w:rsidR="00365624" w:rsidRDefault="002B025E">
            <w:pPr>
              <w:pStyle w:val="TableParagraph"/>
              <w:ind w:right="-29"/>
              <w:jc w:val="right"/>
            </w:pPr>
            <w:r>
              <w:rPr>
                <w:spacing w:val="-5"/>
              </w:rPr>
              <w:t>7.5</w:t>
            </w:r>
          </w:p>
        </w:tc>
        <w:tc>
          <w:tcPr>
            <w:tcW w:w="1464" w:type="dxa"/>
            <w:tcBorders>
              <w:top w:val="nil"/>
              <w:left w:val="nil"/>
              <w:bottom w:val="nil"/>
            </w:tcBorders>
          </w:tcPr>
          <w:p w14:paraId="06ACE82F" w14:textId="77777777" w:rsidR="00365624" w:rsidRDefault="00365624">
            <w:pPr>
              <w:pStyle w:val="TableParagraph"/>
              <w:spacing w:before="0"/>
              <w:rPr>
                <w:rFonts w:ascii="Times New Roman"/>
                <w:sz w:val="20"/>
              </w:rPr>
            </w:pPr>
          </w:p>
        </w:tc>
      </w:tr>
      <w:tr w:rsidR="00365624" w14:paraId="06ACE835" w14:textId="77777777">
        <w:trPr>
          <w:trHeight w:val="370"/>
        </w:trPr>
        <w:tc>
          <w:tcPr>
            <w:tcW w:w="3020" w:type="dxa"/>
            <w:tcBorders>
              <w:top w:val="nil"/>
              <w:bottom w:val="nil"/>
            </w:tcBorders>
          </w:tcPr>
          <w:p w14:paraId="06ACE831" w14:textId="77777777" w:rsidR="00365624" w:rsidRDefault="002B025E">
            <w:pPr>
              <w:pStyle w:val="TableParagraph"/>
              <w:ind w:left="379"/>
              <w:rPr>
                <w:i/>
              </w:rPr>
            </w:pPr>
            <w:r>
              <w:rPr>
                <w:i/>
                <w:spacing w:val="-5"/>
              </w:rPr>
              <w:t>(95%</w:t>
            </w:r>
            <w:r>
              <w:rPr>
                <w:i/>
                <w:spacing w:val="-16"/>
              </w:rPr>
              <w:t xml:space="preserve"> </w:t>
            </w:r>
            <w:r>
              <w:rPr>
                <w:i/>
                <w:spacing w:val="-5"/>
              </w:rPr>
              <w:t>CI)</w:t>
            </w:r>
          </w:p>
        </w:tc>
        <w:tc>
          <w:tcPr>
            <w:tcW w:w="1950" w:type="dxa"/>
            <w:tcBorders>
              <w:top w:val="nil"/>
              <w:bottom w:val="nil"/>
              <w:right w:val="nil"/>
            </w:tcBorders>
          </w:tcPr>
          <w:p w14:paraId="06ACE832" w14:textId="77777777" w:rsidR="00365624" w:rsidRDefault="002B025E">
            <w:pPr>
              <w:pStyle w:val="TableParagraph"/>
              <w:ind w:left="1017"/>
            </w:pPr>
            <w:r>
              <w:rPr>
                <w:spacing w:val="-4"/>
              </w:rPr>
              <w:t>(1.3,</w:t>
            </w:r>
            <w:r>
              <w:rPr>
                <w:spacing w:val="-5"/>
              </w:rPr>
              <w:t xml:space="preserve"> </w:t>
            </w:r>
            <w:r>
              <w:rPr>
                <w:spacing w:val="-4"/>
              </w:rPr>
              <w:t>6.5)</w:t>
            </w:r>
          </w:p>
        </w:tc>
        <w:tc>
          <w:tcPr>
            <w:tcW w:w="1046" w:type="dxa"/>
            <w:tcBorders>
              <w:top w:val="nil"/>
              <w:left w:val="nil"/>
              <w:bottom w:val="nil"/>
            </w:tcBorders>
          </w:tcPr>
          <w:p w14:paraId="06ACE833" w14:textId="77777777" w:rsidR="00365624" w:rsidRDefault="00365624">
            <w:pPr>
              <w:pStyle w:val="TableParagraph"/>
              <w:spacing w:before="0"/>
              <w:rPr>
                <w:rFonts w:ascii="Times New Roman"/>
                <w:sz w:val="20"/>
              </w:rPr>
            </w:pPr>
          </w:p>
        </w:tc>
        <w:tc>
          <w:tcPr>
            <w:tcW w:w="3009" w:type="dxa"/>
            <w:gridSpan w:val="2"/>
            <w:tcBorders>
              <w:top w:val="nil"/>
              <w:bottom w:val="nil"/>
            </w:tcBorders>
          </w:tcPr>
          <w:p w14:paraId="06ACE834" w14:textId="77777777" w:rsidR="00365624" w:rsidRDefault="002B025E">
            <w:pPr>
              <w:pStyle w:val="TableParagraph"/>
              <w:ind w:left="107" w:right="210"/>
              <w:jc w:val="center"/>
            </w:pPr>
            <w:r>
              <w:rPr>
                <w:spacing w:val="-4"/>
              </w:rPr>
              <w:t>(5.2,</w:t>
            </w:r>
            <w:r>
              <w:rPr>
                <w:spacing w:val="-5"/>
              </w:rPr>
              <w:t xml:space="preserve"> </w:t>
            </w:r>
            <w:r>
              <w:rPr>
                <w:spacing w:val="-4"/>
              </w:rPr>
              <w:t>9.9)</w:t>
            </w:r>
          </w:p>
        </w:tc>
      </w:tr>
      <w:tr w:rsidR="00365624" w14:paraId="06ACE83A" w14:textId="77777777">
        <w:trPr>
          <w:trHeight w:val="369"/>
        </w:trPr>
        <w:tc>
          <w:tcPr>
            <w:tcW w:w="3020" w:type="dxa"/>
            <w:tcBorders>
              <w:top w:val="nil"/>
              <w:bottom w:val="nil"/>
            </w:tcBorders>
          </w:tcPr>
          <w:p w14:paraId="06ACE836" w14:textId="77777777" w:rsidR="00365624" w:rsidRDefault="002B025E">
            <w:pPr>
              <w:pStyle w:val="TableParagraph"/>
              <w:ind w:left="127"/>
            </w:pPr>
            <w:r>
              <w:rPr>
                <w:spacing w:val="-4"/>
              </w:rPr>
              <w:t>Mean</w:t>
            </w:r>
            <w:r>
              <w:rPr>
                <w:spacing w:val="-10"/>
              </w:rPr>
              <w:t xml:space="preserve"> </w:t>
            </w:r>
            <w:r>
              <w:rPr>
                <w:spacing w:val="-4"/>
              </w:rPr>
              <w:t>Percent</w:t>
            </w:r>
            <w:r>
              <w:rPr>
                <w:spacing w:val="-6"/>
              </w:rPr>
              <w:t xml:space="preserve"> </w:t>
            </w:r>
            <w:r>
              <w:rPr>
                <w:spacing w:val="-4"/>
              </w:rPr>
              <w:t>Reduction</w:t>
            </w:r>
          </w:p>
        </w:tc>
        <w:tc>
          <w:tcPr>
            <w:tcW w:w="1950" w:type="dxa"/>
            <w:tcBorders>
              <w:top w:val="nil"/>
              <w:bottom w:val="nil"/>
              <w:right w:val="nil"/>
            </w:tcBorders>
          </w:tcPr>
          <w:p w14:paraId="06ACE837" w14:textId="77777777" w:rsidR="00365624" w:rsidRDefault="002B025E">
            <w:pPr>
              <w:pStyle w:val="TableParagraph"/>
              <w:ind w:left="514"/>
            </w:pPr>
            <w:r>
              <w:rPr>
                <w:spacing w:val="-2"/>
              </w:rPr>
              <w:t>44.6%</w:t>
            </w:r>
          </w:p>
        </w:tc>
        <w:tc>
          <w:tcPr>
            <w:tcW w:w="1046" w:type="dxa"/>
            <w:tcBorders>
              <w:top w:val="nil"/>
              <w:left w:val="nil"/>
              <w:bottom w:val="nil"/>
            </w:tcBorders>
          </w:tcPr>
          <w:p w14:paraId="06ACE838" w14:textId="77777777" w:rsidR="00365624" w:rsidRDefault="002B025E">
            <w:pPr>
              <w:pStyle w:val="TableParagraph"/>
              <w:ind w:left="139"/>
            </w:pPr>
            <w:r>
              <w:rPr>
                <w:spacing w:val="-2"/>
              </w:rPr>
              <w:t>36.3%</w:t>
            </w:r>
          </w:p>
        </w:tc>
        <w:tc>
          <w:tcPr>
            <w:tcW w:w="3009" w:type="dxa"/>
            <w:gridSpan w:val="2"/>
            <w:tcBorders>
              <w:top w:val="nil"/>
              <w:bottom w:val="nil"/>
            </w:tcBorders>
          </w:tcPr>
          <w:p w14:paraId="06ACE839" w14:textId="77777777" w:rsidR="00365624" w:rsidRDefault="002B025E">
            <w:pPr>
              <w:pStyle w:val="TableParagraph"/>
              <w:tabs>
                <w:tab w:val="left" w:pos="2094"/>
              </w:tabs>
              <w:ind w:left="528"/>
            </w:pPr>
            <w:r>
              <w:rPr>
                <w:spacing w:val="-2"/>
              </w:rPr>
              <w:t>47.1%</w:t>
            </w:r>
            <w:r>
              <w:tab/>
            </w:r>
            <w:r>
              <w:rPr>
                <w:spacing w:val="-4"/>
              </w:rPr>
              <w:t>29.7%</w:t>
            </w:r>
          </w:p>
        </w:tc>
      </w:tr>
      <w:tr w:rsidR="00365624" w14:paraId="06ACE83F" w14:textId="77777777">
        <w:trPr>
          <w:trHeight w:val="370"/>
        </w:trPr>
        <w:tc>
          <w:tcPr>
            <w:tcW w:w="3020" w:type="dxa"/>
            <w:tcBorders>
              <w:top w:val="nil"/>
              <w:bottom w:val="nil"/>
            </w:tcBorders>
          </w:tcPr>
          <w:p w14:paraId="06ACE83B" w14:textId="77777777" w:rsidR="00365624" w:rsidRDefault="002B025E">
            <w:pPr>
              <w:pStyle w:val="TableParagraph"/>
              <w:ind w:left="379"/>
              <w:rPr>
                <w:i/>
              </w:rPr>
            </w:pPr>
            <w:bookmarkStart w:id="17" w:name="5.2_PHARMACOKINETIC_PROPERTIES"/>
            <w:bookmarkEnd w:id="17"/>
            <w:r>
              <w:rPr>
                <w:i/>
                <w:spacing w:val="-4"/>
              </w:rPr>
              <w:t>Difference</w:t>
            </w:r>
            <w:r>
              <w:rPr>
                <w:i/>
                <w:spacing w:val="-9"/>
              </w:rPr>
              <w:t xml:space="preserve"> </w:t>
            </w:r>
            <w:r>
              <w:rPr>
                <w:i/>
                <w:spacing w:val="-4"/>
              </w:rPr>
              <w:t>from</w:t>
            </w:r>
            <w:r>
              <w:rPr>
                <w:i/>
                <w:spacing w:val="-6"/>
              </w:rPr>
              <w:t xml:space="preserve"> </w:t>
            </w:r>
            <w:r>
              <w:rPr>
                <w:i/>
                <w:spacing w:val="-4"/>
              </w:rPr>
              <w:t>Vehicle</w:t>
            </w:r>
          </w:p>
        </w:tc>
        <w:tc>
          <w:tcPr>
            <w:tcW w:w="1950" w:type="dxa"/>
            <w:tcBorders>
              <w:top w:val="nil"/>
              <w:bottom w:val="nil"/>
              <w:right w:val="nil"/>
            </w:tcBorders>
          </w:tcPr>
          <w:p w14:paraId="06ACE83C" w14:textId="77777777" w:rsidR="00365624" w:rsidRDefault="002B025E">
            <w:pPr>
              <w:pStyle w:val="TableParagraph"/>
              <w:ind w:left="1168"/>
            </w:pPr>
            <w:r>
              <w:rPr>
                <w:spacing w:val="-4"/>
              </w:rPr>
              <w:t>8.3%</w:t>
            </w:r>
          </w:p>
        </w:tc>
        <w:tc>
          <w:tcPr>
            <w:tcW w:w="1046" w:type="dxa"/>
            <w:tcBorders>
              <w:top w:val="nil"/>
              <w:left w:val="nil"/>
              <w:bottom w:val="nil"/>
            </w:tcBorders>
          </w:tcPr>
          <w:p w14:paraId="06ACE83D" w14:textId="77777777" w:rsidR="00365624" w:rsidRDefault="00365624">
            <w:pPr>
              <w:pStyle w:val="TableParagraph"/>
              <w:spacing w:before="0"/>
              <w:rPr>
                <w:rFonts w:ascii="Times New Roman"/>
                <w:sz w:val="20"/>
              </w:rPr>
            </w:pPr>
          </w:p>
        </w:tc>
        <w:tc>
          <w:tcPr>
            <w:tcW w:w="3009" w:type="dxa"/>
            <w:gridSpan w:val="2"/>
            <w:tcBorders>
              <w:top w:val="nil"/>
              <w:bottom w:val="nil"/>
            </w:tcBorders>
          </w:tcPr>
          <w:p w14:paraId="06ACE83E" w14:textId="77777777" w:rsidR="00365624" w:rsidRDefault="002B025E">
            <w:pPr>
              <w:pStyle w:val="TableParagraph"/>
              <w:ind w:left="75"/>
              <w:jc w:val="center"/>
            </w:pPr>
            <w:r>
              <w:rPr>
                <w:spacing w:val="-2"/>
              </w:rPr>
              <w:t>17.5%</w:t>
            </w:r>
          </w:p>
        </w:tc>
      </w:tr>
      <w:tr w:rsidR="00365624" w14:paraId="06ACE844" w14:textId="77777777">
        <w:trPr>
          <w:trHeight w:val="432"/>
        </w:trPr>
        <w:tc>
          <w:tcPr>
            <w:tcW w:w="3020" w:type="dxa"/>
            <w:tcBorders>
              <w:top w:val="nil"/>
            </w:tcBorders>
          </w:tcPr>
          <w:p w14:paraId="06ACE840" w14:textId="77777777" w:rsidR="00365624" w:rsidRDefault="002B025E">
            <w:pPr>
              <w:pStyle w:val="TableParagraph"/>
              <w:ind w:left="379"/>
              <w:rPr>
                <w:i/>
              </w:rPr>
            </w:pPr>
            <w:r>
              <w:rPr>
                <w:i/>
                <w:spacing w:val="-5"/>
              </w:rPr>
              <w:t>(95%</w:t>
            </w:r>
            <w:r>
              <w:rPr>
                <w:i/>
                <w:spacing w:val="-16"/>
              </w:rPr>
              <w:t xml:space="preserve"> </w:t>
            </w:r>
            <w:r>
              <w:rPr>
                <w:i/>
                <w:spacing w:val="-5"/>
              </w:rPr>
              <w:t>CI)</w:t>
            </w:r>
          </w:p>
        </w:tc>
        <w:tc>
          <w:tcPr>
            <w:tcW w:w="1950" w:type="dxa"/>
            <w:tcBorders>
              <w:top w:val="nil"/>
              <w:right w:val="nil"/>
            </w:tcBorders>
          </w:tcPr>
          <w:p w14:paraId="06ACE841" w14:textId="77777777" w:rsidR="00365624" w:rsidRDefault="002B025E">
            <w:pPr>
              <w:pStyle w:val="TableParagraph"/>
              <w:ind w:right="-15"/>
              <w:jc w:val="right"/>
            </w:pPr>
            <w:r>
              <w:rPr>
                <w:spacing w:val="-5"/>
              </w:rPr>
              <w:t xml:space="preserve">(2.2%, </w:t>
            </w:r>
            <w:r>
              <w:rPr>
                <w:spacing w:val="-2"/>
              </w:rPr>
              <w:t>14.4%)</w:t>
            </w:r>
          </w:p>
        </w:tc>
        <w:tc>
          <w:tcPr>
            <w:tcW w:w="1046" w:type="dxa"/>
            <w:tcBorders>
              <w:top w:val="nil"/>
              <w:left w:val="nil"/>
            </w:tcBorders>
          </w:tcPr>
          <w:p w14:paraId="06ACE842" w14:textId="77777777" w:rsidR="00365624" w:rsidRDefault="00365624">
            <w:pPr>
              <w:pStyle w:val="TableParagraph"/>
              <w:spacing w:before="0"/>
              <w:rPr>
                <w:rFonts w:ascii="Times New Roman"/>
                <w:sz w:val="20"/>
              </w:rPr>
            </w:pPr>
          </w:p>
        </w:tc>
        <w:tc>
          <w:tcPr>
            <w:tcW w:w="3009" w:type="dxa"/>
            <w:gridSpan w:val="2"/>
            <w:tcBorders>
              <w:top w:val="nil"/>
            </w:tcBorders>
          </w:tcPr>
          <w:p w14:paraId="06ACE843" w14:textId="77777777" w:rsidR="00365624" w:rsidRDefault="002B025E">
            <w:pPr>
              <w:pStyle w:val="TableParagraph"/>
              <w:ind w:left="930"/>
            </w:pPr>
            <w:r>
              <w:rPr>
                <w:spacing w:val="-6"/>
              </w:rPr>
              <w:t>(11.8%,</w:t>
            </w:r>
            <w:r>
              <w:t xml:space="preserve"> </w:t>
            </w:r>
            <w:r>
              <w:rPr>
                <w:spacing w:val="-2"/>
              </w:rPr>
              <w:t>23.1%)</w:t>
            </w:r>
          </w:p>
        </w:tc>
      </w:tr>
    </w:tbl>
    <w:p w14:paraId="06ACE845" w14:textId="77777777" w:rsidR="00365624" w:rsidRDefault="002B025E">
      <w:pPr>
        <w:pStyle w:val="BodyText"/>
        <w:spacing w:before="58"/>
        <w:ind w:right="761"/>
      </w:pPr>
      <w:proofErr w:type="gramStart"/>
      <w:r>
        <w:rPr>
          <w:position w:val="6"/>
          <w:sz w:val="14"/>
        </w:rPr>
        <w:t>a</w:t>
      </w:r>
      <w:proofErr w:type="gramEnd"/>
      <w:r>
        <w:rPr>
          <w:spacing w:val="9"/>
          <w:position w:val="6"/>
          <w:sz w:val="14"/>
        </w:rPr>
        <w:t xml:space="preserve"> </w:t>
      </w:r>
      <w:r>
        <w:t>Investigator</w:t>
      </w:r>
      <w:r>
        <w:rPr>
          <w:spacing w:val="-5"/>
        </w:rPr>
        <w:t xml:space="preserve"> </w:t>
      </w:r>
      <w:r>
        <w:t>Global</w:t>
      </w:r>
      <w:r>
        <w:rPr>
          <w:spacing w:val="-11"/>
        </w:rPr>
        <w:t xml:space="preserve"> </w:t>
      </w:r>
      <w:r>
        <w:t>Assessment</w:t>
      </w:r>
      <w:r>
        <w:rPr>
          <w:spacing w:val="-11"/>
        </w:rPr>
        <w:t xml:space="preserve"> </w:t>
      </w:r>
      <w:r>
        <w:t>(IGA)</w:t>
      </w:r>
      <w:r>
        <w:rPr>
          <w:spacing w:val="-8"/>
        </w:rPr>
        <w:t xml:space="preserve"> </w:t>
      </w:r>
      <w:r>
        <w:t>success</w:t>
      </w:r>
      <w:r>
        <w:rPr>
          <w:spacing w:val="-10"/>
        </w:rPr>
        <w:t xml:space="preserve"> </w:t>
      </w:r>
      <w:r>
        <w:t>was</w:t>
      </w:r>
      <w:r>
        <w:rPr>
          <w:spacing w:val="-12"/>
        </w:rPr>
        <w:t xml:space="preserve"> </w:t>
      </w:r>
      <w:r>
        <w:t>defined</w:t>
      </w:r>
      <w:r>
        <w:rPr>
          <w:spacing w:val="-13"/>
        </w:rPr>
        <w:t xml:space="preserve"> </w:t>
      </w:r>
      <w:r>
        <w:t>as</w:t>
      </w:r>
      <w:r>
        <w:rPr>
          <w:spacing w:val="-8"/>
        </w:rPr>
        <w:t xml:space="preserve"> </w:t>
      </w:r>
      <w:r>
        <w:t>at</w:t>
      </w:r>
      <w:r>
        <w:rPr>
          <w:spacing w:val="-9"/>
        </w:rPr>
        <w:t xml:space="preserve"> </w:t>
      </w:r>
      <w:r>
        <w:t>least</w:t>
      </w:r>
      <w:r>
        <w:rPr>
          <w:spacing w:val="-11"/>
        </w:rPr>
        <w:t xml:space="preserve"> </w:t>
      </w:r>
      <w:r>
        <w:t>a</w:t>
      </w:r>
      <w:r>
        <w:rPr>
          <w:spacing w:val="-9"/>
        </w:rPr>
        <w:t xml:space="preserve"> </w:t>
      </w:r>
      <w:r>
        <w:t>2-point</w:t>
      </w:r>
      <w:r>
        <w:rPr>
          <w:spacing w:val="-9"/>
        </w:rPr>
        <w:t xml:space="preserve"> </w:t>
      </w:r>
      <w:r>
        <w:t>reduction</w:t>
      </w:r>
      <w:r>
        <w:rPr>
          <w:spacing w:val="-13"/>
        </w:rPr>
        <w:t xml:space="preserve"> </w:t>
      </w:r>
      <w:r>
        <w:t>in</w:t>
      </w:r>
      <w:r>
        <w:rPr>
          <w:spacing w:val="-12"/>
        </w:rPr>
        <w:t xml:space="preserve"> </w:t>
      </w:r>
      <w:r>
        <w:t>IGA</w:t>
      </w:r>
      <w:r>
        <w:rPr>
          <w:spacing w:val="-13"/>
        </w:rPr>
        <w:t xml:space="preserve"> </w:t>
      </w:r>
      <w:r>
        <w:t>compared</w:t>
      </w:r>
      <w:r>
        <w:rPr>
          <w:spacing w:val="-11"/>
        </w:rPr>
        <w:t xml:space="preserve"> </w:t>
      </w:r>
      <w:r>
        <w:t>to baseline and an IGA score of 0 (clear) or 1 (almost clear).</w:t>
      </w:r>
    </w:p>
    <w:p w14:paraId="06ACE846" w14:textId="77777777" w:rsidR="00365624" w:rsidRDefault="00365624">
      <w:pPr>
        <w:pStyle w:val="BodyText"/>
        <w:spacing w:before="228"/>
        <w:ind w:left="0"/>
      </w:pPr>
    </w:p>
    <w:p w14:paraId="06ACE847" w14:textId="77777777" w:rsidR="00365624" w:rsidRDefault="002B025E">
      <w:pPr>
        <w:pStyle w:val="Heading1"/>
        <w:numPr>
          <w:ilvl w:val="1"/>
          <w:numId w:val="1"/>
        </w:numPr>
        <w:tabs>
          <w:tab w:val="left" w:pos="628"/>
        </w:tabs>
        <w:ind w:left="628" w:hanging="368"/>
      </w:pPr>
      <w:r>
        <w:rPr>
          <w:spacing w:val="-9"/>
        </w:rPr>
        <w:t>PHARMACOKINETIC</w:t>
      </w:r>
      <w:r>
        <w:rPr>
          <w:spacing w:val="13"/>
        </w:rPr>
        <w:t xml:space="preserve"> </w:t>
      </w:r>
      <w:r>
        <w:rPr>
          <w:spacing w:val="-2"/>
        </w:rPr>
        <w:t>PROPERTIES</w:t>
      </w:r>
    </w:p>
    <w:p w14:paraId="06ACE848" w14:textId="77777777" w:rsidR="00365624" w:rsidRDefault="002B025E">
      <w:pPr>
        <w:pStyle w:val="Heading2"/>
        <w:spacing w:before="198"/>
        <w:jc w:val="left"/>
      </w:pPr>
      <w:r>
        <w:rPr>
          <w:spacing w:val="-2"/>
        </w:rPr>
        <w:t>Absorption</w:t>
      </w:r>
    </w:p>
    <w:p w14:paraId="06ACE849" w14:textId="77777777" w:rsidR="00365624" w:rsidRDefault="002B025E">
      <w:pPr>
        <w:pStyle w:val="BodyText"/>
        <w:spacing w:before="84" w:line="237" w:lineRule="auto"/>
        <w:ind w:right="660"/>
        <w:jc w:val="both"/>
      </w:pPr>
      <w:r>
        <w:t>Following</w:t>
      </w:r>
      <w:r>
        <w:rPr>
          <w:spacing w:val="-9"/>
        </w:rPr>
        <w:t xml:space="preserve"> </w:t>
      </w:r>
      <w:r>
        <w:t>topical</w:t>
      </w:r>
      <w:r>
        <w:rPr>
          <w:spacing w:val="-11"/>
        </w:rPr>
        <w:t xml:space="preserve"> </w:t>
      </w:r>
      <w:r>
        <w:t>treatment</w:t>
      </w:r>
      <w:r>
        <w:rPr>
          <w:spacing w:val="-6"/>
        </w:rPr>
        <w:t xml:space="preserve"> </w:t>
      </w:r>
      <w:r>
        <w:t>of</w:t>
      </w:r>
      <w:r>
        <w:rPr>
          <w:spacing w:val="-8"/>
        </w:rPr>
        <w:t xml:space="preserve"> </w:t>
      </w:r>
      <w:r>
        <w:t>WINLEVI</w:t>
      </w:r>
      <w:r>
        <w:rPr>
          <w:spacing w:val="-9"/>
        </w:rPr>
        <w:t xml:space="preserve"> </w:t>
      </w:r>
      <w:r>
        <w:t>for</w:t>
      </w:r>
      <w:r>
        <w:rPr>
          <w:spacing w:val="-8"/>
        </w:rPr>
        <w:t xml:space="preserve"> </w:t>
      </w:r>
      <w:r>
        <w:t>2</w:t>
      </w:r>
      <w:r>
        <w:rPr>
          <w:spacing w:val="-9"/>
        </w:rPr>
        <w:t xml:space="preserve"> </w:t>
      </w:r>
      <w:r>
        <w:t>weeks</w:t>
      </w:r>
      <w:r>
        <w:rPr>
          <w:spacing w:val="-10"/>
        </w:rPr>
        <w:t xml:space="preserve"> </w:t>
      </w:r>
      <w:r>
        <w:t>with</w:t>
      </w:r>
      <w:r>
        <w:rPr>
          <w:spacing w:val="-9"/>
        </w:rPr>
        <w:t xml:space="preserve"> </w:t>
      </w:r>
      <w:r>
        <w:t>a</w:t>
      </w:r>
      <w:r>
        <w:rPr>
          <w:spacing w:val="-10"/>
        </w:rPr>
        <w:t xml:space="preserve"> </w:t>
      </w:r>
      <w:r>
        <w:t>mean</w:t>
      </w:r>
      <w:r>
        <w:rPr>
          <w:spacing w:val="-10"/>
        </w:rPr>
        <w:t xml:space="preserve"> </w:t>
      </w:r>
      <w:r>
        <w:t>dose</w:t>
      </w:r>
      <w:r>
        <w:rPr>
          <w:spacing w:val="-8"/>
        </w:rPr>
        <w:t xml:space="preserve"> </w:t>
      </w:r>
      <w:r>
        <w:t>of</w:t>
      </w:r>
      <w:r>
        <w:rPr>
          <w:spacing w:val="-9"/>
        </w:rPr>
        <w:t xml:space="preserve"> </w:t>
      </w:r>
      <w:r>
        <w:t>approximately</w:t>
      </w:r>
      <w:r>
        <w:rPr>
          <w:spacing w:val="-8"/>
        </w:rPr>
        <w:t xml:space="preserve"> </w:t>
      </w:r>
      <w:r>
        <w:t>6</w:t>
      </w:r>
      <w:r>
        <w:rPr>
          <w:spacing w:val="-9"/>
        </w:rPr>
        <w:t xml:space="preserve"> </w:t>
      </w:r>
      <w:r>
        <w:t>grams</w:t>
      </w:r>
      <w:r>
        <w:rPr>
          <w:spacing w:val="-8"/>
        </w:rPr>
        <w:t xml:space="preserve"> </w:t>
      </w:r>
      <w:r>
        <w:t>applied</w:t>
      </w:r>
      <w:r>
        <w:rPr>
          <w:spacing w:val="-10"/>
        </w:rPr>
        <w:t xml:space="preserve"> </w:t>
      </w:r>
      <w:r>
        <w:t>twice</w:t>
      </w:r>
      <w:r>
        <w:rPr>
          <w:spacing w:val="-9"/>
        </w:rPr>
        <w:t xml:space="preserve"> </w:t>
      </w:r>
      <w:r>
        <w:t>daily to</w:t>
      </w:r>
      <w:r>
        <w:rPr>
          <w:spacing w:val="-3"/>
        </w:rPr>
        <w:t xml:space="preserve"> </w:t>
      </w:r>
      <w:r>
        <w:t>adult</w:t>
      </w:r>
      <w:r>
        <w:rPr>
          <w:spacing w:val="-2"/>
        </w:rPr>
        <w:t xml:space="preserve"> </w:t>
      </w:r>
      <w:r>
        <w:t>patients</w:t>
      </w:r>
      <w:r>
        <w:rPr>
          <w:spacing w:val="-1"/>
        </w:rPr>
        <w:t xml:space="preserve"> </w:t>
      </w:r>
      <w:r>
        <w:t>with</w:t>
      </w:r>
      <w:r>
        <w:rPr>
          <w:spacing w:val="-1"/>
        </w:rPr>
        <w:t xml:space="preserve"> </w:t>
      </w:r>
      <w:r>
        <w:t>moderate</w:t>
      </w:r>
      <w:r>
        <w:rPr>
          <w:spacing w:val="-2"/>
        </w:rPr>
        <w:t xml:space="preserve"> </w:t>
      </w:r>
      <w:r>
        <w:t>to</w:t>
      </w:r>
      <w:r>
        <w:rPr>
          <w:spacing w:val="-3"/>
        </w:rPr>
        <w:t xml:space="preserve"> </w:t>
      </w:r>
      <w:r>
        <w:t>severe</w:t>
      </w:r>
      <w:r>
        <w:rPr>
          <w:spacing w:val="-2"/>
        </w:rPr>
        <w:t xml:space="preserve"> </w:t>
      </w:r>
      <w:r>
        <w:t>acne</w:t>
      </w:r>
      <w:r>
        <w:rPr>
          <w:spacing w:val="-1"/>
        </w:rPr>
        <w:t xml:space="preserve"> </w:t>
      </w:r>
      <w:r>
        <w:t>vulgaris</w:t>
      </w:r>
      <w:r>
        <w:rPr>
          <w:spacing w:val="-1"/>
        </w:rPr>
        <w:t xml:space="preserve"> </w:t>
      </w:r>
      <w:r>
        <w:t>(n=20),</w:t>
      </w:r>
      <w:r>
        <w:rPr>
          <w:spacing w:val="-1"/>
        </w:rPr>
        <w:t xml:space="preserve"> </w:t>
      </w:r>
      <w:r>
        <w:t>systemic</w:t>
      </w:r>
      <w:r>
        <w:rPr>
          <w:spacing w:val="-1"/>
        </w:rPr>
        <w:t xml:space="preserve"> </w:t>
      </w:r>
      <w:r>
        <w:t>concentrations</w:t>
      </w:r>
      <w:r>
        <w:rPr>
          <w:spacing w:val="-1"/>
        </w:rPr>
        <w:t xml:space="preserve"> </w:t>
      </w:r>
      <w:r>
        <w:t>of</w:t>
      </w:r>
      <w:r>
        <w:rPr>
          <w:spacing w:val="-1"/>
        </w:rPr>
        <w:t xml:space="preserve"> </w:t>
      </w:r>
      <w:r>
        <w:t>clascoterone</w:t>
      </w:r>
      <w:r>
        <w:rPr>
          <w:spacing w:val="-1"/>
        </w:rPr>
        <w:t xml:space="preserve"> </w:t>
      </w:r>
      <w:r>
        <w:t>were at a steady state by Day 5.</w:t>
      </w:r>
      <w:r>
        <w:rPr>
          <w:spacing w:val="39"/>
        </w:rPr>
        <w:t xml:space="preserve"> </w:t>
      </w:r>
      <w:r>
        <w:t>On Day 14, the mean ± SD maximum plasma concentration (C</w:t>
      </w:r>
      <w:r>
        <w:rPr>
          <w:vertAlign w:val="subscript"/>
        </w:rPr>
        <w:t>max</w:t>
      </w:r>
      <w:r>
        <w:t>) was 4.5 ± 2.9 ng/mL, the</w:t>
      </w:r>
      <w:r>
        <w:rPr>
          <w:spacing w:val="-13"/>
        </w:rPr>
        <w:t xml:space="preserve"> </w:t>
      </w:r>
      <w:r>
        <w:t>mean</w:t>
      </w:r>
      <w:r>
        <w:rPr>
          <w:spacing w:val="-12"/>
        </w:rPr>
        <w:t xml:space="preserve"> </w:t>
      </w:r>
      <w:r>
        <w:t>±</w:t>
      </w:r>
      <w:r>
        <w:rPr>
          <w:spacing w:val="-11"/>
        </w:rPr>
        <w:t xml:space="preserve"> </w:t>
      </w:r>
      <w:r>
        <w:t>SD</w:t>
      </w:r>
      <w:r>
        <w:rPr>
          <w:spacing w:val="-11"/>
        </w:rPr>
        <w:t xml:space="preserve"> </w:t>
      </w:r>
      <w:r>
        <w:t>area</w:t>
      </w:r>
      <w:r>
        <w:rPr>
          <w:spacing w:val="-11"/>
        </w:rPr>
        <w:t xml:space="preserve"> </w:t>
      </w:r>
      <w:r>
        <w:t>under</w:t>
      </w:r>
      <w:r>
        <w:rPr>
          <w:spacing w:val="-12"/>
        </w:rPr>
        <w:t xml:space="preserve"> </w:t>
      </w:r>
      <w:r>
        <w:t>the</w:t>
      </w:r>
      <w:r>
        <w:rPr>
          <w:spacing w:val="-11"/>
        </w:rPr>
        <w:t xml:space="preserve"> </w:t>
      </w:r>
      <w:r>
        <w:t>plasma</w:t>
      </w:r>
      <w:r>
        <w:rPr>
          <w:spacing w:val="-11"/>
        </w:rPr>
        <w:t xml:space="preserve"> </w:t>
      </w:r>
      <w:r>
        <w:t>concentration-time</w:t>
      </w:r>
      <w:r>
        <w:rPr>
          <w:spacing w:val="-11"/>
        </w:rPr>
        <w:t xml:space="preserve"> </w:t>
      </w:r>
      <w:r>
        <w:t>over</w:t>
      </w:r>
      <w:r>
        <w:rPr>
          <w:spacing w:val="-11"/>
        </w:rPr>
        <w:t xml:space="preserve"> </w:t>
      </w:r>
      <w:r>
        <w:t>the</w:t>
      </w:r>
      <w:r>
        <w:rPr>
          <w:spacing w:val="-11"/>
        </w:rPr>
        <w:t xml:space="preserve"> </w:t>
      </w:r>
      <w:r>
        <w:t>dosing</w:t>
      </w:r>
      <w:r>
        <w:rPr>
          <w:spacing w:val="-12"/>
        </w:rPr>
        <w:t xml:space="preserve"> </w:t>
      </w:r>
      <w:r>
        <w:t>interval</w:t>
      </w:r>
      <w:r>
        <w:rPr>
          <w:spacing w:val="-11"/>
        </w:rPr>
        <w:t xml:space="preserve"> </w:t>
      </w:r>
      <w:r>
        <w:t>(AUC</w:t>
      </w:r>
      <w:r>
        <w:rPr>
          <w:rFonts w:ascii="Arial" w:eastAsia="Arial" w:hAnsi="Arial" w:cs="Arial"/>
          <w:vertAlign w:val="subscript"/>
        </w:rPr>
        <w:t>ꞇ</w:t>
      </w:r>
      <w:r>
        <w:t>)</w:t>
      </w:r>
      <w:r>
        <w:rPr>
          <w:spacing w:val="-11"/>
        </w:rPr>
        <w:t xml:space="preserve"> </w:t>
      </w:r>
      <w:r>
        <w:t>was</w:t>
      </w:r>
      <w:r>
        <w:rPr>
          <w:spacing w:val="-11"/>
        </w:rPr>
        <w:t xml:space="preserve"> </w:t>
      </w:r>
      <w:r>
        <w:t>37.1</w:t>
      </w:r>
      <w:r>
        <w:rPr>
          <w:spacing w:val="-11"/>
        </w:rPr>
        <w:t xml:space="preserve"> </w:t>
      </w:r>
      <w:r>
        <w:t>±</w:t>
      </w:r>
      <w:r>
        <w:rPr>
          <w:spacing w:val="-11"/>
        </w:rPr>
        <w:t xml:space="preserve"> </w:t>
      </w:r>
      <w:r>
        <w:t>22.3</w:t>
      </w:r>
      <w:r>
        <w:rPr>
          <w:spacing w:val="-12"/>
        </w:rPr>
        <w:t xml:space="preserve"> </w:t>
      </w:r>
      <w:r>
        <w:t>h*ng/mL and the mean± SD average plasma concentration (C</w:t>
      </w:r>
      <w:r>
        <w:rPr>
          <w:vertAlign w:val="subscript"/>
        </w:rPr>
        <w:t>avg</w:t>
      </w:r>
      <w:r>
        <w:t>) was 3.1 ± 1.9 ng/mL.</w:t>
      </w:r>
    </w:p>
    <w:p w14:paraId="06ACE84A" w14:textId="77777777" w:rsidR="00365624" w:rsidRDefault="002B025E">
      <w:pPr>
        <w:pStyle w:val="Heading2"/>
        <w:spacing w:before="202"/>
        <w:jc w:val="left"/>
      </w:pPr>
      <w:r>
        <w:rPr>
          <w:spacing w:val="-2"/>
        </w:rPr>
        <w:t>Distribution</w:t>
      </w:r>
    </w:p>
    <w:p w14:paraId="06ACE84B" w14:textId="77777777" w:rsidR="00365624" w:rsidRDefault="002B025E">
      <w:pPr>
        <w:pStyle w:val="BodyText"/>
        <w:spacing w:before="81"/>
        <w:rPr>
          <w:spacing w:val="-6"/>
        </w:rPr>
      </w:pPr>
      <w:r>
        <w:rPr>
          <w:spacing w:val="-6"/>
        </w:rPr>
        <w:t>Plasma</w:t>
      </w:r>
      <w:r>
        <w:rPr>
          <w:spacing w:val="-8"/>
        </w:rPr>
        <w:t xml:space="preserve"> </w:t>
      </w:r>
      <w:r>
        <w:rPr>
          <w:spacing w:val="-6"/>
        </w:rPr>
        <w:t>protein</w:t>
      </w:r>
      <w:r>
        <w:rPr>
          <w:spacing w:val="2"/>
        </w:rPr>
        <w:t xml:space="preserve"> </w:t>
      </w:r>
      <w:r>
        <w:rPr>
          <w:spacing w:val="-6"/>
        </w:rPr>
        <w:t>binding</w:t>
      </w:r>
      <w:r>
        <w:rPr>
          <w:spacing w:val="-1"/>
        </w:rPr>
        <w:t xml:space="preserve"> </w:t>
      </w:r>
      <w:r>
        <w:rPr>
          <w:spacing w:val="-6"/>
        </w:rPr>
        <w:t>of</w:t>
      </w:r>
      <w:r>
        <w:t xml:space="preserve"> </w:t>
      </w:r>
      <w:r>
        <w:rPr>
          <w:spacing w:val="-6"/>
        </w:rPr>
        <w:t>clascoterone</w:t>
      </w:r>
      <w:r>
        <w:rPr>
          <w:spacing w:val="-2"/>
        </w:rPr>
        <w:t xml:space="preserve"> </w:t>
      </w:r>
      <w:r>
        <w:rPr>
          <w:spacing w:val="-6"/>
        </w:rPr>
        <w:t>is</w:t>
      </w:r>
      <w:r>
        <w:rPr>
          <w:spacing w:val="-1"/>
        </w:rPr>
        <w:t xml:space="preserve"> </w:t>
      </w:r>
      <w:r>
        <w:rPr>
          <w:spacing w:val="-6"/>
        </w:rPr>
        <w:t>84%</w:t>
      </w:r>
      <w:r>
        <w:rPr>
          <w:spacing w:val="2"/>
        </w:rPr>
        <w:t xml:space="preserve"> </w:t>
      </w:r>
      <w:r>
        <w:rPr>
          <w:spacing w:val="-6"/>
        </w:rPr>
        <w:t>to</w:t>
      </w:r>
      <w:r>
        <w:rPr>
          <w:spacing w:val="-5"/>
        </w:rPr>
        <w:t xml:space="preserve"> </w:t>
      </w:r>
      <w:r>
        <w:rPr>
          <w:spacing w:val="-6"/>
        </w:rPr>
        <w:t>89%</w:t>
      </w:r>
      <w:r>
        <w:rPr>
          <w:spacing w:val="6"/>
        </w:rPr>
        <w:t xml:space="preserve"> </w:t>
      </w:r>
      <w:r>
        <w:rPr>
          <w:spacing w:val="-6"/>
        </w:rPr>
        <w:t>and</w:t>
      </w:r>
      <w:r>
        <w:rPr>
          <w:spacing w:val="-2"/>
        </w:rPr>
        <w:t xml:space="preserve"> </w:t>
      </w:r>
      <w:r>
        <w:rPr>
          <w:spacing w:val="-6"/>
        </w:rPr>
        <w:t>is</w:t>
      </w:r>
      <w:r>
        <w:rPr>
          <w:spacing w:val="-1"/>
        </w:rPr>
        <w:t xml:space="preserve"> </w:t>
      </w:r>
      <w:r>
        <w:rPr>
          <w:spacing w:val="-6"/>
        </w:rPr>
        <w:t>independent</w:t>
      </w:r>
      <w:r>
        <w:rPr>
          <w:spacing w:val="6"/>
        </w:rPr>
        <w:t xml:space="preserve"> </w:t>
      </w:r>
      <w:r>
        <w:rPr>
          <w:spacing w:val="-6"/>
        </w:rPr>
        <w:t>of</w:t>
      </w:r>
      <w:r>
        <w:rPr>
          <w:spacing w:val="1"/>
        </w:rPr>
        <w:t xml:space="preserve"> </w:t>
      </w:r>
      <w:r>
        <w:rPr>
          <w:spacing w:val="-6"/>
        </w:rPr>
        <w:t>concentrations,</w:t>
      </w:r>
      <w:r>
        <w:rPr>
          <w:spacing w:val="-1"/>
        </w:rPr>
        <w:t xml:space="preserve"> </w:t>
      </w:r>
      <w:r>
        <w:rPr>
          <w:i/>
          <w:spacing w:val="-6"/>
        </w:rPr>
        <w:t>in</w:t>
      </w:r>
      <w:r>
        <w:rPr>
          <w:i/>
          <w:spacing w:val="-1"/>
        </w:rPr>
        <w:t xml:space="preserve"> </w:t>
      </w:r>
      <w:r>
        <w:rPr>
          <w:i/>
          <w:spacing w:val="-6"/>
        </w:rPr>
        <w:t>vitro</w:t>
      </w:r>
      <w:r>
        <w:rPr>
          <w:spacing w:val="-6"/>
        </w:rPr>
        <w:t>.</w:t>
      </w:r>
    </w:p>
    <w:p w14:paraId="0650EFD6" w14:textId="77777777" w:rsidR="008B5AF3" w:rsidRDefault="008B5AF3">
      <w:pPr>
        <w:pStyle w:val="Heading2"/>
        <w:spacing w:before="14"/>
        <w:jc w:val="left"/>
        <w:rPr>
          <w:spacing w:val="-2"/>
        </w:rPr>
      </w:pPr>
    </w:p>
    <w:p w14:paraId="06ACE84D" w14:textId="03B65E6B" w:rsidR="00365624" w:rsidRDefault="002B025E">
      <w:pPr>
        <w:pStyle w:val="Heading2"/>
        <w:spacing w:before="14"/>
        <w:jc w:val="left"/>
      </w:pPr>
      <w:r>
        <w:rPr>
          <w:spacing w:val="-2"/>
        </w:rPr>
        <w:t>Metabolism</w:t>
      </w:r>
    </w:p>
    <w:p w14:paraId="06ACE84E" w14:textId="77777777" w:rsidR="00365624" w:rsidRDefault="002B025E">
      <w:pPr>
        <w:pStyle w:val="BodyText"/>
        <w:spacing w:before="42"/>
        <w:ind w:right="761"/>
      </w:pPr>
      <w:r>
        <w:rPr>
          <w:spacing w:val="-2"/>
        </w:rPr>
        <w:t>Following</w:t>
      </w:r>
      <w:r>
        <w:rPr>
          <w:spacing w:val="-10"/>
        </w:rPr>
        <w:t xml:space="preserve"> </w:t>
      </w:r>
      <w:r>
        <w:rPr>
          <w:spacing w:val="-2"/>
        </w:rPr>
        <w:t>topical</w:t>
      </w:r>
      <w:r>
        <w:rPr>
          <w:spacing w:val="-10"/>
        </w:rPr>
        <w:t xml:space="preserve"> </w:t>
      </w:r>
      <w:r>
        <w:rPr>
          <w:spacing w:val="-2"/>
        </w:rPr>
        <w:t>treatment</w:t>
      </w:r>
      <w:r>
        <w:rPr>
          <w:spacing w:val="-7"/>
        </w:rPr>
        <w:t xml:space="preserve"> </w:t>
      </w:r>
      <w:r>
        <w:rPr>
          <w:spacing w:val="-2"/>
        </w:rPr>
        <w:t>with</w:t>
      </w:r>
      <w:r>
        <w:rPr>
          <w:spacing w:val="-8"/>
        </w:rPr>
        <w:t xml:space="preserve"> </w:t>
      </w:r>
      <w:r>
        <w:rPr>
          <w:spacing w:val="-2"/>
        </w:rPr>
        <w:t>WINLEVI,</w:t>
      </w:r>
      <w:r>
        <w:rPr>
          <w:spacing w:val="-10"/>
        </w:rPr>
        <w:t xml:space="preserve"> </w:t>
      </w:r>
      <w:r>
        <w:rPr>
          <w:spacing w:val="-2"/>
        </w:rPr>
        <w:t>the</w:t>
      </w:r>
      <w:r>
        <w:rPr>
          <w:spacing w:val="-8"/>
        </w:rPr>
        <w:t xml:space="preserve"> </w:t>
      </w:r>
      <w:r>
        <w:rPr>
          <w:spacing w:val="-2"/>
        </w:rPr>
        <w:t>plasma</w:t>
      </w:r>
      <w:r>
        <w:rPr>
          <w:spacing w:val="-12"/>
        </w:rPr>
        <w:t xml:space="preserve"> </w:t>
      </w:r>
      <w:r>
        <w:rPr>
          <w:spacing w:val="-2"/>
        </w:rPr>
        <w:t>concentrations</w:t>
      </w:r>
      <w:r>
        <w:rPr>
          <w:spacing w:val="-8"/>
        </w:rPr>
        <w:t xml:space="preserve"> </w:t>
      </w:r>
      <w:r>
        <w:rPr>
          <w:spacing w:val="-2"/>
        </w:rPr>
        <w:t>of</w:t>
      </w:r>
      <w:r>
        <w:rPr>
          <w:spacing w:val="-7"/>
        </w:rPr>
        <w:t xml:space="preserve"> </w:t>
      </w:r>
      <w:r>
        <w:rPr>
          <w:spacing w:val="-2"/>
        </w:rPr>
        <w:t>cortexolone,</w:t>
      </w:r>
      <w:r>
        <w:rPr>
          <w:spacing w:val="-6"/>
        </w:rPr>
        <w:t xml:space="preserve"> </w:t>
      </w:r>
      <w:r>
        <w:rPr>
          <w:spacing w:val="-2"/>
        </w:rPr>
        <w:t>a</w:t>
      </w:r>
      <w:r>
        <w:rPr>
          <w:spacing w:val="-11"/>
        </w:rPr>
        <w:t xml:space="preserve"> </w:t>
      </w:r>
      <w:r>
        <w:rPr>
          <w:spacing w:val="-2"/>
        </w:rPr>
        <w:t>possible</w:t>
      </w:r>
      <w:r>
        <w:rPr>
          <w:spacing w:val="-8"/>
        </w:rPr>
        <w:t xml:space="preserve"> </w:t>
      </w:r>
      <w:r>
        <w:rPr>
          <w:spacing w:val="-2"/>
        </w:rPr>
        <w:t>primary</w:t>
      </w:r>
      <w:r>
        <w:rPr>
          <w:spacing w:val="-9"/>
        </w:rPr>
        <w:t xml:space="preserve"> </w:t>
      </w:r>
      <w:r>
        <w:rPr>
          <w:spacing w:val="-2"/>
        </w:rPr>
        <w:t>metabolite of</w:t>
      </w:r>
      <w:r>
        <w:rPr>
          <w:spacing w:val="-6"/>
        </w:rPr>
        <w:t xml:space="preserve"> </w:t>
      </w:r>
      <w:r>
        <w:rPr>
          <w:spacing w:val="-2"/>
        </w:rPr>
        <w:t>clascoterone,</w:t>
      </w:r>
      <w:r>
        <w:rPr>
          <w:spacing w:val="-1"/>
        </w:rPr>
        <w:t xml:space="preserve"> </w:t>
      </w:r>
      <w:r>
        <w:rPr>
          <w:spacing w:val="-2"/>
        </w:rPr>
        <w:t>were</w:t>
      </w:r>
      <w:r>
        <w:rPr>
          <w:spacing w:val="-10"/>
        </w:rPr>
        <w:t xml:space="preserve"> </w:t>
      </w:r>
      <w:r>
        <w:rPr>
          <w:spacing w:val="-2"/>
        </w:rPr>
        <w:t>detectable</w:t>
      </w:r>
      <w:r>
        <w:rPr>
          <w:spacing w:val="-9"/>
        </w:rPr>
        <w:t xml:space="preserve"> </w:t>
      </w:r>
      <w:r>
        <w:rPr>
          <w:spacing w:val="-2"/>
        </w:rPr>
        <w:t>and</w:t>
      </w:r>
      <w:r>
        <w:rPr>
          <w:spacing w:val="-9"/>
        </w:rPr>
        <w:t xml:space="preserve"> </w:t>
      </w:r>
      <w:r>
        <w:rPr>
          <w:spacing w:val="-2"/>
        </w:rPr>
        <w:t>generally</w:t>
      </w:r>
      <w:r>
        <w:rPr>
          <w:spacing w:val="-7"/>
        </w:rPr>
        <w:t xml:space="preserve"> </w:t>
      </w:r>
      <w:r>
        <w:rPr>
          <w:spacing w:val="-2"/>
        </w:rPr>
        <w:t>below</w:t>
      </w:r>
      <w:r>
        <w:rPr>
          <w:spacing w:val="-5"/>
        </w:rPr>
        <w:t xml:space="preserve"> </w:t>
      </w:r>
      <w:r>
        <w:rPr>
          <w:spacing w:val="-2"/>
        </w:rPr>
        <w:t>or</w:t>
      </w:r>
      <w:r>
        <w:rPr>
          <w:spacing w:val="-6"/>
        </w:rPr>
        <w:t xml:space="preserve"> </w:t>
      </w:r>
      <w:r>
        <w:rPr>
          <w:spacing w:val="-2"/>
        </w:rPr>
        <w:t>near</w:t>
      </w:r>
      <w:r>
        <w:rPr>
          <w:spacing w:val="-8"/>
        </w:rPr>
        <w:t xml:space="preserve"> </w:t>
      </w:r>
      <w:r>
        <w:rPr>
          <w:spacing w:val="-2"/>
        </w:rPr>
        <w:t>the</w:t>
      </w:r>
      <w:r>
        <w:rPr>
          <w:spacing w:val="-7"/>
        </w:rPr>
        <w:t xml:space="preserve"> </w:t>
      </w:r>
      <w:r>
        <w:rPr>
          <w:spacing w:val="-2"/>
        </w:rPr>
        <w:t>lower</w:t>
      </w:r>
      <w:r>
        <w:rPr>
          <w:spacing w:val="-7"/>
        </w:rPr>
        <w:t xml:space="preserve"> </w:t>
      </w:r>
      <w:r>
        <w:rPr>
          <w:spacing w:val="-2"/>
        </w:rPr>
        <w:t>limit</w:t>
      </w:r>
      <w:r>
        <w:rPr>
          <w:spacing w:val="-1"/>
        </w:rPr>
        <w:t xml:space="preserve"> </w:t>
      </w:r>
      <w:r>
        <w:rPr>
          <w:spacing w:val="-2"/>
        </w:rPr>
        <w:t>of</w:t>
      </w:r>
      <w:r>
        <w:rPr>
          <w:spacing w:val="-8"/>
        </w:rPr>
        <w:t xml:space="preserve"> </w:t>
      </w:r>
      <w:r>
        <w:rPr>
          <w:spacing w:val="-2"/>
        </w:rPr>
        <w:t>quantitation</w:t>
      </w:r>
      <w:r>
        <w:rPr>
          <w:spacing w:val="-5"/>
        </w:rPr>
        <w:t xml:space="preserve"> </w:t>
      </w:r>
      <w:r>
        <w:rPr>
          <w:spacing w:val="-2"/>
        </w:rPr>
        <w:t>(0.5</w:t>
      </w:r>
      <w:r>
        <w:rPr>
          <w:spacing w:val="-8"/>
        </w:rPr>
        <w:t xml:space="preserve"> </w:t>
      </w:r>
      <w:r>
        <w:rPr>
          <w:spacing w:val="-2"/>
        </w:rPr>
        <w:t>ng/mL)</w:t>
      </w:r>
      <w:r>
        <w:rPr>
          <w:spacing w:val="-6"/>
        </w:rPr>
        <w:t xml:space="preserve"> </w:t>
      </w:r>
      <w:r>
        <w:rPr>
          <w:spacing w:val="-2"/>
        </w:rPr>
        <w:t>in</w:t>
      </w:r>
      <w:r>
        <w:rPr>
          <w:spacing w:val="-4"/>
        </w:rPr>
        <w:t xml:space="preserve"> </w:t>
      </w:r>
      <w:proofErr w:type="gramStart"/>
      <w:r>
        <w:rPr>
          <w:spacing w:val="-2"/>
        </w:rPr>
        <w:t>patients</w:t>
      </w:r>
      <w:proofErr w:type="gramEnd"/>
    </w:p>
    <w:p w14:paraId="06ACE84F" w14:textId="77777777" w:rsidR="00365624" w:rsidRDefault="002B025E">
      <w:pPr>
        <w:pStyle w:val="BodyText"/>
        <w:spacing w:line="243" w:lineRule="exact"/>
      </w:pPr>
      <w:r>
        <w:rPr>
          <w:spacing w:val="-4"/>
        </w:rPr>
        <w:t>≥12</w:t>
      </w:r>
      <w:r>
        <w:rPr>
          <w:spacing w:val="-10"/>
        </w:rPr>
        <w:t xml:space="preserve"> </w:t>
      </w:r>
      <w:r>
        <w:rPr>
          <w:spacing w:val="-4"/>
        </w:rPr>
        <w:t>years</w:t>
      </w:r>
      <w:r>
        <w:rPr>
          <w:spacing w:val="-7"/>
        </w:rPr>
        <w:t xml:space="preserve"> </w:t>
      </w:r>
      <w:r>
        <w:rPr>
          <w:spacing w:val="-4"/>
        </w:rPr>
        <w:t>of</w:t>
      </w:r>
      <w:r>
        <w:rPr>
          <w:spacing w:val="-5"/>
        </w:rPr>
        <w:t xml:space="preserve"> </w:t>
      </w:r>
      <w:r>
        <w:rPr>
          <w:spacing w:val="-4"/>
        </w:rPr>
        <w:t>age</w:t>
      </w:r>
      <w:r>
        <w:rPr>
          <w:spacing w:val="-8"/>
        </w:rPr>
        <w:t xml:space="preserve"> </w:t>
      </w:r>
      <w:r>
        <w:rPr>
          <w:spacing w:val="-4"/>
        </w:rPr>
        <w:t>with</w:t>
      </w:r>
      <w:r>
        <w:rPr>
          <w:spacing w:val="-7"/>
        </w:rPr>
        <w:t xml:space="preserve"> </w:t>
      </w:r>
      <w:r>
        <w:rPr>
          <w:spacing w:val="-4"/>
        </w:rPr>
        <w:t>acne</w:t>
      </w:r>
      <w:r>
        <w:rPr>
          <w:spacing w:val="-9"/>
        </w:rPr>
        <w:t xml:space="preserve"> </w:t>
      </w:r>
      <w:r>
        <w:rPr>
          <w:spacing w:val="-4"/>
        </w:rPr>
        <w:t>vulgaris.</w:t>
      </w:r>
    </w:p>
    <w:p w14:paraId="06ACE850" w14:textId="77777777" w:rsidR="00365624" w:rsidRDefault="002B025E">
      <w:pPr>
        <w:pStyle w:val="BodyText"/>
        <w:spacing w:before="128"/>
        <w:ind w:right="761"/>
      </w:pPr>
      <w:r>
        <w:lastRenderedPageBreak/>
        <w:t>The</w:t>
      </w:r>
      <w:r>
        <w:rPr>
          <w:spacing w:val="-12"/>
        </w:rPr>
        <w:t xml:space="preserve"> </w:t>
      </w:r>
      <w:r>
        <w:rPr>
          <w:i/>
        </w:rPr>
        <w:t>in</w:t>
      </w:r>
      <w:r>
        <w:rPr>
          <w:i/>
          <w:spacing w:val="-12"/>
        </w:rPr>
        <w:t xml:space="preserve"> </w:t>
      </w:r>
      <w:r>
        <w:rPr>
          <w:i/>
        </w:rPr>
        <w:t>vitro</w:t>
      </w:r>
      <w:r>
        <w:rPr>
          <w:i/>
          <w:spacing w:val="-10"/>
        </w:rPr>
        <w:t xml:space="preserve"> </w:t>
      </w:r>
      <w:r>
        <w:t>study</w:t>
      </w:r>
      <w:r>
        <w:rPr>
          <w:spacing w:val="-13"/>
        </w:rPr>
        <w:t xml:space="preserve"> </w:t>
      </w:r>
      <w:r>
        <w:t>indicated</w:t>
      </w:r>
      <w:r>
        <w:rPr>
          <w:spacing w:val="-12"/>
        </w:rPr>
        <w:t xml:space="preserve"> </w:t>
      </w:r>
      <w:r>
        <w:t>that</w:t>
      </w:r>
      <w:r>
        <w:rPr>
          <w:spacing w:val="-13"/>
        </w:rPr>
        <w:t xml:space="preserve"> </w:t>
      </w:r>
      <w:r>
        <w:t>incubation</w:t>
      </w:r>
      <w:r>
        <w:rPr>
          <w:spacing w:val="-10"/>
        </w:rPr>
        <w:t xml:space="preserve"> </w:t>
      </w:r>
      <w:r>
        <w:t>of</w:t>
      </w:r>
      <w:r>
        <w:rPr>
          <w:spacing w:val="-8"/>
        </w:rPr>
        <w:t xml:space="preserve"> </w:t>
      </w:r>
      <w:r>
        <w:t>clascoterone</w:t>
      </w:r>
      <w:r>
        <w:rPr>
          <w:spacing w:val="-10"/>
        </w:rPr>
        <w:t xml:space="preserve"> </w:t>
      </w:r>
      <w:r>
        <w:t>with</w:t>
      </w:r>
      <w:r>
        <w:rPr>
          <w:spacing w:val="-10"/>
        </w:rPr>
        <w:t xml:space="preserve"> </w:t>
      </w:r>
      <w:r>
        <w:t>human</w:t>
      </w:r>
      <w:r>
        <w:rPr>
          <w:spacing w:val="-13"/>
        </w:rPr>
        <w:t xml:space="preserve"> </w:t>
      </w:r>
      <w:r>
        <w:t>cryopreserved</w:t>
      </w:r>
      <w:r>
        <w:rPr>
          <w:spacing w:val="-8"/>
        </w:rPr>
        <w:t xml:space="preserve"> </w:t>
      </w:r>
      <w:r>
        <w:t>hepatocytes</w:t>
      </w:r>
      <w:r>
        <w:rPr>
          <w:spacing w:val="-10"/>
        </w:rPr>
        <w:t xml:space="preserve"> </w:t>
      </w:r>
      <w:r>
        <w:t>generated cortexolone as the possible primary metabolite and other metabolites, including conjugated metabolites.</w:t>
      </w:r>
    </w:p>
    <w:p w14:paraId="06ACE851" w14:textId="77777777" w:rsidR="00365624" w:rsidRDefault="002B025E">
      <w:pPr>
        <w:pStyle w:val="Heading2"/>
        <w:spacing w:before="205"/>
        <w:jc w:val="left"/>
      </w:pPr>
      <w:r>
        <w:rPr>
          <w:spacing w:val="-2"/>
        </w:rPr>
        <w:t>Excretion</w:t>
      </w:r>
    </w:p>
    <w:p w14:paraId="06ACE852" w14:textId="77777777" w:rsidR="00365624" w:rsidRDefault="002B025E">
      <w:pPr>
        <w:pStyle w:val="BodyText"/>
        <w:spacing w:before="78"/>
      </w:pPr>
      <w:r>
        <w:rPr>
          <w:spacing w:val="-6"/>
        </w:rPr>
        <w:t>The</w:t>
      </w:r>
      <w:r>
        <w:rPr>
          <w:spacing w:val="1"/>
        </w:rPr>
        <w:t xml:space="preserve"> </w:t>
      </w:r>
      <w:r>
        <w:rPr>
          <w:spacing w:val="-6"/>
        </w:rPr>
        <w:t>excretion</w:t>
      </w:r>
      <w:r>
        <w:rPr>
          <w:spacing w:val="-2"/>
        </w:rPr>
        <w:t xml:space="preserve"> </w:t>
      </w:r>
      <w:r>
        <w:rPr>
          <w:spacing w:val="-6"/>
        </w:rPr>
        <w:t>of</w:t>
      </w:r>
      <w:r>
        <w:rPr>
          <w:spacing w:val="2"/>
        </w:rPr>
        <w:t xml:space="preserve"> </w:t>
      </w:r>
      <w:r>
        <w:rPr>
          <w:spacing w:val="-6"/>
        </w:rPr>
        <w:t>clascoterone</w:t>
      </w:r>
      <w:r>
        <w:t xml:space="preserve"> </w:t>
      </w:r>
      <w:r>
        <w:rPr>
          <w:spacing w:val="-6"/>
        </w:rPr>
        <w:t>has</w:t>
      </w:r>
      <w:r>
        <w:rPr>
          <w:spacing w:val="5"/>
        </w:rPr>
        <w:t xml:space="preserve"> </w:t>
      </w:r>
      <w:r>
        <w:rPr>
          <w:spacing w:val="-6"/>
        </w:rPr>
        <w:t>not</w:t>
      </w:r>
      <w:r>
        <w:rPr>
          <w:spacing w:val="5"/>
        </w:rPr>
        <w:t xml:space="preserve"> </w:t>
      </w:r>
      <w:r>
        <w:rPr>
          <w:spacing w:val="-6"/>
        </w:rPr>
        <w:t>been</w:t>
      </w:r>
      <w:r>
        <w:rPr>
          <w:spacing w:val="-2"/>
        </w:rPr>
        <w:t xml:space="preserve"> </w:t>
      </w:r>
      <w:r>
        <w:rPr>
          <w:spacing w:val="-6"/>
        </w:rPr>
        <w:t>fully</w:t>
      </w:r>
      <w:r>
        <w:rPr>
          <w:spacing w:val="3"/>
        </w:rPr>
        <w:t xml:space="preserve"> </w:t>
      </w:r>
      <w:r>
        <w:rPr>
          <w:spacing w:val="-6"/>
        </w:rPr>
        <w:t>characterized</w:t>
      </w:r>
      <w:r>
        <w:rPr>
          <w:spacing w:val="4"/>
        </w:rPr>
        <w:t xml:space="preserve"> </w:t>
      </w:r>
      <w:r>
        <w:rPr>
          <w:spacing w:val="-6"/>
        </w:rPr>
        <w:t>in</w:t>
      </w:r>
      <w:r>
        <w:t xml:space="preserve"> </w:t>
      </w:r>
      <w:r>
        <w:rPr>
          <w:spacing w:val="-6"/>
        </w:rPr>
        <w:t>humans.</w:t>
      </w:r>
    </w:p>
    <w:p w14:paraId="06ACE853" w14:textId="77777777" w:rsidR="00365624" w:rsidRDefault="002B025E">
      <w:pPr>
        <w:pStyle w:val="Heading2"/>
        <w:spacing w:before="200"/>
        <w:jc w:val="left"/>
      </w:pPr>
      <w:r>
        <w:rPr>
          <w:spacing w:val="-2"/>
        </w:rPr>
        <w:t>Paediatrics</w:t>
      </w:r>
    </w:p>
    <w:p w14:paraId="06ACE854" w14:textId="77777777" w:rsidR="00365624" w:rsidRDefault="002B025E">
      <w:pPr>
        <w:pStyle w:val="BodyText"/>
        <w:spacing w:before="138"/>
        <w:ind w:right="677"/>
        <w:jc w:val="both"/>
      </w:pPr>
      <w:bookmarkStart w:id="18" w:name="5.3_PRECLINICAL_SAFETY_DATA"/>
      <w:bookmarkEnd w:id="18"/>
      <w:r>
        <w:t xml:space="preserve">In adolescent patients 12 to &lt;18 years of age (n=22), after 2 weeks of twice daily treatment, with a mean dose of approximately 6 grams of WINLEVI per application (or mean dose of approximately 4 grams per application in younger, smaller subjects), steady-state concentrations of clascoterone were achieved by Day 5. Clascoterone systemic exposure in adolescents was </w:t>
      </w:r>
      <w:proofErr w:type="gramStart"/>
      <w:r>
        <w:t>similar to</w:t>
      </w:r>
      <w:proofErr w:type="gramEnd"/>
      <w:r>
        <w:t xml:space="preserve"> those observed in adults (see section 5.2 Pharmacokinetic Properties, Absorption)</w:t>
      </w:r>
    </w:p>
    <w:p w14:paraId="06ACE855" w14:textId="77777777" w:rsidR="00365624" w:rsidRDefault="00365624">
      <w:pPr>
        <w:pStyle w:val="BodyText"/>
        <w:spacing w:before="24"/>
        <w:ind w:left="0"/>
      </w:pPr>
    </w:p>
    <w:p w14:paraId="06ACE856" w14:textId="77777777" w:rsidR="00365624" w:rsidRDefault="002B025E">
      <w:pPr>
        <w:pStyle w:val="Heading1"/>
        <w:numPr>
          <w:ilvl w:val="1"/>
          <w:numId w:val="1"/>
        </w:numPr>
        <w:tabs>
          <w:tab w:val="left" w:pos="628"/>
        </w:tabs>
        <w:ind w:left="628" w:hanging="368"/>
      </w:pPr>
      <w:r>
        <w:rPr>
          <w:spacing w:val="-8"/>
        </w:rPr>
        <w:t>PRECLINICAL</w:t>
      </w:r>
      <w:r>
        <w:rPr>
          <w:spacing w:val="-2"/>
        </w:rPr>
        <w:t xml:space="preserve"> </w:t>
      </w:r>
      <w:r>
        <w:rPr>
          <w:spacing w:val="-8"/>
        </w:rPr>
        <w:t>SAFETY</w:t>
      </w:r>
      <w:r>
        <w:rPr>
          <w:spacing w:val="5"/>
        </w:rPr>
        <w:t xml:space="preserve"> </w:t>
      </w:r>
      <w:r>
        <w:rPr>
          <w:spacing w:val="-8"/>
        </w:rPr>
        <w:t>DATA</w:t>
      </w:r>
    </w:p>
    <w:p w14:paraId="06ACE857" w14:textId="77777777" w:rsidR="00365624" w:rsidRDefault="002B025E">
      <w:pPr>
        <w:pStyle w:val="Heading2"/>
        <w:spacing w:before="201"/>
        <w:jc w:val="left"/>
      </w:pPr>
      <w:r>
        <w:rPr>
          <w:spacing w:val="-2"/>
        </w:rPr>
        <w:t>Genotoxicity</w:t>
      </w:r>
    </w:p>
    <w:p w14:paraId="06ACE858" w14:textId="77777777" w:rsidR="00365624" w:rsidRDefault="002B025E">
      <w:pPr>
        <w:pStyle w:val="BodyText"/>
        <w:spacing w:before="75"/>
        <w:ind w:right="662"/>
        <w:jc w:val="both"/>
      </w:pPr>
      <w:r>
        <w:t>Clascoterone</w:t>
      </w:r>
      <w:r>
        <w:rPr>
          <w:spacing w:val="-8"/>
        </w:rPr>
        <w:t xml:space="preserve"> </w:t>
      </w:r>
      <w:r>
        <w:t>was</w:t>
      </w:r>
      <w:r>
        <w:rPr>
          <w:spacing w:val="-9"/>
        </w:rPr>
        <w:t xml:space="preserve"> </w:t>
      </w:r>
      <w:r>
        <w:t>not</w:t>
      </w:r>
      <w:r>
        <w:rPr>
          <w:spacing w:val="-10"/>
        </w:rPr>
        <w:t xml:space="preserve"> </w:t>
      </w:r>
      <w:r>
        <w:t>mutagenic</w:t>
      </w:r>
      <w:r>
        <w:rPr>
          <w:spacing w:val="-10"/>
        </w:rPr>
        <w:t xml:space="preserve"> </w:t>
      </w:r>
      <w:r>
        <w:t>in</w:t>
      </w:r>
      <w:r>
        <w:rPr>
          <w:spacing w:val="-12"/>
        </w:rPr>
        <w:t xml:space="preserve"> </w:t>
      </w:r>
      <w:r>
        <w:t>the</w:t>
      </w:r>
      <w:r>
        <w:rPr>
          <w:spacing w:val="-11"/>
        </w:rPr>
        <w:t xml:space="preserve"> </w:t>
      </w:r>
      <w:r>
        <w:t>Ames</w:t>
      </w:r>
      <w:r>
        <w:rPr>
          <w:spacing w:val="-10"/>
        </w:rPr>
        <w:t xml:space="preserve"> </w:t>
      </w:r>
      <w:r>
        <w:t>reverse</w:t>
      </w:r>
      <w:r>
        <w:rPr>
          <w:spacing w:val="-10"/>
        </w:rPr>
        <w:t xml:space="preserve"> </w:t>
      </w:r>
      <w:r>
        <w:t>mutation</w:t>
      </w:r>
      <w:r>
        <w:rPr>
          <w:spacing w:val="-10"/>
        </w:rPr>
        <w:t xml:space="preserve"> </w:t>
      </w:r>
      <w:r>
        <w:t>assay</w:t>
      </w:r>
      <w:r>
        <w:rPr>
          <w:spacing w:val="-9"/>
        </w:rPr>
        <w:t xml:space="preserve"> </w:t>
      </w:r>
      <w:r>
        <w:t>and</w:t>
      </w:r>
      <w:r>
        <w:rPr>
          <w:spacing w:val="-11"/>
        </w:rPr>
        <w:t xml:space="preserve"> </w:t>
      </w:r>
      <w:r>
        <w:t>was</w:t>
      </w:r>
      <w:r>
        <w:rPr>
          <w:spacing w:val="-9"/>
        </w:rPr>
        <w:t xml:space="preserve"> </w:t>
      </w:r>
      <w:r>
        <w:t>not</w:t>
      </w:r>
      <w:r>
        <w:rPr>
          <w:spacing w:val="-10"/>
        </w:rPr>
        <w:t xml:space="preserve"> </w:t>
      </w:r>
      <w:r>
        <w:t>clastogenic</w:t>
      </w:r>
      <w:r>
        <w:rPr>
          <w:spacing w:val="-9"/>
        </w:rPr>
        <w:t xml:space="preserve"> </w:t>
      </w:r>
      <w:r>
        <w:t>in</w:t>
      </w:r>
      <w:r>
        <w:rPr>
          <w:spacing w:val="-12"/>
        </w:rPr>
        <w:t xml:space="preserve"> </w:t>
      </w:r>
      <w:r>
        <w:t>the</w:t>
      </w:r>
      <w:r>
        <w:rPr>
          <w:spacing w:val="-12"/>
        </w:rPr>
        <w:t xml:space="preserve"> </w:t>
      </w:r>
      <w:r>
        <w:rPr>
          <w:i/>
        </w:rPr>
        <w:t>in</w:t>
      </w:r>
      <w:r>
        <w:rPr>
          <w:i/>
          <w:spacing w:val="-12"/>
        </w:rPr>
        <w:t xml:space="preserve"> </w:t>
      </w:r>
      <w:r>
        <w:rPr>
          <w:i/>
        </w:rPr>
        <w:t>vitro</w:t>
      </w:r>
      <w:r>
        <w:rPr>
          <w:i/>
          <w:spacing w:val="-9"/>
        </w:rPr>
        <w:t xml:space="preserve"> </w:t>
      </w:r>
      <w:r>
        <w:t xml:space="preserve">human lymphocyte chromosomal aberration assay. In rats, clascoterone administered via subcutaneous injection did not </w:t>
      </w:r>
      <w:bookmarkStart w:id="19" w:name="6_PHARMACEUTICAL_PARTICULARS"/>
      <w:bookmarkEnd w:id="19"/>
      <w:r>
        <w:t>induce</w:t>
      </w:r>
      <w:r>
        <w:rPr>
          <w:spacing w:val="-5"/>
        </w:rPr>
        <w:t xml:space="preserve"> </w:t>
      </w:r>
      <w:r>
        <w:t>micronuclei</w:t>
      </w:r>
      <w:r>
        <w:rPr>
          <w:spacing w:val="-3"/>
        </w:rPr>
        <w:t xml:space="preserve"> </w:t>
      </w:r>
      <w:r>
        <w:t>in</w:t>
      </w:r>
      <w:r>
        <w:rPr>
          <w:spacing w:val="-5"/>
        </w:rPr>
        <w:t xml:space="preserve"> </w:t>
      </w:r>
      <w:r>
        <w:t>the</w:t>
      </w:r>
      <w:r>
        <w:rPr>
          <w:spacing w:val="-4"/>
        </w:rPr>
        <w:t xml:space="preserve"> </w:t>
      </w:r>
      <w:r>
        <w:t>bone</w:t>
      </w:r>
      <w:r>
        <w:rPr>
          <w:spacing w:val="-3"/>
        </w:rPr>
        <w:t xml:space="preserve"> </w:t>
      </w:r>
      <w:r>
        <w:t>marrow</w:t>
      </w:r>
      <w:r>
        <w:rPr>
          <w:spacing w:val="-6"/>
        </w:rPr>
        <w:t xml:space="preserve"> </w:t>
      </w:r>
      <w:r>
        <w:t>at</w:t>
      </w:r>
      <w:r>
        <w:rPr>
          <w:spacing w:val="-2"/>
        </w:rPr>
        <w:t xml:space="preserve"> </w:t>
      </w:r>
      <w:r>
        <w:t>500</w:t>
      </w:r>
      <w:r>
        <w:rPr>
          <w:spacing w:val="-4"/>
        </w:rPr>
        <w:t xml:space="preserve"> </w:t>
      </w:r>
      <w:r>
        <w:t>or</w:t>
      </w:r>
      <w:r>
        <w:rPr>
          <w:spacing w:val="-3"/>
        </w:rPr>
        <w:t xml:space="preserve"> </w:t>
      </w:r>
      <w:r>
        <w:t>1000</w:t>
      </w:r>
      <w:r>
        <w:rPr>
          <w:spacing w:val="-5"/>
        </w:rPr>
        <w:t xml:space="preserve"> </w:t>
      </w:r>
      <w:r>
        <w:t>mg/kg</w:t>
      </w:r>
      <w:r>
        <w:rPr>
          <w:spacing w:val="-4"/>
        </w:rPr>
        <w:t xml:space="preserve"> </w:t>
      </w:r>
      <w:r>
        <w:t>but</w:t>
      </w:r>
      <w:r>
        <w:rPr>
          <w:spacing w:val="-3"/>
        </w:rPr>
        <w:t xml:space="preserve"> </w:t>
      </w:r>
      <w:r>
        <w:t>a</w:t>
      </w:r>
      <w:r>
        <w:rPr>
          <w:spacing w:val="-4"/>
        </w:rPr>
        <w:t xml:space="preserve"> </w:t>
      </w:r>
      <w:r>
        <w:t>slight</w:t>
      </w:r>
      <w:r>
        <w:rPr>
          <w:spacing w:val="-5"/>
        </w:rPr>
        <w:t xml:space="preserve"> </w:t>
      </w:r>
      <w:r>
        <w:t>increase</w:t>
      </w:r>
      <w:r>
        <w:rPr>
          <w:spacing w:val="-5"/>
        </w:rPr>
        <w:t xml:space="preserve"> </w:t>
      </w:r>
      <w:r>
        <w:t>in</w:t>
      </w:r>
      <w:r>
        <w:rPr>
          <w:spacing w:val="-5"/>
        </w:rPr>
        <w:t xml:space="preserve"> </w:t>
      </w:r>
      <w:r>
        <w:t>micronuclei</w:t>
      </w:r>
      <w:r>
        <w:rPr>
          <w:spacing w:val="-4"/>
        </w:rPr>
        <w:t xml:space="preserve"> </w:t>
      </w:r>
      <w:r>
        <w:t>occurred</w:t>
      </w:r>
      <w:r>
        <w:rPr>
          <w:spacing w:val="-4"/>
        </w:rPr>
        <w:t xml:space="preserve"> </w:t>
      </w:r>
      <w:r>
        <w:t>in</w:t>
      </w:r>
      <w:r>
        <w:rPr>
          <w:spacing w:val="-5"/>
        </w:rPr>
        <w:t xml:space="preserve"> </w:t>
      </w:r>
      <w:r>
        <w:t>2</w:t>
      </w:r>
      <w:r>
        <w:rPr>
          <w:spacing w:val="-4"/>
        </w:rPr>
        <w:t xml:space="preserve"> </w:t>
      </w:r>
      <w:r>
        <w:t>of</w:t>
      </w:r>
      <w:r>
        <w:rPr>
          <w:spacing w:val="-1"/>
        </w:rPr>
        <w:t xml:space="preserve"> </w:t>
      </w:r>
      <w:r>
        <w:t xml:space="preserve">5 rats, at 2000 mg/kg at 24 </w:t>
      </w:r>
      <w:proofErr w:type="gramStart"/>
      <w:r>
        <w:t>hour</w:t>
      </w:r>
      <w:proofErr w:type="gramEnd"/>
      <w:r>
        <w:t>. At 48 hours, no increase was noted in any group. Overall, the weight of evidence indicates that clascoterone does not represent a genotoxic risk.</w:t>
      </w:r>
    </w:p>
    <w:p w14:paraId="06ACE859" w14:textId="77777777" w:rsidR="00365624" w:rsidRDefault="002B025E">
      <w:pPr>
        <w:pStyle w:val="Heading2"/>
        <w:jc w:val="left"/>
      </w:pPr>
      <w:r>
        <w:rPr>
          <w:spacing w:val="-2"/>
        </w:rPr>
        <w:t>Carcinogenicity</w:t>
      </w:r>
    </w:p>
    <w:p w14:paraId="06ACE85A" w14:textId="77777777" w:rsidR="00365624" w:rsidRDefault="002B025E">
      <w:pPr>
        <w:pStyle w:val="BodyText"/>
        <w:spacing w:before="80"/>
        <w:ind w:right="667"/>
        <w:jc w:val="both"/>
      </w:pPr>
      <w:bookmarkStart w:id="20" w:name="6.1_LIST_OF_EXCIPIENTS"/>
      <w:bookmarkStart w:id="21" w:name="6.2_INCOMPATIBILITIES"/>
      <w:bookmarkStart w:id="22" w:name="6.3_SHELF_LIFE"/>
      <w:bookmarkEnd w:id="20"/>
      <w:bookmarkEnd w:id="21"/>
      <w:bookmarkEnd w:id="22"/>
      <w:r>
        <w:t xml:space="preserve">Clascoterone cream (0.1%, 1%, or 5%) was not carcinogenic after daily topical administration in a 2-year carcinogenicity study in rats. An increased incidence of the non-neoplastic finding of atrophy of the skin and subcutis, at the application site, was reported in males and females treated with the 1% and 5% clascoterone </w:t>
      </w:r>
      <w:r>
        <w:rPr>
          <w:spacing w:val="-2"/>
        </w:rPr>
        <w:t>cream.</w:t>
      </w:r>
    </w:p>
    <w:p w14:paraId="06ACE85B" w14:textId="77777777" w:rsidR="00365624" w:rsidRDefault="00365624">
      <w:pPr>
        <w:pStyle w:val="BodyText"/>
        <w:ind w:left="0"/>
      </w:pPr>
    </w:p>
    <w:p w14:paraId="06ACE85C" w14:textId="77777777" w:rsidR="00365624" w:rsidRDefault="00365624">
      <w:pPr>
        <w:pStyle w:val="BodyText"/>
        <w:spacing w:before="70"/>
        <w:ind w:left="0"/>
      </w:pPr>
    </w:p>
    <w:p w14:paraId="06ACE85D" w14:textId="77777777" w:rsidR="00365624" w:rsidRDefault="002B025E">
      <w:pPr>
        <w:pStyle w:val="Heading1"/>
        <w:numPr>
          <w:ilvl w:val="0"/>
          <w:numId w:val="1"/>
        </w:numPr>
        <w:tabs>
          <w:tab w:val="left" w:pos="446"/>
        </w:tabs>
        <w:ind w:left="446" w:hanging="186"/>
      </w:pPr>
      <w:r>
        <w:rPr>
          <w:spacing w:val="-9"/>
        </w:rPr>
        <w:t>PHARMACEUTICAL</w:t>
      </w:r>
      <w:r>
        <w:rPr>
          <w:spacing w:val="10"/>
        </w:rPr>
        <w:t xml:space="preserve"> </w:t>
      </w:r>
      <w:r>
        <w:rPr>
          <w:spacing w:val="-2"/>
        </w:rPr>
        <w:t>PARTICULARS</w:t>
      </w:r>
    </w:p>
    <w:p w14:paraId="06ACE85E" w14:textId="77777777" w:rsidR="00365624" w:rsidRDefault="002B025E">
      <w:pPr>
        <w:pStyle w:val="ListParagraph"/>
        <w:numPr>
          <w:ilvl w:val="1"/>
          <w:numId w:val="1"/>
        </w:numPr>
        <w:tabs>
          <w:tab w:val="left" w:pos="628"/>
        </w:tabs>
        <w:spacing w:before="199"/>
        <w:ind w:left="628" w:hanging="368"/>
        <w:rPr>
          <w:b/>
          <w:sz w:val="28"/>
        </w:rPr>
      </w:pPr>
      <w:r>
        <w:rPr>
          <w:b/>
          <w:spacing w:val="-2"/>
          <w:sz w:val="28"/>
        </w:rPr>
        <w:t>LIST</w:t>
      </w:r>
      <w:r>
        <w:rPr>
          <w:b/>
          <w:spacing w:val="-15"/>
          <w:sz w:val="28"/>
        </w:rPr>
        <w:t xml:space="preserve"> </w:t>
      </w:r>
      <w:r>
        <w:rPr>
          <w:b/>
          <w:spacing w:val="-2"/>
          <w:sz w:val="28"/>
        </w:rPr>
        <w:t>OF</w:t>
      </w:r>
      <w:r>
        <w:rPr>
          <w:b/>
          <w:spacing w:val="-14"/>
          <w:sz w:val="28"/>
        </w:rPr>
        <w:t xml:space="preserve"> </w:t>
      </w:r>
      <w:r>
        <w:rPr>
          <w:b/>
          <w:spacing w:val="-2"/>
          <w:sz w:val="28"/>
        </w:rPr>
        <w:t>EXCIPIENTS</w:t>
      </w:r>
    </w:p>
    <w:p w14:paraId="06ACE85F" w14:textId="77777777" w:rsidR="00365624" w:rsidRDefault="002B025E">
      <w:pPr>
        <w:pStyle w:val="BodyText"/>
        <w:spacing w:before="119"/>
      </w:pPr>
      <w:r>
        <w:t>Cetyl</w:t>
      </w:r>
      <w:r>
        <w:rPr>
          <w:spacing w:val="-13"/>
        </w:rPr>
        <w:t xml:space="preserve"> </w:t>
      </w:r>
      <w:r>
        <w:t>alcohol,</w:t>
      </w:r>
      <w:r>
        <w:rPr>
          <w:spacing w:val="-13"/>
        </w:rPr>
        <w:t xml:space="preserve"> </w:t>
      </w:r>
      <w:r>
        <w:t>citric</w:t>
      </w:r>
      <w:r>
        <w:rPr>
          <w:spacing w:val="-12"/>
        </w:rPr>
        <w:t xml:space="preserve"> </w:t>
      </w:r>
      <w:r>
        <w:t>acid</w:t>
      </w:r>
      <w:r>
        <w:rPr>
          <w:spacing w:val="-13"/>
        </w:rPr>
        <w:t xml:space="preserve"> </w:t>
      </w:r>
      <w:r>
        <w:t>monohydrate,</w:t>
      </w:r>
      <w:r>
        <w:rPr>
          <w:spacing w:val="-13"/>
        </w:rPr>
        <w:t xml:space="preserve"> </w:t>
      </w:r>
      <w:r>
        <w:t>disodium</w:t>
      </w:r>
      <w:r>
        <w:rPr>
          <w:spacing w:val="-12"/>
        </w:rPr>
        <w:t xml:space="preserve"> </w:t>
      </w:r>
      <w:r>
        <w:t>edetate,</w:t>
      </w:r>
      <w:r>
        <w:rPr>
          <w:spacing w:val="-13"/>
        </w:rPr>
        <w:t xml:space="preserve"> </w:t>
      </w:r>
      <w:r>
        <w:t>dl-alpha-tocopherol,</w:t>
      </w:r>
      <w:r>
        <w:rPr>
          <w:spacing w:val="-12"/>
        </w:rPr>
        <w:t xml:space="preserve"> </w:t>
      </w:r>
      <w:r>
        <w:t>mono-</w:t>
      </w:r>
      <w:r>
        <w:rPr>
          <w:spacing w:val="-13"/>
        </w:rPr>
        <w:t xml:space="preserve"> </w:t>
      </w:r>
      <w:r>
        <w:t>and</w:t>
      </w:r>
      <w:r>
        <w:rPr>
          <w:spacing w:val="-14"/>
        </w:rPr>
        <w:t xml:space="preserve"> </w:t>
      </w:r>
      <w:r>
        <w:t>di-glycerides,</w:t>
      </w:r>
      <w:r>
        <w:rPr>
          <w:spacing w:val="-13"/>
        </w:rPr>
        <w:t xml:space="preserve"> </w:t>
      </w:r>
      <w:r>
        <w:t>liquid</w:t>
      </w:r>
      <w:r>
        <w:rPr>
          <w:spacing w:val="-12"/>
        </w:rPr>
        <w:t xml:space="preserve"> </w:t>
      </w:r>
      <w:r>
        <w:t xml:space="preserve">paraffin, </w:t>
      </w:r>
      <w:bookmarkStart w:id="23" w:name="6.4_SPECIAL_PRECAUTIONS_FOR_STORAGE"/>
      <w:bookmarkEnd w:id="23"/>
      <w:r>
        <w:t>polysorbate 80, propylene glycol and purified water.</w:t>
      </w:r>
    </w:p>
    <w:p w14:paraId="06ACE860" w14:textId="77777777" w:rsidR="00365624" w:rsidRDefault="002B025E">
      <w:pPr>
        <w:pStyle w:val="Heading1"/>
        <w:numPr>
          <w:ilvl w:val="1"/>
          <w:numId w:val="1"/>
        </w:numPr>
        <w:tabs>
          <w:tab w:val="left" w:pos="628"/>
        </w:tabs>
        <w:spacing w:before="202"/>
        <w:ind w:left="628" w:hanging="368"/>
      </w:pPr>
      <w:r>
        <w:rPr>
          <w:spacing w:val="-2"/>
        </w:rPr>
        <w:t>INCOMPATIBILITIES</w:t>
      </w:r>
    </w:p>
    <w:p w14:paraId="06ACE861" w14:textId="77777777" w:rsidR="00365624" w:rsidRDefault="002B025E">
      <w:pPr>
        <w:pStyle w:val="BodyText"/>
        <w:spacing w:before="116"/>
        <w:ind w:left="308"/>
        <w:jc w:val="both"/>
      </w:pPr>
      <w:r>
        <w:rPr>
          <w:spacing w:val="-4"/>
        </w:rPr>
        <w:t>No</w:t>
      </w:r>
      <w:r>
        <w:rPr>
          <w:spacing w:val="-10"/>
        </w:rPr>
        <w:t xml:space="preserve"> </w:t>
      </w:r>
      <w:r>
        <w:rPr>
          <w:spacing w:val="-4"/>
        </w:rPr>
        <w:t>data</w:t>
      </w:r>
      <w:r>
        <w:rPr>
          <w:spacing w:val="-3"/>
        </w:rPr>
        <w:t xml:space="preserve"> </w:t>
      </w:r>
      <w:r>
        <w:rPr>
          <w:spacing w:val="-4"/>
        </w:rPr>
        <w:t>available.</w:t>
      </w:r>
    </w:p>
    <w:p w14:paraId="06ACE862" w14:textId="77777777" w:rsidR="00365624" w:rsidRDefault="002B025E">
      <w:pPr>
        <w:pStyle w:val="Heading1"/>
        <w:numPr>
          <w:ilvl w:val="1"/>
          <w:numId w:val="1"/>
        </w:numPr>
        <w:tabs>
          <w:tab w:val="left" w:pos="628"/>
        </w:tabs>
        <w:spacing w:before="218"/>
        <w:ind w:left="628" w:hanging="368"/>
      </w:pPr>
      <w:r>
        <w:rPr>
          <w:spacing w:val="-6"/>
        </w:rPr>
        <w:t>SHELF</w:t>
      </w:r>
      <w:r>
        <w:rPr>
          <w:spacing w:val="-10"/>
        </w:rPr>
        <w:t xml:space="preserve"> </w:t>
      </w:r>
      <w:r>
        <w:rPr>
          <w:spacing w:val="-4"/>
        </w:rPr>
        <w:t>LIFE</w:t>
      </w:r>
    </w:p>
    <w:p w14:paraId="06ACE863" w14:textId="77777777" w:rsidR="00365624" w:rsidRDefault="002B025E">
      <w:pPr>
        <w:pStyle w:val="BodyText"/>
        <w:spacing w:before="20"/>
        <w:ind w:right="740"/>
        <w:jc w:val="both"/>
      </w:pPr>
      <w:r>
        <w:t>In Australia, information on the shelf life can be found on the public summary of the Australian Register of Therapeutic Goods (ARTG). The expiry date can be found on the packaging.</w:t>
      </w:r>
    </w:p>
    <w:p w14:paraId="06ACE864" w14:textId="77777777" w:rsidR="00365624" w:rsidRDefault="00365624">
      <w:pPr>
        <w:pStyle w:val="BodyText"/>
        <w:spacing w:before="25"/>
        <w:ind w:left="0"/>
      </w:pPr>
    </w:p>
    <w:p w14:paraId="06ACE865" w14:textId="77777777" w:rsidR="00365624" w:rsidRDefault="002B025E">
      <w:pPr>
        <w:pStyle w:val="Heading1"/>
        <w:numPr>
          <w:ilvl w:val="1"/>
          <w:numId w:val="1"/>
        </w:numPr>
        <w:tabs>
          <w:tab w:val="left" w:pos="628"/>
        </w:tabs>
        <w:ind w:left="628" w:hanging="368"/>
      </w:pPr>
      <w:r>
        <w:rPr>
          <w:spacing w:val="-6"/>
        </w:rPr>
        <w:t>SPECIAL</w:t>
      </w:r>
      <w:r>
        <w:rPr>
          <w:spacing w:val="-10"/>
        </w:rPr>
        <w:t xml:space="preserve"> </w:t>
      </w:r>
      <w:r>
        <w:rPr>
          <w:spacing w:val="-6"/>
        </w:rPr>
        <w:t>PRECAUTIONS</w:t>
      </w:r>
      <w:r>
        <w:rPr>
          <w:spacing w:val="-16"/>
        </w:rPr>
        <w:t xml:space="preserve"> </w:t>
      </w:r>
      <w:r>
        <w:rPr>
          <w:spacing w:val="-6"/>
        </w:rPr>
        <w:t>FOR</w:t>
      </w:r>
      <w:r>
        <w:rPr>
          <w:spacing w:val="-10"/>
        </w:rPr>
        <w:t xml:space="preserve"> </w:t>
      </w:r>
      <w:r>
        <w:rPr>
          <w:spacing w:val="-6"/>
        </w:rPr>
        <w:t>STORAGE</w:t>
      </w:r>
    </w:p>
    <w:p w14:paraId="06ACE866" w14:textId="77777777" w:rsidR="00365624" w:rsidRDefault="002B025E">
      <w:pPr>
        <w:spacing w:before="118"/>
        <w:ind w:left="260"/>
        <w:jc w:val="both"/>
      </w:pPr>
      <w:r>
        <w:rPr>
          <w:b/>
          <w:spacing w:val="-4"/>
        </w:rPr>
        <w:t>Prior</w:t>
      </w:r>
      <w:r>
        <w:rPr>
          <w:b/>
          <w:spacing w:val="-9"/>
        </w:rPr>
        <w:t xml:space="preserve"> </w:t>
      </w:r>
      <w:r>
        <w:rPr>
          <w:b/>
          <w:spacing w:val="-4"/>
        </w:rPr>
        <w:t>to</w:t>
      </w:r>
      <w:r>
        <w:rPr>
          <w:b/>
          <w:spacing w:val="-7"/>
        </w:rPr>
        <w:t xml:space="preserve"> </w:t>
      </w:r>
      <w:r>
        <w:rPr>
          <w:b/>
          <w:spacing w:val="-4"/>
        </w:rPr>
        <w:t>Dispensing:</w:t>
      </w:r>
      <w:r>
        <w:rPr>
          <w:b/>
          <w:spacing w:val="-6"/>
        </w:rPr>
        <w:t xml:space="preserve"> </w:t>
      </w:r>
      <w:r>
        <w:rPr>
          <w:spacing w:val="-4"/>
        </w:rPr>
        <w:t>Store</w:t>
      </w:r>
      <w:r>
        <w:rPr>
          <w:spacing w:val="-8"/>
        </w:rPr>
        <w:t xml:space="preserve"> </w:t>
      </w:r>
      <w:r>
        <w:rPr>
          <w:spacing w:val="-4"/>
        </w:rPr>
        <w:t>the</w:t>
      </w:r>
      <w:r>
        <w:rPr>
          <w:spacing w:val="-6"/>
        </w:rPr>
        <w:t xml:space="preserve"> </w:t>
      </w:r>
      <w:r>
        <w:rPr>
          <w:spacing w:val="-4"/>
        </w:rPr>
        <w:t>product</w:t>
      </w:r>
      <w:r>
        <w:rPr>
          <w:spacing w:val="-6"/>
        </w:rPr>
        <w:t xml:space="preserve"> </w:t>
      </w:r>
      <w:r>
        <w:rPr>
          <w:spacing w:val="-4"/>
        </w:rPr>
        <w:t>in</w:t>
      </w:r>
      <w:r>
        <w:rPr>
          <w:spacing w:val="-5"/>
        </w:rPr>
        <w:t xml:space="preserve"> </w:t>
      </w:r>
      <w:r>
        <w:rPr>
          <w:spacing w:val="-4"/>
        </w:rPr>
        <w:t>a</w:t>
      </w:r>
      <w:r>
        <w:rPr>
          <w:spacing w:val="-8"/>
        </w:rPr>
        <w:t xml:space="preserve"> </w:t>
      </w:r>
      <w:r>
        <w:rPr>
          <w:spacing w:val="-4"/>
        </w:rPr>
        <w:t>refrigerator</w:t>
      </w:r>
      <w:r>
        <w:rPr>
          <w:spacing w:val="-3"/>
        </w:rPr>
        <w:t xml:space="preserve"> </w:t>
      </w:r>
      <w:r>
        <w:rPr>
          <w:spacing w:val="-4"/>
        </w:rPr>
        <w:t>between</w:t>
      </w:r>
      <w:r>
        <w:rPr>
          <w:spacing w:val="-6"/>
        </w:rPr>
        <w:t xml:space="preserve"> </w:t>
      </w:r>
      <w:r>
        <w:rPr>
          <w:spacing w:val="-4"/>
        </w:rPr>
        <w:t>2°C</w:t>
      </w:r>
      <w:r>
        <w:rPr>
          <w:spacing w:val="-5"/>
        </w:rPr>
        <w:t xml:space="preserve"> </w:t>
      </w:r>
      <w:r>
        <w:rPr>
          <w:spacing w:val="-4"/>
        </w:rPr>
        <w:t>and</w:t>
      </w:r>
      <w:r>
        <w:rPr>
          <w:spacing w:val="-6"/>
        </w:rPr>
        <w:t xml:space="preserve"> </w:t>
      </w:r>
      <w:r>
        <w:rPr>
          <w:spacing w:val="-4"/>
        </w:rPr>
        <w:t>8°C.</w:t>
      </w:r>
      <w:r>
        <w:rPr>
          <w:spacing w:val="1"/>
        </w:rPr>
        <w:t xml:space="preserve"> </w:t>
      </w:r>
      <w:r>
        <w:rPr>
          <w:spacing w:val="-4"/>
        </w:rPr>
        <w:t>Do</w:t>
      </w:r>
      <w:r>
        <w:rPr>
          <w:spacing w:val="-3"/>
        </w:rPr>
        <w:t xml:space="preserve"> </w:t>
      </w:r>
      <w:r>
        <w:rPr>
          <w:spacing w:val="-4"/>
        </w:rPr>
        <w:t>not freeze.</w:t>
      </w:r>
    </w:p>
    <w:p w14:paraId="06ACE867" w14:textId="77777777" w:rsidR="00365624" w:rsidRDefault="002B025E">
      <w:pPr>
        <w:spacing w:before="121"/>
        <w:ind w:left="260" w:right="682"/>
        <w:jc w:val="both"/>
      </w:pPr>
      <w:r>
        <w:rPr>
          <w:b/>
        </w:rPr>
        <w:t xml:space="preserve">Dispensing Instructions for the Pharmacist: </w:t>
      </w:r>
      <w:r>
        <w:t>Direct the patient to store the product while in use at room temperature (below 25°C). Do not freeze. Discard the unused product 6 months after the date of dispensing.</w:t>
      </w:r>
    </w:p>
    <w:p w14:paraId="06ACE868" w14:textId="77777777" w:rsidR="00365624" w:rsidRDefault="00365624">
      <w:pPr>
        <w:jc w:val="both"/>
        <w:sectPr w:rsidR="00365624">
          <w:pgSz w:w="11920" w:h="16860"/>
          <w:pgMar w:top="980" w:right="760" w:bottom="800" w:left="1180" w:header="718" w:footer="604" w:gutter="0"/>
          <w:cols w:space="720"/>
        </w:sectPr>
      </w:pPr>
    </w:p>
    <w:p w14:paraId="06ACE869" w14:textId="77777777" w:rsidR="00365624" w:rsidRDefault="002B025E">
      <w:pPr>
        <w:pStyle w:val="Heading1"/>
        <w:numPr>
          <w:ilvl w:val="1"/>
          <w:numId w:val="1"/>
        </w:numPr>
        <w:tabs>
          <w:tab w:val="left" w:pos="628"/>
        </w:tabs>
        <w:spacing w:before="250"/>
        <w:ind w:left="628" w:hanging="368"/>
      </w:pPr>
      <w:bookmarkStart w:id="24" w:name="6.5_NATURE_AND_CONTENTS_OF_CONTAINER"/>
      <w:bookmarkStart w:id="25" w:name="6.6_SPECIAL_PRECAUTIONS_FOR_DISPOSAL"/>
      <w:bookmarkStart w:id="26" w:name="6.7_PHYSIOCHEMICAL_PROPERTIES"/>
      <w:bookmarkEnd w:id="24"/>
      <w:bookmarkEnd w:id="25"/>
      <w:bookmarkEnd w:id="26"/>
      <w:r>
        <w:rPr>
          <w:spacing w:val="-6"/>
        </w:rPr>
        <w:lastRenderedPageBreak/>
        <w:t>NATURE</w:t>
      </w:r>
      <w:r>
        <w:rPr>
          <w:spacing w:val="-11"/>
        </w:rPr>
        <w:t xml:space="preserve"> </w:t>
      </w:r>
      <w:r>
        <w:rPr>
          <w:spacing w:val="-6"/>
        </w:rPr>
        <w:t>AND CONTENTS</w:t>
      </w:r>
      <w:r>
        <w:rPr>
          <w:spacing w:val="-11"/>
        </w:rPr>
        <w:t xml:space="preserve"> </w:t>
      </w:r>
      <w:r>
        <w:rPr>
          <w:spacing w:val="-6"/>
        </w:rPr>
        <w:t>OF</w:t>
      </w:r>
      <w:r>
        <w:rPr>
          <w:spacing w:val="-5"/>
        </w:rPr>
        <w:t xml:space="preserve"> </w:t>
      </w:r>
      <w:r>
        <w:rPr>
          <w:spacing w:val="-6"/>
        </w:rPr>
        <w:t>CONTAINER</w:t>
      </w:r>
    </w:p>
    <w:p w14:paraId="06ACE86A" w14:textId="77777777" w:rsidR="00365624" w:rsidRDefault="002B025E">
      <w:pPr>
        <w:pStyle w:val="BodyText"/>
        <w:spacing w:before="125" w:line="355" w:lineRule="auto"/>
        <w:ind w:right="1404"/>
      </w:pPr>
      <w:r>
        <w:rPr>
          <w:spacing w:val="-2"/>
        </w:rPr>
        <w:t>WINLEVI</w:t>
      </w:r>
      <w:r>
        <w:rPr>
          <w:spacing w:val="-4"/>
        </w:rPr>
        <w:t xml:space="preserve"> </w:t>
      </w:r>
      <w:r>
        <w:rPr>
          <w:spacing w:val="-2"/>
        </w:rPr>
        <w:t>is</w:t>
      </w:r>
      <w:r>
        <w:rPr>
          <w:spacing w:val="-5"/>
        </w:rPr>
        <w:t xml:space="preserve"> </w:t>
      </w:r>
      <w:r>
        <w:rPr>
          <w:spacing w:val="-2"/>
        </w:rPr>
        <w:t>supplied</w:t>
      </w:r>
      <w:r>
        <w:rPr>
          <w:spacing w:val="-4"/>
        </w:rPr>
        <w:t xml:space="preserve"> </w:t>
      </w:r>
      <w:r>
        <w:rPr>
          <w:spacing w:val="-2"/>
        </w:rPr>
        <w:t>in</w:t>
      </w:r>
      <w:r>
        <w:rPr>
          <w:spacing w:val="-4"/>
        </w:rPr>
        <w:t xml:space="preserve"> </w:t>
      </w:r>
      <w:r>
        <w:rPr>
          <w:spacing w:val="-2"/>
        </w:rPr>
        <w:t>an epoxy-lined</w:t>
      </w:r>
      <w:r>
        <w:rPr>
          <w:spacing w:val="-5"/>
        </w:rPr>
        <w:t xml:space="preserve"> </w:t>
      </w:r>
      <w:r>
        <w:rPr>
          <w:spacing w:val="-2"/>
        </w:rPr>
        <w:t>aluminum blind-end</w:t>
      </w:r>
      <w:r>
        <w:rPr>
          <w:spacing w:val="-5"/>
        </w:rPr>
        <w:t xml:space="preserve"> </w:t>
      </w:r>
      <w:r>
        <w:rPr>
          <w:spacing w:val="-2"/>
        </w:rPr>
        <w:t>tube with a</w:t>
      </w:r>
      <w:r>
        <w:rPr>
          <w:spacing w:val="-4"/>
        </w:rPr>
        <w:t xml:space="preserve"> </w:t>
      </w:r>
      <w:r>
        <w:rPr>
          <w:spacing w:val="-2"/>
        </w:rPr>
        <w:t>polypropylene</w:t>
      </w:r>
      <w:r>
        <w:rPr>
          <w:spacing w:val="-4"/>
        </w:rPr>
        <w:t xml:space="preserve"> </w:t>
      </w:r>
      <w:r>
        <w:rPr>
          <w:spacing w:val="-2"/>
        </w:rPr>
        <w:t xml:space="preserve">cap closure. </w:t>
      </w:r>
      <w:r>
        <w:t xml:space="preserve">WINLEVI is supplied in tubes of 2 g, 10 g, 30 </w:t>
      </w:r>
      <w:proofErr w:type="gramStart"/>
      <w:r>
        <w:t>g</w:t>
      </w:r>
      <w:proofErr w:type="gramEnd"/>
      <w:r>
        <w:t xml:space="preserve"> and 60 g.</w:t>
      </w:r>
    </w:p>
    <w:p w14:paraId="06ACE86B" w14:textId="77777777" w:rsidR="00365624" w:rsidRDefault="002B025E">
      <w:pPr>
        <w:pStyle w:val="BodyText"/>
        <w:spacing w:line="238" w:lineRule="exact"/>
      </w:pPr>
      <w:r>
        <w:rPr>
          <w:spacing w:val="-4"/>
        </w:rPr>
        <w:t>Not</w:t>
      </w:r>
      <w:r>
        <w:rPr>
          <w:spacing w:val="-9"/>
        </w:rPr>
        <w:t xml:space="preserve"> </w:t>
      </w:r>
      <w:r>
        <w:rPr>
          <w:spacing w:val="-4"/>
        </w:rPr>
        <w:t>all pack</w:t>
      </w:r>
      <w:r>
        <w:rPr>
          <w:spacing w:val="-6"/>
        </w:rPr>
        <w:t xml:space="preserve"> </w:t>
      </w:r>
      <w:r>
        <w:rPr>
          <w:spacing w:val="-4"/>
        </w:rPr>
        <w:t>sizes</w:t>
      </w:r>
      <w:r>
        <w:rPr>
          <w:spacing w:val="-7"/>
        </w:rPr>
        <w:t xml:space="preserve"> </w:t>
      </w:r>
      <w:r>
        <w:rPr>
          <w:spacing w:val="-4"/>
        </w:rPr>
        <w:t>may</w:t>
      </w:r>
      <w:r>
        <w:rPr>
          <w:spacing w:val="-7"/>
        </w:rPr>
        <w:t xml:space="preserve"> </w:t>
      </w:r>
      <w:r>
        <w:rPr>
          <w:spacing w:val="-4"/>
        </w:rPr>
        <w:t>be</w:t>
      </w:r>
      <w:r>
        <w:rPr>
          <w:spacing w:val="-8"/>
        </w:rPr>
        <w:t xml:space="preserve"> </w:t>
      </w:r>
      <w:r>
        <w:rPr>
          <w:spacing w:val="-4"/>
        </w:rPr>
        <w:t>marketed.</w:t>
      </w:r>
    </w:p>
    <w:p w14:paraId="06ACE86C" w14:textId="77777777" w:rsidR="00365624" w:rsidRDefault="00365624">
      <w:pPr>
        <w:pStyle w:val="BodyText"/>
        <w:spacing w:before="27"/>
        <w:ind w:left="0"/>
      </w:pPr>
    </w:p>
    <w:p w14:paraId="06ACE86D" w14:textId="77777777" w:rsidR="00365624" w:rsidRDefault="002B025E">
      <w:pPr>
        <w:pStyle w:val="Heading1"/>
        <w:numPr>
          <w:ilvl w:val="1"/>
          <w:numId w:val="1"/>
        </w:numPr>
        <w:tabs>
          <w:tab w:val="left" w:pos="628"/>
        </w:tabs>
        <w:ind w:left="628" w:hanging="368"/>
      </w:pPr>
      <w:r>
        <w:rPr>
          <w:spacing w:val="-6"/>
        </w:rPr>
        <w:t>SPECIAL</w:t>
      </w:r>
      <w:r>
        <w:rPr>
          <w:spacing w:val="-10"/>
        </w:rPr>
        <w:t xml:space="preserve"> </w:t>
      </w:r>
      <w:r>
        <w:rPr>
          <w:spacing w:val="-6"/>
        </w:rPr>
        <w:t>PRECAUTIONS</w:t>
      </w:r>
      <w:r>
        <w:rPr>
          <w:spacing w:val="-16"/>
        </w:rPr>
        <w:t xml:space="preserve"> </w:t>
      </w:r>
      <w:r>
        <w:rPr>
          <w:spacing w:val="-6"/>
        </w:rPr>
        <w:t>FOR</w:t>
      </w:r>
      <w:r>
        <w:rPr>
          <w:spacing w:val="-11"/>
        </w:rPr>
        <w:t xml:space="preserve"> </w:t>
      </w:r>
      <w:r>
        <w:rPr>
          <w:spacing w:val="-6"/>
        </w:rPr>
        <w:t>DISPOSAL</w:t>
      </w:r>
    </w:p>
    <w:p w14:paraId="06ACE86E" w14:textId="77777777" w:rsidR="00365624" w:rsidRDefault="002B025E">
      <w:pPr>
        <w:pStyle w:val="BodyText"/>
        <w:spacing w:before="140"/>
      </w:pPr>
      <w:r>
        <w:rPr>
          <w:spacing w:val="-6"/>
        </w:rPr>
        <w:t>In</w:t>
      </w:r>
      <w:r>
        <w:rPr>
          <w:spacing w:val="-8"/>
        </w:rPr>
        <w:t xml:space="preserve"> </w:t>
      </w:r>
      <w:r>
        <w:rPr>
          <w:spacing w:val="-6"/>
        </w:rPr>
        <w:t>Australia,</w:t>
      </w:r>
      <w:r>
        <w:rPr>
          <w:spacing w:val="5"/>
        </w:rPr>
        <w:t xml:space="preserve"> </w:t>
      </w:r>
      <w:r>
        <w:rPr>
          <w:spacing w:val="-6"/>
        </w:rPr>
        <w:t>any</w:t>
      </w:r>
      <w:r>
        <w:rPr>
          <w:spacing w:val="1"/>
        </w:rPr>
        <w:t xml:space="preserve"> </w:t>
      </w:r>
      <w:r>
        <w:rPr>
          <w:spacing w:val="-6"/>
        </w:rPr>
        <w:t>unused</w:t>
      </w:r>
      <w:r>
        <w:rPr>
          <w:spacing w:val="-2"/>
        </w:rPr>
        <w:t xml:space="preserve"> </w:t>
      </w:r>
      <w:r>
        <w:rPr>
          <w:spacing w:val="-6"/>
        </w:rPr>
        <w:t>medicine</w:t>
      </w:r>
      <w:r>
        <w:t xml:space="preserve"> </w:t>
      </w:r>
      <w:r>
        <w:rPr>
          <w:spacing w:val="-6"/>
        </w:rPr>
        <w:t>or</w:t>
      </w:r>
      <w:r>
        <w:rPr>
          <w:spacing w:val="6"/>
        </w:rPr>
        <w:t xml:space="preserve"> </w:t>
      </w:r>
      <w:r>
        <w:rPr>
          <w:spacing w:val="-6"/>
        </w:rPr>
        <w:t>waste</w:t>
      </w:r>
      <w:r>
        <w:rPr>
          <w:spacing w:val="3"/>
        </w:rPr>
        <w:t xml:space="preserve"> </w:t>
      </w:r>
      <w:r>
        <w:rPr>
          <w:spacing w:val="-6"/>
        </w:rPr>
        <w:t>material</w:t>
      </w:r>
      <w:r>
        <w:rPr>
          <w:spacing w:val="-2"/>
        </w:rPr>
        <w:t xml:space="preserve"> </w:t>
      </w:r>
      <w:r>
        <w:rPr>
          <w:spacing w:val="-6"/>
        </w:rPr>
        <w:t>should</w:t>
      </w:r>
      <w:r>
        <w:rPr>
          <w:spacing w:val="5"/>
        </w:rPr>
        <w:t xml:space="preserve"> </w:t>
      </w:r>
      <w:r>
        <w:rPr>
          <w:spacing w:val="-6"/>
        </w:rPr>
        <w:t>be</w:t>
      </w:r>
      <w:r>
        <w:rPr>
          <w:spacing w:val="-1"/>
        </w:rPr>
        <w:t xml:space="preserve"> </w:t>
      </w:r>
      <w:r>
        <w:rPr>
          <w:spacing w:val="-6"/>
        </w:rPr>
        <w:t>disposed</w:t>
      </w:r>
      <w:r>
        <w:rPr>
          <w:spacing w:val="2"/>
        </w:rPr>
        <w:t xml:space="preserve"> </w:t>
      </w:r>
      <w:r>
        <w:rPr>
          <w:spacing w:val="-6"/>
        </w:rPr>
        <w:t>by</w:t>
      </w:r>
      <w:r>
        <w:t xml:space="preserve"> </w:t>
      </w:r>
      <w:r>
        <w:rPr>
          <w:spacing w:val="-6"/>
        </w:rPr>
        <w:t>talking</w:t>
      </w:r>
      <w:r>
        <w:t xml:space="preserve"> </w:t>
      </w:r>
      <w:r>
        <w:rPr>
          <w:spacing w:val="-6"/>
        </w:rPr>
        <w:t>to</w:t>
      </w:r>
      <w:r>
        <w:rPr>
          <w:spacing w:val="-1"/>
        </w:rPr>
        <w:t xml:space="preserve"> </w:t>
      </w:r>
      <w:r>
        <w:rPr>
          <w:spacing w:val="-6"/>
        </w:rPr>
        <w:t>your</w:t>
      </w:r>
      <w:r>
        <w:rPr>
          <w:spacing w:val="1"/>
        </w:rPr>
        <w:t xml:space="preserve"> </w:t>
      </w:r>
      <w:r>
        <w:rPr>
          <w:spacing w:val="-6"/>
        </w:rPr>
        <w:t>local</w:t>
      </w:r>
      <w:r>
        <w:rPr>
          <w:spacing w:val="2"/>
        </w:rPr>
        <w:t xml:space="preserve"> </w:t>
      </w:r>
      <w:r>
        <w:rPr>
          <w:spacing w:val="-6"/>
        </w:rPr>
        <w:t>pharmacy.</w:t>
      </w:r>
    </w:p>
    <w:p w14:paraId="06ACE86F" w14:textId="77777777" w:rsidR="00365624" w:rsidRDefault="00365624">
      <w:pPr>
        <w:pStyle w:val="BodyText"/>
        <w:spacing w:before="25"/>
        <w:ind w:left="0"/>
      </w:pPr>
    </w:p>
    <w:p w14:paraId="06ACE870" w14:textId="77777777" w:rsidR="00365624" w:rsidRDefault="002B025E">
      <w:pPr>
        <w:pStyle w:val="Heading1"/>
        <w:numPr>
          <w:ilvl w:val="1"/>
          <w:numId w:val="1"/>
        </w:numPr>
        <w:tabs>
          <w:tab w:val="left" w:pos="628"/>
        </w:tabs>
        <w:ind w:left="628" w:hanging="368"/>
      </w:pPr>
      <w:r>
        <w:rPr>
          <w:spacing w:val="-8"/>
        </w:rPr>
        <w:t>PHYSIOCHEMICAL</w:t>
      </w:r>
      <w:r>
        <w:rPr>
          <w:spacing w:val="-1"/>
        </w:rPr>
        <w:t xml:space="preserve"> </w:t>
      </w:r>
      <w:r>
        <w:rPr>
          <w:spacing w:val="-2"/>
        </w:rPr>
        <w:t>PROPERTIES</w:t>
      </w:r>
    </w:p>
    <w:p w14:paraId="06ACE871" w14:textId="77777777" w:rsidR="00365624" w:rsidRDefault="00365624">
      <w:pPr>
        <w:pStyle w:val="BodyText"/>
        <w:spacing w:before="72"/>
        <w:ind w:left="0"/>
        <w:rPr>
          <w:b/>
          <w:sz w:val="28"/>
        </w:rPr>
      </w:pPr>
    </w:p>
    <w:p w14:paraId="06ACE872" w14:textId="77777777" w:rsidR="00365624" w:rsidRDefault="002B025E">
      <w:pPr>
        <w:pStyle w:val="Heading3"/>
      </w:pPr>
      <w:r>
        <w:rPr>
          <w:spacing w:val="-5"/>
        </w:rPr>
        <w:t>Chemical</w:t>
      </w:r>
      <w:r>
        <w:rPr>
          <w:spacing w:val="-4"/>
        </w:rPr>
        <w:t xml:space="preserve"> </w:t>
      </w:r>
      <w:r>
        <w:rPr>
          <w:spacing w:val="-2"/>
        </w:rPr>
        <w:t>Structure:</w:t>
      </w:r>
    </w:p>
    <w:p w14:paraId="06ACE873" w14:textId="77777777" w:rsidR="00365624" w:rsidRDefault="002B025E">
      <w:pPr>
        <w:pStyle w:val="BodyText"/>
        <w:spacing w:before="92"/>
        <w:ind w:left="0"/>
        <w:rPr>
          <w:b/>
          <w:sz w:val="20"/>
        </w:rPr>
      </w:pPr>
      <w:r>
        <w:rPr>
          <w:noProof/>
        </w:rPr>
        <w:drawing>
          <wp:anchor distT="0" distB="0" distL="0" distR="0" simplePos="0" relativeHeight="487587840" behindDoc="1" locked="0" layoutInCell="1" allowOverlap="1" wp14:anchorId="06ACE895" wp14:editId="0B5F1BC9">
            <wp:simplePos x="0" y="0"/>
            <wp:positionH relativeFrom="page">
              <wp:posOffset>1023619</wp:posOffset>
            </wp:positionH>
            <wp:positionV relativeFrom="paragraph">
              <wp:posOffset>219860</wp:posOffset>
            </wp:positionV>
            <wp:extent cx="2275736" cy="1393126"/>
            <wp:effectExtent l="0" t="0" r="0" b="0"/>
            <wp:wrapTopAndBottom/>
            <wp:docPr id="7" name="Image 7"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hemical Structure"/>
                    <pic:cNvPicPr/>
                  </pic:nvPicPr>
                  <pic:blipFill>
                    <a:blip r:embed="rId12" cstate="print"/>
                    <a:stretch>
                      <a:fillRect/>
                    </a:stretch>
                  </pic:blipFill>
                  <pic:spPr>
                    <a:xfrm>
                      <a:off x="0" y="0"/>
                      <a:ext cx="2275736" cy="1393126"/>
                    </a:xfrm>
                    <a:prstGeom prst="rect">
                      <a:avLst/>
                    </a:prstGeom>
                  </pic:spPr>
                </pic:pic>
              </a:graphicData>
            </a:graphic>
          </wp:anchor>
        </w:drawing>
      </w:r>
    </w:p>
    <w:p w14:paraId="06ACE874" w14:textId="77777777" w:rsidR="00365624" w:rsidRDefault="00365624">
      <w:pPr>
        <w:pStyle w:val="BodyText"/>
        <w:ind w:left="0"/>
        <w:rPr>
          <w:b/>
        </w:rPr>
      </w:pPr>
    </w:p>
    <w:p w14:paraId="06ACE875" w14:textId="77777777" w:rsidR="00365624" w:rsidRDefault="00365624">
      <w:pPr>
        <w:pStyle w:val="BodyText"/>
        <w:spacing w:before="45"/>
        <w:ind w:left="0"/>
        <w:rPr>
          <w:b/>
        </w:rPr>
      </w:pPr>
    </w:p>
    <w:p w14:paraId="06ACE876" w14:textId="77777777" w:rsidR="00365624" w:rsidRDefault="002B025E">
      <w:pPr>
        <w:ind w:left="260"/>
      </w:pPr>
      <w:r>
        <w:rPr>
          <w:b/>
          <w:spacing w:val="-4"/>
        </w:rPr>
        <w:t>Molecular</w:t>
      </w:r>
      <w:r>
        <w:rPr>
          <w:b/>
          <w:spacing w:val="-9"/>
        </w:rPr>
        <w:t xml:space="preserve"> </w:t>
      </w:r>
      <w:r>
        <w:rPr>
          <w:b/>
          <w:spacing w:val="-4"/>
        </w:rPr>
        <w:t>formula:</w:t>
      </w:r>
      <w:r>
        <w:rPr>
          <w:b/>
          <w:spacing w:val="-6"/>
        </w:rPr>
        <w:t xml:space="preserve"> </w:t>
      </w:r>
      <w:r>
        <w:rPr>
          <w:spacing w:val="-4"/>
        </w:rPr>
        <w:t>C</w:t>
      </w:r>
      <w:r>
        <w:rPr>
          <w:spacing w:val="-4"/>
          <w:vertAlign w:val="subscript"/>
        </w:rPr>
        <w:t>24</w:t>
      </w:r>
      <w:r>
        <w:rPr>
          <w:spacing w:val="-4"/>
        </w:rPr>
        <w:t>H</w:t>
      </w:r>
      <w:r>
        <w:rPr>
          <w:spacing w:val="-4"/>
          <w:vertAlign w:val="subscript"/>
        </w:rPr>
        <w:t>34</w:t>
      </w:r>
      <w:r>
        <w:rPr>
          <w:spacing w:val="-4"/>
        </w:rPr>
        <w:t>O</w:t>
      </w:r>
      <w:r>
        <w:rPr>
          <w:spacing w:val="-4"/>
          <w:vertAlign w:val="subscript"/>
        </w:rPr>
        <w:t>5</w:t>
      </w:r>
    </w:p>
    <w:p w14:paraId="06ACE877" w14:textId="77777777" w:rsidR="00365624" w:rsidRDefault="00365624">
      <w:pPr>
        <w:pStyle w:val="BodyText"/>
        <w:spacing w:before="3"/>
        <w:ind w:left="0"/>
      </w:pPr>
    </w:p>
    <w:p w14:paraId="06ACE878" w14:textId="77777777" w:rsidR="00365624" w:rsidRDefault="002B025E">
      <w:pPr>
        <w:ind w:left="260"/>
      </w:pPr>
      <w:bookmarkStart w:id="27" w:name="7_MEDICINE_SCHEDULE_(POISONS_STANDARD)"/>
      <w:bookmarkStart w:id="28" w:name="8_SPONSOR"/>
      <w:bookmarkEnd w:id="27"/>
      <w:bookmarkEnd w:id="28"/>
      <w:r>
        <w:rPr>
          <w:b/>
          <w:spacing w:val="-4"/>
        </w:rPr>
        <w:t>Molecular</w:t>
      </w:r>
      <w:r>
        <w:rPr>
          <w:b/>
          <w:spacing w:val="-9"/>
        </w:rPr>
        <w:t xml:space="preserve"> </w:t>
      </w:r>
      <w:r>
        <w:rPr>
          <w:b/>
          <w:spacing w:val="-4"/>
        </w:rPr>
        <w:t xml:space="preserve">weight: </w:t>
      </w:r>
      <w:r>
        <w:rPr>
          <w:spacing w:val="-4"/>
        </w:rPr>
        <w:t>402.5</w:t>
      </w:r>
    </w:p>
    <w:p w14:paraId="06ACE879" w14:textId="77777777" w:rsidR="00365624" w:rsidRDefault="002B025E">
      <w:pPr>
        <w:spacing w:before="250"/>
        <w:ind w:left="260"/>
      </w:pPr>
      <w:r>
        <w:rPr>
          <w:b/>
          <w:spacing w:val="-6"/>
        </w:rPr>
        <w:t>CAS</w:t>
      </w:r>
      <w:r>
        <w:rPr>
          <w:b/>
          <w:spacing w:val="-7"/>
        </w:rPr>
        <w:t xml:space="preserve"> </w:t>
      </w:r>
      <w:r>
        <w:rPr>
          <w:b/>
          <w:spacing w:val="-6"/>
        </w:rPr>
        <w:t>number:</w:t>
      </w:r>
      <w:r>
        <w:rPr>
          <w:b/>
          <w:spacing w:val="-1"/>
        </w:rPr>
        <w:t xml:space="preserve"> </w:t>
      </w:r>
      <w:r>
        <w:rPr>
          <w:spacing w:val="-6"/>
        </w:rPr>
        <w:t>19608-29-</w:t>
      </w:r>
      <w:r>
        <w:rPr>
          <w:spacing w:val="-10"/>
        </w:rPr>
        <w:t>8</w:t>
      </w:r>
    </w:p>
    <w:p w14:paraId="06ACE87A" w14:textId="77777777" w:rsidR="00365624" w:rsidRDefault="00365624">
      <w:pPr>
        <w:pStyle w:val="BodyText"/>
        <w:ind w:left="0"/>
      </w:pPr>
    </w:p>
    <w:p w14:paraId="06ACE87B" w14:textId="77777777" w:rsidR="00365624" w:rsidRDefault="00365624">
      <w:pPr>
        <w:pStyle w:val="BodyText"/>
        <w:spacing w:before="5"/>
        <w:ind w:left="0"/>
      </w:pPr>
    </w:p>
    <w:p w14:paraId="06ACE87C" w14:textId="77777777" w:rsidR="00365624" w:rsidRDefault="002B025E" w:rsidP="008B5AF3">
      <w:pPr>
        <w:pStyle w:val="Heading1"/>
        <w:pageBreakBefore/>
        <w:numPr>
          <w:ilvl w:val="0"/>
          <w:numId w:val="1"/>
        </w:numPr>
        <w:tabs>
          <w:tab w:val="left" w:pos="446"/>
        </w:tabs>
        <w:ind w:left="448" w:hanging="187"/>
      </w:pPr>
      <w:r>
        <w:rPr>
          <w:spacing w:val="-8"/>
        </w:rPr>
        <w:lastRenderedPageBreak/>
        <w:t>MEDICINE</w:t>
      </w:r>
      <w:r>
        <w:rPr>
          <w:spacing w:val="-4"/>
        </w:rPr>
        <w:t xml:space="preserve"> </w:t>
      </w:r>
      <w:r>
        <w:rPr>
          <w:spacing w:val="-8"/>
        </w:rPr>
        <w:t>SCHEDULE</w:t>
      </w:r>
      <w:r>
        <w:rPr>
          <w:spacing w:val="4"/>
        </w:rPr>
        <w:t xml:space="preserve"> </w:t>
      </w:r>
      <w:r>
        <w:rPr>
          <w:spacing w:val="-8"/>
        </w:rPr>
        <w:t>(POISONS</w:t>
      </w:r>
      <w:r>
        <w:rPr>
          <w:spacing w:val="3"/>
        </w:rPr>
        <w:t xml:space="preserve"> </w:t>
      </w:r>
      <w:r>
        <w:rPr>
          <w:spacing w:val="-8"/>
        </w:rPr>
        <w:t>STANDARD)</w:t>
      </w:r>
    </w:p>
    <w:p w14:paraId="06ACE87D" w14:textId="77777777" w:rsidR="00365624" w:rsidRDefault="002B025E">
      <w:pPr>
        <w:pStyle w:val="BodyText"/>
        <w:spacing w:before="60"/>
      </w:pPr>
      <w:r>
        <w:rPr>
          <w:spacing w:val="-6"/>
        </w:rPr>
        <w:t>S4</w:t>
      </w:r>
      <w:r>
        <w:rPr>
          <w:spacing w:val="-5"/>
        </w:rPr>
        <w:t xml:space="preserve"> </w:t>
      </w:r>
      <w:r>
        <w:rPr>
          <w:spacing w:val="-6"/>
        </w:rPr>
        <w:t>–</w:t>
      </w:r>
      <w:r>
        <w:rPr>
          <w:spacing w:val="-2"/>
        </w:rPr>
        <w:t xml:space="preserve"> </w:t>
      </w:r>
      <w:r>
        <w:rPr>
          <w:spacing w:val="-6"/>
        </w:rPr>
        <w:t>Prescription</w:t>
      </w:r>
      <w:r>
        <w:t xml:space="preserve"> </w:t>
      </w:r>
      <w:r>
        <w:rPr>
          <w:spacing w:val="-6"/>
        </w:rPr>
        <w:t>Only</w:t>
      </w:r>
      <w:r>
        <w:rPr>
          <w:spacing w:val="3"/>
        </w:rPr>
        <w:t xml:space="preserve"> </w:t>
      </w:r>
      <w:r>
        <w:rPr>
          <w:spacing w:val="-6"/>
        </w:rPr>
        <w:t>Medicine</w:t>
      </w:r>
    </w:p>
    <w:p w14:paraId="06ACE87E" w14:textId="77777777" w:rsidR="00365624" w:rsidRDefault="00365624">
      <w:pPr>
        <w:pStyle w:val="BodyText"/>
        <w:spacing w:before="26"/>
        <w:ind w:left="0"/>
      </w:pPr>
    </w:p>
    <w:p w14:paraId="06ACE87F" w14:textId="77777777" w:rsidR="00365624" w:rsidRDefault="002B025E">
      <w:pPr>
        <w:pStyle w:val="Heading1"/>
        <w:numPr>
          <w:ilvl w:val="0"/>
          <w:numId w:val="1"/>
        </w:numPr>
        <w:tabs>
          <w:tab w:val="left" w:pos="446"/>
        </w:tabs>
        <w:ind w:left="446" w:hanging="186"/>
      </w:pPr>
      <w:r>
        <w:rPr>
          <w:spacing w:val="-2"/>
        </w:rPr>
        <w:t>SPONSOR</w:t>
      </w:r>
    </w:p>
    <w:p w14:paraId="06ACE880" w14:textId="77777777" w:rsidR="00365624" w:rsidRDefault="002B025E">
      <w:pPr>
        <w:pStyle w:val="BodyText"/>
        <w:spacing w:before="63" w:line="369" w:lineRule="auto"/>
        <w:ind w:right="7781"/>
      </w:pPr>
      <w:bookmarkStart w:id="29" w:name="9_DATE_OF_FIRST_APPROVAL"/>
      <w:bookmarkEnd w:id="29"/>
      <w:r>
        <w:rPr>
          <w:spacing w:val="-2"/>
        </w:rPr>
        <w:t>Sun</w:t>
      </w:r>
      <w:r>
        <w:rPr>
          <w:spacing w:val="-18"/>
        </w:rPr>
        <w:t xml:space="preserve"> </w:t>
      </w:r>
      <w:r>
        <w:rPr>
          <w:spacing w:val="-2"/>
        </w:rPr>
        <w:t>Pharma</w:t>
      </w:r>
      <w:r>
        <w:rPr>
          <w:spacing w:val="-18"/>
        </w:rPr>
        <w:t xml:space="preserve"> </w:t>
      </w:r>
      <w:r>
        <w:rPr>
          <w:spacing w:val="-2"/>
        </w:rPr>
        <w:t>ANZ</w:t>
      </w:r>
      <w:r>
        <w:rPr>
          <w:spacing w:val="-19"/>
        </w:rPr>
        <w:t xml:space="preserve"> </w:t>
      </w:r>
      <w:r>
        <w:rPr>
          <w:spacing w:val="-2"/>
        </w:rPr>
        <w:t>Pty</w:t>
      </w:r>
      <w:r>
        <w:rPr>
          <w:spacing w:val="-16"/>
        </w:rPr>
        <w:t xml:space="preserve"> </w:t>
      </w:r>
      <w:r>
        <w:rPr>
          <w:spacing w:val="-2"/>
        </w:rPr>
        <w:t xml:space="preserve">Ltd </w:t>
      </w:r>
      <w:r>
        <w:t>12 Waterloo Road Macquarie Park</w:t>
      </w:r>
    </w:p>
    <w:p w14:paraId="06ACE881" w14:textId="77777777" w:rsidR="00365624" w:rsidRDefault="002B025E">
      <w:pPr>
        <w:pStyle w:val="BodyText"/>
        <w:spacing w:line="244" w:lineRule="exact"/>
      </w:pPr>
      <w:r>
        <w:rPr>
          <w:spacing w:val="-8"/>
        </w:rPr>
        <w:t>NSW</w:t>
      </w:r>
      <w:r>
        <w:rPr>
          <w:spacing w:val="-12"/>
        </w:rPr>
        <w:t xml:space="preserve"> </w:t>
      </w:r>
      <w:r>
        <w:rPr>
          <w:spacing w:val="-4"/>
        </w:rPr>
        <w:t>2113</w:t>
      </w:r>
    </w:p>
    <w:p w14:paraId="06ACE882" w14:textId="77777777" w:rsidR="00365624" w:rsidRDefault="002B025E">
      <w:pPr>
        <w:pStyle w:val="BodyText"/>
        <w:spacing w:before="142"/>
      </w:pPr>
      <w:r>
        <w:rPr>
          <w:spacing w:val="-2"/>
        </w:rPr>
        <w:t>Australia</w:t>
      </w:r>
    </w:p>
    <w:p w14:paraId="06ACE883" w14:textId="77777777" w:rsidR="00365624" w:rsidRDefault="002B025E">
      <w:pPr>
        <w:pStyle w:val="BodyText"/>
        <w:spacing w:before="140" w:line="372" w:lineRule="auto"/>
        <w:ind w:right="5610"/>
      </w:pPr>
      <w:r>
        <w:rPr>
          <w:spacing w:val="-6"/>
        </w:rPr>
        <w:t>Email:</w:t>
      </w:r>
      <w:r>
        <w:rPr>
          <w:spacing w:val="-21"/>
        </w:rPr>
        <w:t xml:space="preserve"> </w:t>
      </w:r>
      <w:hyperlink r:id="rId13">
        <w:r>
          <w:rPr>
            <w:color w:val="0000FF"/>
            <w:spacing w:val="-6"/>
            <w:u w:val="single" w:color="0000FF"/>
          </w:rPr>
          <w:t>customerservice.aus@sunpharma.com</w:t>
        </w:r>
      </w:hyperlink>
      <w:r>
        <w:rPr>
          <w:color w:val="0000FF"/>
          <w:spacing w:val="-6"/>
        </w:rPr>
        <w:t xml:space="preserve"> </w:t>
      </w:r>
      <w:r>
        <w:t>Australia Toll Free: 1800 726 229</w:t>
      </w:r>
    </w:p>
    <w:p w14:paraId="06ACE884" w14:textId="77777777" w:rsidR="00365624" w:rsidRDefault="002B025E">
      <w:pPr>
        <w:pStyle w:val="BodyText"/>
      </w:pPr>
      <w:r>
        <w:rPr>
          <w:spacing w:val="-4"/>
        </w:rPr>
        <w:t>New</w:t>
      </w:r>
      <w:r>
        <w:rPr>
          <w:spacing w:val="-8"/>
        </w:rPr>
        <w:t xml:space="preserve"> </w:t>
      </w:r>
      <w:r>
        <w:rPr>
          <w:spacing w:val="-4"/>
        </w:rPr>
        <w:t>Zealand</w:t>
      </w:r>
      <w:r>
        <w:rPr>
          <w:spacing w:val="-2"/>
        </w:rPr>
        <w:t xml:space="preserve"> </w:t>
      </w:r>
      <w:r>
        <w:rPr>
          <w:spacing w:val="-4"/>
        </w:rPr>
        <w:t>Toll</w:t>
      </w:r>
      <w:r>
        <w:t xml:space="preserve"> </w:t>
      </w:r>
      <w:r>
        <w:rPr>
          <w:spacing w:val="-4"/>
        </w:rPr>
        <w:t>Free:</w:t>
      </w:r>
      <w:r>
        <w:rPr>
          <w:spacing w:val="-5"/>
        </w:rPr>
        <w:t xml:space="preserve"> </w:t>
      </w:r>
      <w:r>
        <w:rPr>
          <w:spacing w:val="-4"/>
        </w:rPr>
        <w:t>0800</w:t>
      </w:r>
      <w:r>
        <w:rPr>
          <w:spacing w:val="-7"/>
        </w:rPr>
        <w:t xml:space="preserve"> </w:t>
      </w:r>
      <w:r>
        <w:rPr>
          <w:spacing w:val="-4"/>
        </w:rPr>
        <w:t>726</w:t>
      </w:r>
      <w:r>
        <w:rPr>
          <w:spacing w:val="-6"/>
        </w:rPr>
        <w:t xml:space="preserve"> </w:t>
      </w:r>
      <w:r>
        <w:rPr>
          <w:spacing w:val="-5"/>
        </w:rPr>
        <w:t>229</w:t>
      </w:r>
    </w:p>
    <w:p w14:paraId="06ACE885" w14:textId="77777777" w:rsidR="00365624" w:rsidRDefault="00365624">
      <w:pPr>
        <w:pStyle w:val="BodyText"/>
        <w:ind w:left="0"/>
      </w:pPr>
    </w:p>
    <w:p w14:paraId="06ACE886" w14:textId="77777777" w:rsidR="00365624" w:rsidRDefault="00365624">
      <w:pPr>
        <w:pStyle w:val="BodyText"/>
        <w:spacing w:before="7"/>
        <w:ind w:left="0"/>
      </w:pPr>
    </w:p>
    <w:p w14:paraId="06ACE887" w14:textId="77777777" w:rsidR="00365624" w:rsidRDefault="002B025E">
      <w:pPr>
        <w:pStyle w:val="Heading1"/>
        <w:numPr>
          <w:ilvl w:val="0"/>
          <w:numId w:val="1"/>
        </w:numPr>
        <w:tabs>
          <w:tab w:val="left" w:pos="446"/>
        </w:tabs>
        <w:ind w:left="446" w:hanging="186"/>
      </w:pPr>
      <w:r>
        <w:rPr>
          <w:spacing w:val="-4"/>
        </w:rPr>
        <w:t>DATE</w:t>
      </w:r>
      <w:r>
        <w:rPr>
          <w:spacing w:val="-15"/>
        </w:rPr>
        <w:t xml:space="preserve"> </w:t>
      </w:r>
      <w:r>
        <w:rPr>
          <w:spacing w:val="-4"/>
        </w:rPr>
        <w:t>OF</w:t>
      </w:r>
      <w:r>
        <w:rPr>
          <w:spacing w:val="-12"/>
        </w:rPr>
        <w:t xml:space="preserve"> </w:t>
      </w:r>
      <w:r>
        <w:rPr>
          <w:spacing w:val="-4"/>
        </w:rPr>
        <w:t>FIRST</w:t>
      </w:r>
      <w:r>
        <w:rPr>
          <w:spacing w:val="-11"/>
        </w:rPr>
        <w:t xml:space="preserve"> </w:t>
      </w:r>
      <w:r>
        <w:rPr>
          <w:spacing w:val="-4"/>
        </w:rPr>
        <w:t>APPROVAL</w:t>
      </w:r>
    </w:p>
    <w:p w14:paraId="06ACE888" w14:textId="77777777" w:rsidR="00365624" w:rsidRDefault="002B025E">
      <w:pPr>
        <w:pStyle w:val="BodyText"/>
        <w:spacing w:before="59"/>
        <w:rPr>
          <w:spacing w:val="-5"/>
        </w:rPr>
      </w:pPr>
      <w:r>
        <w:rPr>
          <w:spacing w:val="-5"/>
        </w:rPr>
        <w:t>TBC</w:t>
      </w:r>
    </w:p>
    <w:p w14:paraId="4C2656C7" w14:textId="77777777" w:rsidR="008B5AF3" w:rsidRPr="008B5AF3" w:rsidRDefault="008B5AF3">
      <w:pPr>
        <w:pStyle w:val="Heading1"/>
        <w:numPr>
          <w:ilvl w:val="0"/>
          <w:numId w:val="1"/>
        </w:numPr>
        <w:tabs>
          <w:tab w:val="left" w:pos="570"/>
        </w:tabs>
        <w:spacing w:before="15"/>
        <w:ind w:left="570" w:hanging="310"/>
      </w:pPr>
      <w:bookmarkStart w:id="30" w:name="10_DATE_OF_REVISION"/>
      <w:bookmarkEnd w:id="30"/>
    </w:p>
    <w:p w14:paraId="06ACE88A" w14:textId="339A93D6" w:rsidR="00365624" w:rsidRDefault="002B025E">
      <w:pPr>
        <w:pStyle w:val="Heading1"/>
        <w:numPr>
          <w:ilvl w:val="0"/>
          <w:numId w:val="1"/>
        </w:numPr>
        <w:tabs>
          <w:tab w:val="left" w:pos="570"/>
        </w:tabs>
        <w:spacing w:before="15"/>
        <w:ind w:left="570" w:hanging="310"/>
      </w:pPr>
      <w:r>
        <w:rPr>
          <w:spacing w:val="-4"/>
        </w:rPr>
        <w:t>DATE</w:t>
      </w:r>
      <w:r>
        <w:rPr>
          <w:spacing w:val="-13"/>
        </w:rPr>
        <w:t xml:space="preserve"> </w:t>
      </w:r>
      <w:r>
        <w:rPr>
          <w:spacing w:val="-4"/>
        </w:rPr>
        <w:t>OF</w:t>
      </w:r>
      <w:r>
        <w:rPr>
          <w:spacing w:val="-9"/>
        </w:rPr>
        <w:t xml:space="preserve"> </w:t>
      </w:r>
      <w:r>
        <w:rPr>
          <w:spacing w:val="-4"/>
        </w:rPr>
        <w:t>REVISION</w:t>
      </w:r>
    </w:p>
    <w:p w14:paraId="06ACE88B" w14:textId="77777777" w:rsidR="00365624" w:rsidRDefault="002B025E">
      <w:pPr>
        <w:spacing w:before="161"/>
        <w:ind w:left="260"/>
        <w:rPr>
          <w:b/>
          <w:sz w:val="24"/>
        </w:rPr>
      </w:pPr>
      <w:r>
        <w:rPr>
          <w:b/>
          <w:spacing w:val="-2"/>
          <w:sz w:val="24"/>
        </w:rPr>
        <w:t>Summary</w:t>
      </w:r>
      <w:r>
        <w:rPr>
          <w:b/>
          <w:spacing w:val="-9"/>
          <w:sz w:val="24"/>
        </w:rPr>
        <w:t xml:space="preserve"> </w:t>
      </w:r>
      <w:r>
        <w:rPr>
          <w:b/>
          <w:spacing w:val="-2"/>
          <w:sz w:val="24"/>
        </w:rPr>
        <w:t>table</w:t>
      </w:r>
      <w:r>
        <w:rPr>
          <w:b/>
          <w:spacing w:val="-8"/>
          <w:sz w:val="24"/>
        </w:rPr>
        <w:t xml:space="preserve"> </w:t>
      </w:r>
      <w:r>
        <w:rPr>
          <w:b/>
          <w:spacing w:val="-2"/>
          <w:sz w:val="24"/>
        </w:rPr>
        <w:t>of changes</w:t>
      </w:r>
    </w:p>
    <w:p w14:paraId="06ACE88C" w14:textId="77777777" w:rsidR="00365624" w:rsidRDefault="00365624">
      <w:pPr>
        <w:pStyle w:val="BodyText"/>
        <w:ind w:left="0"/>
        <w:rPr>
          <w:b/>
          <w:sz w:val="7"/>
        </w:rPr>
      </w:pPr>
    </w:p>
    <w:tbl>
      <w:tblPr>
        <w:tblW w:w="0" w:type="auto"/>
        <w:tblInd w:w="3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23"/>
        <w:gridCol w:w="7874"/>
      </w:tblGrid>
      <w:tr w:rsidR="00365624" w14:paraId="06ACE88F" w14:textId="77777777">
        <w:trPr>
          <w:trHeight w:val="517"/>
        </w:trPr>
        <w:tc>
          <w:tcPr>
            <w:tcW w:w="1123" w:type="dxa"/>
            <w:tcBorders>
              <w:right w:val="single" w:sz="4" w:space="0" w:color="000000"/>
            </w:tcBorders>
          </w:tcPr>
          <w:p w14:paraId="06ACE88D" w14:textId="77777777" w:rsidR="00365624" w:rsidRDefault="002B025E">
            <w:pPr>
              <w:pStyle w:val="TableParagraph"/>
              <w:spacing w:before="38"/>
              <w:ind w:left="115" w:right="359"/>
              <w:rPr>
                <w:b/>
                <w:sz w:val="20"/>
              </w:rPr>
            </w:pPr>
            <w:r>
              <w:rPr>
                <w:b/>
                <w:spacing w:val="-2"/>
                <w:sz w:val="20"/>
              </w:rPr>
              <w:t xml:space="preserve">Section </w:t>
            </w:r>
            <w:r>
              <w:rPr>
                <w:b/>
                <w:spacing w:val="-8"/>
                <w:sz w:val="20"/>
              </w:rPr>
              <w:t>changed</w:t>
            </w:r>
          </w:p>
        </w:tc>
        <w:tc>
          <w:tcPr>
            <w:tcW w:w="7874" w:type="dxa"/>
            <w:tcBorders>
              <w:left w:val="single" w:sz="4" w:space="0" w:color="000000"/>
            </w:tcBorders>
          </w:tcPr>
          <w:p w14:paraId="06ACE88E" w14:textId="77777777" w:rsidR="00365624" w:rsidRDefault="002B025E">
            <w:pPr>
              <w:pStyle w:val="TableParagraph"/>
              <w:spacing w:before="57"/>
              <w:ind w:left="125"/>
              <w:rPr>
                <w:b/>
                <w:sz w:val="20"/>
              </w:rPr>
            </w:pPr>
            <w:r>
              <w:rPr>
                <w:b/>
                <w:spacing w:val="-2"/>
                <w:sz w:val="20"/>
              </w:rPr>
              <w:t>Summary</w:t>
            </w:r>
            <w:r>
              <w:rPr>
                <w:b/>
                <w:spacing w:val="-13"/>
                <w:sz w:val="20"/>
              </w:rPr>
              <w:t xml:space="preserve"> </w:t>
            </w:r>
            <w:r>
              <w:rPr>
                <w:b/>
                <w:spacing w:val="-2"/>
                <w:sz w:val="20"/>
              </w:rPr>
              <w:t>of</w:t>
            </w:r>
            <w:r>
              <w:rPr>
                <w:b/>
                <w:spacing w:val="-7"/>
                <w:sz w:val="20"/>
              </w:rPr>
              <w:t xml:space="preserve"> </w:t>
            </w:r>
            <w:r>
              <w:rPr>
                <w:b/>
                <w:spacing w:val="-2"/>
                <w:sz w:val="20"/>
              </w:rPr>
              <w:t>new</w:t>
            </w:r>
            <w:r>
              <w:rPr>
                <w:b/>
                <w:spacing w:val="-3"/>
                <w:sz w:val="20"/>
              </w:rPr>
              <w:t xml:space="preserve"> </w:t>
            </w:r>
            <w:r>
              <w:rPr>
                <w:b/>
                <w:spacing w:val="-2"/>
                <w:sz w:val="20"/>
              </w:rPr>
              <w:t>information</w:t>
            </w:r>
          </w:p>
        </w:tc>
      </w:tr>
      <w:tr w:rsidR="00365624" w14:paraId="06ACE892" w14:textId="77777777">
        <w:trPr>
          <w:trHeight w:val="229"/>
        </w:trPr>
        <w:tc>
          <w:tcPr>
            <w:tcW w:w="1123" w:type="dxa"/>
            <w:tcBorders>
              <w:bottom w:val="single" w:sz="4" w:space="0" w:color="000000"/>
              <w:right w:val="single" w:sz="4" w:space="0" w:color="000000"/>
            </w:tcBorders>
          </w:tcPr>
          <w:p w14:paraId="06ACE890" w14:textId="77777777" w:rsidR="00365624" w:rsidRDefault="00365624">
            <w:pPr>
              <w:pStyle w:val="TableParagraph"/>
              <w:spacing w:before="0"/>
              <w:rPr>
                <w:rFonts w:ascii="Times New Roman"/>
                <w:sz w:val="16"/>
              </w:rPr>
            </w:pPr>
          </w:p>
        </w:tc>
        <w:tc>
          <w:tcPr>
            <w:tcW w:w="7874" w:type="dxa"/>
            <w:tcBorders>
              <w:left w:val="single" w:sz="4" w:space="0" w:color="000000"/>
              <w:bottom w:val="single" w:sz="4" w:space="0" w:color="000000"/>
            </w:tcBorders>
          </w:tcPr>
          <w:p w14:paraId="06ACE891" w14:textId="77777777" w:rsidR="00365624" w:rsidRDefault="00365624">
            <w:pPr>
              <w:pStyle w:val="TableParagraph"/>
              <w:spacing w:before="0"/>
              <w:rPr>
                <w:rFonts w:ascii="Times New Roman"/>
                <w:sz w:val="16"/>
              </w:rPr>
            </w:pPr>
          </w:p>
        </w:tc>
      </w:tr>
    </w:tbl>
    <w:p w14:paraId="06ACE893" w14:textId="77777777" w:rsidR="002B025E" w:rsidRDefault="002B025E"/>
    <w:sectPr w:rsidR="002B025E">
      <w:pgSz w:w="11920" w:h="16860"/>
      <w:pgMar w:top="980" w:right="760" w:bottom="800" w:left="1180" w:header="718"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E89D" w14:textId="77777777" w:rsidR="002B025E" w:rsidRDefault="002B025E">
      <w:r>
        <w:separator/>
      </w:r>
    </w:p>
  </w:endnote>
  <w:endnote w:type="continuationSeparator" w:id="0">
    <w:p w14:paraId="06ACE89F" w14:textId="77777777" w:rsidR="002B025E" w:rsidRDefault="002B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E898" w14:textId="54895592" w:rsidR="00365624" w:rsidRDefault="008B5AF3">
    <w:pPr>
      <w:pStyle w:val="BodyText"/>
      <w:spacing w:line="14" w:lineRule="auto"/>
      <w:ind w:left="0"/>
      <w:rPr>
        <w:sz w:val="20"/>
      </w:rPr>
    </w:pPr>
    <w:r>
      <w:rPr>
        <w:noProof/>
      </w:rPr>
      <mc:AlternateContent>
        <mc:Choice Requires="wps">
          <w:drawing>
            <wp:anchor distT="0" distB="0" distL="0" distR="0" simplePos="0" relativeHeight="487263232" behindDoc="1" locked="0" layoutInCell="1" allowOverlap="1" wp14:anchorId="06ACE8A1" wp14:editId="6244445E">
              <wp:simplePos x="0" y="0"/>
              <wp:positionH relativeFrom="page">
                <wp:posOffset>3543300</wp:posOffset>
              </wp:positionH>
              <wp:positionV relativeFrom="page">
                <wp:posOffset>10191750</wp:posOffset>
              </wp:positionV>
              <wp:extent cx="742950" cy="2095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209550"/>
                      </a:xfrm>
                      <a:prstGeom prst="rect">
                        <a:avLst/>
                      </a:prstGeom>
                    </wps:spPr>
                    <wps:txbx>
                      <w:txbxContent>
                        <w:p w14:paraId="06ACE8A5" w14:textId="77777777" w:rsidR="00365624" w:rsidRDefault="002B025E">
                          <w:pPr>
                            <w:spacing w:before="19"/>
                            <w:ind w:left="20"/>
                            <w:rPr>
                              <w:sz w:val="18"/>
                            </w:rPr>
                          </w:pPr>
                          <w:r>
                            <w:rPr>
                              <w:sz w:val="18"/>
                            </w:rPr>
                            <w:t>Page</w:t>
                          </w:r>
                          <w:r>
                            <w:rPr>
                              <w:spacing w:val="-9"/>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6"/>
                              <w:sz w:val="18"/>
                            </w:rPr>
                            <w:t xml:space="preserve"> </w:t>
                          </w:r>
                          <w:r>
                            <w:rPr>
                              <w:sz w:val="18"/>
                            </w:rPr>
                            <w:t>of</w:t>
                          </w:r>
                          <w:r>
                            <w:rPr>
                              <w:spacing w:val="-5"/>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9</w:t>
                          </w:r>
                          <w:r>
                            <w:rPr>
                              <w:spacing w:val="-10"/>
                              <w:sz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6ACE8A1" id="_x0000_t202" coordsize="21600,21600" o:spt="202" path="m,l,21600r21600,l21600,xe">
              <v:stroke joinstyle="miter"/>
              <v:path gradientshapeok="t" o:connecttype="rect"/>
            </v:shapetype>
            <v:shape id="Textbox 5" o:spid="_x0000_s1027" type="#_x0000_t202" style="position:absolute;margin-left:279pt;margin-top:802.5pt;width:58.5pt;height:16.5pt;z-index:-16053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" filled="f" stroked="f">
              <v:textbox inset="0,0,0,0">
                <w:txbxContent>
                  <w:p w14:paraId="06ACE8A5" w14:textId="77777777" w:rsidR="00365624" w:rsidRDefault="002B025E">
                    <w:pPr>
                      <w:spacing w:before="19"/>
                      <w:ind w:left="20"/>
                      <w:rPr>
                        <w:sz w:val="18"/>
                      </w:rPr>
                    </w:pPr>
                    <w:r>
                      <w:rPr>
                        <w:sz w:val="18"/>
                      </w:rPr>
                      <w:t>Page</w:t>
                    </w:r>
                    <w:r>
                      <w:rPr>
                        <w:spacing w:val="-9"/>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6"/>
                        <w:sz w:val="18"/>
                      </w:rPr>
                      <w:t xml:space="preserve"> </w:t>
                    </w:r>
                    <w:r>
                      <w:rPr>
                        <w:sz w:val="18"/>
                      </w:rPr>
                      <w:t>of</w:t>
                    </w:r>
                    <w:r>
                      <w:rPr>
                        <w:spacing w:val="-5"/>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9</w:t>
                    </w:r>
                    <w:r>
                      <w:rPr>
                        <w:spacing w:val="-10"/>
                        <w:sz w:val="18"/>
                      </w:rPr>
                      <w:fldChar w:fldCharType="end"/>
                    </w:r>
                  </w:p>
                </w:txbxContent>
              </v:textbox>
              <w10:wrap anchorx="page" anchory="page"/>
            </v:shape>
          </w:pict>
        </mc:Fallback>
      </mc:AlternateContent>
    </w:r>
    <w:r w:rsidR="002B025E">
      <w:rPr>
        <w:noProof/>
      </w:rPr>
      <mc:AlternateContent>
        <mc:Choice Requires="wps">
          <w:drawing>
            <wp:anchor distT="0" distB="0" distL="0" distR="0" simplePos="0" relativeHeight="487262208" behindDoc="1" locked="0" layoutInCell="1" allowOverlap="1" wp14:anchorId="06ACE89D" wp14:editId="06ACE89E">
              <wp:simplePos x="0" y="0"/>
              <wp:positionH relativeFrom="page">
                <wp:posOffset>895350</wp:posOffset>
              </wp:positionH>
              <wp:positionV relativeFrom="page">
                <wp:posOffset>10144760</wp:posOffset>
              </wp:positionV>
              <wp:extent cx="5770245" cy="57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715"/>
                      </a:xfrm>
                      <a:custGeom>
                        <a:avLst/>
                        <a:gdLst/>
                        <a:ahLst/>
                        <a:cxnLst/>
                        <a:rect l="l" t="t" r="r" b="b"/>
                        <a:pathLst>
                          <a:path w="5770245" h="5715">
                            <a:moveTo>
                              <a:pt x="5770245" y="0"/>
                            </a:moveTo>
                            <a:lnTo>
                              <a:pt x="0" y="0"/>
                            </a:lnTo>
                            <a:lnTo>
                              <a:pt x="0" y="5714"/>
                            </a:lnTo>
                            <a:lnTo>
                              <a:pt x="5770245" y="5714"/>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FB99F" id="Graphic 3" o:spid="_x0000_s1026" style="position:absolute;margin-left:70.5pt;margin-top:798.8pt;width:454.35pt;height:.45pt;z-index:-16054272;visibility:visible;mso-wrap-style:square;mso-wrap-distance-left:0;mso-wrap-distance-top:0;mso-wrap-distance-right:0;mso-wrap-distance-bottom:0;mso-position-horizontal:absolute;mso-position-horizontal-relative:page;mso-position-vertical:absolute;mso-position-vertical-relative:page;v-text-anchor:top" coordsize="57702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PNHgIAAL0EAAAOAAAAZHJzL2Uyb0RvYy54bWysVMFu2zAMvQ/YPwi6L06CZhm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" path="m5770245,l,,,5714r5770245,l5770245,xe" fillcolor="black" stroked="f">
              <v:path arrowok="t"/>
              <w10:wrap anchorx="page" anchory="page"/>
            </v:shape>
          </w:pict>
        </mc:Fallback>
      </mc:AlternateContent>
    </w:r>
    <w:r w:rsidR="002B025E">
      <w:rPr>
        <w:noProof/>
      </w:rPr>
      <mc:AlternateContent>
        <mc:Choice Requires="wps">
          <w:drawing>
            <wp:anchor distT="0" distB="0" distL="0" distR="0" simplePos="0" relativeHeight="487262720" behindDoc="1" locked="0" layoutInCell="1" allowOverlap="1" wp14:anchorId="06ACE89F" wp14:editId="050C7227">
              <wp:simplePos x="0" y="0"/>
              <wp:positionH relativeFrom="page">
                <wp:posOffset>901700</wp:posOffset>
              </wp:positionH>
              <wp:positionV relativeFrom="page">
                <wp:posOffset>10191750</wp:posOffset>
              </wp:positionV>
              <wp:extent cx="589915" cy="1568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156845"/>
                      </a:xfrm>
                      <a:prstGeom prst="rect">
                        <a:avLst/>
                      </a:prstGeom>
                    </wps:spPr>
                    <wps:txbx>
                      <w:txbxContent>
                        <w:p w14:paraId="06ACE8A4" w14:textId="77777777" w:rsidR="00365624" w:rsidRDefault="002B025E">
                          <w:pPr>
                            <w:spacing w:before="19"/>
                            <w:ind w:left="20"/>
                            <w:rPr>
                              <w:sz w:val="18"/>
                            </w:rPr>
                          </w:pPr>
                          <w:r>
                            <w:rPr>
                              <w:sz w:val="18"/>
                            </w:rPr>
                            <w:t>PI</w:t>
                          </w:r>
                          <w:r>
                            <w:rPr>
                              <w:spacing w:val="-10"/>
                              <w:sz w:val="18"/>
                            </w:rPr>
                            <w:t xml:space="preserve"> </w:t>
                          </w:r>
                          <w:r>
                            <w:rPr>
                              <w:sz w:val="18"/>
                            </w:rPr>
                            <w:t>–</w:t>
                          </w:r>
                          <w:r>
                            <w:rPr>
                              <w:spacing w:val="-2"/>
                              <w:sz w:val="18"/>
                            </w:rPr>
                            <w:t xml:space="preserve"> WINLEVI</w:t>
                          </w:r>
                        </w:p>
                      </w:txbxContent>
                    </wps:txbx>
                    <wps:bodyPr wrap="square" lIns="0" tIns="0" rIns="0" bIns="0" rtlCol="0">
                      <a:noAutofit/>
                    </wps:bodyPr>
                  </wps:wsp>
                </a:graphicData>
              </a:graphic>
            </wp:anchor>
          </w:drawing>
        </mc:Choice>
        <mc:Fallback>
          <w:pict>
            <v:shape w14:anchorId="06ACE89F" id="Textbox 4" o:spid="_x0000_s1028" type="#_x0000_t202" style="position:absolute;margin-left:71pt;margin-top:802.5pt;width:46.45pt;height:12.35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" filled="f" stroked="f">
              <v:textbox inset="0,0,0,0">
                <w:txbxContent>
                  <w:p w14:paraId="06ACE8A4" w14:textId="77777777" w:rsidR="00365624" w:rsidRDefault="002B025E">
                    <w:pPr>
                      <w:spacing w:before="19"/>
                      <w:ind w:left="20"/>
                      <w:rPr>
                        <w:sz w:val="18"/>
                      </w:rPr>
                    </w:pPr>
                    <w:r>
                      <w:rPr>
                        <w:sz w:val="18"/>
                      </w:rPr>
                      <w:t>PI</w:t>
                    </w:r>
                    <w:r>
                      <w:rPr>
                        <w:spacing w:val="-10"/>
                        <w:sz w:val="18"/>
                      </w:rPr>
                      <w:t xml:space="preserve"> </w:t>
                    </w:r>
                    <w:r>
                      <w:rPr>
                        <w:sz w:val="18"/>
                      </w:rPr>
                      <w:t>–</w:t>
                    </w:r>
                    <w:r>
                      <w:rPr>
                        <w:spacing w:val="-2"/>
                        <w:sz w:val="18"/>
                      </w:rPr>
                      <w:t xml:space="preserve"> WINLEVI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CE899" w14:textId="77777777" w:rsidR="002B025E" w:rsidRDefault="002B025E">
      <w:r>
        <w:separator/>
      </w:r>
    </w:p>
  </w:footnote>
  <w:footnote w:type="continuationSeparator" w:id="0">
    <w:p w14:paraId="06ACE89B" w14:textId="77777777" w:rsidR="002B025E" w:rsidRDefault="002B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5677" w14:textId="0D45FDBB" w:rsidR="008B5AF3" w:rsidRDefault="008B5AF3" w:rsidP="008B5AF3"/>
  <w:tbl>
    <w:tblPr>
      <w:tblStyle w:val="TableGrid"/>
      <w:tblW w:w="0" w:type="auto"/>
      <w:shd w:val="clear" w:color="auto" w:fill="E4F2E0"/>
      <w:tblLook w:val="04A0" w:firstRow="1" w:lastRow="0" w:firstColumn="1" w:lastColumn="0" w:noHBand="0" w:noVBand="1"/>
    </w:tblPr>
    <w:tblGrid>
      <w:gridCol w:w="9180"/>
    </w:tblGrid>
    <w:tr w:rsidR="008B5AF3" w:rsidRPr="008B5AF3" w14:paraId="7939A9C3" w14:textId="77777777" w:rsidTr="005E2E09">
      <w:trPr>
        <w:trHeight w:val="1012"/>
      </w:trPr>
      <w:tc>
        <w:tcPr>
          <w:tcW w:w="9180" w:type="dxa"/>
          <w:shd w:val="clear" w:color="auto" w:fill="E4F2E0"/>
        </w:tcPr>
        <w:p w14:paraId="5FDBDE28" w14:textId="77777777" w:rsidR="008B5AF3" w:rsidRPr="008B5AF3" w:rsidRDefault="008B5AF3" w:rsidP="008B5AF3">
          <w:pPr>
            <w:pStyle w:val="Footer"/>
            <w:rPr>
              <w:rFonts w:asciiTheme="majorHAnsi" w:hAnsiTheme="majorHAnsi"/>
              <w:b/>
              <w:sz w:val="18"/>
              <w:szCs w:val="18"/>
            </w:rPr>
          </w:pPr>
          <w:bookmarkStart w:id="8" w:name="_Hlk109054010"/>
          <w:proofErr w:type="spellStart"/>
          <w:r w:rsidRPr="008B5AF3">
            <w:rPr>
              <w:rFonts w:asciiTheme="majorHAnsi" w:hAnsiTheme="majorHAnsi"/>
              <w:b/>
              <w:sz w:val="18"/>
              <w:szCs w:val="18"/>
            </w:rPr>
            <w:t>AusPAR</w:t>
          </w:r>
          <w:proofErr w:type="spellEnd"/>
          <w:r w:rsidRPr="008B5AF3">
            <w:rPr>
              <w:rFonts w:asciiTheme="majorHAnsi" w:hAnsiTheme="majorHAnsi"/>
              <w:b/>
              <w:sz w:val="18"/>
              <w:szCs w:val="18"/>
            </w:rPr>
            <w:t xml:space="preserve"> - PM-2023-00180-1-1 - </w:t>
          </w:r>
          <w:proofErr w:type="spellStart"/>
          <w:r w:rsidRPr="008B5AF3">
            <w:rPr>
              <w:rFonts w:asciiTheme="majorHAnsi" w:hAnsiTheme="majorHAnsi"/>
              <w:b/>
              <w:sz w:val="18"/>
              <w:szCs w:val="18"/>
            </w:rPr>
            <w:t>Winlevi</w:t>
          </w:r>
          <w:proofErr w:type="spellEnd"/>
          <w:r w:rsidRPr="008B5AF3">
            <w:rPr>
              <w:rFonts w:asciiTheme="majorHAnsi" w:hAnsiTheme="majorHAnsi"/>
              <w:b/>
              <w:sz w:val="18"/>
              <w:szCs w:val="18"/>
            </w:rPr>
            <w:t xml:space="preserve"> - </w:t>
          </w:r>
          <w:proofErr w:type="spellStart"/>
          <w:r w:rsidRPr="008B5AF3">
            <w:rPr>
              <w:rFonts w:asciiTheme="majorHAnsi" w:hAnsiTheme="majorHAnsi"/>
              <w:b/>
              <w:sz w:val="18"/>
              <w:szCs w:val="18"/>
            </w:rPr>
            <w:t>clascoterone</w:t>
          </w:r>
          <w:proofErr w:type="spellEnd"/>
          <w:r w:rsidRPr="008B5AF3">
            <w:rPr>
              <w:rFonts w:asciiTheme="majorHAnsi" w:hAnsiTheme="majorHAnsi"/>
              <w:b/>
              <w:sz w:val="18"/>
              <w:szCs w:val="18"/>
            </w:rPr>
            <w:t xml:space="preserve"> - Sun Pharma ANZ Pty Ltd</w:t>
          </w:r>
        </w:p>
        <w:p w14:paraId="10E696F3" w14:textId="77777777" w:rsidR="008B5AF3" w:rsidRPr="008B5AF3" w:rsidRDefault="008B5AF3" w:rsidP="008B5AF3">
          <w:pPr>
            <w:pStyle w:val="Footer"/>
            <w:rPr>
              <w:rFonts w:asciiTheme="majorHAnsi" w:hAnsiTheme="majorHAnsi"/>
              <w:b/>
              <w:sz w:val="18"/>
              <w:szCs w:val="18"/>
            </w:rPr>
          </w:pPr>
          <w:r w:rsidRPr="008B5AF3">
            <w:rPr>
              <w:rFonts w:asciiTheme="majorHAnsi" w:hAnsiTheme="majorHAnsi"/>
              <w:b/>
              <w:sz w:val="18"/>
              <w:szCs w:val="18"/>
            </w:rPr>
            <w:t xml:space="preserve">Date of Finalisation 16 August 2024. This is the Product Information that was approved with the submission described in this </w:t>
          </w:r>
          <w:proofErr w:type="spellStart"/>
          <w:r w:rsidRPr="008B5AF3">
            <w:rPr>
              <w:rFonts w:asciiTheme="majorHAnsi" w:hAnsiTheme="majorHAnsi"/>
              <w:b/>
              <w:sz w:val="18"/>
              <w:szCs w:val="18"/>
            </w:rPr>
            <w:t>AusPAR</w:t>
          </w:r>
          <w:proofErr w:type="spellEnd"/>
          <w:r w:rsidRPr="008B5AF3">
            <w:rPr>
              <w:rFonts w:asciiTheme="majorHAnsi" w:hAnsiTheme="majorHAnsi"/>
              <w:b/>
              <w:sz w:val="18"/>
              <w:szCs w:val="18"/>
            </w:rPr>
            <w:t>. It may have been superseded. For the most recent PI, please refer to the TGA website at &lt;</w:t>
          </w:r>
          <w:hyperlink r:id="rId1" w:history="1">
            <w:r w:rsidRPr="008B5AF3">
              <w:rPr>
                <w:rStyle w:val="Hyperlink"/>
                <w:rFonts w:asciiTheme="majorHAnsi" w:hAnsiTheme="majorHAnsi"/>
                <w:b/>
                <w:sz w:val="18"/>
                <w:szCs w:val="18"/>
              </w:rPr>
              <w:t>https://www.tga.gov.au/product-information-pi</w:t>
            </w:r>
          </w:hyperlink>
          <w:r w:rsidRPr="008B5AF3">
            <w:rPr>
              <w:rFonts w:asciiTheme="majorHAnsi" w:hAnsiTheme="majorHAnsi"/>
              <w:b/>
              <w:sz w:val="18"/>
              <w:szCs w:val="18"/>
              <w:u w:val="single"/>
            </w:rPr>
            <w:t>&gt;</w:t>
          </w:r>
        </w:p>
      </w:tc>
    </w:tr>
    <w:bookmarkEnd w:id="8"/>
  </w:tbl>
  <w:p w14:paraId="3432949A" w14:textId="77777777" w:rsidR="008B5AF3" w:rsidRDefault="008B5AF3" w:rsidP="008B5AF3">
    <w:pPr>
      <w:rPr>
        <w:b/>
      </w:rPr>
    </w:pPr>
  </w:p>
  <w:p w14:paraId="06ACE897" w14:textId="101416FD" w:rsidR="00365624" w:rsidRDefault="002B025E">
    <w:pPr>
      <w:pStyle w:val="BodyText"/>
      <w:spacing w:line="14" w:lineRule="auto"/>
      <w:ind w:left="0"/>
      <w:rPr>
        <w:sz w:val="20"/>
      </w:rPr>
    </w:pPr>
    <w:r>
      <w:rPr>
        <w:noProof/>
      </w:rPr>
      <mc:AlternateContent>
        <mc:Choice Requires="wps">
          <w:drawing>
            <wp:anchor distT="0" distB="0" distL="0" distR="0" simplePos="0" relativeHeight="487261184" behindDoc="1" locked="0" layoutInCell="1" allowOverlap="1" wp14:anchorId="06ACE899" wp14:editId="097D272F">
              <wp:simplePos x="0" y="0"/>
              <wp:positionH relativeFrom="page">
                <wp:posOffset>895350</wp:posOffset>
              </wp:positionH>
              <wp:positionV relativeFrom="page">
                <wp:posOffset>625475</wp:posOffset>
              </wp:positionV>
              <wp:extent cx="5770245" cy="57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715"/>
                      </a:xfrm>
                      <a:custGeom>
                        <a:avLst/>
                        <a:gdLst/>
                        <a:ahLst/>
                        <a:cxnLst/>
                        <a:rect l="l" t="t" r="r" b="b"/>
                        <a:pathLst>
                          <a:path w="5770245" h="5715">
                            <a:moveTo>
                              <a:pt x="5770245" y="0"/>
                            </a:moveTo>
                            <a:lnTo>
                              <a:pt x="0" y="0"/>
                            </a:lnTo>
                            <a:lnTo>
                              <a:pt x="0" y="5715"/>
                            </a:lnTo>
                            <a:lnTo>
                              <a:pt x="5770245" y="5715"/>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310D87" id="Graphic 1" o:spid="_x0000_s1026" style="position:absolute;margin-left:70.5pt;margin-top:49.25pt;width:454.35pt;height:.45pt;z-index:-16055296;visibility:visible;mso-wrap-style:square;mso-wrap-distance-left:0;mso-wrap-distance-top:0;mso-wrap-distance-right:0;mso-wrap-distance-bottom:0;mso-position-horizontal:absolute;mso-position-horizontal-relative:page;mso-position-vertical:absolute;mso-position-vertical-relative:page;v-text-anchor:top" coordsize="57702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" path="m5770245,l,,,5715r5770245,l5770245,xe" fillcolor="black" stroked="f">
              <v:path arrowok="t"/>
              <w10:wrap anchorx="page" anchory="page"/>
            </v:shape>
          </w:pict>
        </mc:Fallback>
      </mc:AlternateContent>
    </w:r>
    <w:r>
      <w:rPr>
        <w:noProof/>
      </w:rPr>
      <mc:AlternateContent>
        <mc:Choice Requires="wps">
          <w:drawing>
            <wp:anchor distT="0" distB="0" distL="0" distR="0" simplePos="0" relativeHeight="487261696" behindDoc="1" locked="0" layoutInCell="1" allowOverlap="1" wp14:anchorId="06ACE89B" wp14:editId="5D825A21">
              <wp:simplePos x="0" y="0"/>
              <wp:positionH relativeFrom="page">
                <wp:posOffset>5349240</wp:posOffset>
              </wp:positionH>
              <wp:positionV relativeFrom="page">
                <wp:posOffset>443484</wp:posOffset>
              </wp:positionV>
              <wp:extent cx="1280160" cy="1568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156845"/>
                      </a:xfrm>
                      <a:prstGeom prst="rect">
                        <a:avLst/>
                      </a:prstGeom>
                    </wps:spPr>
                    <wps:txbx>
                      <w:txbxContent>
                        <w:p w14:paraId="06ACE8A3" w14:textId="77777777" w:rsidR="00365624" w:rsidRDefault="002B025E">
                          <w:pPr>
                            <w:spacing w:before="19"/>
                            <w:ind w:left="20"/>
                            <w:rPr>
                              <w:sz w:val="18"/>
                            </w:rPr>
                          </w:pPr>
                          <w:r>
                            <w:rPr>
                              <w:spacing w:val="-2"/>
                              <w:sz w:val="18"/>
                            </w:rPr>
                            <w:t>Product</w:t>
                          </w:r>
                          <w:r>
                            <w:rPr>
                              <w:spacing w:val="-1"/>
                              <w:sz w:val="18"/>
                            </w:rPr>
                            <w:t xml:space="preserve"> </w:t>
                          </w:r>
                          <w:r>
                            <w:rPr>
                              <w:spacing w:val="-2"/>
                              <w:sz w:val="18"/>
                            </w:rPr>
                            <w:t>Information – Australia</w:t>
                          </w:r>
                        </w:p>
                      </w:txbxContent>
                    </wps:txbx>
                    <wps:bodyPr wrap="square" lIns="0" tIns="0" rIns="0" bIns="0" rtlCol="0">
                      <a:noAutofit/>
                    </wps:bodyPr>
                  </wps:wsp>
                </a:graphicData>
              </a:graphic>
            </wp:anchor>
          </w:drawing>
        </mc:Choice>
        <mc:Fallback>
          <w:pict>
            <v:shapetype w14:anchorId="06ACE89B" id="_x0000_t202" coordsize="21600,21600" o:spt="202" path="m,l,21600r21600,l21600,xe">
              <v:stroke joinstyle="miter"/>
              <v:path gradientshapeok="t" o:connecttype="rect"/>
            </v:shapetype>
            <v:shape id="Textbox 2" o:spid="_x0000_s1026" type="#_x0000_t202" style="position:absolute;margin-left:421.2pt;margin-top:34.9pt;width:100.8pt;height:12.35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" filled="f" stroked="f">
              <v:textbox inset="0,0,0,0">
                <w:txbxContent>
                  <w:p w14:paraId="06ACE8A3" w14:textId="77777777" w:rsidR="00365624" w:rsidRDefault="002B025E">
                    <w:pPr>
                      <w:spacing w:before="19"/>
                      <w:ind w:left="20"/>
                      <w:rPr>
                        <w:sz w:val="18"/>
                      </w:rPr>
                    </w:pPr>
                    <w:r>
                      <w:rPr>
                        <w:spacing w:val="-2"/>
                        <w:sz w:val="18"/>
                      </w:rPr>
                      <w:t>Product</w:t>
                    </w:r>
                    <w:r>
                      <w:rPr>
                        <w:spacing w:val="-1"/>
                        <w:sz w:val="18"/>
                      </w:rPr>
                      <w:t xml:space="preserve"> </w:t>
                    </w:r>
                    <w:r>
                      <w:rPr>
                        <w:spacing w:val="-2"/>
                        <w:sz w:val="18"/>
                      </w:rPr>
                      <w:t>Information – Australia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E4DB1"/>
    <w:multiLevelType w:val="multilevel"/>
    <w:tmpl w:val="62A602C2"/>
    <w:lvl w:ilvl="0">
      <w:start w:val="1"/>
      <w:numFmt w:val="decimal"/>
      <w:lvlText w:val="%1"/>
      <w:lvlJc w:val="left"/>
      <w:pPr>
        <w:ind w:left="447" w:hanging="188"/>
        <w:jc w:val="left"/>
      </w:pPr>
      <w:rPr>
        <w:rFonts w:ascii="Arial Narrow" w:eastAsia="Arial Narrow" w:hAnsi="Arial Narrow" w:cs="Arial Narrow" w:hint="default"/>
        <w:b/>
        <w:bCs/>
        <w:i w:val="0"/>
        <w:iCs w:val="0"/>
        <w:spacing w:val="0"/>
        <w:w w:val="95"/>
        <w:sz w:val="28"/>
        <w:szCs w:val="28"/>
        <w:lang w:val="en-US" w:eastAsia="en-US" w:bidi="ar-SA"/>
      </w:rPr>
    </w:lvl>
    <w:lvl w:ilvl="1">
      <w:start w:val="1"/>
      <w:numFmt w:val="decimal"/>
      <w:lvlText w:val="%1.%2"/>
      <w:lvlJc w:val="left"/>
      <w:pPr>
        <w:ind w:left="630" w:hanging="371"/>
        <w:jc w:val="left"/>
      </w:pPr>
      <w:rPr>
        <w:rFonts w:ascii="Arial Narrow" w:eastAsia="Arial Narrow" w:hAnsi="Arial Narrow" w:cs="Arial Narrow" w:hint="default"/>
        <w:b/>
        <w:bCs/>
        <w:i w:val="0"/>
        <w:iCs w:val="0"/>
        <w:spacing w:val="-4"/>
        <w:w w:val="95"/>
        <w:sz w:val="28"/>
        <w:szCs w:val="28"/>
        <w:lang w:val="en-US" w:eastAsia="en-US" w:bidi="ar-SA"/>
      </w:rPr>
    </w:lvl>
    <w:lvl w:ilvl="2">
      <w:numFmt w:val="bullet"/>
      <w:lvlText w:val="•"/>
      <w:lvlJc w:val="left"/>
      <w:pPr>
        <w:ind w:left="1677" w:hanging="371"/>
      </w:pPr>
      <w:rPr>
        <w:rFonts w:hint="default"/>
        <w:lang w:val="en-US" w:eastAsia="en-US" w:bidi="ar-SA"/>
      </w:rPr>
    </w:lvl>
    <w:lvl w:ilvl="3">
      <w:numFmt w:val="bullet"/>
      <w:lvlText w:val="•"/>
      <w:lvlJc w:val="left"/>
      <w:pPr>
        <w:ind w:left="2715" w:hanging="371"/>
      </w:pPr>
      <w:rPr>
        <w:rFonts w:hint="default"/>
        <w:lang w:val="en-US" w:eastAsia="en-US" w:bidi="ar-SA"/>
      </w:rPr>
    </w:lvl>
    <w:lvl w:ilvl="4">
      <w:numFmt w:val="bullet"/>
      <w:lvlText w:val="•"/>
      <w:lvlJc w:val="left"/>
      <w:pPr>
        <w:ind w:left="3753" w:hanging="371"/>
      </w:pPr>
      <w:rPr>
        <w:rFonts w:hint="default"/>
        <w:lang w:val="en-US" w:eastAsia="en-US" w:bidi="ar-SA"/>
      </w:rPr>
    </w:lvl>
    <w:lvl w:ilvl="5">
      <w:numFmt w:val="bullet"/>
      <w:lvlText w:val="•"/>
      <w:lvlJc w:val="left"/>
      <w:pPr>
        <w:ind w:left="4790" w:hanging="371"/>
      </w:pPr>
      <w:rPr>
        <w:rFonts w:hint="default"/>
        <w:lang w:val="en-US" w:eastAsia="en-US" w:bidi="ar-SA"/>
      </w:rPr>
    </w:lvl>
    <w:lvl w:ilvl="6">
      <w:numFmt w:val="bullet"/>
      <w:lvlText w:val="•"/>
      <w:lvlJc w:val="left"/>
      <w:pPr>
        <w:ind w:left="5828" w:hanging="371"/>
      </w:pPr>
      <w:rPr>
        <w:rFonts w:hint="default"/>
        <w:lang w:val="en-US" w:eastAsia="en-US" w:bidi="ar-SA"/>
      </w:rPr>
    </w:lvl>
    <w:lvl w:ilvl="7">
      <w:numFmt w:val="bullet"/>
      <w:lvlText w:val="•"/>
      <w:lvlJc w:val="left"/>
      <w:pPr>
        <w:ind w:left="6866" w:hanging="371"/>
      </w:pPr>
      <w:rPr>
        <w:rFonts w:hint="default"/>
        <w:lang w:val="en-US" w:eastAsia="en-US" w:bidi="ar-SA"/>
      </w:rPr>
    </w:lvl>
    <w:lvl w:ilvl="8">
      <w:numFmt w:val="bullet"/>
      <w:lvlText w:val="•"/>
      <w:lvlJc w:val="left"/>
      <w:pPr>
        <w:ind w:left="7904" w:hanging="371"/>
      </w:pPr>
      <w:rPr>
        <w:rFonts w:hint="default"/>
        <w:lang w:val="en-US" w:eastAsia="en-US" w:bidi="ar-SA"/>
      </w:rPr>
    </w:lvl>
  </w:abstractNum>
  <w:num w:numId="1" w16cid:durableId="71003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65624"/>
    <w:rsid w:val="00100210"/>
    <w:rsid w:val="002B025E"/>
    <w:rsid w:val="00365624"/>
    <w:rsid w:val="008B5AF3"/>
    <w:rsid w:val="008C7F85"/>
    <w:rsid w:val="009332F9"/>
    <w:rsid w:val="00CB30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CE737"/>
  <w15:docId w15:val="{9675ABD1-0ABE-4055-8A3B-5DDC2980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628" w:hanging="368"/>
      <w:outlineLvl w:val="0"/>
    </w:pPr>
    <w:rPr>
      <w:b/>
      <w:bCs/>
      <w:sz w:val="28"/>
      <w:szCs w:val="28"/>
    </w:rPr>
  </w:style>
  <w:style w:type="paragraph" w:styleId="Heading2">
    <w:name w:val="heading 2"/>
    <w:basedOn w:val="Normal"/>
    <w:uiPriority w:val="9"/>
    <w:unhideWhenUsed/>
    <w:qFormat/>
    <w:pPr>
      <w:spacing w:before="204"/>
      <w:ind w:left="260"/>
      <w:jc w:val="both"/>
      <w:outlineLvl w:val="1"/>
    </w:pPr>
    <w:rPr>
      <w:b/>
      <w:bCs/>
      <w:sz w:val="24"/>
      <w:szCs w:val="24"/>
    </w:rPr>
  </w:style>
  <w:style w:type="paragraph" w:styleId="Heading3">
    <w:name w:val="heading 3"/>
    <w:basedOn w:val="Normal"/>
    <w:uiPriority w:val="9"/>
    <w:unhideWhenUsed/>
    <w:qFormat/>
    <w:pPr>
      <w:ind w:left="260"/>
      <w:outlineLvl w:val="2"/>
    </w:pPr>
    <w:rPr>
      <w:b/>
      <w:bCs/>
    </w:rPr>
  </w:style>
  <w:style w:type="paragraph" w:styleId="Heading4">
    <w:name w:val="heading 4"/>
    <w:basedOn w:val="Normal"/>
    <w:uiPriority w:val="9"/>
    <w:unhideWhenUsed/>
    <w:qFormat/>
    <w:pPr>
      <w:spacing w:before="119"/>
      <w:ind w:left="26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style>
  <w:style w:type="paragraph" w:styleId="ListParagraph">
    <w:name w:val="List Paragraph"/>
    <w:basedOn w:val="Normal"/>
    <w:uiPriority w:val="1"/>
    <w:qFormat/>
    <w:pPr>
      <w:ind w:left="628" w:hanging="368"/>
    </w:pPr>
  </w:style>
  <w:style w:type="paragraph" w:customStyle="1" w:styleId="TableParagraph">
    <w:name w:val="Table Paragraph"/>
    <w:basedOn w:val="Normal"/>
    <w:uiPriority w:val="1"/>
    <w:qFormat/>
    <w:pPr>
      <w:spacing w:before="58"/>
    </w:pPr>
  </w:style>
  <w:style w:type="paragraph" w:styleId="Header">
    <w:name w:val="header"/>
    <w:basedOn w:val="Normal"/>
    <w:link w:val="HeaderChar"/>
    <w:uiPriority w:val="99"/>
    <w:unhideWhenUsed/>
    <w:rsid w:val="008B5AF3"/>
    <w:pPr>
      <w:tabs>
        <w:tab w:val="center" w:pos="4513"/>
        <w:tab w:val="right" w:pos="9026"/>
      </w:tabs>
    </w:pPr>
  </w:style>
  <w:style w:type="character" w:customStyle="1" w:styleId="HeaderChar">
    <w:name w:val="Header Char"/>
    <w:basedOn w:val="DefaultParagraphFont"/>
    <w:link w:val="Header"/>
    <w:uiPriority w:val="99"/>
    <w:rsid w:val="008B5AF3"/>
    <w:rPr>
      <w:rFonts w:ascii="Arial Narrow" w:eastAsia="Arial Narrow" w:hAnsi="Arial Narrow" w:cs="Arial Narrow"/>
    </w:rPr>
  </w:style>
  <w:style w:type="paragraph" w:styleId="Footer">
    <w:name w:val="footer"/>
    <w:basedOn w:val="Normal"/>
    <w:link w:val="FooterChar"/>
    <w:unhideWhenUsed/>
    <w:rsid w:val="008B5AF3"/>
    <w:pPr>
      <w:tabs>
        <w:tab w:val="center" w:pos="4513"/>
        <w:tab w:val="right" w:pos="9026"/>
      </w:tabs>
    </w:pPr>
  </w:style>
  <w:style w:type="character" w:customStyle="1" w:styleId="FooterChar">
    <w:name w:val="Footer Char"/>
    <w:basedOn w:val="DefaultParagraphFont"/>
    <w:link w:val="Footer"/>
    <w:rsid w:val="008B5AF3"/>
    <w:rPr>
      <w:rFonts w:ascii="Arial Narrow" w:eastAsia="Arial Narrow" w:hAnsi="Arial Narrow" w:cs="Arial Narrow"/>
    </w:rPr>
  </w:style>
  <w:style w:type="character" w:styleId="Hyperlink">
    <w:name w:val="Hyperlink"/>
    <w:basedOn w:val="DefaultParagraphFont"/>
    <w:uiPriority w:val="99"/>
    <w:unhideWhenUsed/>
    <w:rsid w:val="008B5AF3"/>
    <w:rPr>
      <w:color w:val="0000FF"/>
      <w:u w:val="single"/>
    </w:rPr>
  </w:style>
  <w:style w:type="table" w:styleId="TableGrid">
    <w:name w:val="Table Grid"/>
    <w:basedOn w:val="TableNormal"/>
    <w:uiPriority w:val="59"/>
    <w:rsid w:val="008B5AF3"/>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ustomerservice.aus@sunpharm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verse.events.aus@sunpharm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3264</Words>
  <Characters>18199</Characters>
  <Application>Microsoft Office Word</Application>
  <DocSecurity>0</DocSecurity>
  <Lines>444</Lines>
  <Paragraphs>260</Paragraphs>
  <ScaleCrop>false</ScaleCrop>
  <HeadingPairs>
    <vt:vector size="2" baseType="variant">
      <vt:variant>
        <vt:lpstr>Title</vt:lpstr>
      </vt:variant>
      <vt:variant>
        <vt:i4>1</vt:i4>
      </vt:variant>
    </vt:vector>
  </HeadingPairs>
  <TitlesOfParts>
    <vt:vector size="1" baseType="lpstr">
      <vt:lpstr>Attachment 1. Product information for Winlevi</vt:lpstr>
    </vt:vector>
  </TitlesOfParts>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Winlevi</dc:title>
  <dc:subject>Prescription medicines</dc:subject>
  <dc:creator>Sun Pharma ANZ Pty Ltd</dc:creator>
  <dcterms:created xsi:type="dcterms:W3CDTF">2024-08-21T01:14:00Z</dcterms:created>
  <dcterms:modified xsi:type="dcterms:W3CDTF">2024-08-21T01:26:00Z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2024-03-02T00:00:00Z</vt:filetime>
  </property>
  <property fmtid="{D5CDD505-2E9C-101B-9397-08002B2CF9AE}" pid="3" name="Creator">
    <vt:lpwstr>Microsoft® Word 2019</vt:lpwstr>
  </property>
  <property fmtid="{D5CDD505-2E9C-101B-9397-08002B2CF9AE}" pid="4" name="LastSaved">
    <vt:filetime>2024-08-17T00:00:00Z</vt:filetime>
  </property>
  <property fmtid="{D5CDD505-2E9C-101B-9397-08002B2CF9AE}" pid="5" name="Producer">
    <vt:lpwstr>Microsoft® Word 2019</vt:lpwstr>
  </property>
</Properties>
</file>