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A3673" w:rsidRPr="00215D48" w14:paraId="24972C62" w14:textId="77777777" w:rsidTr="00191918">
        <w:trPr>
          <w:trHeight w:val="1558"/>
        </w:trPr>
        <w:tc>
          <w:tcPr>
            <w:tcW w:w="8720" w:type="dxa"/>
          </w:tcPr>
          <w:p w14:paraId="19B3DFA3" w14:textId="43505626" w:rsidR="00DA3673" w:rsidRPr="00215D48" w:rsidRDefault="00DA3673" w:rsidP="00DA3673">
            <w:pPr>
              <w:pStyle w:val="Title"/>
            </w:pPr>
            <w:r w:rsidRPr="00346EC2">
              <w:t xml:space="preserve">Australian Public Assessment Report for </w:t>
            </w:r>
            <w:bookmarkStart w:id="0" w:name="_Hlk175734920"/>
            <w:r>
              <w:t>Rinvoq</w:t>
            </w:r>
            <w:bookmarkEnd w:id="0"/>
          </w:p>
        </w:tc>
      </w:tr>
      <w:tr w:rsidR="00DA3673" w:rsidRPr="00215D48" w14:paraId="33D03B2A" w14:textId="77777777" w:rsidTr="00191918">
        <w:trPr>
          <w:trHeight w:val="995"/>
        </w:trPr>
        <w:tc>
          <w:tcPr>
            <w:tcW w:w="8720" w:type="dxa"/>
          </w:tcPr>
          <w:p w14:paraId="568E7FF8" w14:textId="33985A92" w:rsidR="00DA3673" w:rsidRPr="00215D48" w:rsidRDefault="00DA3673" w:rsidP="00DA3673">
            <w:pPr>
              <w:pStyle w:val="Subtitle"/>
              <w:ind w:left="0"/>
            </w:pPr>
            <w:r w:rsidRPr="00346EC2">
              <w:t>Active ingredient:</w:t>
            </w:r>
            <w:r>
              <w:t xml:space="preserve"> </w:t>
            </w:r>
            <w:bookmarkStart w:id="1" w:name="_Hlk175734974"/>
            <w:r w:rsidR="009A31C9">
              <w:t>U</w:t>
            </w:r>
            <w:r w:rsidRPr="00DA3673">
              <w:t>padacitinib</w:t>
            </w:r>
            <w:bookmarkEnd w:id="1"/>
          </w:p>
        </w:tc>
      </w:tr>
      <w:tr w:rsidR="00DA3673" w:rsidRPr="00215D48" w14:paraId="36964002" w14:textId="77777777" w:rsidTr="00191918">
        <w:trPr>
          <w:trHeight w:val="1916"/>
        </w:trPr>
        <w:tc>
          <w:tcPr>
            <w:tcW w:w="8720" w:type="dxa"/>
          </w:tcPr>
          <w:p w14:paraId="567A8D94" w14:textId="7DBF555A" w:rsidR="00DA3673" w:rsidRPr="00215D48" w:rsidRDefault="00DA3673" w:rsidP="00DA3673">
            <w:pPr>
              <w:pStyle w:val="Subtitle"/>
              <w:ind w:left="0"/>
            </w:pPr>
            <w:r w:rsidRPr="00346EC2">
              <w:t xml:space="preserve">Sponsor: </w:t>
            </w:r>
            <w:bookmarkStart w:id="2" w:name="_Hlk175734985"/>
            <w:r>
              <w:t>AbbVie</w:t>
            </w:r>
            <w:r w:rsidRPr="00483C6E">
              <w:t xml:space="preserve"> Pty Ltd</w:t>
            </w:r>
            <w:bookmarkEnd w:id="2"/>
          </w:p>
        </w:tc>
      </w:tr>
      <w:tr w:rsidR="00DA3673" w:rsidRPr="00215D48" w14:paraId="67F16672" w14:textId="77777777" w:rsidTr="009A31C9">
        <w:trPr>
          <w:trHeight w:val="636"/>
        </w:trPr>
        <w:tc>
          <w:tcPr>
            <w:tcW w:w="8720" w:type="dxa"/>
          </w:tcPr>
          <w:p w14:paraId="3D224D04" w14:textId="77777777" w:rsidR="00DA3673" w:rsidRPr="00215D48" w:rsidRDefault="00DA3673" w:rsidP="00DA3673">
            <w:pPr>
              <w:pStyle w:val="Date"/>
            </w:pPr>
            <w:r>
              <w:t>August</w:t>
            </w:r>
            <w:r w:rsidRPr="00215D48">
              <w:t xml:space="preserve"> </w:t>
            </w:r>
            <w:r>
              <w:t>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7A5534D" w14:textId="5D1934EC" w:rsidR="002358C8"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5736500" w:history="1">
            <w:r w:rsidR="002358C8" w:rsidRPr="00DF582E">
              <w:rPr>
                <w:rStyle w:val="Hyperlink"/>
                <w:noProof/>
              </w:rPr>
              <w:t>List of abbreviations</w:t>
            </w:r>
            <w:r w:rsidR="002358C8">
              <w:rPr>
                <w:noProof/>
                <w:webHidden/>
              </w:rPr>
              <w:tab/>
            </w:r>
            <w:r w:rsidR="002358C8">
              <w:rPr>
                <w:noProof/>
                <w:webHidden/>
              </w:rPr>
              <w:fldChar w:fldCharType="begin"/>
            </w:r>
            <w:r w:rsidR="002358C8">
              <w:rPr>
                <w:noProof/>
                <w:webHidden/>
              </w:rPr>
              <w:instrText xml:space="preserve"> PAGEREF _Toc175736500 \h </w:instrText>
            </w:r>
            <w:r w:rsidR="002358C8">
              <w:rPr>
                <w:noProof/>
                <w:webHidden/>
              </w:rPr>
            </w:r>
            <w:r w:rsidR="002358C8">
              <w:rPr>
                <w:noProof/>
                <w:webHidden/>
              </w:rPr>
              <w:fldChar w:fldCharType="separate"/>
            </w:r>
            <w:r w:rsidR="002358C8">
              <w:rPr>
                <w:noProof/>
                <w:webHidden/>
              </w:rPr>
              <w:t>4</w:t>
            </w:r>
            <w:r w:rsidR="002358C8">
              <w:rPr>
                <w:noProof/>
                <w:webHidden/>
              </w:rPr>
              <w:fldChar w:fldCharType="end"/>
            </w:r>
          </w:hyperlink>
        </w:p>
        <w:p w14:paraId="0C798412" w14:textId="07496A00" w:rsidR="002358C8" w:rsidRDefault="002358C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736501" w:history="1">
            <w:r w:rsidRPr="00DF582E">
              <w:rPr>
                <w:rStyle w:val="Hyperlink"/>
                <w:noProof/>
              </w:rPr>
              <w:t>Product submission</w:t>
            </w:r>
            <w:r>
              <w:rPr>
                <w:noProof/>
                <w:webHidden/>
              </w:rPr>
              <w:tab/>
            </w:r>
            <w:r>
              <w:rPr>
                <w:noProof/>
                <w:webHidden/>
              </w:rPr>
              <w:fldChar w:fldCharType="begin"/>
            </w:r>
            <w:r>
              <w:rPr>
                <w:noProof/>
                <w:webHidden/>
              </w:rPr>
              <w:instrText xml:space="preserve"> PAGEREF _Toc175736501 \h </w:instrText>
            </w:r>
            <w:r>
              <w:rPr>
                <w:noProof/>
                <w:webHidden/>
              </w:rPr>
            </w:r>
            <w:r>
              <w:rPr>
                <w:noProof/>
                <w:webHidden/>
              </w:rPr>
              <w:fldChar w:fldCharType="separate"/>
            </w:r>
            <w:r>
              <w:rPr>
                <w:noProof/>
                <w:webHidden/>
              </w:rPr>
              <w:t>6</w:t>
            </w:r>
            <w:r>
              <w:rPr>
                <w:noProof/>
                <w:webHidden/>
              </w:rPr>
              <w:fldChar w:fldCharType="end"/>
            </w:r>
          </w:hyperlink>
        </w:p>
        <w:p w14:paraId="2CCC6AE0" w14:textId="10D2ED22"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2" w:history="1">
            <w:r w:rsidRPr="00DF582E">
              <w:rPr>
                <w:rStyle w:val="Hyperlink"/>
                <w:noProof/>
                <w:lang w:eastAsia="en-AU"/>
              </w:rPr>
              <w:t>Submission details</w:t>
            </w:r>
            <w:r>
              <w:rPr>
                <w:noProof/>
                <w:webHidden/>
              </w:rPr>
              <w:tab/>
            </w:r>
            <w:r>
              <w:rPr>
                <w:noProof/>
                <w:webHidden/>
              </w:rPr>
              <w:fldChar w:fldCharType="begin"/>
            </w:r>
            <w:r>
              <w:rPr>
                <w:noProof/>
                <w:webHidden/>
              </w:rPr>
              <w:instrText xml:space="preserve"> PAGEREF _Toc175736502 \h </w:instrText>
            </w:r>
            <w:r>
              <w:rPr>
                <w:noProof/>
                <w:webHidden/>
              </w:rPr>
            </w:r>
            <w:r>
              <w:rPr>
                <w:noProof/>
                <w:webHidden/>
              </w:rPr>
              <w:fldChar w:fldCharType="separate"/>
            </w:r>
            <w:r>
              <w:rPr>
                <w:noProof/>
                <w:webHidden/>
              </w:rPr>
              <w:t>6</w:t>
            </w:r>
            <w:r>
              <w:rPr>
                <w:noProof/>
                <w:webHidden/>
              </w:rPr>
              <w:fldChar w:fldCharType="end"/>
            </w:r>
          </w:hyperlink>
        </w:p>
        <w:p w14:paraId="392CE007" w14:textId="7D29FDA0"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3" w:history="1">
            <w:r w:rsidRPr="00DF582E">
              <w:rPr>
                <w:rStyle w:val="Hyperlink"/>
                <w:noProof/>
              </w:rPr>
              <w:t>Rinvoq (upadacitinib) background</w:t>
            </w:r>
            <w:r>
              <w:rPr>
                <w:noProof/>
                <w:webHidden/>
              </w:rPr>
              <w:tab/>
            </w:r>
            <w:r>
              <w:rPr>
                <w:noProof/>
                <w:webHidden/>
              </w:rPr>
              <w:fldChar w:fldCharType="begin"/>
            </w:r>
            <w:r>
              <w:rPr>
                <w:noProof/>
                <w:webHidden/>
              </w:rPr>
              <w:instrText xml:space="preserve"> PAGEREF _Toc175736503 \h </w:instrText>
            </w:r>
            <w:r>
              <w:rPr>
                <w:noProof/>
                <w:webHidden/>
              </w:rPr>
            </w:r>
            <w:r>
              <w:rPr>
                <w:noProof/>
                <w:webHidden/>
              </w:rPr>
              <w:fldChar w:fldCharType="separate"/>
            </w:r>
            <w:r>
              <w:rPr>
                <w:noProof/>
                <w:webHidden/>
              </w:rPr>
              <w:t>7</w:t>
            </w:r>
            <w:r>
              <w:rPr>
                <w:noProof/>
                <w:webHidden/>
              </w:rPr>
              <w:fldChar w:fldCharType="end"/>
            </w:r>
          </w:hyperlink>
        </w:p>
        <w:p w14:paraId="099B3F6B" w14:textId="45875421"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4" w:history="1">
            <w:r w:rsidRPr="00DF582E">
              <w:rPr>
                <w:rStyle w:val="Hyperlink"/>
                <w:noProof/>
              </w:rPr>
              <w:t>Non-radiographic axial spondyloarthritis</w:t>
            </w:r>
            <w:r>
              <w:rPr>
                <w:noProof/>
                <w:webHidden/>
              </w:rPr>
              <w:tab/>
            </w:r>
            <w:r>
              <w:rPr>
                <w:noProof/>
                <w:webHidden/>
              </w:rPr>
              <w:fldChar w:fldCharType="begin"/>
            </w:r>
            <w:r>
              <w:rPr>
                <w:noProof/>
                <w:webHidden/>
              </w:rPr>
              <w:instrText xml:space="preserve"> PAGEREF _Toc175736504 \h </w:instrText>
            </w:r>
            <w:r>
              <w:rPr>
                <w:noProof/>
                <w:webHidden/>
              </w:rPr>
            </w:r>
            <w:r>
              <w:rPr>
                <w:noProof/>
                <w:webHidden/>
              </w:rPr>
              <w:fldChar w:fldCharType="separate"/>
            </w:r>
            <w:r>
              <w:rPr>
                <w:noProof/>
                <w:webHidden/>
              </w:rPr>
              <w:t>8</w:t>
            </w:r>
            <w:r>
              <w:rPr>
                <w:noProof/>
                <w:webHidden/>
              </w:rPr>
              <w:fldChar w:fldCharType="end"/>
            </w:r>
          </w:hyperlink>
        </w:p>
        <w:p w14:paraId="23DC9B4E" w14:textId="75A2456B"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5" w:history="1">
            <w:r w:rsidRPr="00DF582E">
              <w:rPr>
                <w:rStyle w:val="Hyperlink"/>
                <w:noProof/>
              </w:rPr>
              <w:t>Current treatment options</w:t>
            </w:r>
            <w:r>
              <w:rPr>
                <w:noProof/>
                <w:webHidden/>
              </w:rPr>
              <w:tab/>
            </w:r>
            <w:r>
              <w:rPr>
                <w:noProof/>
                <w:webHidden/>
              </w:rPr>
              <w:fldChar w:fldCharType="begin"/>
            </w:r>
            <w:r>
              <w:rPr>
                <w:noProof/>
                <w:webHidden/>
              </w:rPr>
              <w:instrText xml:space="preserve"> PAGEREF _Toc175736505 \h </w:instrText>
            </w:r>
            <w:r>
              <w:rPr>
                <w:noProof/>
                <w:webHidden/>
              </w:rPr>
            </w:r>
            <w:r>
              <w:rPr>
                <w:noProof/>
                <w:webHidden/>
              </w:rPr>
              <w:fldChar w:fldCharType="separate"/>
            </w:r>
            <w:r>
              <w:rPr>
                <w:noProof/>
                <w:webHidden/>
              </w:rPr>
              <w:t>8</w:t>
            </w:r>
            <w:r>
              <w:rPr>
                <w:noProof/>
                <w:webHidden/>
              </w:rPr>
              <w:fldChar w:fldCharType="end"/>
            </w:r>
          </w:hyperlink>
        </w:p>
        <w:p w14:paraId="613EB1FC" w14:textId="6403B1E5"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6" w:history="1">
            <w:r w:rsidRPr="00DF582E">
              <w:rPr>
                <w:rStyle w:val="Hyperlink"/>
                <w:noProof/>
              </w:rPr>
              <w:t>Clinical rationale</w:t>
            </w:r>
            <w:r>
              <w:rPr>
                <w:noProof/>
                <w:webHidden/>
              </w:rPr>
              <w:tab/>
            </w:r>
            <w:r>
              <w:rPr>
                <w:noProof/>
                <w:webHidden/>
              </w:rPr>
              <w:fldChar w:fldCharType="begin"/>
            </w:r>
            <w:r>
              <w:rPr>
                <w:noProof/>
                <w:webHidden/>
              </w:rPr>
              <w:instrText xml:space="preserve"> PAGEREF _Toc175736506 \h </w:instrText>
            </w:r>
            <w:r>
              <w:rPr>
                <w:noProof/>
                <w:webHidden/>
              </w:rPr>
            </w:r>
            <w:r>
              <w:rPr>
                <w:noProof/>
                <w:webHidden/>
              </w:rPr>
              <w:fldChar w:fldCharType="separate"/>
            </w:r>
            <w:r>
              <w:rPr>
                <w:noProof/>
                <w:webHidden/>
              </w:rPr>
              <w:t>9</w:t>
            </w:r>
            <w:r>
              <w:rPr>
                <w:noProof/>
                <w:webHidden/>
              </w:rPr>
              <w:fldChar w:fldCharType="end"/>
            </w:r>
          </w:hyperlink>
        </w:p>
        <w:p w14:paraId="3D3F08A8" w14:textId="4932608A"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07" w:history="1">
            <w:r w:rsidRPr="00DF582E">
              <w:rPr>
                <w:rStyle w:val="Hyperlink"/>
                <w:noProof/>
              </w:rPr>
              <w:t>Regulatory status</w:t>
            </w:r>
            <w:r>
              <w:rPr>
                <w:noProof/>
                <w:webHidden/>
              </w:rPr>
              <w:tab/>
            </w:r>
            <w:r>
              <w:rPr>
                <w:noProof/>
                <w:webHidden/>
              </w:rPr>
              <w:fldChar w:fldCharType="begin"/>
            </w:r>
            <w:r>
              <w:rPr>
                <w:noProof/>
                <w:webHidden/>
              </w:rPr>
              <w:instrText xml:space="preserve"> PAGEREF _Toc175736507 \h </w:instrText>
            </w:r>
            <w:r>
              <w:rPr>
                <w:noProof/>
                <w:webHidden/>
              </w:rPr>
            </w:r>
            <w:r>
              <w:rPr>
                <w:noProof/>
                <w:webHidden/>
              </w:rPr>
              <w:fldChar w:fldCharType="separate"/>
            </w:r>
            <w:r>
              <w:rPr>
                <w:noProof/>
                <w:webHidden/>
              </w:rPr>
              <w:t>9</w:t>
            </w:r>
            <w:r>
              <w:rPr>
                <w:noProof/>
                <w:webHidden/>
              </w:rPr>
              <w:fldChar w:fldCharType="end"/>
            </w:r>
          </w:hyperlink>
        </w:p>
        <w:p w14:paraId="363BF564" w14:textId="3EF969A4"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08" w:history="1">
            <w:r w:rsidRPr="00DF582E">
              <w:rPr>
                <w:rStyle w:val="Hyperlink"/>
                <w:noProof/>
              </w:rPr>
              <w:t>Australian regulatory status</w:t>
            </w:r>
            <w:r>
              <w:rPr>
                <w:noProof/>
                <w:webHidden/>
              </w:rPr>
              <w:tab/>
            </w:r>
            <w:r>
              <w:rPr>
                <w:noProof/>
                <w:webHidden/>
              </w:rPr>
              <w:fldChar w:fldCharType="begin"/>
            </w:r>
            <w:r>
              <w:rPr>
                <w:noProof/>
                <w:webHidden/>
              </w:rPr>
              <w:instrText xml:space="preserve"> PAGEREF _Toc175736508 \h </w:instrText>
            </w:r>
            <w:r>
              <w:rPr>
                <w:noProof/>
                <w:webHidden/>
              </w:rPr>
            </w:r>
            <w:r>
              <w:rPr>
                <w:noProof/>
                <w:webHidden/>
              </w:rPr>
              <w:fldChar w:fldCharType="separate"/>
            </w:r>
            <w:r>
              <w:rPr>
                <w:noProof/>
                <w:webHidden/>
              </w:rPr>
              <w:t>9</w:t>
            </w:r>
            <w:r>
              <w:rPr>
                <w:noProof/>
                <w:webHidden/>
              </w:rPr>
              <w:fldChar w:fldCharType="end"/>
            </w:r>
          </w:hyperlink>
        </w:p>
        <w:p w14:paraId="3541C76F" w14:textId="1246272A"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09" w:history="1">
            <w:r w:rsidRPr="00DF582E">
              <w:rPr>
                <w:rStyle w:val="Hyperlink"/>
                <w:noProof/>
              </w:rPr>
              <w:t>International regulatory status</w:t>
            </w:r>
            <w:r>
              <w:rPr>
                <w:noProof/>
                <w:webHidden/>
              </w:rPr>
              <w:tab/>
            </w:r>
            <w:r>
              <w:rPr>
                <w:noProof/>
                <w:webHidden/>
              </w:rPr>
              <w:fldChar w:fldCharType="begin"/>
            </w:r>
            <w:r>
              <w:rPr>
                <w:noProof/>
                <w:webHidden/>
              </w:rPr>
              <w:instrText xml:space="preserve"> PAGEREF _Toc175736509 \h </w:instrText>
            </w:r>
            <w:r>
              <w:rPr>
                <w:noProof/>
                <w:webHidden/>
              </w:rPr>
            </w:r>
            <w:r>
              <w:rPr>
                <w:noProof/>
                <w:webHidden/>
              </w:rPr>
              <w:fldChar w:fldCharType="separate"/>
            </w:r>
            <w:r>
              <w:rPr>
                <w:noProof/>
                <w:webHidden/>
              </w:rPr>
              <w:t>10</w:t>
            </w:r>
            <w:r>
              <w:rPr>
                <w:noProof/>
                <w:webHidden/>
              </w:rPr>
              <w:fldChar w:fldCharType="end"/>
            </w:r>
          </w:hyperlink>
        </w:p>
        <w:p w14:paraId="378CB974" w14:textId="7346E7E5" w:rsidR="002358C8" w:rsidRDefault="002358C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736510" w:history="1">
            <w:r w:rsidRPr="00DF582E">
              <w:rPr>
                <w:rStyle w:val="Hyperlink"/>
                <w:noProof/>
              </w:rPr>
              <w:t>Registration timeline</w:t>
            </w:r>
            <w:r>
              <w:rPr>
                <w:noProof/>
                <w:webHidden/>
              </w:rPr>
              <w:tab/>
            </w:r>
            <w:r>
              <w:rPr>
                <w:noProof/>
                <w:webHidden/>
              </w:rPr>
              <w:fldChar w:fldCharType="begin"/>
            </w:r>
            <w:r>
              <w:rPr>
                <w:noProof/>
                <w:webHidden/>
              </w:rPr>
              <w:instrText xml:space="preserve"> PAGEREF _Toc175736510 \h </w:instrText>
            </w:r>
            <w:r>
              <w:rPr>
                <w:noProof/>
                <w:webHidden/>
              </w:rPr>
            </w:r>
            <w:r>
              <w:rPr>
                <w:noProof/>
                <w:webHidden/>
              </w:rPr>
              <w:fldChar w:fldCharType="separate"/>
            </w:r>
            <w:r>
              <w:rPr>
                <w:noProof/>
                <w:webHidden/>
              </w:rPr>
              <w:t>11</w:t>
            </w:r>
            <w:r>
              <w:rPr>
                <w:noProof/>
                <w:webHidden/>
              </w:rPr>
              <w:fldChar w:fldCharType="end"/>
            </w:r>
          </w:hyperlink>
        </w:p>
        <w:p w14:paraId="2CB35F99" w14:textId="7D442853" w:rsidR="002358C8" w:rsidRDefault="002358C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736511" w:history="1">
            <w:r w:rsidRPr="00DF582E">
              <w:rPr>
                <w:rStyle w:val="Hyperlink"/>
                <w:noProof/>
              </w:rPr>
              <w:t>Submission overview and risk/benefit assessment</w:t>
            </w:r>
            <w:r>
              <w:rPr>
                <w:noProof/>
                <w:webHidden/>
              </w:rPr>
              <w:tab/>
            </w:r>
            <w:r>
              <w:rPr>
                <w:noProof/>
                <w:webHidden/>
              </w:rPr>
              <w:fldChar w:fldCharType="begin"/>
            </w:r>
            <w:r>
              <w:rPr>
                <w:noProof/>
                <w:webHidden/>
              </w:rPr>
              <w:instrText xml:space="preserve"> PAGEREF _Toc175736511 \h </w:instrText>
            </w:r>
            <w:r>
              <w:rPr>
                <w:noProof/>
                <w:webHidden/>
              </w:rPr>
            </w:r>
            <w:r>
              <w:rPr>
                <w:noProof/>
                <w:webHidden/>
              </w:rPr>
              <w:fldChar w:fldCharType="separate"/>
            </w:r>
            <w:r>
              <w:rPr>
                <w:noProof/>
                <w:webHidden/>
              </w:rPr>
              <w:t>11</w:t>
            </w:r>
            <w:r>
              <w:rPr>
                <w:noProof/>
                <w:webHidden/>
              </w:rPr>
              <w:fldChar w:fldCharType="end"/>
            </w:r>
          </w:hyperlink>
        </w:p>
        <w:p w14:paraId="78673CDB" w14:textId="4C948A2D"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12" w:history="1">
            <w:r w:rsidRPr="00DF582E">
              <w:rPr>
                <w:rStyle w:val="Hyperlink"/>
                <w:noProof/>
              </w:rPr>
              <w:t>Quality</w:t>
            </w:r>
            <w:r>
              <w:rPr>
                <w:noProof/>
                <w:webHidden/>
              </w:rPr>
              <w:tab/>
            </w:r>
            <w:r>
              <w:rPr>
                <w:noProof/>
                <w:webHidden/>
              </w:rPr>
              <w:fldChar w:fldCharType="begin"/>
            </w:r>
            <w:r>
              <w:rPr>
                <w:noProof/>
                <w:webHidden/>
              </w:rPr>
              <w:instrText xml:space="preserve"> PAGEREF _Toc175736512 \h </w:instrText>
            </w:r>
            <w:r>
              <w:rPr>
                <w:noProof/>
                <w:webHidden/>
              </w:rPr>
            </w:r>
            <w:r>
              <w:rPr>
                <w:noProof/>
                <w:webHidden/>
              </w:rPr>
              <w:fldChar w:fldCharType="separate"/>
            </w:r>
            <w:r>
              <w:rPr>
                <w:noProof/>
                <w:webHidden/>
              </w:rPr>
              <w:t>12</w:t>
            </w:r>
            <w:r>
              <w:rPr>
                <w:noProof/>
                <w:webHidden/>
              </w:rPr>
              <w:fldChar w:fldCharType="end"/>
            </w:r>
          </w:hyperlink>
        </w:p>
        <w:p w14:paraId="2B969A51" w14:textId="5DD9DB18"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13" w:history="1">
            <w:r w:rsidRPr="00DF582E">
              <w:rPr>
                <w:rStyle w:val="Hyperlink"/>
                <w:noProof/>
              </w:rPr>
              <w:t>Nonclinical</w:t>
            </w:r>
            <w:r>
              <w:rPr>
                <w:noProof/>
                <w:webHidden/>
              </w:rPr>
              <w:tab/>
            </w:r>
            <w:r>
              <w:rPr>
                <w:noProof/>
                <w:webHidden/>
              </w:rPr>
              <w:fldChar w:fldCharType="begin"/>
            </w:r>
            <w:r>
              <w:rPr>
                <w:noProof/>
                <w:webHidden/>
              </w:rPr>
              <w:instrText xml:space="preserve"> PAGEREF _Toc175736513 \h </w:instrText>
            </w:r>
            <w:r>
              <w:rPr>
                <w:noProof/>
                <w:webHidden/>
              </w:rPr>
            </w:r>
            <w:r>
              <w:rPr>
                <w:noProof/>
                <w:webHidden/>
              </w:rPr>
              <w:fldChar w:fldCharType="separate"/>
            </w:r>
            <w:r>
              <w:rPr>
                <w:noProof/>
                <w:webHidden/>
              </w:rPr>
              <w:t>12</w:t>
            </w:r>
            <w:r>
              <w:rPr>
                <w:noProof/>
                <w:webHidden/>
              </w:rPr>
              <w:fldChar w:fldCharType="end"/>
            </w:r>
          </w:hyperlink>
        </w:p>
        <w:p w14:paraId="4BAAD989" w14:textId="737DA4C3"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14" w:history="1">
            <w:r w:rsidRPr="00DF582E">
              <w:rPr>
                <w:rStyle w:val="Hyperlink"/>
                <w:noProof/>
              </w:rPr>
              <w:t>Clinical</w:t>
            </w:r>
            <w:r>
              <w:rPr>
                <w:noProof/>
                <w:webHidden/>
              </w:rPr>
              <w:tab/>
            </w:r>
            <w:r>
              <w:rPr>
                <w:noProof/>
                <w:webHidden/>
              </w:rPr>
              <w:fldChar w:fldCharType="begin"/>
            </w:r>
            <w:r>
              <w:rPr>
                <w:noProof/>
                <w:webHidden/>
              </w:rPr>
              <w:instrText xml:space="preserve"> PAGEREF _Toc175736514 \h </w:instrText>
            </w:r>
            <w:r>
              <w:rPr>
                <w:noProof/>
                <w:webHidden/>
              </w:rPr>
            </w:r>
            <w:r>
              <w:rPr>
                <w:noProof/>
                <w:webHidden/>
              </w:rPr>
              <w:fldChar w:fldCharType="separate"/>
            </w:r>
            <w:r>
              <w:rPr>
                <w:noProof/>
                <w:webHidden/>
              </w:rPr>
              <w:t>12</w:t>
            </w:r>
            <w:r>
              <w:rPr>
                <w:noProof/>
                <w:webHidden/>
              </w:rPr>
              <w:fldChar w:fldCharType="end"/>
            </w:r>
          </w:hyperlink>
        </w:p>
        <w:p w14:paraId="74683AE0" w14:textId="7D151E5F"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15" w:history="1">
            <w:r w:rsidRPr="00DF582E">
              <w:rPr>
                <w:rStyle w:val="Hyperlink"/>
                <w:noProof/>
              </w:rPr>
              <w:t>Summary of clinical studies</w:t>
            </w:r>
            <w:r>
              <w:rPr>
                <w:noProof/>
                <w:webHidden/>
              </w:rPr>
              <w:tab/>
            </w:r>
            <w:r>
              <w:rPr>
                <w:noProof/>
                <w:webHidden/>
              </w:rPr>
              <w:fldChar w:fldCharType="begin"/>
            </w:r>
            <w:r>
              <w:rPr>
                <w:noProof/>
                <w:webHidden/>
              </w:rPr>
              <w:instrText xml:space="preserve"> PAGEREF _Toc175736515 \h </w:instrText>
            </w:r>
            <w:r>
              <w:rPr>
                <w:noProof/>
                <w:webHidden/>
              </w:rPr>
            </w:r>
            <w:r>
              <w:rPr>
                <w:noProof/>
                <w:webHidden/>
              </w:rPr>
              <w:fldChar w:fldCharType="separate"/>
            </w:r>
            <w:r>
              <w:rPr>
                <w:noProof/>
                <w:webHidden/>
              </w:rPr>
              <w:t>12</w:t>
            </w:r>
            <w:r>
              <w:rPr>
                <w:noProof/>
                <w:webHidden/>
              </w:rPr>
              <w:fldChar w:fldCharType="end"/>
            </w:r>
          </w:hyperlink>
        </w:p>
        <w:p w14:paraId="5DA7A8F8" w14:textId="60476564"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16" w:history="1">
            <w:r w:rsidRPr="00DF582E">
              <w:rPr>
                <w:rStyle w:val="Hyperlink"/>
                <w:noProof/>
              </w:rPr>
              <w:t>Pharmacology</w:t>
            </w:r>
            <w:r>
              <w:rPr>
                <w:noProof/>
                <w:webHidden/>
              </w:rPr>
              <w:tab/>
            </w:r>
            <w:r>
              <w:rPr>
                <w:noProof/>
                <w:webHidden/>
              </w:rPr>
              <w:fldChar w:fldCharType="begin"/>
            </w:r>
            <w:r>
              <w:rPr>
                <w:noProof/>
                <w:webHidden/>
              </w:rPr>
              <w:instrText xml:space="preserve"> PAGEREF _Toc175736516 \h </w:instrText>
            </w:r>
            <w:r>
              <w:rPr>
                <w:noProof/>
                <w:webHidden/>
              </w:rPr>
            </w:r>
            <w:r>
              <w:rPr>
                <w:noProof/>
                <w:webHidden/>
              </w:rPr>
              <w:fldChar w:fldCharType="separate"/>
            </w:r>
            <w:r>
              <w:rPr>
                <w:noProof/>
                <w:webHidden/>
              </w:rPr>
              <w:t>12</w:t>
            </w:r>
            <w:r>
              <w:rPr>
                <w:noProof/>
                <w:webHidden/>
              </w:rPr>
              <w:fldChar w:fldCharType="end"/>
            </w:r>
          </w:hyperlink>
        </w:p>
        <w:p w14:paraId="040A2D34" w14:textId="634A2B73"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17" w:history="1">
            <w:r w:rsidRPr="00DF582E">
              <w:rPr>
                <w:rStyle w:val="Hyperlink"/>
                <w:noProof/>
              </w:rPr>
              <w:t>Efficacy</w:t>
            </w:r>
            <w:r>
              <w:rPr>
                <w:noProof/>
                <w:webHidden/>
              </w:rPr>
              <w:tab/>
            </w:r>
            <w:r>
              <w:rPr>
                <w:noProof/>
                <w:webHidden/>
              </w:rPr>
              <w:fldChar w:fldCharType="begin"/>
            </w:r>
            <w:r>
              <w:rPr>
                <w:noProof/>
                <w:webHidden/>
              </w:rPr>
              <w:instrText xml:space="preserve"> PAGEREF _Toc175736517 \h </w:instrText>
            </w:r>
            <w:r>
              <w:rPr>
                <w:noProof/>
                <w:webHidden/>
              </w:rPr>
            </w:r>
            <w:r>
              <w:rPr>
                <w:noProof/>
                <w:webHidden/>
              </w:rPr>
              <w:fldChar w:fldCharType="separate"/>
            </w:r>
            <w:r>
              <w:rPr>
                <w:noProof/>
                <w:webHidden/>
              </w:rPr>
              <w:t>13</w:t>
            </w:r>
            <w:r>
              <w:rPr>
                <w:noProof/>
                <w:webHidden/>
              </w:rPr>
              <w:fldChar w:fldCharType="end"/>
            </w:r>
          </w:hyperlink>
        </w:p>
        <w:p w14:paraId="1574E814" w14:textId="07399FF5"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18" w:history="1">
            <w:r w:rsidRPr="00DF582E">
              <w:rPr>
                <w:rStyle w:val="Hyperlink"/>
                <w:noProof/>
              </w:rPr>
              <w:t>Safety</w:t>
            </w:r>
            <w:r>
              <w:rPr>
                <w:noProof/>
                <w:webHidden/>
              </w:rPr>
              <w:tab/>
            </w:r>
            <w:r>
              <w:rPr>
                <w:noProof/>
                <w:webHidden/>
              </w:rPr>
              <w:fldChar w:fldCharType="begin"/>
            </w:r>
            <w:r>
              <w:rPr>
                <w:noProof/>
                <w:webHidden/>
              </w:rPr>
              <w:instrText xml:space="preserve"> PAGEREF _Toc175736518 \h </w:instrText>
            </w:r>
            <w:r>
              <w:rPr>
                <w:noProof/>
                <w:webHidden/>
              </w:rPr>
            </w:r>
            <w:r>
              <w:rPr>
                <w:noProof/>
                <w:webHidden/>
              </w:rPr>
              <w:fldChar w:fldCharType="separate"/>
            </w:r>
            <w:r>
              <w:rPr>
                <w:noProof/>
                <w:webHidden/>
              </w:rPr>
              <w:t>22</w:t>
            </w:r>
            <w:r>
              <w:rPr>
                <w:noProof/>
                <w:webHidden/>
              </w:rPr>
              <w:fldChar w:fldCharType="end"/>
            </w:r>
          </w:hyperlink>
        </w:p>
        <w:p w14:paraId="40F805FB" w14:textId="1D83757D"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19" w:history="1">
            <w:r w:rsidRPr="00DF582E">
              <w:rPr>
                <w:rStyle w:val="Hyperlink"/>
                <w:noProof/>
              </w:rPr>
              <w:t>Risk management plan evaluation</w:t>
            </w:r>
            <w:r>
              <w:rPr>
                <w:noProof/>
                <w:webHidden/>
              </w:rPr>
              <w:tab/>
            </w:r>
            <w:r>
              <w:rPr>
                <w:noProof/>
                <w:webHidden/>
              </w:rPr>
              <w:fldChar w:fldCharType="begin"/>
            </w:r>
            <w:r>
              <w:rPr>
                <w:noProof/>
                <w:webHidden/>
              </w:rPr>
              <w:instrText xml:space="preserve"> PAGEREF _Toc175736519 \h </w:instrText>
            </w:r>
            <w:r>
              <w:rPr>
                <w:noProof/>
                <w:webHidden/>
              </w:rPr>
            </w:r>
            <w:r>
              <w:rPr>
                <w:noProof/>
                <w:webHidden/>
              </w:rPr>
              <w:fldChar w:fldCharType="separate"/>
            </w:r>
            <w:r>
              <w:rPr>
                <w:noProof/>
                <w:webHidden/>
              </w:rPr>
              <w:t>29</w:t>
            </w:r>
            <w:r>
              <w:rPr>
                <w:noProof/>
                <w:webHidden/>
              </w:rPr>
              <w:fldChar w:fldCharType="end"/>
            </w:r>
          </w:hyperlink>
        </w:p>
        <w:p w14:paraId="060A494D" w14:textId="5A0A8C37"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20" w:history="1">
            <w:r w:rsidRPr="00DF582E">
              <w:rPr>
                <w:rStyle w:val="Hyperlink"/>
                <w:noProof/>
              </w:rPr>
              <w:t>Discussion</w:t>
            </w:r>
            <w:r>
              <w:rPr>
                <w:noProof/>
                <w:webHidden/>
              </w:rPr>
              <w:tab/>
            </w:r>
            <w:r>
              <w:rPr>
                <w:noProof/>
                <w:webHidden/>
              </w:rPr>
              <w:fldChar w:fldCharType="begin"/>
            </w:r>
            <w:r>
              <w:rPr>
                <w:noProof/>
                <w:webHidden/>
              </w:rPr>
              <w:instrText xml:space="preserve"> PAGEREF _Toc175736520 \h </w:instrText>
            </w:r>
            <w:r>
              <w:rPr>
                <w:noProof/>
                <w:webHidden/>
              </w:rPr>
            </w:r>
            <w:r>
              <w:rPr>
                <w:noProof/>
                <w:webHidden/>
              </w:rPr>
              <w:fldChar w:fldCharType="separate"/>
            </w:r>
            <w:r>
              <w:rPr>
                <w:noProof/>
                <w:webHidden/>
              </w:rPr>
              <w:t>29</w:t>
            </w:r>
            <w:r>
              <w:rPr>
                <w:noProof/>
                <w:webHidden/>
              </w:rPr>
              <w:fldChar w:fldCharType="end"/>
            </w:r>
          </w:hyperlink>
        </w:p>
        <w:p w14:paraId="53AABDA7" w14:textId="5B3F3543" w:rsidR="002358C8" w:rsidRDefault="002358C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736521" w:history="1">
            <w:r w:rsidRPr="00DF582E">
              <w:rPr>
                <w:rStyle w:val="Hyperlink"/>
                <w:noProof/>
              </w:rPr>
              <w:t>Conclusions</w:t>
            </w:r>
            <w:r>
              <w:rPr>
                <w:noProof/>
                <w:webHidden/>
              </w:rPr>
              <w:tab/>
            </w:r>
            <w:r>
              <w:rPr>
                <w:noProof/>
                <w:webHidden/>
              </w:rPr>
              <w:fldChar w:fldCharType="begin"/>
            </w:r>
            <w:r>
              <w:rPr>
                <w:noProof/>
                <w:webHidden/>
              </w:rPr>
              <w:instrText xml:space="preserve"> PAGEREF _Toc175736521 \h </w:instrText>
            </w:r>
            <w:r>
              <w:rPr>
                <w:noProof/>
                <w:webHidden/>
              </w:rPr>
            </w:r>
            <w:r>
              <w:rPr>
                <w:noProof/>
                <w:webHidden/>
              </w:rPr>
              <w:fldChar w:fldCharType="separate"/>
            </w:r>
            <w:r>
              <w:rPr>
                <w:noProof/>
                <w:webHidden/>
              </w:rPr>
              <w:t>30</w:t>
            </w:r>
            <w:r>
              <w:rPr>
                <w:noProof/>
                <w:webHidden/>
              </w:rPr>
              <w:fldChar w:fldCharType="end"/>
            </w:r>
          </w:hyperlink>
        </w:p>
        <w:p w14:paraId="583A8FBA" w14:textId="48CEB773"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22" w:history="1">
            <w:r w:rsidRPr="00DF582E">
              <w:rPr>
                <w:rStyle w:val="Hyperlink"/>
                <w:noProof/>
              </w:rPr>
              <w:t>Advisory Committee considerations</w:t>
            </w:r>
            <w:r>
              <w:rPr>
                <w:noProof/>
                <w:webHidden/>
              </w:rPr>
              <w:tab/>
            </w:r>
            <w:r>
              <w:rPr>
                <w:noProof/>
                <w:webHidden/>
              </w:rPr>
              <w:fldChar w:fldCharType="begin"/>
            </w:r>
            <w:r>
              <w:rPr>
                <w:noProof/>
                <w:webHidden/>
              </w:rPr>
              <w:instrText xml:space="preserve"> PAGEREF _Toc175736522 \h </w:instrText>
            </w:r>
            <w:r>
              <w:rPr>
                <w:noProof/>
                <w:webHidden/>
              </w:rPr>
            </w:r>
            <w:r>
              <w:rPr>
                <w:noProof/>
                <w:webHidden/>
              </w:rPr>
              <w:fldChar w:fldCharType="separate"/>
            </w:r>
            <w:r>
              <w:rPr>
                <w:noProof/>
                <w:webHidden/>
              </w:rPr>
              <w:t>30</w:t>
            </w:r>
            <w:r>
              <w:rPr>
                <w:noProof/>
                <w:webHidden/>
              </w:rPr>
              <w:fldChar w:fldCharType="end"/>
            </w:r>
          </w:hyperlink>
        </w:p>
        <w:p w14:paraId="59A8A72A" w14:textId="70BFEB25" w:rsidR="002358C8" w:rsidRDefault="002358C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736523" w:history="1">
            <w:r w:rsidRPr="00DF582E">
              <w:rPr>
                <w:rStyle w:val="Hyperlink"/>
                <w:noProof/>
              </w:rPr>
              <w:t>Outcome</w:t>
            </w:r>
            <w:r>
              <w:rPr>
                <w:noProof/>
                <w:webHidden/>
              </w:rPr>
              <w:tab/>
            </w:r>
            <w:r>
              <w:rPr>
                <w:noProof/>
                <w:webHidden/>
              </w:rPr>
              <w:fldChar w:fldCharType="begin"/>
            </w:r>
            <w:r>
              <w:rPr>
                <w:noProof/>
                <w:webHidden/>
              </w:rPr>
              <w:instrText xml:space="preserve"> PAGEREF _Toc175736523 \h </w:instrText>
            </w:r>
            <w:r>
              <w:rPr>
                <w:noProof/>
                <w:webHidden/>
              </w:rPr>
            </w:r>
            <w:r>
              <w:rPr>
                <w:noProof/>
                <w:webHidden/>
              </w:rPr>
              <w:fldChar w:fldCharType="separate"/>
            </w:r>
            <w:r>
              <w:rPr>
                <w:noProof/>
                <w:webHidden/>
              </w:rPr>
              <w:t>30</w:t>
            </w:r>
            <w:r>
              <w:rPr>
                <w:noProof/>
                <w:webHidden/>
              </w:rPr>
              <w:fldChar w:fldCharType="end"/>
            </w:r>
          </w:hyperlink>
        </w:p>
        <w:p w14:paraId="3621D2DF" w14:textId="72931934" w:rsidR="002358C8" w:rsidRDefault="002358C8">
          <w:pPr>
            <w:pStyle w:val="TOC3"/>
            <w:rPr>
              <w:rFonts w:asciiTheme="minorHAnsi" w:eastAsiaTheme="minorEastAsia" w:hAnsiTheme="minorHAnsi" w:cstheme="minorBidi"/>
              <w:b w:val="0"/>
              <w:noProof/>
              <w:color w:val="auto"/>
              <w:kern w:val="2"/>
              <w:szCs w:val="22"/>
              <w:lang w:eastAsia="en-AU"/>
              <w14:ligatures w14:val="standardContextual"/>
            </w:rPr>
          </w:pPr>
          <w:hyperlink w:anchor="_Toc175736524" w:history="1">
            <w:r w:rsidRPr="00DF582E">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_Toc175736524 \h </w:instrText>
            </w:r>
            <w:r>
              <w:rPr>
                <w:noProof/>
                <w:webHidden/>
              </w:rPr>
            </w:r>
            <w:r>
              <w:rPr>
                <w:noProof/>
                <w:webHidden/>
              </w:rPr>
              <w:fldChar w:fldCharType="separate"/>
            </w:r>
            <w:r>
              <w:rPr>
                <w:noProof/>
                <w:webHidden/>
              </w:rPr>
              <w:t>31</w:t>
            </w:r>
            <w:r>
              <w:rPr>
                <w:noProof/>
                <w:webHidden/>
              </w:rPr>
              <w:fldChar w:fldCharType="end"/>
            </w:r>
          </w:hyperlink>
        </w:p>
        <w:p w14:paraId="4AA37BF8" w14:textId="4743CACE" w:rsidR="002358C8" w:rsidRDefault="002358C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736525" w:history="1">
            <w:r w:rsidRPr="00DF582E">
              <w:rPr>
                <w:rStyle w:val="Hyperlink"/>
                <w:noProof/>
              </w:rPr>
              <w:t>Attachment 1. Product Information</w:t>
            </w:r>
            <w:r>
              <w:rPr>
                <w:noProof/>
                <w:webHidden/>
              </w:rPr>
              <w:tab/>
            </w:r>
            <w:r>
              <w:rPr>
                <w:noProof/>
                <w:webHidden/>
              </w:rPr>
              <w:fldChar w:fldCharType="begin"/>
            </w:r>
            <w:r>
              <w:rPr>
                <w:noProof/>
                <w:webHidden/>
              </w:rPr>
              <w:instrText xml:space="preserve"> PAGEREF _Toc175736525 \h </w:instrText>
            </w:r>
            <w:r>
              <w:rPr>
                <w:noProof/>
                <w:webHidden/>
              </w:rPr>
            </w:r>
            <w:r>
              <w:rPr>
                <w:noProof/>
                <w:webHidden/>
              </w:rPr>
              <w:fldChar w:fldCharType="separate"/>
            </w:r>
            <w:r>
              <w:rPr>
                <w:noProof/>
                <w:webHidden/>
              </w:rPr>
              <w:t>31</w:t>
            </w:r>
            <w:r>
              <w:rPr>
                <w:noProof/>
                <w:webHidden/>
              </w:rPr>
              <w:fldChar w:fldCharType="end"/>
            </w:r>
          </w:hyperlink>
        </w:p>
        <w:p w14:paraId="77659F2D" w14:textId="7CD7B37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3" w:name="_Toc98931917"/>
      <w:bookmarkStart w:id="4" w:name="_Toc103679287"/>
      <w:bookmarkStart w:id="5" w:name="_Toc323739589"/>
      <w:bookmarkStart w:id="6" w:name="_Toc356305216"/>
      <w:bookmarkStart w:id="7" w:name="_Toc175736500"/>
      <w:r>
        <w:lastRenderedPageBreak/>
        <w:t>List of abbreviations</w:t>
      </w:r>
      <w:bookmarkEnd w:id="3"/>
      <w:bookmarkEnd w:id="4"/>
      <w:bookmarkEnd w:id="7"/>
    </w:p>
    <w:tbl>
      <w:tblPr>
        <w:tblStyle w:val="TableTGAblue2023"/>
        <w:tblW w:w="5000" w:type="pct"/>
        <w:tblLook w:val="04A0" w:firstRow="1" w:lastRow="0" w:firstColumn="1" w:lastColumn="0" w:noHBand="0" w:noVBand="1"/>
      </w:tblPr>
      <w:tblGrid>
        <w:gridCol w:w="2174"/>
        <w:gridCol w:w="6886"/>
      </w:tblGrid>
      <w:tr w:rsidR="006E0A32" w:rsidRPr="00F3693B" w14:paraId="25C5A903" w14:textId="77777777" w:rsidTr="0019191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0D82BB2" w14:textId="77777777" w:rsidR="006E0A32" w:rsidRPr="00F3693B" w:rsidRDefault="006E0A32" w:rsidP="00191918">
            <w:pPr>
              <w:rPr>
                <w:szCs w:val="22"/>
              </w:rPr>
            </w:pPr>
            <w:r w:rsidRPr="00F3693B">
              <w:rPr>
                <w:szCs w:val="22"/>
              </w:rPr>
              <w:t>Abbreviation</w:t>
            </w:r>
          </w:p>
        </w:tc>
        <w:tc>
          <w:tcPr>
            <w:tcW w:w="3800" w:type="pct"/>
          </w:tcPr>
          <w:p w14:paraId="0010F64D" w14:textId="77777777" w:rsidR="006E0A32" w:rsidRPr="00F3693B" w:rsidRDefault="006E0A32" w:rsidP="00191918">
            <w:pPr>
              <w:cnfStyle w:val="100000000000" w:firstRow="1" w:lastRow="0" w:firstColumn="0" w:lastColumn="0" w:oddVBand="0" w:evenVBand="0" w:oddHBand="0" w:evenHBand="0" w:firstRowFirstColumn="0" w:firstRowLastColumn="0" w:lastRowFirstColumn="0" w:lastRowLastColumn="0"/>
              <w:rPr>
                <w:szCs w:val="22"/>
              </w:rPr>
            </w:pPr>
            <w:r w:rsidRPr="00F3693B">
              <w:rPr>
                <w:szCs w:val="22"/>
              </w:rPr>
              <w:t>Meaning</w:t>
            </w:r>
          </w:p>
        </w:tc>
      </w:tr>
      <w:tr w:rsidR="006E0A32" w:rsidRPr="00F3693B" w14:paraId="695233B7"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F1B08B" w14:textId="77777777" w:rsidR="006E0A32" w:rsidRPr="00F3693B" w:rsidRDefault="006E0A32" w:rsidP="00191918">
            <w:pPr>
              <w:rPr>
                <w:szCs w:val="22"/>
              </w:rPr>
            </w:pPr>
            <w:r w:rsidRPr="00F3693B">
              <w:rPr>
                <w:szCs w:val="22"/>
              </w:rPr>
              <w:t>ACM</w:t>
            </w:r>
          </w:p>
        </w:tc>
        <w:tc>
          <w:tcPr>
            <w:tcW w:w="3800" w:type="pct"/>
          </w:tcPr>
          <w:p w14:paraId="150E86B3"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Advisory Committee on Medicines</w:t>
            </w:r>
          </w:p>
        </w:tc>
      </w:tr>
      <w:tr w:rsidR="006E0A32" w:rsidRPr="00F3693B" w14:paraId="0D7D500F"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96DBE5" w14:textId="77777777" w:rsidR="006E0A32" w:rsidRPr="00F3693B" w:rsidRDefault="006E0A32" w:rsidP="00191918">
            <w:pPr>
              <w:rPr>
                <w:szCs w:val="22"/>
              </w:rPr>
            </w:pPr>
            <w:r w:rsidRPr="00F3693B">
              <w:rPr>
                <w:szCs w:val="22"/>
              </w:rPr>
              <w:t>AE</w:t>
            </w:r>
          </w:p>
        </w:tc>
        <w:tc>
          <w:tcPr>
            <w:tcW w:w="3800" w:type="pct"/>
          </w:tcPr>
          <w:p w14:paraId="637EAB45"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Adverse event(s)</w:t>
            </w:r>
          </w:p>
        </w:tc>
      </w:tr>
      <w:tr w:rsidR="006E0A32" w:rsidRPr="00F3693B" w14:paraId="42DDAB89"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7508B2" w14:textId="77777777" w:rsidR="006E0A32" w:rsidRPr="00F3693B" w:rsidRDefault="006E0A32" w:rsidP="00191918">
            <w:pPr>
              <w:rPr>
                <w:szCs w:val="22"/>
              </w:rPr>
            </w:pPr>
            <w:r w:rsidRPr="00F3693B">
              <w:rPr>
                <w:szCs w:val="22"/>
              </w:rPr>
              <w:t>AESI</w:t>
            </w:r>
          </w:p>
        </w:tc>
        <w:tc>
          <w:tcPr>
            <w:tcW w:w="3800" w:type="pct"/>
          </w:tcPr>
          <w:p w14:paraId="73DB65CF"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Adverse event(s) of special interest</w:t>
            </w:r>
          </w:p>
        </w:tc>
      </w:tr>
      <w:tr w:rsidR="006E0A32" w:rsidRPr="00F3693B" w14:paraId="043AA9FF"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0A91FE" w14:textId="77777777" w:rsidR="006E0A32" w:rsidRPr="00F3693B" w:rsidRDefault="006E0A32" w:rsidP="00191918">
            <w:pPr>
              <w:rPr>
                <w:szCs w:val="22"/>
              </w:rPr>
            </w:pPr>
            <w:r w:rsidRPr="00F3693B">
              <w:rPr>
                <w:szCs w:val="22"/>
              </w:rPr>
              <w:t>ARTG</w:t>
            </w:r>
          </w:p>
        </w:tc>
        <w:tc>
          <w:tcPr>
            <w:tcW w:w="3800" w:type="pct"/>
          </w:tcPr>
          <w:p w14:paraId="298F9458"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Australian Register of Therapeutic Goods</w:t>
            </w:r>
          </w:p>
        </w:tc>
      </w:tr>
      <w:tr w:rsidR="006E0A32" w:rsidRPr="00F3693B" w14:paraId="093C37B9"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984DB0" w14:textId="77777777" w:rsidR="006E0A32" w:rsidRPr="00F3693B" w:rsidRDefault="006E0A32" w:rsidP="00191918">
            <w:pPr>
              <w:rPr>
                <w:szCs w:val="22"/>
              </w:rPr>
            </w:pPr>
            <w:r w:rsidRPr="00F3693B">
              <w:rPr>
                <w:szCs w:val="22"/>
              </w:rPr>
              <w:t xml:space="preserve">AS </w:t>
            </w:r>
          </w:p>
        </w:tc>
        <w:tc>
          <w:tcPr>
            <w:tcW w:w="3800" w:type="pct"/>
          </w:tcPr>
          <w:p w14:paraId="42E93FAA"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Ankylosing spondylitis</w:t>
            </w:r>
          </w:p>
        </w:tc>
      </w:tr>
      <w:tr w:rsidR="006E0A32" w:rsidRPr="00F3693B" w14:paraId="6C9587A1"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327B50" w14:textId="77777777" w:rsidR="006E0A32" w:rsidRPr="00F3693B" w:rsidRDefault="006E0A32" w:rsidP="00191918">
            <w:pPr>
              <w:rPr>
                <w:szCs w:val="22"/>
              </w:rPr>
            </w:pPr>
            <w:r w:rsidRPr="00F3693B">
              <w:rPr>
                <w:szCs w:val="22"/>
              </w:rPr>
              <w:t>ASDAS</w:t>
            </w:r>
          </w:p>
        </w:tc>
        <w:tc>
          <w:tcPr>
            <w:tcW w:w="3800" w:type="pct"/>
          </w:tcPr>
          <w:p w14:paraId="39B1945D"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Ankylosing Spondylitis Disease Activity Score</w:t>
            </w:r>
          </w:p>
        </w:tc>
      </w:tr>
      <w:tr w:rsidR="006E0A32" w:rsidRPr="00F3693B" w14:paraId="7ECAAF3E"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810F25" w14:textId="77777777" w:rsidR="006E0A32" w:rsidRPr="00F3693B" w:rsidRDefault="006E0A32" w:rsidP="00191918">
            <w:pPr>
              <w:rPr>
                <w:szCs w:val="22"/>
              </w:rPr>
            </w:pPr>
            <w:r w:rsidRPr="00F3693B">
              <w:rPr>
                <w:szCs w:val="22"/>
              </w:rPr>
              <w:t>ASAS20</w:t>
            </w:r>
          </w:p>
        </w:tc>
        <w:tc>
          <w:tcPr>
            <w:tcW w:w="3800" w:type="pct"/>
          </w:tcPr>
          <w:p w14:paraId="552EC865"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Assessment of Spondyloarthritis International Society (ASAS)20</w:t>
            </w:r>
          </w:p>
        </w:tc>
      </w:tr>
      <w:tr w:rsidR="006E0A32" w:rsidRPr="00F3693B" w14:paraId="74685F1F"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B1D496" w14:textId="77777777" w:rsidR="006E0A32" w:rsidRPr="00F3693B" w:rsidRDefault="006E0A32" w:rsidP="00191918">
            <w:pPr>
              <w:rPr>
                <w:szCs w:val="22"/>
              </w:rPr>
            </w:pPr>
            <w:r w:rsidRPr="00F3693B">
              <w:rPr>
                <w:szCs w:val="22"/>
              </w:rPr>
              <w:t>ASAS40</w:t>
            </w:r>
          </w:p>
        </w:tc>
        <w:tc>
          <w:tcPr>
            <w:tcW w:w="3800" w:type="pct"/>
          </w:tcPr>
          <w:p w14:paraId="01354A19"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Assessment of Spondyloarthritis International Society (ASAS)40</w:t>
            </w:r>
          </w:p>
        </w:tc>
      </w:tr>
      <w:tr w:rsidR="006E0A32" w:rsidRPr="00F3693B" w14:paraId="56E952F0"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161163" w14:textId="77777777" w:rsidR="006E0A32" w:rsidRPr="00F3693B" w:rsidRDefault="006E0A32" w:rsidP="00191918">
            <w:pPr>
              <w:rPr>
                <w:szCs w:val="22"/>
              </w:rPr>
            </w:pPr>
            <w:r w:rsidRPr="00F3693B">
              <w:rPr>
                <w:szCs w:val="22"/>
              </w:rPr>
              <w:t>AUC</w:t>
            </w:r>
          </w:p>
        </w:tc>
        <w:tc>
          <w:tcPr>
            <w:tcW w:w="3800" w:type="pct"/>
          </w:tcPr>
          <w:p w14:paraId="60A5E259"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Area under the curve</w:t>
            </w:r>
          </w:p>
        </w:tc>
      </w:tr>
      <w:tr w:rsidR="006E0A32" w:rsidRPr="00F3693B" w14:paraId="7ED2B62E"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1F9C86" w14:textId="77777777" w:rsidR="006E0A32" w:rsidRPr="00F3693B" w:rsidRDefault="006E0A32" w:rsidP="00191918">
            <w:pPr>
              <w:rPr>
                <w:szCs w:val="22"/>
              </w:rPr>
            </w:pPr>
            <w:r w:rsidRPr="00F3693B">
              <w:rPr>
                <w:szCs w:val="22"/>
              </w:rPr>
              <w:t>axSpA</w:t>
            </w:r>
          </w:p>
        </w:tc>
        <w:tc>
          <w:tcPr>
            <w:tcW w:w="3800" w:type="pct"/>
          </w:tcPr>
          <w:p w14:paraId="67C4AAA0"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 xml:space="preserve">Axial spondyloarthritis </w:t>
            </w:r>
          </w:p>
        </w:tc>
      </w:tr>
      <w:tr w:rsidR="006E0A32" w:rsidRPr="00F3693B" w14:paraId="0E36D8B1"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A3FECA" w14:textId="77777777" w:rsidR="006E0A32" w:rsidRPr="00F3693B" w:rsidRDefault="006E0A32" w:rsidP="00191918">
            <w:pPr>
              <w:rPr>
                <w:szCs w:val="22"/>
              </w:rPr>
            </w:pPr>
            <w:r w:rsidRPr="00F3693B">
              <w:rPr>
                <w:szCs w:val="22"/>
              </w:rPr>
              <w:t>BASDAI</w:t>
            </w:r>
          </w:p>
        </w:tc>
        <w:tc>
          <w:tcPr>
            <w:tcW w:w="3800" w:type="pct"/>
          </w:tcPr>
          <w:p w14:paraId="527283CB"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Bath Ankylosing Spondylitis Disease Activity Index</w:t>
            </w:r>
          </w:p>
        </w:tc>
      </w:tr>
      <w:tr w:rsidR="006E0A32" w:rsidRPr="00F3693B" w14:paraId="25B66FFD"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23BEE3" w14:textId="77777777" w:rsidR="006E0A32" w:rsidRPr="00F3693B" w:rsidRDefault="006E0A32" w:rsidP="00191918">
            <w:pPr>
              <w:rPr>
                <w:szCs w:val="22"/>
              </w:rPr>
            </w:pPr>
            <w:r w:rsidRPr="00F3693B">
              <w:rPr>
                <w:szCs w:val="22"/>
              </w:rPr>
              <w:t>bDMARD</w:t>
            </w:r>
          </w:p>
        </w:tc>
        <w:tc>
          <w:tcPr>
            <w:tcW w:w="3800" w:type="pct"/>
          </w:tcPr>
          <w:p w14:paraId="1B5EFA56"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Biologic Disease-Modifying Anti-Rheumatic Drugs</w:t>
            </w:r>
          </w:p>
        </w:tc>
      </w:tr>
      <w:tr w:rsidR="006E0A32" w:rsidRPr="00F3693B" w14:paraId="441F6ADD"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F2FFF8" w14:textId="77777777" w:rsidR="006E0A32" w:rsidRPr="00F3693B" w:rsidRDefault="006E0A32" w:rsidP="00191918">
            <w:pPr>
              <w:rPr>
                <w:szCs w:val="22"/>
              </w:rPr>
            </w:pPr>
            <w:r w:rsidRPr="00F3693B">
              <w:rPr>
                <w:szCs w:val="22"/>
              </w:rPr>
              <w:t>bDMARD -IR</w:t>
            </w:r>
          </w:p>
        </w:tc>
        <w:tc>
          <w:tcPr>
            <w:tcW w:w="3800" w:type="pct"/>
          </w:tcPr>
          <w:p w14:paraId="1F52BCBD"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Inadequate Response to Biologic Disease-Modifying Anti-Rheumatic Drugs</w:t>
            </w:r>
          </w:p>
        </w:tc>
      </w:tr>
      <w:tr w:rsidR="006E0A32" w:rsidRPr="00F3693B" w14:paraId="3A2D9133"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536FB7" w14:textId="77777777" w:rsidR="006E0A32" w:rsidRPr="00F3693B" w:rsidRDefault="006E0A32" w:rsidP="00191918">
            <w:pPr>
              <w:rPr>
                <w:szCs w:val="22"/>
              </w:rPr>
            </w:pPr>
            <w:r w:rsidRPr="00F3693B">
              <w:rPr>
                <w:szCs w:val="22"/>
              </w:rPr>
              <w:t>C</w:t>
            </w:r>
            <w:r w:rsidRPr="00F3693B">
              <w:rPr>
                <w:szCs w:val="22"/>
                <w:vertAlign w:val="subscript"/>
              </w:rPr>
              <w:t>avg</w:t>
            </w:r>
          </w:p>
        </w:tc>
        <w:tc>
          <w:tcPr>
            <w:tcW w:w="3800" w:type="pct"/>
          </w:tcPr>
          <w:p w14:paraId="0FF16147"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Average concentration</w:t>
            </w:r>
          </w:p>
        </w:tc>
      </w:tr>
      <w:tr w:rsidR="006E0A32" w:rsidRPr="00F3693B" w14:paraId="7E8D30A2"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28120B" w14:textId="77777777" w:rsidR="006E0A32" w:rsidRPr="00F3693B" w:rsidRDefault="006E0A32" w:rsidP="00191918">
            <w:pPr>
              <w:rPr>
                <w:szCs w:val="22"/>
              </w:rPr>
            </w:pPr>
            <w:r w:rsidRPr="00F3693B">
              <w:rPr>
                <w:szCs w:val="22"/>
              </w:rPr>
              <w:t>CL/F</w:t>
            </w:r>
          </w:p>
        </w:tc>
        <w:tc>
          <w:tcPr>
            <w:tcW w:w="3800" w:type="pct"/>
          </w:tcPr>
          <w:p w14:paraId="7948F287"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Oral clearance</w:t>
            </w:r>
          </w:p>
        </w:tc>
      </w:tr>
      <w:tr w:rsidR="006E0A32" w:rsidRPr="00F3693B" w14:paraId="74E9C992"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8FAB85" w14:textId="77777777" w:rsidR="006E0A32" w:rsidRPr="00F3693B" w:rsidRDefault="006E0A32" w:rsidP="00191918">
            <w:pPr>
              <w:rPr>
                <w:szCs w:val="22"/>
              </w:rPr>
            </w:pPr>
            <w:r w:rsidRPr="00F3693B">
              <w:rPr>
                <w:szCs w:val="22"/>
              </w:rPr>
              <w:t>C</w:t>
            </w:r>
            <w:r w:rsidRPr="00F3693B">
              <w:rPr>
                <w:szCs w:val="22"/>
                <w:vertAlign w:val="subscript"/>
              </w:rPr>
              <w:t>max</w:t>
            </w:r>
          </w:p>
        </w:tc>
        <w:tc>
          <w:tcPr>
            <w:tcW w:w="3800" w:type="pct"/>
          </w:tcPr>
          <w:p w14:paraId="67B3B9BF"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Maximum concentration</w:t>
            </w:r>
          </w:p>
        </w:tc>
      </w:tr>
      <w:tr w:rsidR="006E0A32" w:rsidRPr="00F3693B" w14:paraId="347A2C9D"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E6E98A" w14:textId="77777777" w:rsidR="006E0A32" w:rsidRPr="00F3693B" w:rsidRDefault="006E0A32" w:rsidP="00191918">
            <w:pPr>
              <w:rPr>
                <w:szCs w:val="22"/>
              </w:rPr>
            </w:pPr>
            <w:r w:rsidRPr="00F3693B">
              <w:rPr>
                <w:szCs w:val="22"/>
              </w:rPr>
              <w:t>C</w:t>
            </w:r>
            <w:r w:rsidRPr="00F3693B">
              <w:rPr>
                <w:szCs w:val="22"/>
                <w:vertAlign w:val="subscript"/>
              </w:rPr>
              <w:t>min</w:t>
            </w:r>
          </w:p>
        </w:tc>
        <w:tc>
          <w:tcPr>
            <w:tcW w:w="3800" w:type="pct"/>
          </w:tcPr>
          <w:p w14:paraId="009A2496"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Trough concentration</w:t>
            </w:r>
          </w:p>
        </w:tc>
      </w:tr>
      <w:tr w:rsidR="006E0A32" w:rsidRPr="00F3693B" w14:paraId="354637C4"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0E5DA0" w14:textId="77777777" w:rsidR="006E0A32" w:rsidRPr="00F3693B" w:rsidRDefault="006E0A32" w:rsidP="00191918">
            <w:pPr>
              <w:rPr>
                <w:szCs w:val="22"/>
              </w:rPr>
            </w:pPr>
            <w:r w:rsidRPr="00F3693B">
              <w:rPr>
                <w:szCs w:val="22"/>
              </w:rPr>
              <w:t>CMI</w:t>
            </w:r>
          </w:p>
        </w:tc>
        <w:tc>
          <w:tcPr>
            <w:tcW w:w="3800" w:type="pct"/>
          </w:tcPr>
          <w:p w14:paraId="182A9942"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Consumer Medicines Information</w:t>
            </w:r>
          </w:p>
        </w:tc>
      </w:tr>
      <w:tr w:rsidR="006E0A32" w:rsidRPr="00F3693B" w14:paraId="38E6087C"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D63C48" w14:textId="77777777" w:rsidR="006E0A32" w:rsidRPr="00F3693B" w:rsidRDefault="006E0A32" w:rsidP="00191918">
            <w:pPr>
              <w:rPr>
                <w:szCs w:val="22"/>
              </w:rPr>
            </w:pPr>
            <w:r w:rsidRPr="00F3693B">
              <w:rPr>
                <w:szCs w:val="22"/>
              </w:rPr>
              <w:t>csDMARDs</w:t>
            </w:r>
          </w:p>
        </w:tc>
        <w:tc>
          <w:tcPr>
            <w:tcW w:w="3800" w:type="pct"/>
          </w:tcPr>
          <w:p w14:paraId="72D38D70"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Conventional synthetic disease-modifying anti-rheumatic drugs</w:t>
            </w:r>
          </w:p>
        </w:tc>
      </w:tr>
      <w:tr w:rsidR="006E0A32" w:rsidRPr="00F3693B" w14:paraId="739360EF"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E04E31" w14:textId="77777777" w:rsidR="006E0A32" w:rsidRPr="00F3693B" w:rsidRDefault="006E0A32" w:rsidP="00191918">
            <w:pPr>
              <w:rPr>
                <w:szCs w:val="22"/>
              </w:rPr>
            </w:pPr>
            <w:r w:rsidRPr="00F3693B">
              <w:rPr>
                <w:szCs w:val="22"/>
              </w:rPr>
              <w:t>CRP</w:t>
            </w:r>
          </w:p>
        </w:tc>
        <w:tc>
          <w:tcPr>
            <w:tcW w:w="3800" w:type="pct"/>
          </w:tcPr>
          <w:p w14:paraId="1724A324"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C-reactive protein</w:t>
            </w:r>
          </w:p>
        </w:tc>
      </w:tr>
      <w:tr w:rsidR="006E0A32" w:rsidRPr="00F3693B" w14:paraId="656D283B"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FAAE40" w14:textId="77777777" w:rsidR="006E0A32" w:rsidRPr="00F3693B" w:rsidRDefault="006E0A32" w:rsidP="00191918">
            <w:pPr>
              <w:rPr>
                <w:szCs w:val="22"/>
              </w:rPr>
            </w:pPr>
            <w:r w:rsidRPr="00F3693B">
              <w:rPr>
                <w:szCs w:val="22"/>
              </w:rPr>
              <w:t>CSR</w:t>
            </w:r>
          </w:p>
        </w:tc>
        <w:tc>
          <w:tcPr>
            <w:tcW w:w="3800" w:type="pct"/>
          </w:tcPr>
          <w:p w14:paraId="66FBD026"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clinical safety report</w:t>
            </w:r>
          </w:p>
        </w:tc>
      </w:tr>
      <w:tr w:rsidR="006E0A32" w:rsidRPr="00F3693B" w14:paraId="3DFB4FE3"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AD44E3" w14:textId="77777777" w:rsidR="006E0A32" w:rsidRPr="00F3693B" w:rsidRDefault="006E0A32" w:rsidP="00191918">
            <w:pPr>
              <w:rPr>
                <w:szCs w:val="22"/>
              </w:rPr>
            </w:pPr>
            <w:r w:rsidRPr="00F3693B">
              <w:rPr>
                <w:szCs w:val="22"/>
              </w:rPr>
              <w:t>DB</w:t>
            </w:r>
          </w:p>
        </w:tc>
        <w:tc>
          <w:tcPr>
            <w:tcW w:w="3800" w:type="pct"/>
          </w:tcPr>
          <w:p w14:paraId="3D38900E"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Double-blind</w:t>
            </w:r>
          </w:p>
        </w:tc>
      </w:tr>
      <w:tr w:rsidR="006E0A32" w:rsidRPr="00F3693B" w14:paraId="5847E575"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349965" w14:textId="77777777" w:rsidR="006E0A32" w:rsidRPr="00F3693B" w:rsidRDefault="006E0A32" w:rsidP="00191918">
            <w:pPr>
              <w:rPr>
                <w:szCs w:val="22"/>
              </w:rPr>
            </w:pPr>
            <w:r w:rsidRPr="00F3693B">
              <w:rPr>
                <w:szCs w:val="22"/>
              </w:rPr>
              <w:t>ER</w:t>
            </w:r>
          </w:p>
        </w:tc>
        <w:tc>
          <w:tcPr>
            <w:tcW w:w="3800" w:type="pct"/>
          </w:tcPr>
          <w:p w14:paraId="15EDA10B"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Exposure-Response</w:t>
            </w:r>
          </w:p>
        </w:tc>
      </w:tr>
      <w:tr w:rsidR="006E0A32" w:rsidRPr="00F3693B" w14:paraId="347C9C85"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3A97C3" w14:textId="77777777" w:rsidR="006E0A32" w:rsidRPr="00F3693B" w:rsidRDefault="006E0A32" w:rsidP="00191918">
            <w:pPr>
              <w:rPr>
                <w:szCs w:val="22"/>
              </w:rPr>
            </w:pPr>
            <w:r w:rsidRPr="00F3693B">
              <w:rPr>
                <w:szCs w:val="22"/>
              </w:rPr>
              <w:t>JAK</w:t>
            </w:r>
          </w:p>
        </w:tc>
        <w:tc>
          <w:tcPr>
            <w:tcW w:w="3800" w:type="pct"/>
          </w:tcPr>
          <w:p w14:paraId="37DD0103"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Janus associated kinase proteins</w:t>
            </w:r>
          </w:p>
        </w:tc>
      </w:tr>
      <w:tr w:rsidR="006E0A32" w:rsidRPr="00F3693B" w14:paraId="2A2C68F4"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8D5849" w14:textId="77777777" w:rsidR="006E0A32" w:rsidRPr="00F3693B" w:rsidRDefault="006E0A32" w:rsidP="00191918">
            <w:pPr>
              <w:rPr>
                <w:szCs w:val="22"/>
              </w:rPr>
            </w:pPr>
            <w:r w:rsidRPr="00F3693B">
              <w:rPr>
                <w:szCs w:val="22"/>
              </w:rPr>
              <w:t>JAKi</w:t>
            </w:r>
          </w:p>
        </w:tc>
        <w:tc>
          <w:tcPr>
            <w:tcW w:w="3800" w:type="pct"/>
          </w:tcPr>
          <w:p w14:paraId="6880A44F"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Janus associated kinase inhibitor</w:t>
            </w:r>
          </w:p>
        </w:tc>
      </w:tr>
      <w:tr w:rsidR="006E0A32" w:rsidRPr="00F3693B" w14:paraId="7734A4D6"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C334F5" w14:textId="77777777" w:rsidR="006E0A32" w:rsidRPr="00F3693B" w:rsidRDefault="006E0A32" w:rsidP="00191918">
            <w:pPr>
              <w:rPr>
                <w:szCs w:val="22"/>
              </w:rPr>
            </w:pPr>
            <w:r w:rsidRPr="00F3693B">
              <w:rPr>
                <w:szCs w:val="22"/>
              </w:rPr>
              <w:t>LTE</w:t>
            </w:r>
          </w:p>
        </w:tc>
        <w:tc>
          <w:tcPr>
            <w:tcW w:w="3800" w:type="pct"/>
          </w:tcPr>
          <w:p w14:paraId="4FD34616"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 xml:space="preserve">Long-term extension </w:t>
            </w:r>
          </w:p>
        </w:tc>
      </w:tr>
      <w:tr w:rsidR="006E0A32" w:rsidRPr="00F3693B" w14:paraId="7EEF84A8"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A4A6B2" w14:textId="77777777" w:rsidR="006E0A32" w:rsidRPr="00F3693B" w:rsidRDefault="006E0A32" w:rsidP="00191918">
            <w:pPr>
              <w:rPr>
                <w:szCs w:val="22"/>
              </w:rPr>
            </w:pPr>
            <w:r w:rsidRPr="00F3693B">
              <w:rPr>
                <w:szCs w:val="22"/>
              </w:rPr>
              <w:t>MACE</w:t>
            </w:r>
          </w:p>
        </w:tc>
        <w:tc>
          <w:tcPr>
            <w:tcW w:w="3800" w:type="pct"/>
          </w:tcPr>
          <w:p w14:paraId="7C9BC55D"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Major adverse cardiovascular events</w:t>
            </w:r>
          </w:p>
        </w:tc>
      </w:tr>
      <w:tr w:rsidR="006E0A32" w:rsidRPr="00F3693B" w14:paraId="3BC5A259"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C1153F" w14:textId="77777777" w:rsidR="006E0A32" w:rsidRPr="00F3693B" w:rsidRDefault="006E0A32" w:rsidP="00191918">
            <w:pPr>
              <w:rPr>
                <w:szCs w:val="22"/>
              </w:rPr>
            </w:pPr>
            <w:r w:rsidRPr="00F3693B">
              <w:rPr>
                <w:szCs w:val="22"/>
              </w:rPr>
              <w:t>MedDRA</w:t>
            </w:r>
          </w:p>
        </w:tc>
        <w:tc>
          <w:tcPr>
            <w:tcW w:w="3800" w:type="pct"/>
          </w:tcPr>
          <w:p w14:paraId="1B58E13D"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Medical Dictionary for Medical Activities</w:t>
            </w:r>
          </w:p>
        </w:tc>
      </w:tr>
      <w:tr w:rsidR="006E0A32" w:rsidRPr="00F3693B" w14:paraId="5F0ECFE3"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F20B39" w14:textId="77777777" w:rsidR="006E0A32" w:rsidRPr="00F3693B" w:rsidRDefault="006E0A32" w:rsidP="00191918">
            <w:pPr>
              <w:rPr>
                <w:szCs w:val="22"/>
              </w:rPr>
            </w:pPr>
            <w:r w:rsidRPr="00F3693B">
              <w:rPr>
                <w:szCs w:val="22"/>
              </w:rPr>
              <w:t>nr-axSpA</w:t>
            </w:r>
          </w:p>
        </w:tc>
        <w:tc>
          <w:tcPr>
            <w:tcW w:w="3800" w:type="pct"/>
          </w:tcPr>
          <w:p w14:paraId="0BA549D9" w14:textId="77777777" w:rsidR="006E0A32" w:rsidRPr="00F3693B" w:rsidRDefault="006E0A32" w:rsidP="00191918">
            <w:pPr>
              <w:tabs>
                <w:tab w:val="left" w:pos="1312"/>
              </w:tabs>
              <w:cnfStyle w:val="000000000000" w:firstRow="0" w:lastRow="0" w:firstColumn="0" w:lastColumn="0" w:oddVBand="0" w:evenVBand="0" w:oddHBand="0" w:evenHBand="0" w:firstRowFirstColumn="0" w:firstRowLastColumn="0" w:lastRowFirstColumn="0" w:lastRowLastColumn="0"/>
              <w:rPr>
                <w:szCs w:val="22"/>
              </w:rPr>
            </w:pPr>
            <w:r w:rsidRPr="00F3693B">
              <w:rPr>
                <w:szCs w:val="22"/>
              </w:rPr>
              <w:t>Non-radiographic axial spondyloarthritis</w:t>
            </w:r>
          </w:p>
        </w:tc>
      </w:tr>
      <w:tr w:rsidR="006E0A32" w:rsidRPr="00F3693B" w14:paraId="2367586E"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4A314C" w14:textId="77777777" w:rsidR="006E0A32" w:rsidRPr="00F3693B" w:rsidRDefault="006E0A32" w:rsidP="00191918">
            <w:pPr>
              <w:rPr>
                <w:szCs w:val="22"/>
              </w:rPr>
            </w:pPr>
            <w:r w:rsidRPr="00F3693B">
              <w:rPr>
                <w:szCs w:val="22"/>
              </w:rPr>
              <w:t>NSAIDs</w:t>
            </w:r>
          </w:p>
        </w:tc>
        <w:tc>
          <w:tcPr>
            <w:tcW w:w="3800" w:type="pct"/>
          </w:tcPr>
          <w:p w14:paraId="775217C8"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Nonsteroidal anti-inflammatory drugs</w:t>
            </w:r>
          </w:p>
        </w:tc>
      </w:tr>
      <w:tr w:rsidR="006E0A32" w:rsidRPr="00F3693B" w14:paraId="7838DB43"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B848B4" w14:textId="77777777" w:rsidR="006E0A32" w:rsidRPr="00F3693B" w:rsidRDefault="006E0A32" w:rsidP="00191918">
            <w:pPr>
              <w:rPr>
                <w:szCs w:val="22"/>
              </w:rPr>
            </w:pPr>
            <w:r w:rsidRPr="00F3693B">
              <w:rPr>
                <w:szCs w:val="22"/>
              </w:rPr>
              <w:t>OL</w:t>
            </w:r>
          </w:p>
        </w:tc>
        <w:tc>
          <w:tcPr>
            <w:tcW w:w="3800" w:type="pct"/>
          </w:tcPr>
          <w:p w14:paraId="0ECA0BF1"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proofErr w:type="gramStart"/>
            <w:r w:rsidRPr="00F3693B">
              <w:rPr>
                <w:szCs w:val="22"/>
              </w:rPr>
              <w:t>Open-label</w:t>
            </w:r>
            <w:proofErr w:type="gramEnd"/>
            <w:r w:rsidRPr="00F3693B">
              <w:rPr>
                <w:szCs w:val="22"/>
              </w:rPr>
              <w:t xml:space="preserve"> (OL)</w:t>
            </w:r>
          </w:p>
        </w:tc>
      </w:tr>
      <w:tr w:rsidR="006E0A32" w:rsidRPr="00F3693B" w14:paraId="4A4AC227"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409AD1" w14:textId="77777777" w:rsidR="006E0A32" w:rsidRPr="00F3693B" w:rsidRDefault="006E0A32" w:rsidP="00191918">
            <w:pPr>
              <w:rPr>
                <w:szCs w:val="22"/>
              </w:rPr>
            </w:pPr>
            <w:r w:rsidRPr="00F3693B">
              <w:rPr>
                <w:szCs w:val="22"/>
              </w:rPr>
              <w:lastRenderedPageBreak/>
              <w:t>OLE</w:t>
            </w:r>
          </w:p>
        </w:tc>
        <w:tc>
          <w:tcPr>
            <w:tcW w:w="3800" w:type="pct"/>
          </w:tcPr>
          <w:p w14:paraId="218018F9" w14:textId="724D139A" w:rsidR="006E0A32" w:rsidRPr="00F3693B" w:rsidRDefault="005E79A9" w:rsidP="00191918">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006E0A32" w:rsidRPr="00F3693B">
              <w:rPr>
                <w:szCs w:val="22"/>
              </w:rPr>
              <w:t>pen-label (</w:t>
            </w:r>
            <w:r w:rsidR="006E0A32" w:rsidRPr="00F3693B">
              <w:rPr>
                <w:szCs w:val="22"/>
                <w:u w:val="single"/>
              </w:rPr>
              <w:t>O</w:t>
            </w:r>
            <w:r w:rsidR="006E0A32" w:rsidRPr="00F3693B">
              <w:rPr>
                <w:szCs w:val="22"/>
              </w:rPr>
              <w:t>L), long-term extension (</w:t>
            </w:r>
            <w:r w:rsidR="006E0A32" w:rsidRPr="00F3693B">
              <w:rPr>
                <w:szCs w:val="22"/>
                <w:u w:val="single"/>
              </w:rPr>
              <w:t>L</w:t>
            </w:r>
            <w:r w:rsidR="006E0A32" w:rsidRPr="00F3693B">
              <w:rPr>
                <w:szCs w:val="22"/>
              </w:rPr>
              <w:t>T</w:t>
            </w:r>
            <w:r w:rsidR="006E0A32" w:rsidRPr="00F3693B">
              <w:rPr>
                <w:szCs w:val="22"/>
                <w:u w:val="single"/>
              </w:rPr>
              <w:t>E</w:t>
            </w:r>
            <w:r w:rsidR="006E0A32" w:rsidRPr="00F3693B">
              <w:rPr>
                <w:szCs w:val="22"/>
              </w:rPr>
              <w:t>) period</w:t>
            </w:r>
          </w:p>
        </w:tc>
      </w:tr>
      <w:tr w:rsidR="006E0A32" w:rsidRPr="00F3693B" w14:paraId="5830A019"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0726C3" w14:textId="77777777" w:rsidR="006E0A32" w:rsidRPr="00F3693B" w:rsidRDefault="006E0A32" w:rsidP="00191918">
            <w:pPr>
              <w:rPr>
                <w:szCs w:val="22"/>
              </w:rPr>
            </w:pPr>
            <w:r w:rsidRPr="00F3693B">
              <w:rPr>
                <w:szCs w:val="22"/>
              </w:rPr>
              <w:t>PBO</w:t>
            </w:r>
          </w:p>
        </w:tc>
        <w:tc>
          <w:tcPr>
            <w:tcW w:w="3800" w:type="pct"/>
          </w:tcPr>
          <w:p w14:paraId="7A66E373"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 xml:space="preserve">Placebo </w:t>
            </w:r>
          </w:p>
        </w:tc>
      </w:tr>
      <w:tr w:rsidR="006E0A32" w:rsidRPr="00F3693B" w14:paraId="12FD494D"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7AB985" w14:textId="77777777" w:rsidR="006E0A32" w:rsidRPr="00F3693B" w:rsidRDefault="006E0A32" w:rsidP="00191918">
            <w:pPr>
              <w:rPr>
                <w:szCs w:val="22"/>
              </w:rPr>
            </w:pPr>
            <w:r w:rsidRPr="00F3693B">
              <w:rPr>
                <w:szCs w:val="22"/>
              </w:rPr>
              <w:t>PC</w:t>
            </w:r>
          </w:p>
        </w:tc>
        <w:tc>
          <w:tcPr>
            <w:tcW w:w="3800" w:type="pct"/>
          </w:tcPr>
          <w:p w14:paraId="6B2C065F"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Placebo-controlled</w:t>
            </w:r>
          </w:p>
        </w:tc>
      </w:tr>
      <w:tr w:rsidR="006E0A32" w:rsidRPr="00F3693B" w14:paraId="68A6F8A1"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F1B9E9" w14:textId="77777777" w:rsidR="006E0A32" w:rsidRPr="00F3693B" w:rsidRDefault="006E0A32" w:rsidP="00191918">
            <w:pPr>
              <w:rPr>
                <w:szCs w:val="22"/>
              </w:rPr>
            </w:pPr>
            <w:r w:rsidRPr="00F3693B">
              <w:rPr>
                <w:szCs w:val="22"/>
              </w:rPr>
              <w:t>PG</w:t>
            </w:r>
          </w:p>
        </w:tc>
        <w:tc>
          <w:tcPr>
            <w:tcW w:w="3800" w:type="pct"/>
          </w:tcPr>
          <w:p w14:paraId="6975D631"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proofErr w:type="gramStart"/>
            <w:r w:rsidRPr="00F3693B">
              <w:rPr>
                <w:szCs w:val="22"/>
              </w:rPr>
              <w:t>Parallel-group</w:t>
            </w:r>
            <w:proofErr w:type="gramEnd"/>
          </w:p>
        </w:tc>
      </w:tr>
      <w:tr w:rsidR="006E0A32" w:rsidRPr="00F3693B" w14:paraId="0C99A224"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9D28BB" w14:textId="77777777" w:rsidR="006E0A32" w:rsidRPr="00F3693B" w:rsidRDefault="006E0A32" w:rsidP="00191918">
            <w:pPr>
              <w:rPr>
                <w:szCs w:val="22"/>
              </w:rPr>
            </w:pPr>
            <w:r w:rsidRPr="00F3693B">
              <w:rPr>
                <w:szCs w:val="22"/>
              </w:rPr>
              <w:t>PI</w:t>
            </w:r>
          </w:p>
        </w:tc>
        <w:tc>
          <w:tcPr>
            <w:tcW w:w="3800" w:type="pct"/>
          </w:tcPr>
          <w:p w14:paraId="70306B84"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Product Information</w:t>
            </w:r>
          </w:p>
        </w:tc>
      </w:tr>
      <w:tr w:rsidR="006E0A32" w:rsidRPr="00F3693B" w14:paraId="68C3C1F2"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EDE3DD" w14:textId="77777777" w:rsidR="006E0A32" w:rsidRPr="00F3693B" w:rsidRDefault="006E0A32" w:rsidP="00191918">
            <w:pPr>
              <w:rPr>
                <w:szCs w:val="22"/>
              </w:rPr>
            </w:pPr>
            <w:r w:rsidRPr="00F3693B">
              <w:rPr>
                <w:szCs w:val="22"/>
              </w:rPr>
              <w:t>PYs</w:t>
            </w:r>
          </w:p>
        </w:tc>
        <w:tc>
          <w:tcPr>
            <w:tcW w:w="3800" w:type="pct"/>
          </w:tcPr>
          <w:p w14:paraId="4D4B9C9B"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Patient Years</w:t>
            </w:r>
          </w:p>
        </w:tc>
      </w:tr>
      <w:tr w:rsidR="006E0A32" w:rsidRPr="00F3693B" w14:paraId="46973135"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F44060" w14:textId="77777777" w:rsidR="006E0A32" w:rsidRPr="00F3693B" w:rsidRDefault="006E0A32" w:rsidP="00191918">
            <w:pPr>
              <w:rPr>
                <w:szCs w:val="22"/>
              </w:rPr>
            </w:pPr>
            <w:r w:rsidRPr="00F3693B">
              <w:rPr>
                <w:szCs w:val="22"/>
              </w:rPr>
              <w:t>QD</w:t>
            </w:r>
          </w:p>
        </w:tc>
        <w:tc>
          <w:tcPr>
            <w:tcW w:w="3800" w:type="pct"/>
          </w:tcPr>
          <w:p w14:paraId="0D566617"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Once daily</w:t>
            </w:r>
          </w:p>
        </w:tc>
      </w:tr>
      <w:tr w:rsidR="006E0A32" w:rsidRPr="00F3693B" w14:paraId="18BFAFAB"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47A894" w14:textId="77777777" w:rsidR="006E0A32" w:rsidRPr="00F3693B" w:rsidRDefault="006E0A32" w:rsidP="00191918">
            <w:pPr>
              <w:rPr>
                <w:szCs w:val="22"/>
              </w:rPr>
            </w:pPr>
            <w:r w:rsidRPr="00F3693B">
              <w:rPr>
                <w:szCs w:val="22"/>
              </w:rPr>
              <w:t>SOC</w:t>
            </w:r>
          </w:p>
        </w:tc>
        <w:tc>
          <w:tcPr>
            <w:tcW w:w="3800" w:type="pct"/>
          </w:tcPr>
          <w:p w14:paraId="251B05F1"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System Organ Classifications</w:t>
            </w:r>
          </w:p>
        </w:tc>
      </w:tr>
      <w:tr w:rsidR="006E0A32" w:rsidRPr="00F3693B" w14:paraId="4086E2A4"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C2E0AE" w14:textId="77777777" w:rsidR="006E0A32" w:rsidRPr="00F3693B" w:rsidRDefault="006E0A32" w:rsidP="00191918">
            <w:pPr>
              <w:rPr>
                <w:szCs w:val="22"/>
              </w:rPr>
            </w:pPr>
            <w:r w:rsidRPr="00F3693B">
              <w:rPr>
                <w:szCs w:val="22"/>
              </w:rPr>
              <w:t>SPARCC</w:t>
            </w:r>
          </w:p>
        </w:tc>
        <w:tc>
          <w:tcPr>
            <w:tcW w:w="3800" w:type="pct"/>
          </w:tcPr>
          <w:p w14:paraId="2B323779"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Spondyloarthritis Research Consortium of Canada scoring system</w:t>
            </w:r>
          </w:p>
        </w:tc>
      </w:tr>
      <w:tr w:rsidR="006E0A32" w:rsidRPr="00F3693B" w14:paraId="0C93270B"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B18493" w14:textId="77777777" w:rsidR="006E0A32" w:rsidRPr="00F3693B" w:rsidRDefault="006E0A32" w:rsidP="00191918">
            <w:pPr>
              <w:rPr>
                <w:szCs w:val="22"/>
              </w:rPr>
            </w:pPr>
            <w:r w:rsidRPr="00F3693B">
              <w:rPr>
                <w:szCs w:val="22"/>
              </w:rPr>
              <w:t>TEAEs</w:t>
            </w:r>
          </w:p>
        </w:tc>
        <w:tc>
          <w:tcPr>
            <w:tcW w:w="3800" w:type="pct"/>
          </w:tcPr>
          <w:p w14:paraId="6237AA75"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Treatment emergent adverse events</w:t>
            </w:r>
          </w:p>
        </w:tc>
      </w:tr>
      <w:tr w:rsidR="006E0A32" w:rsidRPr="00F3693B" w14:paraId="14B4F89F"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4D90FD" w14:textId="77777777" w:rsidR="006E0A32" w:rsidRPr="00F3693B" w:rsidRDefault="006E0A32" w:rsidP="00191918">
            <w:pPr>
              <w:rPr>
                <w:szCs w:val="22"/>
              </w:rPr>
            </w:pPr>
            <w:r w:rsidRPr="00F3693B">
              <w:rPr>
                <w:szCs w:val="22"/>
              </w:rPr>
              <w:t>TGA</w:t>
            </w:r>
          </w:p>
        </w:tc>
        <w:tc>
          <w:tcPr>
            <w:tcW w:w="3800" w:type="pct"/>
          </w:tcPr>
          <w:p w14:paraId="2EBFF208"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Therapeutic Goods Administration</w:t>
            </w:r>
          </w:p>
        </w:tc>
      </w:tr>
      <w:tr w:rsidR="006E0A32" w:rsidRPr="00F3693B" w14:paraId="445C1A8D"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B2ABD2" w14:textId="77777777" w:rsidR="006E0A32" w:rsidRPr="00F3693B" w:rsidRDefault="006E0A32" w:rsidP="00191918">
            <w:pPr>
              <w:rPr>
                <w:szCs w:val="22"/>
              </w:rPr>
            </w:pPr>
            <w:r w:rsidRPr="00F3693B">
              <w:rPr>
                <w:szCs w:val="22"/>
              </w:rPr>
              <w:t>TNFi</w:t>
            </w:r>
          </w:p>
        </w:tc>
        <w:tc>
          <w:tcPr>
            <w:tcW w:w="3800" w:type="pct"/>
          </w:tcPr>
          <w:p w14:paraId="4A76A31B"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Tumour Necrosis Factor inhibitor</w:t>
            </w:r>
          </w:p>
        </w:tc>
      </w:tr>
      <w:tr w:rsidR="006E0A32" w:rsidRPr="00F3693B" w14:paraId="2AD4B52B"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73619A" w14:textId="77777777" w:rsidR="006E0A32" w:rsidRPr="00F3693B" w:rsidRDefault="006E0A32" w:rsidP="00191918">
            <w:pPr>
              <w:rPr>
                <w:szCs w:val="22"/>
              </w:rPr>
            </w:pPr>
            <w:r w:rsidRPr="00F3693B">
              <w:rPr>
                <w:szCs w:val="22"/>
              </w:rPr>
              <w:t>UPA</w:t>
            </w:r>
          </w:p>
        </w:tc>
        <w:tc>
          <w:tcPr>
            <w:tcW w:w="3800" w:type="pct"/>
          </w:tcPr>
          <w:p w14:paraId="11740446"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Upadacitinib</w:t>
            </w:r>
          </w:p>
        </w:tc>
      </w:tr>
      <w:tr w:rsidR="006E0A32" w:rsidRPr="00F3693B" w14:paraId="6411B021" w14:textId="77777777" w:rsidTr="0019191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36EDE4" w14:textId="77777777" w:rsidR="006E0A32" w:rsidRPr="00F3693B" w:rsidRDefault="006E0A32" w:rsidP="00191918">
            <w:pPr>
              <w:rPr>
                <w:szCs w:val="22"/>
              </w:rPr>
            </w:pPr>
            <w:r w:rsidRPr="00F3693B">
              <w:rPr>
                <w:szCs w:val="22"/>
              </w:rPr>
              <w:t>Vc/F</w:t>
            </w:r>
          </w:p>
        </w:tc>
        <w:tc>
          <w:tcPr>
            <w:tcW w:w="3800" w:type="pct"/>
          </w:tcPr>
          <w:p w14:paraId="7F51114D" w14:textId="77777777" w:rsidR="006E0A32" w:rsidRPr="00F3693B" w:rsidRDefault="006E0A32" w:rsidP="00191918">
            <w:pPr>
              <w:cnfStyle w:val="000000000000" w:firstRow="0" w:lastRow="0" w:firstColumn="0" w:lastColumn="0" w:oddVBand="0" w:evenVBand="0" w:oddHBand="0" w:evenHBand="0" w:firstRowFirstColumn="0" w:firstRowLastColumn="0" w:lastRowFirstColumn="0" w:lastRowLastColumn="0"/>
              <w:rPr>
                <w:szCs w:val="22"/>
              </w:rPr>
            </w:pPr>
            <w:r w:rsidRPr="00F3693B">
              <w:rPr>
                <w:szCs w:val="22"/>
              </w:rPr>
              <w:t>Apparent central volume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175736501"/>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175736502"/>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3545"/>
        <w:gridCol w:w="5525"/>
      </w:tblGrid>
      <w:tr w:rsidR="00324B33" w:rsidRPr="00BD5DBD" w14:paraId="77D11C95" w14:textId="77777777" w:rsidTr="00D42A43">
        <w:tc>
          <w:tcPr>
            <w:tcW w:w="1954" w:type="pct"/>
          </w:tcPr>
          <w:p w14:paraId="10E57D62" w14:textId="220482EA" w:rsidR="00324B33" w:rsidRPr="00BD5DBD" w:rsidRDefault="00324B33" w:rsidP="007452E8">
            <w:pPr>
              <w:rPr>
                <w:i/>
                <w:szCs w:val="22"/>
              </w:rPr>
            </w:pPr>
            <w:r w:rsidRPr="00BD5DBD">
              <w:rPr>
                <w:i/>
                <w:szCs w:val="22"/>
              </w:rPr>
              <w:t>Type of submission:</w:t>
            </w:r>
          </w:p>
        </w:tc>
        <w:tc>
          <w:tcPr>
            <w:tcW w:w="3046" w:type="pct"/>
          </w:tcPr>
          <w:p w14:paraId="4F07C303" w14:textId="4C3E1E89" w:rsidR="00324B33" w:rsidRPr="00BD5DBD" w:rsidRDefault="00DA3673" w:rsidP="007452E8">
            <w:pPr>
              <w:rPr>
                <w:szCs w:val="22"/>
              </w:rPr>
            </w:pPr>
            <w:bookmarkStart w:id="14" w:name="_Hlk175735607"/>
            <w:r>
              <w:rPr>
                <w:szCs w:val="22"/>
              </w:rPr>
              <w:t>Extension of indication</w:t>
            </w:r>
            <w:bookmarkEnd w:id="14"/>
          </w:p>
        </w:tc>
      </w:tr>
      <w:tr w:rsidR="00324B33" w:rsidRPr="00BD5DBD" w14:paraId="13482B61" w14:textId="77777777" w:rsidTr="00D42A43">
        <w:tc>
          <w:tcPr>
            <w:tcW w:w="1954" w:type="pct"/>
          </w:tcPr>
          <w:p w14:paraId="2C427FCF" w14:textId="01211908" w:rsidR="00324B33" w:rsidRPr="00BD5DBD" w:rsidRDefault="00324B33" w:rsidP="007452E8">
            <w:pPr>
              <w:rPr>
                <w:i/>
                <w:szCs w:val="22"/>
              </w:rPr>
            </w:pPr>
            <w:r w:rsidRPr="00BD5DBD">
              <w:rPr>
                <w:i/>
                <w:szCs w:val="22"/>
              </w:rPr>
              <w:t>Product name:</w:t>
            </w:r>
          </w:p>
        </w:tc>
        <w:tc>
          <w:tcPr>
            <w:tcW w:w="3046" w:type="pct"/>
          </w:tcPr>
          <w:p w14:paraId="0E2DEF76" w14:textId="04DBE453" w:rsidR="00324B33" w:rsidRPr="00BD5DBD" w:rsidRDefault="00DA3673" w:rsidP="007452E8">
            <w:pPr>
              <w:rPr>
                <w:szCs w:val="22"/>
              </w:rPr>
            </w:pPr>
            <w:r w:rsidRPr="00DA3673">
              <w:rPr>
                <w:szCs w:val="22"/>
              </w:rPr>
              <w:t>R</w:t>
            </w:r>
            <w:r>
              <w:rPr>
                <w:szCs w:val="22"/>
              </w:rPr>
              <w:t>invoq</w:t>
            </w:r>
          </w:p>
        </w:tc>
      </w:tr>
      <w:tr w:rsidR="00324B33" w:rsidRPr="00BD5DBD" w14:paraId="01255B5B" w14:textId="77777777" w:rsidTr="00D42A43">
        <w:tc>
          <w:tcPr>
            <w:tcW w:w="1954" w:type="pct"/>
          </w:tcPr>
          <w:p w14:paraId="52B4F3D7" w14:textId="2024E8F9" w:rsidR="00324B33" w:rsidRPr="00BD5DBD" w:rsidRDefault="00324B33" w:rsidP="007452E8">
            <w:pPr>
              <w:rPr>
                <w:i/>
                <w:szCs w:val="22"/>
              </w:rPr>
            </w:pPr>
            <w:r w:rsidRPr="00BD5DBD">
              <w:rPr>
                <w:i/>
                <w:szCs w:val="22"/>
              </w:rPr>
              <w:t>Active ingredient:</w:t>
            </w:r>
          </w:p>
        </w:tc>
        <w:tc>
          <w:tcPr>
            <w:tcW w:w="3046" w:type="pct"/>
          </w:tcPr>
          <w:p w14:paraId="02FB6383" w14:textId="4AACAFD9" w:rsidR="00324B33" w:rsidRPr="00BD5DBD" w:rsidRDefault="00DA3673" w:rsidP="007452E8">
            <w:pPr>
              <w:rPr>
                <w:szCs w:val="22"/>
              </w:rPr>
            </w:pPr>
            <w:r w:rsidRPr="00DA3673">
              <w:rPr>
                <w:szCs w:val="22"/>
              </w:rPr>
              <w:t>upadacitinib</w:t>
            </w:r>
          </w:p>
        </w:tc>
      </w:tr>
      <w:tr w:rsidR="00324B33" w:rsidRPr="00BD5DBD" w14:paraId="219A281B" w14:textId="77777777" w:rsidTr="00D42A43">
        <w:tc>
          <w:tcPr>
            <w:tcW w:w="1954" w:type="pct"/>
          </w:tcPr>
          <w:p w14:paraId="112E5F78" w14:textId="77777777" w:rsidR="00324B33" w:rsidRPr="00BD5DBD" w:rsidRDefault="00324B33" w:rsidP="007452E8">
            <w:pPr>
              <w:rPr>
                <w:i/>
                <w:szCs w:val="22"/>
              </w:rPr>
            </w:pPr>
            <w:r w:rsidRPr="00BD5DBD">
              <w:rPr>
                <w:i/>
                <w:szCs w:val="22"/>
              </w:rPr>
              <w:t>Decision:</w:t>
            </w:r>
          </w:p>
        </w:tc>
        <w:tc>
          <w:tcPr>
            <w:tcW w:w="3046" w:type="pct"/>
          </w:tcPr>
          <w:p w14:paraId="3B114BEA" w14:textId="3D6EF421" w:rsidR="00324B33" w:rsidRPr="00BD5DBD" w:rsidRDefault="00324B33" w:rsidP="007452E8">
            <w:pPr>
              <w:rPr>
                <w:szCs w:val="22"/>
              </w:rPr>
            </w:pPr>
            <w:r w:rsidRPr="00BD5DBD">
              <w:rPr>
                <w:szCs w:val="22"/>
              </w:rPr>
              <w:t>Approved</w:t>
            </w:r>
          </w:p>
        </w:tc>
      </w:tr>
      <w:tr w:rsidR="00AE1947" w:rsidRPr="00BD5DBD" w14:paraId="32B72632" w14:textId="77777777" w:rsidTr="00D42A43">
        <w:tc>
          <w:tcPr>
            <w:tcW w:w="1954" w:type="pct"/>
          </w:tcPr>
          <w:p w14:paraId="332A5CD5" w14:textId="65682B5F" w:rsidR="00AE1947" w:rsidRPr="00BD5DBD" w:rsidRDefault="00AE1947" w:rsidP="007F1E37">
            <w:r w:rsidRPr="00BD5DBD">
              <w:rPr>
                <w:i/>
                <w:szCs w:val="22"/>
              </w:rPr>
              <w:t>Date of decision:</w:t>
            </w:r>
          </w:p>
        </w:tc>
        <w:tc>
          <w:tcPr>
            <w:tcW w:w="3046" w:type="pct"/>
          </w:tcPr>
          <w:p w14:paraId="7B381CD6" w14:textId="04D02C44" w:rsidR="00AE1947" w:rsidRPr="00BD5DBD" w:rsidRDefault="00705DEE" w:rsidP="00191918">
            <w:pPr>
              <w:rPr>
                <w:szCs w:val="22"/>
              </w:rPr>
            </w:pPr>
            <w:r w:rsidRPr="00705DEE">
              <w:rPr>
                <w:szCs w:val="22"/>
              </w:rPr>
              <w:t>6 January 2023</w:t>
            </w:r>
          </w:p>
        </w:tc>
      </w:tr>
      <w:tr w:rsidR="00324B33" w:rsidRPr="00BD5DBD" w14:paraId="60A25F5A" w14:textId="77777777" w:rsidTr="00D42A43">
        <w:tc>
          <w:tcPr>
            <w:tcW w:w="1954" w:type="pct"/>
          </w:tcPr>
          <w:p w14:paraId="5C5E4CBA" w14:textId="77777777" w:rsidR="00324B33" w:rsidRPr="00BD5DBD" w:rsidRDefault="00324B33" w:rsidP="007452E8">
            <w:pPr>
              <w:rPr>
                <w:i/>
                <w:szCs w:val="22"/>
              </w:rPr>
            </w:pPr>
            <w:r w:rsidRPr="00BD5DBD">
              <w:rPr>
                <w:i/>
                <w:szCs w:val="22"/>
              </w:rPr>
              <w:t>Date of entry onto ARTG:</w:t>
            </w:r>
          </w:p>
        </w:tc>
        <w:tc>
          <w:tcPr>
            <w:tcW w:w="3046" w:type="pct"/>
          </w:tcPr>
          <w:p w14:paraId="28B270E9" w14:textId="2DBB8AE6" w:rsidR="00324B33" w:rsidRPr="00BD5DBD" w:rsidRDefault="005E1C20" w:rsidP="007452E8">
            <w:pPr>
              <w:rPr>
                <w:szCs w:val="22"/>
              </w:rPr>
            </w:pPr>
            <w:r>
              <w:rPr>
                <w:szCs w:val="22"/>
              </w:rPr>
              <w:t>11 January 2023</w:t>
            </w:r>
          </w:p>
        </w:tc>
      </w:tr>
      <w:tr w:rsidR="00324B33" w:rsidRPr="00BD5DBD" w14:paraId="547E08D7" w14:textId="77777777" w:rsidTr="00D42A43">
        <w:tc>
          <w:tcPr>
            <w:tcW w:w="1954" w:type="pct"/>
          </w:tcPr>
          <w:p w14:paraId="5030EF30" w14:textId="4A5BBBA2" w:rsidR="00324B33" w:rsidRPr="00BD5DBD" w:rsidRDefault="00324B33" w:rsidP="007452E8">
            <w:pPr>
              <w:rPr>
                <w:i/>
                <w:szCs w:val="22"/>
              </w:rPr>
            </w:pPr>
            <w:r w:rsidRPr="00BD5DBD">
              <w:rPr>
                <w:i/>
                <w:szCs w:val="22"/>
              </w:rPr>
              <w:t>ARTG numbe</w:t>
            </w:r>
            <w:r w:rsidR="007076FA">
              <w:rPr>
                <w:i/>
                <w:szCs w:val="22"/>
              </w:rPr>
              <w:t>r</w:t>
            </w:r>
            <w:r w:rsidRPr="00BD5DBD">
              <w:rPr>
                <w:i/>
                <w:szCs w:val="22"/>
              </w:rPr>
              <w:t>:</w:t>
            </w:r>
          </w:p>
        </w:tc>
        <w:tc>
          <w:tcPr>
            <w:tcW w:w="3046" w:type="pct"/>
          </w:tcPr>
          <w:p w14:paraId="0054E912" w14:textId="385C96F0" w:rsidR="00324B33" w:rsidRPr="00BD5DBD" w:rsidRDefault="005E1C20" w:rsidP="007452E8">
            <w:pPr>
              <w:rPr>
                <w:szCs w:val="22"/>
              </w:rPr>
            </w:pPr>
            <w:r w:rsidRPr="005E1C20">
              <w:rPr>
                <w:szCs w:val="22"/>
              </w:rPr>
              <w:t>312687</w:t>
            </w:r>
            <w:r>
              <w:rPr>
                <w:szCs w:val="22"/>
              </w:rPr>
              <w:t xml:space="preserve">, </w:t>
            </w:r>
            <w:proofErr w:type="gramStart"/>
            <w:r w:rsidRPr="005E1C20">
              <w:rPr>
                <w:szCs w:val="22"/>
              </w:rPr>
              <w:t>346215</w:t>
            </w:r>
            <w:r>
              <w:rPr>
                <w:szCs w:val="22"/>
              </w:rPr>
              <w:t xml:space="preserve">,  </w:t>
            </w:r>
            <w:r w:rsidRPr="005E1C20">
              <w:rPr>
                <w:szCs w:val="22"/>
              </w:rPr>
              <w:t>375857</w:t>
            </w:r>
            <w:proofErr w:type="gramEnd"/>
          </w:p>
        </w:tc>
      </w:tr>
      <w:tr w:rsidR="00324B33" w:rsidRPr="00BD5DBD" w14:paraId="7618393F" w14:textId="77777777" w:rsidTr="00D42A43">
        <w:tc>
          <w:tcPr>
            <w:tcW w:w="1954" w:type="pct"/>
          </w:tcPr>
          <w:p w14:paraId="02260DE2" w14:textId="20B5D24E" w:rsidR="00324B33" w:rsidRPr="007076FA" w:rsidRDefault="00324B33" w:rsidP="007452E8">
            <w:pPr>
              <w:rPr>
                <w:i/>
                <w:color w:val="0000FF"/>
                <w:szCs w:val="22"/>
                <w:u w:val="single"/>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046" w:type="pct"/>
          </w:tcPr>
          <w:p w14:paraId="6FF3C6A2" w14:textId="7E45AAD4" w:rsidR="00324B33" w:rsidRPr="00BD5DBD" w:rsidRDefault="00324B33" w:rsidP="007452E8">
            <w:pPr>
              <w:rPr>
                <w:szCs w:val="22"/>
              </w:rPr>
            </w:pPr>
            <w:r w:rsidRPr="00BD5DBD">
              <w:rPr>
                <w:szCs w:val="22"/>
              </w:rPr>
              <w:t>Yes</w:t>
            </w:r>
          </w:p>
        </w:tc>
      </w:tr>
      <w:tr w:rsidR="00324B33" w:rsidRPr="00BD5DBD" w14:paraId="179E09FE" w14:textId="77777777" w:rsidTr="00D42A43">
        <w:tc>
          <w:tcPr>
            <w:tcW w:w="1954" w:type="pct"/>
          </w:tcPr>
          <w:p w14:paraId="1A592498" w14:textId="77777777" w:rsidR="00324B33" w:rsidRPr="00BD5DBD" w:rsidRDefault="00324B33" w:rsidP="007452E8">
            <w:pPr>
              <w:rPr>
                <w:i/>
                <w:szCs w:val="22"/>
              </w:rPr>
            </w:pPr>
            <w:r w:rsidRPr="00BD5DBD">
              <w:rPr>
                <w:i/>
                <w:szCs w:val="22"/>
              </w:rPr>
              <w:t>Sponsor’s name and address:</w:t>
            </w:r>
          </w:p>
        </w:tc>
        <w:tc>
          <w:tcPr>
            <w:tcW w:w="3046" w:type="pct"/>
          </w:tcPr>
          <w:p w14:paraId="4AB95523" w14:textId="77777777" w:rsidR="00B6526E" w:rsidRDefault="006D6C0B" w:rsidP="006D6C0B">
            <w:pPr>
              <w:rPr>
                <w:szCs w:val="22"/>
              </w:rPr>
            </w:pPr>
            <w:r w:rsidRPr="006D6C0B">
              <w:rPr>
                <w:szCs w:val="22"/>
              </w:rPr>
              <w:t>AbbVie Pty Ltd</w:t>
            </w:r>
            <w:r>
              <w:rPr>
                <w:szCs w:val="22"/>
              </w:rPr>
              <w:t xml:space="preserve"> </w:t>
            </w:r>
          </w:p>
          <w:p w14:paraId="226307DC" w14:textId="77777777" w:rsidR="00B6526E" w:rsidRDefault="006D6C0B" w:rsidP="006D6C0B">
            <w:pPr>
              <w:rPr>
                <w:szCs w:val="22"/>
              </w:rPr>
            </w:pPr>
            <w:r w:rsidRPr="006D6C0B">
              <w:rPr>
                <w:szCs w:val="22"/>
              </w:rPr>
              <w:t>241 O’Riordan Street</w:t>
            </w:r>
            <w:r>
              <w:rPr>
                <w:szCs w:val="22"/>
              </w:rPr>
              <w:t xml:space="preserve"> </w:t>
            </w:r>
          </w:p>
          <w:p w14:paraId="68DD94B0" w14:textId="5F217A70" w:rsidR="00324B33" w:rsidRPr="00BD5DBD" w:rsidRDefault="006D6C0B" w:rsidP="006D6C0B">
            <w:pPr>
              <w:rPr>
                <w:szCs w:val="22"/>
              </w:rPr>
            </w:pPr>
            <w:r w:rsidRPr="006D6C0B">
              <w:rPr>
                <w:szCs w:val="22"/>
              </w:rPr>
              <w:t>Mascot NSW 2020</w:t>
            </w:r>
            <w:r>
              <w:rPr>
                <w:szCs w:val="22"/>
              </w:rPr>
              <w:t xml:space="preserve"> </w:t>
            </w:r>
          </w:p>
        </w:tc>
      </w:tr>
      <w:tr w:rsidR="00324B33" w:rsidRPr="00BD5DBD" w14:paraId="5322B989" w14:textId="77777777" w:rsidTr="00D42A43">
        <w:tc>
          <w:tcPr>
            <w:tcW w:w="1954" w:type="pct"/>
          </w:tcPr>
          <w:p w14:paraId="24F217E3" w14:textId="04ECD8A9" w:rsidR="00324B33" w:rsidRPr="00BD5DBD" w:rsidRDefault="00324B33" w:rsidP="007452E8">
            <w:pPr>
              <w:rPr>
                <w:i/>
                <w:szCs w:val="22"/>
              </w:rPr>
            </w:pPr>
            <w:r w:rsidRPr="00BD5DBD">
              <w:rPr>
                <w:i/>
                <w:szCs w:val="22"/>
              </w:rPr>
              <w:t>Dose form:</w:t>
            </w:r>
          </w:p>
        </w:tc>
        <w:tc>
          <w:tcPr>
            <w:tcW w:w="3046" w:type="pct"/>
          </w:tcPr>
          <w:p w14:paraId="768B254C" w14:textId="2AE0E68C" w:rsidR="00324B33" w:rsidRPr="00BD5DBD" w:rsidRDefault="006D6C0B" w:rsidP="007452E8">
            <w:pPr>
              <w:rPr>
                <w:szCs w:val="22"/>
              </w:rPr>
            </w:pPr>
            <w:r>
              <w:rPr>
                <w:szCs w:val="22"/>
              </w:rPr>
              <w:t>Tablet</w:t>
            </w:r>
          </w:p>
        </w:tc>
      </w:tr>
      <w:tr w:rsidR="00324B33" w:rsidRPr="00BD5DBD" w14:paraId="115243E6" w14:textId="77777777" w:rsidTr="00D42A43">
        <w:tc>
          <w:tcPr>
            <w:tcW w:w="1954" w:type="pct"/>
          </w:tcPr>
          <w:p w14:paraId="7634B062" w14:textId="19270146" w:rsidR="00324B33" w:rsidRPr="00BD5DBD" w:rsidRDefault="00324B33" w:rsidP="007452E8">
            <w:pPr>
              <w:rPr>
                <w:i/>
                <w:szCs w:val="22"/>
              </w:rPr>
            </w:pPr>
            <w:r w:rsidRPr="00BD5DBD">
              <w:rPr>
                <w:i/>
                <w:szCs w:val="22"/>
              </w:rPr>
              <w:t>Strength:</w:t>
            </w:r>
          </w:p>
        </w:tc>
        <w:tc>
          <w:tcPr>
            <w:tcW w:w="3046" w:type="pct"/>
          </w:tcPr>
          <w:p w14:paraId="5E5F83DB" w14:textId="66227026" w:rsidR="00324B33" w:rsidRPr="00BD5DBD" w:rsidRDefault="006D6C0B" w:rsidP="006D6C0B">
            <w:pPr>
              <w:rPr>
                <w:szCs w:val="22"/>
              </w:rPr>
            </w:pPr>
            <w:r w:rsidRPr="006D6C0B">
              <w:rPr>
                <w:szCs w:val="22"/>
              </w:rPr>
              <w:t>upadacitinib hemihydrate, equivalent to 15 mg, 30 mg, or 45 mg of</w:t>
            </w:r>
            <w:r>
              <w:rPr>
                <w:szCs w:val="22"/>
              </w:rPr>
              <w:t xml:space="preserve"> </w:t>
            </w:r>
            <w:r w:rsidRPr="006D6C0B">
              <w:rPr>
                <w:szCs w:val="22"/>
              </w:rPr>
              <w:t>upadacitinib</w:t>
            </w:r>
          </w:p>
        </w:tc>
      </w:tr>
      <w:tr w:rsidR="00324B33" w:rsidRPr="00BD5DBD" w14:paraId="34B07BA6" w14:textId="77777777" w:rsidTr="00D42A43">
        <w:tc>
          <w:tcPr>
            <w:tcW w:w="1954" w:type="pct"/>
          </w:tcPr>
          <w:p w14:paraId="1C039224" w14:textId="5167D49D" w:rsidR="00324B33" w:rsidRPr="00BD5DBD" w:rsidRDefault="00324B33" w:rsidP="007452E8">
            <w:pPr>
              <w:rPr>
                <w:i/>
                <w:szCs w:val="22"/>
              </w:rPr>
            </w:pPr>
            <w:r w:rsidRPr="00BD5DBD">
              <w:rPr>
                <w:i/>
                <w:szCs w:val="22"/>
              </w:rPr>
              <w:t>Container:</w:t>
            </w:r>
          </w:p>
        </w:tc>
        <w:tc>
          <w:tcPr>
            <w:tcW w:w="3046" w:type="pct"/>
          </w:tcPr>
          <w:p w14:paraId="500A42C6" w14:textId="2F8519EE" w:rsidR="00324B33" w:rsidRPr="00BD5DBD" w:rsidRDefault="006D6C0B" w:rsidP="007452E8">
            <w:pPr>
              <w:rPr>
                <w:szCs w:val="22"/>
              </w:rPr>
            </w:pPr>
            <w:r w:rsidRPr="006D6C0B">
              <w:rPr>
                <w:szCs w:val="22"/>
              </w:rPr>
              <w:t>PVC/PE/PCTFE/Aluminium blister</w:t>
            </w:r>
          </w:p>
        </w:tc>
      </w:tr>
      <w:tr w:rsidR="00324B33" w:rsidRPr="00BD5DBD" w14:paraId="176B6773" w14:textId="77777777" w:rsidTr="00D42A43">
        <w:tc>
          <w:tcPr>
            <w:tcW w:w="1954" w:type="pct"/>
          </w:tcPr>
          <w:p w14:paraId="71846159" w14:textId="21E45C5E" w:rsidR="00324B33" w:rsidRPr="00BD5DBD" w:rsidRDefault="00324B33" w:rsidP="007452E8">
            <w:pPr>
              <w:rPr>
                <w:i/>
                <w:szCs w:val="22"/>
              </w:rPr>
            </w:pPr>
            <w:r w:rsidRPr="00BD5DBD">
              <w:rPr>
                <w:i/>
                <w:szCs w:val="22"/>
              </w:rPr>
              <w:t>Pack size:</w:t>
            </w:r>
          </w:p>
        </w:tc>
        <w:tc>
          <w:tcPr>
            <w:tcW w:w="3046" w:type="pct"/>
          </w:tcPr>
          <w:p w14:paraId="7E978F8F" w14:textId="1194D1CF" w:rsidR="00324B33" w:rsidRPr="00BD5DBD" w:rsidRDefault="006D6C0B" w:rsidP="007452E8">
            <w:pPr>
              <w:rPr>
                <w:szCs w:val="22"/>
              </w:rPr>
            </w:pPr>
            <w:r w:rsidRPr="006D6C0B">
              <w:rPr>
                <w:szCs w:val="22"/>
              </w:rPr>
              <w:t>Starter Pack (7 tablets</w:t>
            </w:r>
            <w:r>
              <w:rPr>
                <w:szCs w:val="22"/>
              </w:rPr>
              <w:t xml:space="preserve">), </w:t>
            </w:r>
            <w:r w:rsidRPr="006D6C0B">
              <w:rPr>
                <w:szCs w:val="22"/>
              </w:rPr>
              <w:t>Monthly Pack (28 tablets)</w:t>
            </w:r>
          </w:p>
        </w:tc>
      </w:tr>
      <w:tr w:rsidR="00324B33" w:rsidRPr="00BD5DBD" w14:paraId="19A2544A" w14:textId="77777777" w:rsidTr="00D42A43">
        <w:tc>
          <w:tcPr>
            <w:tcW w:w="1954"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046" w:type="pct"/>
          </w:tcPr>
          <w:p w14:paraId="05F13F90" w14:textId="1D5C84B3" w:rsidR="006D6C0B" w:rsidRPr="006D6C0B" w:rsidRDefault="006D6C0B" w:rsidP="006D6C0B">
            <w:pPr>
              <w:rPr>
                <w:b/>
                <w:bCs/>
                <w:szCs w:val="22"/>
              </w:rPr>
            </w:pPr>
            <w:r w:rsidRPr="006D6C0B">
              <w:rPr>
                <w:b/>
                <w:bCs/>
                <w:szCs w:val="22"/>
              </w:rPr>
              <w:t>Non-radiographic Axial Spondyloarthritis</w:t>
            </w:r>
          </w:p>
          <w:p w14:paraId="6E143E2E" w14:textId="49B99704" w:rsidR="00324B33" w:rsidRPr="00BD5DBD" w:rsidRDefault="00B87A0D" w:rsidP="006D6C0B">
            <w:pPr>
              <w:rPr>
                <w:szCs w:val="22"/>
              </w:rPr>
            </w:pPr>
            <w:r>
              <w:rPr>
                <w:szCs w:val="22"/>
              </w:rPr>
              <w:t>Rinvoq</w:t>
            </w:r>
            <w:r w:rsidR="006D6C0B" w:rsidRPr="006D6C0B">
              <w:rPr>
                <w:szCs w:val="22"/>
              </w:rPr>
              <w:t xml:space="preserve"> is indicated for the treatment of adults with active non-radiographic axial</w:t>
            </w:r>
            <w:r w:rsidR="006D6C0B">
              <w:rPr>
                <w:szCs w:val="22"/>
              </w:rPr>
              <w:t xml:space="preserve"> </w:t>
            </w:r>
            <w:r w:rsidR="006D6C0B" w:rsidRPr="006D6C0B">
              <w:rPr>
                <w:szCs w:val="22"/>
              </w:rPr>
              <w:t>spondyloarthritis with objective signs of inflammation as indicated by elevated C</w:t>
            </w:r>
            <w:r w:rsidR="006D6C0B">
              <w:rPr>
                <w:szCs w:val="22"/>
              </w:rPr>
              <w:t>-</w:t>
            </w:r>
            <w:r w:rsidR="006D6C0B" w:rsidRPr="006D6C0B">
              <w:rPr>
                <w:szCs w:val="22"/>
              </w:rPr>
              <w:t>reactive</w:t>
            </w:r>
            <w:r w:rsidR="006D6C0B">
              <w:rPr>
                <w:szCs w:val="22"/>
              </w:rPr>
              <w:t xml:space="preserve"> </w:t>
            </w:r>
            <w:r w:rsidR="006D6C0B" w:rsidRPr="006D6C0B">
              <w:rPr>
                <w:szCs w:val="22"/>
              </w:rPr>
              <w:t>protein (CRP) and/or magnetic resonance imaging (MRI) change, who have</w:t>
            </w:r>
            <w:r w:rsidR="006D6C0B">
              <w:rPr>
                <w:szCs w:val="22"/>
              </w:rPr>
              <w:t xml:space="preserve"> </w:t>
            </w:r>
            <w:r w:rsidR="006D6C0B" w:rsidRPr="006D6C0B">
              <w:rPr>
                <w:szCs w:val="22"/>
              </w:rPr>
              <w:t>responded inadequately to, or are intolerant to nonsteroidal anti-inflammatory drugs</w:t>
            </w:r>
            <w:r w:rsidR="006D6C0B">
              <w:rPr>
                <w:szCs w:val="22"/>
              </w:rPr>
              <w:t xml:space="preserve"> </w:t>
            </w:r>
            <w:r w:rsidR="006D6C0B" w:rsidRPr="006D6C0B">
              <w:rPr>
                <w:szCs w:val="22"/>
              </w:rPr>
              <w:t>(NSAIDs).</w:t>
            </w:r>
          </w:p>
        </w:tc>
      </w:tr>
      <w:tr w:rsidR="00324B33" w:rsidRPr="00BD5DBD" w14:paraId="5AFDEED3" w14:textId="77777777" w:rsidTr="00D42A43">
        <w:tc>
          <w:tcPr>
            <w:tcW w:w="1954" w:type="pct"/>
          </w:tcPr>
          <w:p w14:paraId="03884BD1" w14:textId="3A51F027" w:rsidR="00324B33" w:rsidRPr="00BD5DBD" w:rsidRDefault="00324B33" w:rsidP="007452E8">
            <w:pPr>
              <w:rPr>
                <w:i/>
                <w:szCs w:val="22"/>
              </w:rPr>
            </w:pPr>
            <w:r w:rsidRPr="00BD5DBD">
              <w:rPr>
                <w:i/>
                <w:szCs w:val="22"/>
              </w:rPr>
              <w:t>Route of administration:</w:t>
            </w:r>
          </w:p>
        </w:tc>
        <w:tc>
          <w:tcPr>
            <w:tcW w:w="3046" w:type="pct"/>
          </w:tcPr>
          <w:p w14:paraId="1ED1357E" w14:textId="290DDF71" w:rsidR="00324B33" w:rsidRPr="00BD5DBD" w:rsidRDefault="006D6C0B" w:rsidP="007452E8">
            <w:pPr>
              <w:rPr>
                <w:szCs w:val="22"/>
              </w:rPr>
            </w:pPr>
            <w:r>
              <w:rPr>
                <w:szCs w:val="22"/>
              </w:rPr>
              <w:t>Oral</w:t>
            </w:r>
          </w:p>
        </w:tc>
      </w:tr>
      <w:tr w:rsidR="00324B33" w:rsidRPr="00BD5DBD" w14:paraId="70D7E9FA" w14:textId="77777777" w:rsidTr="00D42A43">
        <w:tc>
          <w:tcPr>
            <w:tcW w:w="1954" w:type="pct"/>
          </w:tcPr>
          <w:p w14:paraId="5ABFFC80" w14:textId="77777777" w:rsidR="00324B33" w:rsidRPr="00BD5DBD" w:rsidRDefault="00324B33" w:rsidP="007452E8">
            <w:pPr>
              <w:rPr>
                <w:i/>
                <w:szCs w:val="22"/>
              </w:rPr>
            </w:pPr>
            <w:r w:rsidRPr="00BD5DBD">
              <w:rPr>
                <w:i/>
                <w:szCs w:val="22"/>
              </w:rPr>
              <w:t>Dosage:</w:t>
            </w:r>
          </w:p>
        </w:tc>
        <w:tc>
          <w:tcPr>
            <w:tcW w:w="3046" w:type="pct"/>
          </w:tcPr>
          <w:p w14:paraId="3D0B2D5C" w14:textId="23056630" w:rsidR="00324B33" w:rsidRPr="00BD5DBD" w:rsidRDefault="00324B33" w:rsidP="007452E8">
            <w:pPr>
              <w:rPr>
                <w:szCs w:val="22"/>
              </w:rPr>
            </w:pPr>
            <w:r w:rsidRPr="00BD5DBD">
              <w:rPr>
                <w:szCs w:val="22"/>
              </w:rPr>
              <w:t xml:space="preserve">For further information regarding dosage, </w:t>
            </w:r>
            <w:r w:rsidR="006D6C0B">
              <w:rPr>
                <w:szCs w:val="22"/>
              </w:rPr>
              <w:t>including</w:t>
            </w:r>
            <w:r w:rsidR="006B7126">
              <w:rPr>
                <w:szCs w:val="22"/>
              </w:rPr>
              <w:t xml:space="preserve"> dosage modifications to manage adverse reactions, </w:t>
            </w:r>
            <w:r w:rsidRPr="00BD5DBD">
              <w:rPr>
                <w:szCs w:val="22"/>
              </w:rPr>
              <w:t>refer to the Product Information.</w:t>
            </w:r>
          </w:p>
        </w:tc>
      </w:tr>
      <w:tr w:rsidR="0017005C" w:rsidRPr="00BD5DBD" w14:paraId="7B7BB6AE" w14:textId="77777777" w:rsidTr="00D42A43">
        <w:tc>
          <w:tcPr>
            <w:tcW w:w="1954" w:type="pct"/>
          </w:tcPr>
          <w:p w14:paraId="3A76AFF7" w14:textId="7C436DD9" w:rsidR="0017005C" w:rsidRPr="00F8083B" w:rsidRDefault="0070330F" w:rsidP="0017005C">
            <w:r w:rsidRPr="00BD5DBD">
              <w:rPr>
                <w:i/>
                <w:szCs w:val="22"/>
              </w:rPr>
              <w:t>Pregnancy category:</w:t>
            </w:r>
          </w:p>
        </w:tc>
        <w:tc>
          <w:tcPr>
            <w:tcW w:w="3046" w:type="pct"/>
          </w:tcPr>
          <w:p w14:paraId="47C90829" w14:textId="4335168F" w:rsidR="006D6C0B" w:rsidRDefault="006D6C0B" w:rsidP="006D6C0B">
            <w:r w:rsidRPr="006D6C0B">
              <w:rPr>
                <w:b/>
                <w:bCs/>
              </w:rPr>
              <w:t>Category D</w:t>
            </w:r>
            <w:r>
              <w:t xml:space="preserve">: </w:t>
            </w:r>
            <w:r w:rsidRPr="006D6C0B">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45E7BCC7" w14:textId="27BBA2A6" w:rsidR="006D6C0B" w:rsidRDefault="00B87A0D" w:rsidP="006D6C0B">
            <w:r>
              <w:t>Rinvoq</w:t>
            </w:r>
            <w:r w:rsidR="006D6C0B" w:rsidRPr="006D6C0B">
              <w:t xml:space="preserve"> should not be used during pregnancy. There are</w:t>
            </w:r>
            <w:r w:rsidR="006D6C0B">
              <w:t xml:space="preserve"> </w:t>
            </w:r>
            <w:r w:rsidR="006D6C0B" w:rsidRPr="006D6C0B">
              <w:t>limited human data on the use of</w:t>
            </w:r>
            <w:r w:rsidR="006D6C0B">
              <w:t xml:space="preserve"> </w:t>
            </w:r>
            <w:r w:rsidR="006D6C0B" w:rsidRPr="006D6C0B">
              <w:t xml:space="preserve">upadacitinib in pregnant women. Based on findings in animal studies, </w:t>
            </w:r>
            <w:r>
              <w:lastRenderedPageBreak/>
              <w:t>Rinvoq</w:t>
            </w:r>
            <w:r w:rsidR="006D6C0B" w:rsidRPr="006D6C0B">
              <w:t xml:space="preserve"> may cause</w:t>
            </w:r>
            <w:r w:rsidR="006D6C0B">
              <w:t xml:space="preserve"> </w:t>
            </w:r>
            <w:r w:rsidR="006D6C0B" w:rsidRPr="006D6C0B">
              <w:t>fetal harm when administered to a pregnant woman. Administration of upadacitinib to rats and</w:t>
            </w:r>
            <w:r w:rsidR="006D6C0B">
              <w:t xml:space="preserve"> </w:t>
            </w:r>
            <w:r w:rsidR="006D6C0B" w:rsidRPr="006D6C0B">
              <w:t>rabbits during organogenesis caused increases in fetal malformations. Pregnant women</w:t>
            </w:r>
            <w:r w:rsidR="006D6C0B">
              <w:t xml:space="preserve"> </w:t>
            </w:r>
            <w:r w:rsidR="006D6C0B" w:rsidRPr="006D6C0B">
              <w:t>should be advised of the potential risk to a fetus.</w:t>
            </w:r>
            <w:r w:rsidR="006D6C0B">
              <w:t xml:space="preserve"> </w:t>
            </w:r>
            <w:r w:rsidR="006D6C0B" w:rsidRPr="006D6C0B">
              <w:t>Advise females of reproductive potential that effective contraception should be used during</w:t>
            </w:r>
            <w:r w:rsidR="006D6C0B">
              <w:t xml:space="preserve"> </w:t>
            </w:r>
            <w:r w:rsidR="006D6C0B" w:rsidRPr="006D6C0B">
              <w:t xml:space="preserve">treatment and for 4 weeks following the final dose of </w:t>
            </w:r>
            <w:r>
              <w:t>Rinvoq</w:t>
            </w:r>
            <w:r w:rsidR="006D6C0B" w:rsidRPr="006D6C0B">
              <w:t>.</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639E641B" w:rsidR="00324B33" w:rsidRDefault="003A0CCE" w:rsidP="00324B33">
      <w:pPr>
        <w:pStyle w:val="Heading3"/>
      </w:pPr>
      <w:bookmarkStart w:id="15" w:name="_Toc247691503"/>
      <w:bookmarkStart w:id="16" w:name="_Toc314842484"/>
      <w:bookmarkStart w:id="17" w:name="_Toc103679290"/>
      <w:bookmarkStart w:id="18" w:name="_Toc175736503"/>
      <w:r>
        <w:lastRenderedPageBreak/>
        <w:t>Rinvoq (</w:t>
      </w:r>
      <w:proofErr w:type="spellStart"/>
      <w:r>
        <w:t>u</w:t>
      </w:r>
      <w:r w:rsidRPr="003A0CCE">
        <w:t>padacitinib</w:t>
      </w:r>
      <w:proofErr w:type="spellEnd"/>
      <w:r>
        <w:t xml:space="preserve">) </w:t>
      </w:r>
      <w:r w:rsidR="00324B33">
        <w:t>background</w:t>
      </w:r>
      <w:bookmarkEnd w:id="15"/>
      <w:bookmarkEnd w:id="16"/>
      <w:bookmarkEnd w:id="17"/>
      <w:bookmarkEnd w:id="18"/>
    </w:p>
    <w:p w14:paraId="0807F93B" w14:textId="11B2E9B5" w:rsidR="0000264E" w:rsidRDefault="0000264E" w:rsidP="0000264E">
      <w:r w:rsidRPr="0000264E">
        <w:t>Upadacitinib</w:t>
      </w:r>
      <w:r w:rsidR="001F7216">
        <w:t xml:space="preserve"> (UPA)</w:t>
      </w:r>
      <w:r w:rsidRPr="0000264E">
        <w:t xml:space="preserve"> is an oral targeted synthetic anti-cytokine therapy, which inhibits the function of Janus associated kinase (JAK) proteins</w:t>
      </w:r>
      <w:r>
        <w:t>.</w:t>
      </w:r>
      <w:r w:rsidRPr="0000264E">
        <w:t xml:space="preserve"> The JAK family of enzymes are intracellular molecules involved in signal transduction of type I and II cytokine receptors including the IL-6 receptor. There are four JAK isoforms, JAK1, JAK2, JAK3 and tyrosine kinase 2 (TYK2), which act in pairs to phosphorylate other intracellular proteins including members of the signal transducer and activator of transcription (STAT) family of DNA binding proteins. Phosphorylation of STATs promotes their translocation to the cell nucleus and subsequent gene transcription. Through this process JAKs are directly and indirectly involved in a range of immune and homeostatic functions, including the acute inflammatory response to infections and tissue injury, and innate and adaptive immune responses. The sponsor states that UPA has preferential affinity for the JAK1 isoform over JAK2, JAK3 and TYK2. This is the first JAKi requesting registration for the treatment of non-radiographic axial spondyloarthritis (nr-axSpA).</w:t>
      </w:r>
    </w:p>
    <w:p w14:paraId="06CC6DE0" w14:textId="1BA6D4DB" w:rsidR="0000264E" w:rsidRPr="0000264E" w:rsidRDefault="0000264E" w:rsidP="0000264E">
      <w:r w:rsidRPr="0000264E">
        <w:t xml:space="preserve">This submission includes a Type C application to extend the indications for UPA to the treatment of nr-axSpA in adult patients, and a Type J application to update efficacy data for patients with active ankylosing spondylitis (AS, r-axSpA) who have had </w:t>
      </w:r>
      <w:r>
        <w:t>I</w:t>
      </w:r>
      <w:r w:rsidRPr="0000264E">
        <w:t xml:space="preserve">nadequate </w:t>
      </w:r>
      <w:r>
        <w:t>R</w:t>
      </w:r>
      <w:r w:rsidRPr="0000264E">
        <w:t xml:space="preserve">esponse to Biologic </w:t>
      </w:r>
      <w:r>
        <w:t>D</w:t>
      </w:r>
      <w:r w:rsidRPr="0000264E">
        <w:t>isease-</w:t>
      </w:r>
      <w:r>
        <w:t>M</w:t>
      </w:r>
      <w:r w:rsidRPr="0000264E">
        <w:t xml:space="preserve">odifying </w:t>
      </w:r>
      <w:r>
        <w:t>A</w:t>
      </w:r>
      <w:r w:rsidRPr="0000264E">
        <w:t>nti-</w:t>
      </w:r>
      <w:r>
        <w:t>R</w:t>
      </w:r>
      <w:r w:rsidRPr="0000264E">
        <w:t xml:space="preserve">heumatic </w:t>
      </w:r>
      <w:r>
        <w:t>D</w:t>
      </w:r>
      <w:r w:rsidRPr="0000264E">
        <w:t>rugs (bDMARD-IR) and patients with active AS naïve to bDMARDs.</w:t>
      </w:r>
    </w:p>
    <w:p w14:paraId="59BF31D1" w14:textId="6A40A5A8" w:rsidR="001500A8" w:rsidRDefault="00324B33" w:rsidP="00065839">
      <w:r w:rsidRPr="00065839">
        <w:t xml:space="preserve">This AusPAR describes the submission by </w:t>
      </w:r>
      <w:r w:rsidR="006D6C0B">
        <w:t>AbbVie Pty Ltd</w:t>
      </w:r>
      <w:r w:rsidRPr="00065839">
        <w:t xml:space="preserve"> (the sponsor) to register </w:t>
      </w:r>
      <w:r w:rsidR="006D6C0B">
        <w:t>Rinvoq (</w:t>
      </w:r>
      <w:r w:rsidR="006D6C0B" w:rsidRPr="006D6C0B">
        <w:t>upadacitinib</w:t>
      </w:r>
      <w:r w:rsidR="006D6C0B">
        <w:t xml:space="preserve">) </w:t>
      </w:r>
      <w:r w:rsidRPr="00065839">
        <w:t>for the following proposed</w:t>
      </w:r>
      <w:r w:rsidR="006D6C0B">
        <w:t xml:space="preserve"> </w:t>
      </w:r>
      <w:r w:rsidRPr="00065839">
        <w:t>extension of indications:</w:t>
      </w:r>
      <w:r w:rsidR="00D63760" w:rsidRPr="00065839">
        <w:rPr>
          <w:vertAlign w:val="superscript"/>
        </w:rPr>
        <w:footnoteReference w:id="1"/>
      </w:r>
    </w:p>
    <w:p w14:paraId="45BDBE82" w14:textId="133FEAD2" w:rsidR="00DA3673" w:rsidRDefault="00B87A0D" w:rsidP="006D6C0B">
      <w:pPr>
        <w:ind w:left="720"/>
        <w:rPr>
          <w:i/>
          <w:iCs/>
        </w:rPr>
      </w:pPr>
      <w:r>
        <w:rPr>
          <w:i/>
          <w:iCs/>
        </w:rPr>
        <w:t>Rinvoq</w:t>
      </w:r>
      <w:r w:rsidR="00DA3673" w:rsidRPr="00DA3673">
        <w:rPr>
          <w:i/>
          <w:iCs/>
        </w:rPr>
        <w:t xml:space="preserve"> is indicated for the treatment of adults with active non-radiographic</w:t>
      </w:r>
      <w:r w:rsidR="00DA3673">
        <w:rPr>
          <w:i/>
          <w:iCs/>
        </w:rPr>
        <w:t xml:space="preserve"> </w:t>
      </w:r>
      <w:r w:rsidR="00DA3673" w:rsidRPr="00DA3673">
        <w:rPr>
          <w:i/>
          <w:iCs/>
        </w:rPr>
        <w:t>axial spondyloarthritis with objective signs of inflammation.</w:t>
      </w:r>
    </w:p>
    <w:p w14:paraId="3BB88A19" w14:textId="01EB1FDD" w:rsidR="0000264E" w:rsidRPr="00065839" w:rsidRDefault="0000264E" w:rsidP="0000264E">
      <w:r>
        <w:t>The sponsor also has submitted a Product Information revision to update</w:t>
      </w:r>
      <w:r w:rsidRPr="0000264E">
        <w:t xml:space="preserve"> long-term efficacy and safety data for upadacitinib in patients with ankylosing spondylitis (radiographic axial spondylitis, AS) including new data from a study with patients with AS who have had an inadequate response to biological (b)DMARDs.</w:t>
      </w:r>
    </w:p>
    <w:p w14:paraId="1E63A2AE" w14:textId="429E51AF" w:rsidR="00CB6813" w:rsidRDefault="003A0CCE" w:rsidP="005B7546">
      <w:pPr>
        <w:pStyle w:val="Heading3"/>
      </w:pPr>
      <w:bookmarkStart w:id="19" w:name="_Toc314842485"/>
      <w:bookmarkStart w:id="20" w:name="_Toc247691504"/>
      <w:bookmarkStart w:id="21" w:name="_Toc175736504"/>
      <w:r>
        <w:lastRenderedPageBreak/>
        <w:t>N</w:t>
      </w:r>
      <w:r w:rsidRPr="003A0CCE">
        <w:t>on-radiographic axial spondyloarthritis</w:t>
      </w:r>
      <w:bookmarkEnd w:id="21"/>
    </w:p>
    <w:p w14:paraId="0E82ADA2" w14:textId="68F1F7C9" w:rsidR="0000264E" w:rsidRPr="0000264E" w:rsidRDefault="0000264E" w:rsidP="0000264E">
      <w:r w:rsidRPr="0000264E">
        <w:t>Non-radiographic axial spondyloarthritis and AS are subtypes of the broader inflammatory arthropathy named axial spondyloarthritis (axSpA)</w:t>
      </w:r>
      <w:r>
        <w:rPr>
          <w:rStyle w:val="FootnoteReference"/>
        </w:rPr>
        <w:footnoteReference w:id="2"/>
      </w:r>
      <w:r w:rsidRPr="0000264E">
        <w:t xml:space="preserve">,  which typically presents as chronic back pain and progressive spinal stiffness before the age of 45 with peak onset between 20 and 30 years of age. Both follow a similar pathologic course but are distinguished, as implied by the naming convention, by the presence or absence of abnormalities on plain radiography that are consistent with sacroiliitis. While sacroiliitis may not be detected on plain radiography in nr-axSpA it is confirmed by evidence of inflammation on (MRI) in addition to at least one other clinical feature typical of axSpA or may be diagnosed if two or more typical clinical features of axSpA are present in the absence of conventional radiographic evidence (depending on the classification criteria applied). Patients with either form of axSpA may also develop peripheral articular features including enthesitis, synovitis and dactylitis, or extra-articular features including uveitis, psoriasis inflammatory bowel disease, heart, </w:t>
      </w:r>
      <w:proofErr w:type="gramStart"/>
      <w:r w:rsidRPr="0000264E">
        <w:t>lung</w:t>
      </w:r>
      <w:proofErr w:type="gramEnd"/>
      <w:r w:rsidRPr="0000264E">
        <w:t xml:space="preserve"> or renal complications.</w:t>
      </w:r>
    </w:p>
    <w:p w14:paraId="255E083A" w14:textId="77777777" w:rsidR="00CB6813" w:rsidRDefault="00CB6813" w:rsidP="005B7546">
      <w:pPr>
        <w:pStyle w:val="Heading3"/>
      </w:pPr>
      <w:bookmarkStart w:id="22" w:name="_Toc175736505"/>
      <w:r>
        <w:t>Current treatment options</w:t>
      </w:r>
      <w:bookmarkEnd w:id="22"/>
    </w:p>
    <w:p w14:paraId="4D802FCF" w14:textId="00CCF29C" w:rsidR="0000264E" w:rsidRDefault="0000264E" w:rsidP="0000264E">
      <w:r>
        <w:t xml:space="preserve">In both AS and nr-axSpA, the mainstay of treatment is lifestyle management (weight management, physical activity and physical therapy, smoking cessation, social integration) coupled with symptom relief. Regular monitoring to prevent complications, prevent or identify extraspinal and extraarticular manifestations early and minimize comorbidities is </w:t>
      </w:r>
      <w:proofErr w:type="gramStart"/>
      <w:r>
        <w:t>essential .</w:t>
      </w:r>
      <w:proofErr w:type="gramEnd"/>
    </w:p>
    <w:p w14:paraId="2FCA6A5A" w14:textId="57A0DE91" w:rsidR="0000264E" w:rsidRDefault="0000264E" w:rsidP="0000264E">
      <w:r>
        <w:t>Pharmacotherapy ranges from nonsteroidal anti-inflammatory drugs (NSAIDs) for mild symptoms and functional limitation, to bDMARDs and more recently, JAK inhibitors (currently</w:t>
      </w:r>
      <w:r w:rsidRPr="0000264E">
        <w:t xml:space="preserve"> </w:t>
      </w:r>
      <w:r>
        <w:t xml:space="preserve">only approved for AS). Conventional synthetic (cs)DMARDs (for example methotrexate (MTX), sulfasalazine (SSZ), and hydroxychloroquine (HCQ) are considered of little value to patients with exclusively axial symptoms. The preferred bDMARD for the treatment of axSpA may vary, depending on the presence and nature of other clinical manifestations of disease. </w:t>
      </w:r>
    </w:p>
    <w:p w14:paraId="035EB912" w14:textId="70B5EEDC" w:rsidR="0000264E" w:rsidRDefault="0000264E" w:rsidP="0000264E">
      <w:r>
        <w:t>Biological DMARDs currently registered in Australia with specific indications for active AS include the tumour necrosis factor (TNF) inhibitors adalimumab, etanercept, golimumab, infliximab, and certolizumab pegol (the last restricted to patients “who have been intolerant to or have had inadequate response to at least one nonsteroidal anti-inflammatory drug (NSAID)”), the interleukin (IL)-17i secukinumab, the IL-17Ai ixekizumab, and the IL-12/23i ustekinumab. Among targeted synthetic DMARDs only upadacitinib is currently registered in Australia for active AS in adults.</w:t>
      </w:r>
    </w:p>
    <w:p w14:paraId="63EE87C2" w14:textId="77777777" w:rsidR="0000264E" w:rsidRDefault="0000264E" w:rsidP="0000264E">
      <w:r>
        <w:t>Registered bDMARDs for active nr-axSpA include all those listed above except adalimumab, infliximab and ustekinumab. All of them share the same effective indication with minor editorial differences:</w:t>
      </w:r>
    </w:p>
    <w:p w14:paraId="50DAFB5C" w14:textId="3A33CD26" w:rsidR="0000264E" w:rsidRDefault="0000264E" w:rsidP="0000264E">
      <w:r>
        <w:t>For the treatment of adults with active non-radiographic axial spondyloarthritis (nr-axSpA) with objective signs of inflammation as indicated by elevated C-reactive protein (CRP) and /or MRI</w:t>
      </w:r>
      <w:r w:rsidR="003A0CCE">
        <w:t xml:space="preserve"> </w:t>
      </w:r>
      <w:r>
        <w:t>change, who have had an inadequate response to, or are intolerant to, nonsteroidal anti-inflammatory drugs (NSAIDs).</w:t>
      </w:r>
    </w:p>
    <w:p w14:paraId="4ED6722C" w14:textId="7BE9E91C" w:rsidR="0000264E" w:rsidRPr="0000264E" w:rsidRDefault="0000264E" w:rsidP="0000264E">
      <w:r>
        <w:t>To date, no JAKi has been registered in Australia for the treatment of nr-axSpA.</w:t>
      </w:r>
    </w:p>
    <w:p w14:paraId="37C47E09" w14:textId="14D3762D" w:rsidR="00CB6813" w:rsidRDefault="00CB6813" w:rsidP="005B7546">
      <w:pPr>
        <w:pStyle w:val="Heading3"/>
      </w:pPr>
      <w:bookmarkStart w:id="23" w:name="_Toc175736506"/>
      <w:r>
        <w:lastRenderedPageBreak/>
        <w:t>C</w:t>
      </w:r>
      <w:r w:rsidRPr="00DE1344">
        <w:t>linical rational</w:t>
      </w:r>
      <w:r w:rsidR="0025785B">
        <w:t>e</w:t>
      </w:r>
      <w:bookmarkEnd w:id="23"/>
    </w:p>
    <w:p w14:paraId="2EBE6231" w14:textId="3D53C7B2" w:rsidR="00935D90" w:rsidRPr="00935D90" w:rsidRDefault="00935D90" w:rsidP="00C62C51">
      <w:r>
        <w:t xml:space="preserve">Inhibition of JAK-mediated pathways is a promising approach for the treatment of patients with chronic inflammatory diseases such as AS. The JAK family is composed of 4 family members: JAK1, 2, 3, and Tyrosine kinase 2 (Tyk2). Activation of JAK pathways </w:t>
      </w:r>
      <w:proofErr w:type="gramStart"/>
      <w:r>
        <w:t>initiates</w:t>
      </w:r>
      <w:proofErr w:type="gramEnd"/>
      <w:r>
        <w:t xml:space="preserve"> expression of survival factors, cytokines, chemokines, and other molecules that facilitate leukocyte cellular trafficking and cell proliferation, which contribute to inflammatory and autoimmune disorders. Hence, the JAK family has evoked considerable interest </w:t>
      </w:r>
      <w:proofErr w:type="gramStart"/>
      <w:r>
        <w:t>in the area of</w:t>
      </w:r>
      <w:proofErr w:type="gramEnd"/>
      <w:r>
        <w:t xml:space="preserve"> inflammatory diseases, leading to the development of various JAK inhibitors with different selectivity profiles against JAK1, JAK2, JAK3, and Tyk2.</w:t>
      </w:r>
      <w:r w:rsidR="00C62C51">
        <w:t xml:space="preserve"> Consequently, Janus kinase inhibitors have been recognised in treatment guidelines as a potential treatment option for AS</w:t>
      </w:r>
      <w:r w:rsidR="00C62C51">
        <w:rPr>
          <w:rStyle w:val="FootnoteReference"/>
        </w:rPr>
        <w:footnoteReference w:id="3"/>
      </w:r>
    </w:p>
    <w:p w14:paraId="0D615854" w14:textId="77777777" w:rsidR="00324B33" w:rsidRPr="003F31A2" w:rsidRDefault="00324B33" w:rsidP="00324B33">
      <w:pPr>
        <w:pStyle w:val="Heading3"/>
      </w:pPr>
      <w:bookmarkStart w:id="24" w:name="_Toc103679291"/>
      <w:bookmarkStart w:id="25" w:name="_Toc175736507"/>
      <w:r>
        <w:t>Regulatory status</w:t>
      </w:r>
      <w:bookmarkEnd w:id="19"/>
      <w:bookmarkEnd w:id="20"/>
      <w:bookmarkEnd w:id="24"/>
      <w:bookmarkEnd w:id="25"/>
    </w:p>
    <w:p w14:paraId="72C889D6" w14:textId="7E200950" w:rsidR="0017005C" w:rsidRDefault="0017005C" w:rsidP="00741AB9">
      <w:pPr>
        <w:pStyle w:val="Heading4"/>
      </w:pPr>
      <w:bookmarkStart w:id="26" w:name="_Toc175736508"/>
      <w:r w:rsidRPr="00BD5DBD">
        <w:t>Australian regulatory</w:t>
      </w:r>
      <w:r>
        <w:t xml:space="preserve"> sta</w:t>
      </w:r>
      <w:r w:rsidR="0025785B">
        <w:t>t</w:t>
      </w:r>
      <w:r>
        <w:t>us</w:t>
      </w:r>
      <w:bookmarkEnd w:id="26"/>
    </w:p>
    <w:p w14:paraId="02B87C5B" w14:textId="78CCE4FD" w:rsidR="00EB7A72" w:rsidRDefault="00F63EFC" w:rsidP="00CF6A55">
      <w:pPr>
        <w:rPr>
          <w:szCs w:val="22"/>
        </w:rPr>
      </w:pPr>
      <w:r w:rsidRPr="00F63EFC">
        <w:rPr>
          <w:szCs w:val="22"/>
        </w:rPr>
        <w:t>Upadacitinib has a relatively short regulatory history in Australia. The 15mg formulation was first registered</w:t>
      </w:r>
      <w:r w:rsidR="00A6362E">
        <w:rPr>
          <w:szCs w:val="22"/>
        </w:rPr>
        <w:t xml:space="preserve"> </w:t>
      </w:r>
      <w:r>
        <w:rPr>
          <w:szCs w:val="22"/>
        </w:rPr>
        <w:t>on the</w:t>
      </w:r>
      <w:r w:rsidR="00CF6A55" w:rsidRPr="00BD5DBD">
        <w:rPr>
          <w:szCs w:val="22"/>
        </w:rPr>
        <w:t xml:space="preserve"> </w:t>
      </w:r>
      <w:hyperlink r:id="rId18" w:history="1">
        <w:r w:rsidR="00CF6A55" w:rsidRPr="00BD5DBD">
          <w:rPr>
            <w:rStyle w:val="Hyperlink"/>
            <w:szCs w:val="22"/>
          </w:rPr>
          <w:t>Australian Register of Therapeutic Goods</w:t>
        </w:r>
      </w:hyperlink>
      <w:r w:rsidR="00CF6A55" w:rsidRPr="00BD5DBD">
        <w:rPr>
          <w:szCs w:val="22"/>
        </w:rPr>
        <w:t xml:space="preserve"> (</w:t>
      </w:r>
      <w:hyperlink r:id="rId19" w:history="1">
        <w:r w:rsidR="00CF6A55" w:rsidRPr="00BD5DBD">
          <w:rPr>
            <w:rStyle w:val="Hyperlink"/>
            <w:szCs w:val="22"/>
          </w:rPr>
          <w:t>ARTG</w:t>
        </w:r>
      </w:hyperlink>
      <w:r w:rsidR="00CF6A55" w:rsidRPr="00BD5DBD">
        <w:rPr>
          <w:szCs w:val="22"/>
        </w:rPr>
        <w:t>) on</w:t>
      </w:r>
      <w:r w:rsidR="00C62C51">
        <w:rPr>
          <w:szCs w:val="22"/>
        </w:rPr>
        <w:t xml:space="preserve"> 17 January 2020</w:t>
      </w:r>
      <w:r w:rsidR="00C62C51">
        <w:rPr>
          <w:rStyle w:val="FootnoteReference"/>
          <w:szCs w:val="22"/>
        </w:rPr>
        <w:footnoteReference w:id="4"/>
      </w:r>
      <w:r>
        <w:rPr>
          <w:szCs w:val="22"/>
        </w:rPr>
        <w:t xml:space="preserve"> </w:t>
      </w:r>
      <w:r w:rsidRPr="00F63EFC">
        <w:rPr>
          <w:szCs w:val="22"/>
        </w:rPr>
        <w:t>for the treatment of active rheumatoid arthritis in adults</w:t>
      </w:r>
      <w:r>
        <w:rPr>
          <w:szCs w:val="22"/>
        </w:rPr>
        <w:t>:</w:t>
      </w:r>
    </w:p>
    <w:p w14:paraId="52035D29" w14:textId="6CBE31F0" w:rsidR="00C62C51" w:rsidRDefault="00B87A0D" w:rsidP="00C62C51">
      <w:pPr>
        <w:pStyle w:val="ListParagraph"/>
        <w:numPr>
          <w:ilvl w:val="0"/>
          <w:numId w:val="0"/>
        </w:numPr>
        <w:ind w:left="720"/>
      </w:pPr>
      <w:r>
        <w:t>Rinvoq</w:t>
      </w:r>
      <w:r w:rsidR="00C62C51" w:rsidRPr="00C62C51">
        <w:t xml:space="preserve"> is indicated for the treatment of moderate to severe active rheumatoid arthritis in adult patients who have responded inadequately to, or who are intolerant to, one or more disease-modifying anti-rheumatic drugs (DMARDs</w:t>
      </w:r>
      <w:proofErr w:type="gramStart"/>
      <w:r w:rsidR="00C62C51" w:rsidRPr="00C62C51">
        <w:t>).</w:t>
      </w:r>
      <w:r>
        <w:t>Rinvoq</w:t>
      </w:r>
      <w:proofErr w:type="gramEnd"/>
      <w:r w:rsidR="00C62C51" w:rsidRPr="00C62C51">
        <w:t xml:space="preserve"> may be used as monotherapy or in combination with methotrexate or other conventional synthetic disease-modifying anti-rheumatic drugs (csDMARDs).</w:t>
      </w:r>
    </w:p>
    <w:p w14:paraId="5AC152C0" w14:textId="765F17DA" w:rsidR="00C62C51" w:rsidRDefault="00F63EFC" w:rsidP="00F63EFC">
      <w:r w:rsidRPr="00F63EFC">
        <w:t>Extensions of indications were approved in May 202</w:t>
      </w:r>
      <w:r w:rsidR="001506BE">
        <w:t>1</w:t>
      </w:r>
      <w:r w:rsidRPr="00F63EFC">
        <w:t xml:space="preserve"> for the treatment of psoriatic arthritis in adults and for the treatment of AS in adults and in </w:t>
      </w:r>
      <w:r w:rsidR="001506BE">
        <w:t>September</w:t>
      </w:r>
      <w:r w:rsidR="001506BE" w:rsidRPr="00F63EFC">
        <w:t xml:space="preserve"> </w:t>
      </w:r>
      <w:r w:rsidRPr="00F63EFC">
        <w:t>202</w:t>
      </w:r>
      <w:r w:rsidR="001506BE">
        <w:t>1</w:t>
      </w:r>
      <w:r w:rsidRPr="00F63EFC">
        <w:t xml:space="preserve"> a 30mg formulation was approved with an extension of indication to the treatment of atopic dermatitis in adults and adolescents aged 12 years and older. In September 2022, a 45mg formulation was approved with an extension of indication to the treatment of ulcerative colitis in adults</w:t>
      </w:r>
      <w:r>
        <w:t>. The full indications are:</w:t>
      </w:r>
    </w:p>
    <w:p w14:paraId="0755A267" w14:textId="77777777" w:rsidR="00F63EFC" w:rsidRPr="00D42A43" w:rsidRDefault="00F63EFC" w:rsidP="00D42A43">
      <w:pPr>
        <w:ind w:left="720"/>
        <w:rPr>
          <w:b/>
          <w:bCs/>
          <w:i/>
          <w:iCs/>
        </w:rPr>
      </w:pPr>
      <w:r w:rsidRPr="00D42A43">
        <w:rPr>
          <w:b/>
          <w:bCs/>
          <w:i/>
          <w:iCs/>
        </w:rPr>
        <w:t>Crohn’s Disease</w:t>
      </w:r>
    </w:p>
    <w:p w14:paraId="7B43F4CC" w14:textId="1A9E0740" w:rsidR="00F63EFC" w:rsidRPr="00D42A43" w:rsidRDefault="00B87A0D" w:rsidP="00D42A43">
      <w:pPr>
        <w:ind w:left="720"/>
        <w:rPr>
          <w:rFonts w:ascii="Cambria-Italic" w:hAnsi="Cambria-Italic" w:cs="Cambria-Italic"/>
          <w:i/>
          <w:iCs/>
        </w:rPr>
      </w:pPr>
      <w:r w:rsidRPr="00D42A43">
        <w:rPr>
          <w:rFonts w:ascii="Cambria-Italic" w:hAnsi="Cambria-Italic" w:cs="Cambria-Italic"/>
          <w:i/>
          <w:iCs/>
        </w:rPr>
        <w:t>Rinvoq</w:t>
      </w:r>
      <w:r w:rsidR="00F63EFC" w:rsidRPr="00D42A43">
        <w:rPr>
          <w:rFonts w:ascii="Cambria-Italic" w:hAnsi="Cambria-Italic" w:cs="Cambria-Italic"/>
          <w:i/>
          <w:iCs/>
        </w:rPr>
        <w:t xml:space="preserve"> is indicated for the treatment of adult patients with moderately to severely</w:t>
      </w:r>
    </w:p>
    <w:p w14:paraId="79133CD4" w14:textId="77777777" w:rsidR="00F63EFC" w:rsidRPr="00D42A43" w:rsidRDefault="00F63EFC" w:rsidP="00D42A43">
      <w:pPr>
        <w:ind w:left="720"/>
        <w:rPr>
          <w:rFonts w:ascii="Cambria-Italic" w:hAnsi="Cambria-Italic" w:cs="Cambria-Italic"/>
          <w:i/>
          <w:iCs/>
        </w:rPr>
      </w:pPr>
      <w:r w:rsidRPr="00D42A43">
        <w:rPr>
          <w:rFonts w:ascii="Cambria-Italic" w:hAnsi="Cambria-Italic" w:cs="Cambria-Italic"/>
          <w:i/>
          <w:iCs/>
        </w:rPr>
        <w:t>active Crohn’s disease, who have had an inadequate response, lost response or were</w:t>
      </w:r>
    </w:p>
    <w:p w14:paraId="721181A1" w14:textId="77777777" w:rsidR="00F63EFC" w:rsidRPr="00D42A43" w:rsidRDefault="00F63EFC" w:rsidP="00D42A43">
      <w:pPr>
        <w:ind w:left="720"/>
        <w:rPr>
          <w:rFonts w:ascii="Cambria-Italic" w:hAnsi="Cambria-Italic" w:cs="Cambria-Italic"/>
          <w:i/>
          <w:iCs/>
        </w:rPr>
      </w:pPr>
      <w:r w:rsidRPr="00D42A43">
        <w:rPr>
          <w:rFonts w:ascii="Cambria-Italic" w:hAnsi="Cambria-Italic" w:cs="Cambria-Italic"/>
          <w:i/>
          <w:iCs/>
        </w:rPr>
        <w:t>intolerant to either conventional therapy or a biological medicine.</w:t>
      </w:r>
    </w:p>
    <w:p w14:paraId="356AC088" w14:textId="3CCF075A" w:rsidR="00F63EFC" w:rsidRPr="00D42A43" w:rsidRDefault="00F63EFC" w:rsidP="00D42A43">
      <w:pPr>
        <w:ind w:left="720"/>
        <w:rPr>
          <w:b/>
          <w:bCs/>
          <w:i/>
          <w:iCs/>
        </w:rPr>
      </w:pPr>
      <w:r w:rsidRPr="00D42A43">
        <w:rPr>
          <w:b/>
          <w:bCs/>
          <w:i/>
          <w:iCs/>
        </w:rPr>
        <w:t>Rheumatoid Arthritis</w:t>
      </w:r>
    </w:p>
    <w:p w14:paraId="5B68F147" w14:textId="0E2B1356" w:rsidR="00F63EFC" w:rsidRPr="00D42A43" w:rsidRDefault="00B87A0D" w:rsidP="00D42A43">
      <w:pPr>
        <w:ind w:left="720"/>
        <w:rPr>
          <w:rFonts w:ascii="Cambria-Italic" w:hAnsi="Cambria-Italic" w:cs="Cambria-Italic"/>
          <w:i/>
          <w:iCs/>
        </w:rPr>
      </w:pPr>
      <w:r w:rsidRPr="00D42A43">
        <w:rPr>
          <w:rFonts w:ascii="Cambria-Italic" w:hAnsi="Cambria-Italic" w:cs="Cambria-Italic"/>
          <w:i/>
          <w:iCs/>
        </w:rPr>
        <w:t>Rinvoq</w:t>
      </w:r>
      <w:r w:rsidR="00F63EFC" w:rsidRPr="00D42A43">
        <w:rPr>
          <w:rFonts w:ascii="Cambria-Italic" w:hAnsi="Cambria-Italic" w:cs="Cambria-Italic"/>
          <w:i/>
          <w:iCs/>
        </w:rPr>
        <w:t xml:space="preserve"> is indicated for the treatment of moderate to severe active rheumatoid arthritis</w:t>
      </w:r>
    </w:p>
    <w:p w14:paraId="63FD22C2" w14:textId="77777777" w:rsidR="00F63EFC" w:rsidRPr="00D42A43" w:rsidRDefault="00F63EFC" w:rsidP="00D42A43">
      <w:pPr>
        <w:ind w:left="720"/>
        <w:rPr>
          <w:rFonts w:ascii="Cambria-Italic" w:hAnsi="Cambria-Italic" w:cs="Cambria-Italic"/>
          <w:i/>
          <w:iCs/>
        </w:rPr>
      </w:pPr>
      <w:r w:rsidRPr="00D42A43">
        <w:rPr>
          <w:rFonts w:ascii="Cambria-Italic" w:hAnsi="Cambria-Italic" w:cs="Cambria-Italic"/>
          <w:i/>
          <w:iCs/>
        </w:rPr>
        <w:t>in adult patients who have responded inadequately to, or who are intolerant to, one or</w:t>
      </w:r>
    </w:p>
    <w:p w14:paraId="012B50E2" w14:textId="77777777" w:rsidR="00F63EFC" w:rsidRPr="00D42A43" w:rsidRDefault="00F63EFC" w:rsidP="00D42A43">
      <w:pPr>
        <w:ind w:left="720"/>
        <w:rPr>
          <w:rFonts w:ascii="Cambria-Italic" w:hAnsi="Cambria-Italic" w:cs="Cambria-Italic"/>
          <w:i/>
          <w:iCs/>
        </w:rPr>
      </w:pPr>
      <w:r w:rsidRPr="00D42A43">
        <w:rPr>
          <w:rFonts w:ascii="Cambria-Italic" w:hAnsi="Cambria-Italic" w:cs="Cambria-Italic"/>
          <w:i/>
          <w:iCs/>
        </w:rPr>
        <w:t>more disease-modifying anti-rheumatic drugs (DMARDs).</w:t>
      </w:r>
    </w:p>
    <w:p w14:paraId="75CAB0DC" w14:textId="5B5F98B1" w:rsidR="00F63EFC" w:rsidRPr="00D42A43" w:rsidRDefault="00B87A0D" w:rsidP="00D42A43">
      <w:pPr>
        <w:ind w:left="720"/>
        <w:rPr>
          <w:rFonts w:ascii="Cambria-Italic" w:hAnsi="Cambria-Italic" w:cs="Cambria-Italic"/>
          <w:i/>
          <w:iCs/>
        </w:rPr>
      </w:pPr>
      <w:r w:rsidRPr="00D42A43">
        <w:rPr>
          <w:rFonts w:ascii="Cambria-Italic" w:hAnsi="Cambria-Italic" w:cs="Cambria-Italic"/>
          <w:i/>
          <w:iCs/>
        </w:rPr>
        <w:t>Rinvoq</w:t>
      </w:r>
      <w:r w:rsidR="00F63EFC" w:rsidRPr="00D42A43">
        <w:rPr>
          <w:rFonts w:ascii="Cambria-Italic" w:hAnsi="Cambria-Italic" w:cs="Cambria-Italic"/>
          <w:i/>
          <w:iCs/>
        </w:rPr>
        <w:t xml:space="preserve"> may be used as monotherapy or in combination with methotrexate or other</w:t>
      </w:r>
    </w:p>
    <w:p w14:paraId="086C7C0B" w14:textId="7BEFE20E" w:rsidR="00C62C51" w:rsidRPr="00D42A43" w:rsidRDefault="00F63EFC" w:rsidP="00D42A43">
      <w:pPr>
        <w:ind w:left="720"/>
        <w:rPr>
          <w:rFonts w:ascii="Cambria-Italic" w:hAnsi="Cambria-Italic" w:cs="Cambria-Italic"/>
          <w:i/>
          <w:iCs/>
        </w:rPr>
      </w:pPr>
      <w:r w:rsidRPr="00D42A43">
        <w:rPr>
          <w:rFonts w:ascii="Cambria-Italic" w:hAnsi="Cambria-Italic" w:cs="Cambria-Italic"/>
          <w:i/>
          <w:iCs/>
        </w:rPr>
        <w:t>conventional synthetic disease-modifying anti-rheumatic drugs (csDMARDs).</w:t>
      </w:r>
    </w:p>
    <w:p w14:paraId="2268EC9D" w14:textId="77777777" w:rsidR="00F63EFC" w:rsidRPr="00D42A43" w:rsidRDefault="00F63EFC" w:rsidP="00D42A43">
      <w:pPr>
        <w:ind w:left="720"/>
        <w:rPr>
          <w:b/>
          <w:bCs/>
          <w:i/>
          <w:iCs/>
        </w:rPr>
      </w:pPr>
      <w:r w:rsidRPr="00D42A43">
        <w:rPr>
          <w:b/>
          <w:bCs/>
          <w:i/>
          <w:iCs/>
        </w:rPr>
        <w:lastRenderedPageBreak/>
        <w:t>Psoriatic Arthritis</w:t>
      </w:r>
    </w:p>
    <w:p w14:paraId="2E49F7B6" w14:textId="0DE2E0D8" w:rsidR="00F63EFC" w:rsidRPr="00D42A43" w:rsidRDefault="00B87A0D" w:rsidP="00D42A43">
      <w:pPr>
        <w:ind w:left="720"/>
        <w:rPr>
          <w:rFonts w:ascii="Cambria-Italic" w:hAnsi="Cambria-Italic" w:cs="Cambria-Italic"/>
          <w:i/>
          <w:iCs/>
        </w:rPr>
      </w:pPr>
      <w:r w:rsidRPr="00D42A43">
        <w:rPr>
          <w:rFonts w:ascii="Cambria-Italic" w:hAnsi="Cambria-Italic" w:cs="Cambria-Italic"/>
          <w:i/>
          <w:iCs/>
        </w:rPr>
        <w:t>Rinvoq</w:t>
      </w:r>
      <w:r w:rsidR="00F63EFC" w:rsidRPr="00D42A43">
        <w:rPr>
          <w:rFonts w:ascii="Cambria-Italic" w:hAnsi="Cambria-Italic" w:cs="Cambria-Italic"/>
          <w:i/>
          <w:iCs/>
        </w:rPr>
        <w:t xml:space="preserve"> is indicated for the treatment of moderate to severe active psoriatic arthritis in</w:t>
      </w:r>
    </w:p>
    <w:p w14:paraId="66B0CF31" w14:textId="77777777" w:rsidR="00F63EFC" w:rsidRDefault="00F63EFC" w:rsidP="00D42A43">
      <w:pPr>
        <w:ind w:left="720"/>
        <w:rPr>
          <w:rFonts w:ascii="Cambria-Italic" w:hAnsi="Cambria-Italic" w:cs="Cambria-Italic"/>
        </w:rPr>
      </w:pPr>
      <w:r w:rsidRPr="00D42A43">
        <w:rPr>
          <w:rFonts w:ascii="Cambria-Italic" w:hAnsi="Cambria-Italic" w:cs="Cambria-Italic"/>
          <w:i/>
          <w:iCs/>
        </w:rPr>
        <w:t>adult patients who have responded inadequately to, or are intolerant to one or more</w:t>
      </w:r>
    </w:p>
    <w:p w14:paraId="28096EFB" w14:textId="77777777" w:rsidR="00F63EFC" w:rsidRDefault="00F63EFC" w:rsidP="00D42A43">
      <w:pPr>
        <w:rPr>
          <w:rFonts w:ascii="Cambria-Italic" w:hAnsi="Cambria-Italic" w:cs="Cambria-Italic"/>
        </w:rPr>
      </w:pPr>
      <w:r>
        <w:rPr>
          <w:rFonts w:ascii="Cambria-Italic" w:hAnsi="Cambria-Italic" w:cs="Cambria-Italic"/>
        </w:rPr>
        <w:t>DMARDs.</w:t>
      </w:r>
    </w:p>
    <w:p w14:paraId="0CF36768" w14:textId="30C36C28" w:rsidR="00F63EFC" w:rsidRPr="00D42A43" w:rsidRDefault="00B87A0D" w:rsidP="00D42A43">
      <w:pPr>
        <w:ind w:left="720"/>
        <w:rPr>
          <w:i/>
          <w:iCs/>
        </w:rPr>
      </w:pPr>
      <w:r w:rsidRPr="00D42A43">
        <w:rPr>
          <w:i/>
          <w:iCs/>
        </w:rPr>
        <w:t>Rinvoq</w:t>
      </w:r>
      <w:r w:rsidR="00F63EFC" w:rsidRPr="00D42A43">
        <w:rPr>
          <w:i/>
          <w:iCs/>
        </w:rPr>
        <w:t xml:space="preserve"> may be used as monotherapy or in combination with a non-biological DMARD.</w:t>
      </w:r>
    </w:p>
    <w:p w14:paraId="70D2BA8C" w14:textId="77777777" w:rsidR="00F63EFC" w:rsidRPr="00D42A43" w:rsidRDefault="00F63EFC" w:rsidP="00D42A43">
      <w:pPr>
        <w:ind w:left="720"/>
        <w:rPr>
          <w:rFonts w:ascii="Cambria-BoldItalic" w:hAnsi="Cambria-BoldItalic" w:cs="Cambria-BoldItalic"/>
          <w:b/>
          <w:bCs/>
          <w:i/>
          <w:iCs/>
        </w:rPr>
      </w:pPr>
      <w:r w:rsidRPr="00D42A43">
        <w:rPr>
          <w:rFonts w:ascii="Cambria-BoldItalic" w:hAnsi="Cambria-BoldItalic" w:cs="Cambria-BoldItalic"/>
          <w:b/>
          <w:bCs/>
          <w:i/>
          <w:iCs/>
        </w:rPr>
        <w:t xml:space="preserve">Non-radiographic Axial </w:t>
      </w:r>
      <w:proofErr w:type="spellStart"/>
      <w:r w:rsidRPr="00D42A43">
        <w:rPr>
          <w:rFonts w:ascii="Cambria-BoldItalic" w:hAnsi="Cambria-BoldItalic" w:cs="Cambria-BoldItalic"/>
          <w:b/>
          <w:bCs/>
          <w:i/>
          <w:iCs/>
        </w:rPr>
        <w:t>Spondyloarthritis</w:t>
      </w:r>
      <w:proofErr w:type="spellEnd"/>
    </w:p>
    <w:p w14:paraId="5F4B8EC9" w14:textId="60D35652" w:rsidR="00F63EFC" w:rsidRPr="00D42A43" w:rsidRDefault="00B87A0D" w:rsidP="00D42A43">
      <w:pPr>
        <w:ind w:left="720"/>
        <w:rPr>
          <w:i/>
          <w:iCs/>
        </w:rPr>
      </w:pPr>
      <w:r w:rsidRPr="00D42A43">
        <w:rPr>
          <w:i/>
          <w:iCs/>
        </w:rPr>
        <w:t>Rinvoq</w:t>
      </w:r>
      <w:r w:rsidR="00F63EFC" w:rsidRPr="00D42A43">
        <w:rPr>
          <w:i/>
          <w:iCs/>
        </w:rPr>
        <w:t xml:space="preserve"> is indicated for the treatment of adults with active non-radiographic axial</w:t>
      </w:r>
    </w:p>
    <w:p w14:paraId="70B18DA8" w14:textId="0E996151" w:rsidR="00F63EFC" w:rsidRPr="00D42A43" w:rsidRDefault="00F63EFC" w:rsidP="00D42A43">
      <w:pPr>
        <w:ind w:left="720"/>
        <w:rPr>
          <w:i/>
          <w:iCs/>
        </w:rPr>
      </w:pPr>
      <w:r w:rsidRPr="00D42A43">
        <w:rPr>
          <w:i/>
          <w:iCs/>
        </w:rPr>
        <w:t>spondyloarthritis with objective signs of inflammation as indicated by elevated C</w:t>
      </w:r>
      <w:r w:rsidR="00B87A0D" w:rsidRPr="00D42A43">
        <w:rPr>
          <w:i/>
          <w:iCs/>
        </w:rPr>
        <w:t>-</w:t>
      </w:r>
      <w:r w:rsidRPr="00D42A43">
        <w:rPr>
          <w:i/>
          <w:iCs/>
        </w:rPr>
        <w:t>reactive</w:t>
      </w:r>
    </w:p>
    <w:p w14:paraId="1BD5A266" w14:textId="181752FA" w:rsidR="00F63EFC" w:rsidRPr="00D42A43" w:rsidRDefault="00F63EFC" w:rsidP="00D42A43">
      <w:pPr>
        <w:ind w:left="720"/>
        <w:rPr>
          <w:i/>
          <w:iCs/>
        </w:rPr>
      </w:pPr>
      <w:r w:rsidRPr="00D42A43">
        <w:rPr>
          <w:i/>
          <w:iCs/>
        </w:rPr>
        <w:t>protein (CRP) and/or magnetic resonance imaging (MRI) change, who have responded inadequately to, or are intolerant to nonsteroidal anti-inflammatory drugs (NSAIDs).</w:t>
      </w:r>
    </w:p>
    <w:p w14:paraId="6DC3D22F" w14:textId="77777777" w:rsidR="00F63EFC" w:rsidRPr="00D42A43" w:rsidRDefault="00F63EFC" w:rsidP="00D42A43">
      <w:pPr>
        <w:ind w:left="720"/>
        <w:rPr>
          <w:rFonts w:ascii="Cambria-BoldItalic" w:hAnsi="Cambria-BoldItalic" w:cs="Cambria-BoldItalic"/>
          <w:b/>
          <w:bCs/>
          <w:i/>
          <w:iCs/>
        </w:rPr>
      </w:pPr>
      <w:r w:rsidRPr="00D42A43">
        <w:rPr>
          <w:rFonts w:ascii="Cambria-BoldItalic" w:hAnsi="Cambria-BoldItalic" w:cs="Cambria-BoldItalic"/>
          <w:b/>
          <w:bCs/>
          <w:i/>
          <w:iCs/>
        </w:rPr>
        <w:t>Ankylosing Spondylitis</w:t>
      </w:r>
    </w:p>
    <w:p w14:paraId="0C633895" w14:textId="3922F4DD" w:rsidR="00F63EFC" w:rsidRPr="00D42A43" w:rsidRDefault="00B87A0D" w:rsidP="00D42A43">
      <w:pPr>
        <w:ind w:left="720"/>
        <w:rPr>
          <w:i/>
          <w:iCs/>
        </w:rPr>
      </w:pPr>
      <w:r w:rsidRPr="00D42A43">
        <w:rPr>
          <w:i/>
          <w:iCs/>
        </w:rPr>
        <w:t>Rinvoq</w:t>
      </w:r>
      <w:r w:rsidR="00F63EFC" w:rsidRPr="00D42A43">
        <w:rPr>
          <w:i/>
          <w:iCs/>
        </w:rPr>
        <w:t xml:space="preserve"> is indicated for the treatment of adults with active ankylosing spondylitis.</w:t>
      </w:r>
    </w:p>
    <w:p w14:paraId="557E67FF" w14:textId="77777777" w:rsidR="00F63EFC" w:rsidRPr="00D42A43" w:rsidRDefault="00F63EFC" w:rsidP="00D42A43">
      <w:pPr>
        <w:ind w:left="720"/>
        <w:rPr>
          <w:rFonts w:ascii="Cambria-BoldItalic" w:hAnsi="Cambria-BoldItalic" w:cs="Cambria-BoldItalic"/>
          <w:b/>
          <w:bCs/>
          <w:i/>
          <w:iCs/>
        </w:rPr>
      </w:pPr>
      <w:r w:rsidRPr="00D42A43">
        <w:rPr>
          <w:rFonts w:ascii="Cambria-BoldItalic" w:hAnsi="Cambria-BoldItalic" w:cs="Cambria-BoldItalic"/>
          <w:b/>
          <w:bCs/>
          <w:i/>
          <w:iCs/>
        </w:rPr>
        <w:t>Atopic Dermatitis</w:t>
      </w:r>
    </w:p>
    <w:p w14:paraId="6D68807E" w14:textId="0E5337F3" w:rsidR="00F63EFC" w:rsidRPr="00D42A43" w:rsidRDefault="00B87A0D" w:rsidP="00D42A43">
      <w:pPr>
        <w:ind w:left="720"/>
        <w:rPr>
          <w:i/>
          <w:iCs/>
        </w:rPr>
      </w:pPr>
      <w:r w:rsidRPr="00D42A43">
        <w:rPr>
          <w:i/>
          <w:iCs/>
        </w:rPr>
        <w:t>Rinvoq</w:t>
      </w:r>
      <w:r w:rsidR="00F63EFC" w:rsidRPr="00D42A43">
        <w:rPr>
          <w:i/>
          <w:iCs/>
        </w:rPr>
        <w:t xml:space="preserve"> is indicated for use in adults and adolescents aged 12 years and above who</w:t>
      </w:r>
    </w:p>
    <w:p w14:paraId="5D166053" w14:textId="77777777" w:rsidR="00F63EFC" w:rsidRPr="00D42A43" w:rsidRDefault="00F63EFC" w:rsidP="00D42A43">
      <w:pPr>
        <w:ind w:left="720"/>
        <w:rPr>
          <w:i/>
          <w:iCs/>
        </w:rPr>
      </w:pPr>
      <w:r w:rsidRPr="00D42A43">
        <w:rPr>
          <w:i/>
          <w:iCs/>
        </w:rPr>
        <w:t>weigh at least 40 kg, for the treatment of moderate to severe atopic dermatitis which is</w:t>
      </w:r>
    </w:p>
    <w:p w14:paraId="3E7A486A" w14:textId="77777777" w:rsidR="00F63EFC" w:rsidRPr="00D42A43" w:rsidRDefault="00F63EFC" w:rsidP="00D42A43">
      <w:pPr>
        <w:ind w:left="720"/>
        <w:rPr>
          <w:i/>
          <w:iCs/>
        </w:rPr>
      </w:pPr>
      <w:r w:rsidRPr="00D42A43">
        <w:rPr>
          <w:i/>
          <w:iCs/>
        </w:rPr>
        <w:t>inadequately controlled with active topical pharmacotherapies and for whom systemic</w:t>
      </w:r>
    </w:p>
    <w:p w14:paraId="7438D270" w14:textId="77777777" w:rsidR="00F63EFC" w:rsidRPr="00D42A43" w:rsidRDefault="00F63EFC" w:rsidP="00D42A43">
      <w:pPr>
        <w:ind w:left="720"/>
        <w:rPr>
          <w:i/>
          <w:iCs/>
        </w:rPr>
      </w:pPr>
      <w:r w:rsidRPr="00D42A43">
        <w:rPr>
          <w:i/>
          <w:iCs/>
        </w:rPr>
        <w:t>therapy is indicated.</w:t>
      </w:r>
    </w:p>
    <w:p w14:paraId="42EDFAEA" w14:textId="77777777" w:rsidR="00F63EFC" w:rsidRPr="00D42A43" w:rsidRDefault="00F63EFC" w:rsidP="00D42A43">
      <w:pPr>
        <w:ind w:left="720"/>
        <w:rPr>
          <w:rFonts w:ascii="Cambria-BoldItalic" w:hAnsi="Cambria-BoldItalic" w:cs="Cambria-BoldItalic"/>
          <w:b/>
          <w:bCs/>
          <w:i/>
          <w:iCs/>
        </w:rPr>
      </w:pPr>
      <w:r w:rsidRPr="00D42A43">
        <w:rPr>
          <w:rFonts w:ascii="Cambria-BoldItalic" w:hAnsi="Cambria-BoldItalic" w:cs="Cambria-BoldItalic"/>
          <w:b/>
          <w:bCs/>
          <w:i/>
          <w:iCs/>
        </w:rPr>
        <w:t>Ulcerative Colitis</w:t>
      </w:r>
    </w:p>
    <w:p w14:paraId="3EBFAFF6" w14:textId="01D28CAA" w:rsidR="00F63EFC" w:rsidRPr="00D42A43" w:rsidRDefault="00B87A0D" w:rsidP="00D42A43">
      <w:pPr>
        <w:ind w:left="720"/>
        <w:rPr>
          <w:i/>
          <w:iCs/>
        </w:rPr>
      </w:pPr>
      <w:r w:rsidRPr="00D42A43">
        <w:rPr>
          <w:i/>
          <w:iCs/>
        </w:rPr>
        <w:t>Rinvoq</w:t>
      </w:r>
      <w:r w:rsidR="00F63EFC" w:rsidRPr="00D42A43">
        <w:rPr>
          <w:i/>
          <w:iCs/>
        </w:rPr>
        <w:t xml:space="preserve"> is indicated for the treatment of adult patients with moderately to severely</w:t>
      </w:r>
    </w:p>
    <w:p w14:paraId="5ACE38BF" w14:textId="77777777" w:rsidR="00F63EFC" w:rsidRPr="00D42A43" w:rsidRDefault="00F63EFC" w:rsidP="00D42A43">
      <w:pPr>
        <w:ind w:left="720"/>
        <w:rPr>
          <w:i/>
          <w:iCs/>
        </w:rPr>
      </w:pPr>
      <w:r w:rsidRPr="00D42A43">
        <w:rPr>
          <w:i/>
          <w:iCs/>
        </w:rPr>
        <w:t>active ulcerative colitis, who have had an inadequate response, lost response or were</w:t>
      </w:r>
    </w:p>
    <w:p w14:paraId="13F02435" w14:textId="3463E30F" w:rsidR="00F63EFC" w:rsidRPr="00D42A43" w:rsidRDefault="00F63EFC" w:rsidP="00D42A43">
      <w:pPr>
        <w:ind w:left="720"/>
        <w:rPr>
          <w:i/>
          <w:iCs/>
        </w:rPr>
      </w:pPr>
      <w:r w:rsidRPr="00D42A43">
        <w:rPr>
          <w:i/>
          <w:iCs/>
        </w:rPr>
        <w:t>intolerant to either conventional therapy or a biological medicine.</w:t>
      </w:r>
    </w:p>
    <w:p w14:paraId="546C1031" w14:textId="13AEC93A" w:rsidR="0017005C" w:rsidRDefault="0009070F" w:rsidP="0017005C">
      <w:pPr>
        <w:pStyle w:val="Heading4"/>
      </w:pPr>
      <w:bookmarkStart w:id="27" w:name="_Toc175736509"/>
      <w:r>
        <w:t>International</w:t>
      </w:r>
      <w:r w:rsidR="0017005C" w:rsidRPr="00BD5DBD">
        <w:t xml:space="preserve"> regulatory</w:t>
      </w:r>
      <w:r w:rsidR="0017005C">
        <w:t xml:space="preserve"> status</w:t>
      </w:r>
      <w:bookmarkEnd w:id="27"/>
    </w:p>
    <w:p w14:paraId="450F83E6" w14:textId="05CDF66B" w:rsidR="00EB7A72" w:rsidRPr="00EB7A72" w:rsidRDefault="00EB7A72" w:rsidP="00EB7A72">
      <w:pPr>
        <w:spacing w:before="180" w:after="180" w:line="240" w:lineRule="atLeast"/>
        <w:rPr>
          <w:rFonts w:eastAsia="Cambria" w:cs="Times New Roman"/>
          <w:szCs w:val="22"/>
        </w:rPr>
      </w:pPr>
      <w:r w:rsidRPr="00EB7A72">
        <w:rPr>
          <w:rFonts w:eastAsia="Cambria" w:cs="Times New Roman"/>
          <w:szCs w:val="22"/>
          <w:lang w:val="en-US"/>
        </w:rPr>
        <w:t xml:space="preserve">Upadacitinib for the treatment of nr-axSpA </w:t>
      </w:r>
      <w:r w:rsidR="00B85E04">
        <w:rPr>
          <w:rFonts w:eastAsia="Cambria" w:cs="Times New Roman"/>
          <w:szCs w:val="22"/>
          <w:lang w:val="en-US"/>
        </w:rPr>
        <w:t>has been approved</w:t>
      </w:r>
      <w:r w:rsidRPr="00EB7A72">
        <w:rPr>
          <w:rFonts w:eastAsia="Cambria" w:cs="Times New Roman"/>
          <w:szCs w:val="22"/>
          <w:lang w:val="en-US"/>
        </w:rPr>
        <w:t xml:space="preserve"> by the FDA</w:t>
      </w:r>
      <w:r w:rsidR="00B85E04">
        <w:rPr>
          <w:rFonts w:eastAsia="Cambria" w:cs="Times New Roman"/>
          <w:szCs w:val="22"/>
          <w:lang w:val="en-US"/>
        </w:rPr>
        <w:t xml:space="preserve"> </w:t>
      </w:r>
      <w:r w:rsidR="007E6710">
        <w:rPr>
          <w:rFonts w:eastAsia="Cambria" w:cs="Times New Roman"/>
          <w:szCs w:val="22"/>
          <w:lang w:val="en-US"/>
        </w:rPr>
        <w:t>i</w:t>
      </w:r>
      <w:r w:rsidR="00B85E04">
        <w:rPr>
          <w:rFonts w:eastAsia="Cambria" w:cs="Times New Roman"/>
          <w:szCs w:val="22"/>
          <w:lang w:val="en-US"/>
        </w:rPr>
        <w:t>n October 2022</w:t>
      </w:r>
      <w:r w:rsidRPr="00EB7A72">
        <w:rPr>
          <w:rFonts w:eastAsia="Cambria" w:cs="Times New Roman"/>
          <w:szCs w:val="22"/>
          <w:lang w:val="en-US"/>
        </w:rPr>
        <w:t>. Currently approved indications for UPA in the US have been restricted to second-line therapy after “</w:t>
      </w:r>
      <w:r w:rsidRPr="00EB7A72">
        <w:rPr>
          <w:rFonts w:eastAsia="Cambria" w:cs="Times New Roman"/>
          <w:i/>
          <w:iCs/>
          <w:szCs w:val="22"/>
          <w:lang w:val="en-US"/>
        </w:rPr>
        <w:t>inadequate response to one or more TNF blockers.”</w:t>
      </w:r>
      <w:r w:rsidRPr="00EB7A72">
        <w:rPr>
          <w:rFonts w:eastAsia="Cambria" w:cs="Times New Roman"/>
          <w:i/>
          <w:iCs/>
          <w:szCs w:val="22"/>
          <w:vertAlign w:val="superscript"/>
          <w:lang w:val="en-US"/>
        </w:rPr>
        <w:footnoteReference w:id="5"/>
      </w:r>
      <w:r w:rsidRPr="00EB7A72">
        <w:rPr>
          <w:rFonts w:eastAsia="Cambria" w:cs="Times New Roman"/>
          <w:szCs w:val="22"/>
          <w:lang w:val="en-US"/>
        </w:rPr>
        <w:t xml:space="preserve"> This restriction </w:t>
      </w:r>
      <w:r w:rsidRPr="00EB7A72">
        <w:rPr>
          <w:rFonts w:eastAsia="Cambria" w:cs="Times New Roman"/>
          <w:szCs w:val="22"/>
        </w:rPr>
        <w:t xml:space="preserve">aligned with a FDA </w:t>
      </w:r>
      <w:hyperlink r:id="rId20" w:history="1">
        <w:r w:rsidRPr="00EB7A72">
          <w:rPr>
            <w:rFonts w:eastAsia="Cambria" w:cs="Times New Roman"/>
            <w:color w:val="0000FF"/>
            <w:szCs w:val="22"/>
            <w:u w:val="single"/>
          </w:rPr>
          <w:t>drug safety communication</w:t>
        </w:r>
      </w:hyperlink>
      <w:r w:rsidRPr="00EB7A72">
        <w:rPr>
          <w:rFonts w:eastAsia="Cambria" w:cs="Times New Roman"/>
          <w:szCs w:val="22"/>
        </w:rPr>
        <w:t xml:space="preserve"> in December 2021, following review of a safety trial with another JAKi, tofacitinib. That trial concluded that patients taking tofacitinib had higher rates of serious heart-related events such as heart attack and stroke, cancer, blood clots, and death, compared to patients taking TNFi. The FDA noted that other JAKi including upadacitinib, had not been studied in similar large safety clinical trials but as they share mechanisms of action with tofacitinib, may have similar risks as seen in the safety trial with tofacitinib.</w:t>
      </w:r>
    </w:p>
    <w:p w14:paraId="7F43EE9C" w14:textId="77777777" w:rsidR="00EB7A72" w:rsidRPr="00EB7A72" w:rsidRDefault="00EB7A72" w:rsidP="00EB7A72">
      <w:pPr>
        <w:spacing w:before="180" w:after="180" w:line="240" w:lineRule="atLeast"/>
        <w:rPr>
          <w:rFonts w:eastAsia="Cambria" w:cs="Times New Roman"/>
          <w:szCs w:val="22"/>
        </w:rPr>
      </w:pPr>
      <w:r w:rsidRPr="00EB7A72">
        <w:rPr>
          <w:rFonts w:eastAsia="Cambria" w:cs="Times New Roman"/>
          <w:szCs w:val="22"/>
        </w:rPr>
        <w:t xml:space="preserve">In July 2022 the EMA (centralized procedure) gave marketing approval to upadacitinib for the indication </w:t>
      </w:r>
      <w:r w:rsidRPr="00EB7A72">
        <w:rPr>
          <w:rFonts w:eastAsia="Cambria" w:cs="Times New Roman"/>
          <w:i/>
          <w:iCs/>
          <w:szCs w:val="22"/>
        </w:rPr>
        <w:t xml:space="preserve">“for the treatment of active non-radiographic axial spondyloarthritis in adult patients with objective signs of inflammation as indicated by elevated C-reactive protein (CRP) and/or magnetic resonance imaging (MRI), who have responded inadequately to nonsteroidal anti-inflammatory drugs (NSAIDs)”. </w:t>
      </w:r>
    </w:p>
    <w:p w14:paraId="6C25D1A0" w14:textId="4089DDEC" w:rsidR="00EB7A72" w:rsidRPr="00EB7A72" w:rsidRDefault="00EB7A72" w:rsidP="00EB7A72">
      <w:pPr>
        <w:spacing w:before="180" w:after="180" w:line="240" w:lineRule="atLeast"/>
        <w:rPr>
          <w:rFonts w:eastAsia="Cambria" w:cs="Times New Roman"/>
          <w:szCs w:val="22"/>
        </w:rPr>
      </w:pPr>
      <w:r w:rsidRPr="00EB7A72">
        <w:rPr>
          <w:rFonts w:eastAsia="Cambria" w:cs="Times New Roman"/>
          <w:szCs w:val="22"/>
        </w:rPr>
        <w:t xml:space="preserve">In the same month, the New Zealand Medicines and Medical Devices Safety Authority approved the indication </w:t>
      </w:r>
      <w:r w:rsidRPr="00EB7A72">
        <w:rPr>
          <w:rFonts w:eastAsia="Cambria" w:cs="Times New Roman"/>
          <w:i/>
          <w:iCs/>
          <w:szCs w:val="22"/>
        </w:rPr>
        <w:t>“</w:t>
      </w:r>
      <w:r w:rsidR="00B87A0D">
        <w:rPr>
          <w:rFonts w:eastAsia="Cambria" w:cs="Times New Roman"/>
          <w:i/>
          <w:iCs/>
          <w:szCs w:val="22"/>
        </w:rPr>
        <w:t>Rinvoq</w:t>
      </w:r>
      <w:r w:rsidRPr="00EB7A72">
        <w:rPr>
          <w:rFonts w:eastAsia="Cambria" w:cs="Times New Roman"/>
          <w:i/>
          <w:iCs/>
          <w:szCs w:val="22"/>
        </w:rPr>
        <w:t xml:space="preserve"> is indicated for the treatment of adults with active non-radiographic axial </w:t>
      </w:r>
      <w:r w:rsidRPr="00EB7A72">
        <w:rPr>
          <w:rFonts w:eastAsia="Cambria" w:cs="Times New Roman"/>
          <w:i/>
          <w:iCs/>
          <w:szCs w:val="22"/>
        </w:rPr>
        <w:lastRenderedPageBreak/>
        <w:t>spondyloarthritis with objective signs of inflammation”.</w:t>
      </w:r>
      <w:r w:rsidR="007E6710">
        <w:rPr>
          <w:rFonts w:eastAsia="Cambria" w:cs="Times New Roman"/>
          <w:i/>
          <w:iCs/>
          <w:szCs w:val="22"/>
        </w:rPr>
        <w:t xml:space="preserve"> </w:t>
      </w:r>
      <w:r w:rsidR="00F724FE">
        <w:rPr>
          <w:rFonts w:eastAsia="Cambria" w:cs="Times New Roman"/>
          <w:i/>
          <w:iCs/>
          <w:szCs w:val="22"/>
        </w:rPr>
        <w:t xml:space="preserve">Canada received approval for the treatment of nr-axSpA </w:t>
      </w:r>
      <w:r w:rsidR="007E6710">
        <w:rPr>
          <w:rFonts w:eastAsia="Cambria" w:cs="Times New Roman"/>
          <w:i/>
          <w:iCs/>
          <w:szCs w:val="22"/>
        </w:rPr>
        <w:t>i</w:t>
      </w:r>
      <w:r w:rsidR="00F724FE">
        <w:rPr>
          <w:rFonts w:eastAsia="Cambria" w:cs="Times New Roman"/>
          <w:i/>
          <w:iCs/>
          <w:szCs w:val="22"/>
        </w:rPr>
        <w:t xml:space="preserve">n May 2023. </w:t>
      </w:r>
    </w:p>
    <w:p w14:paraId="6D92589C" w14:textId="445A4771" w:rsidR="00324B33" w:rsidRDefault="00324B33" w:rsidP="00324B33">
      <w:pPr>
        <w:pStyle w:val="Heading2"/>
      </w:pPr>
      <w:bookmarkStart w:id="28" w:name="_Toc504480011"/>
      <w:bookmarkStart w:id="29" w:name="_Toc103679293"/>
      <w:bookmarkStart w:id="30" w:name="_Toc175736510"/>
      <w:r>
        <w:t>Registration timeline</w:t>
      </w:r>
      <w:bookmarkEnd w:id="28"/>
      <w:bookmarkEnd w:id="29"/>
      <w:bookmarkEnd w:id="30"/>
    </w:p>
    <w:p w14:paraId="225E3D87" w14:textId="6DC8D749" w:rsidR="00324B33" w:rsidRPr="00BD5DBD" w:rsidRDefault="00A6362E" w:rsidP="00324B33">
      <w:pPr>
        <w:rPr>
          <w:szCs w:val="22"/>
        </w:rPr>
      </w:pPr>
      <w:r>
        <w:rPr>
          <w:szCs w:val="22"/>
        </w:rPr>
        <w:t>T</w:t>
      </w:r>
      <w:r w:rsidR="00324B33" w:rsidRPr="00BD5DBD">
        <w:rPr>
          <w:szCs w:val="22"/>
        </w:rPr>
        <w:t>able</w:t>
      </w:r>
      <w:r>
        <w:rPr>
          <w:szCs w:val="22"/>
        </w:rPr>
        <w:t xml:space="preserve"> 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108D85C8" w:rsidR="00324B33" w:rsidRDefault="00324B33" w:rsidP="002C1232">
      <w:pPr>
        <w:pStyle w:val="TableTitle"/>
      </w:pPr>
      <w:r w:rsidRPr="002C1232">
        <w:t xml:space="preserve">Table </w:t>
      </w:r>
      <w:r w:rsidR="00B35870">
        <w:t>1</w:t>
      </w:r>
      <w:r w:rsidRPr="002C1232">
        <w:t xml:space="preserve">: Timeline for Submission </w:t>
      </w:r>
      <w:r w:rsidR="00A6362E" w:rsidRPr="00A6362E">
        <w:t>PM-2022-00116-1-3</w:t>
      </w:r>
    </w:p>
    <w:tbl>
      <w:tblPr>
        <w:tblStyle w:val="TableTGAblue2023"/>
        <w:tblW w:w="8642" w:type="dxa"/>
        <w:tblLook w:val="04A0" w:firstRow="1" w:lastRow="0" w:firstColumn="1" w:lastColumn="0" w:noHBand="0" w:noVBand="1"/>
      </w:tblPr>
      <w:tblGrid>
        <w:gridCol w:w="5949"/>
        <w:gridCol w:w="2693"/>
      </w:tblGrid>
      <w:tr w:rsidR="00324B33" w:rsidRPr="00D01DDB" w14:paraId="6C59BE9C" w14:textId="77777777" w:rsidTr="00D42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D01DDB" w:rsidRDefault="00324B33" w:rsidP="00324B33">
            <w:pPr>
              <w:rPr>
                <w:szCs w:val="22"/>
              </w:rPr>
            </w:pPr>
            <w:r w:rsidRPr="00D01DDB">
              <w:rPr>
                <w:szCs w:val="22"/>
              </w:rPr>
              <w:t>Description</w:t>
            </w:r>
          </w:p>
        </w:tc>
        <w:tc>
          <w:tcPr>
            <w:tcW w:w="2693"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E679D1" w:rsidRDefault="00324B33" w:rsidP="00E679D1">
            <w:r w:rsidRPr="00E679D1">
              <w:t>Submission dossier accepted and first round evaluation commenced</w:t>
            </w:r>
          </w:p>
        </w:tc>
        <w:tc>
          <w:tcPr>
            <w:tcW w:w="2693" w:type="dxa"/>
          </w:tcPr>
          <w:p w14:paraId="2963D9D8" w14:textId="722322C3"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2022</w:t>
            </w:r>
          </w:p>
        </w:tc>
      </w:tr>
      <w:tr w:rsidR="00324B33" w:rsidRPr="00D01DDB" w14:paraId="767E33A4"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4AFC5B50" w14:textId="2BDE31CB" w:rsidR="00324B33" w:rsidRPr="00E679D1" w:rsidRDefault="00EB7A72" w:rsidP="00E679D1">
            <w:r>
              <w:t xml:space="preserve">Evaluation </w:t>
            </w:r>
            <w:r w:rsidR="00324B33" w:rsidRPr="00E679D1">
              <w:t>valuation completed</w:t>
            </w:r>
          </w:p>
        </w:tc>
        <w:tc>
          <w:tcPr>
            <w:tcW w:w="2693" w:type="dxa"/>
          </w:tcPr>
          <w:p w14:paraId="4E47DF62" w14:textId="6D2C2D70"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w:t>
            </w:r>
            <w:r w:rsidR="00191918">
              <w:rPr>
                <w:szCs w:val="22"/>
              </w:rPr>
              <w:t>1</w:t>
            </w:r>
            <w:r>
              <w:rPr>
                <w:szCs w:val="22"/>
              </w:rPr>
              <w:t xml:space="preserve"> October 2022</w:t>
            </w:r>
          </w:p>
        </w:tc>
      </w:tr>
      <w:tr w:rsidR="00324B33" w:rsidRPr="00D01DDB" w14:paraId="302FCB45"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716E9DC1" w14:textId="3840F7D2" w:rsidR="00324B33" w:rsidRPr="00D01DDB" w:rsidRDefault="00324B33" w:rsidP="00324B33">
            <w:pPr>
              <w:rPr>
                <w:szCs w:val="22"/>
              </w:rPr>
            </w:pPr>
            <w:r w:rsidRPr="00D01DDB">
              <w:rPr>
                <w:szCs w:val="22"/>
              </w:rPr>
              <w:t>Delegate’s</w:t>
            </w:r>
            <w:r w:rsidR="00500D68">
              <w:rPr>
                <w:rStyle w:val="FootnoteReference"/>
                <w:szCs w:val="22"/>
              </w:rPr>
              <w:footnoteReference w:id="6"/>
            </w:r>
            <w:r w:rsidRPr="00D01DDB">
              <w:rPr>
                <w:szCs w:val="22"/>
              </w:rPr>
              <w:t xml:space="preserve"> Overall benefit-risk assessment </w:t>
            </w:r>
            <w:r w:rsidRPr="00EB7A72">
              <w:rPr>
                <w:color w:val="auto"/>
                <w:szCs w:val="22"/>
              </w:rPr>
              <w:t>and request for Advisory Committee advice</w:t>
            </w:r>
          </w:p>
        </w:tc>
        <w:tc>
          <w:tcPr>
            <w:tcW w:w="2693" w:type="dxa"/>
          </w:tcPr>
          <w:p w14:paraId="3BA6EF79" w14:textId="7E681755"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sidRPr="00EB7A72">
              <w:rPr>
                <w:szCs w:val="22"/>
              </w:rPr>
              <w:t>4 November 2022</w:t>
            </w:r>
          </w:p>
        </w:tc>
      </w:tr>
      <w:tr w:rsidR="00324B33" w:rsidRPr="00D01DDB" w14:paraId="5754F7AC"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E679D1" w:rsidRDefault="00324B33" w:rsidP="00E679D1">
            <w:r w:rsidRPr="00E679D1">
              <w:t>Advisory Committee meeting</w:t>
            </w:r>
          </w:p>
        </w:tc>
        <w:tc>
          <w:tcPr>
            <w:tcW w:w="2693" w:type="dxa"/>
          </w:tcPr>
          <w:p w14:paraId="5BE1EDE7" w14:textId="04137ACF" w:rsidR="00324B33" w:rsidRPr="00D01DDB" w:rsidRDefault="001919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 </w:t>
            </w:r>
            <w:r w:rsidR="00EB7A72">
              <w:rPr>
                <w:szCs w:val="22"/>
              </w:rPr>
              <w:t>December 2022</w:t>
            </w:r>
          </w:p>
        </w:tc>
      </w:tr>
      <w:tr w:rsidR="00324B33" w:rsidRPr="00D01DDB" w14:paraId="6E5D32FE"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E679D1" w:rsidRDefault="00324B33" w:rsidP="00E679D1">
            <w:r w:rsidRPr="00E679D1">
              <w:t>Registration decision (Outcome)</w:t>
            </w:r>
          </w:p>
        </w:tc>
        <w:tc>
          <w:tcPr>
            <w:tcW w:w="2693" w:type="dxa"/>
          </w:tcPr>
          <w:p w14:paraId="62987ABD" w14:textId="7DF3341E"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sidRPr="00EB7A72">
              <w:rPr>
                <w:szCs w:val="22"/>
              </w:rPr>
              <w:t>6 January 2023</w:t>
            </w:r>
          </w:p>
        </w:tc>
      </w:tr>
      <w:tr w:rsidR="00324B33" w:rsidRPr="00D01DDB" w14:paraId="6DDCDDA4"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693" w:type="dxa"/>
          </w:tcPr>
          <w:p w14:paraId="5A8923FD" w14:textId="39267500"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January 2023</w:t>
            </w:r>
          </w:p>
        </w:tc>
      </w:tr>
      <w:tr w:rsidR="00324B33" w:rsidRPr="00D01DDB" w14:paraId="56D922E2" w14:textId="77777777" w:rsidTr="00D42A43">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E679D1" w:rsidRDefault="00324B33" w:rsidP="00E679D1">
            <w:r w:rsidRPr="00E679D1">
              <w:t>Number of working days from submission dossier acceptance to registration decision*</w:t>
            </w:r>
          </w:p>
        </w:tc>
        <w:tc>
          <w:tcPr>
            <w:tcW w:w="2693" w:type="dxa"/>
          </w:tcPr>
          <w:p w14:paraId="5BAF9FA1" w14:textId="69AFF836" w:rsidR="00324B33" w:rsidRPr="00D01DDB" w:rsidRDefault="00EB7A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223</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1" w:name="_Toc196046504"/>
      <w:bookmarkStart w:id="32" w:name="_Toc247691527"/>
      <w:bookmarkStart w:id="33" w:name="_Toc314842510"/>
      <w:bookmarkStart w:id="34" w:name="_Toc103679294"/>
      <w:bookmarkStart w:id="35" w:name="_Toc17573651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1"/>
      <w:bookmarkEnd w:id="32"/>
      <w:bookmarkEnd w:id="33"/>
      <w:bookmarkEnd w:id="34"/>
      <w:bookmarkEnd w:id="35"/>
    </w:p>
    <w:p w14:paraId="540151FC" w14:textId="77777777" w:rsidR="00C22214" w:rsidRPr="00BD5DBD" w:rsidRDefault="00C22214" w:rsidP="00BD5DBD">
      <w:pPr>
        <w:rPr>
          <w:szCs w:val="22"/>
        </w:rPr>
      </w:pPr>
      <w:bookmarkStart w:id="36" w:name="_Toc247691528"/>
      <w:bookmarkStart w:id="37" w:name="_Toc314842511"/>
      <w:r w:rsidRPr="00BD5DBD">
        <w:rPr>
          <w:szCs w:val="22"/>
        </w:rPr>
        <w:t>A summary of the TGA’s assessment for this submission is provided below.</w:t>
      </w:r>
    </w:p>
    <w:p w14:paraId="668E3E84" w14:textId="38A2EA8F" w:rsidR="00EB7A72" w:rsidRDefault="007072A1" w:rsidP="00EB7A72">
      <w:pPr>
        <w:rPr>
          <w:color w:val="00709D"/>
          <w:szCs w:val="22"/>
        </w:rPr>
      </w:pPr>
      <w:r w:rsidRPr="00BD5DBD">
        <w:rPr>
          <w:szCs w:val="22"/>
        </w:rPr>
        <w:t>Relevant guidelines or guidance documents referred to by the Delegate are listed below:</w:t>
      </w:r>
    </w:p>
    <w:p w14:paraId="19408B0C" w14:textId="77777777" w:rsidR="00EB7A72" w:rsidRDefault="00EB7A72" w:rsidP="00D42A43">
      <w:pPr>
        <w:pStyle w:val="ListBullet"/>
        <w:rPr>
          <w:rStyle w:val="Hyperlink"/>
          <w:lang w:eastAsia="ja-JP"/>
        </w:rPr>
      </w:pPr>
      <w:r>
        <w:t xml:space="preserve">EMA/CPMP/EWP/4891/03 Rev.1, Corr 1* Guideline on the Clinical Investigation of Medicinal Products for the Treatment of Axial Spondyloarthritis-12 October 2017 </w:t>
      </w:r>
      <w:hyperlink r:id="rId22" w:history="1">
        <w:r w:rsidRPr="006D56FB">
          <w:rPr>
            <w:rStyle w:val="Hyperlink"/>
            <w:lang w:eastAsia="ja-JP"/>
          </w:rPr>
          <w:t>https://www.ema.europa.eu/documents/scientific-guideline/guideline-clinical-investigation-medicinal-products-treatment-axial-spondyloarthritis-revision-1_en.pdf</w:t>
        </w:r>
      </w:hyperlink>
    </w:p>
    <w:p w14:paraId="5C230248" w14:textId="77777777" w:rsidR="00EB7A72" w:rsidRPr="00A6362E" w:rsidRDefault="00EB7A72" w:rsidP="00D42A43">
      <w:pPr>
        <w:pStyle w:val="ListBullet"/>
        <w:rPr>
          <w:lang w:val="en-US"/>
        </w:rPr>
      </w:pPr>
      <w:r w:rsidRPr="00A6362E">
        <w:rPr>
          <w:rStyle w:val="Hyperlink"/>
          <w:color w:val="auto"/>
          <w:u w:val="none"/>
          <w:lang w:eastAsia="ja-JP"/>
        </w:rPr>
        <w:t>CPMP/ICH 375/95 ICH Topic E1, Note for Guidance on Population Exposure: The extent of population exposure to assess clinical safety – June 1995</w:t>
      </w:r>
      <w:r w:rsidRPr="00A6362E">
        <w:rPr>
          <w:rStyle w:val="Hyperlink"/>
          <w:color w:val="auto"/>
          <w:lang w:eastAsia="ja-JP"/>
        </w:rPr>
        <w:t xml:space="preserve"> </w:t>
      </w:r>
      <w:hyperlink r:id="rId23" w:history="1">
        <w:r w:rsidRPr="0065382B">
          <w:rPr>
            <w:rStyle w:val="Hyperlink"/>
            <w:lang w:eastAsia="ja-JP"/>
          </w:rPr>
          <w:t>https://www.ema.europa.eu/en/documents/scientific-guideline/ich-e-1-population-exposure-extent-population-exposure-assess-clinical-safety-step-5_en.pdf</w:t>
        </w:r>
      </w:hyperlink>
      <w:r w:rsidRPr="00A6362E">
        <w:rPr>
          <w:rStyle w:val="Hyperlink"/>
          <w:color w:val="auto"/>
          <w:lang w:eastAsia="ja-JP"/>
        </w:rPr>
        <w:t xml:space="preserve"> </w:t>
      </w:r>
    </w:p>
    <w:p w14:paraId="37F5A1C0" w14:textId="09DD0CAE" w:rsidR="00C22214" w:rsidRDefault="00C22214" w:rsidP="00C22214">
      <w:pPr>
        <w:pStyle w:val="Heading3"/>
      </w:pPr>
      <w:bookmarkStart w:id="38" w:name="_Toc103679295"/>
      <w:bookmarkStart w:id="39" w:name="_Toc175736512"/>
      <w:r>
        <w:lastRenderedPageBreak/>
        <w:t>Quality</w:t>
      </w:r>
      <w:bookmarkEnd w:id="36"/>
      <w:bookmarkEnd w:id="37"/>
      <w:bookmarkEnd w:id="38"/>
      <w:bookmarkEnd w:id="39"/>
    </w:p>
    <w:p w14:paraId="29A3BB75" w14:textId="1FFC01C2"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883D35">
        <w:rPr>
          <w:szCs w:val="22"/>
        </w:rPr>
        <w:t>.</w:t>
      </w:r>
    </w:p>
    <w:p w14:paraId="2BE90AAE" w14:textId="77777777" w:rsidR="00C22214" w:rsidRDefault="00C22214" w:rsidP="00C22214">
      <w:pPr>
        <w:pStyle w:val="Heading3"/>
      </w:pPr>
      <w:bookmarkStart w:id="40" w:name="_Toc314842512"/>
      <w:bookmarkStart w:id="41" w:name="_Toc103679296"/>
      <w:bookmarkStart w:id="42" w:name="_Toc175736513"/>
      <w:r>
        <w:t>Nonclinical</w:t>
      </w:r>
      <w:bookmarkEnd w:id="40"/>
      <w:bookmarkEnd w:id="41"/>
      <w:bookmarkEnd w:id="42"/>
    </w:p>
    <w:p w14:paraId="15C51A23" w14:textId="21DC2654" w:rsidR="008804CF" w:rsidRPr="00BD5DBD" w:rsidRDefault="008804CF" w:rsidP="008804CF">
      <w:pPr>
        <w:rPr>
          <w:b/>
          <w:bCs/>
          <w:szCs w:val="22"/>
        </w:rPr>
      </w:pPr>
      <w:bookmarkStart w:id="43" w:name="_Toc247691530"/>
      <w:bookmarkStart w:id="44" w:name="_Toc314842513"/>
      <w:bookmarkStart w:id="45"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6" w:name="_Toc175736514"/>
      <w:r>
        <w:t>Clinical</w:t>
      </w:r>
      <w:bookmarkEnd w:id="43"/>
      <w:bookmarkEnd w:id="44"/>
      <w:bookmarkEnd w:id="45"/>
      <w:bookmarkEnd w:id="46"/>
    </w:p>
    <w:p w14:paraId="32B0DEDA" w14:textId="77777777" w:rsidR="00C22214" w:rsidRDefault="00C22214" w:rsidP="00433318">
      <w:pPr>
        <w:pStyle w:val="Heading4"/>
      </w:pPr>
      <w:bookmarkStart w:id="47" w:name="_Toc98931928"/>
      <w:bookmarkStart w:id="48" w:name="_Toc175736515"/>
      <w:r>
        <w:t>Summary of clinical studies</w:t>
      </w:r>
      <w:bookmarkEnd w:id="47"/>
      <w:bookmarkEnd w:id="48"/>
    </w:p>
    <w:p w14:paraId="17DEC371" w14:textId="0D4971DD" w:rsidR="00224F89" w:rsidRPr="00224F89" w:rsidRDefault="00224F89" w:rsidP="00224F89">
      <w:r>
        <w:t>The following studies were submitted to support the proposed indication:</w:t>
      </w:r>
    </w:p>
    <w:p w14:paraId="6BF3FF27" w14:textId="77777777" w:rsidR="00224F89" w:rsidRDefault="00224F89" w:rsidP="00D42A43">
      <w:pPr>
        <w:pStyle w:val="ListBullet"/>
        <w:rPr>
          <w:lang w:eastAsia="ja-JP"/>
        </w:rPr>
      </w:pPr>
      <w:bookmarkStart w:id="49" w:name="_Toc314842514"/>
      <w:r>
        <w:t xml:space="preserve">Phase 3 Randomized, Placebo-Controlled, Double-Blind Program to Evaluate Efficacy and Safety of Upadacitinib in Adult Subjects with Axial Spondyloarthritis Followed by a Remission-Withdrawal Period – </w:t>
      </w:r>
      <w:r w:rsidRPr="00A6362E">
        <w:rPr>
          <w:b/>
          <w:bCs/>
        </w:rPr>
        <w:t>M19-944- Study 1</w:t>
      </w:r>
      <w:r>
        <w:t xml:space="preserve"> </w:t>
      </w:r>
    </w:p>
    <w:p w14:paraId="0A906EA3" w14:textId="77777777" w:rsidR="00224F89" w:rsidRDefault="00224F89" w:rsidP="00D42A43">
      <w:pPr>
        <w:pStyle w:val="ListBullet"/>
        <w:rPr>
          <w:lang w:eastAsia="ja-JP"/>
        </w:rPr>
      </w:pPr>
      <w:r>
        <w:t xml:space="preserve">Phase 3 Randomized, Placebo-Controlled, Double-Blind Program to Evaluate Efficacy and Safety of Upadacitinib in Adult Subjects with Axial Spondyloarthritis Followed by a Remission-Withdrawal Period- </w:t>
      </w:r>
      <w:r w:rsidRPr="00A6362E">
        <w:rPr>
          <w:b/>
          <w:bCs/>
        </w:rPr>
        <w:t>M19-944-Study 2</w:t>
      </w:r>
    </w:p>
    <w:p w14:paraId="61F1133E" w14:textId="6BB6D9AA" w:rsidR="00224F89" w:rsidRDefault="00224F89" w:rsidP="00D42A43">
      <w:pPr>
        <w:pStyle w:val="ListBullet"/>
      </w:pPr>
      <w:r>
        <w:t xml:space="preserve">Population Pharmacokinetics and Exposure-Response </w:t>
      </w:r>
      <w:r w:rsidR="00EF70E5" w:rsidRPr="00EF70E5">
        <w:t xml:space="preserve">(ER) </w:t>
      </w:r>
      <w:r>
        <w:t>Analyses of Upadacitinib in Adult Subjects with Axial Spondyloarthritis from Phase 3 Study M19-944</w:t>
      </w:r>
    </w:p>
    <w:p w14:paraId="787C1BEB" w14:textId="77777777" w:rsidR="00224F89" w:rsidRDefault="00224F89" w:rsidP="00D42A43">
      <w:pPr>
        <w:pStyle w:val="ListBullet"/>
      </w:pPr>
      <w:r>
        <w:t xml:space="preserve">The pivotal study reports were supplemented with a summary of data accumulated over two years in </w:t>
      </w:r>
      <w:r w:rsidRPr="00A6362E">
        <w:rPr>
          <w:b/>
          <w:bCs/>
        </w:rPr>
        <w:t>Study M16098</w:t>
      </w:r>
      <w:r>
        <w:t xml:space="preserve"> (A Multicenter, Randomized, Double-Blind, Placebo-Controlled Study Evaluating the Safety and Efficacy of Upadacitinib in Subjects with Active Ankylosing Spondylitis). </w:t>
      </w:r>
    </w:p>
    <w:p w14:paraId="2B70B4F2" w14:textId="77777777" w:rsidR="00224F89" w:rsidRPr="00901283" w:rsidRDefault="00224F89" w:rsidP="00224F89">
      <w:pPr>
        <w:pStyle w:val="Heading4"/>
        <w:rPr>
          <w:rFonts w:eastAsia="Times New Roman"/>
          <w:b w:val="0"/>
          <w:i/>
          <w:color w:val="7295D2" w:themeColor="accent1" w:themeTint="BF"/>
        </w:rPr>
      </w:pPr>
      <w:bookmarkStart w:id="50" w:name="_Toc175736516"/>
      <w:r w:rsidRPr="00AA53F4">
        <w:t>Pharmacolog</w:t>
      </w:r>
      <w:r>
        <w:t>y</w:t>
      </w:r>
      <w:bookmarkEnd w:id="50"/>
    </w:p>
    <w:p w14:paraId="153D1C8A" w14:textId="41D3154E" w:rsidR="00224F89" w:rsidRDefault="00224F89" w:rsidP="00224F89">
      <w:pPr>
        <w:pStyle w:val="Heading5"/>
        <w:rPr>
          <w:b w:val="0"/>
          <w:color w:val="7295D2" w:themeColor="accent1" w:themeTint="BF"/>
        </w:rPr>
      </w:pPr>
      <w:r w:rsidRPr="00AA53F4">
        <w:t xml:space="preserve">Population PK data </w:t>
      </w:r>
    </w:p>
    <w:p w14:paraId="647C91F4" w14:textId="77777777" w:rsidR="00224F89" w:rsidRDefault="00224F89" w:rsidP="00224F89">
      <w:r>
        <w:t xml:space="preserve">The specific objectives of the population PK and exposure-response (ER) analyses were to </w:t>
      </w:r>
    </w:p>
    <w:p w14:paraId="19F823D8" w14:textId="4586CE52" w:rsidR="00224F89" w:rsidRDefault="00224F89" w:rsidP="00D42A43">
      <w:pPr>
        <w:pStyle w:val="ListBullet"/>
      </w:pPr>
      <w:r>
        <w:t>evaluate upadacitinib PK in subjects with bDMARD-IR AS and nr-axSpA to ensure similarity with previous study population,</w:t>
      </w:r>
    </w:p>
    <w:p w14:paraId="5F83E604" w14:textId="7C74F205" w:rsidR="00224F89" w:rsidRDefault="00224F89" w:rsidP="00D42A43">
      <w:pPr>
        <w:pStyle w:val="ListBullet"/>
      </w:pPr>
      <w:r>
        <w:t xml:space="preserve">evaluate ER efficacy relationships in subjects with bDMARD-IR AS and nr-axSpA, and </w:t>
      </w:r>
    </w:p>
    <w:p w14:paraId="621C0B68" w14:textId="161992CA" w:rsidR="00224F89" w:rsidRDefault="00224F89" w:rsidP="00D42A43">
      <w:pPr>
        <w:pStyle w:val="ListBullet"/>
      </w:pPr>
      <w:r>
        <w:t xml:space="preserve">evaluate ER safety relationships in subjects with bDMARD-IR AS and nr-axSpA. </w:t>
      </w:r>
    </w:p>
    <w:p w14:paraId="68EE7A75" w14:textId="7C9ED4B8" w:rsidR="00224F89" w:rsidRDefault="00224F89" w:rsidP="00224F89">
      <w:r>
        <w:t>Efficacy endpoints were Assessment of Spondyloarthritis International Society (ASAS)20 and ASAS40</w:t>
      </w:r>
      <w:r w:rsidR="00EF70E5">
        <w:rPr>
          <w:rStyle w:val="FootnoteReference"/>
        </w:rPr>
        <w:footnoteReference w:id="7"/>
      </w:r>
      <w:r>
        <w:t xml:space="preserve"> at week 14. Specific safety endpoints were serious infections, any infection, pneumonia, </w:t>
      </w:r>
      <w:r>
        <w:lastRenderedPageBreak/>
        <w:t xml:space="preserve">herpes zoster infection and change from baseline in laboratory variables including platelet count, haemoglobin, </w:t>
      </w:r>
      <w:proofErr w:type="gramStart"/>
      <w:r>
        <w:t>lymphopenia</w:t>
      </w:r>
      <w:proofErr w:type="gramEnd"/>
      <w:r>
        <w:t xml:space="preserve"> and neutropenia at week 14.</w:t>
      </w:r>
    </w:p>
    <w:p w14:paraId="1FDCC701" w14:textId="1250145A" w:rsidR="00224F89" w:rsidRDefault="00224F89" w:rsidP="00224F89">
      <w:r w:rsidRPr="002C4603">
        <w:t xml:space="preserve">Parameter estimates for </w:t>
      </w:r>
      <w:r>
        <w:t>a</w:t>
      </w:r>
      <w:r w:rsidRPr="002C4603">
        <w:t xml:space="preserve"> population PK model </w:t>
      </w:r>
      <w:r>
        <w:t xml:space="preserve">previously developed in healthy adults and adults with rheumatoid arthritis </w:t>
      </w:r>
      <w:r w:rsidRPr="002C4603">
        <w:t xml:space="preserve">were updated using data from Study M16-098, a Phase 2/3 study </w:t>
      </w:r>
      <w:r>
        <w:t xml:space="preserve">of </w:t>
      </w:r>
      <w:r w:rsidRPr="002C4603">
        <w:t xml:space="preserve">15 mg daily </w:t>
      </w:r>
      <w:r>
        <w:t>UPA</w:t>
      </w:r>
      <w:r w:rsidRPr="002C4603">
        <w:t xml:space="preserve"> in subjects with bDMARD-naïve AS. PK data from Study M16-098 comprised 447 PK samples from 92 subjects. Only CL/F, Vc/F and random effects terms were re-estimated using the Study M16-098 data. The study population covariate effect in the original population PK model was modified to include RA and AS subjects; none of the covariate effects were re-estimated</w:t>
      </w:r>
      <w:r>
        <w:t>.</w:t>
      </w:r>
    </w:p>
    <w:p w14:paraId="73CB2570" w14:textId="77777777" w:rsidR="00224F89" w:rsidRDefault="00224F89" w:rsidP="00224F89">
      <w:r w:rsidRPr="00433B97">
        <w:t xml:space="preserve">Individual PK parameter </w:t>
      </w:r>
      <w:r>
        <w:t>values</w:t>
      </w:r>
      <w:r w:rsidRPr="00433B97">
        <w:t xml:space="preserve"> for </w:t>
      </w:r>
      <w:r>
        <w:t>adults with bDMARD-IR AS or with nr-axSpA</w:t>
      </w:r>
      <w:r w:rsidRPr="00433B97">
        <w:t xml:space="preserve"> </w:t>
      </w:r>
      <w:r>
        <w:t xml:space="preserve">enrolled </w:t>
      </w:r>
      <w:r w:rsidRPr="00433B97">
        <w:t xml:space="preserve">in Study M19-944 were </w:t>
      </w:r>
      <w:r>
        <w:t>estimated</w:t>
      </w:r>
      <w:r w:rsidRPr="00433B97">
        <w:t xml:space="preserve"> </w:t>
      </w:r>
      <w:r>
        <w:t>by applying Bayesian methods in</w:t>
      </w:r>
      <w:r w:rsidRPr="00433B97">
        <w:t xml:space="preserve"> the updated population PK model (R&amp;D 20/0181) and </w:t>
      </w:r>
      <w:r>
        <w:t xml:space="preserve">comparing these to </w:t>
      </w:r>
      <w:r w:rsidRPr="00433B97">
        <w:t>individual PK data from Study M19-944</w:t>
      </w:r>
      <w:r>
        <w:t xml:space="preserve"> (81 participants with bDMARD-IR AS and 71 participants with nr-axSpA with at least one measurable UPA concentration)</w:t>
      </w:r>
      <w:r w:rsidRPr="00433B97">
        <w:t xml:space="preserve">. The adequacy of the model to describe the data was assessed using goodness of fit plots and a visual predictive check. </w:t>
      </w:r>
      <w:r>
        <w:t>The i</w:t>
      </w:r>
      <w:r w:rsidRPr="00433B97">
        <w:t>ndividual PK parameter estimates were used to estimate steady-state exposures (maximum concentration (C</w:t>
      </w:r>
      <w:r w:rsidRPr="00B70AD8">
        <w:rPr>
          <w:vertAlign w:val="subscript"/>
        </w:rPr>
        <w:t>max</w:t>
      </w:r>
      <w:r w:rsidRPr="00433B97">
        <w:t>), trough concentration (C</w:t>
      </w:r>
      <w:r w:rsidRPr="00B70AD8">
        <w:rPr>
          <w:vertAlign w:val="subscript"/>
        </w:rPr>
        <w:t>min</w:t>
      </w:r>
      <w:r w:rsidRPr="00433B97">
        <w:t>), average concentration (C</w:t>
      </w:r>
      <w:r w:rsidRPr="00B70AD8">
        <w:rPr>
          <w:vertAlign w:val="subscript"/>
        </w:rPr>
        <w:t>avg</w:t>
      </w:r>
      <w:r w:rsidRPr="00433B97">
        <w:t>) and area under the curve (AUC) during a 24</w:t>
      </w:r>
      <w:r>
        <w:t>-</w:t>
      </w:r>
      <w:r w:rsidRPr="00433B97">
        <w:t>hour dosing interval at steady state) for ER analysis.</w:t>
      </w:r>
    </w:p>
    <w:p w14:paraId="53681CBE" w14:textId="77777777" w:rsidR="00224F89" w:rsidRDefault="00224F89" w:rsidP="00224F89">
      <w:pPr>
        <w:rPr>
          <w:rFonts w:ascii="Times New Roman" w:eastAsia="Times New Roman" w:hAnsi="Times New Roman"/>
        </w:rPr>
      </w:pPr>
      <w:r>
        <w:rPr>
          <w:rFonts w:eastAsia="TimesNewRoman"/>
        </w:rPr>
        <w:t xml:space="preserve">The analysis concluded that steady state exposures of upadacitinib were similar in the adults with bDMARD-IR AS and nr-axSpA and adults with </w:t>
      </w:r>
      <w:r>
        <w:t>bDMARD-naïve AS. In addition, C</w:t>
      </w:r>
      <w:r w:rsidRPr="00B70AD8">
        <w:rPr>
          <w:vertAlign w:val="subscript"/>
        </w:rPr>
        <w:t>avg</w:t>
      </w:r>
      <w:r>
        <w:t xml:space="preserve"> was noted to be similar in Asian and non-Asian populations, although the number of participants of Asian descent was small (N=26).</w:t>
      </w:r>
    </w:p>
    <w:p w14:paraId="5C2383F5" w14:textId="4AF758D1" w:rsidR="00224F89" w:rsidRPr="00646909" w:rsidRDefault="00224F89" w:rsidP="00224F89">
      <w:pPr>
        <w:rPr>
          <w:rFonts w:ascii="Times New Roman" w:eastAsia="Times New Roman" w:hAnsi="Times New Roman"/>
        </w:rPr>
      </w:pPr>
      <w:r w:rsidRPr="001B4526">
        <w:t xml:space="preserve">ER efficacy and safety analyses were </w:t>
      </w:r>
      <w:r>
        <w:t xml:space="preserve">exploratory in nature and </w:t>
      </w:r>
      <w:r w:rsidRPr="001B4526">
        <w:t>limited to graphical evaluations of the data by study population.</w:t>
      </w:r>
      <w:r>
        <w:rPr>
          <w:rFonts w:ascii="Times New Roman" w:eastAsia="Times New Roman" w:hAnsi="Times New Roman"/>
        </w:rPr>
        <w:t xml:space="preserve"> </w:t>
      </w:r>
      <w:r>
        <w:t>The efficacy analyses in each study population compared the frequency distributions of ASAS20 and ASAS40 responders at week 14 by quartiles of C</w:t>
      </w:r>
      <w:r w:rsidRPr="00B70AD8">
        <w:rPr>
          <w:vertAlign w:val="subscript"/>
        </w:rPr>
        <w:t>avg</w:t>
      </w:r>
      <w:r>
        <w:t>.</w:t>
      </w:r>
      <w:r>
        <w:rPr>
          <w:rFonts w:ascii="Times New Roman" w:eastAsia="Times New Roman" w:hAnsi="Times New Roman"/>
        </w:rPr>
        <w:t xml:space="preserve"> </w:t>
      </w:r>
      <w:r>
        <w:t xml:space="preserve">In both the bDMARD-IR AS (81 participants in the UPA group and 71 participants in the </w:t>
      </w:r>
      <w:r w:rsidR="009C4FA6">
        <w:t>placebo (</w:t>
      </w:r>
      <w:r>
        <w:t>PBO</w:t>
      </w:r>
      <w:r w:rsidR="009C4FA6">
        <w:t>)</w:t>
      </w:r>
      <w:r>
        <w:t xml:space="preserve"> group and nr-axSpA populations (71 and 72 participants, respectively), there was a higher percentage of responders in the UPA group than in the PBO group but there was no dose-response trend with increasing quartile of C</w:t>
      </w:r>
      <w:r w:rsidRPr="00B70AD8">
        <w:rPr>
          <w:vertAlign w:val="subscript"/>
        </w:rPr>
        <w:t>avg</w:t>
      </w:r>
      <w:r>
        <w:t>.</w:t>
      </w:r>
      <w:r>
        <w:rPr>
          <w:rFonts w:ascii="Times New Roman" w:eastAsia="Times New Roman" w:hAnsi="Times New Roman"/>
        </w:rPr>
        <w:t xml:space="preserve"> </w:t>
      </w:r>
      <w:r>
        <w:t>The safety analyses in each study population applied graphical evaluations of any infection, changes from baseline in platelet counts or decreases in haemoglobin from baseline by C</w:t>
      </w:r>
      <w:r w:rsidRPr="00B70AD8">
        <w:rPr>
          <w:vertAlign w:val="subscript"/>
        </w:rPr>
        <w:t>avg</w:t>
      </w:r>
      <w:r>
        <w:t xml:space="preserve"> quartiles. Other safety endpoints had too few or no events to evaluate. There were no clear dose-response trends in the frequency distributions of adverse events by quartile of C</w:t>
      </w:r>
      <w:r w:rsidRPr="00B70AD8">
        <w:rPr>
          <w:vertAlign w:val="subscript"/>
        </w:rPr>
        <w:t>avg</w:t>
      </w:r>
      <w:r>
        <w:t>. The evaluator noted that there was a numerically higher percentage of subjects with &gt; 1 g/dL decrease in haemoglobin in the nr-axSpA UPA group than in the PBO group, which</w:t>
      </w:r>
      <w:r>
        <w:rPr>
          <w:rFonts w:eastAsia="TimesNewRoman"/>
        </w:rPr>
        <w:t xml:space="preserve"> was not noted in the study report.</w:t>
      </w:r>
    </w:p>
    <w:p w14:paraId="598A2D29" w14:textId="77777777" w:rsidR="00224F89" w:rsidRDefault="00224F89" w:rsidP="00224F89">
      <w:pPr>
        <w:rPr>
          <w:rFonts w:ascii="Times New Roman" w:eastAsia="Times New Roman" w:hAnsi="Times New Roman"/>
        </w:rPr>
      </w:pPr>
      <w:r>
        <w:t>There was no data presented to support claims for lack of covariate effects in AS or nr-axSpA populations.</w:t>
      </w:r>
      <w:r w:rsidRPr="001B4526">
        <w:t xml:space="preserve"> </w:t>
      </w:r>
    </w:p>
    <w:p w14:paraId="24F371F6" w14:textId="77777777" w:rsidR="00224F89" w:rsidRDefault="00224F89" w:rsidP="00224F89">
      <w:pPr>
        <w:pStyle w:val="Heading4"/>
      </w:pPr>
      <w:bookmarkStart w:id="51" w:name="_Toc175736517"/>
      <w:r w:rsidRPr="00AA53F4">
        <w:t>Efficacy</w:t>
      </w:r>
      <w:bookmarkEnd w:id="51"/>
    </w:p>
    <w:p w14:paraId="2A67ABB5" w14:textId="77777777" w:rsidR="00224F89" w:rsidRDefault="00224F89" w:rsidP="00224F89">
      <w:r>
        <w:t>The two pivotal studies included in this submission (M19-994 Study 1 and Study 2) shared a common design and protocol, but all randomization, data collection and analyses for the double-blind (DB) and open-label (OL) long-term extension (LTE) periods were completed independently. Only the results of the first 14 weeks of the DB placebo-controlled (PC) period were presented with the initial submission. Data up to week 52 were included with a response to a request for information. The treatment dosage of 15 mg QD was informed by the results of previous studies in adults with rheumatoid arthritis and ankylosing spondylitis.</w:t>
      </w:r>
    </w:p>
    <w:p w14:paraId="66330137" w14:textId="1B2347DA" w:rsidR="00224F89" w:rsidRDefault="00224F89" w:rsidP="00224F89">
      <w:r>
        <w:t>The basic study schema for the two pivotal studies is outlined in</w:t>
      </w:r>
      <w:r w:rsidR="00B35870">
        <w:t xml:space="preserve"> Figure 1</w:t>
      </w:r>
      <w:r>
        <w:t>.</w:t>
      </w:r>
    </w:p>
    <w:p w14:paraId="5A5A25CF" w14:textId="55987C78" w:rsidR="00224F89" w:rsidRDefault="00224F89" w:rsidP="00224F89">
      <w:pPr>
        <w:pStyle w:val="FigureTitle"/>
      </w:pPr>
      <w:r w:rsidRPr="00224F89">
        <w:lastRenderedPageBreak/>
        <w:t>Figure 1: Common study schema for M19-994</w:t>
      </w:r>
    </w:p>
    <w:p w14:paraId="4DC2793D" w14:textId="77777777" w:rsidR="00224F89" w:rsidRDefault="00224F89" w:rsidP="00224F89">
      <w:r w:rsidRPr="009B4134">
        <w:rPr>
          <w:noProof/>
        </w:rPr>
        <w:drawing>
          <wp:inline distT="0" distB="0" distL="0" distR="0" wp14:anchorId="10C9DD5E" wp14:editId="252968EF">
            <wp:extent cx="8785040" cy="4933677"/>
            <wp:effectExtent l="158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rot="16200000">
                      <a:off x="0" y="0"/>
                      <a:ext cx="8804587" cy="4944655"/>
                    </a:xfrm>
                    <a:prstGeom prst="rect">
                      <a:avLst/>
                    </a:prstGeom>
                  </pic:spPr>
                </pic:pic>
              </a:graphicData>
            </a:graphic>
          </wp:inline>
        </w:drawing>
      </w:r>
    </w:p>
    <w:p w14:paraId="20A9B74F" w14:textId="77777777" w:rsidR="00224F89" w:rsidRDefault="00224F89" w:rsidP="003A0CCE">
      <w:pPr>
        <w:pStyle w:val="Heading5"/>
      </w:pPr>
      <w:r>
        <w:lastRenderedPageBreak/>
        <w:t>Non-radiographic axial spondyloarthritis</w:t>
      </w:r>
    </w:p>
    <w:p w14:paraId="29EA0FAB" w14:textId="2BB7B7A1" w:rsidR="00224F89" w:rsidRDefault="00224F89" w:rsidP="00AB5E38">
      <w:pPr>
        <w:ind w:right="-144"/>
      </w:pPr>
      <w:r>
        <w:t>The pivotal efficacy and safety study in nr-axSpA is M19-994 Study 2. The study includes a 35-day screening period; a 52-week randomized, double-blind (DB), parallel-group, placebo-controlled (PC) period (DB Period); a 52-week open-label (OL), long-term extension (LTE) period (OLE Period); and follow up visit 30 days after completion of the OLE period. Active nr-axSpA is defined by meeting the 2009 ASAS classification criteria for axSpA but not meeting the radiologic criterion of the modified New York criteria for AS; and having objective signs of active inflammation on MRI of the SI joints or a high-sensitivity measurement of CRP (hsCRP) in blood &gt; upper limit of normal (ULN).</w:t>
      </w:r>
    </w:p>
    <w:p w14:paraId="1367CEEB" w14:textId="77777777" w:rsidR="00224F89" w:rsidRDefault="00224F89" w:rsidP="00224F89">
      <w:r>
        <w:t>In the 52-week DB period, adults with active nr-axSpA are randomized in a 1:1 ratio to treatment with UPA 15 mg once daily (QD) or placebo (PBO) QD. In the OLE, participants in the PBO group are switched to OL UPA15 mg QD at Week 52 and participants in the UPA group continue with the same dose.</w:t>
      </w:r>
    </w:p>
    <w:p w14:paraId="1079BEE7" w14:textId="77777777" w:rsidR="00224F89" w:rsidRDefault="00224F89" w:rsidP="00224F89">
      <w:r>
        <w:t xml:space="preserve">Participants in the OLE who are in remission at week 104 (after 52 weeks of OL UPA), as defined by </w:t>
      </w:r>
      <w:r w:rsidRPr="00950761">
        <w:t>Ankylosing Spondylitis Disease Activity Score</w:t>
      </w:r>
      <w:r>
        <w:t xml:space="preserve"> (ASDAS)-CRP &lt; 1.3 at Week 104 and ASDAS-CRP &lt; 2.1 at Week 88, are eligible for further treatment in a Remission-Withdrawal Period. This group will be followed over a further 48 weeks (through to Week 152) without study drug treatment and assessed for disease flare</w:t>
      </w:r>
      <w:r>
        <w:rPr>
          <w:rStyle w:val="FootnoteReference"/>
        </w:rPr>
        <w:footnoteReference w:id="8"/>
      </w:r>
      <w:r>
        <w:t xml:space="preserve">. </w:t>
      </w:r>
    </w:p>
    <w:p w14:paraId="299D59DE" w14:textId="77777777" w:rsidR="00224F89" w:rsidRDefault="00224F89" w:rsidP="00224F89">
      <w:r>
        <w:t>Those participants who are not in remission at Week 104 complete the study after the 30-day follow-up visit or, according to local requirements may have the option to enter further OL treatment with UPA for a predefined period.</w:t>
      </w:r>
    </w:p>
    <w:p w14:paraId="148D6B19" w14:textId="77777777" w:rsidR="00224F89" w:rsidRDefault="00224F89" w:rsidP="00224F89">
      <w:r>
        <w:t xml:space="preserve">Inclusion and exclusion criteria are outlined in the TGA clinical evaluation report (CER p. 22 </w:t>
      </w:r>
      <w:r>
        <w:rPr>
          <w:i/>
          <w:iCs/>
        </w:rPr>
        <w:t xml:space="preserve">et </w:t>
      </w:r>
      <w:r w:rsidRPr="008666CE">
        <w:rPr>
          <w:i/>
          <w:iCs/>
        </w:rPr>
        <w:t>seq</w:t>
      </w:r>
      <w:r>
        <w:t xml:space="preserve">). Inclusion criteria </w:t>
      </w:r>
      <w:r w:rsidRPr="00463DBD">
        <w:t>at</w:t>
      </w:r>
      <w:r>
        <w:t xml:space="preserve"> baseline include age 18 years or older with active nr-axSpA as described above; a Bath Ankylosing Spondylitis Disease Activity Index (BASDAI) score ≥ 4 and BASDAI Total Back Pain score ≥ 4 at both the screening and baseline visits; permitted concomitant medication(s) must be at a stable dose for a minimum period specified for the specific medication. Participants should have experienced an inadequate response to at least two NSAIDs over at least four weeks in total at maximum recommended or tolerated doses or should have had an intolerance to or contraindication for NSAIDs (as defined by the Investigator). Between 20% and 35% of participants may have been treated previously with no more than one bDMARD (either a TNFi or an IL-17i). The bDMARD must have been discontinued owing to either lack of efficacy after at least 12 weeks with treatment at an adequate dose, or to intolerance irrespective of treatment duration. Minimum medication specific washout periods were applied. Major exclusion criteria were prior exposure to two or more bDMARDs (regardless of response or intolerance), prior exposure to any JAKi including upadacitinib, prior exposure within specific limited time frames to a range of medicines including other DMARDs, intra-articular injections, parenteral corticosteroids and strong CYP3A inhibitors (as outlined in the CER). History of chronic, </w:t>
      </w:r>
      <w:proofErr w:type="gramStart"/>
      <w:r>
        <w:t>recurrent</w:t>
      </w:r>
      <w:proofErr w:type="gramEnd"/>
      <w:r>
        <w:t xml:space="preserve"> or recent severe infections, recent history of major adverse cardiovascular events (MACE), malignancy, or other inflammatory arthritic conditions were also among the exclusion criteria. </w:t>
      </w:r>
    </w:p>
    <w:p w14:paraId="54B9CDC8" w14:textId="77777777" w:rsidR="00AB5E38" w:rsidRDefault="00224F89" w:rsidP="00224F89">
      <w:r>
        <w:t>Overall, 156 participants were randomized to UPA (156 treated) and 158 participants to PBO (157 treated) in the DB phase.</w:t>
      </w:r>
      <w:r w:rsidRPr="00BB0506">
        <w:t xml:space="preserve"> </w:t>
      </w:r>
      <w:r>
        <w:t xml:space="preserve">Randomization was stratified by MRI evidence of sacroiliitis and hsCRP status (MRI+/hsCRP &gt; ULN, MRI+/hsCRP ≤ ULN, MRI–/hsCRP &gt; ULN) and by prior exposure to </w:t>
      </w:r>
      <w:proofErr w:type="spellStart"/>
      <w:r>
        <w:t>bDMARDs</w:t>
      </w:r>
      <w:proofErr w:type="spellEnd"/>
      <w:r>
        <w:t xml:space="preserve"> (yes/no).</w:t>
      </w:r>
    </w:p>
    <w:p w14:paraId="10526292" w14:textId="77184DBD" w:rsidR="00224F89" w:rsidRDefault="00224F89" w:rsidP="00224F89">
      <w:r>
        <w:lastRenderedPageBreak/>
        <w:t>At week 14, 142 in the UPA group and 159 in the PBO group had completed the DB phase of the study. Discontinuation for lack of efficacy was reported by three participants in each treatment group, for adverse events was reported by two participants in the PBO group and four participants in the UPA group. Other reasons for discontinuation included withdrawal by subject and “other” in the PBO group (one each), and withdrawal by subject (two), COVID-19 logistics (one) and “other” (one) in the UPA group. Protocol deviations were reported for around 20% of all participants, the most frequent reports were eligibility criteria not met (19.6% in the PBO group, 14.7% in the UPA group) and use of prohibited concomitant medication (3.2% and 7.1%, respectively). The sponsor stated that the protocol deviations did not substantially affect the clinical outcomes.</w:t>
      </w:r>
    </w:p>
    <w:p w14:paraId="439C2F44" w14:textId="79FC516B" w:rsidR="00224F89" w:rsidRPr="00912276" w:rsidRDefault="00224F89" w:rsidP="00224F89">
      <w:r>
        <w:t>The primary efficacy outcome was ASAS40</w:t>
      </w:r>
      <w:r>
        <w:rPr>
          <w:rStyle w:val="FootnoteReference"/>
        </w:rPr>
        <w:footnoteReference w:id="9"/>
      </w:r>
      <w:r>
        <w:t xml:space="preserve"> response at week 14. The multiplicity-controlled secondary endpoints at Week 14 (unless otherwise noted) are change from baseline (△) in ASDAS (△ASDAS),  △MRI SPARCC</w:t>
      </w:r>
      <w:r>
        <w:rPr>
          <w:rStyle w:val="FootnoteReference"/>
        </w:rPr>
        <w:footnoteReference w:id="10"/>
      </w:r>
      <w:r>
        <w:t xml:space="preserve"> score (SI joint), BASDAI 50 response; ASDAS inactive disease (ASDAS score &lt; 1.3), △ in patient's assessment of total back pain (△total back pain);  △ in patient's assessment of nocturnal back pain (△nocturnal back pain);  ASDAS low disease activity (LDA, ASDAS score &lt; 2.1);  ASAS partial remission (PR)</w:t>
      </w:r>
      <w:r w:rsidRPr="00654CD6">
        <w:rPr>
          <w:rStyle w:val="FootnoteReference"/>
        </w:rPr>
        <w:t xml:space="preserve"> </w:t>
      </w:r>
      <w:r>
        <w:rPr>
          <w:rStyle w:val="FootnoteReference"/>
        </w:rPr>
        <w:footnoteReference w:id="11"/>
      </w:r>
      <w:r>
        <w:t>;  △BASFI;  △ASQoL</w:t>
      </w:r>
      <w:r>
        <w:rPr>
          <w:rStyle w:val="FootnoteReference"/>
        </w:rPr>
        <w:footnoteReference w:id="12"/>
      </w:r>
      <w:r>
        <w:t>;  △ in ASAS Health Index (HI); ASAS20 response; △BASMI linear;  △MASES</w:t>
      </w:r>
      <w:r>
        <w:rPr>
          <w:rStyle w:val="FootnoteReference"/>
        </w:rPr>
        <w:footnoteReference w:id="13"/>
      </w:r>
      <w:r>
        <w:t xml:space="preserve">;  ASAS40 response at Week 52. </w:t>
      </w:r>
    </w:p>
    <w:p w14:paraId="59CE0E55" w14:textId="77777777" w:rsidR="00224F89" w:rsidRDefault="00224F89" w:rsidP="00224F89">
      <w:r>
        <w:t xml:space="preserve">Several additional outcomes were also described for the DB and OL phases. The key efficacy outcome in the remission-withdrawal period was time to flare. </w:t>
      </w:r>
    </w:p>
    <w:p w14:paraId="5108A96C" w14:textId="77777777" w:rsidR="00224F89" w:rsidRDefault="00224F89" w:rsidP="00224F89">
      <w:r>
        <w:t>The demographic data at baseline for the UPA and PBO populations were generally comparable, exceptions were a slightly higher preponderance of Hispanic or Latino ethnicity in the UPA group (15.4%) vs the PBO group (9.6%), and moderately more current alcohol drinkers in the PBO group (49.7%) than in the UPA group (38.7%). Baseline disease characteristics were also comparable in the two groups, although slightly more participants in the PBO group (73.2%) than in the UPA group (64.1%) had been diagnosed less than five years previously. Overall, 32.9% of participants had previously used a bDMARD (mainly TNFi). Most of those had discontinued owing to lack of efficacy. Opioid use at baseline was higher in the PBO group (n=18, 11.5%) compared to the UPA group (n=6, 3.8%). Small numbers limit interpretation of this difference. Screening assessments of disease activity were comparable in the two treatment groups, although mean [SD] hsCRP concentrations were higher in the UPA group (13.61 [24.79] mg/L) than in the PBO group (10.52 [13.52] mg/dL). In the two groups hsCRP data were not normally distributed - although approximately similar proportions of participants in each group had hsCRP levels &gt; ULN, more participants in the UPA group (63.5%) than in the PBO group (53.5%) had hsCRP measures &gt; 5mg/L at baseline.</w:t>
      </w:r>
    </w:p>
    <w:p w14:paraId="54586634" w14:textId="493082B2" w:rsidR="00224F89" w:rsidRDefault="00224F89" w:rsidP="00224F89">
      <w:pPr>
        <w:tabs>
          <w:tab w:val="left" w:pos="3778"/>
        </w:tabs>
        <w:spacing w:line="240" w:lineRule="auto"/>
      </w:pPr>
      <w:r>
        <w:t>Upadacitinib 15mg QD was statistically significantly superior to PBO in achieving the primary efficacy outcome with 44.9% of participants in the UPA group achieving ASAS40 response at week 14, compared to 22.5% of participants in the PBO group (</w:t>
      </w:r>
      <w:r w:rsidR="00B35870">
        <w:t>Table 2</w:t>
      </w:r>
      <w:r>
        <w:t xml:space="preserve">). The results of the primary efficacy outcome were supported by the key secondary and additional secondary outcomes down to the △linear BASMI, where a numerical superiority (point estimate -0.29, 95% CI [-0.40, -0.18]) in the UPA treatment group was not statistically significantly different from the </w:t>
      </w:r>
      <w:r>
        <w:lastRenderedPageBreak/>
        <w:t>results in the PBO group (point estimate -0.19, 95% CI [-0.29, -0.08]). The result was also supported by sensitivity analyses. Although the study did not include analyses by subgroups in the ranked outcomes, it is noted that UPA showed numerical superiority over PBO in MRI+/hsCRP &gt; ULN, MRI+/hsCRP ≤ ULN, MRI–/hsCRP &gt; ULN groups, although the confidence intervals for the difference in effect in the MRI+/hsCRP ≤ ULN included 0. Regarding prior exposure to bDMARDs, participants who had previously been treated with bDMARDs generally had lower response rates than bDMARD naïve participants. No results were available for the OL or remission-withdrawal periods of the study.</w:t>
      </w:r>
    </w:p>
    <w:p w14:paraId="5E55CE27" w14:textId="7D08046B" w:rsidR="00224F89" w:rsidRDefault="00224F89" w:rsidP="009C4FA6">
      <w:pPr>
        <w:pStyle w:val="TableTitle"/>
      </w:pPr>
      <w:bookmarkStart w:id="52" w:name="_Ref116388373"/>
      <w:r>
        <w:t xml:space="preserve">Table </w:t>
      </w:r>
      <w:bookmarkEnd w:id="52"/>
      <w:r w:rsidR="00B35870">
        <w:t>2</w:t>
      </w:r>
      <w:r>
        <w:t>: M19-994 Study 2 (nr-axSpA) ASAS40 response at week 14</w:t>
      </w:r>
    </w:p>
    <w:p w14:paraId="1CD29246" w14:textId="77777777" w:rsidR="00224F89" w:rsidRDefault="00224F89" w:rsidP="00224F89">
      <w:pPr>
        <w:tabs>
          <w:tab w:val="left" w:pos="3778"/>
        </w:tabs>
        <w:spacing w:after="0" w:line="240" w:lineRule="auto"/>
      </w:pPr>
      <w:r w:rsidRPr="006879AF">
        <w:rPr>
          <w:noProof/>
          <w:lang w:eastAsia="ja-JP"/>
        </w:rPr>
        <w:drawing>
          <wp:inline distT="0" distB="0" distL="0" distR="0" wp14:anchorId="058E8A9F" wp14:editId="113FC840">
            <wp:extent cx="5552915" cy="34333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2111" cy="3556474"/>
                    </a:xfrm>
                    <a:prstGeom prst="rect">
                      <a:avLst/>
                    </a:prstGeom>
                  </pic:spPr>
                </pic:pic>
              </a:graphicData>
            </a:graphic>
          </wp:inline>
        </w:drawing>
      </w:r>
    </w:p>
    <w:p w14:paraId="554254AE" w14:textId="77777777" w:rsidR="00224F89" w:rsidRDefault="00224F89" w:rsidP="00AB5E38">
      <w:pPr>
        <w:spacing w:before="120"/>
      </w:pPr>
      <w:r>
        <w:t xml:space="preserve">Additional efficacy data in nr-axSpA up to week 52 submitted with a response to a request for information reported that </w:t>
      </w:r>
      <w:r w:rsidRPr="0016620B">
        <w:t xml:space="preserve">a greater percentage of </w:t>
      </w:r>
      <w:r>
        <w:t>participants in the UPA group (62.8%)</w:t>
      </w:r>
      <w:r w:rsidRPr="0016620B">
        <w:t xml:space="preserve"> </w:t>
      </w:r>
      <w:r>
        <w:t>than in the</w:t>
      </w:r>
      <w:r w:rsidRPr="0016620B">
        <w:t xml:space="preserve"> placebo group (42.7%)</w:t>
      </w:r>
      <w:r>
        <w:t xml:space="preserve"> had </w:t>
      </w:r>
      <w:r w:rsidRPr="0016620B">
        <w:t xml:space="preserve">an ASAS40 response </w:t>
      </w:r>
      <w:r>
        <w:t xml:space="preserve">at week 52, </w:t>
      </w:r>
      <w:r w:rsidRPr="0016620B">
        <w:t>resulting in a placebo-adjusted difference of 20.1%</w:t>
      </w:r>
      <w:r>
        <w:t>. Supplementary analyses at week 52 were supportive. At w</w:t>
      </w:r>
      <w:r w:rsidRPr="009E48CE">
        <w:t>eek 52</w:t>
      </w:r>
      <w:r>
        <w:t>, the rates</w:t>
      </w:r>
      <w:r w:rsidRPr="009E48CE">
        <w:t xml:space="preserve"> of concomitant medication use were </w:t>
      </w:r>
      <w:proofErr w:type="gramStart"/>
      <w:r w:rsidRPr="009E48CE">
        <w:t>similar to</w:t>
      </w:r>
      <w:proofErr w:type="gramEnd"/>
      <w:r w:rsidRPr="009E48CE">
        <w:t xml:space="preserve"> those reported </w:t>
      </w:r>
      <w:r>
        <w:t xml:space="preserve">at </w:t>
      </w:r>
      <w:r w:rsidRPr="009E48CE">
        <w:t>Week 14.</w:t>
      </w:r>
      <w:r>
        <w:t xml:space="preserve"> Specifically, </w:t>
      </w:r>
      <w:r w:rsidRPr="009E48CE">
        <w:t xml:space="preserve">81.4% </w:t>
      </w:r>
      <w:r>
        <w:t xml:space="preserve">participants in the UPA group </w:t>
      </w:r>
      <w:r w:rsidRPr="009E48CE">
        <w:t xml:space="preserve">and 77.7% in the </w:t>
      </w:r>
      <w:r>
        <w:t>PBO group</w:t>
      </w:r>
      <w:r w:rsidRPr="009E48CE">
        <w:t xml:space="preserve"> took one or more concomitant NSAIDs</w:t>
      </w:r>
      <w:r>
        <w:t>;</w:t>
      </w:r>
      <w:r w:rsidRPr="009E48CE">
        <w:t xml:space="preserve"> 28.8% of </w:t>
      </w:r>
      <w:r>
        <w:t xml:space="preserve">the UPA group </w:t>
      </w:r>
      <w:r w:rsidRPr="009E48CE">
        <w:t>and 35.7% of</w:t>
      </w:r>
      <w:r>
        <w:t xml:space="preserve"> the PBO </w:t>
      </w:r>
      <w:r w:rsidRPr="009E48CE">
        <w:t xml:space="preserve">group </w:t>
      </w:r>
      <w:r>
        <w:t xml:space="preserve">took </w:t>
      </w:r>
      <w:r w:rsidRPr="009E48CE">
        <w:t>concomitant csDMARD therapy</w:t>
      </w:r>
      <w:r>
        <w:t xml:space="preserve">; and </w:t>
      </w:r>
      <w:r w:rsidRPr="009E48CE">
        <w:t xml:space="preserve">14.7% and 11.5% of </w:t>
      </w:r>
      <w:r>
        <w:t>the UPA and PBO</w:t>
      </w:r>
      <w:r w:rsidRPr="009E48CE">
        <w:t xml:space="preserve"> groups, respectively, took one or more concomitant oral corticosteroid.</w:t>
      </w:r>
    </w:p>
    <w:p w14:paraId="6CB77B76" w14:textId="77777777" w:rsidR="00224F89" w:rsidRDefault="00224F89" w:rsidP="003A0CCE">
      <w:pPr>
        <w:pStyle w:val="Heading5"/>
      </w:pPr>
      <w:r>
        <w:t>Ankylosing spondylitis (bDMARD-IR)</w:t>
      </w:r>
    </w:p>
    <w:p w14:paraId="56085F6B" w14:textId="77777777" w:rsidR="00224F89" w:rsidRDefault="00224F89" w:rsidP="00224F89">
      <w:r>
        <w:t>The pivotal efficacy and safety study in bDMARD-IR AS is M19-994 Study 1. The study shares a similar overall design with M19-994 Study 2, with a 35-day screening period; only a 14-week randomized, parallel-group, PC, DB Period; a longer 90-week OLE period; and follow up visit 30 days after completion of the OLE period. Patients enrolled in Study 1 were men and women aged 18 years and over who had a clinical diagnosis of AS that was confirmed by modified New York Criteria, did not have evidence of total spinal ankylosis, and had an inadequate response to bDMARD treatment.</w:t>
      </w:r>
    </w:p>
    <w:p w14:paraId="1A4167F6" w14:textId="77777777" w:rsidR="00224F89" w:rsidRDefault="00224F89" w:rsidP="00224F89">
      <w:r>
        <w:t xml:space="preserve">In the DB period, adults with bDMARD-IR AS were randomized in a 1:1 ratio to treatment with UPA 15 mg QD (n=193) or placebo (n=193). In the OLE, participants in the PBO group were </w:t>
      </w:r>
      <w:r>
        <w:lastRenderedPageBreak/>
        <w:t>switched to OL UPA 15 mg QD at Week 14 and participants in the UPA group continued with the same dose.</w:t>
      </w:r>
    </w:p>
    <w:p w14:paraId="5A3E04E8" w14:textId="77777777" w:rsidR="00224F89" w:rsidRDefault="00224F89" w:rsidP="00224F89">
      <w:r>
        <w:t>Participants in the OLE who are in remission at week 104 (ASDAS-CRP &lt; 1.3 at Week 104 and ASDAS-CRP &lt; 2.1 at Week 88), are eligible for further treatment in a remission-withdrawal period. This group will be followed over a further 48 weeks (through to Week 152) without study drug treatment and assessed for disease flare. Participants who experience a flare will recommence OL UPA 15 mg QD from the time of flare for 24 weeks (re-treatment) or longer according to local requirements. Participants who do not experience a flare, will be followed until Week 152.</w:t>
      </w:r>
    </w:p>
    <w:p w14:paraId="184F2F7F" w14:textId="77777777" w:rsidR="00224F89" w:rsidRDefault="00224F89" w:rsidP="00224F89">
      <w:r>
        <w:t>Those participants who are not in remission at Week 104 complete the study after the 30-day follow-up visit or, according to local requirements may have the option to enter further OL treatment with UPA for a predefined period.</w:t>
      </w:r>
    </w:p>
    <w:p w14:paraId="30DDCE3D" w14:textId="420C6EF5" w:rsidR="00224F89" w:rsidRDefault="00224F89" w:rsidP="00224F89">
      <w:r>
        <w:t>In general, the inclusion and exclusion criteria for Study 1 were the same as those applied to the nr-axSpA population in Study 2 including the requirement for BASDAI and BASDAI total back pain scores ≥ 4 at both the screening and baseline visits. Inclusion criteria specific to the bDMARD-IR population were previous exposure to no more than two bDMARDs, at least one of which was a TNFi or IL-17i. The participant must have discontinued a bDMARD owing to either lack of efficacy after at least 12 weeks treatment at an adequate dose, or intolerance irrespective of the duration of treatment. Patients who had experienced two bDMARDs were restricted to a maximum of 30% of the study population, and patients who had experienced inadequate response to both a TNFi and IL-17i were excluded.</w:t>
      </w:r>
    </w:p>
    <w:p w14:paraId="483DCF5A" w14:textId="77777777" w:rsidR="00224F89" w:rsidRPr="00F14956" w:rsidRDefault="00224F89" w:rsidP="00224F89">
      <w:r>
        <w:t>Overall, 420 participants were randomized in Study 1; 211 participants in the UPA group and 209 participants in the PBO group received study drug in the DB phase.</w:t>
      </w:r>
      <w:r w:rsidRPr="00BB0506">
        <w:t xml:space="preserve"> </w:t>
      </w:r>
      <w:r>
        <w:t>Randomization was stratified by hsCRP status (hsCRP &gt; ULN, hsCRP ≤ ULN), type of bDMARDs previously experienced (TNFi, IL-17i, other) and geographic region (US/Canada vs Rest of World, not including China or Japan (ROW)). At week 14, 206 in the UPA group and 203 in the PBO group had completed the DB phase of the study.</w:t>
      </w:r>
      <w:r w:rsidRPr="00F14956">
        <w:t xml:space="preserve"> </w:t>
      </w:r>
      <w:r>
        <w:t xml:space="preserve">Discontinuations in the DB period </w:t>
      </w:r>
      <w:proofErr w:type="gramStart"/>
      <w:r>
        <w:t>were</w:t>
      </w:r>
      <w:proofErr w:type="gramEnd"/>
      <w:r>
        <w:t xml:space="preserve"> uncommon: in the UPA group two participants discontinued for “other reasons” and one each for “lack of efficacy”, COVID-19 logistical reasons and loss to follow up; in the PBO group three participants discontinued for adverse events and one each for “lack of efficacy”, withdrawal by subject and loss to follow up</w:t>
      </w:r>
      <w:r w:rsidRPr="00F14956">
        <w:t>. Protocol deviations were reported for around 10% of all participants. The sponsor stated that the protocol deviations did not substantially affect the clinical outcomes.</w:t>
      </w:r>
    </w:p>
    <w:p w14:paraId="06489DB2" w14:textId="77777777" w:rsidR="00224F89" w:rsidRPr="00912276" w:rsidRDefault="00224F89" w:rsidP="00224F89">
      <w:r>
        <w:t>The primary efficacy outcome was ASAS40 response at week 14. The multiplicity-controlled secondary endpoints at Week 14 were △ASDAS-CRP, △MRI SPARCC score (spine), BASDAI 50 response; ASAS20 response; ASDAS-CRP inactive disease (ID); △total back pain; △nocturnal back pain; ASDAS-CRP LDA; △BASFI; ASAS PR; △ASQoL; △ASAS HI; △BASMI linear; △MASES; △MRI SPARCC score (SI joints).</w:t>
      </w:r>
    </w:p>
    <w:p w14:paraId="2AD65BA8" w14:textId="77777777" w:rsidR="00224F89" w:rsidRDefault="00224F89" w:rsidP="00224F89">
      <w:r>
        <w:t xml:space="preserve">The demographic data at baseline for the UPA and PBO groups in the bDMARD-IR AS population were generally comparable, an exception was slightly more current alcohol drinkers in the UPA group (41.6%) than in the PBO group (34.1%). Baseline disease characteristics were also comparable in the two groups, although slightly more participants in the PBO group (51.7%) than in the UPA group (45.5%) had been diagnosed less than five years previously. Overall, 74.3% of participants had previously used one TNFi with inadequate response, 12.6% had previously used one IL-17i with inadequate response and 12.9% had used two prior bDMARDs with inadequate response to one. </w:t>
      </w:r>
    </w:p>
    <w:p w14:paraId="7C86F306" w14:textId="7AEEDB4B" w:rsidR="00224F89" w:rsidRDefault="00224F89" w:rsidP="00224F89">
      <w:pPr>
        <w:rPr>
          <w:lang w:eastAsia="ja-JP"/>
        </w:rPr>
      </w:pPr>
      <w:r w:rsidRPr="00E6223C">
        <w:rPr>
          <w:lang w:eastAsia="ja-JP"/>
        </w:rPr>
        <w:t xml:space="preserve">The study met its primary endpoint based on a statistically significantly greater percentage of subjects in the </w:t>
      </w:r>
      <w:r>
        <w:rPr>
          <w:lang w:eastAsia="ja-JP"/>
        </w:rPr>
        <w:t>UPA</w:t>
      </w:r>
      <w:r w:rsidRPr="00E6223C">
        <w:rPr>
          <w:lang w:eastAsia="ja-JP"/>
        </w:rPr>
        <w:t xml:space="preserve"> group (44.5%) achieving an ASAS40 response compared with subjects in the </w:t>
      </w:r>
      <w:r>
        <w:rPr>
          <w:lang w:eastAsia="ja-JP"/>
        </w:rPr>
        <w:lastRenderedPageBreak/>
        <w:t>PBO</w:t>
      </w:r>
      <w:r w:rsidRPr="00E6223C">
        <w:rPr>
          <w:lang w:eastAsia="ja-JP"/>
        </w:rPr>
        <w:t xml:space="preserve"> group (18.2%) at Week 14</w:t>
      </w:r>
      <w:r>
        <w:rPr>
          <w:lang w:eastAsia="ja-JP"/>
        </w:rPr>
        <w:t xml:space="preserve"> (</w:t>
      </w:r>
      <w:r w:rsidR="00B35870">
        <w:rPr>
          <w:lang w:eastAsia="ja-JP"/>
        </w:rPr>
        <w:t>Table 3</w:t>
      </w:r>
      <w:r>
        <w:rPr>
          <w:lang w:eastAsia="ja-JP"/>
        </w:rPr>
        <w:t xml:space="preserve">). Secondary and sensitivity analyses supported the primary endpoint analysis. </w:t>
      </w:r>
    </w:p>
    <w:p w14:paraId="602639D2" w14:textId="4C981BF1" w:rsidR="00224F89" w:rsidRDefault="00224F89" w:rsidP="00224F89">
      <w:pPr>
        <w:pStyle w:val="TableTitle"/>
      </w:pPr>
      <w:bookmarkStart w:id="53" w:name="_Ref116542942"/>
      <w:r>
        <w:t xml:space="preserve">Table </w:t>
      </w:r>
      <w:bookmarkEnd w:id="53"/>
      <w:r w:rsidR="00B35870">
        <w:t>3</w:t>
      </w:r>
      <w:r>
        <w:t>: M19-944 Study 1 (bDMARD-IR AS) Primary and Multiplicity-Controlled Secondary Endpoints, Full Analysis Set</w:t>
      </w:r>
    </w:p>
    <w:p w14:paraId="44E18EC2" w14:textId="58A0C70D" w:rsidR="00C70DD7" w:rsidRDefault="00224F89" w:rsidP="00224F89">
      <w:r w:rsidRPr="00F8211F">
        <w:t xml:space="preserve"> </w:t>
      </w:r>
      <w:r w:rsidR="00C70DD7">
        <w:rPr>
          <w:noProof/>
        </w:rPr>
        <w:drawing>
          <wp:inline distT="0" distB="0" distL="0" distR="0" wp14:anchorId="6664B96F" wp14:editId="467E86AC">
            <wp:extent cx="5759450" cy="5790565"/>
            <wp:effectExtent l="0" t="0" r="0" b="635"/>
            <wp:docPr id="36980773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7731" name="Picture 1" descr="A screenshot of a document&#10;&#10;Description automatically generated"/>
                    <pic:cNvPicPr/>
                  </pic:nvPicPr>
                  <pic:blipFill>
                    <a:blip r:embed="rId27">
                      <a:extLst>
                        <a:ext uri="{BEBA8EAE-BF5A-486C-A8C5-ECC9F3942E4B}">
                          <a14:imgProps xmlns:a14="http://schemas.microsoft.com/office/drawing/2010/main">
                            <a14:imgLayer r:embed="rId28">
                              <a14:imgEffect>
                                <a14:sharpenSoften amount="45000"/>
                              </a14:imgEffect>
                              <a14:imgEffect>
                                <a14:brightnessContrast contrast="-52000"/>
                              </a14:imgEffect>
                            </a14:imgLayer>
                          </a14:imgProps>
                        </a:ext>
                      </a:extLst>
                    </a:blip>
                    <a:stretch>
                      <a:fillRect/>
                    </a:stretch>
                  </pic:blipFill>
                  <pic:spPr>
                    <a:xfrm>
                      <a:off x="0" y="0"/>
                      <a:ext cx="5759450" cy="5790565"/>
                    </a:xfrm>
                    <a:prstGeom prst="rect">
                      <a:avLst/>
                    </a:prstGeom>
                  </pic:spPr>
                </pic:pic>
              </a:graphicData>
            </a:graphic>
          </wp:inline>
        </w:drawing>
      </w:r>
    </w:p>
    <w:p w14:paraId="4B19128A" w14:textId="77777777" w:rsidR="00224F89" w:rsidRDefault="00224F89" w:rsidP="003A0CCE">
      <w:pPr>
        <w:pStyle w:val="Heading5"/>
      </w:pPr>
      <w:r>
        <w:t xml:space="preserve">Ankylosing spondylitis (bDMARD-naïve) </w:t>
      </w:r>
    </w:p>
    <w:p w14:paraId="1BE91A11" w14:textId="77777777" w:rsidR="00224F89" w:rsidRDefault="00224F89" w:rsidP="00224F89">
      <w:r>
        <w:t xml:space="preserve">Long-term efficacy data from study </w:t>
      </w:r>
      <w:r w:rsidRPr="00847102">
        <w:t>M16-098</w:t>
      </w:r>
      <w:r>
        <w:t xml:space="preserve"> in adults with AS were included in the submission. The primary efficacy data from this study were presented in submission PM-2020-02479-1-3. Participants were randomised to 15mg UPA daily or matching PBO, for an initial period of 14 weeks (Period 1), after which PBO patients were switched to 15mg UPA daily. All patients were then reviewed regularly up to a total of 104 weeks treatment (Period 2, OL), with an additional safety follow-up period of 30 days. </w:t>
      </w:r>
      <w:r>
        <w:rPr>
          <w:noProof/>
          <w:lang w:eastAsia="en-AU"/>
        </w:rPr>
        <w:t>Participants who did not achieve an ASAS20</w:t>
      </w:r>
      <w:r>
        <w:rPr>
          <w:rStyle w:val="FootnoteReference"/>
          <w:noProof/>
          <w:lang w:eastAsia="en-AU"/>
        </w:rPr>
        <w:footnoteReference w:id="14"/>
      </w:r>
      <w:r>
        <w:rPr>
          <w:noProof/>
          <w:lang w:eastAsia="en-AU"/>
        </w:rPr>
        <w:t xml:space="preserve"> response at two consecutive visits by week 16 were allowed additional or modified doses of NSAIDS, paracetamol, low potency opioids, and/or modifed doses of MTX or SSZ from week 20. </w:t>
      </w:r>
      <w:r>
        <w:rPr>
          <w:noProof/>
          <w:lang w:eastAsia="en-AU"/>
        </w:rPr>
        <w:lastRenderedPageBreak/>
        <w:t>Participants who did not achieve at least ASAS20 response at two consecutive visits by week 24 were discontinued from study treatment.</w:t>
      </w:r>
      <w:r>
        <w:t xml:space="preserve"> The primary endpoint, the proportion of participants achieving ASAS40 response at week 14, was statistically significantly higher in the UPA arm than in the PBO treated arm.</w:t>
      </w:r>
    </w:p>
    <w:p w14:paraId="5899C129" w14:textId="77777777" w:rsidR="00224F89" w:rsidRDefault="00224F89" w:rsidP="00224F89">
      <w:r>
        <w:t>A total of 179 participants (90 PBO, 89 UPA) entered the OL, LTE study and at the time of the report 123 participants had completed the initial DB study and the OL study to 104 weeks. Of all participants exposed to UPA in this study, 35 discontinued in either the DB or OL phases. The most common reasons for discontinuation were lack of efficacy (n=12, 6.7% of the study population) and adverse event (n=11, 6.2%), followed by withdrawal by subject (n=8, 4.5%).</w:t>
      </w:r>
    </w:p>
    <w:p w14:paraId="1D942A92" w14:textId="713DB346" w:rsidR="00224F89" w:rsidRDefault="00224F89" w:rsidP="00224F89">
      <w:r>
        <w:t>The LTE provided convincing evidence of maintenance of efficacy, with ASAS40 responses over 60% from 12 to 16 weeks after commencing treatment and achieving 88.7% after 104 weeks of treatment (</w:t>
      </w:r>
      <w:r w:rsidR="00B35870">
        <w:t>Figure 2</w:t>
      </w:r>
      <w:r>
        <w:t>). Consistent improvements were also reported for other efficacy outcomes.</w:t>
      </w:r>
    </w:p>
    <w:p w14:paraId="3A5A0915" w14:textId="183F7E04" w:rsidR="009C4FA6" w:rsidRDefault="009C4FA6" w:rsidP="00AB5E38">
      <w:pPr>
        <w:pStyle w:val="FigureTitle"/>
      </w:pPr>
      <w:r w:rsidRPr="009C4FA6">
        <w:lastRenderedPageBreak/>
        <w:t xml:space="preserve">Figure </w:t>
      </w:r>
      <w:r>
        <w:t>2</w:t>
      </w:r>
      <w:r w:rsidRPr="009C4FA6">
        <w:t>: M16-098 (bDMARD naïve AS) ASAS40 to week 104 on open-label treatment</w:t>
      </w:r>
    </w:p>
    <w:p w14:paraId="5831F35C" w14:textId="77777777" w:rsidR="00224F89" w:rsidRDefault="00224F89" w:rsidP="00AB5E38">
      <w:r w:rsidRPr="00AE683B">
        <w:rPr>
          <w:noProof/>
          <w:lang w:eastAsia="ja-JP"/>
        </w:rPr>
        <w:drawing>
          <wp:inline distT="0" distB="0" distL="0" distR="0" wp14:anchorId="257827B2" wp14:editId="5F952B4C">
            <wp:extent cx="7549462" cy="4386187"/>
            <wp:effectExtent l="31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8910"/>
                    <a:stretch/>
                  </pic:blipFill>
                  <pic:spPr bwMode="auto">
                    <a:xfrm rot="16200000">
                      <a:off x="0" y="0"/>
                      <a:ext cx="7968103" cy="4629415"/>
                    </a:xfrm>
                    <a:prstGeom prst="rect">
                      <a:avLst/>
                    </a:prstGeom>
                    <a:ln>
                      <a:noFill/>
                    </a:ln>
                    <a:extLst>
                      <a:ext uri="{53640926-AAD7-44D8-BBD7-CCE9431645EC}">
                        <a14:shadowObscured xmlns:a14="http://schemas.microsoft.com/office/drawing/2010/main"/>
                      </a:ext>
                    </a:extLst>
                  </pic:spPr>
                </pic:pic>
              </a:graphicData>
            </a:graphic>
          </wp:inline>
        </w:drawing>
      </w:r>
    </w:p>
    <w:p w14:paraId="58B6AE6B" w14:textId="77777777" w:rsidR="00224F89" w:rsidRPr="00A64AD5" w:rsidRDefault="00224F89" w:rsidP="00224F89">
      <w:r>
        <w:t xml:space="preserve">Overall, the presented studies in AS and nr-AxSpA </w:t>
      </w:r>
      <w:r w:rsidRPr="00B53B87">
        <w:rPr>
          <w:bCs/>
        </w:rPr>
        <w:t>demonstrated statistically significant and clinically meaningful improvements in clinical response, pain, physical function, health-related quality of life outcomes, enthesitis, spinal mobility, and objective measures of inflammation.</w:t>
      </w:r>
    </w:p>
    <w:p w14:paraId="734E2A3E" w14:textId="77777777" w:rsidR="00224F89" w:rsidRDefault="00224F89" w:rsidP="00224F89">
      <w:pPr>
        <w:pStyle w:val="Heading4"/>
      </w:pPr>
      <w:bookmarkStart w:id="54" w:name="_Toc175736518"/>
      <w:r w:rsidRPr="00AA53F4">
        <w:lastRenderedPageBreak/>
        <w:t>Safety</w:t>
      </w:r>
      <w:bookmarkEnd w:id="54"/>
    </w:p>
    <w:p w14:paraId="18B77188" w14:textId="77777777" w:rsidR="00224F89" w:rsidRDefault="00224F89" w:rsidP="003A0CCE">
      <w:pPr>
        <w:pStyle w:val="Heading5"/>
      </w:pPr>
      <w:r>
        <w:t>Non-radiographic axial spondyloarthritis</w:t>
      </w:r>
    </w:p>
    <w:p w14:paraId="508B1C30" w14:textId="2D7C6C12" w:rsidR="00224F89" w:rsidRDefault="00224F89" w:rsidP="00224F89">
      <w:r>
        <w:t>The assessment of safety of UPA in adults with active nr-axSpA included evaluation of adverse events (AEs), laboratory parameters (hematology, chemistry, and urinalysis), and vital signs. Adverse events of special interest (AESI) were identified based on safety concerns reported for other JAKi products, as well as data from preclinical studies and other UPA development programs. The mean durations of exposure of adults with nr-axSpA to UPA and PBO up to week 14 in the PBO-controlled period were approximately equivalent (96.4 days and 96.8 days, respectively). Incomplete datasets for the period to 52 weeks were provided with the initial submission. Additional data was accepted for evaluation at round 2. Duration of exposure to UPA in the 52-week DB period is summarised in</w:t>
      </w:r>
      <w:r w:rsidR="00B35870">
        <w:t xml:space="preserve"> Table 4</w:t>
      </w:r>
      <w:r>
        <w:t xml:space="preserve">. At the week 52 </w:t>
      </w:r>
      <w:r w:rsidR="00B35870">
        <w:t>clinical safety report (</w:t>
      </w:r>
      <w:r>
        <w:t>CSR</w:t>
      </w:r>
      <w:r w:rsidR="00B35870">
        <w:t>)</w:t>
      </w:r>
      <w:r>
        <w:t>, 123 adults with nr-axSpA had been exposed to 15mg UPA daily for at least 12 months in this study.</w:t>
      </w:r>
    </w:p>
    <w:p w14:paraId="03C5369B" w14:textId="64777DE8" w:rsidR="00224F89" w:rsidRDefault="00224F89" w:rsidP="009C4FA6">
      <w:pPr>
        <w:pStyle w:val="TableTitle"/>
      </w:pPr>
      <w:bookmarkStart w:id="55" w:name="_Ref116559870"/>
      <w:r>
        <w:t>Table</w:t>
      </w:r>
      <w:bookmarkEnd w:id="55"/>
      <w:r w:rsidR="009C4FA6">
        <w:t xml:space="preserve"> </w:t>
      </w:r>
      <w:r w:rsidR="00B35870">
        <w:t>4</w:t>
      </w:r>
      <w:r>
        <w:t>: M19-994 Study 2 (nr-axSpA) Extent of exposure 52-week double-blind period (Safety Analysis Set)</w:t>
      </w:r>
    </w:p>
    <w:p w14:paraId="3FCC91A1" w14:textId="77777777" w:rsidR="00224F89" w:rsidRDefault="00224F89" w:rsidP="00224F89">
      <w:r w:rsidRPr="00D727FA">
        <w:rPr>
          <w:noProof/>
        </w:rPr>
        <w:drawing>
          <wp:inline distT="0" distB="0" distL="0" distR="0" wp14:anchorId="0B628300" wp14:editId="5FF8A8E8">
            <wp:extent cx="5731510" cy="3081867"/>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7220"/>
                    <a:stretch/>
                  </pic:blipFill>
                  <pic:spPr bwMode="auto">
                    <a:xfrm>
                      <a:off x="0" y="0"/>
                      <a:ext cx="5731510" cy="3081867"/>
                    </a:xfrm>
                    <a:prstGeom prst="rect">
                      <a:avLst/>
                    </a:prstGeom>
                    <a:noFill/>
                    <a:ln>
                      <a:noFill/>
                    </a:ln>
                    <a:extLst>
                      <a:ext uri="{53640926-AAD7-44D8-BBD7-CCE9431645EC}">
                        <a14:shadowObscured xmlns:a14="http://schemas.microsoft.com/office/drawing/2010/main"/>
                      </a:ext>
                    </a:extLst>
                  </pic:spPr>
                </pic:pic>
              </a:graphicData>
            </a:graphic>
          </wp:inline>
        </w:drawing>
      </w:r>
    </w:p>
    <w:p w14:paraId="25FBA59B" w14:textId="1464968F" w:rsidR="00224F89" w:rsidRDefault="00224F89" w:rsidP="00AB5E38">
      <w:pPr>
        <w:spacing w:before="120"/>
      </w:pPr>
      <w:r>
        <w:t>Adverse event data up to 14 weeks in the DB phase are summarised in</w:t>
      </w:r>
      <w:r w:rsidR="00B35870">
        <w:t xml:space="preserve"> Table 5</w:t>
      </w:r>
      <w:r>
        <w:t xml:space="preserve">. </w:t>
      </w:r>
    </w:p>
    <w:p w14:paraId="420CF62A" w14:textId="2C498CFD" w:rsidR="00224F89" w:rsidRDefault="00224F89" w:rsidP="009C4FA6">
      <w:pPr>
        <w:pStyle w:val="TableTitle"/>
      </w:pPr>
      <w:bookmarkStart w:id="56" w:name="_Ref116561176"/>
      <w:r>
        <w:lastRenderedPageBreak/>
        <w:t>Table</w:t>
      </w:r>
      <w:bookmarkEnd w:id="56"/>
      <w:r w:rsidR="00B35870">
        <w:t xml:space="preserve"> 5</w:t>
      </w:r>
      <w:r>
        <w:t xml:space="preserve">: M19-994 Study 2 (nr-axSpA) Overview of </w:t>
      </w:r>
      <w:r w:rsidR="006E0A32" w:rsidRPr="006E0A32">
        <w:t xml:space="preserve">Treatment emergent adverse events </w:t>
      </w:r>
      <w:r w:rsidR="006E0A32">
        <w:t>(</w:t>
      </w:r>
      <w:r>
        <w:t>TEAE</w:t>
      </w:r>
      <w:r w:rsidR="006E0A32">
        <w:t>s)</w:t>
      </w:r>
      <w:r>
        <w:t xml:space="preserve"> in the DB period up to 14 weeks.</w:t>
      </w:r>
    </w:p>
    <w:p w14:paraId="064C6E58" w14:textId="77777777" w:rsidR="00224F89" w:rsidRDefault="00224F89" w:rsidP="00AB5E38">
      <w:r w:rsidRPr="00381179">
        <w:rPr>
          <w:noProof/>
        </w:rPr>
        <w:drawing>
          <wp:inline distT="0" distB="0" distL="0" distR="0" wp14:anchorId="3BBC80B4" wp14:editId="775179A5">
            <wp:extent cx="5089585" cy="335187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5989"/>
                    <a:stretch/>
                  </pic:blipFill>
                  <pic:spPr bwMode="auto">
                    <a:xfrm>
                      <a:off x="0" y="0"/>
                      <a:ext cx="5105164" cy="3362133"/>
                    </a:xfrm>
                    <a:prstGeom prst="rect">
                      <a:avLst/>
                    </a:prstGeom>
                    <a:noFill/>
                    <a:ln>
                      <a:noFill/>
                    </a:ln>
                    <a:extLst>
                      <a:ext uri="{53640926-AAD7-44D8-BBD7-CCE9431645EC}">
                        <a14:shadowObscured xmlns:a14="http://schemas.microsoft.com/office/drawing/2010/main"/>
                      </a:ext>
                    </a:extLst>
                  </pic:spPr>
                </pic:pic>
              </a:graphicData>
            </a:graphic>
          </wp:inline>
        </w:drawing>
      </w:r>
    </w:p>
    <w:p w14:paraId="3D31EB94" w14:textId="41D1067A" w:rsidR="00224F89" w:rsidRDefault="00224F89" w:rsidP="00212C4C">
      <w:r>
        <w:t xml:space="preserve">Up to Week 14, the most frequently reported </w:t>
      </w:r>
      <w:r w:rsidR="006E0A32">
        <w:t>t</w:t>
      </w:r>
      <w:r w:rsidR="006E0A32" w:rsidRPr="006E0A32">
        <w:t xml:space="preserve">reatment emergent adverse events </w:t>
      </w:r>
      <w:r w:rsidR="006E0A32">
        <w:t>(</w:t>
      </w:r>
      <w:r>
        <w:t>TEAEs</w:t>
      </w:r>
      <w:r w:rsidR="006E0A32">
        <w:t xml:space="preserve">; </w:t>
      </w:r>
      <w:r>
        <w:t>≥ 2% of participants) in the UPA group were headache, COVID-19, nasopharyngitis, nausea, abdominal pain, diarrhea, and neutropenia (</w:t>
      </w:r>
      <w:r w:rsidR="009C4FA6">
        <w:t xml:space="preserve">Table </w:t>
      </w:r>
      <w:r w:rsidR="00B35870">
        <w:t>6</w:t>
      </w:r>
      <w:r>
        <w:t>). The frequency of headache, nausea, abdominal pain, diarrhea, and neutropenia was numerically higher in the UPA group compared with the placebo group.</w:t>
      </w:r>
    </w:p>
    <w:p w14:paraId="3F275CCA" w14:textId="12C33CC9" w:rsidR="00224F89" w:rsidRDefault="00224F89" w:rsidP="00212C4C">
      <w:pPr>
        <w:pStyle w:val="TableTitle"/>
      </w:pPr>
      <w:bookmarkStart w:id="57" w:name="_Ref116562859"/>
      <w:r>
        <w:t xml:space="preserve">Table </w:t>
      </w:r>
      <w:bookmarkEnd w:id="57"/>
      <w:r w:rsidR="00B35870">
        <w:t>6</w:t>
      </w:r>
      <w:r>
        <w:t>: M19-994 Study 2 (nr-axSpA) TEAE in the DB period up to 14 weeks in ≥ 2% of participants</w:t>
      </w:r>
    </w:p>
    <w:p w14:paraId="47C1F578" w14:textId="6239C152" w:rsidR="008B4E74" w:rsidRDefault="008B4E74" w:rsidP="00212C4C">
      <w:r>
        <w:rPr>
          <w:noProof/>
        </w:rPr>
        <w:drawing>
          <wp:inline distT="0" distB="0" distL="0" distR="0" wp14:anchorId="19C35274" wp14:editId="3D073519">
            <wp:extent cx="5417389" cy="1426918"/>
            <wp:effectExtent l="0" t="0" r="0" b="1905"/>
            <wp:docPr id="39875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53840" name=""/>
                    <pic:cNvPicPr/>
                  </pic:nvPicPr>
                  <pic:blipFill>
                    <a:blip r:embed="rId33">
                      <a:extLst>
                        <a:ext uri="{BEBA8EAE-BF5A-486C-A8C5-ECC9F3942E4B}">
                          <a14:imgProps xmlns:a14="http://schemas.microsoft.com/office/drawing/2010/main">
                            <a14:imgLayer r:embed="rId34">
                              <a14:imgEffect>
                                <a14:sharpenSoften amount="35000"/>
                              </a14:imgEffect>
                              <a14:imgEffect>
                                <a14:brightnessContrast contrast="-30000"/>
                              </a14:imgEffect>
                            </a14:imgLayer>
                          </a14:imgProps>
                        </a:ext>
                      </a:extLst>
                    </a:blip>
                    <a:stretch>
                      <a:fillRect/>
                    </a:stretch>
                  </pic:blipFill>
                  <pic:spPr>
                    <a:xfrm>
                      <a:off x="0" y="0"/>
                      <a:ext cx="5432193" cy="1430817"/>
                    </a:xfrm>
                    <a:prstGeom prst="rect">
                      <a:avLst/>
                    </a:prstGeom>
                  </pic:spPr>
                </pic:pic>
              </a:graphicData>
            </a:graphic>
          </wp:inline>
        </w:drawing>
      </w:r>
    </w:p>
    <w:p w14:paraId="7FCF4A10" w14:textId="2B142EEA" w:rsidR="00224F89" w:rsidRDefault="00224F89" w:rsidP="00212C4C">
      <w:pPr>
        <w:rPr>
          <w:noProof/>
        </w:rPr>
      </w:pPr>
      <w:r>
        <w:t>The System Organ Classifications (SOC) with the highest proportion of participants with TEAEs (≥ 5% of participants in either group) were infections and infestations, GI disorders, investigations, nervous system disorders, musculoskeletal and connective tissue disorders, and skin and subcutaneous tissue disorders. Reports of TEAE in the infections and infestations SOC by Preferred Terms (PT) reported in &gt; 2% participants included COVID-19, nasopharyngitis,</w:t>
      </w:r>
      <w:r w:rsidR="00212C4C">
        <w:t xml:space="preserve"> </w:t>
      </w:r>
      <w:r>
        <w:t>oral herpes, and upper respiratory tract infection. Serious AEs reported in the UPA group included one report each of COVID-19 pneumonia, pyelonephritis, foot fracture and osteoarthritis, in the PBO group one report each pancreatitis and haemorrhagic fever with renal syndrome. Adverse events of special interest (AESI) reported in the DB period up to week 14 a</w:t>
      </w:r>
      <w:r>
        <w:rPr>
          <w:noProof/>
        </w:rPr>
        <w:t>re summarised in</w:t>
      </w:r>
      <w:r w:rsidR="009C4FA6">
        <w:rPr>
          <w:noProof/>
        </w:rPr>
        <w:t xml:space="preserve"> Table </w:t>
      </w:r>
      <w:r w:rsidR="00B35870">
        <w:rPr>
          <w:noProof/>
        </w:rPr>
        <w:t>7</w:t>
      </w:r>
      <w:r>
        <w:rPr>
          <w:noProof/>
        </w:rPr>
        <w:t>. Hepatic disorders were generally mild to moderate increases in serum transaminases and were not considered serious. No events satisfied Hy’s Law.</w:t>
      </w:r>
      <w:r w:rsidR="00AB5E38">
        <w:rPr>
          <w:noProof/>
        </w:rPr>
        <w:t xml:space="preserve"> </w:t>
      </w:r>
      <w:r>
        <w:rPr>
          <w:noProof/>
        </w:rPr>
        <w:t>There were no reported events of treatment-related major adverse cardiovascular events (MACE), venous or arterial thrombotic events, malignancy or GI perforations.</w:t>
      </w:r>
    </w:p>
    <w:p w14:paraId="4E593AE7" w14:textId="132DFB12" w:rsidR="00224F89" w:rsidRDefault="00224F89" w:rsidP="009C4FA6">
      <w:pPr>
        <w:pStyle w:val="TableTitle"/>
      </w:pPr>
      <w:bookmarkStart w:id="58" w:name="_Ref116564067"/>
      <w:r>
        <w:lastRenderedPageBreak/>
        <w:t xml:space="preserve">Table </w:t>
      </w:r>
      <w:bookmarkEnd w:id="58"/>
      <w:r w:rsidR="00B35870">
        <w:t>7</w:t>
      </w:r>
      <w:r>
        <w:t>: M19-994 Study 2 (nr-axSpA) AESI in the DB period up to 14 weeks</w:t>
      </w:r>
    </w:p>
    <w:p w14:paraId="503589C2" w14:textId="77777777" w:rsidR="00224F89" w:rsidRDefault="00224F89" w:rsidP="00212C4C">
      <w:r w:rsidRPr="00DD0242">
        <w:rPr>
          <w:noProof/>
        </w:rPr>
        <w:drawing>
          <wp:inline distT="0" distB="0" distL="0" distR="0" wp14:anchorId="515249F8" wp14:editId="39669512">
            <wp:extent cx="5082146" cy="2596551"/>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835"/>
                    <a:stretch/>
                  </pic:blipFill>
                  <pic:spPr bwMode="auto">
                    <a:xfrm>
                      <a:off x="0" y="0"/>
                      <a:ext cx="5206398" cy="2660033"/>
                    </a:xfrm>
                    <a:prstGeom prst="rect">
                      <a:avLst/>
                    </a:prstGeom>
                    <a:ln>
                      <a:noFill/>
                    </a:ln>
                    <a:extLst>
                      <a:ext uri="{53640926-AAD7-44D8-BBD7-CCE9431645EC}">
                        <a14:shadowObscured xmlns:a14="http://schemas.microsoft.com/office/drawing/2010/main"/>
                      </a:ext>
                    </a:extLst>
                  </pic:spPr>
                </pic:pic>
              </a:graphicData>
            </a:graphic>
          </wp:inline>
        </w:drawing>
      </w:r>
    </w:p>
    <w:p w14:paraId="30F2A926" w14:textId="2AC6EDC9" w:rsidR="00224F89" w:rsidRDefault="00224F89" w:rsidP="00212C4C">
      <w:r>
        <w:t>Safety data up to 52 weeks in the DB phase submitted in the initial sequence were incomplete with around 20% of participants overall having completed to week 52. Additional data were submitted in response to a request for information in a second clinical study report dated 26 August 2022. The last patient last visit for this report was 19 May 2022, at which time 129 participants in the UPA group and 130 participants in the PBO group had completed study drug up to week 52; and 27 participants in each group had discontinued study drug. The</w:t>
      </w:r>
      <w:r w:rsidRPr="00B01275">
        <w:t xml:space="preserve"> most frequent primary reason</w:t>
      </w:r>
      <w:r>
        <w:t>s</w:t>
      </w:r>
      <w:r w:rsidRPr="00B01275">
        <w:t xml:space="preserve"> for discontinuation of study</w:t>
      </w:r>
      <w:r>
        <w:t xml:space="preserve"> </w:t>
      </w:r>
      <w:r w:rsidRPr="00B01275">
        <w:t>drug w</w:t>
      </w:r>
      <w:r>
        <w:t>ere</w:t>
      </w:r>
      <w:r w:rsidRPr="00B01275">
        <w:t xml:space="preserve"> </w:t>
      </w:r>
      <w:r>
        <w:t>“</w:t>
      </w:r>
      <w:r w:rsidRPr="00B01275">
        <w:t>lack of efficacy</w:t>
      </w:r>
      <w:r>
        <w:t>”</w:t>
      </w:r>
      <w:r w:rsidRPr="00B01275">
        <w:t xml:space="preserve"> </w:t>
      </w:r>
      <w:r>
        <w:t xml:space="preserve">(n=10), “withdrawal by subject” (n=8) and “other” (n=6) in the PBO group; </w:t>
      </w:r>
      <w:r w:rsidRPr="00B01275">
        <w:t xml:space="preserve">"other" </w:t>
      </w:r>
      <w:r>
        <w:t xml:space="preserve">(n=8), “adverse event” (n=6), “withdrawal by subject” and “lack of efficacy” (each n=5) </w:t>
      </w:r>
      <w:r w:rsidRPr="00B01275">
        <w:t xml:space="preserve">in the </w:t>
      </w:r>
      <w:r>
        <w:t>UPA</w:t>
      </w:r>
      <w:r w:rsidRPr="00B01275">
        <w:t xml:space="preserve"> group</w:t>
      </w:r>
      <w:r>
        <w:t>. Adverse event data up to 52 weeks in the DB phase are summarised in</w:t>
      </w:r>
      <w:r w:rsidR="00B35870">
        <w:t xml:space="preserve"> Table 9</w:t>
      </w:r>
      <w:r>
        <w:t>. Report rates of related TEAE, severe AE and AE leading to discontinuation of study drug were slightly higher in the UPA group.</w:t>
      </w:r>
    </w:p>
    <w:p w14:paraId="684FF031" w14:textId="6773A073" w:rsidR="00224F89" w:rsidRPr="00C465D5" w:rsidRDefault="00224F89" w:rsidP="00212C4C">
      <w:pPr>
        <w:pStyle w:val="TableTitle"/>
      </w:pPr>
      <w:bookmarkStart w:id="59" w:name="_Ref117504148"/>
      <w:r>
        <w:t xml:space="preserve">Table </w:t>
      </w:r>
      <w:bookmarkEnd w:id="59"/>
      <w:r w:rsidR="00B35870">
        <w:t>8</w:t>
      </w:r>
      <w:r>
        <w:t xml:space="preserve">: M19-994 Study 2 (nr-axSpA) </w:t>
      </w:r>
      <w:r w:rsidRPr="00C465D5">
        <w:t>T</w:t>
      </w:r>
      <w:r>
        <w:t>EAE</w:t>
      </w:r>
      <w:r w:rsidRPr="00C465D5">
        <w:t xml:space="preserve"> and All Deaths </w:t>
      </w:r>
      <w:r w:rsidRPr="00C465D5">
        <w:rPr>
          <w:rFonts w:hint="eastAsia"/>
        </w:rPr>
        <w:t>–</w:t>
      </w:r>
      <w:r>
        <w:t xml:space="preserve"> </w:t>
      </w:r>
      <w:r w:rsidRPr="00C465D5">
        <w:t xml:space="preserve">By Week 52 in </w:t>
      </w:r>
      <w:r>
        <w:t>DB</w:t>
      </w:r>
      <w:r w:rsidRPr="00C465D5">
        <w:t xml:space="preserve"> Period (Safety Analysis Set)</w:t>
      </w:r>
    </w:p>
    <w:p w14:paraId="5DBE7C63" w14:textId="02BDBFA8" w:rsidR="00224F89" w:rsidRDefault="00212C4C" w:rsidP="00224F89">
      <w:r>
        <w:rPr>
          <w:noProof/>
        </w:rPr>
        <w:drawing>
          <wp:inline distT="0" distB="0" distL="0" distR="0" wp14:anchorId="4973CA3B" wp14:editId="4FE21132">
            <wp:extent cx="5081905" cy="3258388"/>
            <wp:effectExtent l="0" t="0" r="4445" b="0"/>
            <wp:docPr id="335250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r="5921"/>
                    <a:stretch/>
                  </pic:blipFill>
                  <pic:spPr bwMode="auto">
                    <a:xfrm>
                      <a:off x="0" y="0"/>
                      <a:ext cx="5100909" cy="3270573"/>
                    </a:xfrm>
                    <a:prstGeom prst="rect">
                      <a:avLst/>
                    </a:prstGeom>
                    <a:noFill/>
                    <a:ln>
                      <a:noFill/>
                    </a:ln>
                    <a:extLst>
                      <a:ext uri="{53640926-AAD7-44D8-BBD7-CCE9431645EC}">
                        <a14:shadowObscured xmlns:a14="http://schemas.microsoft.com/office/drawing/2010/main"/>
                      </a:ext>
                    </a:extLst>
                  </pic:spPr>
                </pic:pic>
              </a:graphicData>
            </a:graphic>
          </wp:inline>
        </w:drawing>
      </w:r>
    </w:p>
    <w:p w14:paraId="6FB6D414" w14:textId="77777777" w:rsidR="00224F89" w:rsidRDefault="00224F89" w:rsidP="00224F89">
      <w:r>
        <w:lastRenderedPageBreak/>
        <w:t>During the 52-week DB period, the most frequently reported TEAEs (≥ 5% of study participants) were COVID-19, nasopharyngitis, and headache in the UPA group, and COVID-19, nasopharyngitis and upper respiratory tract infection in the placebo group. At least 5% of study participants in either group experienced TEAEs in the SOCs infections and infestations; musculoskeletal and connective tissue disorders; GI disorders; nervous system disorders; skin and subcutaneous tissue disorders; respiratory, thoracic, and mediastinal disorders; injury, poisoning, and procedural complications; investigations; metabolism and nutrition disorders; psychiatric disorders;</w:t>
      </w:r>
      <w:r w:rsidRPr="00C56B90">
        <w:t xml:space="preserve"> </w:t>
      </w:r>
      <w:r>
        <w:t>general disorders and administrative site conditions; blood and lymphatic system disorders; and vascular disorders.</w:t>
      </w:r>
      <w:r w:rsidRPr="00C56B90">
        <w:t xml:space="preserve"> </w:t>
      </w:r>
    </w:p>
    <w:p w14:paraId="53F2F59B" w14:textId="50F4E44D" w:rsidR="00224F89" w:rsidRDefault="00224F89" w:rsidP="00224F89">
      <w:r>
        <w:t xml:space="preserve">The most frequently reported TEAEs considered by the investigator as having a reasonable possibility of being related to study drug are summarised in </w:t>
      </w:r>
      <w:r>
        <w:fldChar w:fldCharType="begin"/>
      </w:r>
      <w:r>
        <w:instrText xml:space="preserve"> REF _Ref117505037 \h </w:instrText>
      </w:r>
      <w:r>
        <w:fldChar w:fldCharType="separate"/>
      </w:r>
      <w:r>
        <w:t xml:space="preserve">Table </w:t>
      </w:r>
      <w:r>
        <w:rPr>
          <w:noProof/>
        </w:rPr>
        <w:t>8</w:t>
      </w:r>
      <w:r>
        <w:fldChar w:fldCharType="end"/>
      </w:r>
      <w:r>
        <w:t xml:space="preserve">. Headache, nasopharyngitis, neutropenia, herpes zoster and urinary tract infection were more common in the UPA group than in the PBO group. Severe TEAEs were reported in 16 (11.6 E/100 </w:t>
      </w:r>
      <w:r w:rsidR="00B35870">
        <w:t>patient years (</w:t>
      </w:r>
      <w:r>
        <w:t>PYs</w:t>
      </w:r>
      <w:r w:rsidR="00B35870">
        <w:t>)</w:t>
      </w:r>
      <w:r>
        <w:t>) participants who received UPA and 13 (9.3 E/100 PYs) participants in the placebo group. Six of the severe events in the UPA group were also SAEs: COVID-19 pneumonia, pyelonephritis, foot fracture, osteoarthritis, ureterolithiasis, and nasal polyps. Six of the severe events in the placebo group were also SAEs: cataract, pancreatitis, pancreatitis acute, haemorrhagic fever with renal syndrome, femur fracture, and meniscus injury.</w:t>
      </w:r>
    </w:p>
    <w:p w14:paraId="2AC51C58" w14:textId="0659B300" w:rsidR="00224F89" w:rsidRDefault="00224F89" w:rsidP="00212C4C">
      <w:pPr>
        <w:pStyle w:val="TableTitle"/>
      </w:pPr>
      <w:bookmarkStart w:id="60" w:name="_Ref117505037"/>
      <w:r>
        <w:t>Table</w:t>
      </w:r>
      <w:bookmarkEnd w:id="60"/>
      <w:r w:rsidR="00B35870">
        <w:t xml:space="preserve"> 9</w:t>
      </w:r>
      <w:r>
        <w:t>: M19-994 Study 2 (nr-axSpA) Related TEAE by Week 52 in DB Period, &gt; 2 events/100 PYs by Decreasing Frequency in Upadacitinib Group (Safety Analysis Set)</w:t>
      </w:r>
    </w:p>
    <w:p w14:paraId="66DD180F" w14:textId="77777777" w:rsidR="00224F89" w:rsidRDefault="00224F89" w:rsidP="00224F89">
      <w:r w:rsidRPr="00732733">
        <w:rPr>
          <w:noProof/>
        </w:rPr>
        <w:drawing>
          <wp:inline distT="0" distB="0" distL="0" distR="0" wp14:anchorId="39694B63" wp14:editId="7584967B">
            <wp:extent cx="5339751" cy="2719767"/>
            <wp:effectExtent l="0" t="0" r="0" b="4445"/>
            <wp:docPr id="139675145" name="Picture 13967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b="8109"/>
                    <a:stretch/>
                  </pic:blipFill>
                  <pic:spPr bwMode="auto">
                    <a:xfrm>
                      <a:off x="0" y="0"/>
                      <a:ext cx="5345392" cy="2722640"/>
                    </a:xfrm>
                    <a:prstGeom prst="rect">
                      <a:avLst/>
                    </a:prstGeom>
                    <a:noFill/>
                    <a:ln>
                      <a:noFill/>
                    </a:ln>
                    <a:extLst>
                      <a:ext uri="{53640926-AAD7-44D8-BBD7-CCE9431645EC}">
                        <a14:shadowObscured xmlns:a14="http://schemas.microsoft.com/office/drawing/2010/main"/>
                      </a:ext>
                    </a:extLst>
                  </pic:spPr>
                </pic:pic>
              </a:graphicData>
            </a:graphic>
          </wp:inline>
        </w:drawing>
      </w:r>
    </w:p>
    <w:p w14:paraId="4AF0EB37" w14:textId="77777777" w:rsidR="00224F89" w:rsidRDefault="00224F89" w:rsidP="00212C4C">
      <w:r>
        <w:t>No new concerns were identified with the safety data up to 52 weeks in the DB period and in the OL period of the study to data lock. The overall safety profile of UPA observed in the nr-axSpA study was consistent with the known safety profile of UPA in rheumatoid arthritis, psoriatic arthritis and AS programs in adults.</w:t>
      </w:r>
    </w:p>
    <w:p w14:paraId="177C68D0" w14:textId="77777777" w:rsidR="00224F89" w:rsidRDefault="00224F89" w:rsidP="003A0CCE">
      <w:pPr>
        <w:pStyle w:val="Heading5"/>
      </w:pPr>
      <w:r>
        <w:t>Ankylosing spondylitis</w:t>
      </w:r>
    </w:p>
    <w:p w14:paraId="1ACDA026" w14:textId="1045380F" w:rsidR="00224F89" w:rsidRDefault="00224F89" w:rsidP="00224F89">
      <w:r>
        <w:t>The assessment of safety of UPA in adults with bDMARD-IR AS addressed the same safety parameters described in the nr-axSpA study. In M19-994 Study 1, the mean durations of exposure to UPA and PBO in the PBO-controlled period (total 14 weeks) were approximately equivalent (97.8 days and 97.6 days, respectively). Additional safety data is described as “long-term data” and includes data from study participants switched from PBO to UPA at 14 weeks. Up to the data cut-off date, 414 adults with bDMARD-IR had received at least one dose of UPA, of which 279 participants (67.4%) had at least six months exposure and 68 participants (16.4%) had at least 12 months exposure to UPA (</w:t>
      </w:r>
      <w:r w:rsidR="00B35870">
        <w:t>Table 10</w:t>
      </w:r>
      <w:r>
        <w:t>).</w:t>
      </w:r>
    </w:p>
    <w:p w14:paraId="5D858833" w14:textId="52E758FD" w:rsidR="00224F89" w:rsidRDefault="00224F89" w:rsidP="00224F89">
      <w:r>
        <w:lastRenderedPageBreak/>
        <w:t>Adverse event data in the DB phase are summarised in</w:t>
      </w:r>
      <w:r w:rsidR="00B35870">
        <w:t xml:space="preserve"> Table 11</w:t>
      </w:r>
      <w:r>
        <w:t xml:space="preserve">. The proportion of participants with TEAE, SAE, TEAEs with a reasonable possibility of being related to study drug, and COVID-19 related TEAE were higher in the UPA group compared with the PBO group. A similar proportion of participants in each treatment group had severe TEAEs. No subjects in the UPA group had a TEAE leading to discontinuation of study drug, and no deaths were reported. </w:t>
      </w:r>
    </w:p>
    <w:p w14:paraId="66C707C8" w14:textId="608C80B7" w:rsidR="00224F89" w:rsidRDefault="00224F89" w:rsidP="00212C4C">
      <w:r>
        <w:t>In the DB period</w:t>
      </w:r>
      <w:r w:rsidRPr="003A63AB">
        <w:t xml:space="preserve"> </w:t>
      </w:r>
      <w:r>
        <w:t>the most frequently reported TEAEs (≥ 2% of participants) in the UPA group were headache, COVID-19, neutropenia, hyperuricemia, nasopharyngitis and diarrhoea (</w:t>
      </w:r>
      <w:r w:rsidR="00B35870">
        <w:t xml:space="preserve">Table </w:t>
      </w:r>
      <w:r w:rsidR="003A0CCE">
        <w:t>12</w:t>
      </w:r>
      <w:r>
        <w:t>). The frequency of COVID-19, headache, neutropenia, hyperuricemia and nasopharyngitis was numerically higher in the UPA group compared with the placebo group, but diarrhoea was higher in the PBO group.</w:t>
      </w:r>
    </w:p>
    <w:p w14:paraId="242AAF30" w14:textId="77777777" w:rsidR="00AB5E38" w:rsidRDefault="00224F89" w:rsidP="00AB5E38">
      <w:pPr>
        <w:pStyle w:val="TableTitle"/>
      </w:pPr>
      <w:bookmarkStart w:id="61" w:name="_Ref116566193"/>
      <w:r>
        <w:t xml:space="preserve">Table </w:t>
      </w:r>
      <w:bookmarkEnd w:id="61"/>
      <w:r w:rsidR="00B35870">
        <w:t>10</w:t>
      </w:r>
      <w:r>
        <w:t>: M19-994 Study 1 (bDMARD-IR AS) Total duration of exposure to upadacitinib to data lock 26 August 2021</w:t>
      </w:r>
      <w:r w:rsidR="00B35870">
        <w:t>.</w:t>
      </w:r>
    </w:p>
    <w:p w14:paraId="4276E5F2" w14:textId="07B0C964" w:rsidR="00224F89" w:rsidRDefault="00224F89" w:rsidP="00AB5E38">
      <w:r w:rsidRPr="00A925CA">
        <w:rPr>
          <w:noProof/>
          <w:lang w:eastAsia="ja-JP"/>
        </w:rPr>
        <w:drawing>
          <wp:inline distT="0" distB="0" distL="0" distR="0" wp14:anchorId="5405D49A" wp14:editId="7EBA0C88">
            <wp:extent cx="5514975" cy="385164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3595"/>
                    <a:stretch/>
                  </pic:blipFill>
                  <pic:spPr bwMode="auto">
                    <a:xfrm>
                      <a:off x="0" y="0"/>
                      <a:ext cx="5514975" cy="3851644"/>
                    </a:xfrm>
                    <a:prstGeom prst="rect">
                      <a:avLst/>
                    </a:prstGeom>
                    <a:ln>
                      <a:noFill/>
                    </a:ln>
                    <a:extLst>
                      <a:ext uri="{53640926-AAD7-44D8-BBD7-CCE9431645EC}">
                        <a14:shadowObscured xmlns:a14="http://schemas.microsoft.com/office/drawing/2010/main"/>
                      </a:ext>
                    </a:extLst>
                  </pic:spPr>
                </pic:pic>
              </a:graphicData>
            </a:graphic>
          </wp:inline>
        </w:drawing>
      </w:r>
    </w:p>
    <w:p w14:paraId="16FF3C32" w14:textId="227ABBA0" w:rsidR="00224F89" w:rsidRDefault="00224F89" w:rsidP="00212C4C">
      <w:pPr>
        <w:pStyle w:val="TableTitle"/>
      </w:pPr>
      <w:bookmarkStart w:id="62" w:name="_Ref116566623"/>
      <w:r>
        <w:lastRenderedPageBreak/>
        <w:t xml:space="preserve">Table </w:t>
      </w:r>
      <w:bookmarkEnd w:id="62"/>
      <w:r w:rsidR="00B35870">
        <w:t>11:</w:t>
      </w:r>
      <w:r>
        <w:t xml:space="preserve"> M19-994 Study 1 (bDMARD-IR AS) Overview of TEAE in the DB period</w:t>
      </w:r>
    </w:p>
    <w:p w14:paraId="58B4FC84" w14:textId="647D60D0" w:rsidR="00224F89" w:rsidRDefault="00212C4C" w:rsidP="00224F89">
      <w:r>
        <w:rPr>
          <w:noProof/>
        </w:rPr>
        <w:drawing>
          <wp:inline distT="0" distB="0" distL="0" distR="0" wp14:anchorId="3F6DB6DD" wp14:editId="4F448DDA">
            <wp:extent cx="4502989" cy="3410346"/>
            <wp:effectExtent l="0" t="0" r="0" b="0"/>
            <wp:docPr id="1957553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4079"/>
                    <a:stretch/>
                  </pic:blipFill>
                  <pic:spPr bwMode="auto">
                    <a:xfrm>
                      <a:off x="0" y="0"/>
                      <a:ext cx="4522022" cy="3424761"/>
                    </a:xfrm>
                    <a:prstGeom prst="rect">
                      <a:avLst/>
                    </a:prstGeom>
                    <a:noFill/>
                    <a:ln>
                      <a:noFill/>
                    </a:ln>
                    <a:extLst>
                      <a:ext uri="{53640926-AAD7-44D8-BBD7-CCE9431645EC}">
                        <a14:shadowObscured xmlns:a14="http://schemas.microsoft.com/office/drawing/2010/main"/>
                      </a:ext>
                    </a:extLst>
                  </pic:spPr>
                </pic:pic>
              </a:graphicData>
            </a:graphic>
          </wp:inline>
        </w:drawing>
      </w:r>
    </w:p>
    <w:p w14:paraId="32483031" w14:textId="05CAAB51" w:rsidR="00224F89" w:rsidRDefault="00224F89" w:rsidP="00212C4C">
      <w:pPr>
        <w:pStyle w:val="TableTitle"/>
      </w:pPr>
      <w:bookmarkStart w:id="63" w:name="_Ref116568524"/>
      <w:r>
        <w:t>Table</w:t>
      </w:r>
      <w:bookmarkEnd w:id="63"/>
      <w:r w:rsidR="003A0CCE">
        <w:t xml:space="preserve"> 12</w:t>
      </w:r>
      <w:r>
        <w:t>: M19-994 Study 1 (bDMARD-IR AS) TEAE in the DB period in ≥ 2% of participants</w:t>
      </w:r>
    </w:p>
    <w:p w14:paraId="166D9248" w14:textId="77777777" w:rsidR="00224F89" w:rsidRDefault="00224F89" w:rsidP="00224F89">
      <w:r w:rsidRPr="00572A99">
        <w:rPr>
          <w:noProof/>
        </w:rPr>
        <w:drawing>
          <wp:inline distT="0" distB="0" distL="0" distR="0" wp14:anchorId="62CDB4C8" wp14:editId="2C0AC1CE">
            <wp:extent cx="5227608" cy="222963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4041"/>
                    <a:stretch/>
                  </pic:blipFill>
                  <pic:spPr bwMode="auto">
                    <a:xfrm>
                      <a:off x="0" y="0"/>
                      <a:ext cx="5254936" cy="2241289"/>
                    </a:xfrm>
                    <a:prstGeom prst="rect">
                      <a:avLst/>
                    </a:prstGeom>
                    <a:ln>
                      <a:noFill/>
                    </a:ln>
                    <a:extLst>
                      <a:ext uri="{53640926-AAD7-44D8-BBD7-CCE9431645EC}">
                        <a14:shadowObscured xmlns:a14="http://schemas.microsoft.com/office/drawing/2010/main"/>
                      </a:ext>
                    </a:extLst>
                  </pic:spPr>
                </pic:pic>
              </a:graphicData>
            </a:graphic>
          </wp:inline>
        </w:drawing>
      </w:r>
    </w:p>
    <w:p w14:paraId="04919CC4" w14:textId="77777777" w:rsidR="00224F89" w:rsidRDefault="00224F89" w:rsidP="00212C4C">
      <w:r>
        <w:t>The System Organ Classifications (SOC) with the highest proportion of participants with TEAEs (≥ 5% of participants in either group) were infections and infestations, GI disorders, blood and lymphatic system disorders, musculoskeletal and connective tissue disorders, investigations, and metabolism and nutrition disorders.  Reports of TEAE in the infections and infestations SOC by Preferred Terms (PT) reported in &gt; 2% participants were COVID-19 and nasopharyngitis.</w:t>
      </w:r>
    </w:p>
    <w:p w14:paraId="6137BF0D" w14:textId="77777777" w:rsidR="00224F89" w:rsidRDefault="00224F89" w:rsidP="00212C4C">
      <w:r>
        <w:t xml:space="preserve">Six participants in the UPA group reported serious AEs including one report of uveitis, one report of acute cholangitis, and four reports of COVID-19 pneumonia (one with COVID-19 also recorded). One serious AE (tonsil cancer) was reported in the PBO group. </w:t>
      </w:r>
    </w:p>
    <w:p w14:paraId="32A94A3D" w14:textId="77777777" w:rsidR="00224F89" w:rsidRDefault="00224F89" w:rsidP="00224F89">
      <w:r>
        <w:t xml:space="preserve">Severe TEAEs were reported in seven participants in the UPA group (COVID-19, n=3; COVID 19 pneumonia, n=2; lymphopenia, neutropenia, and cholangitis acute, each n=1) and eight participants in the PBO group (axSpA, n=2; folliculitis, COVID-19, inguinal hernia, bronchitis, AST increased, and transaminases increased, each n=1). </w:t>
      </w:r>
    </w:p>
    <w:p w14:paraId="2391CAF2" w14:textId="78C91093" w:rsidR="00224F89" w:rsidRDefault="00224F89" w:rsidP="00224F89">
      <w:pPr>
        <w:rPr>
          <w:noProof/>
        </w:rPr>
      </w:pPr>
      <w:r>
        <w:t>Adverse events of special interest (AESI) reported in the DB period a</w:t>
      </w:r>
      <w:r>
        <w:rPr>
          <w:noProof/>
        </w:rPr>
        <w:t>re summarised in</w:t>
      </w:r>
      <w:r w:rsidR="003A0CCE">
        <w:rPr>
          <w:noProof/>
        </w:rPr>
        <w:t xml:space="preserve"> Table 13</w:t>
      </w:r>
      <w:r>
        <w:rPr>
          <w:noProof/>
        </w:rPr>
        <w:t xml:space="preserve">. </w:t>
      </w:r>
    </w:p>
    <w:p w14:paraId="2B237604" w14:textId="7616009A" w:rsidR="00224F89" w:rsidRDefault="00224F89" w:rsidP="00212C4C">
      <w:pPr>
        <w:pStyle w:val="TableTitle"/>
      </w:pPr>
      <w:bookmarkStart w:id="64" w:name="_Ref116570511"/>
      <w:r>
        <w:lastRenderedPageBreak/>
        <w:t xml:space="preserve">Table </w:t>
      </w:r>
      <w:bookmarkEnd w:id="64"/>
      <w:r w:rsidR="003A0CCE">
        <w:t>13</w:t>
      </w:r>
      <w:r>
        <w:t>: M19-994 Study 1 (bDMARD-IR AS) AESI in the DB period</w:t>
      </w:r>
    </w:p>
    <w:p w14:paraId="6DED9119" w14:textId="46F4EF1F" w:rsidR="008B4E74" w:rsidRDefault="008B4E74" w:rsidP="00224F89">
      <w:pPr>
        <w:spacing w:after="0"/>
      </w:pPr>
      <w:r>
        <w:rPr>
          <w:noProof/>
        </w:rPr>
        <w:drawing>
          <wp:inline distT="0" distB="0" distL="0" distR="0" wp14:anchorId="3D86582C" wp14:editId="74B108D6">
            <wp:extent cx="4492171" cy="8549790"/>
            <wp:effectExtent l="0" t="0" r="3810" b="3810"/>
            <wp:docPr id="11570288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28844" name="Picture 1" descr="A close-up of a document&#10;&#10;Description automatically generated"/>
                    <pic:cNvPicPr/>
                  </pic:nvPicPr>
                  <pic:blipFill>
                    <a:blip r:embed="rId43">
                      <a:extLst>
                        <a:ext uri="{BEBA8EAE-BF5A-486C-A8C5-ECC9F3942E4B}">
                          <a14:imgProps xmlns:a14="http://schemas.microsoft.com/office/drawing/2010/main">
                            <a14:imgLayer r:embed="rId44">
                              <a14:imgEffect>
                                <a14:sharpenSoften amount="40000"/>
                              </a14:imgEffect>
                              <a14:imgEffect>
                                <a14:brightnessContrast contrast="-42000"/>
                              </a14:imgEffect>
                            </a14:imgLayer>
                          </a14:imgProps>
                        </a:ext>
                      </a:extLst>
                    </a:blip>
                    <a:stretch>
                      <a:fillRect/>
                    </a:stretch>
                  </pic:blipFill>
                  <pic:spPr>
                    <a:xfrm>
                      <a:off x="0" y="0"/>
                      <a:ext cx="4506022" cy="8576151"/>
                    </a:xfrm>
                    <a:prstGeom prst="rect">
                      <a:avLst/>
                    </a:prstGeom>
                  </pic:spPr>
                </pic:pic>
              </a:graphicData>
            </a:graphic>
          </wp:inline>
        </w:drawing>
      </w:r>
    </w:p>
    <w:p w14:paraId="004292A1" w14:textId="67FA8501" w:rsidR="00224F89" w:rsidRDefault="00224F89" w:rsidP="00212C4C">
      <w:pPr>
        <w:rPr>
          <w:noProof/>
        </w:rPr>
      </w:pPr>
      <w:r>
        <w:lastRenderedPageBreak/>
        <w:t xml:space="preserve">Consistent with reports in other studies with UPA, and other JAKi, reports of serious infection, hepatic disorders (predominantly mild or moderate elevations in serum transaminases), </w:t>
      </w:r>
      <w:r w:rsidR="00B87A0D">
        <w:t>anaemia</w:t>
      </w:r>
      <w:r>
        <w:t>, neutropenia and herpes zoster were more frequent in the UPA treated group during the DB period.</w:t>
      </w:r>
      <w:r w:rsidRPr="00914C71">
        <w:rPr>
          <w:noProof/>
        </w:rPr>
        <w:t xml:space="preserve"> </w:t>
      </w:r>
      <w:r>
        <w:rPr>
          <w:noProof/>
        </w:rPr>
        <w:t>No events satisfied Hy’s Law. There were no reported events of treatment-related major adverse cardiovascular events (MACE), venous or arterial thrombotic events, malignancy or GI perforations in the UPA treated group.</w:t>
      </w:r>
    </w:p>
    <w:p w14:paraId="14FFC803" w14:textId="77777777" w:rsidR="00224F89" w:rsidRPr="0024338A" w:rsidRDefault="00224F89" w:rsidP="00212C4C">
      <w:pPr>
        <w:rPr>
          <w:lang w:eastAsia="ja-JP"/>
        </w:rPr>
      </w:pPr>
      <w:r>
        <w:t xml:space="preserve">The overall safety profile observed in the additional study in the bDMARD-IR AS population, and in the longer-term data from the pivotal AS study (M16-098, not detailed in this overview) was consistent with what is known for UPA. No new safety risks were identified compared to the known safety profile of UPA from the related RA, PsA and AS programs. Of note, no increased risk of </w:t>
      </w:r>
      <w:r>
        <w:rPr>
          <w:lang w:eastAsia="ja-JP"/>
        </w:rPr>
        <w:t xml:space="preserve">MACE, death and malignancy has been identified in the provided data. </w:t>
      </w:r>
    </w:p>
    <w:p w14:paraId="33A8E44C" w14:textId="7BBCFA37" w:rsidR="00224F89" w:rsidRDefault="00224F89" w:rsidP="00224F89">
      <w:pPr>
        <w:pStyle w:val="Heading3"/>
      </w:pPr>
      <w:bookmarkStart w:id="65" w:name="_Toc12019956"/>
      <w:bookmarkStart w:id="66" w:name="_Toc175736519"/>
      <w:r w:rsidRPr="00AA53F4">
        <w:t xml:space="preserve">Risk </w:t>
      </w:r>
      <w:r w:rsidR="00AB5E38" w:rsidRPr="00AA53F4">
        <w:t>management p</w:t>
      </w:r>
      <w:r w:rsidRPr="00AA53F4">
        <w:t>lan</w:t>
      </w:r>
      <w:r w:rsidR="00A6362E">
        <w:t xml:space="preserve"> </w:t>
      </w:r>
      <w:r w:rsidRPr="00AA53F4">
        <w:t>evaluation</w:t>
      </w:r>
      <w:bookmarkEnd w:id="65"/>
      <w:bookmarkEnd w:id="66"/>
    </w:p>
    <w:p w14:paraId="714B0B35" w14:textId="77777777" w:rsidR="00224F89" w:rsidRPr="00AB4024" w:rsidRDefault="00224F89" w:rsidP="00212C4C">
      <w:r>
        <w:t>A RMP was provided by the sponsor but did not require evaluation. The ongoing pharmacovigilance and risk management measures proposed with the approval of upadacitinib in the treatment of AS are considered appropriate for the new related indication in nr-axSpA.</w:t>
      </w:r>
    </w:p>
    <w:p w14:paraId="66F9ED3B" w14:textId="77777777" w:rsidR="00224F89" w:rsidRDefault="00224F89" w:rsidP="00224F89">
      <w:pPr>
        <w:pStyle w:val="Heading3"/>
      </w:pPr>
      <w:bookmarkStart w:id="67" w:name="_Toc12019957"/>
      <w:bookmarkStart w:id="68" w:name="_Toc175736520"/>
      <w:r>
        <w:t>Discussion</w:t>
      </w:r>
      <w:bookmarkEnd w:id="67"/>
      <w:bookmarkEnd w:id="68"/>
    </w:p>
    <w:p w14:paraId="1D0EEFBD" w14:textId="77777777" w:rsidR="00224F89" w:rsidRDefault="00224F89" w:rsidP="00224F89">
      <w:r>
        <w:t xml:space="preserve">Notwithstanding the relatively short regulatory history of upadacitinib (first registered in Australia in January 2020 as a 15mg tablet for the treatment of adults with rheumatoid arthritis), the drug has been shown to be efficacious in the treatment of several chronic inflammatory disorders including psoriatic arthritis, ankylosing spondylitis, atopic dermatitis and most recently, with higher doses during the initiation phase of treatment, ulcerative colitis. </w:t>
      </w:r>
    </w:p>
    <w:p w14:paraId="610FF070" w14:textId="77777777" w:rsidR="00224F89" w:rsidRDefault="00224F89" w:rsidP="00224F89">
      <w:r>
        <w:t xml:space="preserve">Appropriate endpoints were assessed to demonstrate efficacy in the treatment of adults with nr-axSpA and bDMARD-IR AS, commonly acknowledged to share similar underlying pathology. The choice of multiple secondary and exploratory efficacy outcomes allowed the sponsor to examine different aspects of efficacy, but also raised concerns with potentially inflated risks of alpha type errors, notwithstanding the application of multiplicity adjusting analyses. Numerically better responses to upadacitinib over placebo for several pre-defined outcomes including ASAS40 rates at week 52 could not claim statistical significance </w:t>
      </w:r>
      <w:proofErr w:type="gramStart"/>
      <w:r>
        <w:t>in light of</w:t>
      </w:r>
      <w:proofErr w:type="gramEnd"/>
      <w:r>
        <w:t xml:space="preserve"> failures at other hierarchically prioritised endpoints. Randomization of the study population was stratified by MRI evidence of sacroiliitis and hsCRP status (MRI+/hsCRP &gt; ULN, MRI+/hsCRP ≤ ULN, MRI–/hsCRP &gt; ULN) and by prior exposure to bDMARDs (yes/no), analysis by subgroups was not included in the hierarchical analytical strategy but numerically supported claims for efficacy of upadacitinib over placebo.</w:t>
      </w:r>
    </w:p>
    <w:p w14:paraId="3B87DD2B" w14:textId="77777777" w:rsidR="00224F89" w:rsidRDefault="00224F89" w:rsidP="00224F89">
      <w:r>
        <w:t>The relationship between nr-axSpA and AS as subgroups of the broader category of inflammatory spondyloarthropathies formed the basis of arguments by the sponsor that safety data from earlier programs, particularly in bDMARD naïve AS, should be considered appropriate to support safety claims in nr-axSpA despite the relatively limited (at initial submission) direct longer-term safety data for patients with nr-axSpA.</w:t>
      </w:r>
    </w:p>
    <w:p w14:paraId="663C8459" w14:textId="77777777" w:rsidR="00224F89" w:rsidRPr="009E45AA" w:rsidRDefault="00224F89" w:rsidP="00224F89">
      <w:r>
        <w:t xml:space="preserve">The adverse event data provided throughout the evaluation period of this submission was consistent with safety data already identified for upadacitinib. Warnings and precautions currently included in the Australian product information are generally appropriate for the known risks of upadacitinib at this point in its clinical history. As has been seen with other JAKi registered for use in chronic inflammatory disorders, longer exposure periods may reveal potential safety concerns that are yet to be realised. TGA has engaged with sponsors of JAKi to </w:t>
      </w:r>
      <w:r>
        <w:lastRenderedPageBreak/>
        <w:t xml:space="preserve">develop appropriate approaches to potential long-term risks. While these potential concerns are not sufficient to reject this application for registration, it is appropriate that these continue to be addressed in the product information. </w:t>
      </w:r>
    </w:p>
    <w:p w14:paraId="3AAE4058" w14:textId="77777777" w:rsidR="00224F89" w:rsidRDefault="00224F89" w:rsidP="00224F89">
      <w:pPr>
        <w:pStyle w:val="Heading3"/>
      </w:pPr>
      <w:bookmarkStart w:id="69" w:name="_Toc175736521"/>
      <w:r>
        <w:t>Conclusions</w:t>
      </w:r>
      <w:bookmarkEnd w:id="69"/>
    </w:p>
    <w:p w14:paraId="49E74D08" w14:textId="77777777" w:rsidR="00224F89" w:rsidRDefault="00224F89" w:rsidP="00224F89">
      <w:r>
        <w:t>At this time, presuming that patients were enrolled into the pivotal study based on adequately collected and reported MRI and/or hsCRP evidence, the benefit-risk balance for upadacitinib in the treatment of adults with active non-radiographic axial spondyloarthritis who have had inadequate responses or intolerance to at least two NSAIDs, and who are either bDMARD naïve or have had inadequate response or intolerance to no more than one bDMARD (TNFi or IL-17i) is positive.</w:t>
      </w:r>
    </w:p>
    <w:p w14:paraId="4982F64F" w14:textId="77777777" w:rsidR="00224F89" w:rsidRDefault="00224F89" w:rsidP="00224F89">
      <w:r>
        <w:t>The benefit-risk balance for upadacitinib in the treatment of adults with ankylosing spondylitis who have received prior treatment with no more than two bDMARDS (TNFi or IL-17i) and experienced inadequate response to no more than one bDMARD is also positive.</w:t>
      </w:r>
    </w:p>
    <w:p w14:paraId="40301CB3" w14:textId="77777777" w:rsidR="00224F89" w:rsidRPr="0088209E" w:rsidRDefault="00224F89" w:rsidP="00224F89">
      <w:r>
        <w:t>No new safety signals have been identified with up to 104 weeks treatment with upadacitinib in patients with AS.</w:t>
      </w:r>
    </w:p>
    <w:p w14:paraId="318CFABC" w14:textId="77777777" w:rsidR="00C22214" w:rsidRPr="00F73346" w:rsidRDefault="00C22214" w:rsidP="00C22214">
      <w:pPr>
        <w:pStyle w:val="Heading4"/>
      </w:pPr>
      <w:bookmarkStart w:id="70" w:name="_Toc98931936"/>
      <w:bookmarkStart w:id="71" w:name="_Toc247691532"/>
      <w:bookmarkStart w:id="72" w:name="_Toc314842516"/>
      <w:bookmarkStart w:id="73" w:name="_Toc175736522"/>
      <w:bookmarkEnd w:id="49"/>
      <w:r w:rsidRPr="00F73346">
        <w:t>Advisory Committee considerations</w:t>
      </w:r>
      <w:bookmarkEnd w:id="70"/>
      <w:bookmarkEnd w:id="73"/>
    </w:p>
    <w:p w14:paraId="087BB9CB" w14:textId="280B54EF" w:rsidR="00C22214" w:rsidRDefault="00C22214" w:rsidP="00C22214">
      <w:pPr>
        <w:rPr>
          <w:bCs/>
          <w:szCs w:val="22"/>
        </w:rPr>
      </w:pPr>
      <w:r w:rsidRPr="00BD5DBD">
        <w:rPr>
          <w:bCs/>
          <w:szCs w:val="22"/>
        </w:rPr>
        <w:t xml:space="preserve">The </w:t>
      </w:r>
      <w:hyperlink r:id="rId4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r w:rsidR="00212C4C">
        <w:rPr>
          <w:bCs/>
          <w:szCs w:val="22"/>
        </w:rPr>
        <w:t>:</w:t>
      </w:r>
    </w:p>
    <w:p w14:paraId="4102C69C" w14:textId="10FE8A9C" w:rsidR="00212C4C" w:rsidRDefault="00212C4C" w:rsidP="00212C4C">
      <w:pPr>
        <w:pStyle w:val="Numberbullet0"/>
        <w:numPr>
          <w:ilvl w:val="0"/>
          <w:numId w:val="15"/>
        </w:numPr>
        <w:spacing w:after="120"/>
        <w:ind w:left="425" w:hanging="425"/>
        <w:rPr>
          <w:b/>
          <w:bCs/>
          <w:i/>
          <w:iCs/>
        </w:rPr>
      </w:pPr>
      <w:r w:rsidRPr="00A12911">
        <w:rPr>
          <w:b/>
          <w:bCs/>
          <w:i/>
          <w:iCs/>
        </w:rPr>
        <w:t xml:space="preserve">What is the opinion of the Committee regarding registration of upadacitinib for the treatment of nr-axSpA following failure of at least two NSAIDs, in the context </w:t>
      </w:r>
      <w:proofErr w:type="gramStart"/>
      <w:r w:rsidRPr="00A12911">
        <w:rPr>
          <w:b/>
          <w:bCs/>
          <w:i/>
          <w:iCs/>
        </w:rPr>
        <w:t>of  relatively</w:t>
      </w:r>
      <w:proofErr w:type="gramEnd"/>
      <w:r w:rsidRPr="00A12911">
        <w:rPr>
          <w:b/>
          <w:bCs/>
          <w:i/>
          <w:iCs/>
        </w:rPr>
        <w:t xml:space="preserve"> limited long-term safety information?</w:t>
      </w:r>
    </w:p>
    <w:p w14:paraId="228A33C1" w14:textId="77777777" w:rsidR="00212C4C" w:rsidRDefault="00212C4C" w:rsidP="00212C4C">
      <w:r>
        <w:t>The ACM noted that f</w:t>
      </w:r>
      <w:r w:rsidRPr="00A12911">
        <w:t>ailure of two NSAIDs was a feature of most early studies of AS</w:t>
      </w:r>
      <w:r>
        <w:t>.</w:t>
      </w:r>
    </w:p>
    <w:p w14:paraId="2AF027DD" w14:textId="77777777" w:rsidR="00212C4C" w:rsidRDefault="00212C4C" w:rsidP="00212C4C">
      <w:r>
        <w:t>The ACM acknowledged that there is limited long-term safety data for Rinvoq collected directly in nr-axSpA patients. However, the ACM noted that there is a large volume of safety data for AS patients for highly similar patient populations. The ACM was of the view that this data can be considered supplemental for nr-axSpA patients.</w:t>
      </w:r>
    </w:p>
    <w:p w14:paraId="5A361E54" w14:textId="77777777" w:rsidR="00212C4C" w:rsidRDefault="00212C4C" w:rsidP="00212C4C">
      <w:r>
        <w:t xml:space="preserve">Furthermore, the ACM noted that </w:t>
      </w:r>
      <w:r w:rsidRPr="00B438EA">
        <w:t>JAK</w:t>
      </w:r>
      <w:r>
        <w:t xml:space="preserve"> inhibitors</w:t>
      </w:r>
      <w:r w:rsidRPr="00B438EA">
        <w:t xml:space="preserve"> as a drug class do not appear to exhibit the same safety risks</w:t>
      </w:r>
      <w:r w:rsidRPr="002A26B4">
        <w:t xml:space="preserve"> </w:t>
      </w:r>
      <w:r w:rsidRPr="00B438EA">
        <w:t xml:space="preserve">in axial SpA patients (in particular, malignancy </w:t>
      </w:r>
      <w:r>
        <w:t>and</w:t>
      </w:r>
      <w:r w:rsidRPr="00B438EA">
        <w:t xml:space="preserve"> </w:t>
      </w:r>
      <w:r>
        <w:t>major adverse cardiac events [</w:t>
      </w:r>
      <w:r w:rsidRPr="00B438EA">
        <w:t>MACE</w:t>
      </w:r>
      <w:r>
        <w:t>]</w:t>
      </w:r>
      <w:r w:rsidRPr="00B438EA">
        <w:t xml:space="preserve">) as those observed in </w:t>
      </w:r>
      <w:r>
        <w:t>rheumatoid arthritis</w:t>
      </w:r>
      <w:r w:rsidRPr="00B438EA">
        <w:t xml:space="preserve"> patient</w:t>
      </w:r>
      <w:r>
        <w:t>s, although the ACM noted this may be due to patient</w:t>
      </w:r>
      <w:r w:rsidRPr="003F0870">
        <w:t xml:space="preserve"> age, lower </w:t>
      </w:r>
      <w:r>
        <w:t>cardiovascular</w:t>
      </w:r>
      <w:r w:rsidRPr="003F0870">
        <w:t xml:space="preserve"> risk profile and less steroid use</w:t>
      </w:r>
      <w:r>
        <w:t>.</w:t>
      </w:r>
    </w:p>
    <w:p w14:paraId="69365C92" w14:textId="77777777" w:rsidR="00212C4C" w:rsidRDefault="00212C4C" w:rsidP="00212C4C">
      <w:pPr>
        <w:rPr>
          <w:b/>
          <w:bCs/>
          <w:i/>
        </w:rPr>
      </w:pPr>
      <w:r w:rsidRPr="00752E8C">
        <w:rPr>
          <w:b/>
          <w:bCs/>
          <w:i/>
        </w:rPr>
        <w:t>Other advice</w:t>
      </w:r>
    </w:p>
    <w:p w14:paraId="658A47FF" w14:textId="77777777" w:rsidR="00212C4C" w:rsidRDefault="00212C4C" w:rsidP="00212C4C">
      <w:pPr>
        <w:rPr>
          <w:iCs/>
        </w:rPr>
      </w:pPr>
      <w:r w:rsidRPr="00E56C0D">
        <w:rPr>
          <w:iCs/>
        </w:rPr>
        <w:t>The ACM noted that</w:t>
      </w:r>
      <w:r>
        <w:rPr>
          <w:iCs/>
        </w:rPr>
        <w:t xml:space="preserve"> for treatment of nr-axSpA the</w:t>
      </w:r>
      <w:r w:rsidRPr="00E56C0D">
        <w:rPr>
          <w:iCs/>
        </w:rPr>
        <w:t xml:space="preserve"> current practice in Australia </w:t>
      </w:r>
      <w:r>
        <w:rPr>
          <w:iCs/>
        </w:rPr>
        <w:t xml:space="preserve">is biological medicines. A </w:t>
      </w:r>
      <w:r w:rsidRPr="00E56C0D">
        <w:rPr>
          <w:iCs/>
        </w:rPr>
        <w:t>JAK</w:t>
      </w:r>
      <w:r>
        <w:rPr>
          <w:iCs/>
        </w:rPr>
        <w:t xml:space="preserve"> inhibitor </w:t>
      </w:r>
      <w:r w:rsidRPr="00E56C0D">
        <w:rPr>
          <w:iCs/>
        </w:rPr>
        <w:t>presents an oral administration therapeutic option</w:t>
      </w:r>
      <w:r>
        <w:rPr>
          <w:iCs/>
        </w:rPr>
        <w:t xml:space="preserve"> for patients for whom parenteral treatment is not an option.</w:t>
      </w:r>
    </w:p>
    <w:p w14:paraId="307F236C" w14:textId="1F41753C" w:rsidR="00C22214" w:rsidRPr="002E238E" w:rsidRDefault="00C22214" w:rsidP="00C22214">
      <w:pPr>
        <w:pStyle w:val="Heading2"/>
      </w:pPr>
      <w:bookmarkStart w:id="74" w:name="_Toc103679300"/>
      <w:bookmarkStart w:id="75" w:name="_Toc175736523"/>
      <w:r>
        <w:t>Outcome</w:t>
      </w:r>
      <w:bookmarkEnd w:id="71"/>
      <w:bookmarkEnd w:id="72"/>
      <w:bookmarkEnd w:id="74"/>
      <w:bookmarkEnd w:id="75"/>
    </w:p>
    <w:p w14:paraId="4EF22939" w14:textId="4C87228D"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212C4C">
        <w:t>Rinvoq</w:t>
      </w:r>
      <w:r w:rsidRPr="0017005C">
        <w:t xml:space="preserve"> (</w:t>
      </w:r>
      <w:r w:rsidR="00212C4C">
        <w:t>upadacitinib</w:t>
      </w:r>
      <w:r w:rsidRPr="0017005C">
        <w:t>) for the following extension of indications</w:t>
      </w:r>
      <w:r w:rsidR="00212C4C">
        <w:t>:</w:t>
      </w:r>
    </w:p>
    <w:p w14:paraId="5DB0042F" w14:textId="77777777" w:rsidR="00212C4C" w:rsidRDefault="00212C4C" w:rsidP="00212C4C">
      <w:pPr>
        <w:autoSpaceDE w:val="0"/>
        <w:autoSpaceDN w:val="0"/>
        <w:adjustRightInd w:val="0"/>
        <w:spacing w:after="0" w:line="240" w:lineRule="auto"/>
        <w:rPr>
          <w:rFonts w:ascii="Cambria-BoldItalic" w:hAnsi="Cambria-BoldItalic" w:cs="Cambria-BoldItalic"/>
          <w:b/>
          <w:bCs/>
          <w:i/>
          <w:iCs/>
          <w:szCs w:val="22"/>
        </w:rPr>
      </w:pPr>
      <w:bookmarkStart w:id="76" w:name="_Toc103679302"/>
      <w:r>
        <w:rPr>
          <w:rFonts w:ascii="Cambria-BoldItalic" w:hAnsi="Cambria-BoldItalic" w:cs="Cambria-BoldItalic"/>
          <w:b/>
          <w:bCs/>
          <w:i/>
          <w:iCs/>
          <w:szCs w:val="22"/>
        </w:rPr>
        <w:t>Non-radiographic Axial Spondyloarthritis</w:t>
      </w:r>
    </w:p>
    <w:p w14:paraId="449D6ECB" w14:textId="5E25D45D" w:rsidR="00212C4C" w:rsidRDefault="00B87A0D" w:rsidP="00212C4C">
      <w:pPr>
        <w:autoSpaceDE w:val="0"/>
        <w:autoSpaceDN w:val="0"/>
        <w:adjustRightInd w:val="0"/>
        <w:spacing w:after="0" w:line="240" w:lineRule="auto"/>
        <w:rPr>
          <w:rFonts w:ascii="Cambria-Italic" w:hAnsi="Cambria-Italic" w:cs="Cambria-Italic"/>
          <w:i/>
          <w:iCs/>
          <w:szCs w:val="22"/>
        </w:rPr>
      </w:pPr>
      <w:r>
        <w:rPr>
          <w:rFonts w:ascii="Cambria-Italic" w:hAnsi="Cambria-Italic" w:cs="Cambria-Italic"/>
          <w:i/>
          <w:iCs/>
          <w:szCs w:val="22"/>
        </w:rPr>
        <w:t>Rinvoq</w:t>
      </w:r>
      <w:r w:rsidR="00212C4C">
        <w:rPr>
          <w:rFonts w:ascii="Cambria-Italic" w:hAnsi="Cambria-Italic" w:cs="Cambria-Italic"/>
          <w:i/>
          <w:iCs/>
          <w:szCs w:val="22"/>
        </w:rPr>
        <w:t xml:space="preserve"> is indicated for the treatment of adults with active non-radiographic axial</w:t>
      </w:r>
    </w:p>
    <w:p w14:paraId="66B034EA" w14:textId="44EB3D7D" w:rsidR="00212C4C" w:rsidRDefault="00212C4C" w:rsidP="00212C4C">
      <w:pPr>
        <w:autoSpaceDE w:val="0"/>
        <w:autoSpaceDN w:val="0"/>
        <w:adjustRightInd w:val="0"/>
        <w:spacing w:after="0" w:line="240" w:lineRule="auto"/>
        <w:rPr>
          <w:rFonts w:ascii="Cambria-Italic" w:hAnsi="Cambria-Italic" w:cs="Cambria-Italic"/>
          <w:i/>
          <w:iCs/>
          <w:szCs w:val="22"/>
        </w:rPr>
      </w:pPr>
      <w:r>
        <w:rPr>
          <w:rFonts w:ascii="Cambria-Italic" w:hAnsi="Cambria-Italic" w:cs="Cambria-Italic"/>
          <w:i/>
          <w:iCs/>
          <w:szCs w:val="22"/>
        </w:rPr>
        <w:t>spondyloarthritis with objective signs of inflammation as indicated by elevated C</w:t>
      </w:r>
      <w:r w:rsidR="00B35870">
        <w:rPr>
          <w:rFonts w:ascii="Cambria-Italic" w:hAnsi="Cambria-Italic" w:cs="Cambria-Italic"/>
          <w:i/>
          <w:iCs/>
          <w:szCs w:val="22"/>
        </w:rPr>
        <w:t>-</w:t>
      </w:r>
      <w:r>
        <w:rPr>
          <w:rFonts w:ascii="Cambria-Italic" w:hAnsi="Cambria-Italic" w:cs="Cambria-Italic"/>
          <w:i/>
          <w:iCs/>
          <w:szCs w:val="22"/>
        </w:rPr>
        <w:t>reactive</w:t>
      </w:r>
    </w:p>
    <w:p w14:paraId="3878A886" w14:textId="29DAE193" w:rsidR="00212C4C" w:rsidRDefault="00212C4C" w:rsidP="00A6362E">
      <w:pPr>
        <w:autoSpaceDE w:val="0"/>
        <w:autoSpaceDN w:val="0"/>
        <w:adjustRightInd w:val="0"/>
        <w:spacing w:after="0" w:line="240" w:lineRule="auto"/>
      </w:pPr>
      <w:r>
        <w:rPr>
          <w:rFonts w:ascii="Cambria-Italic" w:hAnsi="Cambria-Italic" w:cs="Cambria-Italic"/>
          <w:i/>
          <w:iCs/>
          <w:szCs w:val="22"/>
        </w:rPr>
        <w:lastRenderedPageBreak/>
        <w:t>protein (CRP) and/or magnetic resonance imaging (MRI) change, who have</w:t>
      </w:r>
      <w:r w:rsidR="00A6362E">
        <w:rPr>
          <w:rFonts w:ascii="Cambria-Italic" w:hAnsi="Cambria-Italic" w:cs="Cambria-Italic"/>
          <w:i/>
          <w:iCs/>
          <w:szCs w:val="22"/>
        </w:rPr>
        <w:t xml:space="preserve"> </w:t>
      </w:r>
      <w:r>
        <w:rPr>
          <w:rFonts w:ascii="Cambria-Italic" w:hAnsi="Cambria-Italic" w:cs="Cambria-Italic"/>
          <w:i/>
          <w:iCs/>
          <w:szCs w:val="22"/>
        </w:rPr>
        <w:t>responded inadequately to, or are intolerant to nonsteroidal anti-inflammatory drugs</w:t>
      </w:r>
      <w:r w:rsidR="00A6362E">
        <w:rPr>
          <w:rFonts w:ascii="Cambria-Italic" w:hAnsi="Cambria-Italic" w:cs="Cambria-Italic"/>
          <w:i/>
          <w:iCs/>
          <w:szCs w:val="22"/>
        </w:rPr>
        <w:t xml:space="preserve"> </w:t>
      </w:r>
      <w:r>
        <w:rPr>
          <w:rFonts w:ascii="Cambria-Italic" w:hAnsi="Cambria-Italic" w:cs="Cambria-Italic"/>
          <w:i/>
          <w:iCs/>
          <w:szCs w:val="22"/>
        </w:rPr>
        <w:t>(NSAIDs).</w:t>
      </w:r>
    </w:p>
    <w:p w14:paraId="0D732DA4" w14:textId="77777777" w:rsidR="00854D98" w:rsidRDefault="00854D98" w:rsidP="008A4366">
      <w:pPr>
        <w:pStyle w:val="Heading4"/>
      </w:pPr>
      <w:bookmarkStart w:id="77" w:name="_Toc103679301"/>
      <w:bookmarkStart w:id="78" w:name="_Toc175736524"/>
      <w:bookmarkEnd w:id="76"/>
      <w:r w:rsidRPr="00D23139">
        <w:t>Specific conditions of registration applying to these goods</w:t>
      </w:r>
      <w:bookmarkEnd w:id="77"/>
      <w:bookmarkEnd w:id="78"/>
    </w:p>
    <w:p w14:paraId="7620C529" w14:textId="2FD22D1C" w:rsidR="00A6362E" w:rsidRDefault="00A6362E" w:rsidP="00A6362E">
      <w:pPr>
        <w:autoSpaceDE w:val="0"/>
        <w:autoSpaceDN w:val="0"/>
        <w:adjustRightInd w:val="0"/>
        <w:spacing w:after="0" w:line="240" w:lineRule="auto"/>
        <w:rPr>
          <w:rFonts w:cs="Cambria"/>
          <w:szCs w:val="22"/>
        </w:rPr>
      </w:pPr>
      <w:bookmarkStart w:id="79" w:name="_Hlk174259582"/>
      <w:r>
        <w:rPr>
          <w:rFonts w:cs="Cambria"/>
          <w:szCs w:val="22"/>
        </w:rPr>
        <w:t xml:space="preserve">Rinvoq is to be included in the </w:t>
      </w:r>
      <w:hyperlink r:id="rId46" w:history="1">
        <w:r>
          <w:rPr>
            <w:rStyle w:val="Hyperlink"/>
            <w:rFonts w:cs="Cambria"/>
            <w:szCs w:val="22"/>
          </w:rPr>
          <w:t>Black Triangle Scheme</w:t>
        </w:r>
      </w:hyperlink>
      <w:r>
        <w:rPr>
          <w:rFonts w:cs="Cambria"/>
          <w:szCs w:val="22"/>
        </w:rPr>
        <w:t xml:space="preserve">. The PI and CMI for </w:t>
      </w:r>
      <w:r w:rsidRPr="00A6362E">
        <w:rPr>
          <w:rFonts w:cs="Cambria"/>
          <w:szCs w:val="22"/>
        </w:rPr>
        <w:t>Rinvoq</w:t>
      </w:r>
      <w:r>
        <w:rPr>
          <w:rFonts w:cs="Cambria"/>
          <w:szCs w:val="22"/>
        </w:rPr>
        <w:t xml:space="preserve"> must include the black triangle symbol and mandatory accompanying text for five years. </w:t>
      </w:r>
      <w:r w:rsidRPr="00DE4B50">
        <w:rPr>
          <w:rFonts w:cs="Cambria"/>
          <w:szCs w:val="22"/>
        </w:rPr>
        <w:t xml:space="preserve">The Black Triangle Scheme identifies new prescription medicines with a black triangle on </w:t>
      </w:r>
      <w:r w:rsidR="00B35870">
        <w:rPr>
          <w:rFonts w:cs="Cambria"/>
          <w:szCs w:val="22"/>
        </w:rPr>
        <w:t>all associated</w:t>
      </w:r>
      <w:r w:rsidRPr="00DE4B50">
        <w:rPr>
          <w:rFonts w:cs="Cambria"/>
          <w:szCs w:val="22"/>
        </w:rPr>
        <w:t xml:space="preserve"> medicine information documents</w:t>
      </w:r>
      <w:r>
        <w:rPr>
          <w:rFonts w:cs="Cambria"/>
          <w:szCs w:val="22"/>
        </w:rPr>
        <w:t xml:space="preserve"> and serves</w:t>
      </w:r>
      <w:r w:rsidRPr="00DE4B50">
        <w:rPr>
          <w:rFonts w:cs="Cambria"/>
          <w:szCs w:val="22"/>
        </w:rPr>
        <w:t xml:space="preserve"> </w:t>
      </w:r>
      <w:r>
        <w:rPr>
          <w:rFonts w:cs="Cambria"/>
          <w:szCs w:val="22"/>
        </w:rPr>
        <w:t xml:space="preserve">as a </w:t>
      </w:r>
      <w:r w:rsidRPr="00DE4B50">
        <w:rPr>
          <w:rFonts w:cs="Cambria"/>
          <w:szCs w:val="22"/>
        </w:rPr>
        <w:t>visual reminder to encourage health practitioners and patients to </w:t>
      </w:r>
      <w:hyperlink r:id="rId47" w:tooltip="Report a problem or side effect" w:history="1">
        <w:r>
          <w:rPr>
            <w:rStyle w:val="Hyperlink"/>
            <w:rFonts w:cs="Cambria"/>
            <w:szCs w:val="22"/>
          </w:rPr>
          <w:t>report a problem or side effect</w:t>
        </w:r>
      </w:hyperlink>
      <w:r>
        <w:rPr>
          <w:rFonts w:cs="Cambria"/>
          <w:szCs w:val="22"/>
        </w:rPr>
        <w:t xml:space="preserve"> they have experienced with the medicine. </w:t>
      </w:r>
    </w:p>
    <w:p w14:paraId="451DC3FC" w14:textId="2D1EC6E2" w:rsidR="00C22214" w:rsidRDefault="00C22214" w:rsidP="00AB5E38">
      <w:pPr>
        <w:pStyle w:val="Heading2"/>
      </w:pPr>
      <w:bookmarkStart w:id="80" w:name="_Toc103679303"/>
      <w:bookmarkStart w:id="81" w:name="_Toc175736525"/>
      <w:bookmarkEnd w:id="79"/>
      <w:r>
        <w:t>Attachment 1. Product Information</w:t>
      </w:r>
      <w:bookmarkEnd w:id="80"/>
      <w:bookmarkEnd w:id="81"/>
    </w:p>
    <w:p w14:paraId="74F59983" w14:textId="7D70725F" w:rsidR="00675F81" w:rsidRPr="00BD5DBD" w:rsidRDefault="00675F81" w:rsidP="00675F81">
      <w:pPr>
        <w:rPr>
          <w:szCs w:val="22"/>
        </w:rPr>
      </w:pPr>
      <w:r w:rsidRPr="00BD5DBD">
        <w:rPr>
          <w:szCs w:val="22"/>
        </w:rPr>
        <w:t xml:space="preserve">The </w:t>
      </w:r>
      <w:hyperlink r:id="rId48" w:history="1">
        <w:r w:rsidRPr="00BD5DBD">
          <w:rPr>
            <w:rStyle w:val="Hyperlink"/>
            <w:szCs w:val="22"/>
          </w:rPr>
          <w:t>Product Information</w:t>
        </w:r>
      </w:hyperlink>
      <w:r w:rsidRPr="00BD5DBD">
        <w:rPr>
          <w:szCs w:val="22"/>
        </w:rPr>
        <w:t xml:space="preserve"> (</w:t>
      </w:r>
      <w:hyperlink r:id="rId4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9E22DC">
        <w:t>Rinvoq</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50" w:history="1">
        <w:r w:rsidRPr="00BD5DBD">
          <w:rPr>
            <w:rStyle w:val="Hyperlink"/>
            <w:szCs w:val="22"/>
          </w:rPr>
          <w:t>Consumer Medicines Information</w:t>
        </w:r>
      </w:hyperlink>
      <w:r w:rsidRPr="00BD5DBD">
        <w:rPr>
          <w:szCs w:val="22"/>
        </w:rPr>
        <w:t xml:space="preserve"> (CMI), please refer to the TGA </w:t>
      </w:r>
      <w:hyperlink r:id="rId51" w:history="1">
        <w:r w:rsidRPr="00BD5DBD">
          <w:rPr>
            <w:rStyle w:val="Hyperlink"/>
            <w:szCs w:val="22"/>
          </w:rPr>
          <w:t>PI/CMI search facility.</w:t>
        </w:r>
      </w:hyperlink>
    </w:p>
    <w:p w14:paraId="53357BF3" w14:textId="276457B5" w:rsidR="00C22214" w:rsidRDefault="00C22214" w:rsidP="00C22214">
      <w:pPr>
        <w:rPr>
          <w:lang w:eastAsia="ja-JP"/>
        </w:rPr>
        <w:sectPr w:rsidR="00C22214" w:rsidSect="007452E8">
          <w:headerReference w:type="default" r:id="rId52"/>
          <w:footerReference w:type="default" r:id="rId5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4"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2358C8">
            <w:pPr>
              <w:pStyle w:val="Address"/>
              <w:jc w:val="center"/>
              <w:rPr>
                <w:rStyle w:val="Hyperlink"/>
                <w:b/>
                <w:color w:val="auto"/>
                <w:sz w:val="22"/>
              </w:rPr>
            </w:pPr>
            <w:hyperlink r:id="rId5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6"/>
      <w:footerReference w:type="first" r:id="rId5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C08E4" w14:textId="77777777" w:rsidR="00991124" w:rsidRDefault="00991124" w:rsidP="00F02AEC">
      <w:pPr>
        <w:spacing w:after="0" w:line="240" w:lineRule="auto"/>
      </w:pPr>
      <w:r>
        <w:separator/>
      </w:r>
    </w:p>
  </w:endnote>
  <w:endnote w:type="continuationSeparator" w:id="0">
    <w:p w14:paraId="461C904E" w14:textId="77777777" w:rsidR="00991124" w:rsidRDefault="0099112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Cambria-BoldItalic">
    <w:altName w:val="Cambria"/>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628C6">
                <w:fldChar w:fldCharType="begin"/>
              </w:r>
              <w:r w:rsidR="007628C6">
                <w:instrText xml:space="preserve"> NUMPAGES  </w:instrText>
              </w:r>
              <w:r w:rsidR="007628C6">
                <w:fldChar w:fldCharType="separate"/>
              </w:r>
              <w:r>
                <w:rPr>
                  <w:noProof/>
                </w:rPr>
                <w:t>2</w:t>
              </w:r>
              <w:r w:rsidR="007628C6">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22F7F1F" w:rsidR="007452E8" w:rsidRPr="004A3084" w:rsidRDefault="00A6362E" w:rsidP="007452E8">
          <w:pPr>
            <w:pStyle w:val="Footer"/>
          </w:pPr>
          <w:r w:rsidRPr="00A6362E">
            <w:t xml:space="preserve">AusPAR - </w:t>
          </w:r>
          <w:r w:rsidR="00B87A0D">
            <w:t>Rinvoq</w:t>
          </w:r>
          <w:r w:rsidRPr="00A6362E">
            <w:t xml:space="preserve"> - </w:t>
          </w:r>
          <w:r w:rsidR="009A31C9" w:rsidRPr="00A6362E">
            <w:t>Upadacitinib</w:t>
          </w:r>
          <w:r w:rsidRPr="00A6362E">
            <w:t xml:space="preserve"> - </w:t>
          </w:r>
          <w:r w:rsidR="009A31C9" w:rsidRPr="00A6362E">
            <w:t>AbbVie Pty Ltd</w:t>
          </w:r>
          <w:r w:rsidR="009A31C9">
            <w:t xml:space="preserve"> - Type C - </w:t>
          </w:r>
          <w:r w:rsidRPr="00A6362E">
            <w:t>PM-2022-00116-1-3</w:t>
          </w:r>
          <w:r w:rsidR="007452E8">
            <w:br/>
          </w:r>
          <w:r w:rsidR="009A31C9">
            <w:t>Date of Finalisation: 21 August 2024</w:t>
          </w:r>
          <w:r w:rsidR="007452E8" w:rsidRPr="00487162">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628C6">
                <w:fldChar w:fldCharType="begin"/>
              </w:r>
              <w:r w:rsidR="007628C6">
                <w:instrText xml:space="preserve"> NUMPAGES  </w:instrText>
              </w:r>
              <w:r w:rsidR="007628C6">
                <w:fldChar w:fldCharType="separate"/>
              </w:r>
              <w:r w:rsidR="006D6B44">
                <w:rPr>
                  <w:noProof/>
                </w:rPr>
                <w:t>17</w:t>
              </w:r>
              <w:r w:rsidR="007628C6">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4C3E8" w14:textId="77777777" w:rsidR="00991124" w:rsidRDefault="00991124" w:rsidP="00F02AEC">
      <w:pPr>
        <w:spacing w:after="0" w:line="240" w:lineRule="auto"/>
      </w:pPr>
      <w:r>
        <w:separator/>
      </w:r>
    </w:p>
  </w:footnote>
  <w:footnote w:type="continuationSeparator" w:id="0">
    <w:p w14:paraId="0845F1C9" w14:textId="77777777" w:rsidR="00991124" w:rsidRDefault="0099112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636A6C8A" w14:textId="2C540FC5" w:rsidR="0000264E" w:rsidRDefault="0000264E">
      <w:pPr>
        <w:pStyle w:val="FootnoteText"/>
      </w:pPr>
      <w:r>
        <w:rPr>
          <w:rStyle w:val="FootnoteReference"/>
        </w:rPr>
        <w:footnoteRef/>
      </w:r>
      <w:r>
        <w:t xml:space="preserve"> </w:t>
      </w:r>
      <w:r w:rsidRPr="0000264E">
        <w:t>Yu DT, van Tubergen A (2022) Diagnosis and differential diagnosis of axial spondyloarthritis (ankylosing spondylitis and nonradiographic axial spondylitis) in adults, UpToDate, updated Feb 28, 2022, accessed Oct 4, 2022</w:t>
      </w:r>
    </w:p>
  </w:footnote>
  <w:footnote w:id="3">
    <w:p w14:paraId="5D9E7CEC" w14:textId="6657A698" w:rsidR="00C62C51" w:rsidRDefault="00C62C51" w:rsidP="00C62C51">
      <w:pPr>
        <w:pStyle w:val="FootnoteText"/>
      </w:pPr>
      <w:r>
        <w:rPr>
          <w:rStyle w:val="FootnoteReference"/>
        </w:rPr>
        <w:footnoteRef/>
      </w:r>
      <w:r>
        <w:t xml:space="preserve"> Ward MM, Deodhar A, Gensler LS, et al. 2019 Update of the American College of Rheumatology/Spondylitis Association of America/Spondyloarthritis Research and Treatment Network Recommendations for the Treatment of Ankylosing Spondylitis</w:t>
      </w:r>
    </w:p>
    <w:p w14:paraId="165E0ECC" w14:textId="30D7A3FA" w:rsidR="00C62C51" w:rsidRDefault="00C62C51" w:rsidP="00C62C51">
      <w:pPr>
        <w:pStyle w:val="FootnoteText"/>
      </w:pPr>
      <w:r>
        <w:t>and Nonradiographic Axial Spondyloarthritis. Arthritis Rheumatol. 2019;71(10):1599- 613.</w:t>
      </w:r>
    </w:p>
  </w:footnote>
  <w:footnote w:id="4">
    <w:p w14:paraId="5F2F6AEA" w14:textId="61DE2EA5" w:rsidR="00C62C51" w:rsidRDefault="00C62C51">
      <w:pPr>
        <w:pStyle w:val="FootnoteText"/>
      </w:pPr>
      <w:r>
        <w:rPr>
          <w:rStyle w:val="FootnoteReference"/>
        </w:rPr>
        <w:footnoteRef/>
      </w:r>
      <w:r>
        <w:t xml:space="preserve"> AusPAR for initial Rinvoq submission: </w:t>
      </w:r>
      <w:hyperlink r:id="rId1" w:history="1">
        <w:r w:rsidRPr="005D4E8D">
          <w:rPr>
            <w:rStyle w:val="Hyperlink"/>
          </w:rPr>
          <w:t>https://www.tga.gov.au/resources/auspar/auspar-upadacitinib</w:t>
        </w:r>
      </w:hyperlink>
      <w:r>
        <w:t xml:space="preserve"> </w:t>
      </w:r>
    </w:p>
  </w:footnote>
  <w:footnote w:id="5">
    <w:p w14:paraId="01E7EA2E" w14:textId="77777777" w:rsidR="00EB7A72" w:rsidRPr="00E62757" w:rsidRDefault="00EB7A72" w:rsidP="00EB7A72">
      <w:pPr>
        <w:pStyle w:val="FootnoteText"/>
        <w:rPr>
          <w:i/>
          <w:iCs/>
        </w:rPr>
      </w:pPr>
      <w:r>
        <w:rPr>
          <w:rStyle w:val="FootnoteReference"/>
        </w:rPr>
        <w:footnoteRef/>
      </w:r>
      <w:r>
        <w:t xml:space="preserve"> In patients with atopic dermatitis, who are not routinely treated with TNF blockers, the restriction is to </w:t>
      </w:r>
      <w:r>
        <w:rPr>
          <w:i/>
          <w:iCs/>
        </w:rPr>
        <w:t>“</w:t>
      </w:r>
      <w:r w:rsidRPr="00E62757">
        <w:rPr>
          <w:i/>
          <w:iCs/>
        </w:rPr>
        <w:t xml:space="preserve">disease </w:t>
      </w:r>
      <w:r>
        <w:t xml:space="preserve">[that] </w:t>
      </w:r>
      <w:r w:rsidRPr="00E62757">
        <w:rPr>
          <w:i/>
          <w:iCs/>
        </w:rPr>
        <w:t>is not adequately</w:t>
      </w:r>
      <w:r>
        <w:rPr>
          <w:i/>
          <w:iCs/>
        </w:rPr>
        <w:t xml:space="preserve"> </w:t>
      </w:r>
      <w:r w:rsidRPr="00E62757">
        <w:rPr>
          <w:i/>
          <w:iCs/>
        </w:rPr>
        <w:t>controlled with other systemic drug products, including biologics, or when</w:t>
      </w:r>
      <w:r>
        <w:rPr>
          <w:i/>
          <w:iCs/>
        </w:rPr>
        <w:t xml:space="preserve"> </w:t>
      </w:r>
      <w:r w:rsidRPr="00E62757">
        <w:rPr>
          <w:i/>
          <w:iCs/>
        </w:rPr>
        <w:t xml:space="preserve">use of those therapies </w:t>
      </w:r>
      <w:proofErr w:type="gramStart"/>
      <w:r w:rsidRPr="00E62757">
        <w:rPr>
          <w:i/>
          <w:iCs/>
        </w:rPr>
        <w:t>are</w:t>
      </w:r>
      <w:proofErr w:type="gramEnd"/>
      <w:r w:rsidRPr="00E62757">
        <w:rPr>
          <w:i/>
          <w:iCs/>
        </w:rPr>
        <w:t xml:space="preserve"> inadvisable.</w:t>
      </w:r>
      <w:r>
        <w:rPr>
          <w:i/>
          <w:iCs/>
        </w:rPr>
        <w:t>”</w:t>
      </w:r>
    </w:p>
  </w:footnote>
  <w:footnote w:id="6">
    <w:p w14:paraId="224CD836" w14:textId="43EC9C50" w:rsidR="00500D68" w:rsidRDefault="00500D68">
      <w:pPr>
        <w:pStyle w:val="FootnoteText"/>
      </w:pPr>
      <w:r>
        <w:rPr>
          <w:rStyle w:val="FootnoteReference"/>
        </w:rPr>
        <w:footnoteRef/>
      </w:r>
      <w:r>
        <w:t xml:space="preserve"> </w:t>
      </w:r>
      <w:r w:rsidR="00AD0111" w:rsidRPr="00AD0111">
        <w:t xml:space="preserve"> </w:t>
      </w:r>
      <w:r w:rsidR="003D02FA" w:rsidRPr="003D02FA">
        <w:t>The ‘Delegate’ is the Delegate of the Secretary of the Department of Health and Aged Care who made the final decision to either include the new medicine/indication on the ARTG or reject the submission, under section 25 of the Therapeutic Goods Act</w:t>
      </w:r>
    </w:p>
  </w:footnote>
  <w:footnote w:id="7">
    <w:p w14:paraId="745382D0" w14:textId="64976E6F" w:rsidR="00EF70E5" w:rsidRDefault="00EF70E5">
      <w:pPr>
        <w:pStyle w:val="FootnoteText"/>
      </w:pPr>
      <w:r>
        <w:rPr>
          <w:rStyle w:val="FootnoteReference"/>
        </w:rPr>
        <w:footnoteRef/>
      </w:r>
      <w:r>
        <w:t xml:space="preserve"> </w:t>
      </w:r>
      <w:proofErr w:type="spellStart"/>
      <w:r w:rsidRPr="00EF70E5">
        <w:t>Landewé</w:t>
      </w:r>
      <w:proofErr w:type="spellEnd"/>
      <w:r w:rsidRPr="00EF70E5">
        <w:t xml:space="preserve"> R, van Tubergen A. Clinical Tools to Assess and Monitor Spondyloarthritis. Curr Rheumatol Rep. 2015 Jul;17(7):47. doi: 10.1007/s11926-015-0522-3. PMID: 26063534; PMCID: PMC4464370.</w:t>
      </w:r>
    </w:p>
  </w:footnote>
  <w:footnote w:id="8">
    <w:p w14:paraId="2B90725A" w14:textId="77777777" w:rsidR="00224F89" w:rsidRDefault="00224F89" w:rsidP="00224F89">
      <w:pPr>
        <w:pStyle w:val="FootnoteText"/>
      </w:pPr>
      <w:r>
        <w:rPr>
          <w:rStyle w:val="FootnoteReference"/>
        </w:rPr>
        <w:footnoteRef/>
      </w:r>
      <w:r>
        <w:t xml:space="preserve"> </w:t>
      </w:r>
      <w:r w:rsidRPr="008B1EDF">
        <w:t>Flare is defined as an ASDAS-CRP ≥ 2.1 at two consecutive visits at least two weeks apart, or an ASDAS-CRP &gt; 3.5 at one visit. Participants who experience a flare recommence OL UPA 15 mg QD from the time of flare for 24 weeks (re-treatment) or longer according to local requirements. Participants who do not experience a flare, are followed until Week 152.</w:t>
      </w:r>
    </w:p>
  </w:footnote>
  <w:footnote w:id="9">
    <w:p w14:paraId="5F7FA1D0" w14:textId="77777777" w:rsidR="00224F89" w:rsidRDefault="00224F89" w:rsidP="00224F89">
      <w:pPr>
        <w:pStyle w:val="FootnoteText"/>
      </w:pPr>
      <w:r>
        <w:rPr>
          <w:rStyle w:val="FootnoteReference"/>
        </w:rPr>
        <w:footnoteRef/>
      </w:r>
      <w:r>
        <w:t xml:space="preserve"> At least a 40% improvement and an absolute improvement of ≥ 2 units (on a scale of 0 to 10) from Baseline in at least 3 of the 4 assessed domains, with no worsening at all in the remaining domain: </w:t>
      </w:r>
      <w:r>
        <w:tab/>
        <w:t>Patient's Global Assessment of Disease Activity (PtGA); Patient's Assessment of Total Back Pain NRS score; Bath Ankylosing Spondylitis Functional Index (BASFI) score; The mean of the two-morning stiffness-related BASDAI items (Questions 5 and 6).</w:t>
      </w:r>
    </w:p>
  </w:footnote>
  <w:footnote w:id="10">
    <w:p w14:paraId="3E6F8E77" w14:textId="77777777" w:rsidR="00224F89" w:rsidRDefault="00224F89" w:rsidP="00224F89">
      <w:pPr>
        <w:pStyle w:val="FootnoteText"/>
      </w:pPr>
      <w:r>
        <w:rPr>
          <w:rStyle w:val="FootnoteReference"/>
        </w:rPr>
        <w:footnoteRef/>
      </w:r>
      <w:r>
        <w:t xml:space="preserve"> </w:t>
      </w:r>
      <w:r w:rsidRPr="00BE7C6E">
        <w:rPr>
          <w:sz w:val="16"/>
          <w:szCs w:val="16"/>
        </w:rPr>
        <w:t xml:space="preserve">Spondyloarthritis Research Consortium of Canada magnetic resonance imaging index for assessment of spinal </w:t>
      </w:r>
      <w:r>
        <w:rPr>
          <w:sz w:val="16"/>
          <w:szCs w:val="16"/>
        </w:rPr>
        <w:t xml:space="preserve">and SI joint </w:t>
      </w:r>
      <w:r w:rsidRPr="00BE7C6E">
        <w:rPr>
          <w:sz w:val="16"/>
          <w:szCs w:val="16"/>
        </w:rPr>
        <w:t>inflammation in ankylosing spondylitis</w:t>
      </w:r>
    </w:p>
  </w:footnote>
  <w:footnote w:id="11">
    <w:p w14:paraId="58B94644" w14:textId="77777777" w:rsidR="00224F89" w:rsidRDefault="00224F89" w:rsidP="00224F89">
      <w:pPr>
        <w:pStyle w:val="FootnoteText"/>
      </w:pPr>
      <w:r>
        <w:rPr>
          <w:rStyle w:val="FootnoteReference"/>
        </w:rPr>
        <w:footnoteRef/>
      </w:r>
      <w:r>
        <w:t xml:space="preserve"> An absolute score of ≤ 2 units for each of the 4 domains identified in ASAS40</w:t>
      </w:r>
    </w:p>
  </w:footnote>
  <w:footnote w:id="12">
    <w:p w14:paraId="56C99324" w14:textId="77777777" w:rsidR="00224F89" w:rsidRDefault="00224F89" w:rsidP="00224F89">
      <w:pPr>
        <w:pStyle w:val="FootnoteText"/>
      </w:pPr>
      <w:r>
        <w:rPr>
          <w:rStyle w:val="FootnoteReference"/>
        </w:rPr>
        <w:footnoteRef/>
      </w:r>
      <w:r>
        <w:t xml:space="preserve"> Ankylosing Spondylitis-specific Quality of Life measure</w:t>
      </w:r>
    </w:p>
  </w:footnote>
  <w:footnote w:id="13">
    <w:p w14:paraId="0E1EB043" w14:textId="77777777" w:rsidR="00224F89" w:rsidRDefault="00224F89" w:rsidP="00224F89">
      <w:pPr>
        <w:pStyle w:val="FootnoteText"/>
      </w:pPr>
      <w:r>
        <w:rPr>
          <w:rStyle w:val="FootnoteReference"/>
        </w:rPr>
        <w:footnoteRef/>
      </w:r>
      <w:r>
        <w:t xml:space="preserve"> Maastricht Ankylosing Spondylitis Enthesitis Score</w:t>
      </w:r>
    </w:p>
  </w:footnote>
  <w:footnote w:id="14">
    <w:p w14:paraId="4A5CA832" w14:textId="3234EC98" w:rsidR="00224F89" w:rsidRDefault="00224F89" w:rsidP="00224F89">
      <w:pPr>
        <w:pStyle w:val="FootnoteText"/>
      </w:pPr>
      <w:r>
        <w:rPr>
          <w:rStyle w:val="FootnoteReference"/>
        </w:rPr>
        <w:footnoteRef/>
      </w:r>
      <w:r>
        <w:t xml:space="preserve"> Assessment of </w:t>
      </w:r>
      <w:r w:rsidR="00B87A0D">
        <w:t>Spondyloarthritis</w:t>
      </w:r>
      <w:r>
        <w:t xml:space="preserve"> International Society (ASAS) measure of disease activity and severity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358C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2A558E3"/>
    <w:multiLevelType w:val="hybridMultilevel"/>
    <w:tmpl w:val="379A7888"/>
    <w:lvl w:ilvl="0" w:tplc="7092EAD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CA65EC7"/>
    <w:multiLevelType w:val="hybridMultilevel"/>
    <w:tmpl w:val="BAD04AF0"/>
    <w:lvl w:ilvl="0" w:tplc="700859AA">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B872C5"/>
    <w:multiLevelType w:val="hybridMultilevel"/>
    <w:tmpl w:val="8B4A2C9C"/>
    <w:lvl w:ilvl="0" w:tplc="700859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62843CF2"/>
    <w:multiLevelType w:val="hybridMultilevel"/>
    <w:tmpl w:val="8FC2AE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6"/>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8"/>
  </w:num>
  <w:num w:numId="12" w16cid:durableId="141579354">
    <w:abstractNumId w:val="13"/>
  </w:num>
  <w:num w:numId="13" w16cid:durableId="283735081">
    <w:abstractNumId w:val="15"/>
  </w:num>
  <w:num w:numId="14" w16cid:durableId="925378272">
    <w:abstractNumId w:val="5"/>
  </w:num>
  <w:num w:numId="15" w16cid:durableId="14307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3894025">
    <w:abstractNumId w:val="14"/>
  </w:num>
  <w:num w:numId="17" w16cid:durableId="840436306">
    <w:abstractNumId w:val="7"/>
  </w:num>
  <w:num w:numId="18" w16cid:durableId="18822823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64E"/>
    <w:rsid w:val="00004431"/>
    <w:rsid w:val="00005062"/>
    <w:rsid w:val="0001064C"/>
    <w:rsid w:val="0001384A"/>
    <w:rsid w:val="000173F8"/>
    <w:rsid w:val="00032A0F"/>
    <w:rsid w:val="00040D8D"/>
    <w:rsid w:val="00043CDB"/>
    <w:rsid w:val="00046423"/>
    <w:rsid w:val="0006104E"/>
    <w:rsid w:val="000640BD"/>
    <w:rsid w:val="00065839"/>
    <w:rsid w:val="00065FDF"/>
    <w:rsid w:val="00067B2A"/>
    <w:rsid w:val="00077844"/>
    <w:rsid w:val="00090510"/>
    <w:rsid w:val="0009070F"/>
    <w:rsid w:val="000917AE"/>
    <w:rsid w:val="00094B81"/>
    <w:rsid w:val="000975AA"/>
    <w:rsid w:val="000B6B15"/>
    <w:rsid w:val="000C25A7"/>
    <w:rsid w:val="000C6207"/>
    <w:rsid w:val="000D78EC"/>
    <w:rsid w:val="000D7934"/>
    <w:rsid w:val="000E2597"/>
    <w:rsid w:val="000E6746"/>
    <w:rsid w:val="000F7B51"/>
    <w:rsid w:val="00101BEE"/>
    <w:rsid w:val="00101CE6"/>
    <w:rsid w:val="00101FB1"/>
    <w:rsid w:val="0010558A"/>
    <w:rsid w:val="001101FF"/>
    <w:rsid w:val="00113F9F"/>
    <w:rsid w:val="0012473C"/>
    <w:rsid w:val="00127A74"/>
    <w:rsid w:val="0013132F"/>
    <w:rsid w:val="0013306D"/>
    <w:rsid w:val="0013528C"/>
    <w:rsid w:val="001442A2"/>
    <w:rsid w:val="001468CA"/>
    <w:rsid w:val="001500A8"/>
    <w:rsid w:val="001506BE"/>
    <w:rsid w:val="00155D85"/>
    <w:rsid w:val="001568FA"/>
    <w:rsid w:val="00165D28"/>
    <w:rsid w:val="0017005C"/>
    <w:rsid w:val="00170B2E"/>
    <w:rsid w:val="00175CD8"/>
    <w:rsid w:val="00182BD8"/>
    <w:rsid w:val="00191918"/>
    <w:rsid w:val="001A76F9"/>
    <w:rsid w:val="001B06FF"/>
    <w:rsid w:val="001B1703"/>
    <w:rsid w:val="001C1C2E"/>
    <w:rsid w:val="001C31A1"/>
    <w:rsid w:val="001C3FA2"/>
    <w:rsid w:val="001C5EE2"/>
    <w:rsid w:val="001D0077"/>
    <w:rsid w:val="001E407B"/>
    <w:rsid w:val="001E7FC6"/>
    <w:rsid w:val="001F2502"/>
    <w:rsid w:val="001F70A5"/>
    <w:rsid w:val="001F7216"/>
    <w:rsid w:val="0020235D"/>
    <w:rsid w:val="0020369B"/>
    <w:rsid w:val="00207B4D"/>
    <w:rsid w:val="002117B1"/>
    <w:rsid w:val="00212C4C"/>
    <w:rsid w:val="00217CCE"/>
    <w:rsid w:val="002203B1"/>
    <w:rsid w:val="00224F89"/>
    <w:rsid w:val="00226F39"/>
    <w:rsid w:val="002334AD"/>
    <w:rsid w:val="002358C8"/>
    <w:rsid w:val="00241B60"/>
    <w:rsid w:val="0025785B"/>
    <w:rsid w:val="00257969"/>
    <w:rsid w:val="00280048"/>
    <w:rsid w:val="0028489E"/>
    <w:rsid w:val="002848DE"/>
    <w:rsid w:val="0028794E"/>
    <w:rsid w:val="002A5841"/>
    <w:rsid w:val="002B1EDF"/>
    <w:rsid w:val="002B2061"/>
    <w:rsid w:val="002C1232"/>
    <w:rsid w:val="002C1E44"/>
    <w:rsid w:val="002C28AC"/>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3EE3"/>
    <w:rsid w:val="003735F3"/>
    <w:rsid w:val="00374729"/>
    <w:rsid w:val="00387298"/>
    <w:rsid w:val="00387631"/>
    <w:rsid w:val="00387984"/>
    <w:rsid w:val="00395140"/>
    <w:rsid w:val="003A0CCE"/>
    <w:rsid w:val="003A2422"/>
    <w:rsid w:val="003B149C"/>
    <w:rsid w:val="003C0FDB"/>
    <w:rsid w:val="003C1192"/>
    <w:rsid w:val="003C55E2"/>
    <w:rsid w:val="003C63D5"/>
    <w:rsid w:val="003C7AA8"/>
    <w:rsid w:val="003D02FA"/>
    <w:rsid w:val="003D71A1"/>
    <w:rsid w:val="0041688F"/>
    <w:rsid w:val="0042376F"/>
    <w:rsid w:val="004246B8"/>
    <w:rsid w:val="004248F1"/>
    <w:rsid w:val="00433318"/>
    <w:rsid w:val="00442A56"/>
    <w:rsid w:val="004444B0"/>
    <w:rsid w:val="0045060B"/>
    <w:rsid w:val="00455E73"/>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E2269"/>
    <w:rsid w:val="004E7F16"/>
    <w:rsid w:val="004F18EC"/>
    <w:rsid w:val="00500D68"/>
    <w:rsid w:val="0053377D"/>
    <w:rsid w:val="00535DFE"/>
    <w:rsid w:val="005373B5"/>
    <w:rsid w:val="00537AB7"/>
    <w:rsid w:val="0054669B"/>
    <w:rsid w:val="0055059C"/>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B7546"/>
    <w:rsid w:val="005C3F07"/>
    <w:rsid w:val="005C4A33"/>
    <w:rsid w:val="005C4B46"/>
    <w:rsid w:val="005C5DC5"/>
    <w:rsid w:val="005D2089"/>
    <w:rsid w:val="005D7514"/>
    <w:rsid w:val="005E0FC6"/>
    <w:rsid w:val="005E1A7B"/>
    <w:rsid w:val="005E1C20"/>
    <w:rsid w:val="005E231F"/>
    <w:rsid w:val="005E79A9"/>
    <w:rsid w:val="00602D6E"/>
    <w:rsid w:val="00605C05"/>
    <w:rsid w:val="00611351"/>
    <w:rsid w:val="0061217D"/>
    <w:rsid w:val="006153E4"/>
    <w:rsid w:val="006277A1"/>
    <w:rsid w:val="00633BD7"/>
    <w:rsid w:val="00634580"/>
    <w:rsid w:val="00634884"/>
    <w:rsid w:val="006351D9"/>
    <w:rsid w:val="00637130"/>
    <w:rsid w:val="00637F0E"/>
    <w:rsid w:val="006423F2"/>
    <w:rsid w:val="00650234"/>
    <w:rsid w:val="00654E27"/>
    <w:rsid w:val="0066044B"/>
    <w:rsid w:val="006630AA"/>
    <w:rsid w:val="00663544"/>
    <w:rsid w:val="00666539"/>
    <w:rsid w:val="00666911"/>
    <w:rsid w:val="00675F81"/>
    <w:rsid w:val="0067671A"/>
    <w:rsid w:val="0068143E"/>
    <w:rsid w:val="0068507D"/>
    <w:rsid w:val="00691AF2"/>
    <w:rsid w:val="00692B80"/>
    <w:rsid w:val="00692CCD"/>
    <w:rsid w:val="00692D51"/>
    <w:rsid w:val="00694DD7"/>
    <w:rsid w:val="0069636B"/>
    <w:rsid w:val="006A1762"/>
    <w:rsid w:val="006A1F0B"/>
    <w:rsid w:val="006A277A"/>
    <w:rsid w:val="006A5973"/>
    <w:rsid w:val="006B7126"/>
    <w:rsid w:val="006C6B86"/>
    <w:rsid w:val="006D4553"/>
    <w:rsid w:val="006D4A35"/>
    <w:rsid w:val="006D6B44"/>
    <w:rsid w:val="006D6C0B"/>
    <w:rsid w:val="006E0A32"/>
    <w:rsid w:val="006E27FE"/>
    <w:rsid w:val="00701110"/>
    <w:rsid w:val="00702E91"/>
    <w:rsid w:val="0070330F"/>
    <w:rsid w:val="00703624"/>
    <w:rsid w:val="007046ED"/>
    <w:rsid w:val="00705DEE"/>
    <w:rsid w:val="007072A1"/>
    <w:rsid w:val="007076FA"/>
    <w:rsid w:val="00710BC5"/>
    <w:rsid w:val="007121CA"/>
    <w:rsid w:val="0071536C"/>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28C6"/>
    <w:rsid w:val="007662E0"/>
    <w:rsid w:val="00776E9C"/>
    <w:rsid w:val="007816D8"/>
    <w:rsid w:val="00784150"/>
    <w:rsid w:val="00793272"/>
    <w:rsid w:val="0079499A"/>
    <w:rsid w:val="00794B64"/>
    <w:rsid w:val="007967C3"/>
    <w:rsid w:val="007A0A33"/>
    <w:rsid w:val="007B04DE"/>
    <w:rsid w:val="007B0AE6"/>
    <w:rsid w:val="007C0F0B"/>
    <w:rsid w:val="007C12D8"/>
    <w:rsid w:val="007C57BC"/>
    <w:rsid w:val="007D04CA"/>
    <w:rsid w:val="007D0A2B"/>
    <w:rsid w:val="007D12A1"/>
    <w:rsid w:val="007D40E5"/>
    <w:rsid w:val="007D4138"/>
    <w:rsid w:val="007E4178"/>
    <w:rsid w:val="007E6710"/>
    <w:rsid w:val="007F0A77"/>
    <w:rsid w:val="007F1E37"/>
    <w:rsid w:val="007F50D3"/>
    <w:rsid w:val="007F6B1F"/>
    <w:rsid w:val="00804897"/>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A4366"/>
    <w:rsid w:val="008B1CB5"/>
    <w:rsid w:val="008B4E74"/>
    <w:rsid w:val="008C2D69"/>
    <w:rsid w:val="008C49C6"/>
    <w:rsid w:val="008C754C"/>
    <w:rsid w:val="008D359A"/>
    <w:rsid w:val="008D56C9"/>
    <w:rsid w:val="008D6A54"/>
    <w:rsid w:val="008E2585"/>
    <w:rsid w:val="008E2D7A"/>
    <w:rsid w:val="008E4C7D"/>
    <w:rsid w:val="008F3215"/>
    <w:rsid w:val="008F4A62"/>
    <w:rsid w:val="008F668B"/>
    <w:rsid w:val="008F7256"/>
    <w:rsid w:val="0090424C"/>
    <w:rsid w:val="0090605E"/>
    <w:rsid w:val="009108CE"/>
    <w:rsid w:val="00912940"/>
    <w:rsid w:val="00915A9F"/>
    <w:rsid w:val="009301C0"/>
    <w:rsid w:val="00930D58"/>
    <w:rsid w:val="00935AAA"/>
    <w:rsid w:val="00935D90"/>
    <w:rsid w:val="0095031E"/>
    <w:rsid w:val="00954297"/>
    <w:rsid w:val="00960A56"/>
    <w:rsid w:val="00961E2F"/>
    <w:rsid w:val="00966EF1"/>
    <w:rsid w:val="00967223"/>
    <w:rsid w:val="009751F7"/>
    <w:rsid w:val="0098350E"/>
    <w:rsid w:val="00991124"/>
    <w:rsid w:val="0099404F"/>
    <w:rsid w:val="00996FA5"/>
    <w:rsid w:val="009A31C9"/>
    <w:rsid w:val="009B5662"/>
    <w:rsid w:val="009C2211"/>
    <w:rsid w:val="009C40E8"/>
    <w:rsid w:val="009C45C5"/>
    <w:rsid w:val="009C4FA6"/>
    <w:rsid w:val="009E22DC"/>
    <w:rsid w:val="009E6858"/>
    <w:rsid w:val="009E6F8C"/>
    <w:rsid w:val="009F405F"/>
    <w:rsid w:val="00A01C56"/>
    <w:rsid w:val="00A32C50"/>
    <w:rsid w:val="00A358E7"/>
    <w:rsid w:val="00A4380B"/>
    <w:rsid w:val="00A51A2D"/>
    <w:rsid w:val="00A5596B"/>
    <w:rsid w:val="00A6362E"/>
    <w:rsid w:val="00A63C07"/>
    <w:rsid w:val="00A63D9B"/>
    <w:rsid w:val="00A704DC"/>
    <w:rsid w:val="00A71706"/>
    <w:rsid w:val="00A93DC6"/>
    <w:rsid w:val="00A9411A"/>
    <w:rsid w:val="00AA4A4B"/>
    <w:rsid w:val="00AA6682"/>
    <w:rsid w:val="00AB0613"/>
    <w:rsid w:val="00AB5E38"/>
    <w:rsid w:val="00AB7C5C"/>
    <w:rsid w:val="00AB7CBF"/>
    <w:rsid w:val="00AD0111"/>
    <w:rsid w:val="00AD4C72"/>
    <w:rsid w:val="00AD5451"/>
    <w:rsid w:val="00AE1947"/>
    <w:rsid w:val="00AF1C8B"/>
    <w:rsid w:val="00AF299B"/>
    <w:rsid w:val="00AF7E43"/>
    <w:rsid w:val="00B02AE0"/>
    <w:rsid w:val="00B05326"/>
    <w:rsid w:val="00B14545"/>
    <w:rsid w:val="00B14E60"/>
    <w:rsid w:val="00B17BA2"/>
    <w:rsid w:val="00B26DC3"/>
    <w:rsid w:val="00B30B9D"/>
    <w:rsid w:val="00B35870"/>
    <w:rsid w:val="00B4574D"/>
    <w:rsid w:val="00B468E1"/>
    <w:rsid w:val="00B46BC0"/>
    <w:rsid w:val="00B46DFB"/>
    <w:rsid w:val="00B5141B"/>
    <w:rsid w:val="00B53679"/>
    <w:rsid w:val="00B544BB"/>
    <w:rsid w:val="00B55681"/>
    <w:rsid w:val="00B57AAD"/>
    <w:rsid w:val="00B6526E"/>
    <w:rsid w:val="00B72B16"/>
    <w:rsid w:val="00B80408"/>
    <w:rsid w:val="00B81397"/>
    <w:rsid w:val="00B85E04"/>
    <w:rsid w:val="00B87A0D"/>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F4638"/>
    <w:rsid w:val="00C059D0"/>
    <w:rsid w:val="00C07551"/>
    <w:rsid w:val="00C1109F"/>
    <w:rsid w:val="00C12D65"/>
    <w:rsid w:val="00C133AB"/>
    <w:rsid w:val="00C20B56"/>
    <w:rsid w:val="00C22214"/>
    <w:rsid w:val="00C26F72"/>
    <w:rsid w:val="00C309A7"/>
    <w:rsid w:val="00C335AB"/>
    <w:rsid w:val="00C407AB"/>
    <w:rsid w:val="00C459D8"/>
    <w:rsid w:val="00C466C3"/>
    <w:rsid w:val="00C52B7B"/>
    <w:rsid w:val="00C547CD"/>
    <w:rsid w:val="00C570FF"/>
    <w:rsid w:val="00C57CEA"/>
    <w:rsid w:val="00C60FEC"/>
    <w:rsid w:val="00C62C51"/>
    <w:rsid w:val="00C64B1D"/>
    <w:rsid w:val="00C6574E"/>
    <w:rsid w:val="00C707FD"/>
    <w:rsid w:val="00C70DD7"/>
    <w:rsid w:val="00C76DEB"/>
    <w:rsid w:val="00C816C6"/>
    <w:rsid w:val="00C863A7"/>
    <w:rsid w:val="00C912F4"/>
    <w:rsid w:val="00C9156F"/>
    <w:rsid w:val="00C9581A"/>
    <w:rsid w:val="00C97D29"/>
    <w:rsid w:val="00CB0550"/>
    <w:rsid w:val="00CB6813"/>
    <w:rsid w:val="00CC393D"/>
    <w:rsid w:val="00CD749E"/>
    <w:rsid w:val="00CF6A55"/>
    <w:rsid w:val="00CF6DC6"/>
    <w:rsid w:val="00CF6DCF"/>
    <w:rsid w:val="00D01DDB"/>
    <w:rsid w:val="00D078BE"/>
    <w:rsid w:val="00D13F8A"/>
    <w:rsid w:val="00D16F60"/>
    <w:rsid w:val="00D22981"/>
    <w:rsid w:val="00D3349B"/>
    <w:rsid w:val="00D4129F"/>
    <w:rsid w:val="00D424A8"/>
    <w:rsid w:val="00D42A43"/>
    <w:rsid w:val="00D6036F"/>
    <w:rsid w:val="00D62877"/>
    <w:rsid w:val="00D63760"/>
    <w:rsid w:val="00D6703F"/>
    <w:rsid w:val="00D67706"/>
    <w:rsid w:val="00D734EB"/>
    <w:rsid w:val="00D82713"/>
    <w:rsid w:val="00D86F00"/>
    <w:rsid w:val="00D918D5"/>
    <w:rsid w:val="00D94C8E"/>
    <w:rsid w:val="00DA3673"/>
    <w:rsid w:val="00DB1372"/>
    <w:rsid w:val="00DB192C"/>
    <w:rsid w:val="00DB1CF3"/>
    <w:rsid w:val="00DB5425"/>
    <w:rsid w:val="00DB72A6"/>
    <w:rsid w:val="00DC1BFA"/>
    <w:rsid w:val="00DC6611"/>
    <w:rsid w:val="00DE1344"/>
    <w:rsid w:val="00DF5BFE"/>
    <w:rsid w:val="00E0523F"/>
    <w:rsid w:val="00E16224"/>
    <w:rsid w:val="00E22C04"/>
    <w:rsid w:val="00E23E50"/>
    <w:rsid w:val="00E26213"/>
    <w:rsid w:val="00E274DF"/>
    <w:rsid w:val="00E33C22"/>
    <w:rsid w:val="00E34D66"/>
    <w:rsid w:val="00E362C4"/>
    <w:rsid w:val="00E37FCF"/>
    <w:rsid w:val="00E46CC2"/>
    <w:rsid w:val="00E47E0C"/>
    <w:rsid w:val="00E51813"/>
    <w:rsid w:val="00E52C0B"/>
    <w:rsid w:val="00E53D3F"/>
    <w:rsid w:val="00E5579B"/>
    <w:rsid w:val="00E57FF4"/>
    <w:rsid w:val="00E679D1"/>
    <w:rsid w:val="00E67C1C"/>
    <w:rsid w:val="00E91F11"/>
    <w:rsid w:val="00E9706D"/>
    <w:rsid w:val="00EA3AF4"/>
    <w:rsid w:val="00EB7A72"/>
    <w:rsid w:val="00EF3F0B"/>
    <w:rsid w:val="00EF5583"/>
    <w:rsid w:val="00EF70E5"/>
    <w:rsid w:val="00F0289D"/>
    <w:rsid w:val="00F02AEC"/>
    <w:rsid w:val="00F07572"/>
    <w:rsid w:val="00F157FC"/>
    <w:rsid w:val="00F30AF3"/>
    <w:rsid w:val="00F369F4"/>
    <w:rsid w:val="00F37D9F"/>
    <w:rsid w:val="00F40079"/>
    <w:rsid w:val="00F43CD1"/>
    <w:rsid w:val="00F45AE0"/>
    <w:rsid w:val="00F60CF2"/>
    <w:rsid w:val="00F63EFC"/>
    <w:rsid w:val="00F657B4"/>
    <w:rsid w:val="00F724FE"/>
    <w:rsid w:val="00F742DD"/>
    <w:rsid w:val="00F7649F"/>
    <w:rsid w:val="00F8083B"/>
    <w:rsid w:val="00F865A7"/>
    <w:rsid w:val="00FA0754"/>
    <w:rsid w:val="00FA1BC9"/>
    <w:rsid w:val="00FA49C3"/>
    <w:rsid w:val="00FB236E"/>
    <w:rsid w:val="00FB3F7B"/>
    <w:rsid w:val="00FB4C2A"/>
    <w:rsid w:val="00FC2107"/>
    <w:rsid w:val="00FC48FE"/>
    <w:rsid w:val="00FC6F56"/>
    <w:rsid w:val="00FC7F7C"/>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52ACA4D9-ED96-4D63-881B-7139E9A4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C62C51"/>
    <w:pPr>
      <w:numPr>
        <w:numId w:val="14"/>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C62C51"/>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 TargetMode="Externa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microsoft.com/office/2007/relationships/hdphoto" Target="media/hdphoto4.wdp"/><Relationship Id="rId42" Type="http://schemas.openxmlformats.org/officeDocument/2006/relationships/image" Target="media/image16.png"/><Relationship Id="rId47" Type="http://schemas.openxmlformats.org/officeDocument/2006/relationships/hyperlink" Target="https://www.tga.gov.au/safety/reporting-problems" TargetMode="External"/><Relationship Id="rId50" Type="http://schemas.openxmlformats.org/officeDocument/2006/relationships/hyperlink" Target="https://www.tga.gov.au/products/australian-register-therapeutic-goods-artg/consumer-medicines-information-cmi" TargetMode="External"/><Relationship Id="rId55"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microsoft.com/office/2007/relationships/hdphoto" Target="media/hdphoto1.wdp"/><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hyperlink" Target="https://www.tga.gov.au/how-we-regulate/monitoring-safety-and-shortages/report-adverse-event-or-incident/report-adverse-events-medicines-and-biologicals/black-triangle-schem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hyperlink" Target="https://www.fda.gov/drugs/drug-safety-and-availability/fda-requires-warnings-about-increased-risk-serious-heart-related-events-cancer-blood-clots-and-death" TargetMode="External"/><Relationship Id="rId29" Type="http://schemas.openxmlformats.org/officeDocument/2006/relationships/image" Target="media/image7.png"/><Relationship Id="rId41" Type="http://schemas.microsoft.com/office/2007/relationships/hdphoto" Target="media/hdphoto6.wdp"/><Relationship Id="rId54"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9.emf"/><Relationship Id="rId37" Type="http://schemas.microsoft.com/office/2007/relationships/hdphoto" Target="media/hdphoto5.wdp"/><Relationship Id="rId40" Type="http://schemas.openxmlformats.org/officeDocument/2006/relationships/image" Target="media/image15.png"/><Relationship Id="rId45" Type="http://schemas.openxmlformats.org/officeDocument/2006/relationships/hyperlink" Target="https://www.tga.gov.au/committee/advisory-committee-medicines-acm"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ema.europa.eu/en/documents/scientific-guideline/ich-e-1-population-exposure-extent-population-exposure-assess-clinical-safety-step-5_en.pdf" TargetMode="External"/><Relationship Id="rId28" Type="http://schemas.microsoft.com/office/2007/relationships/hdphoto" Target="media/hdphoto2.wdp"/><Relationship Id="rId36" Type="http://schemas.openxmlformats.org/officeDocument/2006/relationships/image" Target="media/image12.png"/><Relationship Id="rId49" Type="http://schemas.openxmlformats.org/officeDocument/2006/relationships/hyperlink" Target="https://www.tga.gov.au/products/australian-register-therapeutic-goods-artg/product-information-one" TargetMode="External"/><Relationship Id="rId57"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8.emf"/><Relationship Id="rId44" Type="http://schemas.microsoft.com/office/2007/relationships/hdphoto" Target="media/hdphoto7.wdp"/><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ema.europa.eu/documents/scientific-guideline/guideline-clinical-investigation-medicinal-products-treatment-axial-spondyloarthritis-revision-1_en.pdf" TargetMode="External"/><Relationship Id="rId27"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www.tga.gov.au/products/australian-register-therapeutic-goods-artg/product-information-one"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tga.gov.au/picmi-search-facility"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upadacitinib"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9426</Words>
  <Characters>53730</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Australian public assessment report for Rinvoq</vt:lpstr>
    </vt:vector>
  </TitlesOfParts>
  <Company>Department of Health and Aged Care</Company>
  <LinksUpToDate>false</LinksUpToDate>
  <CharactersWithSpaces>63030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Rinvoq</dc:title>
  <dc:subject>Prescription medicines</dc:subject>
  <dc:creator>Therapeutic Goods Administration</dc:creator>
  <cp:keywords/>
  <dc:description/>
  <cp:lastModifiedBy>LACK, Janet</cp:lastModifiedBy>
  <cp:revision>3</cp:revision>
  <dcterms:created xsi:type="dcterms:W3CDTF">2024-08-28T01:05:00Z</dcterms:created>
  <dcterms:modified xsi:type="dcterms:W3CDTF">2024-08-28T01:21:00Z</dcterms:modified>
</cp:coreProperties>
</file>