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5C76B7E4" w:rsidR="00F02AEC" w:rsidRPr="00215D48" w:rsidRDefault="00346EC2" w:rsidP="007452E8">
            <w:pPr>
              <w:pStyle w:val="Title"/>
            </w:pPr>
            <w:r w:rsidRPr="00346EC2">
              <w:t xml:space="preserve">Australian Public Assessment Report for </w:t>
            </w:r>
            <w:r w:rsidR="001A10EC">
              <w:t>Lynparza</w:t>
            </w:r>
          </w:p>
        </w:tc>
      </w:tr>
      <w:tr w:rsidR="00F02AEC" w:rsidRPr="00215D48" w14:paraId="318A40A3" w14:textId="77777777" w:rsidTr="00346EC2">
        <w:trPr>
          <w:trHeight w:val="995"/>
        </w:trPr>
        <w:tc>
          <w:tcPr>
            <w:tcW w:w="8720" w:type="dxa"/>
          </w:tcPr>
          <w:p w14:paraId="1AA7C701" w14:textId="7E8BEE54" w:rsidR="00F02AEC" w:rsidRPr="00215D48" w:rsidRDefault="00346EC2" w:rsidP="007452E8">
            <w:pPr>
              <w:pStyle w:val="Subtitle"/>
              <w:ind w:left="0"/>
            </w:pPr>
            <w:r w:rsidRPr="00346EC2">
              <w:t>Active ingredient:</w:t>
            </w:r>
            <w:r w:rsidR="00575A5A">
              <w:t xml:space="preserve"> </w:t>
            </w:r>
            <w:r w:rsidR="00583A23">
              <w:t>O</w:t>
            </w:r>
            <w:r w:rsidR="00575A5A">
              <w:t>laparib</w:t>
            </w:r>
          </w:p>
        </w:tc>
      </w:tr>
      <w:tr w:rsidR="00346EC2" w:rsidRPr="00215D48" w14:paraId="362CCAE4" w14:textId="77777777" w:rsidTr="007452E8">
        <w:trPr>
          <w:trHeight w:val="1916"/>
        </w:trPr>
        <w:tc>
          <w:tcPr>
            <w:tcW w:w="8720" w:type="dxa"/>
          </w:tcPr>
          <w:p w14:paraId="709C45C0" w14:textId="13C48FBF" w:rsidR="00346EC2" w:rsidRPr="00215D48" w:rsidRDefault="004269F3" w:rsidP="007452E8">
            <w:pPr>
              <w:pStyle w:val="Subtitle"/>
              <w:ind w:left="0"/>
            </w:pPr>
            <w:r>
              <w:t>S</w:t>
            </w:r>
            <w:r w:rsidR="00CD546E">
              <w:t>ponsor</w:t>
            </w:r>
            <w:r w:rsidR="00346EC2" w:rsidRPr="00346EC2">
              <w:t xml:space="preserve">: </w:t>
            </w:r>
            <w:r w:rsidR="00575A5A">
              <w:t>AstraZeneca Pty Ltd</w:t>
            </w:r>
          </w:p>
        </w:tc>
      </w:tr>
      <w:tr w:rsidR="00F02AEC" w:rsidRPr="00215D48" w14:paraId="37F2AA1F" w14:textId="77777777" w:rsidTr="007452E8">
        <w:tc>
          <w:tcPr>
            <w:tcW w:w="8720" w:type="dxa"/>
          </w:tcPr>
          <w:p w14:paraId="1FDE8DCD" w14:textId="48BF74A4" w:rsidR="00F02AEC" w:rsidRPr="00215D48" w:rsidRDefault="007C5C7E" w:rsidP="007452E8">
            <w:pPr>
              <w:pStyle w:val="Date"/>
            </w:pPr>
            <w:r>
              <w:t>Ju</w:t>
            </w:r>
            <w:r w:rsidR="001A10EC">
              <w:t>ly</w:t>
            </w:r>
            <w:r>
              <w:t xml:space="preserve"> </w:t>
            </w:r>
            <w:r w:rsidR="00575A5A">
              <w:t>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005FC09D" w:rsidR="00175CD8" w:rsidRPr="00346EC2" w:rsidRDefault="00F02AEC" w:rsidP="00346EC2">
      <w:pPr>
        <w:pStyle w:val="LegalCopy"/>
        <w:rPr>
          <w:rFonts w:cs="Arial"/>
        </w:rPr>
      </w:pPr>
      <w:r w:rsidRPr="00215D48">
        <w:rPr>
          <w:rFonts w:cs="Arial"/>
        </w:rPr>
        <w:t>© Commonwealth of Australia 20</w:t>
      </w:r>
      <w:r>
        <w:rPr>
          <w:rFonts w:cs="Arial"/>
        </w:rPr>
        <w:t>2</w:t>
      </w:r>
      <w:r w:rsidR="00C90965">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6D97FF3F" w14:textId="583BFC75" w:rsidR="00622D9A" w:rsidRDefault="00F02AEC">
          <w:pPr>
            <w:pStyle w:val="TOC2"/>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171942651" w:history="1">
            <w:r w:rsidR="00622D9A" w:rsidRPr="007F1C90">
              <w:rPr>
                <w:rStyle w:val="Hyperlink"/>
                <w:noProof/>
              </w:rPr>
              <w:t>List of abbreviations</w:t>
            </w:r>
            <w:r w:rsidR="00622D9A">
              <w:rPr>
                <w:noProof/>
                <w:webHidden/>
              </w:rPr>
              <w:tab/>
            </w:r>
            <w:r w:rsidR="00622D9A">
              <w:rPr>
                <w:noProof/>
                <w:webHidden/>
              </w:rPr>
              <w:fldChar w:fldCharType="begin"/>
            </w:r>
            <w:r w:rsidR="00622D9A">
              <w:rPr>
                <w:noProof/>
                <w:webHidden/>
              </w:rPr>
              <w:instrText xml:space="preserve"> PAGEREF _Toc171942651 \h </w:instrText>
            </w:r>
            <w:r w:rsidR="00622D9A">
              <w:rPr>
                <w:noProof/>
                <w:webHidden/>
              </w:rPr>
            </w:r>
            <w:r w:rsidR="00622D9A">
              <w:rPr>
                <w:noProof/>
                <w:webHidden/>
              </w:rPr>
              <w:fldChar w:fldCharType="separate"/>
            </w:r>
            <w:r w:rsidR="00622D9A">
              <w:rPr>
                <w:noProof/>
                <w:webHidden/>
              </w:rPr>
              <w:t>4</w:t>
            </w:r>
            <w:r w:rsidR="00622D9A">
              <w:rPr>
                <w:noProof/>
                <w:webHidden/>
              </w:rPr>
              <w:fldChar w:fldCharType="end"/>
            </w:r>
          </w:hyperlink>
        </w:p>
        <w:p w14:paraId="7B2805D9" w14:textId="45737711" w:rsidR="00622D9A" w:rsidRDefault="005F4CC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1942652" w:history="1">
            <w:r w:rsidR="00622D9A" w:rsidRPr="007F1C90">
              <w:rPr>
                <w:rStyle w:val="Hyperlink"/>
                <w:noProof/>
              </w:rPr>
              <w:t>Product submission</w:t>
            </w:r>
            <w:r w:rsidR="00622D9A">
              <w:rPr>
                <w:noProof/>
                <w:webHidden/>
              </w:rPr>
              <w:tab/>
            </w:r>
            <w:r w:rsidR="00622D9A">
              <w:rPr>
                <w:noProof/>
                <w:webHidden/>
              </w:rPr>
              <w:fldChar w:fldCharType="begin"/>
            </w:r>
            <w:r w:rsidR="00622D9A">
              <w:rPr>
                <w:noProof/>
                <w:webHidden/>
              </w:rPr>
              <w:instrText xml:space="preserve"> PAGEREF _Toc171942652 \h </w:instrText>
            </w:r>
            <w:r w:rsidR="00622D9A">
              <w:rPr>
                <w:noProof/>
                <w:webHidden/>
              </w:rPr>
            </w:r>
            <w:r w:rsidR="00622D9A">
              <w:rPr>
                <w:noProof/>
                <w:webHidden/>
              </w:rPr>
              <w:fldChar w:fldCharType="separate"/>
            </w:r>
            <w:r w:rsidR="00622D9A">
              <w:rPr>
                <w:noProof/>
                <w:webHidden/>
              </w:rPr>
              <w:t>8</w:t>
            </w:r>
            <w:r w:rsidR="00622D9A">
              <w:rPr>
                <w:noProof/>
                <w:webHidden/>
              </w:rPr>
              <w:fldChar w:fldCharType="end"/>
            </w:r>
          </w:hyperlink>
        </w:p>
        <w:p w14:paraId="497560AD" w14:textId="1E441383" w:rsidR="00622D9A" w:rsidRDefault="005F4CC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942653" w:history="1">
            <w:r w:rsidR="00622D9A" w:rsidRPr="007F1C90">
              <w:rPr>
                <w:rStyle w:val="Hyperlink"/>
                <w:noProof/>
                <w:lang w:eastAsia="en-AU"/>
              </w:rPr>
              <w:t>Submission details</w:t>
            </w:r>
            <w:r w:rsidR="00622D9A">
              <w:rPr>
                <w:noProof/>
                <w:webHidden/>
              </w:rPr>
              <w:tab/>
            </w:r>
            <w:r w:rsidR="00622D9A">
              <w:rPr>
                <w:noProof/>
                <w:webHidden/>
              </w:rPr>
              <w:fldChar w:fldCharType="begin"/>
            </w:r>
            <w:r w:rsidR="00622D9A">
              <w:rPr>
                <w:noProof/>
                <w:webHidden/>
              </w:rPr>
              <w:instrText xml:space="preserve"> PAGEREF _Toc171942653 \h </w:instrText>
            </w:r>
            <w:r w:rsidR="00622D9A">
              <w:rPr>
                <w:noProof/>
                <w:webHidden/>
              </w:rPr>
            </w:r>
            <w:r w:rsidR="00622D9A">
              <w:rPr>
                <w:noProof/>
                <w:webHidden/>
              </w:rPr>
              <w:fldChar w:fldCharType="separate"/>
            </w:r>
            <w:r w:rsidR="00622D9A">
              <w:rPr>
                <w:noProof/>
                <w:webHidden/>
              </w:rPr>
              <w:t>8</w:t>
            </w:r>
            <w:r w:rsidR="00622D9A">
              <w:rPr>
                <w:noProof/>
                <w:webHidden/>
              </w:rPr>
              <w:fldChar w:fldCharType="end"/>
            </w:r>
          </w:hyperlink>
        </w:p>
        <w:p w14:paraId="370A96A7" w14:textId="3CC1261D" w:rsidR="00622D9A" w:rsidRDefault="005F4CC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942654" w:history="1">
            <w:r w:rsidR="00622D9A" w:rsidRPr="007F1C90">
              <w:rPr>
                <w:rStyle w:val="Hyperlink"/>
                <w:noProof/>
              </w:rPr>
              <w:t>Product background</w:t>
            </w:r>
            <w:r w:rsidR="00622D9A">
              <w:rPr>
                <w:noProof/>
                <w:webHidden/>
              </w:rPr>
              <w:tab/>
            </w:r>
            <w:r w:rsidR="00622D9A">
              <w:rPr>
                <w:noProof/>
                <w:webHidden/>
              </w:rPr>
              <w:fldChar w:fldCharType="begin"/>
            </w:r>
            <w:r w:rsidR="00622D9A">
              <w:rPr>
                <w:noProof/>
                <w:webHidden/>
              </w:rPr>
              <w:instrText xml:space="preserve"> PAGEREF _Toc171942654 \h </w:instrText>
            </w:r>
            <w:r w:rsidR="00622D9A">
              <w:rPr>
                <w:noProof/>
                <w:webHidden/>
              </w:rPr>
            </w:r>
            <w:r w:rsidR="00622D9A">
              <w:rPr>
                <w:noProof/>
                <w:webHidden/>
              </w:rPr>
              <w:fldChar w:fldCharType="separate"/>
            </w:r>
            <w:r w:rsidR="00622D9A">
              <w:rPr>
                <w:noProof/>
                <w:webHidden/>
              </w:rPr>
              <w:t>9</w:t>
            </w:r>
            <w:r w:rsidR="00622D9A">
              <w:rPr>
                <w:noProof/>
                <w:webHidden/>
              </w:rPr>
              <w:fldChar w:fldCharType="end"/>
            </w:r>
          </w:hyperlink>
        </w:p>
        <w:p w14:paraId="2C425B49" w14:textId="3CEADD72"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55" w:history="1">
            <w:r w:rsidR="00622D9A" w:rsidRPr="007F1C90">
              <w:rPr>
                <w:rStyle w:val="Hyperlink"/>
                <w:noProof/>
              </w:rPr>
              <w:t>The disease/condition</w:t>
            </w:r>
            <w:r w:rsidR="00622D9A">
              <w:rPr>
                <w:noProof/>
                <w:webHidden/>
              </w:rPr>
              <w:tab/>
            </w:r>
            <w:r w:rsidR="00622D9A">
              <w:rPr>
                <w:noProof/>
                <w:webHidden/>
              </w:rPr>
              <w:fldChar w:fldCharType="begin"/>
            </w:r>
            <w:r w:rsidR="00622D9A">
              <w:rPr>
                <w:noProof/>
                <w:webHidden/>
              </w:rPr>
              <w:instrText xml:space="preserve"> PAGEREF _Toc171942655 \h </w:instrText>
            </w:r>
            <w:r w:rsidR="00622D9A">
              <w:rPr>
                <w:noProof/>
                <w:webHidden/>
              </w:rPr>
            </w:r>
            <w:r w:rsidR="00622D9A">
              <w:rPr>
                <w:noProof/>
                <w:webHidden/>
              </w:rPr>
              <w:fldChar w:fldCharType="separate"/>
            </w:r>
            <w:r w:rsidR="00622D9A">
              <w:rPr>
                <w:noProof/>
                <w:webHidden/>
              </w:rPr>
              <w:t>9</w:t>
            </w:r>
            <w:r w:rsidR="00622D9A">
              <w:rPr>
                <w:noProof/>
                <w:webHidden/>
              </w:rPr>
              <w:fldChar w:fldCharType="end"/>
            </w:r>
          </w:hyperlink>
        </w:p>
        <w:p w14:paraId="08B4D877" w14:textId="6AF7C1C9"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56" w:history="1">
            <w:r w:rsidR="00622D9A" w:rsidRPr="007F1C90">
              <w:rPr>
                <w:rStyle w:val="Hyperlink"/>
                <w:noProof/>
              </w:rPr>
              <w:t>Current treatment options</w:t>
            </w:r>
            <w:r w:rsidR="00622D9A">
              <w:rPr>
                <w:noProof/>
                <w:webHidden/>
              </w:rPr>
              <w:tab/>
            </w:r>
            <w:r w:rsidR="00622D9A">
              <w:rPr>
                <w:noProof/>
                <w:webHidden/>
              </w:rPr>
              <w:fldChar w:fldCharType="begin"/>
            </w:r>
            <w:r w:rsidR="00622D9A">
              <w:rPr>
                <w:noProof/>
                <w:webHidden/>
              </w:rPr>
              <w:instrText xml:space="preserve"> PAGEREF _Toc171942656 \h </w:instrText>
            </w:r>
            <w:r w:rsidR="00622D9A">
              <w:rPr>
                <w:noProof/>
                <w:webHidden/>
              </w:rPr>
            </w:r>
            <w:r w:rsidR="00622D9A">
              <w:rPr>
                <w:noProof/>
                <w:webHidden/>
              </w:rPr>
              <w:fldChar w:fldCharType="separate"/>
            </w:r>
            <w:r w:rsidR="00622D9A">
              <w:rPr>
                <w:noProof/>
                <w:webHidden/>
              </w:rPr>
              <w:t>11</w:t>
            </w:r>
            <w:r w:rsidR="00622D9A">
              <w:rPr>
                <w:noProof/>
                <w:webHidden/>
              </w:rPr>
              <w:fldChar w:fldCharType="end"/>
            </w:r>
          </w:hyperlink>
        </w:p>
        <w:p w14:paraId="1CE0F1A6" w14:textId="4F9619AD"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57" w:history="1">
            <w:r w:rsidR="00622D9A" w:rsidRPr="007F1C90">
              <w:rPr>
                <w:rStyle w:val="Hyperlink"/>
                <w:noProof/>
              </w:rPr>
              <w:t>Clinical rationale</w:t>
            </w:r>
            <w:r w:rsidR="00622D9A">
              <w:rPr>
                <w:noProof/>
                <w:webHidden/>
              </w:rPr>
              <w:tab/>
            </w:r>
            <w:r w:rsidR="00622D9A">
              <w:rPr>
                <w:noProof/>
                <w:webHidden/>
              </w:rPr>
              <w:fldChar w:fldCharType="begin"/>
            </w:r>
            <w:r w:rsidR="00622D9A">
              <w:rPr>
                <w:noProof/>
                <w:webHidden/>
              </w:rPr>
              <w:instrText xml:space="preserve"> PAGEREF _Toc171942657 \h </w:instrText>
            </w:r>
            <w:r w:rsidR="00622D9A">
              <w:rPr>
                <w:noProof/>
                <w:webHidden/>
              </w:rPr>
            </w:r>
            <w:r w:rsidR="00622D9A">
              <w:rPr>
                <w:noProof/>
                <w:webHidden/>
              </w:rPr>
              <w:fldChar w:fldCharType="separate"/>
            </w:r>
            <w:r w:rsidR="00622D9A">
              <w:rPr>
                <w:noProof/>
                <w:webHidden/>
              </w:rPr>
              <w:t>12</w:t>
            </w:r>
            <w:r w:rsidR="00622D9A">
              <w:rPr>
                <w:noProof/>
                <w:webHidden/>
              </w:rPr>
              <w:fldChar w:fldCharType="end"/>
            </w:r>
          </w:hyperlink>
        </w:p>
        <w:p w14:paraId="7CA32B6B" w14:textId="76E700FA" w:rsidR="00622D9A" w:rsidRDefault="005F4CC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942658" w:history="1">
            <w:r w:rsidR="00622D9A" w:rsidRPr="007F1C90">
              <w:rPr>
                <w:rStyle w:val="Hyperlink"/>
                <w:noProof/>
              </w:rPr>
              <w:t>Regulatory status</w:t>
            </w:r>
            <w:r w:rsidR="00622D9A">
              <w:rPr>
                <w:noProof/>
                <w:webHidden/>
              </w:rPr>
              <w:tab/>
            </w:r>
            <w:r w:rsidR="00622D9A">
              <w:rPr>
                <w:noProof/>
                <w:webHidden/>
              </w:rPr>
              <w:fldChar w:fldCharType="begin"/>
            </w:r>
            <w:r w:rsidR="00622D9A">
              <w:rPr>
                <w:noProof/>
                <w:webHidden/>
              </w:rPr>
              <w:instrText xml:space="preserve"> PAGEREF _Toc171942658 \h </w:instrText>
            </w:r>
            <w:r w:rsidR="00622D9A">
              <w:rPr>
                <w:noProof/>
                <w:webHidden/>
              </w:rPr>
            </w:r>
            <w:r w:rsidR="00622D9A">
              <w:rPr>
                <w:noProof/>
                <w:webHidden/>
              </w:rPr>
              <w:fldChar w:fldCharType="separate"/>
            </w:r>
            <w:r w:rsidR="00622D9A">
              <w:rPr>
                <w:noProof/>
                <w:webHidden/>
              </w:rPr>
              <w:t>13</w:t>
            </w:r>
            <w:r w:rsidR="00622D9A">
              <w:rPr>
                <w:noProof/>
                <w:webHidden/>
              </w:rPr>
              <w:fldChar w:fldCharType="end"/>
            </w:r>
          </w:hyperlink>
        </w:p>
        <w:p w14:paraId="1AC597F7" w14:textId="270ADBCC"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59" w:history="1">
            <w:r w:rsidR="00622D9A" w:rsidRPr="007F1C90">
              <w:rPr>
                <w:rStyle w:val="Hyperlink"/>
                <w:noProof/>
              </w:rPr>
              <w:t>Australian regulatory status</w:t>
            </w:r>
            <w:r w:rsidR="00622D9A">
              <w:rPr>
                <w:noProof/>
                <w:webHidden/>
              </w:rPr>
              <w:tab/>
            </w:r>
            <w:r w:rsidR="00622D9A">
              <w:rPr>
                <w:noProof/>
                <w:webHidden/>
              </w:rPr>
              <w:fldChar w:fldCharType="begin"/>
            </w:r>
            <w:r w:rsidR="00622D9A">
              <w:rPr>
                <w:noProof/>
                <w:webHidden/>
              </w:rPr>
              <w:instrText xml:space="preserve"> PAGEREF _Toc171942659 \h </w:instrText>
            </w:r>
            <w:r w:rsidR="00622D9A">
              <w:rPr>
                <w:noProof/>
                <w:webHidden/>
              </w:rPr>
            </w:r>
            <w:r w:rsidR="00622D9A">
              <w:rPr>
                <w:noProof/>
                <w:webHidden/>
              </w:rPr>
              <w:fldChar w:fldCharType="separate"/>
            </w:r>
            <w:r w:rsidR="00622D9A">
              <w:rPr>
                <w:noProof/>
                <w:webHidden/>
              </w:rPr>
              <w:t>13</w:t>
            </w:r>
            <w:r w:rsidR="00622D9A">
              <w:rPr>
                <w:noProof/>
                <w:webHidden/>
              </w:rPr>
              <w:fldChar w:fldCharType="end"/>
            </w:r>
          </w:hyperlink>
        </w:p>
        <w:p w14:paraId="2963AE62" w14:textId="482CE312"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60" w:history="1">
            <w:r w:rsidR="00622D9A" w:rsidRPr="007F1C90">
              <w:rPr>
                <w:rStyle w:val="Hyperlink"/>
                <w:noProof/>
              </w:rPr>
              <w:t>International regulatory status</w:t>
            </w:r>
            <w:r w:rsidR="00622D9A">
              <w:rPr>
                <w:noProof/>
                <w:webHidden/>
              </w:rPr>
              <w:tab/>
            </w:r>
            <w:r w:rsidR="00622D9A">
              <w:rPr>
                <w:noProof/>
                <w:webHidden/>
              </w:rPr>
              <w:fldChar w:fldCharType="begin"/>
            </w:r>
            <w:r w:rsidR="00622D9A">
              <w:rPr>
                <w:noProof/>
                <w:webHidden/>
              </w:rPr>
              <w:instrText xml:space="preserve"> PAGEREF _Toc171942660 \h </w:instrText>
            </w:r>
            <w:r w:rsidR="00622D9A">
              <w:rPr>
                <w:noProof/>
                <w:webHidden/>
              </w:rPr>
            </w:r>
            <w:r w:rsidR="00622D9A">
              <w:rPr>
                <w:noProof/>
                <w:webHidden/>
              </w:rPr>
              <w:fldChar w:fldCharType="separate"/>
            </w:r>
            <w:r w:rsidR="00622D9A">
              <w:rPr>
                <w:noProof/>
                <w:webHidden/>
              </w:rPr>
              <w:t>14</w:t>
            </w:r>
            <w:r w:rsidR="00622D9A">
              <w:rPr>
                <w:noProof/>
                <w:webHidden/>
              </w:rPr>
              <w:fldChar w:fldCharType="end"/>
            </w:r>
          </w:hyperlink>
        </w:p>
        <w:p w14:paraId="70259C4C" w14:textId="187B6612" w:rsidR="00622D9A" w:rsidRDefault="005F4CC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942661" w:history="1">
            <w:r w:rsidR="00622D9A" w:rsidRPr="007F1C90">
              <w:rPr>
                <w:rStyle w:val="Hyperlink"/>
                <w:noProof/>
              </w:rPr>
              <w:t>Registration timeline</w:t>
            </w:r>
            <w:r w:rsidR="00622D9A">
              <w:rPr>
                <w:noProof/>
                <w:webHidden/>
              </w:rPr>
              <w:tab/>
            </w:r>
            <w:r w:rsidR="00622D9A">
              <w:rPr>
                <w:noProof/>
                <w:webHidden/>
              </w:rPr>
              <w:fldChar w:fldCharType="begin"/>
            </w:r>
            <w:r w:rsidR="00622D9A">
              <w:rPr>
                <w:noProof/>
                <w:webHidden/>
              </w:rPr>
              <w:instrText xml:space="preserve"> PAGEREF _Toc171942661 \h </w:instrText>
            </w:r>
            <w:r w:rsidR="00622D9A">
              <w:rPr>
                <w:noProof/>
                <w:webHidden/>
              </w:rPr>
            </w:r>
            <w:r w:rsidR="00622D9A">
              <w:rPr>
                <w:noProof/>
                <w:webHidden/>
              </w:rPr>
              <w:fldChar w:fldCharType="separate"/>
            </w:r>
            <w:r w:rsidR="00622D9A">
              <w:rPr>
                <w:noProof/>
                <w:webHidden/>
              </w:rPr>
              <w:t>17</w:t>
            </w:r>
            <w:r w:rsidR="00622D9A">
              <w:rPr>
                <w:noProof/>
                <w:webHidden/>
              </w:rPr>
              <w:fldChar w:fldCharType="end"/>
            </w:r>
          </w:hyperlink>
        </w:p>
        <w:p w14:paraId="6DEA0060" w14:textId="6C882CE6" w:rsidR="00622D9A" w:rsidRDefault="005F4CC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1942662" w:history="1">
            <w:r w:rsidR="00622D9A" w:rsidRPr="007F1C90">
              <w:rPr>
                <w:rStyle w:val="Hyperlink"/>
                <w:noProof/>
              </w:rPr>
              <w:t>Submission overview and risk/benefit assessment</w:t>
            </w:r>
            <w:r w:rsidR="00622D9A">
              <w:rPr>
                <w:noProof/>
                <w:webHidden/>
              </w:rPr>
              <w:tab/>
            </w:r>
            <w:r w:rsidR="00622D9A">
              <w:rPr>
                <w:noProof/>
                <w:webHidden/>
              </w:rPr>
              <w:fldChar w:fldCharType="begin"/>
            </w:r>
            <w:r w:rsidR="00622D9A">
              <w:rPr>
                <w:noProof/>
                <w:webHidden/>
              </w:rPr>
              <w:instrText xml:space="preserve"> PAGEREF _Toc171942662 \h </w:instrText>
            </w:r>
            <w:r w:rsidR="00622D9A">
              <w:rPr>
                <w:noProof/>
                <w:webHidden/>
              </w:rPr>
            </w:r>
            <w:r w:rsidR="00622D9A">
              <w:rPr>
                <w:noProof/>
                <w:webHidden/>
              </w:rPr>
              <w:fldChar w:fldCharType="separate"/>
            </w:r>
            <w:r w:rsidR="00622D9A">
              <w:rPr>
                <w:noProof/>
                <w:webHidden/>
              </w:rPr>
              <w:t>18</w:t>
            </w:r>
            <w:r w:rsidR="00622D9A">
              <w:rPr>
                <w:noProof/>
                <w:webHidden/>
              </w:rPr>
              <w:fldChar w:fldCharType="end"/>
            </w:r>
          </w:hyperlink>
        </w:p>
        <w:p w14:paraId="451D4AF3" w14:textId="5C3E1D81" w:rsidR="00622D9A" w:rsidRDefault="005F4CC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942663" w:history="1">
            <w:r w:rsidR="00622D9A" w:rsidRPr="007F1C90">
              <w:rPr>
                <w:rStyle w:val="Hyperlink"/>
                <w:noProof/>
              </w:rPr>
              <w:t>Quality Evaluation Summary</w:t>
            </w:r>
            <w:r w:rsidR="00622D9A">
              <w:rPr>
                <w:noProof/>
                <w:webHidden/>
              </w:rPr>
              <w:tab/>
            </w:r>
            <w:r w:rsidR="00622D9A">
              <w:rPr>
                <w:noProof/>
                <w:webHidden/>
              </w:rPr>
              <w:fldChar w:fldCharType="begin"/>
            </w:r>
            <w:r w:rsidR="00622D9A">
              <w:rPr>
                <w:noProof/>
                <w:webHidden/>
              </w:rPr>
              <w:instrText xml:space="preserve"> PAGEREF _Toc171942663 \h </w:instrText>
            </w:r>
            <w:r w:rsidR="00622D9A">
              <w:rPr>
                <w:noProof/>
                <w:webHidden/>
              </w:rPr>
            </w:r>
            <w:r w:rsidR="00622D9A">
              <w:rPr>
                <w:noProof/>
                <w:webHidden/>
              </w:rPr>
              <w:fldChar w:fldCharType="separate"/>
            </w:r>
            <w:r w:rsidR="00622D9A">
              <w:rPr>
                <w:noProof/>
                <w:webHidden/>
              </w:rPr>
              <w:t>18</w:t>
            </w:r>
            <w:r w:rsidR="00622D9A">
              <w:rPr>
                <w:noProof/>
                <w:webHidden/>
              </w:rPr>
              <w:fldChar w:fldCharType="end"/>
            </w:r>
          </w:hyperlink>
        </w:p>
        <w:p w14:paraId="0FD131A9" w14:textId="1900B8CE" w:rsidR="00622D9A" w:rsidRDefault="005F4CC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942664" w:history="1">
            <w:r w:rsidR="00622D9A" w:rsidRPr="007F1C90">
              <w:rPr>
                <w:rStyle w:val="Hyperlink"/>
                <w:noProof/>
              </w:rPr>
              <w:t>Nonclinical (Toxicology) Evaluation Summary</w:t>
            </w:r>
            <w:r w:rsidR="00622D9A">
              <w:rPr>
                <w:noProof/>
                <w:webHidden/>
              </w:rPr>
              <w:tab/>
            </w:r>
            <w:r w:rsidR="00622D9A">
              <w:rPr>
                <w:noProof/>
                <w:webHidden/>
              </w:rPr>
              <w:fldChar w:fldCharType="begin"/>
            </w:r>
            <w:r w:rsidR="00622D9A">
              <w:rPr>
                <w:noProof/>
                <w:webHidden/>
              </w:rPr>
              <w:instrText xml:space="preserve"> PAGEREF _Toc171942664 \h </w:instrText>
            </w:r>
            <w:r w:rsidR="00622D9A">
              <w:rPr>
                <w:noProof/>
                <w:webHidden/>
              </w:rPr>
            </w:r>
            <w:r w:rsidR="00622D9A">
              <w:rPr>
                <w:noProof/>
                <w:webHidden/>
              </w:rPr>
              <w:fldChar w:fldCharType="separate"/>
            </w:r>
            <w:r w:rsidR="00622D9A">
              <w:rPr>
                <w:noProof/>
                <w:webHidden/>
              </w:rPr>
              <w:t>19</w:t>
            </w:r>
            <w:r w:rsidR="00622D9A">
              <w:rPr>
                <w:noProof/>
                <w:webHidden/>
              </w:rPr>
              <w:fldChar w:fldCharType="end"/>
            </w:r>
          </w:hyperlink>
        </w:p>
        <w:p w14:paraId="676ACAA7" w14:textId="05576A9E" w:rsidR="00622D9A" w:rsidRDefault="005F4CC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942665" w:history="1">
            <w:r w:rsidR="00622D9A" w:rsidRPr="007F1C90">
              <w:rPr>
                <w:rStyle w:val="Hyperlink"/>
                <w:noProof/>
              </w:rPr>
              <w:t>Clinical Evaluation Summary</w:t>
            </w:r>
            <w:r w:rsidR="00622D9A">
              <w:rPr>
                <w:noProof/>
                <w:webHidden/>
              </w:rPr>
              <w:tab/>
            </w:r>
            <w:r w:rsidR="00622D9A">
              <w:rPr>
                <w:noProof/>
                <w:webHidden/>
              </w:rPr>
              <w:fldChar w:fldCharType="begin"/>
            </w:r>
            <w:r w:rsidR="00622D9A">
              <w:rPr>
                <w:noProof/>
                <w:webHidden/>
              </w:rPr>
              <w:instrText xml:space="preserve"> PAGEREF _Toc171942665 \h </w:instrText>
            </w:r>
            <w:r w:rsidR="00622D9A">
              <w:rPr>
                <w:noProof/>
                <w:webHidden/>
              </w:rPr>
            </w:r>
            <w:r w:rsidR="00622D9A">
              <w:rPr>
                <w:noProof/>
                <w:webHidden/>
              </w:rPr>
              <w:fldChar w:fldCharType="separate"/>
            </w:r>
            <w:r w:rsidR="00622D9A">
              <w:rPr>
                <w:noProof/>
                <w:webHidden/>
              </w:rPr>
              <w:t>21</w:t>
            </w:r>
            <w:r w:rsidR="00622D9A">
              <w:rPr>
                <w:noProof/>
                <w:webHidden/>
              </w:rPr>
              <w:fldChar w:fldCharType="end"/>
            </w:r>
          </w:hyperlink>
        </w:p>
        <w:p w14:paraId="06ED5398" w14:textId="5E3ED24D"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66" w:history="1">
            <w:r w:rsidR="00622D9A" w:rsidRPr="007F1C90">
              <w:rPr>
                <w:rStyle w:val="Hyperlink"/>
                <w:noProof/>
              </w:rPr>
              <w:t>Pharmacology</w:t>
            </w:r>
            <w:r w:rsidR="00622D9A">
              <w:rPr>
                <w:noProof/>
                <w:webHidden/>
              </w:rPr>
              <w:tab/>
            </w:r>
            <w:r w:rsidR="00622D9A">
              <w:rPr>
                <w:noProof/>
                <w:webHidden/>
              </w:rPr>
              <w:fldChar w:fldCharType="begin"/>
            </w:r>
            <w:r w:rsidR="00622D9A">
              <w:rPr>
                <w:noProof/>
                <w:webHidden/>
              </w:rPr>
              <w:instrText xml:space="preserve"> PAGEREF _Toc171942666 \h </w:instrText>
            </w:r>
            <w:r w:rsidR="00622D9A">
              <w:rPr>
                <w:noProof/>
                <w:webHidden/>
              </w:rPr>
            </w:r>
            <w:r w:rsidR="00622D9A">
              <w:rPr>
                <w:noProof/>
                <w:webHidden/>
              </w:rPr>
              <w:fldChar w:fldCharType="separate"/>
            </w:r>
            <w:r w:rsidR="00622D9A">
              <w:rPr>
                <w:noProof/>
                <w:webHidden/>
              </w:rPr>
              <w:t>21</w:t>
            </w:r>
            <w:r w:rsidR="00622D9A">
              <w:rPr>
                <w:noProof/>
                <w:webHidden/>
              </w:rPr>
              <w:fldChar w:fldCharType="end"/>
            </w:r>
          </w:hyperlink>
        </w:p>
        <w:p w14:paraId="59ACA969" w14:textId="466DA1F5"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67" w:history="1">
            <w:r w:rsidR="00622D9A" w:rsidRPr="007F1C90">
              <w:rPr>
                <w:rStyle w:val="Hyperlink"/>
                <w:noProof/>
              </w:rPr>
              <w:t>Efficacy</w:t>
            </w:r>
            <w:r w:rsidR="00622D9A">
              <w:rPr>
                <w:noProof/>
                <w:webHidden/>
              </w:rPr>
              <w:tab/>
            </w:r>
            <w:r w:rsidR="00622D9A">
              <w:rPr>
                <w:noProof/>
                <w:webHidden/>
              </w:rPr>
              <w:fldChar w:fldCharType="begin"/>
            </w:r>
            <w:r w:rsidR="00622D9A">
              <w:rPr>
                <w:noProof/>
                <w:webHidden/>
              </w:rPr>
              <w:instrText xml:space="preserve"> PAGEREF _Toc171942667 \h </w:instrText>
            </w:r>
            <w:r w:rsidR="00622D9A">
              <w:rPr>
                <w:noProof/>
                <w:webHidden/>
              </w:rPr>
            </w:r>
            <w:r w:rsidR="00622D9A">
              <w:rPr>
                <w:noProof/>
                <w:webHidden/>
              </w:rPr>
              <w:fldChar w:fldCharType="separate"/>
            </w:r>
            <w:r w:rsidR="00622D9A">
              <w:rPr>
                <w:noProof/>
                <w:webHidden/>
              </w:rPr>
              <w:t>23</w:t>
            </w:r>
            <w:r w:rsidR="00622D9A">
              <w:rPr>
                <w:noProof/>
                <w:webHidden/>
              </w:rPr>
              <w:fldChar w:fldCharType="end"/>
            </w:r>
          </w:hyperlink>
        </w:p>
        <w:p w14:paraId="4FEC0E04" w14:textId="14B53E40"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68" w:history="1">
            <w:r w:rsidR="00622D9A" w:rsidRPr="007F1C90">
              <w:rPr>
                <w:rStyle w:val="Hyperlink"/>
                <w:noProof/>
              </w:rPr>
              <w:t>Safety</w:t>
            </w:r>
            <w:r w:rsidR="00622D9A">
              <w:rPr>
                <w:noProof/>
                <w:webHidden/>
              </w:rPr>
              <w:tab/>
            </w:r>
            <w:r w:rsidR="00622D9A">
              <w:rPr>
                <w:noProof/>
                <w:webHidden/>
              </w:rPr>
              <w:fldChar w:fldCharType="begin"/>
            </w:r>
            <w:r w:rsidR="00622D9A">
              <w:rPr>
                <w:noProof/>
                <w:webHidden/>
              </w:rPr>
              <w:instrText xml:space="preserve"> PAGEREF _Toc171942668 \h </w:instrText>
            </w:r>
            <w:r w:rsidR="00622D9A">
              <w:rPr>
                <w:noProof/>
                <w:webHidden/>
              </w:rPr>
            </w:r>
            <w:r w:rsidR="00622D9A">
              <w:rPr>
                <w:noProof/>
                <w:webHidden/>
              </w:rPr>
              <w:fldChar w:fldCharType="separate"/>
            </w:r>
            <w:r w:rsidR="00622D9A">
              <w:rPr>
                <w:noProof/>
                <w:webHidden/>
              </w:rPr>
              <w:t>42</w:t>
            </w:r>
            <w:r w:rsidR="00622D9A">
              <w:rPr>
                <w:noProof/>
                <w:webHidden/>
              </w:rPr>
              <w:fldChar w:fldCharType="end"/>
            </w:r>
          </w:hyperlink>
        </w:p>
        <w:p w14:paraId="2DE2865F" w14:textId="4B2E31C6" w:rsidR="00622D9A" w:rsidRDefault="005F4CC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942669" w:history="1">
            <w:r w:rsidR="00622D9A" w:rsidRPr="007F1C90">
              <w:rPr>
                <w:rStyle w:val="Hyperlink"/>
                <w:noProof/>
                <w:lang w:eastAsia="en-AU"/>
              </w:rPr>
              <w:t>Risk management plan</w:t>
            </w:r>
            <w:r w:rsidR="00622D9A">
              <w:rPr>
                <w:noProof/>
                <w:webHidden/>
              </w:rPr>
              <w:tab/>
            </w:r>
            <w:r w:rsidR="00622D9A">
              <w:rPr>
                <w:noProof/>
                <w:webHidden/>
              </w:rPr>
              <w:fldChar w:fldCharType="begin"/>
            </w:r>
            <w:r w:rsidR="00622D9A">
              <w:rPr>
                <w:noProof/>
                <w:webHidden/>
              </w:rPr>
              <w:instrText xml:space="preserve"> PAGEREF _Toc171942669 \h </w:instrText>
            </w:r>
            <w:r w:rsidR="00622D9A">
              <w:rPr>
                <w:noProof/>
                <w:webHidden/>
              </w:rPr>
            </w:r>
            <w:r w:rsidR="00622D9A">
              <w:rPr>
                <w:noProof/>
                <w:webHidden/>
              </w:rPr>
              <w:fldChar w:fldCharType="separate"/>
            </w:r>
            <w:r w:rsidR="00622D9A">
              <w:rPr>
                <w:noProof/>
                <w:webHidden/>
              </w:rPr>
              <w:t>54</w:t>
            </w:r>
            <w:r w:rsidR="00622D9A">
              <w:rPr>
                <w:noProof/>
                <w:webHidden/>
              </w:rPr>
              <w:fldChar w:fldCharType="end"/>
            </w:r>
          </w:hyperlink>
        </w:p>
        <w:p w14:paraId="6649B8F6" w14:textId="1D2511CE" w:rsidR="00622D9A" w:rsidRDefault="005F4CC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1942670" w:history="1">
            <w:r w:rsidR="00622D9A" w:rsidRPr="007F1C90">
              <w:rPr>
                <w:rStyle w:val="Hyperlink"/>
                <w:noProof/>
              </w:rPr>
              <w:t>Risk-benefit analysis</w:t>
            </w:r>
            <w:r w:rsidR="00622D9A">
              <w:rPr>
                <w:noProof/>
                <w:webHidden/>
              </w:rPr>
              <w:tab/>
            </w:r>
            <w:r w:rsidR="00622D9A">
              <w:rPr>
                <w:noProof/>
                <w:webHidden/>
              </w:rPr>
              <w:fldChar w:fldCharType="begin"/>
            </w:r>
            <w:r w:rsidR="00622D9A">
              <w:rPr>
                <w:noProof/>
                <w:webHidden/>
              </w:rPr>
              <w:instrText xml:space="preserve"> PAGEREF _Toc171942670 \h </w:instrText>
            </w:r>
            <w:r w:rsidR="00622D9A">
              <w:rPr>
                <w:noProof/>
                <w:webHidden/>
              </w:rPr>
            </w:r>
            <w:r w:rsidR="00622D9A">
              <w:rPr>
                <w:noProof/>
                <w:webHidden/>
              </w:rPr>
              <w:fldChar w:fldCharType="separate"/>
            </w:r>
            <w:r w:rsidR="00622D9A">
              <w:rPr>
                <w:noProof/>
                <w:webHidden/>
              </w:rPr>
              <w:t>55</w:t>
            </w:r>
            <w:r w:rsidR="00622D9A">
              <w:rPr>
                <w:noProof/>
                <w:webHidden/>
              </w:rPr>
              <w:fldChar w:fldCharType="end"/>
            </w:r>
          </w:hyperlink>
        </w:p>
        <w:p w14:paraId="35499607" w14:textId="116A93CB"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71" w:history="1">
            <w:r w:rsidR="00622D9A" w:rsidRPr="007F1C90">
              <w:rPr>
                <w:rStyle w:val="Hyperlink"/>
                <w:noProof/>
              </w:rPr>
              <w:t>Delegate’s considerations</w:t>
            </w:r>
            <w:r w:rsidR="00622D9A">
              <w:rPr>
                <w:noProof/>
                <w:webHidden/>
              </w:rPr>
              <w:tab/>
            </w:r>
            <w:r w:rsidR="00622D9A">
              <w:rPr>
                <w:noProof/>
                <w:webHidden/>
              </w:rPr>
              <w:fldChar w:fldCharType="begin"/>
            </w:r>
            <w:r w:rsidR="00622D9A">
              <w:rPr>
                <w:noProof/>
                <w:webHidden/>
              </w:rPr>
              <w:instrText xml:space="preserve"> PAGEREF _Toc171942671 \h </w:instrText>
            </w:r>
            <w:r w:rsidR="00622D9A">
              <w:rPr>
                <w:noProof/>
                <w:webHidden/>
              </w:rPr>
            </w:r>
            <w:r w:rsidR="00622D9A">
              <w:rPr>
                <w:noProof/>
                <w:webHidden/>
              </w:rPr>
              <w:fldChar w:fldCharType="separate"/>
            </w:r>
            <w:r w:rsidR="00622D9A">
              <w:rPr>
                <w:noProof/>
                <w:webHidden/>
              </w:rPr>
              <w:t>55</w:t>
            </w:r>
            <w:r w:rsidR="00622D9A">
              <w:rPr>
                <w:noProof/>
                <w:webHidden/>
              </w:rPr>
              <w:fldChar w:fldCharType="end"/>
            </w:r>
          </w:hyperlink>
        </w:p>
        <w:p w14:paraId="630D4A28" w14:textId="24381D0E"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72" w:history="1">
            <w:r w:rsidR="00622D9A" w:rsidRPr="007F1C90">
              <w:rPr>
                <w:rStyle w:val="Hyperlink"/>
                <w:noProof/>
              </w:rPr>
              <w:t>Proposed action</w:t>
            </w:r>
            <w:r w:rsidR="00622D9A">
              <w:rPr>
                <w:noProof/>
                <w:webHidden/>
              </w:rPr>
              <w:tab/>
            </w:r>
            <w:r w:rsidR="00622D9A">
              <w:rPr>
                <w:noProof/>
                <w:webHidden/>
              </w:rPr>
              <w:fldChar w:fldCharType="begin"/>
            </w:r>
            <w:r w:rsidR="00622D9A">
              <w:rPr>
                <w:noProof/>
                <w:webHidden/>
              </w:rPr>
              <w:instrText xml:space="preserve"> PAGEREF _Toc171942672 \h </w:instrText>
            </w:r>
            <w:r w:rsidR="00622D9A">
              <w:rPr>
                <w:noProof/>
                <w:webHidden/>
              </w:rPr>
            </w:r>
            <w:r w:rsidR="00622D9A">
              <w:rPr>
                <w:noProof/>
                <w:webHidden/>
              </w:rPr>
              <w:fldChar w:fldCharType="separate"/>
            </w:r>
            <w:r w:rsidR="00622D9A">
              <w:rPr>
                <w:noProof/>
                <w:webHidden/>
              </w:rPr>
              <w:t>61</w:t>
            </w:r>
            <w:r w:rsidR="00622D9A">
              <w:rPr>
                <w:noProof/>
                <w:webHidden/>
              </w:rPr>
              <w:fldChar w:fldCharType="end"/>
            </w:r>
          </w:hyperlink>
        </w:p>
        <w:p w14:paraId="0FE2C28A" w14:textId="772B6800"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73" w:history="1">
            <w:r w:rsidR="00622D9A" w:rsidRPr="007F1C90">
              <w:rPr>
                <w:rStyle w:val="Hyperlink"/>
                <w:noProof/>
              </w:rPr>
              <w:t>Questions for the sponsor</w:t>
            </w:r>
            <w:r w:rsidR="00622D9A">
              <w:rPr>
                <w:noProof/>
                <w:webHidden/>
              </w:rPr>
              <w:tab/>
            </w:r>
            <w:r w:rsidR="00622D9A">
              <w:rPr>
                <w:noProof/>
                <w:webHidden/>
              </w:rPr>
              <w:fldChar w:fldCharType="begin"/>
            </w:r>
            <w:r w:rsidR="00622D9A">
              <w:rPr>
                <w:noProof/>
                <w:webHidden/>
              </w:rPr>
              <w:instrText xml:space="preserve"> PAGEREF _Toc171942673 \h </w:instrText>
            </w:r>
            <w:r w:rsidR="00622D9A">
              <w:rPr>
                <w:noProof/>
                <w:webHidden/>
              </w:rPr>
            </w:r>
            <w:r w:rsidR="00622D9A">
              <w:rPr>
                <w:noProof/>
                <w:webHidden/>
              </w:rPr>
              <w:fldChar w:fldCharType="separate"/>
            </w:r>
            <w:r w:rsidR="00622D9A">
              <w:rPr>
                <w:noProof/>
                <w:webHidden/>
              </w:rPr>
              <w:t>61</w:t>
            </w:r>
            <w:r w:rsidR="00622D9A">
              <w:rPr>
                <w:noProof/>
                <w:webHidden/>
              </w:rPr>
              <w:fldChar w:fldCharType="end"/>
            </w:r>
          </w:hyperlink>
        </w:p>
        <w:p w14:paraId="094DF217" w14:textId="5C260DF6"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74" w:history="1">
            <w:r w:rsidR="00622D9A" w:rsidRPr="007F1C90">
              <w:rPr>
                <w:rStyle w:val="Hyperlink"/>
                <w:noProof/>
              </w:rPr>
              <w:t>Advisory Committee considerations</w:t>
            </w:r>
            <w:r w:rsidR="00622D9A">
              <w:rPr>
                <w:noProof/>
                <w:webHidden/>
              </w:rPr>
              <w:tab/>
            </w:r>
            <w:r w:rsidR="00622D9A">
              <w:rPr>
                <w:noProof/>
                <w:webHidden/>
              </w:rPr>
              <w:fldChar w:fldCharType="begin"/>
            </w:r>
            <w:r w:rsidR="00622D9A">
              <w:rPr>
                <w:noProof/>
                <w:webHidden/>
              </w:rPr>
              <w:instrText xml:space="preserve"> PAGEREF _Toc171942674 \h </w:instrText>
            </w:r>
            <w:r w:rsidR="00622D9A">
              <w:rPr>
                <w:noProof/>
                <w:webHidden/>
              </w:rPr>
            </w:r>
            <w:r w:rsidR="00622D9A">
              <w:rPr>
                <w:noProof/>
                <w:webHidden/>
              </w:rPr>
              <w:fldChar w:fldCharType="separate"/>
            </w:r>
            <w:r w:rsidR="00622D9A">
              <w:rPr>
                <w:noProof/>
                <w:webHidden/>
              </w:rPr>
              <w:t>64</w:t>
            </w:r>
            <w:r w:rsidR="00622D9A">
              <w:rPr>
                <w:noProof/>
                <w:webHidden/>
              </w:rPr>
              <w:fldChar w:fldCharType="end"/>
            </w:r>
          </w:hyperlink>
        </w:p>
        <w:p w14:paraId="0E4D1A8D" w14:textId="00EAD7C6"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75" w:history="1">
            <w:r w:rsidR="00622D9A" w:rsidRPr="007F1C90">
              <w:rPr>
                <w:rStyle w:val="Hyperlink"/>
                <w:noProof/>
              </w:rPr>
              <w:t>Risk/benefit assessment (post-Advisory Committee Meeting)</w:t>
            </w:r>
            <w:r w:rsidR="00622D9A">
              <w:rPr>
                <w:noProof/>
                <w:webHidden/>
              </w:rPr>
              <w:tab/>
            </w:r>
            <w:r w:rsidR="00622D9A">
              <w:rPr>
                <w:noProof/>
                <w:webHidden/>
              </w:rPr>
              <w:fldChar w:fldCharType="begin"/>
            </w:r>
            <w:r w:rsidR="00622D9A">
              <w:rPr>
                <w:noProof/>
                <w:webHidden/>
              </w:rPr>
              <w:instrText xml:space="preserve"> PAGEREF _Toc171942675 \h </w:instrText>
            </w:r>
            <w:r w:rsidR="00622D9A">
              <w:rPr>
                <w:noProof/>
                <w:webHidden/>
              </w:rPr>
            </w:r>
            <w:r w:rsidR="00622D9A">
              <w:rPr>
                <w:noProof/>
                <w:webHidden/>
              </w:rPr>
              <w:fldChar w:fldCharType="separate"/>
            </w:r>
            <w:r w:rsidR="00622D9A">
              <w:rPr>
                <w:noProof/>
                <w:webHidden/>
              </w:rPr>
              <w:t>65</w:t>
            </w:r>
            <w:r w:rsidR="00622D9A">
              <w:rPr>
                <w:noProof/>
                <w:webHidden/>
              </w:rPr>
              <w:fldChar w:fldCharType="end"/>
            </w:r>
          </w:hyperlink>
        </w:p>
        <w:p w14:paraId="3F003D8F" w14:textId="5441E3B7"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76" w:history="1">
            <w:r w:rsidR="00622D9A" w:rsidRPr="007F1C90">
              <w:rPr>
                <w:rStyle w:val="Hyperlink"/>
                <w:noProof/>
              </w:rPr>
              <w:t>Advisory Committee considerations (on additional questions)</w:t>
            </w:r>
            <w:r w:rsidR="00622D9A">
              <w:rPr>
                <w:noProof/>
                <w:webHidden/>
              </w:rPr>
              <w:tab/>
            </w:r>
            <w:r w:rsidR="00622D9A">
              <w:rPr>
                <w:noProof/>
                <w:webHidden/>
              </w:rPr>
              <w:fldChar w:fldCharType="begin"/>
            </w:r>
            <w:r w:rsidR="00622D9A">
              <w:rPr>
                <w:noProof/>
                <w:webHidden/>
              </w:rPr>
              <w:instrText xml:space="preserve"> PAGEREF _Toc171942676 \h </w:instrText>
            </w:r>
            <w:r w:rsidR="00622D9A">
              <w:rPr>
                <w:noProof/>
                <w:webHidden/>
              </w:rPr>
            </w:r>
            <w:r w:rsidR="00622D9A">
              <w:rPr>
                <w:noProof/>
                <w:webHidden/>
              </w:rPr>
              <w:fldChar w:fldCharType="separate"/>
            </w:r>
            <w:r w:rsidR="00622D9A">
              <w:rPr>
                <w:noProof/>
                <w:webHidden/>
              </w:rPr>
              <w:t>65</w:t>
            </w:r>
            <w:r w:rsidR="00622D9A">
              <w:rPr>
                <w:noProof/>
                <w:webHidden/>
              </w:rPr>
              <w:fldChar w:fldCharType="end"/>
            </w:r>
          </w:hyperlink>
        </w:p>
        <w:p w14:paraId="0746627B" w14:textId="4A318DCB" w:rsidR="00622D9A" w:rsidRDefault="005F4CC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1942677" w:history="1">
            <w:r w:rsidR="00622D9A" w:rsidRPr="007F1C90">
              <w:rPr>
                <w:rStyle w:val="Hyperlink"/>
                <w:noProof/>
              </w:rPr>
              <w:t>Decision Outcome</w:t>
            </w:r>
            <w:r w:rsidR="00622D9A">
              <w:rPr>
                <w:noProof/>
                <w:webHidden/>
              </w:rPr>
              <w:tab/>
            </w:r>
            <w:r w:rsidR="00622D9A">
              <w:rPr>
                <w:noProof/>
                <w:webHidden/>
              </w:rPr>
              <w:fldChar w:fldCharType="begin"/>
            </w:r>
            <w:r w:rsidR="00622D9A">
              <w:rPr>
                <w:noProof/>
                <w:webHidden/>
              </w:rPr>
              <w:instrText xml:space="preserve"> PAGEREF _Toc171942677 \h </w:instrText>
            </w:r>
            <w:r w:rsidR="00622D9A">
              <w:rPr>
                <w:noProof/>
                <w:webHidden/>
              </w:rPr>
            </w:r>
            <w:r w:rsidR="00622D9A">
              <w:rPr>
                <w:noProof/>
                <w:webHidden/>
              </w:rPr>
              <w:fldChar w:fldCharType="separate"/>
            </w:r>
            <w:r w:rsidR="00622D9A">
              <w:rPr>
                <w:noProof/>
                <w:webHidden/>
              </w:rPr>
              <w:t>67</w:t>
            </w:r>
            <w:r w:rsidR="00622D9A">
              <w:rPr>
                <w:noProof/>
                <w:webHidden/>
              </w:rPr>
              <w:fldChar w:fldCharType="end"/>
            </w:r>
          </w:hyperlink>
        </w:p>
        <w:p w14:paraId="323CBFC2" w14:textId="1B564021" w:rsidR="00622D9A" w:rsidRDefault="005F4CC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1942678" w:history="1">
            <w:r w:rsidR="00622D9A" w:rsidRPr="007F1C90">
              <w:rPr>
                <w:rStyle w:val="Hyperlink"/>
                <w:noProof/>
              </w:rPr>
              <w:t>Product Information</w:t>
            </w:r>
            <w:r w:rsidR="00622D9A">
              <w:rPr>
                <w:noProof/>
                <w:webHidden/>
              </w:rPr>
              <w:tab/>
            </w:r>
            <w:r w:rsidR="00622D9A">
              <w:rPr>
                <w:noProof/>
                <w:webHidden/>
              </w:rPr>
              <w:fldChar w:fldCharType="begin"/>
            </w:r>
            <w:r w:rsidR="00622D9A">
              <w:rPr>
                <w:noProof/>
                <w:webHidden/>
              </w:rPr>
              <w:instrText xml:space="preserve"> PAGEREF _Toc171942678 \h </w:instrText>
            </w:r>
            <w:r w:rsidR="00622D9A">
              <w:rPr>
                <w:noProof/>
                <w:webHidden/>
              </w:rPr>
            </w:r>
            <w:r w:rsidR="00622D9A">
              <w:rPr>
                <w:noProof/>
                <w:webHidden/>
              </w:rPr>
              <w:fldChar w:fldCharType="separate"/>
            </w:r>
            <w:r w:rsidR="00622D9A">
              <w:rPr>
                <w:noProof/>
                <w:webHidden/>
              </w:rPr>
              <w:t>68</w:t>
            </w:r>
            <w:r w:rsidR="00622D9A">
              <w:rPr>
                <w:noProof/>
                <w:webHidden/>
              </w:rPr>
              <w:fldChar w:fldCharType="end"/>
            </w:r>
          </w:hyperlink>
        </w:p>
        <w:p w14:paraId="77659F2D" w14:textId="5F953C5B"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F744CB">
      <w:pPr>
        <w:pStyle w:val="Heading3"/>
      </w:pPr>
      <w:bookmarkStart w:id="0" w:name="_Toc98931917"/>
      <w:bookmarkStart w:id="1" w:name="_Toc103679287"/>
      <w:bookmarkStart w:id="2" w:name="_Toc171942651"/>
      <w:bookmarkStart w:id="3" w:name="_Toc323739589"/>
      <w:bookmarkStart w:id="4" w:name="_Toc356305216"/>
      <w:r>
        <w:lastRenderedPageBreak/>
        <w:t>List of abbreviations</w:t>
      </w:r>
      <w:bookmarkEnd w:id="0"/>
      <w:bookmarkEnd w:id="1"/>
      <w:bookmarkEnd w:id="2"/>
    </w:p>
    <w:tbl>
      <w:tblPr>
        <w:tblStyle w:val="TableTGAblue2023"/>
        <w:tblW w:w="0" w:type="auto"/>
        <w:tblInd w:w="5" w:type="dxa"/>
        <w:tblLook w:val="04A0" w:firstRow="1" w:lastRow="0" w:firstColumn="1" w:lastColumn="0" w:noHBand="0" w:noVBand="1"/>
      </w:tblPr>
      <w:tblGrid>
        <w:gridCol w:w="2222"/>
        <w:gridCol w:w="6760"/>
      </w:tblGrid>
      <w:tr w:rsidR="00622D9A" w:rsidRPr="00622D9A" w14:paraId="4433F3EE" w14:textId="77777777" w:rsidTr="008A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617585F1" w14:textId="700D68B4" w:rsidR="00DA6944" w:rsidRPr="008A1D19" w:rsidRDefault="00DA6944" w:rsidP="00F744CB">
            <w:pPr>
              <w:pStyle w:val="TableParagraph"/>
              <w:rPr>
                <w:rFonts w:ascii="Cambria" w:hAnsi="Cambria"/>
              </w:rPr>
            </w:pPr>
            <w:r w:rsidRPr="008A1D19">
              <w:rPr>
                <w:rFonts w:ascii="Cambria" w:hAnsi="Cambria"/>
              </w:rPr>
              <w:t>Abbreviatio</w:t>
            </w:r>
            <w:r w:rsidR="008A1D19">
              <w:rPr>
                <w:rFonts w:ascii="Cambria" w:hAnsi="Cambria"/>
              </w:rPr>
              <w:t>n</w:t>
            </w:r>
          </w:p>
        </w:tc>
        <w:tc>
          <w:tcPr>
            <w:tcW w:w="6760" w:type="dxa"/>
          </w:tcPr>
          <w:p w14:paraId="74A04996" w14:textId="77777777" w:rsidR="00DA6944" w:rsidRPr="008A1D19" w:rsidRDefault="00DA6944" w:rsidP="00F744CB">
            <w:pPr>
              <w:pStyle w:val="TableParagraph"/>
              <w:cnfStyle w:val="100000000000" w:firstRow="1" w:lastRow="0" w:firstColumn="0" w:lastColumn="0" w:oddVBand="0" w:evenVBand="0" w:oddHBand="0" w:evenHBand="0" w:firstRowFirstColumn="0" w:firstRowLastColumn="0" w:lastRowFirstColumn="0" w:lastRowLastColumn="0"/>
              <w:rPr>
                <w:rFonts w:ascii="Cambria" w:hAnsi="Cambria"/>
              </w:rPr>
            </w:pPr>
            <w:r w:rsidRPr="008A1D19">
              <w:rPr>
                <w:rFonts w:ascii="Cambria" w:hAnsi="Cambria"/>
              </w:rPr>
              <w:t>Meaning</w:t>
            </w:r>
          </w:p>
        </w:tc>
      </w:tr>
      <w:tr w:rsidR="00622D9A" w:rsidRPr="00622D9A" w14:paraId="3969EE0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821D5CB" w14:textId="77777777" w:rsidR="00DA6944" w:rsidRPr="00622D9A" w:rsidRDefault="00DA6944" w:rsidP="00F744CB">
            <w:pPr>
              <w:pStyle w:val="TableParagraph"/>
              <w:rPr>
                <w:rFonts w:ascii="Cambria" w:hAnsi="Cambria"/>
                <w:color w:val="auto"/>
              </w:rPr>
            </w:pPr>
            <w:proofErr w:type="spellStart"/>
            <w:r w:rsidRPr="00622D9A">
              <w:rPr>
                <w:rFonts w:ascii="Cambria" w:hAnsi="Cambria"/>
                <w:color w:val="auto"/>
              </w:rPr>
              <w:t>acAUC</w:t>
            </w:r>
            <w:proofErr w:type="spellEnd"/>
          </w:p>
        </w:tc>
        <w:tc>
          <w:tcPr>
            <w:tcW w:w="6760" w:type="dxa"/>
          </w:tcPr>
          <w:p w14:paraId="65138889"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Average cumulative AUC at day of occurrence</w:t>
            </w:r>
          </w:p>
        </w:tc>
      </w:tr>
      <w:tr w:rsidR="00622D9A" w:rsidRPr="00622D9A" w14:paraId="59344E31"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FDD387E" w14:textId="77777777" w:rsidR="00DA6944" w:rsidRPr="00622D9A" w:rsidRDefault="00DA6944" w:rsidP="00F744CB">
            <w:pPr>
              <w:pStyle w:val="TableParagraph"/>
              <w:rPr>
                <w:rFonts w:ascii="Cambria" w:hAnsi="Cambria"/>
                <w:color w:val="auto"/>
              </w:rPr>
            </w:pPr>
            <w:r w:rsidRPr="00622D9A">
              <w:rPr>
                <w:rFonts w:ascii="Cambria" w:hAnsi="Cambria"/>
                <w:color w:val="auto"/>
              </w:rPr>
              <w:t>ADR</w:t>
            </w:r>
          </w:p>
        </w:tc>
        <w:tc>
          <w:tcPr>
            <w:tcW w:w="6760" w:type="dxa"/>
          </w:tcPr>
          <w:p w14:paraId="54CD0B38"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Adverse drug reaction</w:t>
            </w:r>
          </w:p>
        </w:tc>
      </w:tr>
      <w:tr w:rsidR="00622D9A" w:rsidRPr="00622D9A" w14:paraId="7267438B"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46A88864" w14:textId="77777777" w:rsidR="00DA6944" w:rsidRPr="00622D9A" w:rsidRDefault="00DA6944" w:rsidP="00F744CB">
            <w:pPr>
              <w:pStyle w:val="TableParagraph"/>
              <w:rPr>
                <w:rFonts w:ascii="Cambria" w:hAnsi="Cambria"/>
                <w:color w:val="auto"/>
              </w:rPr>
            </w:pPr>
            <w:r w:rsidRPr="00622D9A">
              <w:rPr>
                <w:rFonts w:ascii="Cambria" w:hAnsi="Cambria"/>
                <w:color w:val="auto"/>
              </w:rPr>
              <w:t>ADT</w:t>
            </w:r>
          </w:p>
        </w:tc>
        <w:tc>
          <w:tcPr>
            <w:tcW w:w="6760" w:type="dxa"/>
          </w:tcPr>
          <w:p w14:paraId="4A852EF5"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Androgen deprivation therapy</w:t>
            </w:r>
          </w:p>
        </w:tc>
      </w:tr>
      <w:tr w:rsidR="00622D9A" w:rsidRPr="00622D9A" w14:paraId="347A54B7"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E9723D4" w14:textId="77777777" w:rsidR="00DA6944" w:rsidRPr="00622D9A" w:rsidRDefault="00DA6944" w:rsidP="00F744CB">
            <w:pPr>
              <w:pStyle w:val="TableParagraph"/>
              <w:rPr>
                <w:rFonts w:ascii="Cambria" w:hAnsi="Cambria"/>
                <w:color w:val="auto"/>
              </w:rPr>
            </w:pPr>
            <w:r w:rsidRPr="00622D9A">
              <w:rPr>
                <w:rFonts w:ascii="Cambria" w:hAnsi="Cambria"/>
                <w:color w:val="auto"/>
              </w:rPr>
              <w:t>AE</w:t>
            </w:r>
          </w:p>
        </w:tc>
        <w:tc>
          <w:tcPr>
            <w:tcW w:w="6760" w:type="dxa"/>
          </w:tcPr>
          <w:p w14:paraId="0746716F"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Adverse event</w:t>
            </w:r>
          </w:p>
        </w:tc>
      </w:tr>
      <w:tr w:rsidR="00622D9A" w:rsidRPr="00622D9A" w14:paraId="18AD6B7D"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410BC75" w14:textId="77777777" w:rsidR="00DA6944" w:rsidRPr="00622D9A" w:rsidRDefault="00DA6944" w:rsidP="00F744CB">
            <w:pPr>
              <w:pStyle w:val="TableParagraph"/>
              <w:rPr>
                <w:rFonts w:ascii="Cambria" w:hAnsi="Cambria"/>
                <w:color w:val="auto"/>
              </w:rPr>
            </w:pPr>
            <w:r w:rsidRPr="00622D9A">
              <w:rPr>
                <w:rFonts w:ascii="Cambria" w:hAnsi="Cambria"/>
                <w:color w:val="auto"/>
              </w:rPr>
              <w:t>AESI</w:t>
            </w:r>
          </w:p>
        </w:tc>
        <w:tc>
          <w:tcPr>
            <w:tcW w:w="6760" w:type="dxa"/>
          </w:tcPr>
          <w:p w14:paraId="211AB563"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Adverse event of special interest</w:t>
            </w:r>
          </w:p>
        </w:tc>
      </w:tr>
      <w:tr w:rsidR="00622D9A" w:rsidRPr="00622D9A" w14:paraId="0951213B"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00149B0" w14:textId="77777777" w:rsidR="00DA6944" w:rsidRPr="00622D9A" w:rsidRDefault="00DA6944" w:rsidP="00F744CB">
            <w:pPr>
              <w:pStyle w:val="TableParagraph"/>
              <w:rPr>
                <w:rFonts w:ascii="Cambria" w:hAnsi="Cambria"/>
                <w:color w:val="auto"/>
              </w:rPr>
            </w:pPr>
            <w:r w:rsidRPr="00622D9A">
              <w:rPr>
                <w:rFonts w:ascii="Cambria" w:hAnsi="Cambria"/>
                <w:color w:val="auto"/>
              </w:rPr>
              <w:t>ALP</w:t>
            </w:r>
          </w:p>
        </w:tc>
        <w:tc>
          <w:tcPr>
            <w:tcW w:w="6760" w:type="dxa"/>
          </w:tcPr>
          <w:p w14:paraId="5C74D661" w14:textId="1E422D0D"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 xml:space="preserve">Alkaline </w:t>
            </w:r>
            <w:r w:rsidR="00FD24E8" w:rsidRPr="00622D9A">
              <w:rPr>
                <w:rFonts w:ascii="Cambria" w:hAnsi="Cambria"/>
                <w:color w:val="auto"/>
              </w:rPr>
              <w:t>phosphatase</w:t>
            </w:r>
          </w:p>
        </w:tc>
      </w:tr>
      <w:tr w:rsidR="00622D9A" w:rsidRPr="00622D9A" w14:paraId="20AF216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08748DAF" w14:textId="77777777" w:rsidR="00DA6944" w:rsidRPr="00622D9A" w:rsidRDefault="00DA6944" w:rsidP="00F744CB">
            <w:pPr>
              <w:pStyle w:val="TableParagraph"/>
              <w:rPr>
                <w:rFonts w:ascii="Cambria" w:hAnsi="Cambria"/>
                <w:color w:val="auto"/>
              </w:rPr>
            </w:pPr>
            <w:r w:rsidRPr="00622D9A">
              <w:rPr>
                <w:rFonts w:ascii="Cambria" w:hAnsi="Cambria"/>
                <w:color w:val="auto"/>
              </w:rPr>
              <w:t>ALT</w:t>
            </w:r>
          </w:p>
        </w:tc>
        <w:tc>
          <w:tcPr>
            <w:tcW w:w="6760" w:type="dxa"/>
          </w:tcPr>
          <w:p w14:paraId="7A6C1D5B" w14:textId="1C5FFB24" w:rsidR="00DA6944" w:rsidRPr="00622D9A" w:rsidRDefault="0034236C"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Alanine transaminase</w:t>
            </w:r>
          </w:p>
        </w:tc>
      </w:tr>
      <w:tr w:rsidR="00622D9A" w:rsidRPr="00622D9A" w14:paraId="71B9D770"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9A10AE9" w14:textId="77777777" w:rsidR="00DA6944" w:rsidRPr="00622D9A" w:rsidRDefault="00DA6944" w:rsidP="00F744CB">
            <w:pPr>
              <w:pStyle w:val="TableParagraph"/>
              <w:rPr>
                <w:rFonts w:ascii="Cambria" w:hAnsi="Cambria"/>
                <w:color w:val="auto"/>
              </w:rPr>
            </w:pPr>
            <w:r w:rsidRPr="00622D9A">
              <w:rPr>
                <w:rFonts w:ascii="Cambria" w:hAnsi="Cambria"/>
                <w:color w:val="auto"/>
              </w:rPr>
              <w:t>AML</w:t>
            </w:r>
          </w:p>
        </w:tc>
        <w:tc>
          <w:tcPr>
            <w:tcW w:w="6760" w:type="dxa"/>
          </w:tcPr>
          <w:p w14:paraId="322C8A13"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Acute myeloid leukaemia</w:t>
            </w:r>
          </w:p>
        </w:tc>
      </w:tr>
      <w:tr w:rsidR="00622D9A" w:rsidRPr="00622D9A" w14:paraId="745DDA5A"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018ACA0B" w14:textId="77777777" w:rsidR="00DA6944" w:rsidRPr="00622D9A" w:rsidRDefault="00DA6944" w:rsidP="00F744CB">
            <w:pPr>
              <w:pStyle w:val="TableParagraph"/>
              <w:rPr>
                <w:rFonts w:ascii="Cambria" w:hAnsi="Cambria"/>
                <w:color w:val="auto"/>
              </w:rPr>
            </w:pPr>
            <w:r w:rsidRPr="00622D9A">
              <w:rPr>
                <w:rFonts w:ascii="Cambria" w:hAnsi="Cambria"/>
                <w:color w:val="auto"/>
              </w:rPr>
              <w:t>AR</w:t>
            </w:r>
          </w:p>
        </w:tc>
        <w:tc>
          <w:tcPr>
            <w:tcW w:w="6760" w:type="dxa"/>
          </w:tcPr>
          <w:p w14:paraId="4475C044"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Androgen receptor</w:t>
            </w:r>
          </w:p>
        </w:tc>
      </w:tr>
      <w:tr w:rsidR="00622D9A" w:rsidRPr="00622D9A" w14:paraId="76D0EC1C"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4F8E9858" w14:textId="77777777" w:rsidR="00DA6944" w:rsidRPr="00622D9A" w:rsidRDefault="00DA6944" w:rsidP="00F744CB">
            <w:pPr>
              <w:pStyle w:val="TableParagraph"/>
              <w:rPr>
                <w:rFonts w:ascii="Cambria" w:hAnsi="Cambria"/>
                <w:color w:val="auto"/>
              </w:rPr>
            </w:pPr>
            <w:r w:rsidRPr="00622D9A">
              <w:rPr>
                <w:rFonts w:ascii="Cambria" w:hAnsi="Cambria"/>
                <w:color w:val="auto"/>
              </w:rPr>
              <w:t>AST</w:t>
            </w:r>
          </w:p>
        </w:tc>
        <w:tc>
          <w:tcPr>
            <w:tcW w:w="6760" w:type="dxa"/>
          </w:tcPr>
          <w:p w14:paraId="2C77464E"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Aspartate aminotransferase</w:t>
            </w:r>
          </w:p>
        </w:tc>
      </w:tr>
      <w:tr w:rsidR="00622D9A" w:rsidRPr="00622D9A" w14:paraId="0040ABB5"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47FEDCD7" w14:textId="77777777" w:rsidR="00DA6944" w:rsidRPr="00622D9A" w:rsidRDefault="00DA6944" w:rsidP="00F744CB">
            <w:pPr>
              <w:pStyle w:val="TableParagraph"/>
              <w:rPr>
                <w:rFonts w:ascii="Cambria" w:hAnsi="Cambria"/>
                <w:color w:val="auto"/>
              </w:rPr>
            </w:pPr>
            <w:r w:rsidRPr="00622D9A">
              <w:rPr>
                <w:rFonts w:ascii="Cambria" w:hAnsi="Cambria"/>
                <w:color w:val="auto"/>
              </w:rPr>
              <w:t>AUC</w:t>
            </w:r>
          </w:p>
        </w:tc>
        <w:tc>
          <w:tcPr>
            <w:tcW w:w="6760" w:type="dxa"/>
          </w:tcPr>
          <w:p w14:paraId="176B08E3"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Area under the plasma concentration time curve</w:t>
            </w:r>
          </w:p>
        </w:tc>
      </w:tr>
      <w:tr w:rsidR="00622D9A" w:rsidRPr="00622D9A" w14:paraId="79D4E18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4C07FDEB" w14:textId="77777777" w:rsidR="00DA6944" w:rsidRPr="00622D9A" w:rsidRDefault="00DA6944" w:rsidP="00F744CB">
            <w:pPr>
              <w:pStyle w:val="TableParagraph"/>
              <w:rPr>
                <w:rFonts w:ascii="Cambria" w:hAnsi="Cambria"/>
                <w:color w:val="auto"/>
              </w:rPr>
            </w:pPr>
            <w:proofErr w:type="gramStart"/>
            <w:r w:rsidRPr="00622D9A">
              <w:rPr>
                <w:rFonts w:ascii="Cambria" w:hAnsi="Cambria"/>
                <w:color w:val="auto"/>
              </w:rPr>
              <w:t>AUC</w:t>
            </w:r>
            <w:r w:rsidRPr="00622D9A">
              <w:rPr>
                <w:rFonts w:ascii="Cambria" w:hAnsi="Cambria"/>
                <w:color w:val="auto"/>
                <w:vertAlign w:val="subscript"/>
              </w:rPr>
              <w:t>(</w:t>
            </w:r>
            <w:proofErr w:type="gramEnd"/>
            <w:r w:rsidRPr="00622D9A">
              <w:rPr>
                <w:rFonts w:ascii="Cambria" w:hAnsi="Cambria"/>
                <w:color w:val="auto"/>
                <w:vertAlign w:val="subscript"/>
              </w:rPr>
              <w:t>0-8)</w:t>
            </w:r>
          </w:p>
        </w:tc>
        <w:tc>
          <w:tcPr>
            <w:tcW w:w="6760" w:type="dxa"/>
          </w:tcPr>
          <w:p w14:paraId="69A4FEEE"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Area under the plasma concentration time curve from time 0 to 8 hours</w:t>
            </w:r>
          </w:p>
        </w:tc>
      </w:tr>
      <w:tr w:rsidR="00622D9A" w:rsidRPr="00622D9A" w14:paraId="4D417609"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6DCD58D" w14:textId="77777777" w:rsidR="00DA6944" w:rsidRPr="00622D9A" w:rsidRDefault="00DA6944" w:rsidP="00F744CB">
            <w:pPr>
              <w:pStyle w:val="TableParagraph"/>
              <w:rPr>
                <w:rFonts w:ascii="Cambria" w:hAnsi="Cambria"/>
                <w:color w:val="auto"/>
              </w:rPr>
            </w:pPr>
            <w:r w:rsidRPr="00622D9A">
              <w:rPr>
                <w:rFonts w:ascii="Cambria" w:hAnsi="Cambria"/>
                <w:color w:val="auto"/>
              </w:rPr>
              <w:t>AUC</w:t>
            </w:r>
            <w:r w:rsidRPr="00622D9A">
              <w:rPr>
                <w:rFonts w:ascii="Cambria" w:hAnsi="Cambria"/>
                <w:color w:val="auto"/>
                <w:vertAlign w:val="subscript"/>
              </w:rPr>
              <w:t>ss</w:t>
            </w:r>
          </w:p>
        </w:tc>
        <w:tc>
          <w:tcPr>
            <w:tcW w:w="6760" w:type="dxa"/>
          </w:tcPr>
          <w:p w14:paraId="10F97671"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Area under the plasma concentration time curve at steady state</w:t>
            </w:r>
          </w:p>
        </w:tc>
      </w:tr>
      <w:tr w:rsidR="00622D9A" w:rsidRPr="00622D9A" w14:paraId="7A6759D9"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35A1ED2" w14:textId="77777777" w:rsidR="00DA6944" w:rsidRPr="00622D9A" w:rsidRDefault="00DA6944" w:rsidP="00F744CB">
            <w:pPr>
              <w:pStyle w:val="TableParagraph"/>
              <w:rPr>
                <w:rFonts w:ascii="Cambria" w:hAnsi="Cambria"/>
                <w:color w:val="auto"/>
              </w:rPr>
            </w:pPr>
            <w:r w:rsidRPr="00622D9A">
              <w:rPr>
                <w:rFonts w:ascii="Cambria" w:hAnsi="Cambria"/>
                <w:color w:val="auto"/>
              </w:rPr>
              <w:t>AZD2281</w:t>
            </w:r>
          </w:p>
        </w:tc>
        <w:tc>
          <w:tcPr>
            <w:tcW w:w="6760" w:type="dxa"/>
          </w:tcPr>
          <w:p w14:paraId="135D392E"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Lynparza =trade name of olaparib</w:t>
            </w:r>
          </w:p>
        </w:tc>
      </w:tr>
      <w:tr w:rsidR="00622D9A" w:rsidRPr="00622D9A" w14:paraId="7A730FAC"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9EEC640" w14:textId="77777777" w:rsidR="00DA6944" w:rsidRPr="00622D9A" w:rsidRDefault="00DA6944" w:rsidP="00F744CB">
            <w:pPr>
              <w:pStyle w:val="TableParagraph"/>
              <w:rPr>
                <w:rFonts w:ascii="Cambria" w:hAnsi="Cambria"/>
                <w:color w:val="auto"/>
              </w:rPr>
            </w:pPr>
            <w:r w:rsidRPr="00622D9A">
              <w:rPr>
                <w:rFonts w:ascii="Cambria" w:hAnsi="Cambria"/>
                <w:color w:val="auto"/>
              </w:rPr>
              <w:t>bd</w:t>
            </w:r>
          </w:p>
        </w:tc>
        <w:tc>
          <w:tcPr>
            <w:tcW w:w="6760" w:type="dxa"/>
          </w:tcPr>
          <w:p w14:paraId="08387F29"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Twice a day</w:t>
            </w:r>
          </w:p>
        </w:tc>
      </w:tr>
      <w:tr w:rsidR="00622D9A" w:rsidRPr="00622D9A" w14:paraId="2FE72347"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B2D3A23" w14:textId="77777777" w:rsidR="00DA6944" w:rsidRPr="00622D9A" w:rsidRDefault="00DA6944" w:rsidP="00F744CB">
            <w:pPr>
              <w:pStyle w:val="TableParagraph"/>
              <w:rPr>
                <w:rFonts w:ascii="Cambria" w:hAnsi="Cambria"/>
                <w:color w:val="auto"/>
              </w:rPr>
            </w:pPr>
            <w:r w:rsidRPr="00622D9A">
              <w:rPr>
                <w:rFonts w:ascii="Cambria" w:hAnsi="Cambria"/>
                <w:color w:val="auto"/>
              </w:rPr>
              <w:t>BICR</w:t>
            </w:r>
          </w:p>
        </w:tc>
        <w:tc>
          <w:tcPr>
            <w:tcW w:w="6760" w:type="dxa"/>
          </w:tcPr>
          <w:p w14:paraId="011C25EA"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Blinded independent central review</w:t>
            </w:r>
          </w:p>
        </w:tc>
      </w:tr>
      <w:tr w:rsidR="00622D9A" w:rsidRPr="00622D9A" w14:paraId="2CF741DD"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1412725" w14:textId="77777777" w:rsidR="00DA6944" w:rsidRPr="00622D9A" w:rsidRDefault="00DA6944" w:rsidP="00F744CB">
            <w:pPr>
              <w:pStyle w:val="TableParagraph"/>
              <w:rPr>
                <w:rFonts w:ascii="Cambria" w:hAnsi="Cambria"/>
                <w:color w:val="auto"/>
              </w:rPr>
            </w:pPr>
            <w:r w:rsidRPr="00622D9A">
              <w:rPr>
                <w:rFonts w:ascii="Cambria" w:hAnsi="Cambria"/>
                <w:color w:val="auto"/>
              </w:rPr>
              <w:t>BIG</w:t>
            </w:r>
          </w:p>
        </w:tc>
        <w:tc>
          <w:tcPr>
            <w:tcW w:w="6760" w:type="dxa"/>
          </w:tcPr>
          <w:p w14:paraId="4B879F4E" w14:textId="513DFF64"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 xml:space="preserve">Breast </w:t>
            </w:r>
            <w:r w:rsidR="00FD24E8" w:rsidRPr="00622D9A">
              <w:rPr>
                <w:rFonts w:ascii="Cambria" w:hAnsi="Cambria"/>
                <w:color w:val="auto"/>
              </w:rPr>
              <w:t>International</w:t>
            </w:r>
            <w:r w:rsidRPr="00622D9A">
              <w:rPr>
                <w:rFonts w:ascii="Cambria" w:hAnsi="Cambria"/>
                <w:color w:val="auto"/>
              </w:rPr>
              <w:t xml:space="preserve"> Group</w:t>
            </w:r>
          </w:p>
        </w:tc>
      </w:tr>
      <w:tr w:rsidR="00622D9A" w:rsidRPr="00622D9A" w14:paraId="316096DD"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4A67C8D" w14:textId="77777777" w:rsidR="00DA6944" w:rsidRPr="00622D9A" w:rsidRDefault="00DA6944" w:rsidP="00F744CB">
            <w:pPr>
              <w:pStyle w:val="TableParagraph"/>
              <w:rPr>
                <w:rFonts w:ascii="Cambria" w:hAnsi="Cambria"/>
                <w:color w:val="auto"/>
              </w:rPr>
            </w:pPr>
            <w:r w:rsidRPr="00622D9A">
              <w:rPr>
                <w:rFonts w:ascii="Cambria" w:hAnsi="Cambria"/>
                <w:color w:val="auto"/>
              </w:rPr>
              <w:t>BMI</w:t>
            </w:r>
          </w:p>
        </w:tc>
        <w:tc>
          <w:tcPr>
            <w:tcW w:w="6760" w:type="dxa"/>
          </w:tcPr>
          <w:p w14:paraId="2204E8B8"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Body mass index</w:t>
            </w:r>
          </w:p>
        </w:tc>
      </w:tr>
      <w:tr w:rsidR="00622D9A" w:rsidRPr="00622D9A" w14:paraId="59D1CA51"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18862B7" w14:textId="77777777" w:rsidR="00DA6944" w:rsidRPr="00622D9A" w:rsidRDefault="00DA6944" w:rsidP="00F744CB">
            <w:pPr>
              <w:pStyle w:val="TableParagraph"/>
              <w:rPr>
                <w:rFonts w:ascii="Cambria" w:hAnsi="Cambria"/>
                <w:color w:val="auto"/>
              </w:rPr>
            </w:pPr>
            <w:r w:rsidRPr="00622D9A">
              <w:rPr>
                <w:rFonts w:ascii="Cambria" w:hAnsi="Cambria"/>
                <w:color w:val="auto"/>
              </w:rPr>
              <w:t>BPI-SF</w:t>
            </w:r>
          </w:p>
        </w:tc>
        <w:tc>
          <w:tcPr>
            <w:tcW w:w="6760" w:type="dxa"/>
          </w:tcPr>
          <w:p w14:paraId="483FFCCB"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Brief Pain Inventory – Short Form</w:t>
            </w:r>
          </w:p>
        </w:tc>
      </w:tr>
      <w:tr w:rsidR="00622D9A" w:rsidRPr="00622D9A" w14:paraId="09BB1FDD"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04B65B5" w14:textId="77777777" w:rsidR="00DA6944" w:rsidRPr="00622D9A" w:rsidRDefault="00DA6944" w:rsidP="00F744CB">
            <w:pPr>
              <w:pStyle w:val="TableParagraph"/>
              <w:rPr>
                <w:rFonts w:ascii="Cambria" w:hAnsi="Cambria"/>
                <w:i/>
                <w:color w:val="auto"/>
              </w:rPr>
            </w:pPr>
            <w:r w:rsidRPr="00622D9A">
              <w:rPr>
                <w:rFonts w:ascii="Cambria" w:hAnsi="Cambria"/>
                <w:i/>
                <w:color w:val="auto"/>
              </w:rPr>
              <w:t>BRCA</w:t>
            </w:r>
          </w:p>
        </w:tc>
        <w:tc>
          <w:tcPr>
            <w:tcW w:w="6760" w:type="dxa"/>
          </w:tcPr>
          <w:p w14:paraId="4789BA41"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Breast cancer susceptibility gene (in accordance with scientific convention, gene and mutation is italicised whereas protein is not italicised)</w:t>
            </w:r>
          </w:p>
        </w:tc>
      </w:tr>
      <w:tr w:rsidR="00622D9A" w:rsidRPr="00622D9A" w14:paraId="33AB90EA"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AC2295D" w14:textId="77777777" w:rsidR="00DA6944" w:rsidRPr="00622D9A" w:rsidRDefault="00DA6944" w:rsidP="00F744CB">
            <w:pPr>
              <w:pStyle w:val="TableParagraph"/>
              <w:rPr>
                <w:rFonts w:ascii="Cambria" w:hAnsi="Cambria"/>
                <w:i/>
                <w:color w:val="auto"/>
              </w:rPr>
            </w:pPr>
            <w:r w:rsidRPr="00622D9A">
              <w:rPr>
                <w:rFonts w:ascii="Cambria" w:hAnsi="Cambria"/>
                <w:i/>
                <w:color w:val="auto"/>
              </w:rPr>
              <w:t>BRCAm</w:t>
            </w:r>
          </w:p>
        </w:tc>
        <w:tc>
          <w:tcPr>
            <w:tcW w:w="6760" w:type="dxa"/>
          </w:tcPr>
          <w:p w14:paraId="35B9CAF3"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i/>
                <w:color w:val="auto"/>
              </w:rPr>
              <w:t>gBRCA</w:t>
            </w:r>
            <w:r w:rsidRPr="00622D9A">
              <w:rPr>
                <w:rFonts w:ascii="Cambria" w:hAnsi="Cambria"/>
                <w:color w:val="auto"/>
              </w:rPr>
              <w:t xml:space="preserve"> or </w:t>
            </w:r>
            <w:r w:rsidRPr="00622D9A">
              <w:rPr>
                <w:rFonts w:ascii="Cambria" w:hAnsi="Cambria"/>
                <w:i/>
                <w:color w:val="auto"/>
              </w:rPr>
              <w:t>sBRCA</w:t>
            </w:r>
            <w:r w:rsidRPr="00622D9A">
              <w:rPr>
                <w:rFonts w:ascii="Cambria" w:hAnsi="Cambria"/>
                <w:color w:val="auto"/>
              </w:rPr>
              <w:t xml:space="preserve"> mutated</w:t>
            </w:r>
          </w:p>
        </w:tc>
      </w:tr>
      <w:tr w:rsidR="00622D9A" w:rsidRPr="00622D9A" w14:paraId="1FAC40CE"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7E3232B" w14:textId="77777777" w:rsidR="00DA6944" w:rsidRPr="00622D9A" w:rsidRDefault="00DA6944" w:rsidP="00F744CB">
            <w:pPr>
              <w:pStyle w:val="TableParagraph"/>
              <w:rPr>
                <w:rFonts w:ascii="Cambria" w:hAnsi="Cambria"/>
                <w:color w:val="auto"/>
              </w:rPr>
            </w:pPr>
            <w:r w:rsidRPr="00622D9A">
              <w:rPr>
                <w:rFonts w:ascii="Cambria" w:hAnsi="Cambria"/>
                <w:color w:val="auto"/>
              </w:rPr>
              <w:t>CHMP</w:t>
            </w:r>
          </w:p>
        </w:tc>
        <w:tc>
          <w:tcPr>
            <w:tcW w:w="6760" w:type="dxa"/>
          </w:tcPr>
          <w:p w14:paraId="3FC9115F"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Committee for Medicinal Products for Human Use (EU)</w:t>
            </w:r>
          </w:p>
        </w:tc>
      </w:tr>
      <w:tr w:rsidR="00622D9A" w:rsidRPr="00622D9A" w14:paraId="54343577"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E3EE9C4" w14:textId="77777777" w:rsidR="00DA6944" w:rsidRPr="00622D9A" w:rsidRDefault="00DA6944" w:rsidP="00F744CB">
            <w:pPr>
              <w:pStyle w:val="TableParagraph"/>
              <w:rPr>
                <w:rFonts w:ascii="Cambria" w:hAnsi="Cambria"/>
                <w:color w:val="auto"/>
              </w:rPr>
            </w:pPr>
            <w:r w:rsidRPr="00622D9A">
              <w:rPr>
                <w:rFonts w:ascii="Cambria" w:hAnsi="Cambria"/>
                <w:color w:val="auto"/>
              </w:rPr>
              <w:t>CI</w:t>
            </w:r>
          </w:p>
        </w:tc>
        <w:tc>
          <w:tcPr>
            <w:tcW w:w="6760" w:type="dxa"/>
          </w:tcPr>
          <w:p w14:paraId="3E9AD041"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Confidence interval</w:t>
            </w:r>
          </w:p>
        </w:tc>
      </w:tr>
      <w:tr w:rsidR="00622D9A" w:rsidRPr="00622D9A" w14:paraId="175F36C9"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1F3E6A0" w14:textId="77777777" w:rsidR="00DA6944" w:rsidRPr="00622D9A" w:rsidRDefault="00DA6944" w:rsidP="00F744CB">
            <w:pPr>
              <w:pStyle w:val="TableParagraph"/>
              <w:rPr>
                <w:rFonts w:ascii="Cambria" w:hAnsi="Cambria"/>
                <w:color w:val="auto"/>
              </w:rPr>
            </w:pPr>
            <w:r w:rsidRPr="00622D9A">
              <w:rPr>
                <w:rFonts w:ascii="Cambria" w:hAnsi="Cambria"/>
                <w:color w:val="auto"/>
              </w:rPr>
              <w:t>CL/F</w:t>
            </w:r>
          </w:p>
        </w:tc>
        <w:tc>
          <w:tcPr>
            <w:tcW w:w="6760" w:type="dxa"/>
          </w:tcPr>
          <w:p w14:paraId="34E38482"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Apparent clearance</w:t>
            </w:r>
          </w:p>
        </w:tc>
      </w:tr>
      <w:tr w:rsidR="00622D9A" w:rsidRPr="00622D9A" w14:paraId="1C657F7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3AC58267" w14:textId="77777777" w:rsidR="00DA6944" w:rsidRPr="00622D9A" w:rsidRDefault="00DA6944" w:rsidP="00F744CB">
            <w:pPr>
              <w:pStyle w:val="TableParagraph"/>
              <w:rPr>
                <w:rFonts w:ascii="Cambria" w:hAnsi="Cambria"/>
                <w:color w:val="auto"/>
              </w:rPr>
            </w:pPr>
            <w:r w:rsidRPr="00622D9A">
              <w:rPr>
                <w:rFonts w:ascii="Cambria" w:hAnsi="Cambria"/>
                <w:color w:val="auto"/>
              </w:rPr>
              <w:t>Clinical N2-3</w:t>
            </w:r>
          </w:p>
        </w:tc>
        <w:tc>
          <w:tcPr>
            <w:tcW w:w="6760" w:type="dxa"/>
          </w:tcPr>
          <w:p w14:paraId="46288AE6"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TMN classification. Signs of cancer in the lymph nodes identified following scans and physical examination</w:t>
            </w:r>
          </w:p>
        </w:tc>
      </w:tr>
      <w:tr w:rsidR="00622D9A" w:rsidRPr="00622D9A" w14:paraId="118CD55F"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CD7868A" w14:textId="77777777" w:rsidR="00DA6944" w:rsidRPr="00622D9A" w:rsidRDefault="00DA6944" w:rsidP="00F744CB">
            <w:pPr>
              <w:pStyle w:val="TableParagraph"/>
              <w:rPr>
                <w:rFonts w:ascii="Cambria" w:hAnsi="Cambria"/>
                <w:color w:val="auto"/>
              </w:rPr>
            </w:pPr>
            <w:r w:rsidRPr="00622D9A">
              <w:rPr>
                <w:rFonts w:ascii="Cambria" w:hAnsi="Cambria"/>
                <w:color w:val="auto"/>
              </w:rPr>
              <w:t>C</w:t>
            </w:r>
            <w:r w:rsidRPr="00622D9A">
              <w:rPr>
                <w:rFonts w:ascii="Cambria" w:hAnsi="Cambria"/>
                <w:color w:val="auto"/>
                <w:vertAlign w:val="subscript"/>
              </w:rPr>
              <w:t>max, ss</w:t>
            </w:r>
          </w:p>
        </w:tc>
        <w:tc>
          <w:tcPr>
            <w:tcW w:w="6760" w:type="dxa"/>
          </w:tcPr>
          <w:p w14:paraId="73515092"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Maximum plasma concentration at steady state</w:t>
            </w:r>
          </w:p>
        </w:tc>
      </w:tr>
      <w:tr w:rsidR="00622D9A" w:rsidRPr="00622D9A" w14:paraId="2BE2404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2E25961" w14:textId="77777777" w:rsidR="00DA6944" w:rsidRPr="00622D9A" w:rsidRDefault="00DA6944" w:rsidP="00F744CB">
            <w:pPr>
              <w:pStyle w:val="TableParagraph"/>
              <w:rPr>
                <w:rFonts w:ascii="Cambria" w:hAnsi="Cambria"/>
                <w:color w:val="auto"/>
              </w:rPr>
            </w:pPr>
            <w:proofErr w:type="gramStart"/>
            <w:r w:rsidRPr="00622D9A">
              <w:rPr>
                <w:rFonts w:ascii="Cambria" w:hAnsi="Cambria"/>
                <w:color w:val="auto"/>
              </w:rPr>
              <w:t>C</w:t>
            </w:r>
            <w:r w:rsidRPr="00622D9A">
              <w:rPr>
                <w:rFonts w:ascii="Cambria" w:hAnsi="Cambria"/>
                <w:color w:val="auto"/>
                <w:vertAlign w:val="subscript"/>
              </w:rPr>
              <w:t>min,ss</w:t>
            </w:r>
            <w:proofErr w:type="gramEnd"/>
          </w:p>
        </w:tc>
        <w:tc>
          <w:tcPr>
            <w:tcW w:w="6760" w:type="dxa"/>
          </w:tcPr>
          <w:p w14:paraId="208BBD1A"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Minimum plasma concentration at steady state</w:t>
            </w:r>
          </w:p>
        </w:tc>
      </w:tr>
      <w:tr w:rsidR="00622D9A" w:rsidRPr="00622D9A" w14:paraId="120E00C0"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1C88F41" w14:textId="77777777" w:rsidR="00DA6944" w:rsidRPr="00622D9A" w:rsidRDefault="00DA6944" w:rsidP="00F744CB">
            <w:pPr>
              <w:pStyle w:val="TableParagraph"/>
              <w:rPr>
                <w:rFonts w:ascii="Cambria" w:hAnsi="Cambria"/>
                <w:color w:val="auto"/>
              </w:rPr>
            </w:pPr>
            <w:r w:rsidRPr="00622D9A">
              <w:rPr>
                <w:rFonts w:ascii="Cambria" w:hAnsi="Cambria"/>
                <w:color w:val="auto"/>
              </w:rPr>
              <w:t>COVID-19</w:t>
            </w:r>
          </w:p>
        </w:tc>
        <w:tc>
          <w:tcPr>
            <w:tcW w:w="6760" w:type="dxa"/>
          </w:tcPr>
          <w:p w14:paraId="262C7194"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Coronavirus disease – 2019</w:t>
            </w:r>
          </w:p>
        </w:tc>
      </w:tr>
      <w:tr w:rsidR="00622D9A" w:rsidRPr="00622D9A" w14:paraId="064EB4E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3E3F9241" w14:textId="77777777" w:rsidR="00DA6944" w:rsidRPr="00622D9A" w:rsidRDefault="00DA6944" w:rsidP="00F744CB">
            <w:pPr>
              <w:pStyle w:val="TableParagraph"/>
              <w:rPr>
                <w:rFonts w:ascii="Cambria" w:hAnsi="Cambria"/>
                <w:color w:val="auto"/>
              </w:rPr>
            </w:pPr>
            <w:r w:rsidRPr="00622D9A">
              <w:rPr>
                <w:rFonts w:ascii="Cambria" w:hAnsi="Cambria"/>
                <w:color w:val="auto"/>
              </w:rPr>
              <w:t>CPS&amp;EG</w:t>
            </w:r>
          </w:p>
        </w:tc>
        <w:tc>
          <w:tcPr>
            <w:tcW w:w="6760" w:type="dxa"/>
          </w:tcPr>
          <w:p w14:paraId="27DA8C8D"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Clinical stage (CS), oestrogen receptor status (E), nuclear grade (G) and post treatment pathologic state (PS) – a disease scoring system</w:t>
            </w:r>
          </w:p>
        </w:tc>
      </w:tr>
      <w:tr w:rsidR="00622D9A" w:rsidRPr="00622D9A" w14:paraId="2FFD1274"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47E8D76" w14:textId="77777777" w:rsidR="00DA6944" w:rsidRPr="00622D9A" w:rsidRDefault="00DA6944" w:rsidP="00F744CB">
            <w:pPr>
              <w:pStyle w:val="TableParagraph"/>
              <w:rPr>
                <w:rFonts w:ascii="Cambria" w:hAnsi="Cambria"/>
                <w:color w:val="auto"/>
              </w:rPr>
            </w:pPr>
            <w:r w:rsidRPr="00622D9A">
              <w:rPr>
                <w:rFonts w:ascii="Cambria" w:hAnsi="Cambria"/>
                <w:color w:val="auto"/>
              </w:rPr>
              <w:t>CRPC</w:t>
            </w:r>
          </w:p>
        </w:tc>
        <w:tc>
          <w:tcPr>
            <w:tcW w:w="6760" w:type="dxa"/>
          </w:tcPr>
          <w:p w14:paraId="56059A4B"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Castration resistant prostate cancer</w:t>
            </w:r>
          </w:p>
        </w:tc>
      </w:tr>
      <w:tr w:rsidR="00622D9A" w:rsidRPr="00622D9A" w14:paraId="169CC261"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AB9B280" w14:textId="77777777" w:rsidR="00DA6944" w:rsidRPr="00622D9A" w:rsidRDefault="00DA6944" w:rsidP="00F744CB">
            <w:pPr>
              <w:pStyle w:val="TableParagraph"/>
              <w:rPr>
                <w:rFonts w:ascii="Cambria" w:hAnsi="Cambria"/>
                <w:color w:val="auto"/>
              </w:rPr>
            </w:pPr>
            <w:r w:rsidRPr="00622D9A">
              <w:rPr>
                <w:rFonts w:ascii="Cambria" w:hAnsi="Cambria"/>
                <w:color w:val="auto"/>
              </w:rPr>
              <w:t>CSP</w:t>
            </w:r>
          </w:p>
        </w:tc>
        <w:tc>
          <w:tcPr>
            <w:tcW w:w="6760" w:type="dxa"/>
          </w:tcPr>
          <w:p w14:paraId="6101A17A"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Clinical Study Protocol</w:t>
            </w:r>
          </w:p>
        </w:tc>
      </w:tr>
      <w:tr w:rsidR="00622D9A" w:rsidRPr="00622D9A" w14:paraId="4C7A9EB3"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6D9BCC9" w14:textId="77777777" w:rsidR="00DA6944" w:rsidRPr="00622D9A" w:rsidRDefault="00DA6944" w:rsidP="00F744CB">
            <w:pPr>
              <w:pStyle w:val="TableParagraph"/>
              <w:rPr>
                <w:rFonts w:ascii="Cambria" w:hAnsi="Cambria"/>
                <w:color w:val="auto"/>
              </w:rPr>
            </w:pPr>
            <w:r w:rsidRPr="00622D9A">
              <w:rPr>
                <w:rFonts w:ascii="Cambria" w:hAnsi="Cambria"/>
                <w:color w:val="auto"/>
              </w:rPr>
              <w:t>CR</w:t>
            </w:r>
          </w:p>
        </w:tc>
        <w:tc>
          <w:tcPr>
            <w:tcW w:w="6760" w:type="dxa"/>
          </w:tcPr>
          <w:p w14:paraId="3A2C31AD"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Complete response</w:t>
            </w:r>
          </w:p>
        </w:tc>
      </w:tr>
      <w:tr w:rsidR="00622D9A" w:rsidRPr="00622D9A" w14:paraId="76D5ABD7"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727259A" w14:textId="77777777" w:rsidR="00DA6944" w:rsidRPr="00622D9A" w:rsidRDefault="00DA6944" w:rsidP="00F744CB">
            <w:pPr>
              <w:pStyle w:val="TableParagraph"/>
              <w:rPr>
                <w:rFonts w:ascii="Cambria" w:hAnsi="Cambria"/>
                <w:color w:val="auto"/>
              </w:rPr>
            </w:pPr>
            <w:r w:rsidRPr="00622D9A">
              <w:rPr>
                <w:rFonts w:ascii="Cambria" w:hAnsi="Cambria"/>
                <w:color w:val="auto"/>
              </w:rPr>
              <w:t>CSR</w:t>
            </w:r>
          </w:p>
        </w:tc>
        <w:tc>
          <w:tcPr>
            <w:tcW w:w="6760" w:type="dxa"/>
          </w:tcPr>
          <w:p w14:paraId="53DA3FFD"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Clinical study report</w:t>
            </w:r>
          </w:p>
        </w:tc>
      </w:tr>
      <w:tr w:rsidR="00622D9A" w:rsidRPr="00622D9A" w14:paraId="632A8AF4"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E2E5CA0" w14:textId="77777777" w:rsidR="00DA6944" w:rsidRPr="00622D9A" w:rsidRDefault="00DA6944" w:rsidP="00F744CB">
            <w:pPr>
              <w:pStyle w:val="TableParagraph"/>
              <w:rPr>
                <w:rFonts w:ascii="Cambria" w:hAnsi="Cambria"/>
                <w:color w:val="auto"/>
              </w:rPr>
            </w:pPr>
            <w:r w:rsidRPr="00622D9A">
              <w:rPr>
                <w:rFonts w:ascii="Cambria" w:hAnsi="Cambria"/>
                <w:color w:val="auto"/>
              </w:rPr>
              <w:t>CT</w:t>
            </w:r>
          </w:p>
        </w:tc>
        <w:tc>
          <w:tcPr>
            <w:tcW w:w="6760" w:type="dxa"/>
          </w:tcPr>
          <w:p w14:paraId="53A45A57"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Computerised tomography</w:t>
            </w:r>
          </w:p>
        </w:tc>
      </w:tr>
      <w:tr w:rsidR="00622D9A" w:rsidRPr="00622D9A" w14:paraId="41FD5A84"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2219A30" w14:textId="77777777" w:rsidR="00DA6944" w:rsidRPr="00622D9A" w:rsidRDefault="00DA6944" w:rsidP="00F744CB">
            <w:pPr>
              <w:pStyle w:val="TableParagraph"/>
              <w:rPr>
                <w:rFonts w:ascii="Cambria" w:hAnsi="Cambria"/>
                <w:color w:val="auto"/>
              </w:rPr>
            </w:pPr>
            <w:r w:rsidRPr="00622D9A">
              <w:rPr>
                <w:rFonts w:ascii="Cambria" w:hAnsi="Cambria"/>
                <w:color w:val="auto"/>
              </w:rPr>
              <w:t>CTCAE</w:t>
            </w:r>
          </w:p>
        </w:tc>
        <w:tc>
          <w:tcPr>
            <w:tcW w:w="6760" w:type="dxa"/>
          </w:tcPr>
          <w:p w14:paraId="0E2524B1"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Common Technical Criteria for Adverse Events</w:t>
            </w:r>
          </w:p>
        </w:tc>
      </w:tr>
      <w:tr w:rsidR="00622D9A" w:rsidRPr="00622D9A" w14:paraId="24957AF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F8646FB" w14:textId="77777777" w:rsidR="00DA6944" w:rsidRPr="00622D9A" w:rsidRDefault="00DA6944" w:rsidP="00F744CB">
            <w:pPr>
              <w:pStyle w:val="TableParagraph"/>
              <w:rPr>
                <w:rFonts w:ascii="Cambria" w:hAnsi="Cambria"/>
                <w:color w:val="auto"/>
              </w:rPr>
            </w:pPr>
            <w:r w:rsidRPr="00622D9A">
              <w:rPr>
                <w:rFonts w:ascii="Cambria" w:hAnsi="Cambria"/>
                <w:color w:val="auto"/>
              </w:rPr>
              <w:lastRenderedPageBreak/>
              <w:t>CV</w:t>
            </w:r>
          </w:p>
        </w:tc>
        <w:tc>
          <w:tcPr>
            <w:tcW w:w="6760" w:type="dxa"/>
          </w:tcPr>
          <w:p w14:paraId="4D5DDA88"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Coefficient of variation</w:t>
            </w:r>
          </w:p>
        </w:tc>
      </w:tr>
      <w:tr w:rsidR="00622D9A" w:rsidRPr="00622D9A" w14:paraId="24EBEAF0"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59AE3E5" w14:textId="77777777" w:rsidR="00DA6944" w:rsidRPr="00622D9A" w:rsidRDefault="00DA6944" w:rsidP="00F744CB">
            <w:pPr>
              <w:pStyle w:val="TableParagraph"/>
              <w:rPr>
                <w:rFonts w:ascii="Cambria" w:hAnsi="Cambria"/>
                <w:color w:val="auto"/>
              </w:rPr>
            </w:pPr>
            <w:r w:rsidRPr="00622D9A">
              <w:rPr>
                <w:rFonts w:ascii="Cambria" w:hAnsi="Cambria"/>
                <w:color w:val="auto"/>
              </w:rPr>
              <w:t>CYP-34A</w:t>
            </w:r>
          </w:p>
        </w:tc>
        <w:tc>
          <w:tcPr>
            <w:tcW w:w="6760" w:type="dxa"/>
          </w:tcPr>
          <w:p w14:paraId="72258854"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Cytochrome P450 3A4 enzyme</w:t>
            </w:r>
          </w:p>
        </w:tc>
      </w:tr>
      <w:tr w:rsidR="00622D9A" w:rsidRPr="00622D9A" w14:paraId="0704A98F"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09A0CCBC" w14:textId="77777777" w:rsidR="00DA6944" w:rsidRPr="00622D9A" w:rsidRDefault="00DA6944" w:rsidP="00F744CB">
            <w:pPr>
              <w:pStyle w:val="TableParagraph"/>
              <w:rPr>
                <w:rFonts w:ascii="Cambria" w:hAnsi="Cambria"/>
                <w:color w:val="auto"/>
              </w:rPr>
            </w:pPr>
            <w:r w:rsidRPr="00622D9A">
              <w:rPr>
                <w:rFonts w:ascii="Cambria" w:hAnsi="Cambria"/>
                <w:color w:val="auto"/>
              </w:rPr>
              <w:t>DAE</w:t>
            </w:r>
          </w:p>
        </w:tc>
        <w:tc>
          <w:tcPr>
            <w:tcW w:w="6760" w:type="dxa"/>
          </w:tcPr>
          <w:p w14:paraId="78DB1013"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Discontinuation due to AE</w:t>
            </w:r>
          </w:p>
        </w:tc>
      </w:tr>
      <w:tr w:rsidR="00622D9A" w:rsidRPr="00622D9A" w14:paraId="44B2EC3C"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8E981C7" w14:textId="77777777" w:rsidR="00DA6944" w:rsidRPr="00622D9A" w:rsidRDefault="00DA6944" w:rsidP="00F744CB">
            <w:pPr>
              <w:pStyle w:val="TableParagraph"/>
              <w:rPr>
                <w:rFonts w:ascii="Cambria" w:hAnsi="Cambria"/>
                <w:color w:val="auto"/>
              </w:rPr>
            </w:pPr>
            <w:r w:rsidRPr="00622D9A">
              <w:rPr>
                <w:rFonts w:ascii="Cambria" w:hAnsi="Cambria"/>
                <w:color w:val="auto"/>
              </w:rPr>
              <w:t>dAUC</w:t>
            </w:r>
          </w:p>
        </w:tc>
        <w:tc>
          <w:tcPr>
            <w:tcW w:w="6760" w:type="dxa"/>
          </w:tcPr>
          <w:p w14:paraId="11249D4A"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AUC on day of occurrence</w:t>
            </w:r>
          </w:p>
        </w:tc>
      </w:tr>
      <w:tr w:rsidR="00622D9A" w:rsidRPr="00622D9A" w14:paraId="2E973FB8"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F1D9729" w14:textId="77777777" w:rsidR="00DA6944" w:rsidRPr="00622D9A" w:rsidRDefault="00DA6944" w:rsidP="00F744CB">
            <w:pPr>
              <w:pStyle w:val="TableParagraph"/>
              <w:rPr>
                <w:rFonts w:ascii="Cambria" w:hAnsi="Cambria"/>
                <w:color w:val="auto"/>
              </w:rPr>
            </w:pPr>
            <w:r w:rsidRPr="00622D9A">
              <w:rPr>
                <w:rFonts w:ascii="Cambria" w:hAnsi="Cambria"/>
                <w:color w:val="auto"/>
              </w:rPr>
              <w:t>dC</w:t>
            </w:r>
            <w:r w:rsidRPr="00622D9A">
              <w:rPr>
                <w:rFonts w:ascii="Cambria" w:hAnsi="Cambria"/>
                <w:color w:val="auto"/>
                <w:vertAlign w:val="subscript"/>
              </w:rPr>
              <w:t>max</w:t>
            </w:r>
          </w:p>
        </w:tc>
        <w:tc>
          <w:tcPr>
            <w:tcW w:w="6760" w:type="dxa"/>
          </w:tcPr>
          <w:p w14:paraId="4D3CBFCF"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C</w:t>
            </w:r>
            <w:r w:rsidRPr="00622D9A">
              <w:rPr>
                <w:rFonts w:ascii="Cambria" w:hAnsi="Cambria"/>
                <w:color w:val="auto"/>
                <w:vertAlign w:val="subscript"/>
              </w:rPr>
              <w:t>max</w:t>
            </w:r>
            <w:r w:rsidRPr="00622D9A">
              <w:rPr>
                <w:rFonts w:ascii="Cambria" w:hAnsi="Cambria"/>
                <w:color w:val="auto"/>
              </w:rPr>
              <w:t xml:space="preserve"> on day of occurrence of safety event</w:t>
            </w:r>
          </w:p>
        </w:tc>
      </w:tr>
      <w:tr w:rsidR="00622D9A" w:rsidRPr="00622D9A" w14:paraId="6AB99FA8"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B742F4F" w14:textId="77777777" w:rsidR="00DA6944" w:rsidRPr="00622D9A" w:rsidRDefault="00DA6944" w:rsidP="00F744CB">
            <w:pPr>
              <w:pStyle w:val="TableParagraph"/>
              <w:rPr>
                <w:rFonts w:ascii="Cambria" w:hAnsi="Cambria"/>
                <w:color w:val="auto"/>
              </w:rPr>
            </w:pPr>
            <w:r w:rsidRPr="00622D9A">
              <w:rPr>
                <w:rFonts w:ascii="Cambria" w:hAnsi="Cambria"/>
                <w:color w:val="auto"/>
              </w:rPr>
              <w:t>DCO</w:t>
            </w:r>
          </w:p>
        </w:tc>
        <w:tc>
          <w:tcPr>
            <w:tcW w:w="6760" w:type="dxa"/>
          </w:tcPr>
          <w:p w14:paraId="3347F61E"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Data cut-off</w:t>
            </w:r>
          </w:p>
        </w:tc>
      </w:tr>
      <w:tr w:rsidR="00622D9A" w:rsidRPr="00622D9A" w14:paraId="0487F6EB"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E2EEA29" w14:textId="77777777" w:rsidR="00DA6944" w:rsidRPr="00622D9A" w:rsidRDefault="00DA6944" w:rsidP="00F744CB">
            <w:pPr>
              <w:pStyle w:val="TableParagraph"/>
              <w:rPr>
                <w:rFonts w:ascii="Cambria" w:hAnsi="Cambria"/>
                <w:color w:val="auto"/>
              </w:rPr>
            </w:pPr>
            <w:r w:rsidRPr="00622D9A">
              <w:rPr>
                <w:rFonts w:ascii="Cambria" w:hAnsi="Cambria"/>
                <w:color w:val="auto"/>
              </w:rPr>
              <w:t>DDFS</w:t>
            </w:r>
          </w:p>
        </w:tc>
        <w:tc>
          <w:tcPr>
            <w:tcW w:w="6760" w:type="dxa"/>
          </w:tcPr>
          <w:p w14:paraId="18DA29F2"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 xml:space="preserve">Distant </w:t>
            </w:r>
            <w:proofErr w:type="gramStart"/>
            <w:r w:rsidRPr="00622D9A">
              <w:rPr>
                <w:rFonts w:ascii="Cambria" w:hAnsi="Cambria"/>
                <w:color w:val="auto"/>
              </w:rPr>
              <w:t>disease free</w:t>
            </w:r>
            <w:proofErr w:type="gramEnd"/>
            <w:r w:rsidRPr="00622D9A">
              <w:rPr>
                <w:rFonts w:ascii="Cambria" w:hAnsi="Cambria"/>
                <w:color w:val="auto"/>
              </w:rPr>
              <w:t xml:space="preserve"> survival</w:t>
            </w:r>
          </w:p>
        </w:tc>
      </w:tr>
      <w:tr w:rsidR="00622D9A" w:rsidRPr="00622D9A" w14:paraId="76F59168"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F184C37" w14:textId="77777777" w:rsidR="00DA6944" w:rsidRPr="00622D9A" w:rsidRDefault="00DA6944" w:rsidP="00F744CB">
            <w:pPr>
              <w:pStyle w:val="TableParagraph"/>
              <w:rPr>
                <w:rFonts w:ascii="Cambria" w:hAnsi="Cambria"/>
                <w:color w:val="auto"/>
              </w:rPr>
            </w:pPr>
            <w:r w:rsidRPr="00622D9A">
              <w:rPr>
                <w:rFonts w:ascii="Cambria" w:hAnsi="Cambria"/>
                <w:color w:val="auto"/>
              </w:rPr>
              <w:t>DDR</w:t>
            </w:r>
          </w:p>
        </w:tc>
        <w:tc>
          <w:tcPr>
            <w:tcW w:w="6760" w:type="dxa"/>
          </w:tcPr>
          <w:p w14:paraId="1230D8B0"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DNA damage response</w:t>
            </w:r>
          </w:p>
        </w:tc>
      </w:tr>
      <w:tr w:rsidR="00622D9A" w:rsidRPr="00622D9A" w14:paraId="662094A2"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45D828D5" w14:textId="77777777" w:rsidR="00DA6944" w:rsidRPr="00622D9A" w:rsidRDefault="00DA6944" w:rsidP="00F744CB">
            <w:pPr>
              <w:pStyle w:val="TableParagraph"/>
              <w:rPr>
                <w:rFonts w:ascii="Cambria" w:hAnsi="Cambria"/>
                <w:color w:val="auto"/>
              </w:rPr>
            </w:pPr>
            <w:r w:rsidRPr="00622D9A">
              <w:rPr>
                <w:rFonts w:ascii="Cambria" w:hAnsi="Cambria"/>
                <w:color w:val="auto"/>
              </w:rPr>
              <w:t>DFS</w:t>
            </w:r>
          </w:p>
        </w:tc>
        <w:tc>
          <w:tcPr>
            <w:tcW w:w="6760" w:type="dxa"/>
          </w:tcPr>
          <w:p w14:paraId="10A35C82"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Disease free survival</w:t>
            </w:r>
          </w:p>
        </w:tc>
      </w:tr>
      <w:tr w:rsidR="00622D9A" w:rsidRPr="00622D9A" w14:paraId="34E380B1"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0AF2E78B" w14:textId="77777777" w:rsidR="00DA6944" w:rsidRPr="00622D9A" w:rsidRDefault="00DA6944" w:rsidP="00F744CB">
            <w:pPr>
              <w:pStyle w:val="TableParagraph"/>
              <w:rPr>
                <w:rFonts w:ascii="Cambria" w:hAnsi="Cambria"/>
                <w:color w:val="auto"/>
              </w:rPr>
            </w:pPr>
            <w:r w:rsidRPr="00622D9A">
              <w:rPr>
                <w:rFonts w:ascii="Cambria" w:hAnsi="Cambria"/>
                <w:color w:val="auto"/>
              </w:rPr>
              <w:t>DLT</w:t>
            </w:r>
          </w:p>
        </w:tc>
        <w:tc>
          <w:tcPr>
            <w:tcW w:w="6760" w:type="dxa"/>
          </w:tcPr>
          <w:p w14:paraId="23A9670F"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Dose limiting toxicity</w:t>
            </w:r>
          </w:p>
        </w:tc>
      </w:tr>
      <w:tr w:rsidR="00622D9A" w:rsidRPr="00622D9A" w14:paraId="00A79751"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6CCE2C4" w14:textId="77777777" w:rsidR="00DA6944" w:rsidRPr="00622D9A" w:rsidRDefault="00DA6944" w:rsidP="00F744CB">
            <w:pPr>
              <w:pStyle w:val="TableParagraph"/>
              <w:rPr>
                <w:rFonts w:ascii="Cambria" w:hAnsi="Cambria"/>
                <w:color w:val="auto"/>
              </w:rPr>
            </w:pPr>
            <w:r w:rsidRPr="00622D9A">
              <w:rPr>
                <w:rFonts w:ascii="Cambria" w:hAnsi="Cambria"/>
                <w:color w:val="auto"/>
              </w:rPr>
              <w:t>DNA</w:t>
            </w:r>
          </w:p>
        </w:tc>
        <w:tc>
          <w:tcPr>
            <w:tcW w:w="6760" w:type="dxa"/>
          </w:tcPr>
          <w:p w14:paraId="4D243239"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Deoxyribonucleic acid</w:t>
            </w:r>
          </w:p>
        </w:tc>
      </w:tr>
      <w:tr w:rsidR="00622D9A" w:rsidRPr="00622D9A" w14:paraId="5015178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3864B367" w14:textId="77777777" w:rsidR="00DA6944" w:rsidRPr="00622D9A" w:rsidRDefault="00DA6944" w:rsidP="00F744CB">
            <w:pPr>
              <w:pStyle w:val="TableParagraph"/>
              <w:rPr>
                <w:rFonts w:ascii="Cambria" w:hAnsi="Cambria"/>
                <w:color w:val="auto"/>
              </w:rPr>
            </w:pPr>
            <w:r w:rsidRPr="00622D9A">
              <w:rPr>
                <w:rFonts w:ascii="Cambria" w:hAnsi="Cambria"/>
                <w:color w:val="auto"/>
              </w:rPr>
              <w:t>DoR</w:t>
            </w:r>
          </w:p>
        </w:tc>
        <w:tc>
          <w:tcPr>
            <w:tcW w:w="6760" w:type="dxa"/>
          </w:tcPr>
          <w:p w14:paraId="0A433A02"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Duration of response</w:t>
            </w:r>
          </w:p>
        </w:tc>
      </w:tr>
      <w:tr w:rsidR="00622D9A" w:rsidRPr="00622D9A" w14:paraId="37D57503"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4343D61" w14:textId="77777777" w:rsidR="00DA6944" w:rsidRPr="00622D9A" w:rsidRDefault="00DA6944" w:rsidP="00F744CB">
            <w:pPr>
              <w:pStyle w:val="TableParagraph"/>
              <w:rPr>
                <w:rFonts w:ascii="Cambria" w:hAnsi="Cambria"/>
                <w:color w:val="auto"/>
              </w:rPr>
            </w:pPr>
            <w:r w:rsidRPr="00622D9A">
              <w:rPr>
                <w:rFonts w:ascii="Cambria" w:hAnsi="Cambria"/>
                <w:color w:val="auto"/>
              </w:rPr>
              <w:t>DSB</w:t>
            </w:r>
          </w:p>
        </w:tc>
        <w:tc>
          <w:tcPr>
            <w:tcW w:w="6760" w:type="dxa"/>
          </w:tcPr>
          <w:p w14:paraId="732399F0"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Double stand break</w:t>
            </w:r>
          </w:p>
        </w:tc>
      </w:tr>
      <w:tr w:rsidR="00622D9A" w:rsidRPr="00622D9A" w14:paraId="12B7C42F"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2F6D26D" w14:textId="77777777" w:rsidR="00DA6944" w:rsidRPr="00622D9A" w:rsidRDefault="00DA6944" w:rsidP="00F744CB">
            <w:pPr>
              <w:pStyle w:val="TableParagraph"/>
              <w:rPr>
                <w:rFonts w:ascii="Cambria" w:hAnsi="Cambria"/>
                <w:color w:val="auto"/>
              </w:rPr>
            </w:pPr>
            <w:r w:rsidRPr="00622D9A">
              <w:rPr>
                <w:rFonts w:ascii="Cambria" w:hAnsi="Cambria"/>
                <w:color w:val="auto"/>
              </w:rPr>
              <w:t>ECOG</w:t>
            </w:r>
          </w:p>
        </w:tc>
        <w:tc>
          <w:tcPr>
            <w:tcW w:w="6760" w:type="dxa"/>
          </w:tcPr>
          <w:p w14:paraId="21F36D60"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Eastern Cooperative Oncology Group</w:t>
            </w:r>
          </w:p>
        </w:tc>
      </w:tr>
      <w:tr w:rsidR="00622D9A" w:rsidRPr="00622D9A" w14:paraId="08CF10BB"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EEDFD6A" w14:textId="77777777" w:rsidR="00DA6944" w:rsidRPr="00622D9A" w:rsidRDefault="00DA6944" w:rsidP="00F744CB">
            <w:pPr>
              <w:pStyle w:val="TableParagraph"/>
              <w:rPr>
                <w:rFonts w:ascii="Cambria" w:hAnsi="Cambria"/>
                <w:color w:val="auto"/>
              </w:rPr>
            </w:pPr>
            <w:r w:rsidRPr="00622D9A">
              <w:rPr>
                <w:rFonts w:ascii="Cambria" w:hAnsi="Cambria"/>
                <w:color w:val="auto"/>
              </w:rPr>
              <w:t>EFA</w:t>
            </w:r>
          </w:p>
        </w:tc>
        <w:tc>
          <w:tcPr>
            <w:tcW w:w="6760" w:type="dxa"/>
          </w:tcPr>
          <w:p w14:paraId="7B1FAA24"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Evaluable for response</w:t>
            </w:r>
          </w:p>
        </w:tc>
      </w:tr>
      <w:tr w:rsidR="00622D9A" w:rsidRPr="00622D9A" w14:paraId="1513C6C2"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0AC18DE9" w14:textId="77777777" w:rsidR="00DA6944" w:rsidRPr="00622D9A" w:rsidRDefault="00DA6944" w:rsidP="00F744CB">
            <w:pPr>
              <w:pStyle w:val="TableParagraph"/>
              <w:rPr>
                <w:rFonts w:ascii="Cambria" w:hAnsi="Cambria"/>
                <w:color w:val="auto"/>
              </w:rPr>
            </w:pPr>
            <w:r w:rsidRPr="00622D9A">
              <w:rPr>
                <w:rFonts w:ascii="Cambria" w:hAnsi="Cambria"/>
                <w:color w:val="auto"/>
              </w:rPr>
              <w:t>EFR</w:t>
            </w:r>
          </w:p>
        </w:tc>
        <w:tc>
          <w:tcPr>
            <w:tcW w:w="6760" w:type="dxa"/>
          </w:tcPr>
          <w:p w14:paraId="3E6DCB0F"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Evaluable for response</w:t>
            </w:r>
          </w:p>
        </w:tc>
      </w:tr>
      <w:tr w:rsidR="00622D9A" w:rsidRPr="00622D9A" w14:paraId="79C6F598"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32BCBED1" w14:textId="77777777" w:rsidR="00DA6944" w:rsidRPr="00622D9A" w:rsidRDefault="00DA6944" w:rsidP="00F744CB">
            <w:pPr>
              <w:pStyle w:val="TableParagraph"/>
              <w:rPr>
                <w:rFonts w:ascii="Cambria" w:hAnsi="Cambria"/>
                <w:color w:val="auto"/>
              </w:rPr>
            </w:pPr>
            <w:r w:rsidRPr="00622D9A">
              <w:rPr>
                <w:rFonts w:ascii="Cambria" w:hAnsi="Cambria"/>
                <w:color w:val="auto"/>
              </w:rPr>
              <w:t>EMA</w:t>
            </w:r>
          </w:p>
        </w:tc>
        <w:tc>
          <w:tcPr>
            <w:tcW w:w="6760" w:type="dxa"/>
          </w:tcPr>
          <w:p w14:paraId="0DF13690"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European Medicines Agency</w:t>
            </w:r>
          </w:p>
        </w:tc>
      </w:tr>
      <w:tr w:rsidR="00622D9A" w:rsidRPr="00622D9A" w14:paraId="2FFC8333"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0C8CCC4" w14:textId="77777777" w:rsidR="00DA6944" w:rsidRPr="00622D9A" w:rsidRDefault="00DA6944" w:rsidP="00F744CB">
            <w:pPr>
              <w:pStyle w:val="TableParagraph"/>
              <w:rPr>
                <w:rFonts w:ascii="Cambria" w:hAnsi="Cambria"/>
                <w:color w:val="auto"/>
              </w:rPr>
            </w:pPr>
            <w:r w:rsidRPr="00622D9A">
              <w:rPr>
                <w:rFonts w:ascii="Cambria" w:hAnsi="Cambria"/>
                <w:color w:val="auto"/>
              </w:rPr>
              <w:t>EORTC</w:t>
            </w:r>
          </w:p>
        </w:tc>
        <w:tc>
          <w:tcPr>
            <w:tcW w:w="6760" w:type="dxa"/>
          </w:tcPr>
          <w:p w14:paraId="1264617C"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European Organisation for Research and Treatment of Cancer</w:t>
            </w:r>
          </w:p>
        </w:tc>
      </w:tr>
      <w:tr w:rsidR="00622D9A" w:rsidRPr="00622D9A" w14:paraId="7DA0D0EE"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05421B5D" w14:textId="77777777" w:rsidR="00DA6944" w:rsidRPr="00622D9A" w:rsidRDefault="00DA6944" w:rsidP="00F744CB">
            <w:pPr>
              <w:pStyle w:val="TableParagraph"/>
              <w:rPr>
                <w:rFonts w:ascii="Cambria" w:hAnsi="Cambria"/>
                <w:color w:val="auto"/>
              </w:rPr>
            </w:pPr>
            <w:r w:rsidRPr="00622D9A">
              <w:rPr>
                <w:rFonts w:ascii="Cambria" w:hAnsi="Cambria"/>
                <w:color w:val="auto"/>
              </w:rPr>
              <w:t>EORTC QLQ-30</w:t>
            </w:r>
          </w:p>
        </w:tc>
        <w:tc>
          <w:tcPr>
            <w:tcW w:w="6760" w:type="dxa"/>
          </w:tcPr>
          <w:p w14:paraId="54207E79"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European Organisation for Research and Treatment of Cancer quality of life questionnaire</w:t>
            </w:r>
          </w:p>
        </w:tc>
      </w:tr>
      <w:tr w:rsidR="00622D9A" w:rsidRPr="00622D9A" w14:paraId="4713AD8B"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D7C26A9" w14:textId="77777777" w:rsidR="00DA6944" w:rsidRPr="00622D9A" w:rsidRDefault="00DA6944" w:rsidP="00F744CB">
            <w:pPr>
              <w:pStyle w:val="TableParagraph"/>
              <w:rPr>
                <w:rFonts w:ascii="Cambria" w:hAnsi="Cambria"/>
                <w:color w:val="auto"/>
              </w:rPr>
            </w:pPr>
            <w:r w:rsidRPr="00622D9A">
              <w:rPr>
                <w:rFonts w:ascii="Cambria" w:hAnsi="Cambria"/>
                <w:color w:val="auto"/>
              </w:rPr>
              <w:t>ER</w:t>
            </w:r>
          </w:p>
        </w:tc>
        <w:tc>
          <w:tcPr>
            <w:tcW w:w="6760" w:type="dxa"/>
          </w:tcPr>
          <w:p w14:paraId="3EE3DFF6"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Oestrogen receptor</w:t>
            </w:r>
          </w:p>
        </w:tc>
      </w:tr>
      <w:tr w:rsidR="00622D9A" w:rsidRPr="00622D9A" w14:paraId="6B57545E"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8F58AC8" w14:textId="77777777" w:rsidR="00DA6944" w:rsidRPr="00622D9A" w:rsidRDefault="00DA6944" w:rsidP="00F744CB">
            <w:pPr>
              <w:pStyle w:val="TableParagraph"/>
              <w:rPr>
                <w:rFonts w:ascii="Cambria" w:hAnsi="Cambria"/>
                <w:color w:val="auto"/>
              </w:rPr>
            </w:pPr>
            <w:r w:rsidRPr="00622D9A">
              <w:rPr>
                <w:rFonts w:ascii="Cambria" w:hAnsi="Cambria"/>
                <w:color w:val="auto"/>
              </w:rPr>
              <w:t>ESMO</w:t>
            </w:r>
          </w:p>
        </w:tc>
        <w:tc>
          <w:tcPr>
            <w:tcW w:w="6760" w:type="dxa"/>
          </w:tcPr>
          <w:p w14:paraId="5ED9F9F7"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European Society for Medical Oncology</w:t>
            </w:r>
          </w:p>
        </w:tc>
      </w:tr>
      <w:tr w:rsidR="00622D9A" w:rsidRPr="00622D9A" w14:paraId="5CE72D0F"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04C799C" w14:textId="77777777" w:rsidR="00DA6944" w:rsidRPr="00622D9A" w:rsidRDefault="00DA6944" w:rsidP="00F744CB">
            <w:pPr>
              <w:pStyle w:val="TableParagraph"/>
              <w:rPr>
                <w:rFonts w:ascii="Cambria" w:hAnsi="Cambria"/>
                <w:color w:val="auto"/>
              </w:rPr>
            </w:pPr>
            <w:r w:rsidRPr="00622D9A">
              <w:rPr>
                <w:rFonts w:ascii="Cambria" w:hAnsi="Cambria"/>
                <w:color w:val="auto"/>
              </w:rPr>
              <w:t>FACIT</w:t>
            </w:r>
          </w:p>
        </w:tc>
        <w:tc>
          <w:tcPr>
            <w:tcW w:w="6760" w:type="dxa"/>
          </w:tcPr>
          <w:p w14:paraId="60E21908"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Functional Assessment of Chronic Illness Therapy</w:t>
            </w:r>
          </w:p>
        </w:tc>
      </w:tr>
      <w:tr w:rsidR="00622D9A" w:rsidRPr="00622D9A" w14:paraId="6F7E6AF2"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BB87A88" w14:textId="77777777" w:rsidR="00DA6944" w:rsidRPr="00622D9A" w:rsidRDefault="00DA6944" w:rsidP="00F744CB">
            <w:pPr>
              <w:pStyle w:val="TableParagraph"/>
              <w:rPr>
                <w:rFonts w:ascii="Cambria" w:hAnsi="Cambria"/>
                <w:color w:val="auto"/>
              </w:rPr>
            </w:pPr>
            <w:r w:rsidRPr="00622D9A">
              <w:rPr>
                <w:rFonts w:ascii="Cambria" w:hAnsi="Cambria"/>
                <w:color w:val="auto"/>
              </w:rPr>
              <w:t>FACT-P</w:t>
            </w:r>
          </w:p>
        </w:tc>
        <w:tc>
          <w:tcPr>
            <w:tcW w:w="6760" w:type="dxa"/>
          </w:tcPr>
          <w:p w14:paraId="5F418454"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Functional Assessment of Cancer Therapy – Prostate Cancer</w:t>
            </w:r>
          </w:p>
        </w:tc>
      </w:tr>
      <w:tr w:rsidR="00622D9A" w:rsidRPr="00622D9A" w14:paraId="5F4E9AF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FD9BD59" w14:textId="77777777" w:rsidR="00DA6944" w:rsidRPr="00622D9A" w:rsidRDefault="00DA6944" w:rsidP="00F744CB">
            <w:pPr>
              <w:pStyle w:val="TableParagraph"/>
              <w:rPr>
                <w:rFonts w:ascii="Cambria" w:hAnsi="Cambria"/>
                <w:color w:val="auto"/>
              </w:rPr>
            </w:pPr>
            <w:r w:rsidRPr="00622D9A">
              <w:rPr>
                <w:rFonts w:ascii="Cambria" w:hAnsi="Cambria"/>
                <w:color w:val="auto"/>
              </w:rPr>
              <w:t>FAS</w:t>
            </w:r>
          </w:p>
        </w:tc>
        <w:tc>
          <w:tcPr>
            <w:tcW w:w="6760" w:type="dxa"/>
          </w:tcPr>
          <w:p w14:paraId="3F41EDDA"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Full analysis set</w:t>
            </w:r>
          </w:p>
        </w:tc>
      </w:tr>
      <w:tr w:rsidR="00622D9A" w:rsidRPr="00622D9A" w14:paraId="445F817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59BB63E" w14:textId="77777777" w:rsidR="00DA6944" w:rsidRPr="00622D9A" w:rsidRDefault="00DA6944" w:rsidP="00F744CB">
            <w:pPr>
              <w:pStyle w:val="TableParagraph"/>
              <w:rPr>
                <w:rFonts w:ascii="Cambria" w:hAnsi="Cambria"/>
                <w:color w:val="auto"/>
              </w:rPr>
            </w:pPr>
            <w:r w:rsidRPr="00622D9A">
              <w:rPr>
                <w:rFonts w:ascii="Cambria" w:hAnsi="Cambria"/>
                <w:color w:val="auto"/>
              </w:rPr>
              <w:t>FDA</w:t>
            </w:r>
          </w:p>
        </w:tc>
        <w:tc>
          <w:tcPr>
            <w:tcW w:w="6760" w:type="dxa"/>
          </w:tcPr>
          <w:p w14:paraId="21AB516D"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Food and Drug Administration (USA)</w:t>
            </w:r>
          </w:p>
        </w:tc>
      </w:tr>
      <w:tr w:rsidR="00622D9A" w:rsidRPr="00622D9A" w14:paraId="6B4200CA"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EF674EB" w14:textId="77777777" w:rsidR="00DA6944" w:rsidRPr="00622D9A" w:rsidRDefault="00DA6944" w:rsidP="00F744CB">
            <w:pPr>
              <w:pStyle w:val="TableParagraph"/>
              <w:rPr>
                <w:rFonts w:ascii="Cambria" w:hAnsi="Cambria"/>
                <w:color w:val="auto"/>
              </w:rPr>
            </w:pPr>
            <w:r w:rsidRPr="00622D9A">
              <w:rPr>
                <w:rFonts w:ascii="Cambria" w:hAnsi="Cambria"/>
                <w:color w:val="auto"/>
              </w:rPr>
              <w:t>FISH</w:t>
            </w:r>
          </w:p>
        </w:tc>
        <w:tc>
          <w:tcPr>
            <w:tcW w:w="6760" w:type="dxa"/>
          </w:tcPr>
          <w:p w14:paraId="6FF0282C"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Fluorescence in-situ hybridisation</w:t>
            </w:r>
          </w:p>
        </w:tc>
      </w:tr>
      <w:tr w:rsidR="00622D9A" w:rsidRPr="00622D9A" w14:paraId="7948F772"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E25394C" w14:textId="77777777" w:rsidR="00DA6944" w:rsidRPr="00622D9A" w:rsidRDefault="00DA6944" w:rsidP="00F744CB">
            <w:pPr>
              <w:pStyle w:val="TableParagraph"/>
              <w:rPr>
                <w:rFonts w:ascii="Cambria" w:hAnsi="Cambria"/>
                <w:color w:val="auto"/>
              </w:rPr>
            </w:pPr>
            <w:r w:rsidRPr="00622D9A">
              <w:rPr>
                <w:rFonts w:ascii="Cambria" w:hAnsi="Cambria"/>
                <w:color w:val="auto"/>
              </w:rPr>
              <w:t>FMI</w:t>
            </w:r>
          </w:p>
        </w:tc>
        <w:tc>
          <w:tcPr>
            <w:tcW w:w="6760" w:type="dxa"/>
          </w:tcPr>
          <w:p w14:paraId="5513F273"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Foundation Medicine Inc.</w:t>
            </w:r>
          </w:p>
        </w:tc>
      </w:tr>
      <w:tr w:rsidR="00622D9A" w:rsidRPr="00622D9A" w14:paraId="6C0C6387"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F49D02A" w14:textId="77777777" w:rsidR="00DA6944" w:rsidRPr="00622D9A" w:rsidRDefault="00DA6944" w:rsidP="00F744CB">
            <w:pPr>
              <w:pStyle w:val="TableParagraph"/>
              <w:rPr>
                <w:rFonts w:ascii="Cambria" w:hAnsi="Cambria"/>
                <w:i/>
                <w:color w:val="auto"/>
              </w:rPr>
            </w:pPr>
            <w:r w:rsidRPr="00622D9A">
              <w:rPr>
                <w:rFonts w:ascii="Cambria" w:hAnsi="Cambria"/>
                <w:i/>
                <w:color w:val="auto"/>
              </w:rPr>
              <w:t>gBRCAm</w:t>
            </w:r>
          </w:p>
        </w:tc>
        <w:tc>
          <w:tcPr>
            <w:tcW w:w="6760" w:type="dxa"/>
          </w:tcPr>
          <w:p w14:paraId="4DC3CFEC"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 xml:space="preserve">Germline </w:t>
            </w:r>
            <w:r w:rsidRPr="00622D9A">
              <w:rPr>
                <w:rFonts w:ascii="Cambria" w:hAnsi="Cambria"/>
                <w:i/>
                <w:color w:val="auto"/>
              </w:rPr>
              <w:t>BRCA</w:t>
            </w:r>
            <w:r w:rsidRPr="00622D9A">
              <w:rPr>
                <w:rFonts w:ascii="Cambria" w:hAnsi="Cambria"/>
                <w:color w:val="auto"/>
              </w:rPr>
              <w:t xml:space="preserve"> mutated</w:t>
            </w:r>
          </w:p>
        </w:tc>
      </w:tr>
      <w:tr w:rsidR="00622D9A" w:rsidRPr="00622D9A" w14:paraId="2AD1B56A"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3253273B" w14:textId="77777777" w:rsidR="00DA6944" w:rsidRPr="00622D9A" w:rsidRDefault="00DA6944" w:rsidP="00F744CB">
            <w:pPr>
              <w:pStyle w:val="TableParagraph"/>
              <w:rPr>
                <w:rFonts w:ascii="Cambria" w:hAnsi="Cambria"/>
                <w:color w:val="auto"/>
              </w:rPr>
            </w:pPr>
            <w:r w:rsidRPr="00622D9A">
              <w:rPr>
                <w:rFonts w:ascii="Cambria" w:hAnsi="Cambria"/>
                <w:color w:val="auto"/>
              </w:rPr>
              <w:t>GCP</w:t>
            </w:r>
          </w:p>
        </w:tc>
        <w:tc>
          <w:tcPr>
            <w:tcW w:w="6760" w:type="dxa"/>
          </w:tcPr>
          <w:p w14:paraId="3B14DF92"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Good Clinical Practice</w:t>
            </w:r>
          </w:p>
        </w:tc>
      </w:tr>
      <w:tr w:rsidR="00622D9A" w:rsidRPr="00622D9A" w14:paraId="2061521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4A296106" w14:textId="77777777" w:rsidR="00DA6944" w:rsidRPr="00622D9A" w:rsidRDefault="00DA6944" w:rsidP="00F744CB">
            <w:pPr>
              <w:pStyle w:val="TableParagraph"/>
              <w:rPr>
                <w:rFonts w:ascii="Cambria" w:hAnsi="Cambria"/>
                <w:color w:val="auto"/>
              </w:rPr>
            </w:pPr>
            <w:r w:rsidRPr="00622D9A">
              <w:rPr>
                <w:rFonts w:ascii="Cambria" w:hAnsi="Cambria"/>
                <w:color w:val="auto"/>
              </w:rPr>
              <w:t>HER2</w:t>
            </w:r>
          </w:p>
        </w:tc>
        <w:tc>
          <w:tcPr>
            <w:tcW w:w="6760" w:type="dxa"/>
          </w:tcPr>
          <w:p w14:paraId="307C01E4"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Human epidermal growth factor receptor 2</w:t>
            </w:r>
          </w:p>
        </w:tc>
      </w:tr>
      <w:tr w:rsidR="00622D9A" w:rsidRPr="00622D9A" w14:paraId="625191C3"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096C9B1" w14:textId="77777777" w:rsidR="00DA6944" w:rsidRPr="00622D9A" w:rsidRDefault="00DA6944" w:rsidP="00F744CB">
            <w:pPr>
              <w:pStyle w:val="TableParagraph"/>
              <w:rPr>
                <w:rFonts w:ascii="Cambria" w:hAnsi="Cambria"/>
                <w:color w:val="auto"/>
              </w:rPr>
            </w:pPr>
            <w:r w:rsidRPr="00622D9A">
              <w:rPr>
                <w:rFonts w:ascii="Cambria" w:hAnsi="Cambria"/>
                <w:color w:val="auto"/>
              </w:rPr>
              <w:t>HR</w:t>
            </w:r>
          </w:p>
        </w:tc>
        <w:tc>
          <w:tcPr>
            <w:tcW w:w="6760" w:type="dxa"/>
          </w:tcPr>
          <w:p w14:paraId="43C471E1"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Hazard ratio</w:t>
            </w:r>
          </w:p>
        </w:tc>
      </w:tr>
      <w:tr w:rsidR="00622D9A" w:rsidRPr="00622D9A" w14:paraId="75AB61F7"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E51DB8D" w14:textId="77777777" w:rsidR="00DA6944" w:rsidRPr="00622D9A" w:rsidRDefault="00DA6944" w:rsidP="00F744CB">
            <w:pPr>
              <w:pStyle w:val="TableParagraph"/>
              <w:rPr>
                <w:rFonts w:ascii="Cambria" w:hAnsi="Cambria"/>
                <w:color w:val="auto"/>
              </w:rPr>
            </w:pPr>
            <w:r w:rsidRPr="00622D9A">
              <w:rPr>
                <w:rFonts w:ascii="Cambria" w:hAnsi="Cambria"/>
                <w:color w:val="auto"/>
              </w:rPr>
              <w:t>HRD</w:t>
            </w:r>
          </w:p>
        </w:tc>
        <w:tc>
          <w:tcPr>
            <w:tcW w:w="6760" w:type="dxa"/>
          </w:tcPr>
          <w:p w14:paraId="556097C6"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Homologous recombination deficiencies</w:t>
            </w:r>
          </w:p>
        </w:tc>
      </w:tr>
      <w:tr w:rsidR="00622D9A" w:rsidRPr="00622D9A" w14:paraId="3949CA6F"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4ADA352B" w14:textId="77777777" w:rsidR="00DA6944" w:rsidRPr="00622D9A" w:rsidRDefault="00DA6944" w:rsidP="00F744CB">
            <w:pPr>
              <w:pStyle w:val="TableParagraph"/>
              <w:rPr>
                <w:rFonts w:ascii="Cambria" w:hAnsi="Cambria"/>
                <w:color w:val="auto"/>
              </w:rPr>
            </w:pPr>
            <w:r w:rsidRPr="00622D9A">
              <w:rPr>
                <w:rFonts w:ascii="Cambria" w:hAnsi="Cambria"/>
                <w:color w:val="auto"/>
              </w:rPr>
              <w:t>HRQoL</w:t>
            </w:r>
          </w:p>
        </w:tc>
        <w:tc>
          <w:tcPr>
            <w:tcW w:w="6760" w:type="dxa"/>
          </w:tcPr>
          <w:p w14:paraId="303696F4"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Health related quality of life</w:t>
            </w:r>
          </w:p>
        </w:tc>
      </w:tr>
      <w:tr w:rsidR="00622D9A" w:rsidRPr="00622D9A" w14:paraId="69163CB1"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EE7DC37" w14:textId="77777777" w:rsidR="00DA6944" w:rsidRPr="00622D9A" w:rsidRDefault="00DA6944" w:rsidP="00F744CB">
            <w:pPr>
              <w:pStyle w:val="TableParagraph"/>
              <w:rPr>
                <w:rFonts w:ascii="Cambria" w:hAnsi="Cambria"/>
                <w:color w:val="auto"/>
              </w:rPr>
            </w:pPr>
            <w:r w:rsidRPr="00622D9A">
              <w:rPr>
                <w:rFonts w:ascii="Cambria" w:hAnsi="Cambria"/>
                <w:color w:val="auto"/>
              </w:rPr>
              <w:t>HRR</w:t>
            </w:r>
          </w:p>
        </w:tc>
        <w:tc>
          <w:tcPr>
            <w:tcW w:w="6760" w:type="dxa"/>
          </w:tcPr>
          <w:p w14:paraId="7FF8064A"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Homologous recombination repair</w:t>
            </w:r>
          </w:p>
        </w:tc>
      </w:tr>
      <w:tr w:rsidR="00622D9A" w:rsidRPr="00622D9A" w14:paraId="3F9B183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5233D3A" w14:textId="77777777" w:rsidR="00DA6944" w:rsidRPr="00622D9A" w:rsidRDefault="00DA6944" w:rsidP="00F744CB">
            <w:pPr>
              <w:pStyle w:val="TableParagraph"/>
              <w:rPr>
                <w:rFonts w:ascii="Cambria" w:hAnsi="Cambria"/>
                <w:color w:val="auto"/>
              </w:rPr>
            </w:pPr>
            <w:r w:rsidRPr="00622D9A">
              <w:rPr>
                <w:rFonts w:ascii="Cambria" w:hAnsi="Cambria"/>
                <w:color w:val="auto"/>
              </w:rPr>
              <w:t>HRR15</w:t>
            </w:r>
          </w:p>
        </w:tc>
        <w:tc>
          <w:tcPr>
            <w:tcW w:w="6760" w:type="dxa"/>
          </w:tcPr>
          <w:p w14:paraId="03F09545"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 panel of 15 HRR genes</w:t>
            </w:r>
          </w:p>
        </w:tc>
      </w:tr>
      <w:tr w:rsidR="00622D9A" w:rsidRPr="00622D9A" w14:paraId="62E1D900"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3BFCA689" w14:textId="77777777" w:rsidR="00DA6944" w:rsidRPr="00622D9A" w:rsidRDefault="00DA6944" w:rsidP="00F744CB">
            <w:pPr>
              <w:pStyle w:val="TableParagraph"/>
              <w:rPr>
                <w:rFonts w:ascii="Cambria" w:hAnsi="Cambria"/>
                <w:i/>
                <w:color w:val="auto"/>
              </w:rPr>
            </w:pPr>
            <w:r w:rsidRPr="00622D9A">
              <w:rPr>
                <w:rFonts w:ascii="Cambria" w:hAnsi="Cambria"/>
                <w:i/>
                <w:color w:val="auto"/>
              </w:rPr>
              <w:t>HRRm</w:t>
            </w:r>
          </w:p>
        </w:tc>
        <w:tc>
          <w:tcPr>
            <w:tcW w:w="6760" w:type="dxa"/>
          </w:tcPr>
          <w:p w14:paraId="668DA438"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Homologous recombination repair gene mutation</w:t>
            </w:r>
          </w:p>
        </w:tc>
      </w:tr>
      <w:tr w:rsidR="00622D9A" w:rsidRPr="00622D9A" w14:paraId="4DA890F8"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0D4EBAFB" w14:textId="77777777" w:rsidR="00DA6944" w:rsidRPr="00622D9A" w:rsidRDefault="00DA6944" w:rsidP="00F744CB">
            <w:pPr>
              <w:pStyle w:val="TableParagraph"/>
              <w:rPr>
                <w:rFonts w:ascii="Cambria" w:hAnsi="Cambria"/>
                <w:color w:val="auto"/>
              </w:rPr>
            </w:pPr>
            <w:r w:rsidRPr="00622D9A">
              <w:rPr>
                <w:rFonts w:ascii="Cambria" w:hAnsi="Cambria"/>
                <w:color w:val="auto"/>
              </w:rPr>
              <w:t>ICH</w:t>
            </w:r>
          </w:p>
        </w:tc>
        <w:tc>
          <w:tcPr>
            <w:tcW w:w="6760" w:type="dxa"/>
          </w:tcPr>
          <w:p w14:paraId="2067EAD4"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International Council for Harmonisation</w:t>
            </w:r>
          </w:p>
        </w:tc>
      </w:tr>
      <w:tr w:rsidR="00622D9A" w:rsidRPr="00622D9A" w14:paraId="35720CE4"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6CE5EA5" w14:textId="77777777" w:rsidR="00DA6944" w:rsidRPr="00622D9A" w:rsidRDefault="00DA6944" w:rsidP="00F744CB">
            <w:pPr>
              <w:pStyle w:val="TableParagraph"/>
              <w:rPr>
                <w:rFonts w:ascii="Cambria" w:hAnsi="Cambria"/>
                <w:color w:val="auto"/>
              </w:rPr>
            </w:pPr>
            <w:r w:rsidRPr="00622D9A">
              <w:rPr>
                <w:rFonts w:ascii="Cambria" w:hAnsi="Cambria"/>
                <w:color w:val="auto"/>
              </w:rPr>
              <w:t>IDFS</w:t>
            </w:r>
          </w:p>
        </w:tc>
        <w:tc>
          <w:tcPr>
            <w:tcW w:w="6760" w:type="dxa"/>
          </w:tcPr>
          <w:p w14:paraId="4611D701" w14:textId="30DD3BD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 xml:space="preserve">Invasive </w:t>
            </w:r>
            <w:r w:rsidR="00F744CB" w:rsidRPr="00622D9A">
              <w:rPr>
                <w:rFonts w:ascii="Cambria" w:hAnsi="Cambria"/>
                <w:color w:val="auto"/>
              </w:rPr>
              <w:t>disease-free</w:t>
            </w:r>
            <w:r w:rsidRPr="00622D9A">
              <w:rPr>
                <w:rFonts w:ascii="Cambria" w:hAnsi="Cambria"/>
                <w:color w:val="auto"/>
              </w:rPr>
              <w:t xml:space="preserve"> survival</w:t>
            </w:r>
          </w:p>
        </w:tc>
      </w:tr>
      <w:tr w:rsidR="00622D9A" w:rsidRPr="00622D9A" w14:paraId="6C948D09"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3656443" w14:textId="77777777" w:rsidR="00DA6944" w:rsidRPr="00622D9A" w:rsidRDefault="00DA6944" w:rsidP="00F744CB">
            <w:pPr>
              <w:pStyle w:val="TableParagraph"/>
              <w:rPr>
                <w:rFonts w:ascii="Cambria" w:hAnsi="Cambria"/>
                <w:color w:val="auto"/>
              </w:rPr>
            </w:pPr>
            <w:r w:rsidRPr="00622D9A">
              <w:rPr>
                <w:rFonts w:ascii="Cambria" w:hAnsi="Cambria"/>
                <w:color w:val="auto"/>
              </w:rPr>
              <w:t>IHC</w:t>
            </w:r>
          </w:p>
        </w:tc>
        <w:tc>
          <w:tcPr>
            <w:tcW w:w="6760" w:type="dxa"/>
          </w:tcPr>
          <w:p w14:paraId="13C44B97"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Immunohistochemistry</w:t>
            </w:r>
          </w:p>
        </w:tc>
      </w:tr>
      <w:tr w:rsidR="00622D9A" w:rsidRPr="00622D9A" w14:paraId="5E38F2F8"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9F3806B" w14:textId="77777777" w:rsidR="00DA6944" w:rsidRPr="00622D9A" w:rsidRDefault="00DA6944" w:rsidP="00F744CB">
            <w:pPr>
              <w:pStyle w:val="TableParagraph"/>
              <w:rPr>
                <w:rFonts w:ascii="Cambria" w:hAnsi="Cambria"/>
                <w:color w:val="auto"/>
              </w:rPr>
            </w:pPr>
            <w:r w:rsidRPr="00622D9A">
              <w:rPr>
                <w:rFonts w:ascii="Cambria" w:hAnsi="Cambria"/>
                <w:color w:val="auto"/>
              </w:rPr>
              <w:lastRenderedPageBreak/>
              <w:t>ITT</w:t>
            </w:r>
          </w:p>
        </w:tc>
        <w:tc>
          <w:tcPr>
            <w:tcW w:w="6760" w:type="dxa"/>
          </w:tcPr>
          <w:p w14:paraId="2D923CF3"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Intent-to-treat</w:t>
            </w:r>
          </w:p>
        </w:tc>
      </w:tr>
      <w:tr w:rsidR="00622D9A" w:rsidRPr="00622D9A" w14:paraId="6FA61D4F"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49CDF2E1" w14:textId="77777777" w:rsidR="00DA6944" w:rsidRPr="00622D9A" w:rsidRDefault="00DA6944" w:rsidP="00F744CB">
            <w:pPr>
              <w:pStyle w:val="TableParagraph"/>
              <w:rPr>
                <w:rFonts w:ascii="Cambria" w:hAnsi="Cambria"/>
                <w:color w:val="auto"/>
              </w:rPr>
            </w:pPr>
            <w:r w:rsidRPr="00622D9A">
              <w:rPr>
                <w:rFonts w:ascii="Cambria" w:hAnsi="Cambria"/>
                <w:color w:val="auto"/>
              </w:rPr>
              <w:t>LC-MS/MS</w:t>
            </w:r>
          </w:p>
        </w:tc>
        <w:tc>
          <w:tcPr>
            <w:tcW w:w="6760" w:type="dxa"/>
          </w:tcPr>
          <w:p w14:paraId="7CEB72F5"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Liquid chromatography with tandem mass spectrometry</w:t>
            </w:r>
          </w:p>
        </w:tc>
      </w:tr>
      <w:tr w:rsidR="00622D9A" w:rsidRPr="00622D9A" w14:paraId="6BD548DA"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2BF46BA" w14:textId="77777777" w:rsidR="00DA6944" w:rsidRPr="00622D9A" w:rsidRDefault="00DA6944" w:rsidP="00F744CB">
            <w:pPr>
              <w:pStyle w:val="TableParagraph"/>
              <w:rPr>
                <w:rFonts w:ascii="Cambria" w:hAnsi="Cambria"/>
                <w:color w:val="auto"/>
              </w:rPr>
            </w:pPr>
            <w:r w:rsidRPr="00622D9A">
              <w:rPr>
                <w:rFonts w:ascii="Cambria" w:hAnsi="Cambria"/>
                <w:color w:val="auto"/>
              </w:rPr>
              <w:t>LLOQ</w:t>
            </w:r>
          </w:p>
        </w:tc>
        <w:tc>
          <w:tcPr>
            <w:tcW w:w="6760" w:type="dxa"/>
          </w:tcPr>
          <w:p w14:paraId="0F091E1F"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Lower limit of quantification</w:t>
            </w:r>
          </w:p>
        </w:tc>
      </w:tr>
      <w:tr w:rsidR="00622D9A" w:rsidRPr="00622D9A" w14:paraId="5963489C"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058B8DF" w14:textId="77777777" w:rsidR="00DA6944" w:rsidRPr="00622D9A" w:rsidRDefault="00DA6944" w:rsidP="00F744CB">
            <w:pPr>
              <w:pStyle w:val="TableParagraph"/>
              <w:rPr>
                <w:rFonts w:ascii="Cambria" w:hAnsi="Cambria"/>
                <w:color w:val="auto"/>
              </w:rPr>
            </w:pPr>
            <w:r w:rsidRPr="00622D9A">
              <w:rPr>
                <w:rFonts w:ascii="Cambria" w:hAnsi="Cambria"/>
                <w:color w:val="auto"/>
              </w:rPr>
              <w:t>KM</w:t>
            </w:r>
          </w:p>
        </w:tc>
        <w:tc>
          <w:tcPr>
            <w:tcW w:w="6760" w:type="dxa"/>
          </w:tcPr>
          <w:p w14:paraId="16B92F96"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Kaplan-Meier</w:t>
            </w:r>
          </w:p>
        </w:tc>
      </w:tr>
      <w:tr w:rsidR="00622D9A" w:rsidRPr="00622D9A" w14:paraId="1CAF3521"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0E56E93" w14:textId="77777777" w:rsidR="00DA6944" w:rsidRPr="00622D9A" w:rsidRDefault="00DA6944" w:rsidP="00F744CB">
            <w:pPr>
              <w:pStyle w:val="TableParagraph"/>
              <w:rPr>
                <w:rFonts w:ascii="Cambria" w:hAnsi="Cambria"/>
                <w:color w:val="auto"/>
              </w:rPr>
            </w:pPr>
            <w:r w:rsidRPr="00622D9A">
              <w:rPr>
                <w:rFonts w:ascii="Cambria" w:hAnsi="Cambria"/>
                <w:color w:val="auto"/>
              </w:rPr>
              <w:t>LS</w:t>
            </w:r>
          </w:p>
        </w:tc>
        <w:tc>
          <w:tcPr>
            <w:tcW w:w="6760" w:type="dxa"/>
          </w:tcPr>
          <w:p w14:paraId="0CCFD872"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Least squares</w:t>
            </w:r>
          </w:p>
        </w:tc>
      </w:tr>
      <w:tr w:rsidR="00622D9A" w:rsidRPr="00622D9A" w14:paraId="766A7037"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0895F0CF" w14:textId="77777777" w:rsidR="00DA6944" w:rsidRPr="00622D9A" w:rsidRDefault="00DA6944" w:rsidP="00F744CB">
            <w:pPr>
              <w:pStyle w:val="TableParagraph"/>
              <w:rPr>
                <w:rFonts w:ascii="Cambria" w:hAnsi="Cambria"/>
                <w:color w:val="auto"/>
              </w:rPr>
            </w:pPr>
            <w:r w:rsidRPr="00622D9A">
              <w:rPr>
                <w:rFonts w:ascii="Cambria" w:hAnsi="Cambria"/>
                <w:color w:val="auto"/>
              </w:rPr>
              <w:t>mBC</w:t>
            </w:r>
          </w:p>
        </w:tc>
        <w:tc>
          <w:tcPr>
            <w:tcW w:w="6760" w:type="dxa"/>
          </w:tcPr>
          <w:p w14:paraId="7B43E30D"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Metastatic breast cancer</w:t>
            </w:r>
          </w:p>
        </w:tc>
      </w:tr>
      <w:tr w:rsidR="00622D9A" w:rsidRPr="00622D9A" w14:paraId="36AD1019"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C5FEFFB" w14:textId="77777777" w:rsidR="00DA6944" w:rsidRPr="00622D9A" w:rsidRDefault="00DA6944" w:rsidP="00F744CB">
            <w:pPr>
              <w:pStyle w:val="TableParagraph"/>
              <w:rPr>
                <w:rFonts w:ascii="Cambria" w:hAnsi="Cambria"/>
                <w:color w:val="auto"/>
              </w:rPr>
            </w:pPr>
            <w:r w:rsidRPr="00622D9A">
              <w:rPr>
                <w:rFonts w:ascii="Cambria" w:hAnsi="Cambria"/>
                <w:color w:val="auto"/>
              </w:rPr>
              <w:t>mCRPC</w:t>
            </w:r>
          </w:p>
        </w:tc>
        <w:tc>
          <w:tcPr>
            <w:tcW w:w="6760" w:type="dxa"/>
          </w:tcPr>
          <w:p w14:paraId="37864FB8"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Metastatic castration resistant prostate cancer</w:t>
            </w:r>
          </w:p>
        </w:tc>
      </w:tr>
      <w:tr w:rsidR="00622D9A" w:rsidRPr="00622D9A" w14:paraId="4B8B67D8"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84F6926" w14:textId="77777777" w:rsidR="00DA6944" w:rsidRPr="00622D9A" w:rsidRDefault="00DA6944" w:rsidP="00F744CB">
            <w:pPr>
              <w:pStyle w:val="TableParagraph"/>
              <w:rPr>
                <w:rFonts w:ascii="Cambria" w:hAnsi="Cambria"/>
                <w:color w:val="auto"/>
              </w:rPr>
            </w:pPr>
            <w:r w:rsidRPr="00622D9A">
              <w:rPr>
                <w:rFonts w:ascii="Cambria" w:hAnsi="Cambria"/>
                <w:color w:val="auto"/>
              </w:rPr>
              <w:t>MDS</w:t>
            </w:r>
          </w:p>
        </w:tc>
        <w:tc>
          <w:tcPr>
            <w:tcW w:w="6760" w:type="dxa"/>
          </w:tcPr>
          <w:p w14:paraId="09819706"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Myelodysplastic syndrome</w:t>
            </w:r>
          </w:p>
        </w:tc>
      </w:tr>
      <w:tr w:rsidR="00622D9A" w:rsidRPr="00622D9A" w14:paraId="1588303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3E1B98D1" w14:textId="77777777" w:rsidR="00DA6944" w:rsidRPr="00622D9A" w:rsidRDefault="00DA6944" w:rsidP="00F744CB">
            <w:pPr>
              <w:pStyle w:val="TableParagraph"/>
              <w:rPr>
                <w:rFonts w:ascii="Cambria" w:hAnsi="Cambria"/>
                <w:color w:val="auto"/>
              </w:rPr>
            </w:pPr>
            <w:r w:rsidRPr="00622D9A">
              <w:rPr>
                <w:rFonts w:ascii="Cambria" w:hAnsi="Cambria"/>
                <w:color w:val="auto"/>
              </w:rPr>
              <w:t>MedDRA</w:t>
            </w:r>
          </w:p>
        </w:tc>
        <w:tc>
          <w:tcPr>
            <w:tcW w:w="6760" w:type="dxa"/>
          </w:tcPr>
          <w:p w14:paraId="43C2717A"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Medical Dictionary for Regulatory Activities</w:t>
            </w:r>
          </w:p>
        </w:tc>
      </w:tr>
      <w:tr w:rsidR="00622D9A" w:rsidRPr="00622D9A" w14:paraId="1FA5923E"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4AE47C2" w14:textId="77777777" w:rsidR="00DA6944" w:rsidRPr="00622D9A" w:rsidRDefault="00DA6944" w:rsidP="00F744CB">
            <w:pPr>
              <w:pStyle w:val="TableParagraph"/>
              <w:rPr>
                <w:rFonts w:ascii="Cambria" w:hAnsi="Cambria"/>
                <w:color w:val="auto"/>
              </w:rPr>
            </w:pPr>
            <w:r w:rsidRPr="00622D9A">
              <w:rPr>
                <w:rFonts w:ascii="Cambria" w:hAnsi="Cambria"/>
                <w:color w:val="auto"/>
              </w:rPr>
              <w:t>mHSPC</w:t>
            </w:r>
          </w:p>
        </w:tc>
        <w:tc>
          <w:tcPr>
            <w:tcW w:w="6760" w:type="dxa"/>
          </w:tcPr>
          <w:p w14:paraId="4D03A389"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Metastatic hormone sensitive prostate cancer</w:t>
            </w:r>
          </w:p>
        </w:tc>
      </w:tr>
      <w:tr w:rsidR="00622D9A" w:rsidRPr="00622D9A" w14:paraId="53E07569"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DE81556" w14:textId="77777777" w:rsidR="00DA6944" w:rsidRPr="00622D9A" w:rsidRDefault="00DA6944" w:rsidP="00F744CB">
            <w:pPr>
              <w:pStyle w:val="TableParagraph"/>
              <w:rPr>
                <w:rFonts w:ascii="Cambria" w:hAnsi="Cambria"/>
                <w:color w:val="auto"/>
              </w:rPr>
            </w:pPr>
            <w:r w:rsidRPr="00622D9A">
              <w:rPr>
                <w:rFonts w:ascii="Cambria" w:hAnsi="Cambria"/>
                <w:color w:val="auto"/>
              </w:rPr>
              <w:t>MRI</w:t>
            </w:r>
          </w:p>
        </w:tc>
        <w:tc>
          <w:tcPr>
            <w:tcW w:w="6760" w:type="dxa"/>
          </w:tcPr>
          <w:p w14:paraId="3B8762A7"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Magnetic resonance imaging</w:t>
            </w:r>
          </w:p>
        </w:tc>
      </w:tr>
      <w:tr w:rsidR="00622D9A" w:rsidRPr="00622D9A" w14:paraId="0A25E25B"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50527B1" w14:textId="77777777" w:rsidR="00DA6944" w:rsidRPr="00622D9A" w:rsidRDefault="00DA6944" w:rsidP="00F744CB">
            <w:pPr>
              <w:pStyle w:val="TableParagraph"/>
              <w:rPr>
                <w:rFonts w:ascii="Cambria" w:hAnsi="Cambria"/>
                <w:color w:val="auto"/>
              </w:rPr>
            </w:pPr>
            <w:r w:rsidRPr="00622D9A">
              <w:rPr>
                <w:rFonts w:ascii="Cambria" w:hAnsi="Cambria"/>
                <w:color w:val="auto"/>
              </w:rPr>
              <w:t>N</w:t>
            </w:r>
          </w:p>
        </w:tc>
        <w:tc>
          <w:tcPr>
            <w:tcW w:w="6760" w:type="dxa"/>
          </w:tcPr>
          <w:p w14:paraId="11D09662"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Number of patients in treatment</w:t>
            </w:r>
          </w:p>
        </w:tc>
      </w:tr>
      <w:tr w:rsidR="00622D9A" w:rsidRPr="00622D9A" w14:paraId="4C4F9470"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A696BBD" w14:textId="77777777" w:rsidR="00DA6944" w:rsidRPr="00622D9A" w:rsidRDefault="00DA6944" w:rsidP="00F744CB">
            <w:pPr>
              <w:pStyle w:val="TableParagraph"/>
              <w:rPr>
                <w:rFonts w:ascii="Cambria" w:hAnsi="Cambria"/>
                <w:color w:val="auto"/>
              </w:rPr>
            </w:pPr>
            <w:r w:rsidRPr="00622D9A">
              <w:rPr>
                <w:rFonts w:ascii="Cambria" w:hAnsi="Cambria"/>
                <w:color w:val="auto"/>
              </w:rPr>
              <w:t>n</w:t>
            </w:r>
          </w:p>
        </w:tc>
        <w:tc>
          <w:tcPr>
            <w:tcW w:w="6760" w:type="dxa"/>
          </w:tcPr>
          <w:p w14:paraId="695711B7"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Number of patients analysed</w:t>
            </w:r>
          </w:p>
        </w:tc>
      </w:tr>
      <w:tr w:rsidR="00622D9A" w:rsidRPr="00622D9A" w14:paraId="7C2B05D2"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3FE694D" w14:textId="77777777" w:rsidR="00DA6944" w:rsidRPr="00622D9A" w:rsidRDefault="00DA6944" w:rsidP="00F744CB">
            <w:pPr>
              <w:pStyle w:val="TableParagraph"/>
              <w:rPr>
                <w:rFonts w:ascii="Cambria" w:hAnsi="Cambria"/>
                <w:color w:val="auto"/>
              </w:rPr>
            </w:pPr>
            <w:r w:rsidRPr="00622D9A">
              <w:rPr>
                <w:rFonts w:ascii="Cambria" w:hAnsi="Cambria"/>
                <w:color w:val="auto"/>
              </w:rPr>
              <w:t>NCCN</w:t>
            </w:r>
          </w:p>
        </w:tc>
        <w:tc>
          <w:tcPr>
            <w:tcW w:w="6760" w:type="dxa"/>
          </w:tcPr>
          <w:p w14:paraId="721A75ED"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National Comprehensive Cancer Network</w:t>
            </w:r>
          </w:p>
        </w:tc>
      </w:tr>
      <w:tr w:rsidR="00622D9A" w:rsidRPr="00622D9A" w14:paraId="4D45632D"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98B4BE4" w14:textId="77777777" w:rsidR="00DA6944" w:rsidRPr="00622D9A" w:rsidRDefault="00DA6944" w:rsidP="00F744CB">
            <w:pPr>
              <w:pStyle w:val="TableParagraph"/>
              <w:rPr>
                <w:rFonts w:ascii="Cambria" w:hAnsi="Cambria"/>
                <w:color w:val="auto"/>
              </w:rPr>
            </w:pPr>
            <w:r w:rsidRPr="00622D9A">
              <w:rPr>
                <w:rFonts w:ascii="Cambria" w:hAnsi="Cambria"/>
                <w:color w:val="auto"/>
              </w:rPr>
              <w:t>NCI</w:t>
            </w:r>
          </w:p>
        </w:tc>
        <w:tc>
          <w:tcPr>
            <w:tcW w:w="6760" w:type="dxa"/>
          </w:tcPr>
          <w:p w14:paraId="0FEB3463"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National Cancer Institute (USA)</w:t>
            </w:r>
          </w:p>
        </w:tc>
      </w:tr>
      <w:tr w:rsidR="00622D9A" w:rsidRPr="00622D9A" w14:paraId="5254BB07"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9FA8B70" w14:textId="77777777" w:rsidR="00DA6944" w:rsidRPr="00622D9A" w:rsidRDefault="00DA6944" w:rsidP="00F744CB">
            <w:pPr>
              <w:pStyle w:val="TableParagraph"/>
              <w:rPr>
                <w:rFonts w:ascii="Cambria" w:hAnsi="Cambria"/>
                <w:color w:val="auto"/>
              </w:rPr>
            </w:pPr>
            <w:r w:rsidRPr="00622D9A">
              <w:rPr>
                <w:rFonts w:ascii="Cambria" w:hAnsi="Cambria"/>
                <w:color w:val="auto"/>
              </w:rPr>
              <w:t>NCTN</w:t>
            </w:r>
          </w:p>
        </w:tc>
        <w:tc>
          <w:tcPr>
            <w:tcW w:w="6760" w:type="dxa"/>
          </w:tcPr>
          <w:p w14:paraId="1BC43C94"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National Clinical Trial Network</w:t>
            </w:r>
          </w:p>
        </w:tc>
      </w:tr>
      <w:tr w:rsidR="00622D9A" w:rsidRPr="00622D9A" w14:paraId="2A20B31F"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797DD67" w14:textId="77777777" w:rsidR="00DA6944" w:rsidRPr="00622D9A" w:rsidRDefault="00DA6944" w:rsidP="00F744CB">
            <w:pPr>
              <w:pStyle w:val="TableParagraph"/>
              <w:rPr>
                <w:rFonts w:ascii="Cambria" w:hAnsi="Cambria"/>
                <w:color w:val="auto"/>
              </w:rPr>
            </w:pPr>
            <w:r w:rsidRPr="00622D9A">
              <w:rPr>
                <w:rFonts w:ascii="Cambria" w:hAnsi="Cambria"/>
                <w:color w:val="auto"/>
              </w:rPr>
              <w:t>NRG</w:t>
            </w:r>
          </w:p>
        </w:tc>
        <w:tc>
          <w:tcPr>
            <w:tcW w:w="6760" w:type="dxa"/>
          </w:tcPr>
          <w:p w14:paraId="38157470"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NCI supported National Clinical Trials Network Group</w:t>
            </w:r>
          </w:p>
        </w:tc>
      </w:tr>
      <w:tr w:rsidR="00622D9A" w:rsidRPr="00622D9A" w14:paraId="62FA6FB8"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43847C36" w14:textId="77777777" w:rsidR="00DA6944" w:rsidRPr="00622D9A" w:rsidRDefault="00DA6944" w:rsidP="00F744CB">
            <w:pPr>
              <w:pStyle w:val="TableParagraph"/>
              <w:rPr>
                <w:rFonts w:ascii="Cambria" w:hAnsi="Cambria"/>
                <w:color w:val="auto"/>
              </w:rPr>
            </w:pPr>
            <w:r w:rsidRPr="00622D9A">
              <w:rPr>
                <w:rFonts w:ascii="Cambria" w:hAnsi="Cambria"/>
                <w:color w:val="auto"/>
              </w:rPr>
              <w:t>NHA(s)</w:t>
            </w:r>
          </w:p>
        </w:tc>
        <w:tc>
          <w:tcPr>
            <w:tcW w:w="6760" w:type="dxa"/>
          </w:tcPr>
          <w:p w14:paraId="4C9DF630"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New hormonal agent(s)</w:t>
            </w:r>
          </w:p>
        </w:tc>
      </w:tr>
      <w:tr w:rsidR="00622D9A" w:rsidRPr="00622D9A" w14:paraId="1C78B36D"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3C9CCF58" w14:textId="77777777" w:rsidR="00DA6944" w:rsidRPr="00622D9A" w:rsidRDefault="00DA6944" w:rsidP="00F744CB">
            <w:pPr>
              <w:pStyle w:val="TableParagraph"/>
              <w:rPr>
                <w:rFonts w:ascii="Cambria" w:hAnsi="Cambria"/>
                <w:color w:val="auto"/>
              </w:rPr>
            </w:pPr>
            <w:r w:rsidRPr="00622D9A">
              <w:rPr>
                <w:rFonts w:ascii="Cambria" w:hAnsi="Cambria"/>
                <w:color w:val="auto"/>
              </w:rPr>
              <w:t>ORR</w:t>
            </w:r>
          </w:p>
        </w:tc>
        <w:tc>
          <w:tcPr>
            <w:tcW w:w="6760" w:type="dxa"/>
          </w:tcPr>
          <w:p w14:paraId="66CB3337"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Objective response rate</w:t>
            </w:r>
          </w:p>
        </w:tc>
      </w:tr>
      <w:tr w:rsidR="00622D9A" w:rsidRPr="00622D9A" w14:paraId="6AAC8D7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D882C65" w14:textId="77777777" w:rsidR="00DA6944" w:rsidRPr="00622D9A" w:rsidRDefault="00DA6944" w:rsidP="00F744CB">
            <w:pPr>
              <w:pStyle w:val="TableParagraph"/>
              <w:rPr>
                <w:rFonts w:ascii="Cambria" w:hAnsi="Cambria"/>
                <w:color w:val="auto"/>
              </w:rPr>
            </w:pPr>
            <w:r w:rsidRPr="00622D9A">
              <w:rPr>
                <w:rFonts w:ascii="Cambria" w:hAnsi="Cambria"/>
                <w:color w:val="auto"/>
              </w:rPr>
              <w:t>OS</w:t>
            </w:r>
          </w:p>
        </w:tc>
        <w:tc>
          <w:tcPr>
            <w:tcW w:w="6760" w:type="dxa"/>
          </w:tcPr>
          <w:p w14:paraId="4C1C09B0"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Overall survival</w:t>
            </w:r>
          </w:p>
        </w:tc>
      </w:tr>
      <w:tr w:rsidR="00622D9A" w:rsidRPr="00622D9A" w14:paraId="0709954F"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8BBD09D" w14:textId="77777777" w:rsidR="00DA6944" w:rsidRPr="00622D9A" w:rsidRDefault="00DA6944" w:rsidP="00F744CB">
            <w:pPr>
              <w:pStyle w:val="TableParagraph"/>
              <w:rPr>
                <w:rFonts w:ascii="Cambria" w:hAnsi="Cambria"/>
                <w:color w:val="auto"/>
              </w:rPr>
            </w:pPr>
            <w:r w:rsidRPr="00622D9A">
              <w:rPr>
                <w:rFonts w:ascii="Cambria" w:hAnsi="Cambria"/>
                <w:color w:val="auto"/>
              </w:rPr>
              <w:t>PARP</w:t>
            </w:r>
          </w:p>
        </w:tc>
        <w:tc>
          <w:tcPr>
            <w:tcW w:w="6760" w:type="dxa"/>
          </w:tcPr>
          <w:p w14:paraId="583F14B0"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Polyadenosine 5’diphosphororibose polymerase</w:t>
            </w:r>
          </w:p>
        </w:tc>
      </w:tr>
      <w:tr w:rsidR="00622D9A" w:rsidRPr="00622D9A" w14:paraId="6E3F8827"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5B1A45C" w14:textId="77777777" w:rsidR="00DA6944" w:rsidRPr="00622D9A" w:rsidRDefault="00DA6944" w:rsidP="00F744CB">
            <w:pPr>
              <w:pStyle w:val="TableParagraph"/>
              <w:rPr>
                <w:rFonts w:ascii="Cambria" w:hAnsi="Cambria"/>
                <w:color w:val="auto"/>
              </w:rPr>
            </w:pPr>
            <w:r w:rsidRPr="00622D9A">
              <w:rPr>
                <w:rFonts w:ascii="Cambria" w:hAnsi="Cambria"/>
                <w:color w:val="auto"/>
              </w:rPr>
              <w:t>PARPi</w:t>
            </w:r>
          </w:p>
        </w:tc>
        <w:tc>
          <w:tcPr>
            <w:tcW w:w="6760" w:type="dxa"/>
          </w:tcPr>
          <w:p w14:paraId="5AFB1AC9"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Polyadenosine 5’diphosphororibose polymerase inhibitor</w:t>
            </w:r>
          </w:p>
        </w:tc>
      </w:tr>
      <w:tr w:rsidR="00622D9A" w:rsidRPr="00622D9A" w14:paraId="75CB910C"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6573908" w14:textId="77777777" w:rsidR="00DA6944" w:rsidRPr="00622D9A" w:rsidRDefault="00DA6944" w:rsidP="00F744CB">
            <w:pPr>
              <w:pStyle w:val="TableParagraph"/>
              <w:rPr>
                <w:rFonts w:ascii="Cambria" w:hAnsi="Cambria"/>
                <w:color w:val="auto"/>
              </w:rPr>
            </w:pPr>
            <w:r w:rsidRPr="00622D9A">
              <w:rPr>
                <w:rFonts w:ascii="Cambria" w:hAnsi="Cambria"/>
                <w:color w:val="auto"/>
              </w:rPr>
              <w:t>PBRER / PSUR</w:t>
            </w:r>
          </w:p>
        </w:tc>
        <w:tc>
          <w:tcPr>
            <w:tcW w:w="6760" w:type="dxa"/>
          </w:tcPr>
          <w:p w14:paraId="2B339AEF"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Periodic Benefit Risk Evaluation Report / Periodic Safety Update Report</w:t>
            </w:r>
          </w:p>
        </w:tc>
      </w:tr>
      <w:tr w:rsidR="00622D9A" w:rsidRPr="00622D9A" w14:paraId="4E786B5D"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D886B7A" w14:textId="77777777" w:rsidR="00DA6944" w:rsidRPr="00622D9A" w:rsidRDefault="00DA6944" w:rsidP="00F744CB">
            <w:pPr>
              <w:pStyle w:val="TableParagraph"/>
              <w:rPr>
                <w:rFonts w:ascii="Cambria" w:hAnsi="Cambria"/>
                <w:color w:val="auto"/>
              </w:rPr>
            </w:pPr>
            <w:r w:rsidRPr="00622D9A">
              <w:rPr>
                <w:rFonts w:ascii="Cambria" w:hAnsi="Cambria"/>
                <w:color w:val="auto"/>
              </w:rPr>
              <w:t>pCR</w:t>
            </w:r>
          </w:p>
        </w:tc>
        <w:tc>
          <w:tcPr>
            <w:tcW w:w="6760" w:type="dxa"/>
          </w:tcPr>
          <w:p w14:paraId="158FF360"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Pathological complete response</w:t>
            </w:r>
          </w:p>
        </w:tc>
      </w:tr>
      <w:tr w:rsidR="00622D9A" w:rsidRPr="00622D9A" w14:paraId="7961F446"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CBB9F2E" w14:textId="77777777" w:rsidR="00DA6944" w:rsidRPr="00622D9A" w:rsidRDefault="00DA6944" w:rsidP="00F744CB">
            <w:pPr>
              <w:pStyle w:val="TableParagraph"/>
              <w:rPr>
                <w:rFonts w:ascii="Cambria" w:hAnsi="Cambria"/>
                <w:color w:val="auto"/>
              </w:rPr>
            </w:pPr>
            <w:r w:rsidRPr="00622D9A">
              <w:rPr>
                <w:rFonts w:ascii="Cambria" w:hAnsi="Cambria"/>
                <w:color w:val="auto"/>
              </w:rPr>
              <w:t>PCWG-2 / 3</w:t>
            </w:r>
          </w:p>
        </w:tc>
        <w:tc>
          <w:tcPr>
            <w:tcW w:w="6760" w:type="dxa"/>
          </w:tcPr>
          <w:p w14:paraId="44D6A418"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Prostate Cancer Working Groups 2 / 3</w:t>
            </w:r>
          </w:p>
        </w:tc>
      </w:tr>
      <w:tr w:rsidR="00622D9A" w:rsidRPr="00622D9A" w14:paraId="415D62A9"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3DE50D2D" w14:textId="77777777" w:rsidR="00DA6944" w:rsidRPr="00622D9A" w:rsidRDefault="00DA6944" w:rsidP="00F744CB">
            <w:pPr>
              <w:pStyle w:val="TableParagraph"/>
              <w:rPr>
                <w:rFonts w:ascii="Cambria" w:hAnsi="Cambria"/>
                <w:color w:val="auto"/>
              </w:rPr>
            </w:pPr>
            <w:r w:rsidRPr="00622D9A">
              <w:rPr>
                <w:rFonts w:ascii="Cambria" w:hAnsi="Cambria"/>
                <w:color w:val="auto"/>
              </w:rPr>
              <w:t>PD</w:t>
            </w:r>
          </w:p>
        </w:tc>
        <w:tc>
          <w:tcPr>
            <w:tcW w:w="6760" w:type="dxa"/>
          </w:tcPr>
          <w:p w14:paraId="173758FB"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Pharmacodynamics</w:t>
            </w:r>
          </w:p>
        </w:tc>
      </w:tr>
      <w:tr w:rsidR="00622D9A" w:rsidRPr="00622D9A" w14:paraId="457F6543"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369EC031" w14:textId="77777777" w:rsidR="00DA6944" w:rsidRPr="00622D9A" w:rsidRDefault="00DA6944" w:rsidP="00F744CB">
            <w:pPr>
              <w:pStyle w:val="TableParagraph"/>
              <w:rPr>
                <w:rFonts w:ascii="Cambria" w:hAnsi="Cambria"/>
                <w:color w:val="auto"/>
              </w:rPr>
            </w:pPr>
            <w:r w:rsidRPr="00622D9A">
              <w:rPr>
                <w:rFonts w:ascii="Cambria" w:hAnsi="Cambria"/>
                <w:color w:val="auto"/>
              </w:rPr>
              <w:t>PFS</w:t>
            </w:r>
          </w:p>
        </w:tc>
        <w:tc>
          <w:tcPr>
            <w:tcW w:w="6760" w:type="dxa"/>
          </w:tcPr>
          <w:p w14:paraId="033FE6A1"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Progression free survival</w:t>
            </w:r>
          </w:p>
        </w:tc>
      </w:tr>
      <w:tr w:rsidR="00622D9A" w:rsidRPr="00622D9A" w14:paraId="1D585EA5"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435C8CB7" w14:textId="77777777" w:rsidR="00DA6944" w:rsidRPr="00622D9A" w:rsidRDefault="00DA6944" w:rsidP="00F744CB">
            <w:pPr>
              <w:pStyle w:val="TableParagraph"/>
              <w:rPr>
                <w:rFonts w:ascii="Cambria" w:hAnsi="Cambria"/>
                <w:color w:val="auto"/>
              </w:rPr>
            </w:pPr>
            <w:r w:rsidRPr="00622D9A">
              <w:rPr>
                <w:rFonts w:ascii="Cambria" w:hAnsi="Cambria"/>
                <w:color w:val="auto"/>
              </w:rPr>
              <w:t>PFS2</w:t>
            </w:r>
          </w:p>
        </w:tc>
        <w:tc>
          <w:tcPr>
            <w:tcW w:w="6760" w:type="dxa"/>
          </w:tcPr>
          <w:p w14:paraId="508F1D00"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Time from randomisation to second progression or death</w:t>
            </w:r>
          </w:p>
        </w:tc>
      </w:tr>
      <w:tr w:rsidR="00622D9A" w:rsidRPr="00622D9A" w14:paraId="48A29672"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233AB05" w14:textId="77777777" w:rsidR="00DA6944" w:rsidRPr="00622D9A" w:rsidRDefault="00DA6944" w:rsidP="00F744CB">
            <w:pPr>
              <w:pStyle w:val="TableParagraph"/>
              <w:rPr>
                <w:rFonts w:ascii="Cambria" w:hAnsi="Cambria"/>
                <w:color w:val="auto"/>
              </w:rPr>
            </w:pPr>
            <w:r w:rsidRPr="00622D9A">
              <w:rPr>
                <w:rFonts w:ascii="Cambria" w:hAnsi="Cambria"/>
                <w:color w:val="auto"/>
              </w:rPr>
              <w:t>PgR</w:t>
            </w:r>
          </w:p>
        </w:tc>
        <w:tc>
          <w:tcPr>
            <w:tcW w:w="6760" w:type="dxa"/>
          </w:tcPr>
          <w:p w14:paraId="7334B8CD"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Progesterone receptor</w:t>
            </w:r>
          </w:p>
        </w:tc>
      </w:tr>
      <w:tr w:rsidR="00622D9A" w:rsidRPr="00622D9A" w14:paraId="1AEC5698"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0726490" w14:textId="77777777" w:rsidR="00DA6944" w:rsidRPr="00622D9A" w:rsidRDefault="00DA6944" w:rsidP="00F744CB">
            <w:pPr>
              <w:pStyle w:val="TableParagraph"/>
              <w:rPr>
                <w:rFonts w:ascii="Cambria" w:hAnsi="Cambria"/>
                <w:color w:val="auto"/>
              </w:rPr>
            </w:pPr>
            <w:r w:rsidRPr="00622D9A">
              <w:rPr>
                <w:rFonts w:ascii="Cambria" w:hAnsi="Cambria"/>
                <w:color w:val="auto"/>
              </w:rPr>
              <w:t>PI</w:t>
            </w:r>
          </w:p>
        </w:tc>
        <w:tc>
          <w:tcPr>
            <w:tcW w:w="6760" w:type="dxa"/>
          </w:tcPr>
          <w:p w14:paraId="5F88B749"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Product Information (Aust)</w:t>
            </w:r>
          </w:p>
        </w:tc>
      </w:tr>
      <w:tr w:rsidR="00622D9A" w:rsidRPr="00622D9A" w14:paraId="645E851B"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7C2CE58" w14:textId="77777777" w:rsidR="00DA6944" w:rsidRPr="00622D9A" w:rsidRDefault="00DA6944" w:rsidP="00F744CB">
            <w:pPr>
              <w:pStyle w:val="TableParagraph"/>
              <w:rPr>
                <w:rFonts w:ascii="Cambria" w:hAnsi="Cambria"/>
                <w:color w:val="auto"/>
              </w:rPr>
            </w:pPr>
            <w:r w:rsidRPr="00622D9A">
              <w:rPr>
                <w:rFonts w:ascii="Cambria" w:hAnsi="Cambria"/>
                <w:color w:val="auto"/>
              </w:rPr>
              <w:t>PK</w:t>
            </w:r>
          </w:p>
        </w:tc>
        <w:tc>
          <w:tcPr>
            <w:tcW w:w="6760" w:type="dxa"/>
          </w:tcPr>
          <w:p w14:paraId="077310F7"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Pharmacokinetic</w:t>
            </w:r>
          </w:p>
        </w:tc>
      </w:tr>
      <w:tr w:rsidR="00622D9A" w:rsidRPr="00622D9A" w14:paraId="35FD81F5"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925518D" w14:textId="77777777" w:rsidR="00DA6944" w:rsidRPr="00622D9A" w:rsidRDefault="00DA6944" w:rsidP="00F744CB">
            <w:pPr>
              <w:pStyle w:val="TableParagraph"/>
              <w:rPr>
                <w:rFonts w:ascii="Cambria" w:hAnsi="Cambria"/>
                <w:color w:val="auto"/>
              </w:rPr>
            </w:pPr>
            <w:r w:rsidRPr="00622D9A">
              <w:rPr>
                <w:rFonts w:ascii="Cambria" w:hAnsi="Cambria"/>
                <w:color w:val="auto"/>
              </w:rPr>
              <w:t>pNo</w:t>
            </w:r>
          </w:p>
        </w:tc>
        <w:tc>
          <w:tcPr>
            <w:tcW w:w="6760" w:type="dxa"/>
          </w:tcPr>
          <w:p w14:paraId="47B6418C"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Axillary node negative</w:t>
            </w:r>
          </w:p>
        </w:tc>
      </w:tr>
      <w:tr w:rsidR="00622D9A" w:rsidRPr="00622D9A" w14:paraId="4B2D4819"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96F75A2" w14:textId="77777777" w:rsidR="00DA6944" w:rsidRPr="00622D9A" w:rsidRDefault="00DA6944" w:rsidP="00F744CB">
            <w:pPr>
              <w:pStyle w:val="TableParagraph"/>
              <w:rPr>
                <w:rFonts w:ascii="Cambria" w:hAnsi="Cambria"/>
                <w:color w:val="auto"/>
              </w:rPr>
            </w:pPr>
            <w:r w:rsidRPr="00622D9A">
              <w:rPr>
                <w:rFonts w:ascii="Cambria" w:hAnsi="Cambria"/>
                <w:color w:val="auto"/>
              </w:rPr>
              <w:t>pN1</w:t>
            </w:r>
          </w:p>
        </w:tc>
        <w:tc>
          <w:tcPr>
            <w:tcW w:w="6760" w:type="dxa"/>
          </w:tcPr>
          <w:p w14:paraId="2400BBB1"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Axillary node positive</w:t>
            </w:r>
          </w:p>
        </w:tc>
      </w:tr>
      <w:tr w:rsidR="00622D9A" w:rsidRPr="00622D9A" w14:paraId="688A743E"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333B5E9" w14:textId="77777777" w:rsidR="00DA6944" w:rsidRPr="00622D9A" w:rsidRDefault="00DA6944" w:rsidP="00F744CB">
            <w:pPr>
              <w:pStyle w:val="TableParagraph"/>
              <w:rPr>
                <w:rFonts w:ascii="Cambria" w:hAnsi="Cambria"/>
                <w:color w:val="auto"/>
              </w:rPr>
            </w:pPr>
            <w:r w:rsidRPr="00622D9A">
              <w:rPr>
                <w:rFonts w:ascii="Cambria" w:hAnsi="Cambria"/>
                <w:color w:val="auto"/>
              </w:rPr>
              <w:t>pN1a</w:t>
            </w:r>
          </w:p>
        </w:tc>
        <w:tc>
          <w:tcPr>
            <w:tcW w:w="6760" w:type="dxa"/>
          </w:tcPr>
          <w:p w14:paraId="11D6626C"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TMN classification. Surgically identified metastasis in 1 to 3 axillary lymph nodes, with at least 1 metastasis greater than 2.0 mm</w:t>
            </w:r>
          </w:p>
        </w:tc>
      </w:tr>
      <w:tr w:rsidR="00622D9A" w:rsidRPr="00622D9A" w14:paraId="6FA2743D"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29A5268" w14:textId="77777777" w:rsidR="00DA6944" w:rsidRPr="00622D9A" w:rsidRDefault="00DA6944" w:rsidP="00F744CB">
            <w:pPr>
              <w:pStyle w:val="TableParagraph"/>
              <w:rPr>
                <w:rFonts w:ascii="Cambria" w:hAnsi="Cambria"/>
                <w:color w:val="auto"/>
              </w:rPr>
            </w:pPr>
            <w:r w:rsidRPr="00622D9A">
              <w:rPr>
                <w:rFonts w:ascii="Cambria" w:hAnsi="Cambria"/>
                <w:color w:val="auto"/>
              </w:rPr>
              <w:t>PopPK</w:t>
            </w:r>
          </w:p>
        </w:tc>
        <w:tc>
          <w:tcPr>
            <w:tcW w:w="6760" w:type="dxa"/>
          </w:tcPr>
          <w:p w14:paraId="15581821"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Population pharmacokinetics</w:t>
            </w:r>
          </w:p>
        </w:tc>
      </w:tr>
      <w:tr w:rsidR="00622D9A" w:rsidRPr="00622D9A" w14:paraId="6518044E"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46524896" w14:textId="77777777" w:rsidR="00DA6944" w:rsidRPr="00622D9A" w:rsidRDefault="00DA6944" w:rsidP="00F744CB">
            <w:pPr>
              <w:pStyle w:val="TableParagraph"/>
              <w:rPr>
                <w:rFonts w:ascii="Cambria" w:hAnsi="Cambria"/>
                <w:color w:val="auto"/>
              </w:rPr>
            </w:pPr>
            <w:r w:rsidRPr="00622D9A">
              <w:rPr>
                <w:rFonts w:ascii="Cambria" w:hAnsi="Cambria"/>
                <w:color w:val="auto"/>
              </w:rPr>
              <w:t>PR</w:t>
            </w:r>
          </w:p>
        </w:tc>
        <w:tc>
          <w:tcPr>
            <w:tcW w:w="6760" w:type="dxa"/>
          </w:tcPr>
          <w:p w14:paraId="5DB78938"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Partial response</w:t>
            </w:r>
          </w:p>
        </w:tc>
      </w:tr>
      <w:tr w:rsidR="00622D9A" w:rsidRPr="00622D9A" w14:paraId="1757B690"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56A11CE" w14:textId="77777777" w:rsidR="00DA6944" w:rsidRPr="00622D9A" w:rsidRDefault="00DA6944" w:rsidP="00F744CB">
            <w:pPr>
              <w:pStyle w:val="TableParagraph"/>
              <w:rPr>
                <w:rFonts w:ascii="Cambria" w:hAnsi="Cambria"/>
                <w:color w:val="auto"/>
              </w:rPr>
            </w:pPr>
            <w:r w:rsidRPr="00622D9A">
              <w:rPr>
                <w:rFonts w:ascii="Cambria" w:hAnsi="Cambria"/>
                <w:color w:val="auto"/>
              </w:rPr>
              <w:t>PRO</w:t>
            </w:r>
          </w:p>
        </w:tc>
        <w:tc>
          <w:tcPr>
            <w:tcW w:w="6760" w:type="dxa"/>
          </w:tcPr>
          <w:p w14:paraId="3139F423"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Patient reported outcome</w:t>
            </w:r>
          </w:p>
        </w:tc>
      </w:tr>
      <w:tr w:rsidR="00622D9A" w:rsidRPr="00622D9A" w14:paraId="5F63CA27"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B036F9B" w14:textId="77777777" w:rsidR="00DA6944" w:rsidRPr="00622D9A" w:rsidRDefault="00DA6944" w:rsidP="00F744CB">
            <w:pPr>
              <w:pStyle w:val="TableParagraph"/>
              <w:rPr>
                <w:rFonts w:ascii="Cambria" w:hAnsi="Cambria"/>
                <w:color w:val="auto"/>
              </w:rPr>
            </w:pPr>
            <w:r w:rsidRPr="00622D9A">
              <w:rPr>
                <w:rFonts w:ascii="Cambria" w:hAnsi="Cambria"/>
                <w:color w:val="auto"/>
              </w:rPr>
              <w:t>PS</w:t>
            </w:r>
          </w:p>
        </w:tc>
        <w:tc>
          <w:tcPr>
            <w:tcW w:w="6760" w:type="dxa"/>
          </w:tcPr>
          <w:p w14:paraId="6DDD571C"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Performance status</w:t>
            </w:r>
          </w:p>
        </w:tc>
      </w:tr>
      <w:tr w:rsidR="00622D9A" w:rsidRPr="00622D9A" w14:paraId="63E1C5C1"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24F131C" w14:textId="77777777" w:rsidR="00DA6944" w:rsidRPr="00622D9A" w:rsidRDefault="00DA6944" w:rsidP="00F744CB">
            <w:pPr>
              <w:pStyle w:val="TableParagraph"/>
              <w:rPr>
                <w:rFonts w:ascii="Cambria" w:hAnsi="Cambria"/>
                <w:color w:val="auto"/>
              </w:rPr>
            </w:pPr>
            <w:r w:rsidRPr="00622D9A">
              <w:rPr>
                <w:rFonts w:ascii="Cambria" w:hAnsi="Cambria"/>
                <w:color w:val="auto"/>
              </w:rPr>
              <w:lastRenderedPageBreak/>
              <w:t>PSA</w:t>
            </w:r>
          </w:p>
        </w:tc>
        <w:tc>
          <w:tcPr>
            <w:tcW w:w="6760" w:type="dxa"/>
          </w:tcPr>
          <w:p w14:paraId="7E9CE3F2"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Prostate specific antigen</w:t>
            </w:r>
          </w:p>
        </w:tc>
      </w:tr>
      <w:tr w:rsidR="00622D9A" w:rsidRPr="00622D9A" w14:paraId="081A39E0"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76C6D47" w14:textId="77777777" w:rsidR="00DA6944" w:rsidRPr="00622D9A" w:rsidRDefault="00DA6944" w:rsidP="00F744CB">
            <w:pPr>
              <w:pStyle w:val="TableParagraph"/>
              <w:rPr>
                <w:rFonts w:ascii="Cambria" w:hAnsi="Cambria"/>
                <w:color w:val="auto"/>
              </w:rPr>
            </w:pPr>
            <w:r w:rsidRPr="00622D9A">
              <w:rPr>
                <w:rFonts w:ascii="Cambria" w:hAnsi="Cambria"/>
                <w:color w:val="auto"/>
              </w:rPr>
              <w:t>PSR</w:t>
            </w:r>
          </w:p>
        </w:tc>
        <w:tc>
          <w:tcPr>
            <w:tcW w:w="6760" w:type="dxa"/>
          </w:tcPr>
          <w:p w14:paraId="45A939C6"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Platinum sensitive relapsed</w:t>
            </w:r>
          </w:p>
        </w:tc>
      </w:tr>
      <w:tr w:rsidR="00622D9A" w:rsidRPr="00622D9A" w14:paraId="01658718"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12AEACA" w14:textId="77777777" w:rsidR="00DA6944" w:rsidRPr="00622D9A" w:rsidRDefault="00DA6944" w:rsidP="00F744CB">
            <w:pPr>
              <w:pStyle w:val="TableParagraph"/>
              <w:rPr>
                <w:rFonts w:ascii="Cambria" w:hAnsi="Cambria"/>
                <w:color w:val="auto"/>
              </w:rPr>
            </w:pPr>
            <w:r w:rsidRPr="00622D9A">
              <w:rPr>
                <w:rFonts w:ascii="Cambria" w:hAnsi="Cambria"/>
                <w:color w:val="auto"/>
              </w:rPr>
              <w:t>PT</w:t>
            </w:r>
          </w:p>
        </w:tc>
        <w:tc>
          <w:tcPr>
            <w:tcW w:w="6760" w:type="dxa"/>
          </w:tcPr>
          <w:p w14:paraId="167E2BDD"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Preferred Term</w:t>
            </w:r>
          </w:p>
        </w:tc>
      </w:tr>
      <w:tr w:rsidR="00622D9A" w:rsidRPr="00622D9A" w14:paraId="08CF2F57"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EFC53F9" w14:textId="77777777" w:rsidR="00DA6944" w:rsidRPr="00622D9A" w:rsidRDefault="00DA6944" w:rsidP="00F744CB">
            <w:pPr>
              <w:pStyle w:val="TableParagraph"/>
              <w:rPr>
                <w:rFonts w:ascii="Cambria" w:hAnsi="Cambria"/>
                <w:color w:val="auto"/>
              </w:rPr>
            </w:pPr>
            <w:r w:rsidRPr="00622D9A">
              <w:rPr>
                <w:rFonts w:ascii="Cambria" w:hAnsi="Cambria"/>
                <w:color w:val="auto"/>
              </w:rPr>
              <w:t>qd</w:t>
            </w:r>
          </w:p>
        </w:tc>
        <w:tc>
          <w:tcPr>
            <w:tcW w:w="6760" w:type="dxa"/>
          </w:tcPr>
          <w:p w14:paraId="212E5066"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Once daily</w:t>
            </w:r>
          </w:p>
        </w:tc>
      </w:tr>
      <w:tr w:rsidR="00622D9A" w:rsidRPr="00622D9A" w14:paraId="34124071"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0F57C302" w14:textId="77777777" w:rsidR="00DA6944" w:rsidRPr="00622D9A" w:rsidRDefault="00DA6944" w:rsidP="00F744CB">
            <w:pPr>
              <w:pStyle w:val="TableParagraph"/>
              <w:rPr>
                <w:rFonts w:ascii="Cambria" w:hAnsi="Cambria"/>
                <w:color w:val="auto"/>
              </w:rPr>
            </w:pPr>
            <w:r w:rsidRPr="00622D9A">
              <w:rPr>
                <w:rFonts w:ascii="Cambria" w:hAnsi="Cambria"/>
                <w:color w:val="auto"/>
              </w:rPr>
              <w:t>QLC-C30</w:t>
            </w:r>
          </w:p>
        </w:tc>
        <w:tc>
          <w:tcPr>
            <w:tcW w:w="6760" w:type="dxa"/>
          </w:tcPr>
          <w:p w14:paraId="34E0EDDE"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Quality of life questionnaire core 30 item module</w:t>
            </w:r>
          </w:p>
        </w:tc>
      </w:tr>
      <w:tr w:rsidR="00622D9A" w:rsidRPr="00622D9A" w14:paraId="7808694E"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3B3F08A1" w14:textId="77777777" w:rsidR="00DA6944" w:rsidRPr="00622D9A" w:rsidRDefault="00DA6944" w:rsidP="00F744CB">
            <w:pPr>
              <w:pStyle w:val="TableParagraph"/>
              <w:rPr>
                <w:rFonts w:ascii="Cambria" w:hAnsi="Cambria"/>
                <w:color w:val="auto"/>
              </w:rPr>
            </w:pPr>
            <w:r w:rsidRPr="00622D9A">
              <w:rPr>
                <w:rFonts w:ascii="Cambria" w:hAnsi="Cambria"/>
                <w:color w:val="auto"/>
              </w:rPr>
              <w:t>QoL</w:t>
            </w:r>
          </w:p>
        </w:tc>
        <w:tc>
          <w:tcPr>
            <w:tcW w:w="6760" w:type="dxa"/>
          </w:tcPr>
          <w:p w14:paraId="7C3AD4F3"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Quality of life</w:t>
            </w:r>
          </w:p>
        </w:tc>
      </w:tr>
      <w:tr w:rsidR="00622D9A" w:rsidRPr="00622D9A" w14:paraId="110691BE"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5BCDF6D" w14:textId="77777777" w:rsidR="00DA6944" w:rsidRPr="00622D9A" w:rsidRDefault="00DA6944" w:rsidP="00F744CB">
            <w:pPr>
              <w:pStyle w:val="TableParagraph"/>
              <w:rPr>
                <w:rFonts w:ascii="Cambria" w:hAnsi="Cambria"/>
                <w:color w:val="auto"/>
              </w:rPr>
            </w:pPr>
            <w:r w:rsidRPr="00622D9A">
              <w:rPr>
                <w:rFonts w:ascii="Cambria" w:hAnsi="Cambria"/>
                <w:color w:val="auto"/>
              </w:rPr>
              <w:t>RECIST 1.1</w:t>
            </w:r>
          </w:p>
        </w:tc>
        <w:tc>
          <w:tcPr>
            <w:tcW w:w="6760" w:type="dxa"/>
          </w:tcPr>
          <w:p w14:paraId="69D44FCE"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Response Evaluation Criteria for Solid Tumours, version 1.1</w:t>
            </w:r>
          </w:p>
        </w:tc>
      </w:tr>
      <w:tr w:rsidR="00622D9A" w:rsidRPr="00622D9A" w14:paraId="1672A4FD"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4411DBD2" w14:textId="77777777" w:rsidR="00DA6944" w:rsidRPr="00622D9A" w:rsidRDefault="00DA6944" w:rsidP="00F744CB">
            <w:pPr>
              <w:pStyle w:val="TableParagraph"/>
              <w:rPr>
                <w:rFonts w:ascii="Cambria" w:hAnsi="Cambria"/>
                <w:color w:val="auto"/>
              </w:rPr>
            </w:pPr>
            <w:r w:rsidRPr="00622D9A">
              <w:rPr>
                <w:rFonts w:ascii="Cambria" w:hAnsi="Cambria"/>
                <w:color w:val="auto"/>
              </w:rPr>
              <w:t>rPFS</w:t>
            </w:r>
          </w:p>
        </w:tc>
        <w:tc>
          <w:tcPr>
            <w:tcW w:w="6760" w:type="dxa"/>
          </w:tcPr>
          <w:p w14:paraId="7C2AF129"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Radiological progression free survival</w:t>
            </w:r>
          </w:p>
        </w:tc>
      </w:tr>
      <w:tr w:rsidR="00622D9A" w:rsidRPr="00622D9A" w14:paraId="16FE6A9B"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47303163" w14:textId="77777777" w:rsidR="00DA6944" w:rsidRPr="00622D9A" w:rsidRDefault="00DA6944" w:rsidP="00F744CB">
            <w:pPr>
              <w:pStyle w:val="TableParagraph"/>
              <w:rPr>
                <w:rFonts w:ascii="Cambria" w:hAnsi="Cambria"/>
                <w:color w:val="auto"/>
              </w:rPr>
            </w:pPr>
            <w:r w:rsidRPr="00622D9A">
              <w:rPr>
                <w:rFonts w:ascii="Cambria" w:hAnsi="Cambria"/>
                <w:color w:val="auto"/>
              </w:rPr>
              <w:t>RMP</w:t>
            </w:r>
          </w:p>
        </w:tc>
        <w:tc>
          <w:tcPr>
            <w:tcW w:w="6760" w:type="dxa"/>
          </w:tcPr>
          <w:p w14:paraId="1EE374A4"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Risk Management Plan</w:t>
            </w:r>
          </w:p>
        </w:tc>
      </w:tr>
      <w:tr w:rsidR="00622D9A" w:rsidRPr="00622D9A" w14:paraId="5D8861A8"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394C8A89" w14:textId="77777777" w:rsidR="00DA6944" w:rsidRPr="00622D9A" w:rsidRDefault="00DA6944" w:rsidP="00F744CB">
            <w:pPr>
              <w:pStyle w:val="TableParagraph"/>
              <w:rPr>
                <w:rFonts w:ascii="Cambria" w:hAnsi="Cambria"/>
                <w:color w:val="auto"/>
              </w:rPr>
            </w:pPr>
            <w:r w:rsidRPr="00622D9A">
              <w:rPr>
                <w:rFonts w:ascii="Cambria" w:hAnsi="Cambria"/>
                <w:color w:val="auto"/>
              </w:rPr>
              <w:t>RMST</w:t>
            </w:r>
          </w:p>
        </w:tc>
        <w:tc>
          <w:tcPr>
            <w:tcW w:w="6760" w:type="dxa"/>
          </w:tcPr>
          <w:p w14:paraId="486B7586"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Restricted mean survival time</w:t>
            </w:r>
          </w:p>
        </w:tc>
      </w:tr>
      <w:tr w:rsidR="00622D9A" w:rsidRPr="00622D9A" w14:paraId="05705BB1"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4174AEA" w14:textId="77777777" w:rsidR="00DA6944" w:rsidRPr="00622D9A" w:rsidRDefault="00DA6944" w:rsidP="00F744CB">
            <w:pPr>
              <w:pStyle w:val="TableParagraph"/>
              <w:rPr>
                <w:rFonts w:ascii="Cambria" w:hAnsi="Cambria"/>
                <w:color w:val="auto"/>
              </w:rPr>
            </w:pPr>
            <w:r w:rsidRPr="00622D9A">
              <w:rPr>
                <w:rFonts w:ascii="Cambria" w:hAnsi="Cambria"/>
                <w:color w:val="auto"/>
              </w:rPr>
              <w:t>SAE</w:t>
            </w:r>
          </w:p>
        </w:tc>
        <w:tc>
          <w:tcPr>
            <w:tcW w:w="6760" w:type="dxa"/>
          </w:tcPr>
          <w:p w14:paraId="1CA1C788"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Serious adverse event</w:t>
            </w:r>
          </w:p>
        </w:tc>
      </w:tr>
      <w:tr w:rsidR="00622D9A" w:rsidRPr="00622D9A" w14:paraId="22DC1FA9"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427A3A04" w14:textId="77777777" w:rsidR="00DA6944" w:rsidRPr="00622D9A" w:rsidRDefault="00DA6944" w:rsidP="00F744CB">
            <w:pPr>
              <w:pStyle w:val="TableParagraph"/>
              <w:rPr>
                <w:rFonts w:ascii="Cambria" w:hAnsi="Cambria"/>
                <w:color w:val="auto"/>
              </w:rPr>
            </w:pPr>
            <w:r w:rsidRPr="00622D9A">
              <w:rPr>
                <w:rFonts w:ascii="Cambria" w:hAnsi="Cambria"/>
                <w:color w:val="auto"/>
              </w:rPr>
              <w:t>SCS</w:t>
            </w:r>
          </w:p>
        </w:tc>
        <w:tc>
          <w:tcPr>
            <w:tcW w:w="6760" w:type="dxa"/>
          </w:tcPr>
          <w:p w14:paraId="66108571"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Summary of Clinical Safety</w:t>
            </w:r>
          </w:p>
        </w:tc>
      </w:tr>
      <w:tr w:rsidR="00622D9A" w:rsidRPr="00622D9A" w14:paraId="7D93FCD0"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1B7678A" w14:textId="77777777" w:rsidR="00DA6944" w:rsidRPr="00622D9A" w:rsidRDefault="00DA6944" w:rsidP="00F744CB">
            <w:pPr>
              <w:pStyle w:val="TableParagraph"/>
              <w:rPr>
                <w:rFonts w:ascii="Cambria" w:hAnsi="Cambria"/>
                <w:color w:val="auto"/>
              </w:rPr>
            </w:pPr>
            <w:r w:rsidRPr="00622D9A">
              <w:rPr>
                <w:rFonts w:ascii="Cambria" w:hAnsi="Cambria"/>
                <w:color w:val="auto"/>
              </w:rPr>
              <w:t>SD</w:t>
            </w:r>
          </w:p>
        </w:tc>
        <w:tc>
          <w:tcPr>
            <w:tcW w:w="6760" w:type="dxa"/>
          </w:tcPr>
          <w:p w14:paraId="240C0E79"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Standard deviation</w:t>
            </w:r>
          </w:p>
        </w:tc>
      </w:tr>
      <w:tr w:rsidR="00622D9A" w:rsidRPr="00622D9A" w14:paraId="17AAFB8E"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3156B4FE" w14:textId="77777777" w:rsidR="00DA6944" w:rsidRPr="00622D9A" w:rsidRDefault="00DA6944" w:rsidP="00F744CB">
            <w:pPr>
              <w:pStyle w:val="TableParagraph"/>
              <w:rPr>
                <w:rFonts w:ascii="Cambria" w:hAnsi="Cambria"/>
                <w:color w:val="auto"/>
              </w:rPr>
            </w:pPr>
            <w:r w:rsidRPr="00622D9A">
              <w:rPr>
                <w:rFonts w:ascii="Cambria" w:hAnsi="Cambria"/>
                <w:color w:val="auto"/>
              </w:rPr>
              <w:t>SmPC</w:t>
            </w:r>
          </w:p>
        </w:tc>
        <w:tc>
          <w:tcPr>
            <w:tcW w:w="6760" w:type="dxa"/>
          </w:tcPr>
          <w:p w14:paraId="666A50CF"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Summary of Product Characteristics (EU)</w:t>
            </w:r>
          </w:p>
        </w:tc>
      </w:tr>
      <w:tr w:rsidR="00622D9A" w:rsidRPr="00622D9A" w14:paraId="7B4A08A7"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5812EB6" w14:textId="77777777" w:rsidR="00DA6944" w:rsidRPr="00622D9A" w:rsidRDefault="00DA6944" w:rsidP="00F744CB">
            <w:pPr>
              <w:pStyle w:val="TableParagraph"/>
              <w:rPr>
                <w:rFonts w:ascii="Cambria" w:hAnsi="Cambria"/>
                <w:color w:val="auto"/>
              </w:rPr>
            </w:pPr>
            <w:r w:rsidRPr="00622D9A">
              <w:rPr>
                <w:rFonts w:ascii="Cambria" w:hAnsi="Cambria"/>
                <w:color w:val="auto"/>
              </w:rPr>
              <w:t>SOC</w:t>
            </w:r>
          </w:p>
        </w:tc>
        <w:tc>
          <w:tcPr>
            <w:tcW w:w="6760" w:type="dxa"/>
          </w:tcPr>
          <w:p w14:paraId="17E9B178"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System Organ Class</w:t>
            </w:r>
          </w:p>
        </w:tc>
      </w:tr>
      <w:tr w:rsidR="00622D9A" w:rsidRPr="00622D9A" w14:paraId="507D99C2"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623AFA7B" w14:textId="77777777" w:rsidR="00DA6944" w:rsidRPr="00622D9A" w:rsidRDefault="00DA6944" w:rsidP="00F744CB">
            <w:pPr>
              <w:pStyle w:val="TableParagraph"/>
              <w:rPr>
                <w:rFonts w:ascii="Cambria" w:hAnsi="Cambria"/>
                <w:color w:val="auto"/>
              </w:rPr>
            </w:pPr>
            <w:r w:rsidRPr="00622D9A">
              <w:rPr>
                <w:rFonts w:ascii="Cambria" w:hAnsi="Cambria"/>
                <w:color w:val="auto"/>
              </w:rPr>
              <w:t>SSB</w:t>
            </w:r>
          </w:p>
        </w:tc>
        <w:tc>
          <w:tcPr>
            <w:tcW w:w="6760" w:type="dxa"/>
          </w:tcPr>
          <w:p w14:paraId="0BA83ECB"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Single strand break</w:t>
            </w:r>
          </w:p>
        </w:tc>
      </w:tr>
      <w:tr w:rsidR="00622D9A" w:rsidRPr="00622D9A" w14:paraId="73150EB0"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D80812A" w14:textId="77777777" w:rsidR="00DA6944" w:rsidRPr="00622D9A" w:rsidRDefault="00DA6944" w:rsidP="00F744CB">
            <w:pPr>
              <w:pStyle w:val="TableParagraph"/>
              <w:rPr>
                <w:rFonts w:ascii="Cambria" w:hAnsi="Cambria"/>
                <w:color w:val="auto"/>
              </w:rPr>
            </w:pPr>
            <w:r w:rsidRPr="00622D9A">
              <w:rPr>
                <w:rFonts w:ascii="Cambria" w:hAnsi="Cambria"/>
                <w:color w:val="auto"/>
              </w:rPr>
              <w:t>SSRE</w:t>
            </w:r>
          </w:p>
        </w:tc>
        <w:tc>
          <w:tcPr>
            <w:tcW w:w="6760" w:type="dxa"/>
          </w:tcPr>
          <w:p w14:paraId="45E8125B"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Symptomatic skeletal related event</w:t>
            </w:r>
          </w:p>
        </w:tc>
      </w:tr>
      <w:tr w:rsidR="00622D9A" w:rsidRPr="00622D9A" w14:paraId="519262EC"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09E169C8" w14:textId="77777777" w:rsidR="00DA6944" w:rsidRPr="00622D9A" w:rsidRDefault="00DA6944" w:rsidP="00F744CB">
            <w:pPr>
              <w:pStyle w:val="TableParagraph"/>
              <w:rPr>
                <w:rFonts w:ascii="Cambria" w:hAnsi="Cambria"/>
                <w:color w:val="auto"/>
              </w:rPr>
            </w:pPr>
            <w:r w:rsidRPr="00622D9A">
              <w:rPr>
                <w:rFonts w:ascii="Cambria" w:hAnsi="Cambria"/>
                <w:color w:val="auto"/>
              </w:rPr>
              <w:t>STEEP</w:t>
            </w:r>
          </w:p>
        </w:tc>
        <w:tc>
          <w:tcPr>
            <w:tcW w:w="6760" w:type="dxa"/>
          </w:tcPr>
          <w:p w14:paraId="27A3CA3E"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Standardised terms for efficacy endpoints</w:t>
            </w:r>
          </w:p>
        </w:tc>
      </w:tr>
      <w:tr w:rsidR="00622D9A" w:rsidRPr="00622D9A" w14:paraId="69A95381"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77E9CCA0" w14:textId="77777777" w:rsidR="00DA6944" w:rsidRPr="00622D9A" w:rsidRDefault="00DA6944" w:rsidP="00F744CB">
            <w:pPr>
              <w:pStyle w:val="TableParagraph"/>
              <w:rPr>
                <w:rFonts w:ascii="Cambria" w:hAnsi="Cambria"/>
                <w:color w:val="auto"/>
              </w:rPr>
            </w:pPr>
            <w:r w:rsidRPr="00622D9A">
              <w:rPr>
                <w:rFonts w:ascii="Cambria" w:hAnsi="Cambria"/>
                <w:color w:val="auto"/>
              </w:rPr>
              <w:t>TFST</w:t>
            </w:r>
          </w:p>
        </w:tc>
        <w:tc>
          <w:tcPr>
            <w:tcW w:w="6760" w:type="dxa"/>
          </w:tcPr>
          <w:p w14:paraId="5F5C0E9C"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Time from randomisation to start of first subsequent therapy or death</w:t>
            </w:r>
          </w:p>
        </w:tc>
      </w:tr>
      <w:tr w:rsidR="00622D9A" w:rsidRPr="00622D9A" w14:paraId="3147AE45"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1FF57E17" w14:textId="77777777" w:rsidR="00DA6944" w:rsidRPr="00622D9A" w:rsidRDefault="00DA6944" w:rsidP="00F744CB">
            <w:pPr>
              <w:pStyle w:val="TableParagraph"/>
              <w:rPr>
                <w:rFonts w:ascii="Cambria" w:hAnsi="Cambria"/>
                <w:color w:val="auto"/>
              </w:rPr>
            </w:pPr>
            <w:r w:rsidRPr="00622D9A">
              <w:rPr>
                <w:rFonts w:ascii="Cambria" w:hAnsi="Cambria"/>
                <w:color w:val="auto"/>
              </w:rPr>
              <w:t>TNBC</w:t>
            </w:r>
          </w:p>
        </w:tc>
        <w:tc>
          <w:tcPr>
            <w:tcW w:w="6760" w:type="dxa"/>
          </w:tcPr>
          <w:p w14:paraId="27F3065C"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Triple negative breast cancer</w:t>
            </w:r>
          </w:p>
        </w:tc>
      </w:tr>
      <w:tr w:rsidR="00622D9A" w:rsidRPr="00622D9A" w14:paraId="02135B39"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25F56569" w14:textId="77777777" w:rsidR="00DA6944" w:rsidRPr="00622D9A" w:rsidRDefault="00DA6944" w:rsidP="00F744CB">
            <w:pPr>
              <w:pStyle w:val="TableParagraph"/>
              <w:rPr>
                <w:rFonts w:ascii="Cambria" w:hAnsi="Cambria"/>
                <w:color w:val="auto"/>
              </w:rPr>
            </w:pPr>
            <w:r w:rsidRPr="00622D9A">
              <w:rPr>
                <w:rFonts w:ascii="Cambria" w:hAnsi="Cambria"/>
                <w:color w:val="auto"/>
              </w:rPr>
              <w:t>TSST</w:t>
            </w:r>
          </w:p>
        </w:tc>
        <w:tc>
          <w:tcPr>
            <w:tcW w:w="6760" w:type="dxa"/>
          </w:tcPr>
          <w:p w14:paraId="5240268A"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Time from randomisation to start of second subsequent therapy or death</w:t>
            </w:r>
          </w:p>
        </w:tc>
      </w:tr>
      <w:tr w:rsidR="00622D9A" w:rsidRPr="00622D9A" w14:paraId="6AD176A8"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3B9F3A14" w14:textId="77777777" w:rsidR="00DA6944" w:rsidRPr="00622D9A" w:rsidRDefault="00DA6944" w:rsidP="00F744CB">
            <w:pPr>
              <w:pStyle w:val="TableParagraph"/>
              <w:rPr>
                <w:rFonts w:ascii="Cambria" w:hAnsi="Cambria"/>
                <w:color w:val="auto"/>
              </w:rPr>
            </w:pPr>
            <w:r w:rsidRPr="00622D9A">
              <w:rPr>
                <w:rFonts w:ascii="Cambria" w:hAnsi="Cambria"/>
                <w:color w:val="auto"/>
              </w:rPr>
              <w:t>TTPP</w:t>
            </w:r>
          </w:p>
        </w:tc>
        <w:tc>
          <w:tcPr>
            <w:tcW w:w="6760" w:type="dxa"/>
          </w:tcPr>
          <w:p w14:paraId="6683D6B9"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Time to pain progression</w:t>
            </w:r>
          </w:p>
        </w:tc>
      </w:tr>
      <w:tr w:rsidR="00622D9A" w:rsidRPr="00622D9A" w14:paraId="481E76A0"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00C20A1D" w14:textId="77777777" w:rsidR="00DA6944" w:rsidRPr="00622D9A" w:rsidRDefault="00DA6944" w:rsidP="00F744CB">
            <w:pPr>
              <w:pStyle w:val="TableParagraph"/>
              <w:rPr>
                <w:rFonts w:ascii="Cambria" w:hAnsi="Cambria"/>
                <w:color w:val="auto"/>
              </w:rPr>
            </w:pPr>
            <w:r w:rsidRPr="00622D9A">
              <w:rPr>
                <w:rFonts w:ascii="Cambria" w:hAnsi="Cambria"/>
                <w:color w:val="auto"/>
              </w:rPr>
              <w:t>ULN</w:t>
            </w:r>
          </w:p>
        </w:tc>
        <w:tc>
          <w:tcPr>
            <w:tcW w:w="6760" w:type="dxa"/>
          </w:tcPr>
          <w:p w14:paraId="2F0AB069"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Upper limit of normal</w:t>
            </w:r>
          </w:p>
        </w:tc>
      </w:tr>
      <w:tr w:rsidR="00622D9A" w:rsidRPr="00622D9A" w14:paraId="51446E1B" w14:textId="77777777" w:rsidTr="008A1D19">
        <w:tc>
          <w:tcPr>
            <w:cnfStyle w:val="001000000000" w:firstRow="0" w:lastRow="0" w:firstColumn="1" w:lastColumn="0" w:oddVBand="0" w:evenVBand="0" w:oddHBand="0" w:evenHBand="0" w:firstRowFirstColumn="0" w:firstRowLastColumn="0" w:lastRowFirstColumn="0" w:lastRowLastColumn="0"/>
            <w:tcW w:w="2222" w:type="dxa"/>
          </w:tcPr>
          <w:p w14:paraId="53B9AC3B" w14:textId="77777777" w:rsidR="00DA6944" w:rsidRPr="00622D9A" w:rsidRDefault="00DA6944" w:rsidP="00F744CB">
            <w:pPr>
              <w:pStyle w:val="TableParagraph"/>
              <w:rPr>
                <w:rFonts w:ascii="Cambria" w:hAnsi="Cambria"/>
                <w:color w:val="auto"/>
              </w:rPr>
            </w:pPr>
            <w:r w:rsidRPr="00622D9A">
              <w:rPr>
                <w:rFonts w:ascii="Cambria" w:hAnsi="Cambria"/>
                <w:color w:val="auto"/>
              </w:rPr>
              <w:t>VTE</w:t>
            </w:r>
          </w:p>
        </w:tc>
        <w:tc>
          <w:tcPr>
            <w:tcW w:w="6760" w:type="dxa"/>
          </w:tcPr>
          <w:p w14:paraId="15113C56" w14:textId="77777777" w:rsidR="00DA6944" w:rsidRPr="00622D9A" w:rsidRDefault="00DA6944" w:rsidP="00F744CB">
            <w:pPr>
              <w:pStyle w:val="TableParagraph"/>
              <w:cnfStyle w:val="000000000000" w:firstRow="0" w:lastRow="0" w:firstColumn="0" w:lastColumn="0" w:oddVBand="0" w:evenVBand="0" w:oddHBand="0" w:evenHBand="0" w:firstRowFirstColumn="0" w:firstRowLastColumn="0" w:lastRowFirstColumn="0" w:lastRowLastColumn="0"/>
              <w:rPr>
                <w:rFonts w:ascii="Cambria" w:hAnsi="Cambria"/>
                <w:color w:val="auto"/>
              </w:rPr>
            </w:pPr>
            <w:r w:rsidRPr="00622D9A">
              <w:rPr>
                <w:rFonts w:ascii="Cambria" w:hAnsi="Cambria"/>
                <w:color w:val="auto"/>
              </w:rPr>
              <w:t>Venous thromboembolism</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71942652"/>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71942653"/>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642C1237" w:rsidR="00324B33" w:rsidRPr="00BD5DBD" w:rsidRDefault="00324B33" w:rsidP="007452E8">
            <w:pPr>
              <w:rPr>
                <w:i/>
                <w:szCs w:val="22"/>
              </w:rPr>
            </w:pPr>
            <w:r w:rsidRPr="00BD5DBD">
              <w:rPr>
                <w:i/>
                <w:szCs w:val="22"/>
              </w:rPr>
              <w:t>Type of submission:</w:t>
            </w:r>
          </w:p>
        </w:tc>
        <w:tc>
          <w:tcPr>
            <w:tcW w:w="3423" w:type="pct"/>
          </w:tcPr>
          <w:p w14:paraId="4F07C303" w14:textId="7D531137" w:rsidR="00324B33" w:rsidRPr="00BD5DBD" w:rsidRDefault="00142254" w:rsidP="007452E8">
            <w:pPr>
              <w:rPr>
                <w:szCs w:val="22"/>
              </w:rPr>
            </w:pPr>
            <w:bookmarkStart w:id="11" w:name="_Hlk173239290"/>
            <w:r>
              <w:rPr>
                <w:szCs w:val="22"/>
              </w:rPr>
              <w:t>Extension of indication</w:t>
            </w:r>
            <w:bookmarkEnd w:id="11"/>
          </w:p>
        </w:tc>
      </w:tr>
      <w:tr w:rsidR="00324B33" w:rsidRPr="00BD5DBD" w14:paraId="13482B61" w14:textId="77777777" w:rsidTr="00F865A7">
        <w:tc>
          <w:tcPr>
            <w:tcW w:w="1577" w:type="pct"/>
          </w:tcPr>
          <w:p w14:paraId="2C427FCF" w14:textId="09C3B72D" w:rsidR="00324B33" w:rsidRPr="00BD5DBD" w:rsidRDefault="00324B33" w:rsidP="007452E8">
            <w:pPr>
              <w:rPr>
                <w:i/>
                <w:szCs w:val="22"/>
              </w:rPr>
            </w:pPr>
            <w:r w:rsidRPr="00BD5DBD">
              <w:rPr>
                <w:i/>
                <w:szCs w:val="22"/>
              </w:rPr>
              <w:t>Product name:</w:t>
            </w:r>
          </w:p>
        </w:tc>
        <w:tc>
          <w:tcPr>
            <w:tcW w:w="3423" w:type="pct"/>
          </w:tcPr>
          <w:p w14:paraId="0E2DEF76" w14:textId="4B4E4626" w:rsidR="00324B33" w:rsidRPr="00BD5DBD" w:rsidRDefault="001A10EC" w:rsidP="007452E8">
            <w:pPr>
              <w:rPr>
                <w:szCs w:val="22"/>
              </w:rPr>
            </w:pPr>
            <w:r>
              <w:rPr>
                <w:szCs w:val="22"/>
              </w:rPr>
              <w:t>Lynparza</w:t>
            </w:r>
          </w:p>
        </w:tc>
      </w:tr>
      <w:tr w:rsidR="00324B33" w:rsidRPr="00BD5DBD" w14:paraId="01255B5B" w14:textId="77777777" w:rsidTr="00F865A7">
        <w:tc>
          <w:tcPr>
            <w:tcW w:w="1577" w:type="pct"/>
          </w:tcPr>
          <w:p w14:paraId="52B4F3D7" w14:textId="08F88799" w:rsidR="00324B33" w:rsidRPr="00BD5DBD" w:rsidRDefault="00324B33" w:rsidP="007452E8">
            <w:pPr>
              <w:rPr>
                <w:i/>
                <w:szCs w:val="22"/>
              </w:rPr>
            </w:pPr>
            <w:r w:rsidRPr="00BD5DBD">
              <w:rPr>
                <w:i/>
                <w:szCs w:val="22"/>
              </w:rPr>
              <w:t>Active ingredient:</w:t>
            </w:r>
          </w:p>
        </w:tc>
        <w:tc>
          <w:tcPr>
            <w:tcW w:w="3423" w:type="pct"/>
          </w:tcPr>
          <w:p w14:paraId="02FB6383" w14:textId="00667E54" w:rsidR="00324B33" w:rsidRPr="00BD5DBD" w:rsidRDefault="000B2E8A" w:rsidP="007452E8">
            <w:pPr>
              <w:rPr>
                <w:szCs w:val="22"/>
              </w:rPr>
            </w:pPr>
            <w:r>
              <w:rPr>
                <w:szCs w:val="22"/>
              </w:rPr>
              <w:t>Olaparib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1BBC81A"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82CD1B3" w:rsidR="00AE1947" w:rsidRPr="00BD5DBD" w:rsidRDefault="00AE1947" w:rsidP="00C018DE">
            <w:r w:rsidRPr="00BD5DBD">
              <w:rPr>
                <w:i/>
                <w:szCs w:val="22"/>
              </w:rPr>
              <w:t>Date of decision:</w:t>
            </w:r>
          </w:p>
        </w:tc>
        <w:tc>
          <w:tcPr>
            <w:tcW w:w="3423" w:type="pct"/>
          </w:tcPr>
          <w:p w14:paraId="7B381CD6" w14:textId="795F7651" w:rsidR="00AE1947" w:rsidRPr="00BD5DBD" w:rsidRDefault="000B2E8A" w:rsidP="00602658">
            <w:pPr>
              <w:rPr>
                <w:szCs w:val="22"/>
              </w:rPr>
            </w:pPr>
            <w:r>
              <w:rPr>
                <w:szCs w:val="22"/>
              </w:rPr>
              <w:t>29 September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4176BE7E" w:rsidR="00324B33" w:rsidRPr="00BD5DBD" w:rsidRDefault="000B2E8A" w:rsidP="007452E8">
            <w:pPr>
              <w:rPr>
                <w:szCs w:val="22"/>
              </w:rPr>
            </w:pPr>
            <w:r>
              <w:rPr>
                <w:szCs w:val="22"/>
              </w:rPr>
              <w:t>5 October 202</w:t>
            </w:r>
            <w:r w:rsidR="0034236C">
              <w:rPr>
                <w:szCs w:val="22"/>
              </w:rPr>
              <w:t>3</w:t>
            </w:r>
          </w:p>
        </w:tc>
      </w:tr>
      <w:tr w:rsidR="00324B33" w:rsidRPr="00BD5DBD" w14:paraId="547E08D7" w14:textId="77777777" w:rsidTr="00F865A7">
        <w:tc>
          <w:tcPr>
            <w:tcW w:w="1577" w:type="pct"/>
          </w:tcPr>
          <w:p w14:paraId="5030EF30" w14:textId="3F2272D4" w:rsidR="00324B33" w:rsidRPr="00BD5DBD" w:rsidRDefault="00324B33" w:rsidP="007452E8">
            <w:pPr>
              <w:rPr>
                <w:i/>
                <w:szCs w:val="22"/>
              </w:rPr>
            </w:pPr>
            <w:r w:rsidRPr="00BD5DBD">
              <w:rPr>
                <w:i/>
                <w:szCs w:val="22"/>
              </w:rPr>
              <w:t>ARTG numbers</w:t>
            </w:r>
            <w:r w:rsidR="0034236C">
              <w:rPr>
                <w:i/>
                <w:szCs w:val="22"/>
              </w:rPr>
              <w:t xml:space="preserve"> </w:t>
            </w:r>
            <w:r w:rsidR="0034236C" w:rsidRPr="00BD5DBD">
              <w:rPr>
                <w:i/>
                <w:szCs w:val="22"/>
              </w:rPr>
              <w:t>:</w:t>
            </w:r>
          </w:p>
        </w:tc>
        <w:tc>
          <w:tcPr>
            <w:tcW w:w="3423" w:type="pct"/>
          </w:tcPr>
          <w:p w14:paraId="0054E912" w14:textId="2AE92AEF" w:rsidR="00324B33" w:rsidRPr="00BD5DBD" w:rsidRDefault="00B4154C" w:rsidP="007452E8">
            <w:pPr>
              <w:rPr>
                <w:szCs w:val="22"/>
              </w:rPr>
            </w:pPr>
            <w:r>
              <w:rPr>
                <w:szCs w:val="22"/>
              </w:rPr>
              <w:t>288613, 288614</w:t>
            </w:r>
          </w:p>
        </w:tc>
      </w:tr>
      <w:tr w:rsidR="00324B33" w:rsidRPr="00BD5DBD" w14:paraId="7618393F" w14:textId="77777777" w:rsidTr="00F865A7">
        <w:tc>
          <w:tcPr>
            <w:tcW w:w="1577" w:type="pct"/>
          </w:tcPr>
          <w:p w14:paraId="02260DE2" w14:textId="6DEDB733" w:rsidR="00324B33" w:rsidRPr="00BD5DBD" w:rsidRDefault="00324B33" w:rsidP="007452E8">
            <w:pPr>
              <w:rPr>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tc>
        <w:tc>
          <w:tcPr>
            <w:tcW w:w="3423" w:type="pct"/>
          </w:tcPr>
          <w:p w14:paraId="6FF3C6A2" w14:textId="4440197A" w:rsidR="00324B33" w:rsidRPr="00BD5DBD" w:rsidRDefault="00531174" w:rsidP="007452E8">
            <w:pPr>
              <w:rPr>
                <w:szCs w:val="22"/>
              </w:rPr>
            </w:pPr>
            <w:r>
              <w:rPr>
                <w:szCs w:val="22"/>
              </w:rPr>
              <w:t>No</w:t>
            </w:r>
          </w:p>
        </w:tc>
      </w:tr>
      <w:tr w:rsidR="00324B33" w:rsidRPr="00BD5DBD" w14:paraId="179E09FE" w14:textId="77777777" w:rsidTr="00F865A7">
        <w:tc>
          <w:tcPr>
            <w:tcW w:w="1577" w:type="pct"/>
          </w:tcPr>
          <w:p w14:paraId="1A592498" w14:textId="539A02CE" w:rsidR="00324B33" w:rsidRPr="00BD5DBD" w:rsidRDefault="00AB2FB8" w:rsidP="007452E8">
            <w:pPr>
              <w:rPr>
                <w:i/>
                <w:szCs w:val="22"/>
              </w:rPr>
            </w:pPr>
            <w:r>
              <w:rPr>
                <w:i/>
                <w:szCs w:val="22"/>
              </w:rPr>
              <w:t>S</w:t>
            </w:r>
            <w:r w:rsidR="00CD546E">
              <w:rPr>
                <w:i/>
                <w:szCs w:val="22"/>
              </w:rPr>
              <w:t>ponsor</w:t>
            </w:r>
            <w:r w:rsidR="00324B33" w:rsidRPr="00BD5DBD">
              <w:rPr>
                <w:i/>
                <w:szCs w:val="22"/>
              </w:rPr>
              <w:t>’s name and address:</w:t>
            </w:r>
          </w:p>
        </w:tc>
        <w:tc>
          <w:tcPr>
            <w:tcW w:w="3423" w:type="pct"/>
          </w:tcPr>
          <w:p w14:paraId="68DD94B0" w14:textId="67B64185" w:rsidR="00324B33" w:rsidRPr="00BD5DBD" w:rsidRDefault="00531174" w:rsidP="007452E8">
            <w:pPr>
              <w:rPr>
                <w:szCs w:val="22"/>
              </w:rPr>
            </w:pPr>
            <w:r>
              <w:t>AstraZeneca Pty Ltd, PO Box 131, NORTH RYDE, NSW, 1670 Australia</w:t>
            </w:r>
          </w:p>
        </w:tc>
      </w:tr>
      <w:tr w:rsidR="00324B33" w:rsidRPr="00BD5DBD" w14:paraId="5322B989" w14:textId="77777777" w:rsidTr="00F865A7">
        <w:tc>
          <w:tcPr>
            <w:tcW w:w="1577" w:type="pct"/>
          </w:tcPr>
          <w:p w14:paraId="24F217E3" w14:textId="566A8C99" w:rsidR="00324B33" w:rsidRPr="00BD5DBD" w:rsidRDefault="00324B33" w:rsidP="007452E8">
            <w:pPr>
              <w:rPr>
                <w:i/>
                <w:szCs w:val="22"/>
              </w:rPr>
            </w:pPr>
            <w:r w:rsidRPr="00BD5DBD">
              <w:rPr>
                <w:i/>
                <w:szCs w:val="22"/>
              </w:rPr>
              <w:t>Dose form:</w:t>
            </w:r>
          </w:p>
        </w:tc>
        <w:tc>
          <w:tcPr>
            <w:tcW w:w="3423" w:type="pct"/>
          </w:tcPr>
          <w:p w14:paraId="768B254C" w14:textId="0B59AAB0" w:rsidR="00324B33" w:rsidRPr="00BD5DBD" w:rsidRDefault="00531174" w:rsidP="007452E8">
            <w:pPr>
              <w:rPr>
                <w:szCs w:val="22"/>
              </w:rPr>
            </w:pPr>
            <w:r>
              <w:rPr>
                <w:szCs w:val="22"/>
              </w:rPr>
              <w:t>Tablet, film coated</w:t>
            </w:r>
          </w:p>
        </w:tc>
      </w:tr>
      <w:tr w:rsidR="00324B33" w:rsidRPr="00BD5DBD" w14:paraId="115243E6" w14:textId="77777777" w:rsidTr="00F865A7">
        <w:tc>
          <w:tcPr>
            <w:tcW w:w="1577" w:type="pct"/>
          </w:tcPr>
          <w:p w14:paraId="7634B062" w14:textId="41506DE0" w:rsidR="00324B33" w:rsidRPr="00BD5DBD" w:rsidRDefault="00324B33" w:rsidP="007452E8">
            <w:pPr>
              <w:rPr>
                <w:i/>
                <w:szCs w:val="22"/>
              </w:rPr>
            </w:pPr>
            <w:r w:rsidRPr="00BD5DBD">
              <w:rPr>
                <w:i/>
                <w:szCs w:val="22"/>
              </w:rPr>
              <w:t>Strengths:</w:t>
            </w:r>
          </w:p>
        </w:tc>
        <w:tc>
          <w:tcPr>
            <w:tcW w:w="3423" w:type="pct"/>
          </w:tcPr>
          <w:p w14:paraId="5E5F83DB" w14:textId="4CAD864A" w:rsidR="00324B33" w:rsidRPr="00BD5DBD" w:rsidRDefault="003E4AA2" w:rsidP="007452E8">
            <w:pPr>
              <w:rPr>
                <w:szCs w:val="22"/>
              </w:rPr>
            </w:pPr>
            <w:r>
              <w:rPr>
                <w:szCs w:val="22"/>
              </w:rPr>
              <w:t xml:space="preserve">100 mg, </w:t>
            </w:r>
            <w:r w:rsidR="001C737B">
              <w:rPr>
                <w:szCs w:val="22"/>
              </w:rPr>
              <w:t>150 mg</w:t>
            </w:r>
          </w:p>
        </w:tc>
      </w:tr>
      <w:tr w:rsidR="00324B33" w:rsidRPr="00BD5DBD" w14:paraId="34B07BA6" w14:textId="77777777" w:rsidTr="00F865A7">
        <w:tc>
          <w:tcPr>
            <w:tcW w:w="1577" w:type="pct"/>
          </w:tcPr>
          <w:p w14:paraId="1C039224" w14:textId="45940723" w:rsidR="00324B33" w:rsidRPr="00BD5DBD" w:rsidRDefault="00324B33" w:rsidP="007452E8">
            <w:pPr>
              <w:rPr>
                <w:i/>
                <w:szCs w:val="22"/>
              </w:rPr>
            </w:pPr>
            <w:r w:rsidRPr="00BD5DBD">
              <w:rPr>
                <w:i/>
                <w:szCs w:val="22"/>
              </w:rPr>
              <w:t>Container:</w:t>
            </w:r>
          </w:p>
        </w:tc>
        <w:tc>
          <w:tcPr>
            <w:tcW w:w="3423" w:type="pct"/>
          </w:tcPr>
          <w:p w14:paraId="500A42C6" w14:textId="1346C7B2" w:rsidR="00324B33" w:rsidRPr="00BD5DBD" w:rsidRDefault="003E4AA2" w:rsidP="007452E8">
            <w:pPr>
              <w:rPr>
                <w:szCs w:val="22"/>
              </w:rPr>
            </w:pPr>
            <w:r>
              <w:rPr>
                <w:szCs w:val="22"/>
              </w:rPr>
              <w:t>Blister pack</w:t>
            </w:r>
          </w:p>
        </w:tc>
      </w:tr>
      <w:tr w:rsidR="00324B33" w:rsidRPr="00BD5DBD" w14:paraId="176B6773" w14:textId="77777777" w:rsidTr="00F865A7">
        <w:tc>
          <w:tcPr>
            <w:tcW w:w="1577" w:type="pct"/>
          </w:tcPr>
          <w:p w14:paraId="71846159" w14:textId="5AE29E9B" w:rsidR="00324B33" w:rsidRPr="00BD5DBD" w:rsidRDefault="00324B33" w:rsidP="007452E8">
            <w:pPr>
              <w:rPr>
                <w:i/>
                <w:szCs w:val="22"/>
              </w:rPr>
            </w:pPr>
            <w:r w:rsidRPr="00BD5DBD">
              <w:rPr>
                <w:i/>
                <w:szCs w:val="22"/>
              </w:rPr>
              <w:t>Pack size:</w:t>
            </w:r>
          </w:p>
        </w:tc>
        <w:tc>
          <w:tcPr>
            <w:tcW w:w="3423" w:type="pct"/>
          </w:tcPr>
          <w:p w14:paraId="7E978F8F" w14:textId="137F4126" w:rsidR="00324B33" w:rsidRPr="00BD5DBD" w:rsidRDefault="003E4AA2" w:rsidP="007452E8">
            <w:pPr>
              <w:rPr>
                <w:szCs w:val="22"/>
              </w:rPr>
            </w:pPr>
            <w:r>
              <w:rPr>
                <w:szCs w:val="22"/>
              </w:rPr>
              <w:t xml:space="preserve">56 </w:t>
            </w:r>
          </w:p>
        </w:tc>
      </w:tr>
      <w:tr w:rsidR="00324B33" w:rsidRPr="00BD5DBD" w14:paraId="19A2544A" w14:textId="77777777" w:rsidTr="00F865A7">
        <w:tc>
          <w:tcPr>
            <w:tcW w:w="1577" w:type="pct"/>
          </w:tcPr>
          <w:p w14:paraId="0E6C5C0E" w14:textId="63518095" w:rsidR="00324B33" w:rsidRPr="00BD5DBD" w:rsidRDefault="0034236C" w:rsidP="007452E8">
            <w:pPr>
              <w:rPr>
                <w:i/>
                <w:szCs w:val="22"/>
              </w:rPr>
            </w:pPr>
            <w:r>
              <w:rPr>
                <w:i/>
                <w:szCs w:val="22"/>
              </w:rPr>
              <w:t>Proposed new indications</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00324B33" w:rsidRPr="00BD5DBD">
              <w:rPr>
                <w:i/>
                <w:szCs w:val="22"/>
              </w:rPr>
              <w:t>:</w:t>
            </w:r>
          </w:p>
        </w:tc>
        <w:tc>
          <w:tcPr>
            <w:tcW w:w="3423" w:type="pct"/>
          </w:tcPr>
          <w:p w14:paraId="456F5DF2" w14:textId="77777777" w:rsidR="00CA1C09" w:rsidRDefault="00CA1C09" w:rsidP="00CA1C09">
            <w:pPr>
              <w:autoSpaceDE w:val="0"/>
              <w:autoSpaceDN w:val="0"/>
              <w:adjustRightInd w:val="0"/>
              <w:spacing w:after="0" w:line="240" w:lineRule="auto"/>
              <w:rPr>
                <w:rFonts w:ascii="Cambria-BoldItalic" w:hAnsi="Cambria-BoldItalic" w:cs="Cambria-BoldItalic"/>
                <w:b/>
                <w:bCs/>
                <w:i/>
                <w:iCs/>
                <w:szCs w:val="22"/>
              </w:rPr>
            </w:pPr>
            <w:r>
              <w:rPr>
                <w:rFonts w:ascii="Cambria-BoldItalic" w:hAnsi="Cambria-BoldItalic" w:cs="Cambria-BoldItalic"/>
                <w:b/>
                <w:bCs/>
                <w:i/>
                <w:iCs/>
                <w:szCs w:val="22"/>
              </w:rPr>
              <w:t>Breast cancer</w:t>
            </w:r>
          </w:p>
          <w:p w14:paraId="77E99A91" w14:textId="586D00AB" w:rsidR="00CA1C09" w:rsidRDefault="001A10EC" w:rsidP="00CA1C09">
            <w:pPr>
              <w:autoSpaceDE w:val="0"/>
              <w:autoSpaceDN w:val="0"/>
              <w:adjustRightInd w:val="0"/>
              <w:spacing w:after="0" w:line="240" w:lineRule="auto"/>
              <w:rPr>
                <w:rFonts w:ascii="Cambria-Italic" w:hAnsi="Cambria-Italic" w:cs="Cambria-Italic"/>
                <w:i/>
                <w:iCs/>
                <w:szCs w:val="22"/>
              </w:rPr>
            </w:pPr>
            <w:r>
              <w:rPr>
                <w:rFonts w:ascii="Cambria-Italic" w:hAnsi="Cambria-Italic" w:cs="Cambria-Italic"/>
                <w:i/>
                <w:iCs/>
                <w:szCs w:val="22"/>
              </w:rPr>
              <w:t>Lynparza</w:t>
            </w:r>
            <w:r w:rsidR="00CA1C09">
              <w:rPr>
                <w:rFonts w:ascii="Cambria-Italic" w:hAnsi="Cambria-Italic" w:cs="Cambria-Italic"/>
                <w:i/>
                <w:iCs/>
                <w:szCs w:val="22"/>
              </w:rPr>
              <w:t xml:space="preserve"> is indicated as monotherapy for </w:t>
            </w:r>
            <w:r w:rsidR="00FD24E8">
              <w:rPr>
                <w:rFonts w:ascii="Cambria-Italic" w:hAnsi="Cambria-Italic" w:cs="Cambria-Italic"/>
                <w:i/>
                <w:iCs/>
                <w:szCs w:val="22"/>
              </w:rPr>
              <w:t>the adjuvant</w:t>
            </w:r>
            <w:r w:rsidR="00CA1C09">
              <w:rPr>
                <w:rFonts w:ascii="Cambria-Italic" w:hAnsi="Cambria-Italic" w:cs="Cambria-Italic"/>
                <w:i/>
                <w:iCs/>
                <w:szCs w:val="22"/>
              </w:rPr>
              <w:t xml:space="preserve"> treatment of adult patients who have HER2-negative, high-risk early breast cancer with a deleterious or suspected deleterious </w:t>
            </w:r>
            <w:bookmarkStart w:id="12" w:name="_Hlk168999521"/>
            <w:r w:rsidR="00CA1C09">
              <w:rPr>
                <w:rFonts w:ascii="Cambria-Italic" w:hAnsi="Cambria-Italic" w:cs="Cambria-Italic"/>
                <w:i/>
                <w:iCs/>
                <w:szCs w:val="22"/>
              </w:rPr>
              <w:t>germline BRCA mutation (gBRCAm)</w:t>
            </w:r>
            <w:bookmarkEnd w:id="12"/>
            <w:r w:rsidR="00CA1C09">
              <w:rPr>
                <w:rFonts w:ascii="Cambria-Italic" w:hAnsi="Cambria-Italic" w:cs="Cambria-Italic"/>
                <w:i/>
                <w:iCs/>
                <w:szCs w:val="22"/>
              </w:rPr>
              <w:t>, for which they have previously been treated with neoadjuvant or adjuvant chemotherapy.</w:t>
            </w:r>
          </w:p>
          <w:p w14:paraId="57DBA8C2" w14:textId="77777777" w:rsidR="00CA1C09" w:rsidRDefault="00CA1C09" w:rsidP="00CA1C09">
            <w:pPr>
              <w:autoSpaceDE w:val="0"/>
              <w:autoSpaceDN w:val="0"/>
              <w:adjustRightInd w:val="0"/>
              <w:spacing w:after="0" w:line="240" w:lineRule="auto"/>
              <w:rPr>
                <w:rFonts w:ascii="Cambria-BoldItalic" w:hAnsi="Cambria-BoldItalic" w:cs="Cambria-BoldItalic"/>
                <w:b/>
                <w:bCs/>
                <w:i/>
                <w:iCs/>
                <w:szCs w:val="22"/>
              </w:rPr>
            </w:pPr>
            <w:r>
              <w:rPr>
                <w:rFonts w:ascii="Cambria-BoldItalic" w:hAnsi="Cambria-BoldItalic" w:cs="Cambria-BoldItalic"/>
                <w:b/>
                <w:bCs/>
                <w:i/>
                <w:iCs/>
                <w:szCs w:val="22"/>
              </w:rPr>
              <w:t>Prostate cancer</w:t>
            </w:r>
          </w:p>
          <w:p w14:paraId="6E143E2E" w14:textId="456F9C4A" w:rsidR="00436763" w:rsidRPr="00BD5DBD" w:rsidRDefault="001A10EC" w:rsidP="008A1D19">
            <w:pPr>
              <w:autoSpaceDE w:val="0"/>
              <w:autoSpaceDN w:val="0"/>
              <w:adjustRightInd w:val="0"/>
              <w:spacing w:after="0" w:line="240" w:lineRule="auto"/>
              <w:rPr>
                <w:szCs w:val="22"/>
              </w:rPr>
            </w:pPr>
            <w:r>
              <w:rPr>
                <w:rFonts w:ascii="Cambria-Italic" w:hAnsi="Cambria-Italic" w:cs="Cambria-Italic"/>
                <w:i/>
                <w:iCs/>
                <w:szCs w:val="22"/>
              </w:rPr>
              <w:t>Lynparza</w:t>
            </w:r>
            <w:r w:rsidR="00CA1C09">
              <w:rPr>
                <w:rFonts w:ascii="Cambria-Italic" w:hAnsi="Cambria-Italic" w:cs="Cambria-Italic"/>
                <w:i/>
                <w:iCs/>
                <w:szCs w:val="22"/>
              </w:rPr>
              <w:t xml:space="preserve"> in combination with abiraterone and either prednisone or prednisolone is indicated for the</w:t>
            </w:r>
            <w:r w:rsidR="00CA1C09">
              <w:rPr>
                <w:rFonts w:ascii="SymbolMT" w:hAnsi="SymbolMT" w:cs="SymbolMT"/>
                <w:szCs w:val="22"/>
              </w:rPr>
              <w:t xml:space="preserve"> </w:t>
            </w:r>
            <w:r w:rsidR="00CA1C09">
              <w:rPr>
                <w:rFonts w:ascii="Cambria-Italic" w:hAnsi="Cambria-Italic" w:cs="Cambria-Italic"/>
                <w:i/>
                <w:iCs/>
                <w:szCs w:val="22"/>
              </w:rPr>
              <w:t>treatment of adult patients who have mCRPC with a deleterious or suspected deleterious BRCA mutation (germline or somatic).</w:t>
            </w:r>
          </w:p>
        </w:tc>
      </w:tr>
      <w:tr w:rsidR="00324B33" w:rsidRPr="00BD5DBD" w14:paraId="5AFDEED3" w14:textId="77777777" w:rsidTr="00F865A7">
        <w:tc>
          <w:tcPr>
            <w:tcW w:w="1577" w:type="pct"/>
          </w:tcPr>
          <w:p w14:paraId="03884BD1" w14:textId="170111F2" w:rsidR="00324B33" w:rsidRPr="00BD5DBD" w:rsidRDefault="00324B33" w:rsidP="007452E8">
            <w:pPr>
              <w:rPr>
                <w:i/>
                <w:szCs w:val="22"/>
              </w:rPr>
            </w:pPr>
            <w:r w:rsidRPr="00BD5DBD">
              <w:rPr>
                <w:i/>
                <w:szCs w:val="22"/>
              </w:rPr>
              <w:t>Route of administration:</w:t>
            </w:r>
          </w:p>
        </w:tc>
        <w:tc>
          <w:tcPr>
            <w:tcW w:w="3423" w:type="pct"/>
          </w:tcPr>
          <w:p w14:paraId="1ED1357E" w14:textId="6E4245CE" w:rsidR="00324B33" w:rsidRPr="00BD5DBD" w:rsidRDefault="00CA1C09"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0769CCA7" w:rsidR="00666911" w:rsidRDefault="0060242C" w:rsidP="0060242C">
            <w:pPr>
              <w:rPr>
                <w:szCs w:val="22"/>
              </w:rPr>
            </w:pPr>
            <w:r w:rsidRPr="0060242C">
              <w:rPr>
                <w:szCs w:val="22"/>
              </w:rPr>
              <w:t xml:space="preserve">The recommended dose of </w:t>
            </w:r>
            <w:r w:rsidR="001A10EC">
              <w:rPr>
                <w:szCs w:val="22"/>
              </w:rPr>
              <w:t>Lynparza</w:t>
            </w:r>
            <w:r w:rsidRPr="0060242C">
              <w:rPr>
                <w:szCs w:val="22"/>
              </w:rPr>
              <w:t xml:space="preserve"> (whether as </w:t>
            </w:r>
            <w:r>
              <w:rPr>
                <w:szCs w:val="22"/>
              </w:rPr>
              <w:t>m</w:t>
            </w:r>
            <w:r w:rsidRPr="0060242C">
              <w:rPr>
                <w:szCs w:val="22"/>
              </w:rPr>
              <w:t>onotherapy or in combination) is 300 mg</w:t>
            </w:r>
            <w:r>
              <w:rPr>
                <w:szCs w:val="22"/>
              </w:rPr>
              <w:t xml:space="preserve"> </w:t>
            </w:r>
            <w:r w:rsidRPr="0060242C">
              <w:rPr>
                <w:szCs w:val="22"/>
              </w:rPr>
              <w:t>twice a day, taken orally.</w:t>
            </w:r>
          </w:p>
          <w:p w14:paraId="3D0B2D5C" w14:textId="4B3787E0"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 xml:space="preserve">refer to the </w:t>
            </w:r>
            <w:hyperlink r:id="rId16" w:history="1">
              <w:r w:rsidR="00776D01">
                <w:rPr>
                  <w:rStyle w:val="Hyperlink"/>
                  <w:szCs w:val="22"/>
                </w:rPr>
                <w:t>Product Information</w:t>
              </w:r>
            </w:hyperlink>
            <w:r w:rsidRPr="00BD5DBD">
              <w:rPr>
                <w:szCs w:val="22"/>
              </w:rPr>
              <w:t>.</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26DF3A8E" w14:textId="5CD62809" w:rsidR="002C54FE" w:rsidRDefault="002C54FE" w:rsidP="007967C3">
            <w:r>
              <w:t>D</w:t>
            </w:r>
          </w:p>
          <w:p w14:paraId="7AF9DA6D" w14:textId="2C64814E" w:rsidR="0070330F" w:rsidRPr="007967C3" w:rsidRDefault="0069508E" w:rsidP="007967C3">
            <w:r w:rsidRPr="0069508E">
              <w:t>Drugs which have caused, are suspected to have caused or may be expected to cause, an increased incidence of human fetal malformations or irreversible damage. These drugs may also have adverse pharmacological effects.</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7" w:history="1">
              <w:r w:rsidR="00721059" w:rsidRPr="00065FDF">
                <w:rPr>
                  <w:rStyle w:val="Hyperlink"/>
                  <w:szCs w:val="22"/>
                </w:rPr>
                <w:t>pregnancy database</w:t>
              </w:r>
            </w:hyperlink>
            <w:r w:rsidR="00387984">
              <w:t xml:space="preserve"> </w:t>
            </w:r>
            <w:r w:rsidRPr="00BD5DBD">
              <w:rPr>
                <w:szCs w:val="22"/>
              </w:rPr>
              <w:t xml:space="preserve">must not be used as the </w:t>
            </w:r>
            <w:r w:rsidRPr="00BD5DBD">
              <w:rPr>
                <w:szCs w:val="22"/>
              </w:rPr>
              <w:lastRenderedPageBreak/>
              <w:t xml:space="preserve">sole basis of decision making in the use of medicines during pregnancy. The TGA does not provide advice on the use of medicines in pregnancy for specific cases. More information is available from </w:t>
            </w:r>
            <w:hyperlink r:id="rId18"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3" w:name="_Toc247691503"/>
      <w:bookmarkStart w:id="14" w:name="_Toc314842484"/>
      <w:bookmarkStart w:id="15" w:name="_Toc103679290"/>
      <w:bookmarkStart w:id="16" w:name="_Toc171942654"/>
      <w:r>
        <w:lastRenderedPageBreak/>
        <w:t>Product background</w:t>
      </w:r>
      <w:bookmarkEnd w:id="13"/>
      <w:bookmarkEnd w:id="14"/>
      <w:bookmarkEnd w:id="15"/>
      <w:bookmarkEnd w:id="16"/>
    </w:p>
    <w:p w14:paraId="59BF31D1" w14:textId="34776AF3" w:rsidR="001500A8" w:rsidRDefault="00324B33" w:rsidP="00065839">
      <w:r w:rsidRPr="00065839">
        <w:t xml:space="preserve">This AusPAR describes the submission by </w:t>
      </w:r>
      <w:r w:rsidR="00900675">
        <w:t xml:space="preserve">AstraZeneca Pty Ltd </w:t>
      </w:r>
      <w:r w:rsidRPr="00065839">
        <w:t xml:space="preserve">(the sponsor) to register </w:t>
      </w:r>
      <w:r w:rsidR="001A10EC">
        <w:t>Lynparza</w:t>
      </w:r>
      <w:r w:rsidR="00900675">
        <w:t xml:space="preserve"> (olaparib) </w:t>
      </w:r>
      <w:r w:rsidRPr="00065839">
        <w:t>for the following proposed extension of indications:</w:t>
      </w:r>
      <w:r w:rsidR="00D63760" w:rsidRPr="00065839">
        <w:rPr>
          <w:vertAlign w:val="superscript"/>
        </w:rPr>
        <w:footnoteReference w:id="1"/>
      </w:r>
    </w:p>
    <w:p w14:paraId="0BC3F0AD" w14:textId="7D8D8A12" w:rsidR="005A0AF2" w:rsidRDefault="005A0AF2" w:rsidP="00583A23">
      <w:pPr>
        <w:pStyle w:val="Indication"/>
      </w:pPr>
      <w:r w:rsidRPr="005A0AF2">
        <w:t>Breast cancer</w:t>
      </w:r>
      <w:r w:rsidR="00FD24E8">
        <w:t>:</w:t>
      </w:r>
      <w:r w:rsidRPr="005A0AF2">
        <w:t xml:space="preserve"> for </w:t>
      </w:r>
      <w:r w:rsidR="00FD24E8" w:rsidRPr="005A0AF2">
        <w:t>the adjuvant</w:t>
      </w:r>
      <w:r w:rsidRPr="005A0AF2">
        <w:t xml:space="preserve"> treatment of adult patients with BRCA-mutated HER2-negative high risk early</w:t>
      </w:r>
      <w:r>
        <w:t xml:space="preserve"> </w:t>
      </w:r>
      <w:r w:rsidRPr="005A0AF2">
        <w:t>breast cancer who have previously been treated with neoadjuvant or adjuvant chemotherapy</w:t>
      </w:r>
      <w:r>
        <w:t xml:space="preserve"> </w:t>
      </w:r>
    </w:p>
    <w:p w14:paraId="67D24A67" w14:textId="77777777" w:rsidR="001A10EC" w:rsidRDefault="001A10EC" w:rsidP="00583A23">
      <w:pPr>
        <w:pStyle w:val="Indication"/>
      </w:pPr>
    </w:p>
    <w:p w14:paraId="66D1E85D" w14:textId="7E4CEAA2" w:rsidR="005A0AF2" w:rsidRPr="005A0AF2" w:rsidRDefault="005A0AF2" w:rsidP="00583A23">
      <w:pPr>
        <w:pStyle w:val="Indication"/>
      </w:pPr>
      <w:r w:rsidRPr="005A0AF2">
        <w:t>Prostate cancer</w:t>
      </w:r>
      <w:r w:rsidR="00FD24E8">
        <w:t>:</w:t>
      </w:r>
      <w:r w:rsidRPr="005A0AF2">
        <w:t xml:space="preserve"> </w:t>
      </w:r>
      <w:r w:rsidR="00CA0674">
        <w:t>I</w:t>
      </w:r>
      <w:r w:rsidRPr="005A0AF2">
        <w:t xml:space="preserve">n combination with abiraterone and prednisone or </w:t>
      </w:r>
      <w:r w:rsidR="00FD24E8" w:rsidRPr="005A0AF2">
        <w:t>prednisolone for</w:t>
      </w:r>
      <w:r w:rsidRPr="005A0AF2">
        <w:t xml:space="preserve"> </w:t>
      </w:r>
      <w:r w:rsidR="00FD24E8" w:rsidRPr="005A0AF2">
        <w:t>the treatment</w:t>
      </w:r>
      <w:r w:rsidRPr="005A0AF2">
        <w:t xml:space="preserve"> of adult patients with metastatic castration-resistant prostate cancer.</w:t>
      </w:r>
    </w:p>
    <w:p w14:paraId="1E63A2AE" w14:textId="74DB378C" w:rsidR="00CB6813" w:rsidRDefault="004444B0" w:rsidP="00CB6813">
      <w:pPr>
        <w:pStyle w:val="Heading4"/>
      </w:pPr>
      <w:bookmarkStart w:id="17" w:name="_Toc171942655"/>
      <w:bookmarkStart w:id="18" w:name="_Toc314842485"/>
      <w:bookmarkStart w:id="19" w:name="_Toc247691504"/>
      <w:r>
        <w:t>The d</w:t>
      </w:r>
      <w:r w:rsidR="00CB6813" w:rsidRPr="00C12D65">
        <w:t>isease</w:t>
      </w:r>
      <w:r w:rsidR="00E01E1E">
        <w:t>/condition</w:t>
      </w:r>
      <w:bookmarkEnd w:id="17"/>
    </w:p>
    <w:p w14:paraId="31FB5375" w14:textId="50116DD3" w:rsidR="009B27CD" w:rsidRDefault="009B27CD" w:rsidP="00F744CB">
      <w:pPr>
        <w:pStyle w:val="Heading5"/>
        <w:rPr>
          <w:lang w:eastAsia="ja-JP"/>
        </w:rPr>
      </w:pPr>
      <w:r w:rsidRPr="00B37046">
        <w:rPr>
          <w:lang w:eastAsia="ja-JP"/>
        </w:rPr>
        <w:t xml:space="preserve">Breast </w:t>
      </w:r>
      <w:r w:rsidR="008A1D19">
        <w:rPr>
          <w:lang w:eastAsia="ja-JP"/>
        </w:rPr>
        <w:t>c</w:t>
      </w:r>
      <w:r w:rsidRPr="00B37046">
        <w:rPr>
          <w:lang w:eastAsia="ja-JP"/>
        </w:rPr>
        <w:t>ancer</w:t>
      </w:r>
    </w:p>
    <w:p w14:paraId="11BD7963" w14:textId="19F32F4E" w:rsidR="009B27CD" w:rsidRDefault="009B27CD" w:rsidP="00736A6D">
      <w:pPr>
        <w:rPr>
          <w:lang w:eastAsia="ja-JP"/>
        </w:rPr>
      </w:pPr>
      <w:r w:rsidRPr="00B37046">
        <w:rPr>
          <w:lang w:eastAsia="ja-JP"/>
        </w:rPr>
        <w:t>Breast cancer is the most common cancer in the world, with an estimated 2.2 million new</w:t>
      </w:r>
      <w:r>
        <w:rPr>
          <w:lang w:eastAsia="ja-JP"/>
        </w:rPr>
        <w:t xml:space="preserve"> </w:t>
      </w:r>
      <w:r w:rsidRPr="00B37046">
        <w:rPr>
          <w:lang w:eastAsia="ja-JP"/>
        </w:rPr>
        <w:t>cases in 2020 globally (11.7% of all new cancers). Breast cancer is also the fifth most</w:t>
      </w:r>
      <w:r>
        <w:rPr>
          <w:lang w:eastAsia="ja-JP"/>
        </w:rPr>
        <w:t xml:space="preserve"> </w:t>
      </w:r>
      <w:r w:rsidRPr="00B37046">
        <w:rPr>
          <w:lang w:eastAsia="ja-JP"/>
        </w:rPr>
        <w:t>common cause of death from cancer, with an estimated 684,000 deaths in 2020</w:t>
      </w:r>
      <w:r w:rsidR="003A6D17">
        <w:rPr>
          <w:rStyle w:val="FootnoteReference"/>
          <w:lang w:eastAsia="ja-JP"/>
        </w:rPr>
        <w:footnoteReference w:id="2"/>
      </w:r>
      <w:r w:rsidRPr="00B37046">
        <w:rPr>
          <w:lang w:eastAsia="ja-JP"/>
        </w:rPr>
        <w:t>.</w:t>
      </w:r>
    </w:p>
    <w:p w14:paraId="2CE68230" w14:textId="35F80D94" w:rsidR="009B27CD" w:rsidRDefault="009B27CD" w:rsidP="00736A6D">
      <w:pPr>
        <w:rPr>
          <w:lang w:eastAsia="ja-JP"/>
        </w:rPr>
      </w:pPr>
      <w:r w:rsidRPr="00B37046">
        <w:rPr>
          <w:lang w:eastAsia="ja-JP"/>
        </w:rPr>
        <w:t>Despite advances in the diagnosis and</w:t>
      </w:r>
      <w:r>
        <w:rPr>
          <w:lang w:eastAsia="ja-JP"/>
        </w:rPr>
        <w:t xml:space="preserve"> </w:t>
      </w:r>
      <w:r w:rsidRPr="00B37046">
        <w:rPr>
          <w:lang w:eastAsia="ja-JP"/>
        </w:rPr>
        <w:t>treatment of breast cancer, approximately 6% of women diagnosed with breast cancer in the</w:t>
      </w:r>
      <w:r>
        <w:rPr>
          <w:lang w:eastAsia="ja-JP"/>
        </w:rPr>
        <w:t xml:space="preserve"> </w:t>
      </w:r>
      <w:r w:rsidRPr="00B37046">
        <w:rPr>
          <w:lang w:eastAsia="ja-JP"/>
        </w:rPr>
        <w:t>US</w:t>
      </w:r>
      <w:r>
        <w:rPr>
          <w:lang w:eastAsia="ja-JP"/>
        </w:rPr>
        <w:t>A</w:t>
      </w:r>
      <w:r w:rsidRPr="00B37046">
        <w:rPr>
          <w:lang w:eastAsia="ja-JP"/>
        </w:rPr>
        <w:t xml:space="preserve"> have metastatic disease at initial presentation, and up to 30% of women with early-stage</w:t>
      </w:r>
      <w:r>
        <w:rPr>
          <w:lang w:eastAsia="ja-JP"/>
        </w:rPr>
        <w:t xml:space="preserve"> </w:t>
      </w:r>
      <w:r w:rsidRPr="00B37046">
        <w:rPr>
          <w:lang w:eastAsia="ja-JP"/>
        </w:rPr>
        <w:t>non-metastatic breast cancer will develop metastatic disease</w:t>
      </w:r>
      <w:r w:rsidR="00943C95">
        <w:rPr>
          <w:rStyle w:val="FootnoteReference"/>
          <w:lang w:eastAsia="ja-JP"/>
        </w:rPr>
        <w:footnoteReference w:id="3"/>
      </w:r>
      <w:r w:rsidRPr="00B37046">
        <w:rPr>
          <w:lang w:eastAsia="ja-JP"/>
        </w:rPr>
        <w:t>. Metastatic breast cancer remains</w:t>
      </w:r>
      <w:r>
        <w:rPr>
          <w:lang w:eastAsia="ja-JP"/>
        </w:rPr>
        <w:t xml:space="preserve"> </w:t>
      </w:r>
      <w:r w:rsidRPr="00B37046">
        <w:rPr>
          <w:lang w:eastAsia="ja-JP"/>
        </w:rPr>
        <w:t xml:space="preserve">an incurable disease with an estimated 5-year </w:t>
      </w:r>
      <w:r>
        <w:rPr>
          <w:lang w:eastAsia="ja-JP"/>
        </w:rPr>
        <w:t>overall survival (</w:t>
      </w:r>
      <w:r w:rsidRPr="00B37046">
        <w:rPr>
          <w:lang w:eastAsia="ja-JP"/>
        </w:rPr>
        <w:t>OS</w:t>
      </w:r>
      <w:r>
        <w:rPr>
          <w:lang w:eastAsia="ja-JP"/>
        </w:rPr>
        <w:t>) of 28%</w:t>
      </w:r>
      <w:r w:rsidRPr="00B37046">
        <w:rPr>
          <w:lang w:eastAsia="ja-JP"/>
        </w:rPr>
        <w:t>.</w:t>
      </w:r>
      <w:r w:rsidR="00943C95">
        <w:rPr>
          <w:rStyle w:val="FootnoteReference"/>
          <w:lang w:eastAsia="ja-JP"/>
        </w:rPr>
        <w:footnoteReference w:id="4"/>
      </w:r>
      <w:r>
        <w:rPr>
          <w:lang w:eastAsia="ja-JP"/>
        </w:rPr>
        <w:t xml:space="preserve"> </w:t>
      </w:r>
    </w:p>
    <w:p w14:paraId="221D4042" w14:textId="77777777" w:rsidR="009B27CD" w:rsidRDefault="009B27CD" w:rsidP="00736A6D">
      <w:pPr>
        <w:rPr>
          <w:lang w:eastAsia="ja-JP"/>
        </w:rPr>
      </w:pPr>
      <w:r w:rsidRPr="00C7741F">
        <w:rPr>
          <w:lang w:eastAsia="ja-JP"/>
        </w:rPr>
        <w:t>Breast cancer is a heterogeneous disease and optimal treatment depends on pathological and</w:t>
      </w:r>
      <w:r>
        <w:rPr>
          <w:lang w:eastAsia="ja-JP"/>
        </w:rPr>
        <w:t xml:space="preserve"> </w:t>
      </w:r>
      <w:r w:rsidRPr="00C7741F">
        <w:rPr>
          <w:lang w:eastAsia="ja-JP"/>
        </w:rPr>
        <w:t>molecular characteri</w:t>
      </w:r>
      <w:r>
        <w:rPr>
          <w:lang w:eastAsia="ja-JP"/>
        </w:rPr>
        <w:t>s</w:t>
      </w:r>
      <w:r w:rsidRPr="00C7741F">
        <w:rPr>
          <w:lang w:eastAsia="ja-JP"/>
        </w:rPr>
        <w:t xml:space="preserve">ation of the tumour. Early-stage </w:t>
      </w:r>
      <w:r>
        <w:rPr>
          <w:lang w:eastAsia="ja-JP"/>
        </w:rPr>
        <w:t>b</w:t>
      </w:r>
      <w:r w:rsidRPr="00C7741F">
        <w:rPr>
          <w:lang w:eastAsia="ja-JP"/>
        </w:rPr>
        <w:t>reast cancer (Stages I to III) is defined</w:t>
      </w:r>
      <w:r>
        <w:rPr>
          <w:lang w:eastAsia="ja-JP"/>
        </w:rPr>
        <w:t xml:space="preserve"> </w:t>
      </w:r>
      <w:r w:rsidRPr="00C7741F">
        <w:rPr>
          <w:lang w:eastAsia="ja-JP"/>
        </w:rPr>
        <w:t>as disease confined to the breast with or without regional lymph node involvement and in the</w:t>
      </w:r>
      <w:r>
        <w:rPr>
          <w:lang w:eastAsia="ja-JP"/>
        </w:rPr>
        <w:t xml:space="preserve"> </w:t>
      </w:r>
      <w:r w:rsidRPr="00C7741F">
        <w:rPr>
          <w:lang w:eastAsia="ja-JP"/>
        </w:rPr>
        <w:t>absence of metastatic disease</w:t>
      </w:r>
      <w:r>
        <w:rPr>
          <w:lang w:eastAsia="ja-JP"/>
        </w:rPr>
        <w:t>.</w:t>
      </w:r>
    </w:p>
    <w:p w14:paraId="5736EF21" w14:textId="49DDE834" w:rsidR="009B27CD" w:rsidRDefault="009B27CD" w:rsidP="00736A6D">
      <w:pPr>
        <w:rPr>
          <w:lang w:eastAsia="ja-JP"/>
        </w:rPr>
      </w:pPr>
      <w:r w:rsidRPr="00A31502">
        <w:rPr>
          <w:lang w:eastAsia="ja-JP"/>
        </w:rPr>
        <w:t xml:space="preserve">In the general population, germline </w:t>
      </w:r>
      <w:r w:rsidRPr="007D3835">
        <w:rPr>
          <w:i/>
          <w:lang w:eastAsia="ja-JP"/>
        </w:rPr>
        <w:t>BRCA</w:t>
      </w:r>
      <w:r w:rsidRPr="00A31502">
        <w:rPr>
          <w:lang w:eastAsia="ja-JP"/>
        </w:rPr>
        <w:t xml:space="preserve"> mutation carriers have an increased relative risk of</w:t>
      </w:r>
      <w:r>
        <w:rPr>
          <w:lang w:eastAsia="ja-JP"/>
        </w:rPr>
        <w:t xml:space="preserve"> </w:t>
      </w:r>
      <w:r w:rsidRPr="00A31502">
        <w:rPr>
          <w:lang w:eastAsia="ja-JP"/>
        </w:rPr>
        <w:t>breast cancer</w:t>
      </w:r>
      <w:r w:rsidR="00943C95">
        <w:rPr>
          <w:rStyle w:val="FootnoteReference"/>
          <w:lang w:eastAsia="ja-JP"/>
        </w:rPr>
        <w:footnoteReference w:id="5"/>
      </w:r>
      <w:r w:rsidR="00CA0674">
        <w:rPr>
          <w:lang w:eastAsia="ja-JP"/>
        </w:rPr>
        <w:t>.</w:t>
      </w:r>
      <w:r w:rsidRPr="00A31502">
        <w:rPr>
          <w:lang w:eastAsia="ja-JP"/>
        </w:rPr>
        <w:t xml:space="preserve"> Onset of </w:t>
      </w:r>
      <w:r w:rsidRPr="00A31502">
        <w:rPr>
          <w:i/>
          <w:lang w:eastAsia="ja-JP"/>
        </w:rPr>
        <w:t>gBRCAm</w:t>
      </w:r>
      <w:r w:rsidRPr="00A31502">
        <w:rPr>
          <w:lang w:eastAsia="ja-JP"/>
        </w:rPr>
        <w:t xml:space="preserve"> associated</w:t>
      </w:r>
      <w:r>
        <w:rPr>
          <w:lang w:eastAsia="ja-JP"/>
        </w:rPr>
        <w:t xml:space="preserve"> </w:t>
      </w:r>
      <w:r w:rsidRPr="00A31502">
        <w:rPr>
          <w:lang w:eastAsia="ja-JP"/>
        </w:rPr>
        <w:t>breast cancer is early</w:t>
      </w:r>
      <w:r w:rsidR="00943C95">
        <w:rPr>
          <w:rStyle w:val="FootnoteReference"/>
          <w:lang w:eastAsia="ja-JP"/>
        </w:rPr>
        <w:footnoteReference w:id="6"/>
      </w:r>
      <w:r>
        <w:rPr>
          <w:lang w:eastAsia="ja-JP"/>
        </w:rPr>
        <w:t xml:space="preserve">. </w:t>
      </w:r>
      <w:r w:rsidRPr="00284170">
        <w:rPr>
          <w:i/>
          <w:lang w:eastAsia="ja-JP"/>
        </w:rPr>
        <w:t>BRCAm</w:t>
      </w:r>
      <w:r w:rsidRPr="00284170">
        <w:rPr>
          <w:lang w:eastAsia="ja-JP"/>
        </w:rPr>
        <w:t xml:space="preserve"> breast cancer is most frequently HER2 negative (IHC 0, 1+ or 2+/FISH</w:t>
      </w:r>
      <w:r>
        <w:rPr>
          <w:lang w:eastAsia="ja-JP"/>
        </w:rPr>
        <w:t xml:space="preserve"> </w:t>
      </w:r>
      <w:r w:rsidRPr="00284170">
        <w:rPr>
          <w:lang w:eastAsia="ja-JP"/>
        </w:rPr>
        <w:t>non-amplified) breast cancer, which can be either ER and/or PgR positive (ER and/or PgR</w:t>
      </w:r>
      <w:r>
        <w:rPr>
          <w:lang w:eastAsia="ja-JP"/>
        </w:rPr>
        <w:t xml:space="preserve"> </w:t>
      </w:r>
      <w:r w:rsidRPr="00284170">
        <w:rPr>
          <w:lang w:eastAsia="ja-JP"/>
        </w:rPr>
        <w:t xml:space="preserve">IHC nuclear staining </w:t>
      </w:r>
      <w:r w:rsidRPr="00AB6035">
        <w:rPr>
          <w:rFonts w:asciiTheme="minorHAnsi" w:hAnsiTheme="minorHAnsi"/>
          <w:lang w:eastAsia="ja-JP"/>
        </w:rPr>
        <w:t>≥</w:t>
      </w:r>
      <w:r w:rsidRPr="00284170">
        <w:rPr>
          <w:lang w:eastAsia="ja-JP"/>
        </w:rPr>
        <w:t xml:space="preserve">1%) or TNBC (ER and/or </w:t>
      </w:r>
      <w:r w:rsidRPr="00284170">
        <w:rPr>
          <w:lang w:eastAsia="ja-JP"/>
        </w:rPr>
        <w:lastRenderedPageBreak/>
        <w:t>PgR IHC nuclear staining &lt;1%). The</w:t>
      </w:r>
      <w:r>
        <w:rPr>
          <w:lang w:eastAsia="ja-JP"/>
        </w:rPr>
        <w:t xml:space="preserve"> </w:t>
      </w:r>
      <w:r w:rsidRPr="00284170">
        <w:rPr>
          <w:lang w:eastAsia="ja-JP"/>
        </w:rPr>
        <w:t>development of HER2 positive BRCAm breast cancer, whilst it does occur, is rare</w:t>
      </w:r>
      <w:r w:rsidR="00943C95" w:rsidRPr="00583A23">
        <w:rPr>
          <w:vertAlign w:val="superscript"/>
          <w:lang w:eastAsia="ja-JP"/>
        </w:rPr>
        <w:t>6</w:t>
      </w:r>
      <w:r w:rsidR="00943C95">
        <w:rPr>
          <w:vertAlign w:val="superscript"/>
          <w:lang w:eastAsia="ja-JP"/>
        </w:rPr>
        <w:t>,</w:t>
      </w:r>
      <w:r w:rsidR="00943C95">
        <w:rPr>
          <w:rStyle w:val="FootnoteReference"/>
          <w:lang w:eastAsia="ja-JP"/>
        </w:rPr>
        <w:footnoteReference w:id="7"/>
      </w:r>
      <w:r w:rsidR="00943C95">
        <w:rPr>
          <w:vertAlign w:val="superscript"/>
          <w:lang w:eastAsia="ja-JP"/>
        </w:rPr>
        <w:t>,</w:t>
      </w:r>
      <w:r w:rsidR="00943C95">
        <w:rPr>
          <w:rStyle w:val="FootnoteReference"/>
          <w:lang w:eastAsia="ja-JP"/>
        </w:rPr>
        <w:footnoteReference w:id="8"/>
      </w:r>
      <w:r w:rsidRPr="00284170">
        <w:rPr>
          <w:lang w:eastAsia="ja-JP"/>
        </w:rPr>
        <w:t>.</w:t>
      </w:r>
    </w:p>
    <w:p w14:paraId="7180A5F1" w14:textId="017BA0F6" w:rsidR="009B27CD" w:rsidRDefault="009B27CD" w:rsidP="00736A6D">
      <w:pPr>
        <w:rPr>
          <w:lang w:eastAsia="ja-JP"/>
        </w:rPr>
      </w:pPr>
      <w:r w:rsidRPr="00AB6035">
        <w:rPr>
          <w:lang w:eastAsia="ja-JP"/>
        </w:rPr>
        <w:t>Approximately 3% to 5% of patients with breast cancer carry BRCA1/2 mutations</w:t>
      </w:r>
      <w:r w:rsidR="00943C95">
        <w:rPr>
          <w:rStyle w:val="FootnoteReference"/>
          <w:lang w:eastAsia="ja-JP"/>
        </w:rPr>
        <w:footnoteReference w:id="9"/>
      </w:r>
      <w:r w:rsidR="00943C95" w:rsidRPr="00583A23">
        <w:rPr>
          <w:vertAlign w:val="superscript"/>
          <w:lang w:eastAsia="ja-JP"/>
        </w:rPr>
        <w:t>,</w:t>
      </w:r>
      <w:r w:rsidR="00943C95">
        <w:rPr>
          <w:rStyle w:val="FootnoteReference"/>
          <w:lang w:eastAsia="ja-JP"/>
        </w:rPr>
        <w:footnoteReference w:id="10"/>
      </w:r>
      <w:r w:rsidRPr="00AB6035">
        <w:rPr>
          <w:lang w:eastAsia="ja-JP"/>
        </w:rPr>
        <w:t>. Approximately 70% of BRCA1 mutation carriers who develop</w:t>
      </w:r>
      <w:r>
        <w:rPr>
          <w:lang w:eastAsia="ja-JP"/>
        </w:rPr>
        <w:t xml:space="preserve"> </w:t>
      </w:r>
      <w:r w:rsidRPr="00AB6035">
        <w:rPr>
          <w:lang w:eastAsia="ja-JP"/>
        </w:rPr>
        <w:t>breast cancers present with TNBC</w:t>
      </w:r>
      <w:r>
        <w:rPr>
          <w:lang w:eastAsia="ja-JP"/>
        </w:rPr>
        <w:t>.</w:t>
      </w:r>
      <w:r w:rsidRPr="00AB6035">
        <w:rPr>
          <w:lang w:eastAsia="ja-JP"/>
        </w:rPr>
        <w:t xml:space="preserve"> In contrast, breast cancer patients carrying mutations in the</w:t>
      </w:r>
      <w:r>
        <w:rPr>
          <w:lang w:eastAsia="ja-JP"/>
        </w:rPr>
        <w:t xml:space="preserve"> </w:t>
      </w:r>
      <w:r w:rsidRPr="005E6E91">
        <w:rPr>
          <w:i/>
          <w:lang w:eastAsia="ja-JP"/>
        </w:rPr>
        <w:t>BRCA2</w:t>
      </w:r>
      <w:r w:rsidRPr="00AB6035">
        <w:rPr>
          <w:lang w:eastAsia="ja-JP"/>
        </w:rPr>
        <w:t xml:space="preserve"> gene are more likely to be positive for expression of the ER and/or PgR</w:t>
      </w:r>
      <w:r w:rsidR="00943C95" w:rsidRPr="00583A23">
        <w:rPr>
          <w:vertAlign w:val="superscript"/>
          <w:lang w:eastAsia="ja-JP"/>
        </w:rPr>
        <w:t>6,</w:t>
      </w:r>
      <w:r w:rsidR="00943C95">
        <w:rPr>
          <w:rStyle w:val="FootnoteReference"/>
          <w:lang w:eastAsia="ja-JP"/>
        </w:rPr>
        <w:footnoteReference w:id="11"/>
      </w:r>
      <w:r w:rsidRPr="00AB6035">
        <w:rPr>
          <w:lang w:eastAsia="ja-JP"/>
        </w:rPr>
        <w:t>.</w:t>
      </w:r>
    </w:p>
    <w:p w14:paraId="6F6B1066" w14:textId="74B37D05" w:rsidR="009B27CD" w:rsidRPr="00D31F68" w:rsidRDefault="009B27CD" w:rsidP="00D31F68">
      <w:pPr>
        <w:rPr>
          <w:rFonts w:eastAsia="TimesNewRoman" w:cs="TimesNewRoman"/>
        </w:rPr>
      </w:pPr>
      <w:r w:rsidRPr="00D31F68">
        <w:rPr>
          <w:i/>
          <w:lang w:eastAsia="ja-JP"/>
        </w:rPr>
        <w:t>BRCAm</w:t>
      </w:r>
      <w:r w:rsidRPr="00D31F68">
        <w:rPr>
          <w:lang w:eastAsia="ja-JP"/>
        </w:rPr>
        <w:t xml:space="preserve"> breast cancer is associated with high-risk features with a poor prognosis for patients. </w:t>
      </w:r>
      <w:r w:rsidRPr="00D31F68">
        <w:rPr>
          <w:i/>
          <w:lang w:eastAsia="ja-JP"/>
        </w:rPr>
        <w:t>BRCA1/2</w:t>
      </w:r>
      <w:r w:rsidRPr="00D31F68">
        <w:rPr>
          <w:lang w:eastAsia="ja-JP"/>
        </w:rPr>
        <w:t xml:space="preserve"> breast cancer hallmarks include high histological grade, continuous pushing margins, TP-53 mutations, loss of RAD51 focus information, extreme genomic instability and sensitivity to DNA crosslinking agents, with BRCA1 tumours additionally more frequently basal-like and ER-negative</w:t>
      </w:r>
      <w:r w:rsidR="008C0067">
        <w:rPr>
          <w:rStyle w:val="FootnoteReference"/>
          <w:lang w:eastAsia="ja-JP"/>
        </w:rPr>
        <w:footnoteReference w:id="12"/>
      </w:r>
      <w:r w:rsidRPr="00D31F68">
        <w:rPr>
          <w:lang w:eastAsia="ja-JP"/>
        </w:rPr>
        <w:t xml:space="preserve">. </w:t>
      </w:r>
      <w:r w:rsidR="00743F9F">
        <w:rPr>
          <w:lang w:eastAsia="ja-JP"/>
        </w:rPr>
        <w:t>Triple-negative breast cancer (</w:t>
      </w:r>
      <w:r w:rsidRPr="00D31F68">
        <w:rPr>
          <w:lang w:eastAsia="ja-JP"/>
        </w:rPr>
        <w:t>TNBC</w:t>
      </w:r>
      <w:r w:rsidR="00743F9F">
        <w:rPr>
          <w:lang w:eastAsia="ja-JP"/>
        </w:rPr>
        <w:t>)</w:t>
      </w:r>
      <w:r w:rsidRPr="00D31F68">
        <w:rPr>
          <w:lang w:eastAsia="ja-JP"/>
        </w:rPr>
        <w:t xml:space="preserve">, which is more frequently associated with </w:t>
      </w:r>
      <w:r w:rsidRPr="00D31F68">
        <w:rPr>
          <w:i/>
          <w:lang w:eastAsia="ja-JP"/>
        </w:rPr>
        <w:t>BRCA1m</w:t>
      </w:r>
      <w:r w:rsidRPr="00D31F68">
        <w:rPr>
          <w:lang w:eastAsia="ja-JP"/>
        </w:rPr>
        <w:t xml:space="preserve">, </w:t>
      </w:r>
      <w:r w:rsidRPr="00D31F68">
        <w:rPr>
          <w:rFonts w:eastAsia="TimesNewRoman" w:cs="TimesNewRoman"/>
          <w:color w:val="000000"/>
        </w:rPr>
        <w:t>generally has a poor prognosis despite high sensitivity to chemotherapy</w:t>
      </w:r>
      <w:r w:rsidR="008C0067">
        <w:rPr>
          <w:rStyle w:val="FootnoteReference"/>
          <w:rFonts w:eastAsia="TimesNewRoman" w:cs="TimesNewRoman"/>
          <w:color w:val="000000"/>
        </w:rPr>
        <w:footnoteReference w:id="13"/>
      </w:r>
      <w:r w:rsidRPr="00D31F68">
        <w:rPr>
          <w:rFonts w:eastAsia="TimesNewRoman" w:cs="TimesNewRoman"/>
          <w:color w:val="000000"/>
        </w:rPr>
        <w:t>with early recurrence between the first and third year after diagnosis, frequently in association with visceral and/or brain metastases and a shorter period between time of recurrence and death</w:t>
      </w:r>
      <w:r w:rsidR="008C0067">
        <w:rPr>
          <w:rStyle w:val="FootnoteReference"/>
          <w:rFonts w:eastAsia="TimesNewRoman" w:cs="TimesNewRoman"/>
          <w:color w:val="000000"/>
        </w:rPr>
        <w:footnoteReference w:id="14"/>
      </w:r>
      <w:r w:rsidRPr="00D31F68">
        <w:rPr>
          <w:rFonts w:eastAsia="TimesNewRoman" w:cs="TimesNewRoman"/>
          <w:color w:val="000000"/>
        </w:rPr>
        <w:t xml:space="preserve">. Germline </w:t>
      </w:r>
      <w:r w:rsidRPr="00D31F68">
        <w:rPr>
          <w:rFonts w:eastAsia="TimesNewRoman" w:cs="TimesNewRoman,Italic"/>
          <w:i/>
          <w:iCs/>
          <w:color w:val="000000"/>
        </w:rPr>
        <w:t>BRCA</w:t>
      </w:r>
      <w:r w:rsidRPr="00D31F68">
        <w:rPr>
          <w:rFonts w:eastAsia="TimesNewRoman" w:cs="TimesNewRoman"/>
          <w:color w:val="000000"/>
        </w:rPr>
        <w:t>-associated hormone receptor–positive breast cancer is also associated with intrinsically less favourable biology with more high- and intermediate-risk disease and less low-risk disease compared to controls</w:t>
      </w:r>
      <w:r w:rsidR="00DA6944">
        <w:rPr>
          <w:rStyle w:val="FootnoteReference"/>
          <w:rFonts w:eastAsia="TimesNewRoman" w:cs="TimesNewRoman"/>
          <w:color w:val="000000"/>
        </w:rPr>
        <w:footnoteReference w:id="15"/>
      </w:r>
      <w:r w:rsidRPr="00D31F68">
        <w:rPr>
          <w:rFonts w:eastAsia="TimesNewRoman" w:cs="TimesNewRoman"/>
          <w:color w:val="000000"/>
        </w:rPr>
        <w:t xml:space="preserve">. Within </w:t>
      </w:r>
      <w:r w:rsidRPr="00D31F68">
        <w:rPr>
          <w:rFonts w:eastAsia="TimesNewRoman" w:cs="TimesNewRoman,Italic"/>
          <w:i/>
          <w:iCs/>
          <w:color w:val="000000"/>
        </w:rPr>
        <w:t xml:space="preserve">BRCAm </w:t>
      </w:r>
      <w:r w:rsidRPr="00D31F68">
        <w:rPr>
          <w:rFonts w:eastAsia="TimesNewRoman" w:cs="TimesNewRoman"/>
          <w:color w:val="000000"/>
        </w:rPr>
        <w:t xml:space="preserve">tumours, the proportions with </w:t>
      </w:r>
      <w:r w:rsidR="001E1A9C" w:rsidRPr="00D31F68">
        <w:rPr>
          <w:rFonts w:eastAsia="TimesNewRoman" w:cs="TimesNewRoman"/>
          <w:color w:val="000000"/>
        </w:rPr>
        <w:t>high-risk</w:t>
      </w:r>
      <w:r w:rsidRPr="00D31F68">
        <w:rPr>
          <w:rFonts w:eastAsia="TimesNewRoman" w:cs="TimesNewRoman"/>
          <w:color w:val="000000"/>
        </w:rPr>
        <w:t xml:space="preserve"> features are very similar for each gene, regardless of the mutation being germline or somatic</w:t>
      </w:r>
      <w:r w:rsidR="00DA6944">
        <w:rPr>
          <w:rFonts w:eastAsia="TimesNewRoman" w:cs="TimesNewRoman"/>
          <w:color w:val="000000"/>
          <w:vertAlign w:val="superscript"/>
        </w:rPr>
        <w:t>8</w:t>
      </w:r>
      <w:r w:rsidRPr="00D31F68">
        <w:rPr>
          <w:rFonts w:eastAsia="TimesNewRoman" w:cs="TimesNewRoman"/>
        </w:rPr>
        <w:t xml:space="preserve">. </w:t>
      </w:r>
      <w:r w:rsidRPr="00D31F68">
        <w:rPr>
          <w:rFonts w:eastAsia="TimesNewRoman" w:cs="TimesNewRoman"/>
          <w:color w:val="000000"/>
        </w:rPr>
        <w:t xml:space="preserve">When compared to </w:t>
      </w:r>
      <w:r w:rsidRPr="00D31F68">
        <w:rPr>
          <w:rFonts w:eastAsia="TimesNewRoman" w:cs="TimesNewRoman,Italic"/>
          <w:i/>
          <w:iCs/>
          <w:color w:val="000000"/>
        </w:rPr>
        <w:t xml:space="preserve">BRCA </w:t>
      </w:r>
      <w:r w:rsidRPr="00D31F68">
        <w:rPr>
          <w:rFonts w:eastAsia="TimesNewRoman" w:cs="TimesNewRoman"/>
          <w:color w:val="000000"/>
        </w:rPr>
        <w:t xml:space="preserve">wildtype primary breast carcinomas, tumours harbouring a </w:t>
      </w:r>
      <w:r w:rsidRPr="00D31F68">
        <w:rPr>
          <w:rFonts w:eastAsia="TimesNewRoman" w:cs="TimesNewRoman,Italic"/>
          <w:i/>
          <w:iCs/>
          <w:color w:val="000000"/>
        </w:rPr>
        <w:t xml:space="preserve">BRCA1/2 </w:t>
      </w:r>
      <w:r w:rsidRPr="00D31F68">
        <w:rPr>
          <w:rFonts w:eastAsia="TimesNewRoman" w:cs="TimesNewRoman"/>
          <w:color w:val="000000"/>
        </w:rPr>
        <w:t>mutation (</w:t>
      </w:r>
      <w:r w:rsidRPr="00D31F68">
        <w:rPr>
          <w:rFonts w:eastAsia="TimesNewRoman" w:cs="TimesNewRoman,Italic"/>
          <w:i/>
          <w:iCs/>
          <w:color w:val="000000"/>
        </w:rPr>
        <w:t xml:space="preserve">gBRCA1 </w:t>
      </w:r>
      <w:r w:rsidRPr="00D31F68">
        <w:rPr>
          <w:rFonts w:eastAsia="TimesNewRoman" w:cs="TimesNewRoman"/>
          <w:color w:val="000000"/>
        </w:rPr>
        <w:t xml:space="preserve">n=10, </w:t>
      </w:r>
      <w:r w:rsidRPr="00D31F68">
        <w:rPr>
          <w:rFonts w:eastAsia="TimesNewRoman" w:cs="TimesNewRoman,Italic"/>
          <w:i/>
          <w:iCs/>
          <w:color w:val="000000"/>
        </w:rPr>
        <w:t xml:space="preserve">gBRCA2 </w:t>
      </w:r>
      <w:r w:rsidRPr="00D31F68">
        <w:rPr>
          <w:rFonts w:eastAsia="TimesNewRoman" w:cs="TimesNewRoman"/>
          <w:color w:val="000000"/>
        </w:rPr>
        <w:t xml:space="preserve">n=10, </w:t>
      </w:r>
      <w:r w:rsidRPr="00D31F68">
        <w:rPr>
          <w:rFonts w:eastAsia="TimesNewRoman" w:cs="TimesNewRoman,Italic"/>
          <w:i/>
          <w:iCs/>
          <w:color w:val="000000"/>
        </w:rPr>
        <w:t xml:space="preserve">sBRCA1 </w:t>
      </w:r>
      <w:r w:rsidRPr="00D31F68">
        <w:rPr>
          <w:rFonts w:eastAsia="TimesNewRoman" w:cs="TimesNewRoman"/>
          <w:color w:val="000000"/>
        </w:rPr>
        <w:t xml:space="preserve">n=4, </w:t>
      </w:r>
      <w:r w:rsidRPr="00D31F68">
        <w:rPr>
          <w:rFonts w:eastAsia="TimesNewRoman" w:cs="TimesNewRoman,Italic"/>
          <w:i/>
          <w:iCs/>
          <w:color w:val="000000"/>
        </w:rPr>
        <w:t xml:space="preserve">sBRCA2 </w:t>
      </w:r>
      <w:r w:rsidRPr="00D31F68">
        <w:rPr>
          <w:rFonts w:eastAsia="TimesNewRoman" w:cs="TimesNewRoman"/>
          <w:color w:val="000000"/>
        </w:rPr>
        <w:t xml:space="preserve">n=5), showed a higher proportion of patients with higher risk features including N1-N3, grade 3 tumours, ER/PR negative disease and basal </w:t>
      </w:r>
      <w:r w:rsidRPr="00D31F68">
        <w:rPr>
          <w:rFonts w:eastAsia="TimesNewRoman" w:cs="TimesNewRoman"/>
        </w:rPr>
        <w:t>subtype</w:t>
      </w:r>
      <w:r w:rsidR="00DA6944" w:rsidRPr="00583A23">
        <w:rPr>
          <w:rFonts w:eastAsia="TimesNewRoman" w:cs="TimesNewRoman"/>
          <w:vertAlign w:val="superscript"/>
        </w:rPr>
        <w:t>8</w:t>
      </w:r>
      <w:r w:rsidRPr="00D31F68">
        <w:rPr>
          <w:rFonts w:eastAsia="TimesNewRoman" w:cs="TimesNewRoman"/>
        </w:rPr>
        <w:t>.</w:t>
      </w:r>
    </w:p>
    <w:p w14:paraId="260BE921" w14:textId="24D00D26" w:rsidR="009B27CD" w:rsidRDefault="00736A6D" w:rsidP="00D31F68">
      <w:pPr>
        <w:rPr>
          <w:lang w:eastAsia="ja-JP"/>
        </w:rPr>
      </w:pPr>
      <w:r w:rsidRPr="00D31F68">
        <w:rPr>
          <w:i/>
          <w:lang w:eastAsia="ja-JP"/>
        </w:rPr>
        <w:t>BRCA</w:t>
      </w:r>
      <w:r w:rsidRPr="00D31F68">
        <w:rPr>
          <w:lang w:eastAsia="ja-JP"/>
        </w:rPr>
        <w:t xml:space="preserve"> mutations in breast cancer can be of germline (around 3% to 5%) or somatic origin (2% to 3%). Multiple lines of translational evidence point to biological equivalence of germline and somatic BRCA mutations in breast cancer.</w:t>
      </w:r>
      <w:r w:rsidR="001E1A9C">
        <w:rPr>
          <w:lang w:eastAsia="ja-JP"/>
        </w:rPr>
        <w:t xml:space="preserve"> </w:t>
      </w:r>
      <w:r w:rsidR="001E1A9C" w:rsidRPr="001E1A9C">
        <w:rPr>
          <w:lang w:eastAsia="ja-JP"/>
        </w:rPr>
        <w:t xml:space="preserve">The clinical characteristics for patients with germline and somatic BRCAm breast cancer are generally similar, with the exception of age (median age being lower in patients with gBRCAm). The natural history in terms of disease outcomes, given the similar clinical features of gBRCAm and sBRCAm, and limited available data in patients with sBRCA mutated early breast cancer also suggest that patients with germline or somatic BRCA mutations have similar prognosis and </w:t>
      </w:r>
      <w:r w:rsidR="00DA6944" w:rsidRPr="001E1A9C">
        <w:rPr>
          <w:lang w:eastAsia="ja-JP"/>
        </w:rPr>
        <w:t>long-term</w:t>
      </w:r>
      <w:r w:rsidR="001E1A9C" w:rsidRPr="001E1A9C">
        <w:rPr>
          <w:lang w:eastAsia="ja-JP"/>
        </w:rPr>
        <w:t xml:space="preserve"> survival outcomes. Tumour characteristics at first diagnosis, high risk features present at diagnosis, and the natural history in terms of disease outcomes are similar, regardless of the origin of the BRCA mutation studied.</w:t>
      </w:r>
    </w:p>
    <w:p w14:paraId="434D2C70" w14:textId="24F0C169" w:rsidR="00D31F68" w:rsidRDefault="00D31F68" w:rsidP="00F744CB">
      <w:pPr>
        <w:pStyle w:val="Heading5"/>
        <w:rPr>
          <w:lang w:eastAsia="ja-JP"/>
        </w:rPr>
      </w:pPr>
      <w:r>
        <w:rPr>
          <w:lang w:eastAsia="ja-JP"/>
        </w:rPr>
        <w:lastRenderedPageBreak/>
        <w:t xml:space="preserve">Prostate </w:t>
      </w:r>
      <w:r w:rsidR="008A1D19">
        <w:rPr>
          <w:lang w:eastAsia="ja-JP"/>
        </w:rPr>
        <w:t>c</w:t>
      </w:r>
      <w:r>
        <w:rPr>
          <w:lang w:eastAsia="ja-JP"/>
        </w:rPr>
        <w:t>ancer</w:t>
      </w:r>
    </w:p>
    <w:p w14:paraId="02AE95C4" w14:textId="5CCACF28" w:rsidR="00D31F68" w:rsidRDefault="00D31F68" w:rsidP="00D31F68">
      <w:pPr>
        <w:jc w:val="both"/>
        <w:rPr>
          <w:lang w:eastAsia="ja-JP"/>
        </w:rPr>
      </w:pPr>
      <w:r w:rsidRPr="000B097F">
        <w:rPr>
          <w:lang w:eastAsia="ja-JP"/>
        </w:rPr>
        <w:t>Prostate cancer is the second most common newly diagnosed cancer in men worldwide, ranking as the fifth leading cause of cancer death among males. In the US</w:t>
      </w:r>
      <w:r>
        <w:rPr>
          <w:lang w:eastAsia="ja-JP"/>
        </w:rPr>
        <w:t xml:space="preserve">A </w:t>
      </w:r>
      <w:r w:rsidRPr="000B097F">
        <w:rPr>
          <w:lang w:eastAsia="ja-JP"/>
        </w:rPr>
        <w:t>and Europe, prostate cancer is the leading male cancer diagnosis, ranking as the second and</w:t>
      </w:r>
      <w:r>
        <w:rPr>
          <w:lang w:eastAsia="ja-JP"/>
        </w:rPr>
        <w:t xml:space="preserve"> </w:t>
      </w:r>
      <w:r w:rsidRPr="000B097F">
        <w:rPr>
          <w:lang w:eastAsia="ja-JP"/>
        </w:rPr>
        <w:t>third most common cause of cancer death, respectively</w:t>
      </w:r>
      <w:r w:rsidR="00A420CF" w:rsidRPr="00583A23">
        <w:rPr>
          <w:vertAlign w:val="superscript"/>
          <w:lang w:eastAsia="ja-JP"/>
        </w:rPr>
        <w:t>4</w:t>
      </w:r>
      <w:r w:rsidRPr="000B097F">
        <w:rPr>
          <w:lang w:eastAsia="ja-JP"/>
        </w:rPr>
        <w:t>.</w:t>
      </w:r>
    </w:p>
    <w:p w14:paraId="7EB421D8" w14:textId="1F532342" w:rsidR="00D31F68" w:rsidRDefault="00D31F68" w:rsidP="00D31F68">
      <w:pPr>
        <w:jc w:val="both"/>
        <w:rPr>
          <w:lang w:eastAsia="ja-JP"/>
        </w:rPr>
      </w:pPr>
      <w:r w:rsidRPr="003C06EC">
        <w:rPr>
          <w:lang w:eastAsia="ja-JP"/>
        </w:rPr>
        <w:t>A systematic literature review identified that</w:t>
      </w:r>
      <w:r>
        <w:rPr>
          <w:lang w:eastAsia="ja-JP"/>
        </w:rPr>
        <w:t xml:space="preserve"> </w:t>
      </w:r>
      <w:r w:rsidRPr="003C06EC">
        <w:rPr>
          <w:lang w:eastAsia="ja-JP"/>
        </w:rPr>
        <w:t>among patients with non-metastatic CRPC, nearly 60% developed metastatic disease during</w:t>
      </w:r>
      <w:r>
        <w:rPr>
          <w:lang w:eastAsia="ja-JP"/>
        </w:rPr>
        <w:t xml:space="preserve"> </w:t>
      </w:r>
      <w:r w:rsidRPr="003C06EC">
        <w:rPr>
          <w:lang w:eastAsia="ja-JP"/>
        </w:rPr>
        <w:t>the first 5 years, with most of the metastases occurring within the first 3 years and one-third of</w:t>
      </w:r>
      <w:r>
        <w:rPr>
          <w:lang w:eastAsia="ja-JP"/>
        </w:rPr>
        <w:t xml:space="preserve"> </w:t>
      </w:r>
      <w:r w:rsidRPr="003C06EC">
        <w:rPr>
          <w:lang w:eastAsia="ja-JP"/>
        </w:rPr>
        <w:t>patients developed bone metastases within 2 years</w:t>
      </w:r>
      <w:r w:rsidR="00A420CF">
        <w:rPr>
          <w:rStyle w:val="FootnoteReference"/>
          <w:lang w:eastAsia="ja-JP"/>
        </w:rPr>
        <w:footnoteReference w:id="16"/>
      </w:r>
      <w:r w:rsidRPr="003C06EC">
        <w:rPr>
          <w:lang w:eastAsia="ja-JP"/>
        </w:rPr>
        <w:t>.</w:t>
      </w:r>
    </w:p>
    <w:p w14:paraId="5F834AAA" w14:textId="7A775F71" w:rsidR="00D31F68" w:rsidRDefault="00D31F68" w:rsidP="007C6BBE">
      <w:pPr>
        <w:rPr>
          <w:lang w:eastAsia="ja-JP"/>
        </w:rPr>
      </w:pPr>
      <w:r w:rsidRPr="003C06EC">
        <w:rPr>
          <w:lang w:eastAsia="ja-JP"/>
        </w:rPr>
        <w:t>Prostate cancer is a heterogeneous disease and androgen deprivation therapy with luteinising</w:t>
      </w:r>
      <w:r>
        <w:rPr>
          <w:lang w:eastAsia="ja-JP"/>
        </w:rPr>
        <w:t xml:space="preserve"> </w:t>
      </w:r>
      <w:r w:rsidRPr="003C06EC">
        <w:rPr>
          <w:lang w:eastAsia="ja-JP"/>
        </w:rPr>
        <w:t>hormone releasing hormone analogues or orchiectomy is usually initially effective at</w:t>
      </w:r>
      <w:r>
        <w:rPr>
          <w:lang w:eastAsia="ja-JP"/>
        </w:rPr>
        <w:t xml:space="preserve"> </w:t>
      </w:r>
      <w:r w:rsidRPr="003C06EC">
        <w:rPr>
          <w:lang w:eastAsia="ja-JP"/>
        </w:rPr>
        <w:t>controlling metastatic disease. However, patients inevitably progress from an androgen</w:t>
      </w:r>
      <w:r>
        <w:rPr>
          <w:lang w:eastAsia="ja-JP"/>
        </w:rPr>
        <w:t xml:space="preserve"> </w:t>
      </w:r>
      <w:r w:rsidRPr="003C06EC">
        <w:rPr>
          <w:lang w:eastAsia="ja-JP"/>
        </w:rPr>
        <w:t>sensitive to a castration resistant phenotype, which is not curable, and is associated with 90%</w:t>
      </w:r>
      <w:r>
        <w:rPr>
          <w:lang w:eastAsia="ja-JP"/>
        </w:rPr>
        <w:t xml:space="preserve"> </w:t>
      </w:r>
      <w:r w:rsidRPr="003C06EC">
        <w:rPr>
          <w:lang w:eastAsia="ja-JP"/>
        </w:rPr>
        <w:t>of overall mortality being attributable to the underlying malignant disease</w:t>
      </w:r>
      <w:r w:rsidR="00A420CF">
        <w:rPr>
          <w:rStyle w:val="FootnoteReference"/>
          <w:lang w:eastAsia="ja-JP"/>
        </w:rPr>
        <w:footnoteReference w:id="17"/>
      </w:r>
      <w:r w:rsidRPr="003C06EC">
        <w:rPr>
          <w:lang w:eastAsia="ja-JP"/>
        </w:rPr>
        <w:t>.</w:t>
      </w:r>
      <w:r>
        <w:rPr>
          <w:lang w:eastAsia="ja-JP"/>
        </w:rPr>
        <w:t xml:space="preserve"> </w:t>
      </w:r>
      <w:r w:rsidRPr="003C06EC">
        <w:rPr>
          <w:lang w:eastAsia="ja-JP"/>
        </w:rPr>
        <w:t>For patients diagnosed with metastatic disease, the 5-year survival rate is 30%</w:t>
      </w:r>
      <w:r w:rsidR="00A420CF" w:rsidRPr="00583A23">
        <w:rPr>
          <w:vertAlign w:val="superscript"/>
          <w:lang w:eastAsia="ja-JP"/>
        </w:rPr>
        <w:t>4</w:t>
      </w:r>
      <w:r w:rsidRPr="003C06EC">
        <w:rPr>
          <w:lang w:eastAsia="ja-JP"/>
        </w:rPr>
        <w:t>.</w:t>
      </w:r>
    </w:p>
    <w:p w14:paraId="4AD43B97" w14:textId="46B1470D" w:rsidR="00D31F68" w:rsidRPr="00B37046" w:rsidRDefault="00D31F68" w:rsidP="00D31F68">
      <w:pPr>
        <w:jc w:val="both"/>
        <w:rPr>
          <w:lang w:eastAsia="ja-JP"/>
        </w:rPr>
      </w:pPr>
      <w:r w:rsidRPr="003C06EC">
        <w:rPr>
          <w:lang w:eastAsia="ja-JP"/>
        </w:rPr>
        <w:t>Symptoms of mCRPC can have an impact on daily lives and contribute to diminished levels of</w:t>
      </w:r>
      <w:r>
        <w:rPr>
          <w:lang w:eastAsia="ja-JP"/>
        </w:rPr>
        <w:t xml:space="preserve"> </w:t>
      </w:r>
      <w:r w:rsidRPr="003C06EC">
        <w:rPr>
          <w:lang w:eastAsia="ja-JP"/>
        </w:rPr>
        <w:t>HRQoL observed in this population</w:t>
      </w:r>
      <w:r w:rsidR="00A420CF">
        <w:rPr>
          <w:rStyle w:val="FootnoteReference"/>
          <w:lang w:eastAsia="ja-JP"/>
        </w:rPr>
        <w:footnoteReference w:id="18"/>
      </w:r>
      <w:r w:rsidRPr="003C06EC">
        <w:rPr>
          <w:lang w:eastAsia="ja-JP"/>
        </w:rPr>
        <w:t>. Since curative therapy is not</w:t>
      </w:r>
      <w:r>
        <w:rPr>
          <w:lang w:eastAsia="ja-JP"/>
        </w:rPr>
        <w:t xml:space="preserve"> </w:t>
      </w:r>
      <w:r w:rsidRPr="003C06EC">
        <w:rPr>
          <w:lang w:eastAsia="ja-JP"/>
        </w:rPr>
        <w:t>possible in the metastatic setting, reducing disease burden and symptoms are critical</w:t>
      </w:r>
      <w:r>
        <w:rPr>
          <w:lang w:eastAsia="ja-JP"/>
        </w:rPr>
        <w:t xml:space="preserve"> </w:t>
      </w:r>
      <w:r w:rsidRPr="003C06EC">
        <w:rPr>
          <w:lang w:eastAsia="ja-JP"/>
        </w:rPr>
        <w:t>objectives of any therapeutic intervention.</w:t>
      </w:r>
    </w:p>
    <w:p w14:paraId="255E083A" w14:textId="44F92BA3" w:rsidR="00CB6813" w:rsidRDefault="00CB6813" w:rsidP="00CB6813">
      <w:pPr>
        <w:pStyle w:val="Heading4"/>
      </w:pPr>
      <w:bookmarkStart w:id="20" w:name="_Toc171942656"/>
      <w:r>
        <w:t>Current treatment options</w:t>
      </w:r>
      <w:bookmarkEnd w:id="20"/>
    </w:p>
    <w:p w14:paraId="2E2D8FD7" w14:textId="77777777" w:rsidR="00321750" w:rsidRPr="00A31502" w:rsidRDefault="00321750" w:rsidP="00F744CB">
      <w:pPr>
        <w:pStyle w:val="Heading5"/>
        <w:rPr>
          <w:lang w:eastAsia="ja-JP"/>
        </w:rPr>
      </w:pPr>
      <w:r>
        <w:rPr>
          <w:lang w:eastAsia="ja-JP"/>
        </w:rPr>
        <w:t>Breast c</w:t>
      </w:r>
      <w:r w:rsidRPr="00A31502">
        <w:rPr>
          <w:lang w:eastAsia="ja-JP"/>
        </w:rPr>
        <w:t>ancer</w:t>
      </w:r>
    </w:p>
    <w:p w14:paraId="24F3EEFE" w14:textId="2F96E897" w:rsidR="00321750" w:rsidRDefault="00321750" w:rsidP="00321750">
      <w:pPr>
        <w:jc w:val="both"/>
        <w:rPr>
          <w:lang w:eastAsia="ja-JP"/>
        </w:rPr>
      </w:pPr>
      <w:r w:rsidRPr="00A31502">
        <w:rPr>
          <w:lang w:eastAsia="ja-JP"/>
        </w:rPr>
        <w:t>Treatment for Stages I to III breast cancer usually includes</w:t>
      </w:r>
      <w:r>
        <w:rPr>
          <w:lang w:eastAsia="ja-JP"/>
        </w:rPr>
        <w:t xml:space="preserve"> </w:t>
      </w:r>
      <w:r w:rsidRPr="00A31502">
        <w:rPr>
          <w:lang w:eastAsia="ja-JP"/>
        </w:rPr>
        <w:t>surgery and radiation therapy, with the addition of chemotherapy for patients with high risk of</w:t>
      </w:r>
      <w:r>
        <w:rPr>
          <w:lang w:eastAsia="ja-JP"/>
        </w:rPr>
        <w:t xml:space="preserve"> </w:t>
      </w:r>
      <w:r w:rsidRPr="00A31502">
        <w:rPr>
          <w:lang w:eastAsia="ja-JP"/>
        </w:rPr>
        <w:t>recurrence, either before (neoadjuvant) or after (adjuvant) surgery. Other drug therapies</w:t>
      </w:r>
      <w:r>
        <w:rPr>
          <w:lang w:eastAsia="ja-JP"/>
        </w:rPr>
        <w:t xml:space="preserve"> </w:t>
      </w:r>
      <w:r w:rsidRPr="00A31502">
        <w:rPr>
          <w:lang w:eastAsia="ja-JP"/>
        </w:rPr>
        <w:t>including endocrine and anti-HER2 therapy are additionally given depending on ER and/or</w:t>
      </w:r>
      <w:r>
        <w:rPr>
          <w:lang w:eastAsia="ja-JP"/>
        </w:rPr>
        <w:t xml:space="preserve"> </w:t>
      </w:r>
      <w:r w:rsidRPr="00A31502">
        <w:rPr>
          <w:lang w:eastAsia="ja-JP"/>
        </w:rPr>
        <w:t>PgR and HER2 status. Unfortunately, nearly 30% of women with cancer confined to the</w:t>
      </w:r>
      <w:r>
        <w:rPr>
          <w:lang w:eastAsia="ja-JP"/>
        </w:rPr>
        <w:t xml:space="preserve"> </w:t>
      </w:r>
      <w:r w:rsidRPr="00A31502">
        <w:rPr>
          <w:lang w:eastAsia="ja-JP"/>
        </w:rPr>
        <w:t>breast and 75% of women with nodal involvement will ultimately relapse</w:t>
      </w:r>
      <w:r w:rsidR="00CA0674">
        <w:rPr>
          <w:rStyle w:val="FootnoteReference"/>
          <w:lang w:eastAsia="ja-JP"/>
        </w:rPr>
        <w:footnoteReference w:id="19"/>
      </w:r>
      <w:r w:rsidRPr="00A31502">
        <w:rPr>
          <w:lang w:eastAsia="ja-JP"/>
        </w:rPr>
        <w:t>.</w:t>
      </w:r>
    </w:p>
    <w:p w14:paraId="3D244F7B" w14:textId="77777777" w:rsidR="00321750" w:rsidRPr="003C06EC" w:rsidRDefault="00321750" w:rsidP="00F744CB">
      <w:pPr>
        <w:pStyle w:val="Heading5"/>
        <w:rPr>
          <w:lang w:eastAsia="ja-JP"/>
        </w:rPr>
      </w:pPr>
      <w:r w:rsidRPr="003C06EC">
        <w:rPr>
          <w:lang w:eastAsia="ja-JP"/>
        </w:rPr>
        <w:t>Prostate cancer</w:t>
      </w:r>
    </w:p>
    <w:p w14:paraId="3509E6EB" w14:textId="34049AF9" w:rsidR="00321750" w:rsidRPr="006F7C49" w:rsidRDefault="00321750" w:rsidP="00321750">
      <w:pPr>
        <w:jc w:val="both"/>
        <w:rPr>
          <w:lang w:eastAsia="ja-JP"/>
        </w:rPr>
      </w:pPr>
      <w:r w:rsidRPr="006F7C49">
        <w:rPr>
          <w:lang w:eastAsia="ja-JP"/>
        </w:rPr>
        <w:t>Available therapy for patients with mCRPC includes docetaxel, enzalutamide, abiraterone, cabazitaxel, Radium-223, and olaparib.</w:t>
      </w:r>
      <w:r>
        <w:rPr>
          <w:lang w:eastAsia="ja-JP"/>
        </w:rPr>
        <w:t xml:space="preserve"> </w:t>
      </w:r>
      <w:r w:rsidRPr="006F7C49">
        <w:rPr>
          <w:lang w:eastAsia="ja-JP"/>
        </w:rPr>
        <w:t xml:space="preserve">For patients who have not received prior treatment with docetaxel or a </w:t>
      </w:r>
      <w:r>
        <w:rPr>
          <w:lang w:eastAsia="ja-JP"/>
        </w:rPr>
        <w:t>new hormonal agents (NHA)</w:t>
      </w:r>
      <w:r w:rsidRPr="006F7C49">
        <w:rPr>
          <w:lang w:eastAsia="ja-JP"/>
        </w:rPr>
        <w:t xml:space="preserve"> the preferred</w:t>
      </w:r>
      <w:r>
        <w:rPr>
          <w:lang w:eastAsia="ja-JP"/>
        </w:rPr>
        <w:t xml:space="preserve"> </w:t>
      </w:r>
      <w:r w:rsidRPr="006F7C49">
        <w:rPr>
          <w:lang w:eastAsia="ja-JP"/>
        </w:rPr>
        <w:t>NCCN and ESMO regimens</w:t>
      </w:r>
      <w:r w:rsidR="00A420CF">
        <w:rPr>
          <w:rStyle w:val="FootnoteReference"/>
          <w:lang w:eastAsia="ja-JP"/>
        </w:rPr>
        <w:footnoteReference w:id="20"/>
      </w:r>
      <w:r w:rsidR="00A420CF" w:rsidRPr="00583A23">
        <w:rPr>
          <w:vertAlign w:val="superscript"/>
          <w:lang w:eastAsia="ja-JP"/>
        </w:rPr>
        <w:t>,</w:t>
      </w:r>
      <w:r w:rsidR="00A420CF">
        <w:rPr>
          <w:rStyle w:val="FootnoteReference"/>
          <w:lang w:eastAsia="ja-JP"/>
        </w:rPr>
        <w:footnoteReference w:id="21"/>
      </w:r>
      <w:r w:rsidRPr="006F7C49">
        <w:rPr>
          <w:lang w:eastAsia="ja-JP"/>
        </w:rPr>
        <w:t xml:space="preserve">  for</w:t>
      </w:r>
      <w:r>
        <w:rPr>
          <w:lang w:eastAsia="ja-JP"/>
        </w:rPr>
        <w:t xml:space="preserve"> </w:t>
      </w:r>
      <w:r w:rsidRPr="006F7C49">
        <w:rPr>
          <w:lang w:eastAsia="ja-JP"/>
        </w:rPr>
        <w:t>systemic treatment for M1 CRPC include abiraterone, docetaxel, and enzalutamide.</w:t>
      </w:r>
    </w:p>
    <w:p w14:paraId="57EC98EA" w14:textId="77777777" w:rsidR="00321750" w:rsidRPr="006F7C49" w:rsidRDefault="00321750" w:rsidP="00321750">
      <w:pPr>
        <w:jc w:val="both"/>
        <w:rPr>
          <w:lang w:eastAsia="ja-JP"/>
        </w:rPr>
      </w:pPr>
      <w:r w:rsidRPr="006F7C49">
        <w:rPr>
          <w:lang w:eastAsia="ja-JP"/>
        </w:rPr>
        <w:lastRenderedPageBreak/>
        <w:t>Abiraterone</w:t>
      </w:r>
      <w:r>
        <w:rPr>
          <w:lang w:eastAsia="ja-JP"/>
        </w:rPr>
        <w:t xml:space="preserve"> </w:t>
      </w:r>
      <w:r w:rsidRPr="006F7C49">
        <w:rPr>
          <w:lang w:eastAsia="ja-JP"/>
        </w:rPr>
        <w:t>and enzalutamide remain preferred Category 1 NHAs after systemic treatment with docetaxel</w:t>
      </w:r>
      <w:r>
        <w:rPr>
          <w:lang w:eastAsia="ja-JP"/>
        </w:rPr>
        <w:t xml:space="preserve"> </w:t>
      </w:r>
      <w:r w:rsidRPr="006F7C49">
        <w:rPr>
          <w:lang w:eastAsia="ja-JP"/>
        </w:rPr>
        <w:t xml:space="preserve">in the M1 CRPC disease state. </w:t>
      </w:r>
      <w:r>
        <w:rPr>
          <w:lang w:eastAsia="ja-JP"/>
        </w:rPr>
        <w:t>(</w:t>
      </w:r>
      <w:r w:rsidRPr="006F7C49">
        <w:rPr>
          <w:lang w:eastAsia="ja-JP"/>
        </w:rPr>
        <w:t>A Category 1 designation signifies that, based upon high-level</w:t>
      </w:r>
      <w:r>
        <w:rPr>
          <w:lang w:eastAsia="ja-JP"/>
        </w:rPr>
        <w:t xml:space="preserve"> </w:t>
      </w:r>
      <w:r w:rsidRPr="006F7C49">
        <w:rPr>
          <w:lang w:eastAsia="ja-JP"/>
        </w:rPr>
        <w:t>evidence, there is uniform NCCN consensus that the intervention is appropriate</w:t>
      </w:r>
      <w:r>
        <w:rPr>
          <w:lang w:eastAsia="ja-JP"/>
        </w:rPr>
        <w:t>)</w:t>
      </w:r>
      <w:r w:rsidRPr="006F7C49">
        <w:rPr>
          <w:lang w:eastAsia="ja-JP"/>
        </w:rPr>
        <w:t>.</w:t>
      </w:r>
    </w:p>
    <w:p w14:paraId="617EE1E0" w14:textId="23DB7B65" w:rsidR="00C309A7" w:rsidRPr="00321750" w:rsidRDefault="00321750" w:rsidP="00321750">
      <w:pPr>
        <w:jc w:val="both"/>
        <w:rPr>
          <w:lang w:eastAsia="ja-JP"/>
        </w:rPr>
      </w:pPr>
      <w:r w:rsidRPr="006F7C49">
        <w:rPr>
          <w:lang w:eastAsia="ja-JP"/>
        </w:rPr>
        <w:t>New hormonal agents are potent, orally available treatment options with a favourable</w:t>
      </w:r>
      <w:r>
        <w:rPr>
          <w:lang w:eastAsia="ja-JP"/>
        </w:rPr>
        <w:t xml:space="preserve"> </w:t>
      </w:r>
      <w:r w:rsidRPr="006F7C49">
        <w:rPr>
          <w:lang w:eastAsia="ja-JP"/>
        </w:rPr>
        <w:t>tolerability profile. Abiraterone and enzalutamide are authorised in the US</w:t>
      </w:r>
      <w:r>
        <w:rPr>
          <w:lang w:eastAsia="ja-JP"/>
        </w:rPr>
        <w:t xml:space="preserve">, </w:t>
      </w:r>
      <w:r w:rsidRPr="006F7C49">
        <w:rPr>
          <w:lang w:eastAsia="ja-JP"/>
        </w:rPr>
        <w:t xml:space="preserve">EU </w:t>
      </w:r>
      <w:r>
        <w:rPr>
          <w:lang w:eastAsia="ja-JP"/>
        </w:rPr>
        <w:t xml:space="preserve">and Australia </w:t>
      </w:r>
      <w:r w:rsidRPr="006F7C49">
        <w:rPr>
          <w:lang w:eastAsia="ja-JP"/>
        </w:rPr>
        <w:t>for the</w:t>
      </w:r>
      <w:r>
        <w:rPr>
          <w:lang w:eastAsia="ja-JP"/>
        </w:rPr>
        <w:t xml:space="preserve"> </w:t>
      </w:r>
      <w:r w:rsidRPr="006F7C49">
        <w:rPr>
          <w:lang w:eastAsia="ja-JP"/>
        </w:rPr>
        <w:t>treatment of patients with mCRPC who have received prior chemotherapy containing</w:t>
      </w:r>
      <w:r>
        <w:rPr>
          <w:lang w:eastAsia="ja-JP"/>
        </w:rPr>
        <w:t xml:space="preserve"> </w:t>
      </w:r>
      <w:r w:rsidRPr="006F7C49">
        <w:rPr>
          <w:lang w:eastAsia="ja-JP"/>
        </w:rPr>
        <w:t>docetaxel and also for use in the first-line metastatic (pre-chemotherapy) setting. NHAs have</w:t>
      </w:r>
      <w:r>
        <w:rPr>
          <w:lang w:eastAsia="ja-JP"/>
        </w:rPr>
        <w:t xml:space="preserve"> </w:t>
      </w:r>
      <w:r w:rsidRPr="006F7C49">
        <w:rPr>
          <w:lang w:eastAsia="ja-JP"/>
        </w:rPr>
        <w:t>increasingly replaced docetaxel globally as the preferred choice of first-line therapy for</w:t>
      </w:r>
      <w:r>
        <w:rPr>
          <w:lang w:eastAsia="ja-JP"/>
        </w:rPr>
        <w:t xml:space="preserve"> </w:t>
      </w:r>
      <w:r w:rsidRPr="006F7C49">
        <w:rPr>
          <w:lang w:eastAsia="ja-JP"/>
        </w:rPr>
        <w:t>mCRPC</w:t>
      </w:r>
      <w:r w:rsidR="00A420CF">
        <w:rPr>
          <w:rStyle w:val="FootnoteReference"/>
          <w:lang w:eastAsia="ja-JP"/>
        </w:rPr>
        <w:footnoteReference w:id="22"/>
      </w:r>
      <w:r w:rsidR="00A420CF" w:rsidRPr="00583A23">
        <w:rPr>
          <w:vertAlign w:val="superscript"/>
          <w:lang w:eastAsia="ja-JP"/>
        </w:rPr>
        <w:t>,</w:t>
      </w:r>
      <w:r w:rsidR="00A420CF">
        <w:rPr>
          <w:vertAlign w:val="superscript"/>
          <w:lang w:eastAsia="ja-JP"/>
        </w:rPr>
        <w:t>20</w:t>
      </w:r>
      <w:r w:rsidRPr="006F7C49">
        <w:rPr>
          <w:lang w:eastAsia="ja-JP"/>
        </w:rPr>
        <w:t>.</w:t>
      </w:r>
    </w:p>
    <w:p w14:paraId="37C47E09" w14:textId="1DA16B43" w:rsidR="00CB6813" w:rsidRDefault="00CB6813" w:rsidP="00CB6813">
      <w:pPr>
        <w:pStyle w:val="Heading4"/>
      </w:pPr>
      <w:bookmarkStart w:id="21" w:name="_Toc171942657"/>
      <w:r>
        <w:t>C</w:t>
      </w:r>
      <w:r w:rsidRPr="00DE1344">
        <w:t>linical rational</w:t>
      </w:r>
      <w:r w:rsidR="0025785B">
        <w:t>e</w:t>
      </w:r>
      <w:bookmarkEnd w:id="21"/>
    </w:p>
    <w:p w14:paraId="6D86A130" w14:textId="77777777" w:rsidR="00F2726D" w:rsidRPr="009350B6" w:rsidRDefault="00F2726D" w:rsidP="00F744CB">
      <w:pPr>
        <w:pStyle w:val="Heading5"/>
        <w:rPr>
          <w:lang w:eastAsia="ja-JP"/>
        </w:rPr>
      </w:pPr>
      <w:bookmarkStart w:id="22" w:name="_Toc103679291"/>
      <w:r w:rsidRPr="009350B6">
        <w:rPr>
          <w:lang w:eastAsia="ja-JP"/>
        </w:rPr>
        <w:t>Breast cancer</w:t>
      </w:r>
    </w:p>
    <w:p w14:paraId="0EDA9A57" w14:textId="70AB4F43" w:rsidR="00BE3DE1" w:rsidRDefault="00F2726D" w:rsidP="00FD24E8">
      <w:pPr>
        <w:jc w:val="both"/>
        <w:rPr>
          <w:b/>
          <w:lang w:eastAsia="ja-JP"/>
        </w:rPr>
      </w:pPr>
      <w:r w:rsidRPr="000F5F98">
        <w:rPr>
          <w:lang w:eastAsia="ja-JP"/>
        </w:rPr>
        <w:t xml:space="preserve">Olaparib  is a potent oral human </w:t>
      </w:r>
      <w:r w:rsidR="00BE3DE1">
        <w:rPr>
          <w:lang w:eastAsia="ja-JP"/>
        </w:rPr>
        <w:t>p</w:t>
      </w:r>
      <w:r w:rsidR="002462B2" w:rsidRPr="002462B2">
        <w:rPr>
          <w:lang w:eastAsia="ja-JP"/>
        </w:rPr>
        <w:t xml:space="preserve">olyadenosine 5’diphosphororibose polymerase </w:t>
      </w:r>
      <w:r w:rsidR="002462B2">
        <w:rPr>
          <w:lang w:eastAsia="ja-JP"/>
        </w:rPr>
        <w:t>(</w:t>
      </w:r>
      <w:r w:rsidRPr="000F5F98">
        <w:rPr>
          <w:lang w:eastAsia="ja-JP"/>
        </w:rPr>
        <w:t>PARP</w:t>
      </w:r>
      <w:r w:rsidR="002462B2">
        <w:rPr>
          <w:lang w:eastAsia="ja-JP"/>
        </w:rPr>
        <w:t>)</w:t>
      </w:r>
      <w:r w:rsidRPr="000F5F98">
        <w:rPr>
          <w:lang w:eastAsia="ja-JP"/>
        </w:rPr>
        <w:t xml:space="preserve"> inhibitor (PARP-1, PARP-2, and</w:t>
      </w:r>
      <w:r>
        <w:rPr>
          <w:lang w:eastAsia="ja-JP"/>
        </w:rPr>
        <w:t xml:space="preserve"> </w:t>
      </w:r>
      <w:r w:rsidRPr="000F5F98">
        <w:rPr>
          <w:lang w:eastAsia="ja-JP"/>
        </w:rPr>
        <w:t>PARP-3).</w:t>
      </w:r>
      <w:r>
        <w:rPr>
          <w:lang w:eastAsia="ja-JP"/>
        </w:rPr>
        <w:t xml:space="preserve"> </w:t>
      </w:r>
      <w:r w:rsidRPr="000F5F98">
        <w:rPr>
          <w:lang w:eastAsia="ja-JP"/>
        </w:rPr>
        <w:t xml:space="preserve">The antitumour effects of the PARP inhibitor </w:t>
      </w:r>
      <w:r>
        <w:rPr>
          <w:lang w:eastAsia="ja-JP"/>
        </w:rPr>
        <w:t xml:space="preserve">(PARPi) </w:t>
      </w:r>
      <w:r w:rsidRPr="000F5F98">
        <w:rPr>
          <w:lang w:eastAsia="ja-JP"/>
        </w:rPr>
        <w:t>olaparib is dependent on an underlying defect in</w:t>
      </w:r>
      <w:r>
        <w:rPr>
          <w:lang w:eastAsia="ja-JP"/>
        </w:rPr>
        <w:t xml:space="preserve"> </w:t>
      </w:r>
      <w:r w:rsidRPr="000F5F98">
        <w:rPr>
          <w:lang w:eastAsia="ja-JP"/>
        </w:rPr>
        <w:t>a cancer cell</w:t>
      </w:r>
      <w:r>
        <w:rPr>
          <w:rFonts w:eastAsia="MS Gothic"/>
          <w:lang w:eastAsia="ja-JP"/>
        </w:rPr>
        <w:t>’</w:t>
      </w:r>
      <w:r w:rsidRPr="000F5F98">
        <w:rPr>
          <w:lang w:eastAsia="ja-JP"/>
        </w:rPr>
        <w:t xml:space="preserve">s </w:t>
      </w:r>
      <w:r>
        <w:rPr>
          <w:lang w:eastAsia="ja-JP"/>
        </w:rPr>
        <w:t>DNA damage response</w:t>
      </w:r>
      <w:r w:rsidRPr="000F5F98">
        <w:rPr>
          <w:lang w:eastAsia="ja-JP"/>
        </w:rPr>
        <w:t xml:space="preserve"> </w:t>
      </w:r>
      <w:r>
        <w:rPr>
          <w:lang w:eastAsia="ja-JP"/>
        </w:rPr>
        <w:t xml:space="preserve">(DDR) </w:t>
      </w:r>
      <w:r w:rsidRPr="000F5F98">
        <w:rPr>
          <w:lang w:eastAsia="ja-JP"/>
        </w:rPr>
        <w:t>mechanisms, rather than a direct interaction with a mutated gene or</w:t>
      </w:r>
      <w:r>
        <w:rPr>
          <w:lang w:eastAsia="ja-JP"/>
        </w:rPr>
        <w:t xml:space="preserve"> </w:t>
      </w:r>
      <w:r w:rsidRPr="000F5F98">
        <w:rPr>
          <w:lang w:eastAsia="ja-JP"/>
        </w:rPr>
        <w:t xml:space="preserve">protein. These defects in DDR mechanisms arise from cells with </w:t>
      </w:r>
      <w:r w:rsidRPr="001D703A">
        <w:rPr>
          <w:lang w:eastAsia="ja-JP"/>
        </w:rPr>
        <w:t>homologous recombination deficiencies</w:t>
      </w:r>
      <w:r>
        <w:rPr>
          <w:lang w:eastAsia="ja-JP"/>
        </w:rPr>
        <w:t xml:space="preserve"> (</w:t>
      </w:r>
      <w:r w:rsidRPr="000F5F98">
        <w:rPr>
          <w:lang w:eastAsia="ja-JP"/>
        </w:rPr>
        <w:t>HRD</w:t>
      </w:r>
      <w:r>
        <w:rPr>
          <w:lang w:eastAsia="ja-JP"/>
        </w:rPr>
        <w:t>)</w:t>
      </w:r>
      <w:r w:rsidRPr="000F5F98">
        <w:rPr>
          <w:lang w:eastAsia="ja-JP"/>
        </w:rPr>
        <w:t xml:space="preserve">, of which </w:t>
      </w:r>
      <w:r w:rsidRPr="00061178">
        <w:rPr>
          <w:i/>
          <w:lang w:eastAsia="ja-JP"/>
        </w:rPr>
        <w:t>BRCA</w:t>
      </w:r>
      <w:r>
        <w:rPr>
          <w:lang w:eastAsia="ja-JP"/>
        </w:rPr>
        <w:t xml:space="preserve"> </w:t>
      </w:r>
      <w:r w:rsidRPr="000F5F98">
        <w:rPr>
          <w:lang w:eastAsia="ja-JP"/>
        </w:rPr>
        <w:t>mutations are one subtype. Olaparib traps PARP at the sites of single-strand DNA damage and</w:t>
      </w:r>
      <w:r>
        <w:rPr>
          <w:lang w:eastAsia="ja-JP"/>
        </w:rPr>
        <w:t xml:space="preserve"> </w:t>
      </w:r>
      <w:r w:rsidRPr="000F5F98">
        <w:rPr>
          <w:lang w:eastAsia="ja-JP"/>
        </w:rPr>
        <w:t>prevents their repair</w:t>
      </w:r>
      <w:r w:rsidR="00A420CF">
        <w:rPr>
          <w:rStyle w:val="FootnoteReference"/>
          <w:lang w:eastAsia="ja-JP"/>
        </w:rPr>
        <w:footnoteReference w:id="23"/>
      </w:r>
      <w:r w:rsidRPr="000F5F98">
        <w:rPr>
          <w:lang w:eastAsia="ja-JP"/>
        </w:rPr>
        <w:t xml:space="preserve">. During replication, the </w:t>
      </w:r>
      <w:r>
        <w:rPr>
          <w:lang w:eastAsia="ja-JP"/>
        </w:rPr>
        <w:t>single strand breaks (</w:t>
      </w:r>
      <w:r w:rsidRPr="000F5F98">
        <w:rPr>
          <w:lang w:eastAsia="ja-JP"/>
        </w:rPr>
        <w:t>SSBs</w:t>
      </w:r>
      <w:r>
        <w:rPr>
          <w:lang w:eastAsia="ja-JP"/>
        </w:rPr>
        <w:t>)</w:t>
      </w:r>
      <w:r w:rsidRPr="000F5F98">
        <w:rPr>
          <w:lang w:eastAsia="ja-JP"/>
        </w:rPr>
        <w:t xml:space="preserve"> trapped with PARP are</w:t>
      </w:r>
      <w:r>
        <w:rPr>
          <w:lang w:eastAsia="ja-JP"/>
        </w:rPr>
        <w:t xml:space="preserve"> </w:t>
      </w:r>
      <w:r w:rsidRPr="000F5F98">
        <w:rPr>
          <w:lang w:eastAsia="ja-JP"/>
        </w:rPr>
        <w:t xml:space="preserve">converted to </w:t>
      </w:r>
      <w:r>
        <w:rPr>
          <w:lang w:eastAsia="ja-JP"/>
        </w:rPr>
        <w:t>double strand breaks (</w:t>
      </w:r>
      <w:r w:rsidRPr="000F5F98">
        <w:rPr>
          <w:lang w:eastAsia="ja-JP"/>
        </w:rPr>
        <w:t>DSBs</w:t>
      </w:r>
      <w:r>
        <w:rPr>
          <w:lang w:eastAsia="ja-JP"/>
        </w:rPr>
        <w:t>)</w:t>
      </w:r>
      <w:r w:rsidRPr="000F5F98">
        <w:rPr>
          <w:lang w:eastAsia="ja-JP"/>
        </w:rPr>
        <w:t>. These DSBs are normally repaired by a high-fidelity process known as</w:t>
      </w:r>
      <w:r>
        <w:rPr>
          <w:lang w:eastAsia="ja-JP"/>
        </w:rPr>
        <w:t xml:space="preserve"> homologous recombination repair (</w:t>
      </w:r>
      <w:r w:rsidRPr="000F5F98">
        <w:rPr>
          <w:lang w:eastAsia="ja-JP"/>
        </w:rPr>
        <w:t>HRR</w:t>
      </w:r>
      <w:r>
        <w:rPr>
          <w:lang w:eastAsia="ja-JP"/>
        </w:rPr>
        <w:t>)</w:t>
      </w:r>
      <w:r w:rsidRPr="000F5F98">
        <w:rPr>
          <w:lang w:eastAsia="ja-JP"/>
        </w:rPr>
        <w:t xml:space="preserve">. </w:t>
      </w:r>
      <w:r w:rsidRPr="001D703A">
        <w:rPr>
          <w:i/>
          <w:lang w:eastAsia="ja-JP"/>
        </w:rPr>
        <w:t>BRCA</w:t>
      </w:r>
      <w:r w:rsidRPr="000F5F98">
        <w:rPr>
          <w:lang w:eastAsia="ja-JP"/>
        </w:rPr>
        <w:t xml:space="preserve"> mutated tumours with HRD cannot accurately repair the DNA damage, which</w:t>
      </w:r>
      <w:r>
        <w:rPr>
          <w:lang w:eastAsia="ja-JP"/>
        </w:rPr>
        <w:t xml:space="preserve"> </w:t>
      </w:r>
      <w:r w:rsidRPr="000F5F98">
        <w:rPr>
          <w:lang w:eastAsia="ja-JP"/>
        </w:rPr>
        <w:t>may become lethal to cells as it accumulates. In such tumour types, olaparib offers a</w:t>
      </w:r>
      <w:r>
        <w:rPr>
          <w:lang w:eastAsia="ja-JP"/>
        </w:rPr>
        <w:t xml:space="preserve"> </w:t>
      </w:r>
      <w:r w:rsidRPr="000F5F98">
        <w:rPr>
          <w:lang w:eastAsia="ja-JP"/>
        </w:rPr>
        <w:t>potentially efficacious and less toxic cancer treatment.</w:t>
      </w:r>
    </w:p>
    <w:p w14:paraId="6EAC90DD" w14:textId="350B5578" w:rsidR="00F2726D" w:rsidRPr="009350B6" w:rsidRDefault="00F2726D" w:rsidP="00F744CB">
      <w:pPr>
        <w:pStyle w:val="Heading5"/>
        <w:rPr>
          <w:lang w:eastAsia="ja-JP"/>
        </w:rPr>
      </w:pPr>
      <w:r w:rsidRPr="009350B6">
        <w:rPr>
          <w:lang w:eastAsia="ja-JP"/>
        </w:rPr>
        <w:t>Prostate cancer</w:t>
      </w:r>
    </w:p>
    <w:p w14:paraId="6D3E60C6" w14:textId="1B962F3A" w:rsidR="00F2726D" w:rsidRPr="009350B6" w:rsidRDefault="00F2726D" w:rsidP="003D2F18">
      <w:r w:rsidRPr="009350B6">
        <w:t xml:space="preserve">Although there are several treatment options for </w:t>
      </w:r>
      <w:r w:rsidR="00BE3DE1" w:rsidRPr="00BE3DE1">
        <w:t>mCRPC</w:t>
      </w:r>
      <w:r w:rsidRPr="009350B6">
        <w:t>, the disease is incurable. A median</w:t>
      </w:r>
      <w:r>
        <w:t xml:space="preserve"> </w:t>
      </w:r>
      <w:r w:rsidRPr="009350B6">
        <w:t>PFS of approximately 16-</w:t>
      </w:r>
      <w:r>
        <w:t>20</w:t>
      </w:r>
      <w:r w:rsidRPr="009350B6">
        <w:t xml:space="preserve"> months is obtained with early treatment initiation with NHAs</w:t>
      </w:r>
      <w:r w:rsidR="00A420CF">
        <w:rPr>
          <w:rStyle w:val="FootnoteReference"/>
        </w:rPr>
        <w:footnoteReference w:id="24"/>
      </w:r>
      <w:r w:rsidR="00A420CF">
        <w:t>,</w:t>
      </w:r>
      <w:r w:rsidR="00A420CF">
        <w:rPr>
          <w:rStyle w:val="FootnoteReference"/>
        </w:rPr>
        <w:footnoteReference w:id="25"/>
      </w:r>
      <w:r w:rsidRPr="009350B6">
        <w:t>, and they are the preferred treatment choice in the first-line</w:t>
      </w:r>
      <w:r>
        <w:t xml:space="preserve"> </w:t>
      </w:r>
      <w:r w:rsidRPr="009350B6">
        <w:t>setting</w:t>
      </w:r>
      <w:r w:rsidR="00A420CF" w:rsidRPr="00583A23">
        <w:rPr>
          <w:vertAlign w:val="superscript"/>
        </w:rPr>
        <w:t>20,21</w:t>
      </w:r>
      <w:r w:rsidRPr="009350B6">
        <w:t>.</w:t>
      </w:r>
    </w:p>
    <w:p w14:paraId="0D137AC1" w14:textId="7F5F6D3C" w:rsidR="00F2726D" w:rsidRPr="009350B6" w:rsidRDefault="00F2726D" w:rsidP="003D2F18">
      <w:pPr>
        <w:rPr>
          <w:lang w:eastAsia="ja-JP"/>
        </w:rPr>
      </w:pPr>
      <w:r w:rsidRPr="009350B6">
        <w:t>However, following progression after first-line NHA therapy, the current treatment paradigm</w:t>
      </w:r>
      <w:r>
        <w:t xml:space="preserve"> </w:t>
      </w:r>
      <w:r w:rsidRPr="009350B6">
        <w:t>is either to re-treat with another NHA or to use a taxane-based chemotherapy agent (docetaxel</w:t>
      </w:r>
      <w:r>
        <w:t xml:space="preserve"> </w:t>
      </w:r>
      <w:r w:rsidRPr="009350B6">
        <w:t>or cabazitaxel). There is also evidence of significantly diminishing efficacy with subsequent</w:t>
      </w:r>
      <w:r>
        <w:t xml:space="preserve"> </w:t>
      </w:r>
      <w:r w:rsidRPr="009350B6">
        <w:t>lines of NHA therapy with no additional efficacy benefit of taxane-based therapies</w:t>
      </w:r>
      <w:r w:rsidR="004533C8">
        <w:rPr>
          <w:rStyle w:val="FootnoteReference"/>
        </w:rPr>
        <w:footnoteReference w:id="26"/>
      </w:r>
      <w:r w:rsidR="004533C8" w:rsidRPr="00583A23">
        <w:rPr>
          <w:vertAlign w:val="superscript"/>
        </w:rPr>
        <w:t>,</w:t>
      </w:r>
      <w:r w:rsidR="004533C8">
        <w:rPr>
          <w:rStyle w:val="FootnoteReference"/>
        </w:rPr>
        <w:footnoteReference w:id="27"/>
      </w:r>
      <w:r w:rsidRPr="009350B6">
        <w:t>. As such, evaluation of a new</w:t>
      </w:r>
      <w:r>
        <w:t xml:space="preserve"> </w:t>
      </w:r>
      <w:r w:rsidRPr="009350B6">
        <w:t xml:space="preserve">treatment option that would allow for early intervention in the course of </w:t>
      </w:r>
      <w:r w:rsidR="00BE3DE1" w:rsidRPr="00BE3DE1">
        <w:lastRenderedPageBreak/>
        <w:t xml:space="preserve">mCRPC </w:t>
      </w:r>
      <w:r w:rsidRPr="009350B6">
        <w:t>and that</w:t>
      </w:r>
      <w:r>
        <w:t xml:space="preserve"> </w:t>
      </w:r>
      <w:r w:rsidRPr="009350B6">
        <w:t>could also prolong the treatment duration of available therapies, delay disease progression,</w:t>
      </w:r>
      <w:r>
        <w:t xml:space="preserve"> </w:t>
      </w:r>
      <w:r w:rsidRPr="009350B6">
        <w:t>and improve long-term outcomes in this setting is warranted.</w:t>
      </w:r>
    </w:p>
    <w:p w14:paraId="0D615854" w14:textId="77777777" w:rsidR="00324B33" w:rsidRPr="003F31A2" w:rsidRDefault="00324B33" w:rsidP="00324B33">
      <w:pPr>
        <w:pStyle w:val="Heading3"/>
      </w:pPr>
      <w:bookmarkStart w:id="23" w:name="_Toc171942658"/>
      <w:r>
        <w:t>Regulatory status</w:t>
      </w:r>
      <w:bookmarkEnd w:id="18"/>
      <w:bookmarkEnd w:id="19"/>
      <w:bookmarkEnd w:id="22"/>
      <w:bookmarkEnd w:id="23"/>
    </w:p>
    <w:p w14:paraId="72C889D6" w14:textId="7E200950" w:rsidR="0017005C" w:rsidRPr="00BD5DBD" w:rsidRDefault="0017005C" w:rsidP="00741AB9">
      <w:pPr>
        <w:pStyle w:val="Heading4"/>
      </w:pPr>
      <w:bookmarkStart w:id="24" w:name="_Toc171942659"/>
      <w:r w:rsidRPr="00BD5DBD">
        <w:t>Australian regulatory</w:t>
      </w:r>
      <w:r>
        <w:t xml:space="preserve"> sta</w:t>
      </w:r>
      <w:r w:rsidR="0025785B">
        <w:t>t</w:t>
      </w:r>
      <w:r>
        <w:t>us</w:t>
      </w:r>
      <w:bookmarkEnd w:id="24"/>
    </w:p>
    <w:p w14:paraId="71BF29A3" w14:textId="3A8C872C" w:rsidR="00CF6A55" w:rsidRDefault="001A10EC" w:rsidP="00CF6A55">
      <w:pPr>
        <w:rPr>
          <w:szCs w:val="22"/>
        </w:rPr>
      </w:pPr>
      <w:r>
        <w:rPr>
          <w:szCs w:val="22"/>
        </w:rPr>
        <w:t>Lynparza</w:t>
      </w:r>
      <w:r w:rsidR="002462B2">
        <w:rPr>
          <w:szCs w:val="22"/>
        </w:rPr>
        <w:t xml:space="preserve"> </w:t>
      </w:r>
      <w:r w:rsidR="00CF6A55" w:rsidRPr="00BD5DBD">
        <w:rPr>
          <w:szCs w:val="22"/>
        </w:rPr>
        <w:t xml:space="preserve">received initial registration </w:t>
      </w:r>
      <w:r w:rsidR="00CF6A55">
        <w:rPr>
          <w:szCs w:val="22"/>
        </w:rPr>
        <w:t>in</w:t>
      </w:r>
      <w:r w:rsidR="00CF6A55" w:rsidRPr="00BD5DBD">
        <w:rPr>
          <w:szCs w:val="22"/>
        </w:rPr>
        <w:t xml:space="preserve"> the </w:t>
      </w:r>
      <w:hyperlink r:id="rId19" w:history="1">
        <w:r w:rsidR="00CF6A55" w:rsidRPr="00BD5DBD">
          <w:rPr>
            <w:rStyle w:val="Hyperlink"/>
            <w:szCs w:val="22"/>
          </w:rPr>
          <w:t>Australian Register of Therapeutic Goods</w:t>
        </w:r>
      </w:hyperlink>
      <w:r w:rsidR="00CF6A55" w:rsidRPr="00BD5DBD">
        <w:rPr>
          <w:szCs w:val="22"/>
        </w:rPr>
        <w:t xml:space="preserve"> (</w:t>
      </w:r>
      <w:hyperlink r:id="rId20" w:history="1">
        <w:r w:rsidR="00CF6A55" w:rsidRPr="00BD5DBD">
          <w:rPr>
            <w:rStyle w:val="Hyperlink"/>
            <w:szCs w:val="22"/>
          </w:rPr>
          <w:t>ARTG</w:t>
        </w:r>
      </w:hyperlink>
      <w:r w:rsidR="00CF6A55" w:rsidRPr="00BD5DBD">
        <w:rPr>
          <w:szCs w:val="22"/>
        </w:rPr>
        <w:t>) on</w:t>
      </w:r>
      <w:r w:rsidR="00CF6A55">
        <w:rPr>
          <w:szCs w:val="22"/>
        </w:rPr>
        <w:t xml:space="preserve"> </w:t>
      </w:r>
      <w:r w:rsidR="008E1295">
        <w:rPr>
          <w:szCs w:val="22"/>
        </w:rPr>
        <w:t>7 January 2016</w:t>
      </w:r>
      <w:r w:rsidR="00B575C3">
        <w:rPr>
          <w:szCs w:val="22"/>
        </w:rPr>
        <w:t xml:space="preserve">. </w:t>
      </w:r>
      <w:r w:rsidR="00CF6A55">
        <w:rPr>
          <w:szCs w:val="22"/>
        </w:rPr>
        <w:t>I</w:t>
      </w:r>
      <w:r w:rsidR="00CF6A55" w:rsidRPr="00BD5DBD">
        <w:rPr>
          <w:szCs w:val="22"/>
        </w:rPr>
        <w:t>t was approved for the following indications</w:t>
      </w:r>
      <w:r w:rsidR="006C6615">
        <w:rPr>
          <w:rStyle w:val="FootnoteReference"/>
          <w:szCs w:val="22"/>
        </w:rPr>
        <w:footnoteReference w:id="28"/>
      </w:r>
      <w:r w:rsidR="00CF6A55" w:rsidRPr="00BD5DBD">
        <w:rPr>
          <w:szCs w:val="22"/>
        </w:rPr>
        <w:t>:</w:t>
      </w:r>
    </w:p>
    <w:p w14:paraId="6CBAC6A1" w14:textId="3101DC1D" w:rsidR="00C95725" w:rsidRDefault="00C95725" w:rsidP="00C95725">
      <w:pPr>
        <w:ind w:left="720"/>
        <w:rPr>
          <w:i/>
          <w:iCs/>
        </w:rPr>
      </w:pPr>
      <w:r w:rsidRPr="00C95725">
        <w:rPr>
          <w:i/>
          <w:iCs/>
        </w:rPr>
        <w:t>Olaparib is indicated as monotherapy for the maintenance treatment of patients with platinum-sensitive relapsed BRCA-mutated (germline or somatic) high grade serous epithelial ovarian, fallopian tube or primary peritoneal cancer who are in response (complete response or partial response) after platinum-based chemotherapy. Prior treatment must have included at least 2 courses of platinum-based regimens.</w:t>
      </w:r>
    </w:p>
    <w:p w14:paraId="307CB0CF" w14:textId="425FFAB7" w:rsidR="00C95725" w:rsidRPr="00C95725" w:rsidRDefault="00C95725" w:rsidP="00C95725">
      <w:pPr>
        <w:rPr>
          <w:szCs w:val="22"/>
        </w:rPr>
      </w:pPr>
      <w:r>
        <w:rPr>
          <w:szCs w:val="22"/>
        </w:rPr>
        <w:t xml:space="preserve">On 23 May 2018, </w:t>
      </w:r>
      <w:r w:rsidR="001A10EC">
        <w:rPr>
          <w:szCs w:val="22"/>
        </w:rPr>
        <w:t>Lynparza</w:t>
      </w:r>
      <w:r>
        <w:rPr>
          <w:szCs w:val="22"/>
        </w:rPr>
        <w:t xml:space="preserve"> was registered on ARTG for the following extension of indications</w:t>
      </w:r>
      <w:r w:rsidR="000C51F0">
        <w:rPr>
          <w:rStyle w:val="FootnoteReference"/>
          <w:szCs w:val="22"/>
        </w:rPr>
        <w:footnoteReference w:id="29"/>
      </w:r>
      <w:r>
        <w:rPr>
          <w:szCs w:val="22"/>
        </w:rPr>
        <w:t>:</w:t>
      </w:r>
    </w:p>
    <w:p w14:paraId="1FEAD892" w14:textId="7361E411" w:rsidR="008B3873" w:rsidRDefault="001A10EC" w:rsidP="008B3873">
      <w:pPr>
        <w:pStyle w:val="Indication"/>
        <w:rPr>
          <w:szCs w:val="22"/>
        </w:rPr>
      </w:pPr>
      <w:r>
        <w:rPr>
          <w:shd w:val="clear" w:color="auto" w:fill="FFFFFF"/>
        </w:rPr>
        <w:t>Lynparza</w:t>
      </w:r>
      <w:r w:rsidR="008B3873">
        <w:rPr>
          <w:shd w:val="clear" w:color="auto" w:fill="FFFFFF"/>
        </w:rPr>
        <w:t xml:space="preserve"> (tablets) is now also indicated as a monotherapy for the maintenance treatment of adult patients with platinum- sensitive relapsed high grade epithelial ovarian, fallopian tube or primary peritoneal cancer who are in response (complete response or partial response) after platinum-based chemotherapy. Prior treatment must have included at least 2 courses of platinum-based regimens.</w:t>
      </w:r>
    </w:p>
    <w:p w14:paraId="2A71B576" w14:textId="38E9ED47" w:rsidR="00303E6D" w:rsidRDefault="00303E6D" w:rsidP="00CF6A55">
      <w:pPr>
        <w:rPr>
          <w:szCs w:val="22"/>
        </w:rPr>
      </w:pPr>
      <w:r>
        <w:rPr>
          <w:szCs w:val="22"/>
        </w:rPr>
        <w:t xml:space="preserve">On 7 August 2018, </w:t>
      </w:r>
      <w:r w:rsidR="001A10EC">
        <w:rPr>
          <w:szCs w:val="22"/>
        </w:rPr>
        <w:t>Lynparza</w:t>
      </w:r>
      <w:r>
        <w:rPr>
          <w:szCs w:val="22"/>
        </w:rPr>
        <w:t xml:space="preserve"> was registered for the following extension of indications:</w:t>
      </w:r>
    </w:p>
    <w:p w14:paraId="3322C315" w14:textId="24A084E1" w:rsidR="00303E6D" w:rsidRDefault="001A10EC" w:rsidP="00303E6D">
      <w:pPr>
        <w:pStyle w:val="Indication"/>
        <w:rPr>
          <w:shd w:val="clear" w:color="auto" w:fill="FFFFFF"/>
        </w:rPr>
      </w:pPr>
      <w:r>
        <w:rPr>
          <w:shd w:val="clear" w:color="auto" w:fill="FFFFFF"/>
        </w:rPr>
        <w:t>Lynparza</w:t>
      </w:r>
      <w:r w:rsidR="00303E6D">
        <w:rPr>
          <w:shd w:val="clear" w:color="auto" w:fill="FFFFFF"/>
        </w:rPr>
        <w:t xml:space="preserve"> (tablets) is now indicated as monotherapy for the treatment of adult patients with germline BRCA mutated HER2-negative metastatic breast cancer who have previously been treated with chemotherapy in the neoadjuvant, adjuvant or metastatic setting. Germline BRCA mutation (gBRCAm) status should be determined by an experienced laboratory using a validated test method.</w:t>
      </w:r>
    </w:p>
    <w:p w14:paraId="27403104" w14:textId="238E01C3" w:rsidR="00F53F0E" w:rsidRDefault="00F53F0E" w:rsidP="00303E6D">
      <w:r>
        <w:t xml:space="preserve">On 21 June 2019, </w:t>
      </w:r>
      <w:r w:rsidR="001A10EC">
        <w:t>Lynparza</w:t>
      </w:r>
      <w:r>
        <w:t xml:space="preserve"> was registered for the following extension of indications:</w:t>
      </w:r>
    </w:p>
    <w:p w14:paraId="27B589CC" w14:textId="33C54C85" w:rsidR="00F53F0E" w:rsidRPr="00F53F0E" w:rsidRDefault="001A10EC" w:rsidP="00F53F0E">
      <w:pPr>
        <w:pStyle w:val="Indication"/>
        <w:rPr>
          <w:lang w:eastAsia="en-AU"/>
        </w:rPr>
      </w:pPr>
      <w:r>
        <w:rPr>
          <w:lang w:eastAsia="en-AU"/>
        </w:rPr>
        <w:t>Lynparza</w:t>
      </w:r>
      <w:r w:rsidR="00F53F0E" w:rsidRPr="00F53F0E">
        <w:rPr>
          <w:lang w:eastAsia="en-AU"/>
        </w:rPr>
        <w:t xml:space="preserve"> (film coated tablets) is now also indicated as monotherapy for the:</w:t>
      </w:r>
    </w:p>
    <w:p w14:paraId="7A741320" w14:textId="77777777" w:rsidR="00F53F0E" w:rsidRPr="00F53F0E" w:rsidRDefault="00F53F0E" w:rsidP="00F53F0E">
      <w:pPr>
        <w:pStyle w:val="Indication"/>
        <w:rPr>
          <w:lang w:eastAsia="en-AU"/>
        </w:rPr>
      </w:pPr>
      <w:r w:rsidRPr="00F53F0E">
        <w:rPr>
          <w:lang w:eastAsia="en-AU"/>
        </w:rPr>
        <w:t>maintenance treatment of adult patients with advanced BRCA-mutated (germline or somatic) high-grade epithelial ovarian, fallopian tube or primary peritoneal cancer who are in response (complete response or partial response) to first-line platinum-based chemotherapy. BRCA mutation status should be determined by an experienced laboratory using a validated test method.</w:t>
      </w:r>
    </w:p>
    <w:p w14:paraId="429458AF" w14:textId="5503D779" w:rsidR="00BF400F" w:rsidRDefault="00BF400F" w:rsidP="00CF6A55">
      <w:pPr>
        <w:rPr>
          <w:szCs w:val="22"/>
        </w:rPr>
      </w:pPr>
      <w:r>
        <w:rPr>
          <w:szCs w:val="22"/>
        </w:rPr>
        <w:t xml:space="preserve">On 10 March 2021, </w:t>
      </w:r>
      <w:r w:rsidR="001A10EC">
        <w:rPr>
          <w:szCs w:val="22"/>
        </w:rPr>
        <w:t>Lynparza</w:t>
      </w:r>
      <w:r>
        <w:rPr>
          <w:szCs w:val="22"/>
        </w:rPr>
        <w:t xml:space="preserve"> was registered for the following extensions of indications</w:t>
      </w:r>
      <w:r w:rsidR="00C07B07">
        <w:rPr>
          <w:rStyle w:val="FootnoteReference"/>
          <w:szCs w:val="22"/>
        </w:rPr>
        <w:footnoteReference w:id="30"/>
      </w:r>
      <w:r>
        <w:rPr>
          <w:szCs w:val="22"/>
        </w:rPr>
        <w:t>:</w:t>
      </w:r>
    </w:p>
    <w:p w14:paraId="384E93D8" w14:textId="0D64C22C" w:rsidR="00BF400F" w:rsidRDefault="001A10EC" w:rsidP="00BF400F">
      <w:pPr>
        <w:pStyle w:val="Indication"/>
      </w:pPr>
      <w:r>
        <w:t>Lynparza</w:t>
      </w:r>
      <w:r w:rsidR="00BF400F">
        <w:t xml:space="preserve"> (tablet) in combination with bevacizumab is now also indicated for </w:t>
      </w:r>
      <w:r w:rsidR="00FD24E8">
        <w:t>the maintenance</w:t>
      </w:r>
      <w:r w:rsidR="00BF400F">
        <w:t xml:space="preserve"> treatment of adult patients with advanced epithelial ovarian, fallopian tube or primary peritoneal cancer who are in complete or partial response to first-line platinum-based chemotherapy and whose cancer is associated with homologous recombination deficiency (HRD)-positive status defined by </w:t>
      </w:r>
      <w:r w:rsidR="00FD24E8">
        <w:t>either: a</w:t>
      </w:r>
      <w:r w:rsidR="00BF400F">
        <w:t xml:space="preserve"> deleterious or suspected </w:t>
      </w:r>
      <w:r w:rsidR="00BF400F" w:rsidRPr="008277BA">
        <w:t>deleterious BRCA</w:t>
      </w:r>
      <w:r w:rsidR="00BF400F">
        <w:t> mutation (germline or somatic), and/or</w:t>
      </w:r>
    </w:p>
    <w:p w14:paraId="16C66319" w14:textId="3D2B1041" w:rsidR="00BF400F" w:rsidRDefault="00BF400F" w:rsidP="00BF400F">
      <w:pPr>
        <w:pStyle w:val="Indication"/>
      </w:pPr>
      <w:r>
        <w:t>genomic instability</w:t>
      </w:r>
      <w:r w:rsidR="00031F86">
        <w:t>.</w:t>
      </w:r>
      <w:r>
        <w:br/>
        <w:t>HRD status should be determined by an experienced laboratory using a validated test method.</w:t>
      </w:r>
    </w:p>
    <w:p w14:paraId="17891D1F" w14:textId="75621CF9" w:rsidR="00BF400F" w:rsidRDefault="001A10EC" w:rsidP="00BF400F">
      <w:pPr>
        <w:pStyle w:val="Indication"/>
      </w:pPr>
      <w:r>
        <w:t>Lynparza</w:t>
      </w:r>
      <w:r w:rsidR="00BF400F">
        <w:t xml:space="preserve"> is now also indicated as monotherapy for the:</w:t>
      </w:r>
    </w:p>
    <w:p w14:paraId="022EFED0" w14:textId="77777777" w:rsidR="00BF400F" w:rsidRDefault="00BF400F" w:rsidP="00BF400F">
      <w:pPr>
        <w:pStyle w:val="Indication"/>
      </w:pPr>
      <w:r>
        <w:lastRenderedPageBreak/>
        <w:t xml:space="preserve">maintenance treatment of adult patients with deleterious or suspected </w:t>
      </w:r>
      <w:r w:rsidRPr="000A156D">
        <w:t>deleterious gBRCAm</w:t>
      </w:r>
      <w:r>
        <w:t> metastatic pancreatic adenocarcinoma whose disease has not progressed on at least 16 weeks of a first-line platinum-based chemotherapy regimen. Germline </w:t>
      </w:r>
      <w:r>
        <w:rPr>
          <w:rStyle w:val="latin"/>
          <w:rFonts w:ascii="Segoe UI" w:hAnsi="Segoe UI" w:cs="Segoe UI"/>
          <w:i w:val="0"/>
          <w:iCs/>
          <w:color w:val="313131"/>
        </w:rPr>
        <w:t>BRCA</w:t>
      </w:r>
      <w:r>
        <w:t> mutation (gBRCAm) status should be determined by an experienced laboratory using a validated test method.</w:t>
      </w:r>
    </w:p>
    <w:p w14:paraId="17D0424C" w14:textId="707CF716" w:rsidR="00015286" w:rsidRDefault="00015286" w:rsidP="00CF6A55">
      <w:pPr>
        <w:rPr>
          <w:szCs w:val="22"/>
        </w:rPr>
      </w:pPr>
      <w:r>
        <w:rPr>
          <w:szCs w:val="22"/>
        </w:rPr>
        <w:t xml:space="preserve">On </w:t>
      </w:r>
      <w:r w:rsidR="009D1D28">
        <w:rPr>
          <w:szCs w:val="22"/>
        </w:rPr>
        <w:t xml:space="preserve">23 March 2021, </w:t>
      </w:r>
      <w:r w:rsidR="001A10EC">
        <w:rPr>
          <w:szCs w:val="22"/>
        </w:rPr>
        <w:t>Lynparza</w:t>
      </w:r>
      <w:r w:rsidR="009D1D28">
        <w:rPr>
          <w:szCs w:val="22"/>
        </w:rPr>
        <w:t xml:space="preserve"> was registered for the following extension of indications:</w:t>
      </w:r>
    </w:p>
    <w:p w14:paraId="252EF956" w14:textId="3964B377" w:rsidR="009D1D28" w:rsidRPr="009D1D28" w:rsidRDefault="001A10EC" w:rsidP="009D1D28">
      <w:pPr>
        <w:pStyle w:val="Indication"/>
        <w:rPr>
          <w:lang w:eastAsia="en-AU"/>
        </w:rPr>
      </w:pPr>
      <w:r>
        <w:rPr>
          <w:lang w:eastAsia="en-AU"/>
        </w:rPr>
        <w:t>Lynparza</w:t>
      </w:r>
      <w:r w:rsidR="009D1D28" w:rsidRPr="009D1D28">
        <w:rPr>
          <w:lang w:eastAsia="en-AU"/>
        </w:rPr>
        <w:t xml:space="preserve"> (tablet) is now also indicated as monotherapy for the</w:t>
      </w:r>
    </w:p>
    <w:p w14:paraId="4AE730C3" w14:textId="77777777" w:rsidR="00F84F7A" w:rsidRDefault="009D1D28" w:rsidP="00F84F7A">
      <w:pPr>
        <w:pStyle w:val="Indication"/>
        <w:rPr>
          <w:lang w:eastAsia="en-AU"/>
        </w:rPr>
      </w:pPr>
      <w:r w:rsidRPr="009D1D28">
        <w:rPr>
          <w:lang w:eastAsia="en-AU"/>
        </w:rPr>
        <w:t>treatment of adult patients with </w:t>
      </w:r>
      <w:r w:rsidRPr="009D1D28">
        <w:rPr>
          <w:iCs/>
          <w:lang w:eastAsia="en-AU"/>
        </w:rPr>
        <w:t>BRCA</w:t>
      </w:r>
      <w:r w:rsidRPr="009D1D28">
        <w:rPr>
          <w:lang w:eastAsia="en-AU"/>
        </w:rPr>
        <w:t>-mutated (germline and/or somatic) metastatic castration-resistant prostate cancer who have progressed following prior therapy that included a new hormonal agent. </w:t>
      </w:r>
      <w:r w:rsidRPr="009D1D28">
        <w:rPr>
          <w:iCs/>
          <w:lang w:eastAsia="en-AU"/>
        </w:rPr>
        <w:t>BRCA</w:t>
      </w:r>
      <w:r w:rsidRPr="009D1D28">
        <w:rPr>
          <w:lang w:eastAsia="en-AU"/>
        </w:rPr>
        <w:t> mutation status should be determined by an experienced laboratory using a validated test method.</w:t>
      </w:r>
    </w:p>
    <w:p w14:paraId="546C1031" w14:textId="3E0EB224" w:rsidR="0017005C" w:rsidRDefault="001A10EC" w:rsidP="0017005C">
      <w:pPr>
        <w:pStyle w:val="Heading4"/>
      </w:pPr>
      <w:bookmarkStart w:id="25" w:name="_Toc171942660"/>
      <w:r w:rsidRPr="001A10EC">
        <w:t>International regulatory status</w:t>
      </w:r>
      <w:bookmarkEnd w:id="25"/>
    </w:p>
    <w:p w14:paraId="48CDFF4E" w14:textId="4470A9EB" w:rsidR="00C133AB" w:rsidRDefault="00C133AB" w:rsidP="00C133AB">
      <w:pPr>
        <w:rPr>
          <w:szCs w:val="22"/>
        </w:rPr>
      </w:pPr>
      <w:r w:rsidRPr="00BD5DBD">
        <w:rPr>
          <w:szCs w:val="22"/>
        </w:rPr>
        <w:t xml:space="preserve">This evaluation was facilitated through </w:t>
      </w:r>
      <w:hyperlink r:id="rId21" w:history="1">
        <w:r w:rsidRPr="00BD5DBD">
          <w:rPr>
            <w:rStyle w:val="Hyperlink"/>
            <w:szCs w:val="22"/>
          </w:rPr>
          <w:t>Project Orbis</w:t>
        </w:r>
      </w:hyperlink>
      <w:r w:rsidRPr="00BD5DBD">
        <w:rPr>
          <w:szCs w:val="22"/>
        </w:rPr>
        <w:t xml:space="preserve">, an initiative of the United States Food and Drug Administration (FDA) Oncology Center of Excellence. Under this project, the </w:t>
      </w:r>
      <w:r w:rsidRPr="00774789">
        <w:t>FDA</w:t>
      </w:r>
      <w:r w:rsidR="000E1869">
        <w:t xml:space="preserve">, </w:t>
      </w:r>
      <w:r w:rsidRPr="00774789">
        <w:t>Health Sciences Authority (Singapore</w:t>
      </w:r>
      <w:r w:rsidR="000E1869">
        <w:t xml:space="preserve">) </w:t>
      </w:r>
      <w:r w:rsidRPr="00BD5DBD">
        <w:rPr>
          <w:szCs w:val="22"/>
        </w:rPr>
        <w:t>and the TGA collaboratively reviewed the submission. This evaluation process provided a framework for process alignment and management of evaluation issues in real-time across jurisdictions. Each regulator made independent decisions regarding approval (market authorisation) of the new medicine.</w:t>
      </w:r>
    </w:p>
    <w:p w14:paraId="7FDF4A0B" w14:textId="4CB52014" w:rsidR="000E1869" w:rsidRDefault="008F4A62" w:rsidP="009759C6">
      <w:pPr>
        <w:rPr>
          <w:rFonts w:eastAsia="Cambria" w:cs="Times New Roman"/>
          <w:i/>
          <w:color w:val="007099"/>
          <w:szCs w:val="22"/>
        </w:rPr>
      </w:pPr>
      <w:r w:rsidRPr="00BD5DBD">
        <w:rPr>
          <w:szCs w:val="22"/>
        </w:rPr>
        <w:t>At the time the TGA considered this submission, similar submission</w:t>
      </w:r>
      <w:r w:rsidR="00CE1F1A">
        <w:rPr>
          <w:szCs w:val="22"/>
        </w:rPr>
        <w:t>s</w:t>
      </w:r>
      <w:r w:rsidRPr="00BD5DBD">
        <w:rPr>
          <w:szCs w:val="22"/>
        </w:rPr>
        <w:t xml:space="preserve"> had been </w:t>
      </w:r>
      <w:r>
        <w:rPr>
          <w:szCs w:val="22"/>
        </w:rPr>
        <w:t>considered by other regulatory agencies</w:t>
      </w:r>
      <w:r w:rsidR="00E42339">
        <w:rPr>
          <w:szCs w:val="22"/>
        </w:rPr>
        <w:t xml:space="preserve"> for the treatment of </w:t>
      </w:r>
      <w:r w:rsidR="009759C6">
        <w:rPr>
          <w:szCs w:val="22"/>
        </w:rPr>
        <w:t>p</w:t>
      </w:r>
      <w:r w:rsidR="009759C6" w:rsidRPr="009759C6">
        <w:rPr>
          <w:szCs w:val="22"/>
        </w:rPr>
        <w:t>atients with BRCA1/2 Mutations in HER2-Negative</w:t>
      </w:r>
      <w:r w:rsidR="009759C6">
        <w:rPr>
          <w:szCs w:val="22"/>
        </w:rPr>
        <w:t xml:space="preserve"> </w:t>
      </w:r>
      <w:r w:rsidR="009759C6" w:rsidRPr="009759C6">
        <w:rPr>
          <w:szCs w:val="22"/>
        </w:rPr>
        <w:t>High Risk Early Breast Cancer</w:t>
      </w:r>
      <w:r w:rsidR="00E42339">
        <w:rPr>
          <w:szCs w:val="22"/>
        </w:rPr>
        <w:t>, and the t</w:t>
      </w:r>
      <w:r w:rsidR="00E42339" w:rsidRPr="00E42339">
        <w:rPr>
          <w:szCs w:val="22"/>
        </w:rPr>
        <w:t>reatment of Metastatic Castration Resistant Prostate Cancer (mCRPC) in</w:t>
      </w:r>
      <w:r w:rsidR="00E42339">
        <w:rPr>
          <w:szCs w:val="22"/>
        </w:rPr>
        <w:t xml:space="preserve"> c</w:t>
      </w:r>
      <w:r w:rsidR="00E42339" w:rsidRPr="00E42339">
        <w:rPr>
          <w:szCs w:val="22"/>
        </w:rPr>
        <w:t xml:space="preserve">ombination with </w:t>
      </w:r>
      <w:r w:rsidR="00E42339">
        <w:rPr>
          <w:szCs w:val="22"/>
        </w:rPr>
        <w:t>a</w:t>
      </w:r>
      <w:r w:rsidR="00E42339" w:rsidRPr="00E42339">
        <w:rPr>
          <w:szCs w:val="22"/>
        </w:rPr>
        <w:t xml:space="preserve">biraterone and </w:t>
      </w:r>
      <w:r w:rsidR="00E42339">
        <w:rPr>
          <w:szCs w:val="22"/>
        </w:rPr>
        <w:t>p</w:t>
      </w:r>
      <w:r w:rsidR="00E42339" w:rsidRPr="00E42339">
        <w:rPr>
          <w:szCs w:val="22"/>
        </w:rPr>
        <w:t xml:space="preserve">rednisone or </w:t>
      </w:r>
      <w:r w:rsidR="00E42339">
        <w:rPr>
          <w:szCs w:val="22"/>
        </w:rPr>
        <w:t>p</w:t>
      </w:r>
      <w:r w:rsidR="00E42339" w:rsidRPr="00E42339">
        <w:rPr>
          <w:szCs w:val="22"/>
        </w:rPr>
        <w:t>rednisolone</w:t>
      </w:r>
      <w:r>
        <w:rPr>
          <w:szCs w:val="22"/>
        </w:rPr>
        <w:t xml:space="preserve">. </w:t>
      </w:r>
      <w:r w:rsidR="00CE1F1A">
        <w:rPr>
          <w:szCs w:val="22"/>
        </w:rPr>
        <w:t>Table 1 and 2</w:t>
      </w:r>
      <w:r w:rsidRPr="00BD5DBD">
        <w:rPr>
          <w:szCs w:val="22"/>
        </w:rPr>
        <w:t xml:space="preserve"> summarise these submissions and provides the indications where approved.</w:t>
      </w:r>
      <w:r>
        <w:rPr>
          <w:szCs w:val="22"/>
        </w:rPr>
        <w:t xml:space="preserve"> </w:t>
      </w:r>
    </w:p>
    <w:p w14:paraId="19B9E0AC" w14:textId="076F593F" w:rsidR="00324B33" w:rsidRDefault="00324B33" w:rsidP="00EE12E9">
      <w:pPr>
        <w:pStyle w:val="TableTitle"/>
      </w:pPr>
      <w:bookmarkStart w:id="26" w:name="_Ref99705479"/>
      <w:r>
        <w:t xml:space="preserve">Table </w:t>
      </w:r>
      <w:r>
        <w:fldChar w:fldCharType="begin"/>
      </w:r>
      <w:r>
        <w:instrText xml:space="preserve"> SEQ Table \* ARABIC </w:instrText>
      </w:r>
      <w:r>
        <w:fldChar w:fldCharType="separate"/>
      </w:r>
      <w:r w:rsidR="00E042C2">
        <w:rPr>
          <w:noProof/>
        </w:rPr>
        <w:t>1</w:t>
      </w:r>
      <w:r>
        <w:rPr>
          <w:noProof/>
        </w:rPr>
        <w:fldChar w:fldCharType="end"/>
      </w:r>
      <w:bookmarkEnd w:id="26"/>
      <w:r>
        <w:t>: International regulatory status</w:t>
      </w:r>
      <w:r w:rsidR="007A3E09">
        <w:t xml:space="preserve"> </w:t>
      </w:r>
      <w:r w:rsidR="00DC0E0E">
        <w:t xml:space="preserve">for </w:t>
      </w:r>
      <w:r w:rsidR="00EE12E9">
        <w:t xml:space="preserve">Adjuvant Treatment of Patients with BRCA1/2 Mutations in HER2-Negative High Risk Early Breast Cancer </w:t>
      </w:r>
      <w:r w:rsidR="007A3E09">
        <w:t>at the time of product registration.</w:t>
      </w:r>
    </w:p>
    <w:tbl>
      <w:tblPr>
        <w:tblStyle w:val="TableTGAblue2023"/>
        <w:tblW w:w="5000" w:type="pct"/>
        <w:tblLook w:val="04A0" w:firstRow="1" w:lastRow="0" w:firstColumn="1" w:lastColumn="0" w:noHBand="0" w:noVBand="1"/>
      </w:tblPr>
      <w:tblGrid>
        <w:gridCol w:w="1455"/>
        <w:gridCol w:w="1498"/>
        <w:gridCol w:w="1625"/>
        <w:gridCol w:w="4482"/>
      </w:tblGrid>
      <w:tr w:rsidR="00BE3DE1" w:rsidRPr="00BE3DE1" w14:paraId="405E5D78" w14:textId="16839333" w:rsidTr="008A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85B099B" w14:textId="7A4C0E6C" w:rsidR="00324B33" w:rsidRPr="00F744CB" w:rsidRDefault="00324B33" w:rsidP="00F744CB">
            <w:pPr>
              <w:rPr>
                <w:color w:val="auto"/>
              </w:rPr>
            </w:pPr>
            <w:r w:rsidRPr="008A1D19">
              <w:t>Region</w:t>
            </w:r>
          </w:p>
        </w:tc>
        <w:tc>
          <w:tcPr>
            <w:tcW w:w="0" w:type="pct"/>
          </w:tcPr>
          <w:p w14:paraId="778C35C7" w14:textId="52D23C85" w:rsidR="00324B33" w:rsidRPr="008A1D19" w:rsidRDefault="00324B33" w:rsidP="00F744CB">
            <w:pPr>
              <w:cnfStyle w:val="100000000000" w:firstRow="1" w:lastRow="0" w:firstColumn="0" w:lastColumn="0" w:oddVBand="0" w:evenVBand="0" w:oddHBand="0" w:evenHBand="0" w:firstRowFirstColumn="0" w:firstRowLastColumn="0" w:lastRowFirstColumn="0" w:lastRowLastColumn="0"/>
            </w:pPr>
            <w:r w:rsidRPr="008A1D19">
              <w:t>Submission date</w:t>
            </w:r>
          </w:p>
        </w:tc>
        <w:tc>
          <w:tcPr>
            <w:tcW w:w="0" w:type="pct"/>
          </w:tcPr>
          <w:p w14:paraId="58F81584" w14:textId="66689ABF" w:rsidR="00324B33" w:rsidRPr="008A1D19" w:rsidRDefault="00324B33" w:rsidP="00F744CB">
            <w:pPr>
              <w:cnfStyle w:val="100000000000" w:firstRow="1" w:lastRow="0" w:firstColumn="0" w:lastColumn="0" w:oddVBand="0" w:evenVBand="0" w:oddHBand="0" w:evenHBand="0" w:firstRowFirstColumn="0" w:firstRowLastColumn="0" w:lastRowFirstColumn="0" w:lastRowLastColumn="0"/>
            </w:pPr>
            <w:r w:rsidRPr="008A1D19">
              <w:t>Status</w:t>
            </w:r>
          </w:p>
        </w:tc>
        <w:tc>
          <w:tcPr>
            <w:tcW w:w="0" w:type="pct"/>
          </w:tcPr>
          <w:p w14:paraId="50B2D435" w14:textId="560588D2" w:rsidR="00324B33" w:rsidRPr="008A1D19" w:rsidRDefault="00324B33" w:rsidP="00F744CB">
            <w:pPr>
              <w:cnfStyle w:val="100000000000" w:firstRow="1" w:lastRow="0" w:firstColumn="0" w:lastColumn="0" w:oddVBand="0" w:evenVBand="0" w:oddHBand="0" w:evenHBand="0" w:firstRowFirstColumn="0" w:firstRowLastColumn="0" w:lastRowFirstColumn="0" w:lastRowLastColumn="0"/>
            </w:pPr>
            <w:r w:rsidRPr="008A1D19">
              <w:t>Approved indications</w:t>
            </w:r>
          </w:p>
        </w:tc>
      </w:tr>
      <w:tr w:rsidR="00BE3DE1" w:rsidRPr="00BE3DE1" w14:paraId="38D24E86" w14:textId="77777777" w:rsidTr="008A1D19">
        <w:tc>
          <w:tcPr>
            <w:cnfStyle w:val="001000000000" w:firstRow="0" w:lastRow="0" w:firstColumn="1" w:lastColumn="0" w:oddVBand="0" w:evenVBand="0" w:oddHBand="0" w:evenHBand="0" w:firstRowFirstColumn="0" w:firstRowLastColumn="0" w:lastRowFirstColumn="0" w:lastRowLastColumn="0"/>
            <w:tcW w:w="766" w:type="pct"/>
          </w:tcPr>
          <w:p w14:paraId="4C540DE5" w14:textId="3191A770" w:rsidR="00324B33" w:rsidRPr="00583A23" w:rsidRDefault="000E1869" w:rsidP="00F744CB">
            <w:r w:rsidRPr="00583A23">
              <w:t>Canada</w:t>
            </w:r>
          </w:p>
        </w:tc>
        <w:tc>
          <w:tcPr>
            <w:tcW w:w="789" w:type="pct"/>
          </w:tcPr>
          <w:p w14:paraId="4FA5DDA9" w14:textId="4E902B90" w:rsidR="00324B33" w:rsidRPr="00583A23" w:rsidRDefault="000E1869" w:rsidP="00F744CB">
            <w:pPr>
              <w:cnfStyle w:val="000000000000" w:firstRow="0" w:lastRow="0" w:firstColumn="0" w:lastColumn="0" w:oddVBand="0" w:evenVBand="0" w:oddHBand="0" w:evenHBand="0" w:firstRowFirstColumn="0" w:firstRowLastColumn="0" w:lastRowFirstColumn="0" w:lastRowLastColumn="0"/>
            </w:pPr>
            <w:r w:rsidRPr="00583A23">
              <w:t>9 December 2021</w:t>
            </w:r>
          </w:p>
        </w:tc>
        <w:tc>
          <w:tcPr>
            <w:tcW w:w="856" w:type="pct"/>
          </w:tcPr>
          <w:p w14:paraId="29358393" w14:textId="3BDF3175" w:rsidR="00324B33" w:rsidRPr="00583A23" w:rsidRDefault="000E1869" w:rsidP="00F744CB">
            <w:pPr>
              <w:cnfStyle w:val="000000000000" w:firstRow="0" w:lastRow="0" w:firstColumn="0" w:lastColumn="0" w:oddVBand="0" w:evenVBand="0" w:oddHBand="0" w:evenHBand="0" w:firstRowFirstColumn="0" w:firstRowLastColumn="0" w:lastRowFirstColumn="0" w:lastRowLastColumn="0"/>
            </w:pPr>
            <w:r w:rsidRPr="00583A23">
              <w:t xml:space="preserve">Approved on 27 July 2022 </w:t>
            </w:r>
          </w:p>
        </w:tc>
        <w:tc>
          <w:tcPr>
            <w:tcW w:w="2589" w:type="pct"/>
          </w:tcPr>
          <w:p w14:paraId="05055674" w14:textId="560C3BF6" w:rsidR="00324B33" w:rsidRPr="00583A23" w:rsidRDefault="001A10EC" w:rsidP="00F744CB">
            <w:pPr>
              <w:cnfStyle w:val="000000000000" w:firstRow="0" w:lastRow="0" w:firstColumn="0" w:lastColumn="0" w:oddVBand="0" w:evenVBand="0" w:oddHBand="0" w:evenHBand="0" w:firstRowFirstColumn="0" w:firstRowLastColumn="0" w:lastRowFirstColumn="0" w:lastRowLastColumn="0"/>
            </w:pPr>
            <w:r>
              <w:t>Lynparza</w:t>
            </w:r>
            <w:r w:rsidR="00B47FEC" w:rsidRPr="00583A23">
              <w:t xml:space="preserve"> (olaparib) indicated as adjuvant treatment of adult patients with deleterious or suspected deleterious germline BRCA mutated (BRCAm), human epidermal growth factor receptor 2 (HER2)-negative high risk early breast cancer who have been treated with neoadjuvant or adjuvant chemotherapy. Patients must have confirmation of germline BRCA mutation before </w:t>
            </w:r>
            <w:r>
              <w:t>Lynparza</w:t>
            </w:r>
            <w:r w:rsidR="00B47FEC" w:rsidRPr="00583A23">
              <w:t xml:space="preserve"> treatment is initiated.</w:t>
            </w:r>
          </w:p>
        </w:tc>
      </w:tr>
      <w:tr w:rsidR="00BE3DE1" w:rsidRPr="00BE3DE1" w14:paraId="18B6E2AA" w14:textId="7783D66F" w:rsidTr="008A1D19">
        <w:tc>
          <w:tcPr>
            <w:cnfStyle w:val="001000000000" w:firstRow="0" w:lastRow="0" w:firstColumn="1" w:lastColumn="0" w:oddVBand="0" w:evenVBand="0" w:oddHBand="0" w:evenHBand="0" w:firstRowFirstColumn="0" w:firstRowLastColumn="0" w:lastRowFirstColumn="0" w:lastRowLastColumn="0"/>
            <w:tcW w:w="766" w:type="pct"/>
          </w:tcPr>
          <w:p w14:paraId="7F348960" w14:textId="101FEDBF" w:rsidR="00324B33" w:rsidRPr="00583A23" w:rsidRDefault="00B47FEC" w:rsidP="00F744CB">
            <w:r w:rsidRPr="00583A23">
              <w:t xml:space="preserve">European Union </w:t>
            </w:r>
          </w:p>
        </w:tc>
        <w:tc>
          <w:tcPr>
            <w:tcW w:w="789" w:type="pct"/>
          </w:tcPr>
          <w:p w14:paraId="1D871E57" w14:textId="21E7154B" w:rsidR="00324B33" w:rsidRPr="00583A23" w:rsidRDefault="00875F00" w:rsidP="00F744CB">
            <w:pPr>
              <w:cnfStyle w:val="000000000000" w:firstRow="0" w:lastRow="0" w:firstColumn="0" w:lastColumn="0" w:oddVBand="0" w:evenVBand="0" w:oddHBand="0" w:evenHBand="0" w:firstRowFirstColumn="0" w:firstRowLastColumn="0" w:lastRowFirstColumn="0" w:lastRowLastColumn="0"/>
            </w:pPr>
            <w:r w:rsidRPr="00583A23">
              <w:t>11 October 2021</w:t>
            </w:r>
          </w:p>
        </w:tc>
        <w:tc>
          <w:tcPr>
            <w:tcW w:w="856" w:type="pct"/>
          </w:tcPr>
          <w:p w14:paraId="63A3A9D3" w14:textId="4B02EDAF" w:rsidR="00324B33" w:rsidRPr="00583A23" w:rsidRDefault="00875F00" w:rsidP="00F744CB">
            <w:pPr>
              <w:cnfStyle w:val="000000000000" w:firstRow="0" w:lastRow="0" w:firstColumn="0" w:lastColumn="0" w:oddVBand="0" w:evenVBand="0" w:oddHBand="0" w:evenHBand="0" w:firstRowFirstColumn="0" w:firstRowLastColumn="0" w:lastRowFirstColumn="0" w:lastRowLastColumn="0"/>
            </w:pPr>
            <w:r w:rsidRPr="00583A23">
              <w:t>Approved on 2 August 2022</w:t>
            </w:r>
          </w:p>
        </w:tc>
        <w:tc>
          <w:tcPr>
            <w:tcW w:w="2589" w:type="pct"/>
          </w:tcPr>
          <w:p w14:paraId="7547750D" w14:textId="77777777" w:rsidR="00875F00" w:rsidRPr="00583A23" w:rsidRDefault="00875F00" w:rsidP="00F744CB">
            <w:pPr>
              <w:cnfStyle w:val="000000000000" w:firstRow="0" w:lastRow="0" w:firstColumn="0" w:lastColumn="0" w:oddVBand="0" w:evenVBand="0" w:oddHBand="0" w:evenHBand="0" w:firstRowFirstColumn="0" w:firstRowLastColumn="0" w:lastRowFirstColumn="0" w:lastRowLastColumn="0"/>
              <w:rPr>
                <w:i/>
                <w:iCs/>
              </w:rPr>
            </w:pPr>
            <w:r w:rsidRPr="00583A23">
              <w:rPr>
                <w:i/>
                <w:iCs/>
              </w:rPr>
              <w:t>Breast cancer</w:t>
            </w:r>
          </w:p>
          <w:p w14:paraId="17C650B8" w14:textId="7946B31F" w:rsidR="00324B33" w:rsidRPr="00583A23" w:rsidRDefault="001A10EC" w:rsidP="00F744CB">
            <w:pPr>
              <w:cnfStyle w:val="000000000000" w:firstRow="0" w:lastRow="0" w:firstColumn="0" w:lastColumn="0" w:oddVBand="0" w:evenVBand="0" w:oddHBand="0" w:evenHBand="0" w:firstRowFirstColumn="0" w:firstRowLastColumn="0" w:lastRowFirstColumn="0" w:lastRowLastColumn="0"/>
            </w:pPr>
            <w:r>
              <w:t>Lynparza</w:t>
            </w:r>
            <w:r w:rsidR="00875F00" w:rsidRPr="00583A23">
              <w:t xml:space="preserve"> is indicated as monotherapy or in combination with endocrine therapy for the adjuvant treatment of adult patients with germline BRCA1/2-mutations who have HER2-negative, high risk early breast cancer previously treated with neoadjuvant or adjuvant chemotherapy</w:t>
            </w:r>
          </w:p>
        </w:tc>
      </w:tr>
      <w:tr w:rsidR="00BE3DE1" w:rsidRPr="00BE3DE1" w14:paraId="79A75DFF" w14:textId="77777777" w:rsidTr="008A1D19">
        <w:tc>
          <w:tcPr>
            <w:cnfStyle w:val="001000000000" w:firstRow="0" w:lastRow="0" w:firstColumn="1" w:lastColumn="0" w:oddVBand="0" w:evenVBand="0" w:oddHBand="0" w:evenHBand="0" w:firstRowFirstColumn="0" w:firstRowLastColumn="0" w:lastRowFirstColumn="0" w:lastRowLastColumn="0"/>
            <w:tcW w:w="766" w:type="pct"/>
          </w:tcPr>
          <w:p w14:paraId="10B99A9A" w14:textId="71C15703" w:rsidR="00875F00" w:rsidRPr="00583A23" w:rsidRDefault="00875F00" w:rsidP="00F744CB">
            <w:r w:rsidRPr="00583A23">
              <w:lastRenderedPageBreak/>
              <w:t>New Zealand</w:t>
            </w:r>
          </w:p>
        </w:tc>
        <w:tc>
          <w:tcPr>
            <w:tcW w:w="789" w:type="pct"/>
          </w:tcPr>
          <w:p w14:paraId="3B6CB022" w14:textId="11B15FC1" w:rsidR="00875F00" w:rsidRPr="00583A23" w:rsidRDefault="00875F00" w:rsidP="00F744CB">
            <w:pPr>
              <w:cnfStyle w:val="000000000000" w:firstRow="0" w:lastRow="0" w:firstColumn="0" w:lastColumn="0" w:oddVBand="0" w:evenVBand="0" w:oddHBand="0" w:evenHBand="0" w:firstRowFirstColumn="0" w:firstRowLastColumn="0" w:lastRowFirstColumn="0" w:lastRowLastColumn="0"/>
            </w:pPr>
            <w:r w:rsidRPr="00583A23">
              <w:t>19 May 2022</w:t>
            </w:r>
          </w:p>
        </w:tc>
        <w:tc>
          <w:tcPr>
            <w:tcW w:w="856" w:type="pct"/>
          </w:tcPr>
          <w:p w14:paraId="53ADDCF2" w14:textId="4482D87F" w:rsidR="00875F00" w:rsidRPr="00583A23" w:rsidRDefault="00875F00" w:rsidP="00F744CB">
            <w:pPr>
              <w:cnfStyle w:val="000000000000" w:firstRow="0" w:lastRow="0" w:firstColumn="0" w:lastColumn="0" w:oddVBand="0" w:evenVBand="0" w:oddHBand="0" w:evenHBand="0" w:firstRowFirstColumn="0" w:firstRowLastColumn="0" w:lastRowFirstColumn="0" w:lastRowLastColumn="0"/>
            </w:pPr>
            <w:r w:rsidRPr="00583A23">
              <w:t>Under consideration</w:t>
            </w:r>
          </w:p>
        </w:tc>
        <w:tc>
          <w:tcPr>
            <w:tcW w:w="2589" w:type="pct"/>
          </w:tcPr>
          <w:p w14:paraId="50020C86" w14:textId="5B38DCBC" w:rsidR="00875F00" w:rsidRPr="00583A23" w:rsidRDefault="00875F00" w:rsidP="00F744CB">
            <w:pPr>
              <w:cnfStyle w:val="000000000000" w:firstRow="0" w:lastRow="0" w:firstColumn="0" w:lastColumn="0" w:oddVBand="0" w:evenVBand="0" w:oddHBand="0" w:evenHBand="0" w:firstRowFirstColumn="0" w:firstRowLastColumn="0" w:lastRowFirstColumn="0" w:lastRowLastColumn="0"/>
            </w:pPr>
            <w:r w:rsidRPr="00583A23">
              <w:t>Under consideration</w:t>
            </w:r>
          </w:p>
        </w:tc>
      </w:tr>
      <w:tr w:rsidR="00BE3DE1" w:rsidRPr="00BE3DE1" w14:paraId="129EF3A5" w14:textId="77777777" w:rsidTr="008A1D19">
        <w:tc>
          <w:tcPr>
            <w:cnfStyle w:val="001000000000" w:firstRow="0" w:lastRow="0" w:firstColumn="1" w:lastColumn="0" w:oddVBand="0" w:evenVBand="0" w:oddHBand="0" w:evenHBand="0" w:firstRowFirstColumn="0" w:firstRowLastColumn="0" w:lastRowFirstColumn="0" w:lastRowLastColumn="0"/>
            <w:tcW w:w="766" w:type="pct"/>
          </w:tcPr>
          <w:p w14:paraId="5FB72F6D" w14:textId="6F02D49E" w:rsidR="00875F00" w:rsidRPr="00583A23" w:rsidRDefault="00875F00" w:rsidP="00F744CB">
            <w:r w:rsidRPr="00583A23">
              <w:t>Singapore</w:t>
            </w:r>
          </w:p>
        </w:tc>
        <w:tc>
          <w:tcPr>
            <w:tcW w:w="789" w:type="pct"/>
          </w:tcPr>
          <w:p w14:paraId="11A36462" w14:textId="061BE708" w:rsidR="00875F00" w:rsidRPr="00583A23" w:rsidRDefault="00875F00" w:rsidP="00F744CB">
            <w:pPr>
              <w:cnfStyle w:val="000000000000" w:firstRow="0" w:lastRow="0" w:firstColumn="0" w:lastColumn="0" w:oddVBand="0" w:evenVBand="0" w:oddHBand="0" w:evenHBand="0" w:firstRowFirstColumn="0" w:firstRowLastColumn="0" w:lastRowFirstColumn="0" w:lastRowLastColumn="0"/>
            </w:pPr>
            <w:r w:rsidRPr="00583A23">
              <w:t>17 March 2022</w:t>
            </w:r>
          </w:p>
        </w:tc>
        <w:tc>
          <w:tcPr>
            <w:tcW w:w="856" w:type="pct"/>
          </w:tcPr>
          <w:p w14:paraId="444EB9C6" w14:textId="41860BF9" w:rsidR="00875F00" w:rsidRPr="00583A23" w:rsidRDefault="00FD0C76" w:rsidP="00F744CB">
            <w:pPr>
              <w:cnfStyle w:val="000000000000" w:firstRow="0" w:lastRow="0" w:firstColumn="0" w:lastColumn="0" w:oddVBand="0" w:evenVBand="0" w:oddHBand="0" w:evenHBand="0" w:firstRowFirstColumn="0" w:firstRowLastColumn="0" w:lastRowFirstColumn="0" w:lastRowLastColumn="0"/>
            </w:pPr>
            <w:r w:rsidRPr="00583A23">
              <w:t xml:space="preserve">Approved on </w:t>
            </w:r>
            <w:r w:rsidR="00875F00" w:rsidRPr="00583A23">
              <w:t>12 September 2022</w:t>
            </w:r>
          </w:p>
        </w:tc>
        <w:tc>
          <w:tcPr>
            <w:tcW w:w="2589" w:type="pct"/>
          </w:tcPr>
          <w:p w14:paraId="6492E277" w14:textId="059E0F31" w:rsidR="00FD0C76" w:rsidRPr="00583A23" w:rsidRDefault="001A10EC" w:rsidP="00F744CB">
            <w:pPr>
              <w:cnfStyle w:val="000000000000" w:firstRow="0" w:lastRow="0" w:firstColumn="0" w:lastColumn="0" w:oddVBand="0" w:evenVBand="0" w:oddHBand="0" w:evenHBand="0" w:firstRowFirstColumn="0" w:firstRowLastColumn="0" w:lastRowFirstColumn="0" w:lastRowLastColumn="0"/>
            </w:pPr>
            <w:r>
              <w:t>Lynparza</w:t>
            </w:r>
            <w:r w:rsidR="00FD0C76" w:rsidRPr="00583A23">
              <w:t xml:space="preserve"> is indicated:</w:t>
            </w:r>
          </w:p>
          <w:p w14:paraId="1B39C749" w14:textId="3518A7A6" w:rsidR="00875F00" w:rsidRPr="00583A23" w:rsidRDefault="00FD0C76" w:rsidP="00F744CB">
            <w:pPr>
              <w:cnfStyle w:val="000000000000" w:firstRow="0" w:lastRow="0" w:firstColumn="0" w:lastColumn="0" w:oddVBand="0" w:evenVBand="0" w:oddHBand="0" w:evenHBand="0" w:firstRowFirstColumn="0" w:firstRowLastColumn="0" w:lastRowFirstColumn="0" w:lastRowLastColumn="0"/>
            </w:pPr>
            <w:r w:rsidRPr="00583A23">
              <w:t>• for the adjuvant treatment of adult patients with germline BRCA-mutated HER2-negative high risk early breast cancer who have previously been treated with neoadjuvant or adjuvant chemotherapy (see sections 4.2 and 5.1).</w:t>
            </w:r>
          </w:p>
        </w:tc>
      </w:tr>
      <w:tr w:rsidR="00BE3DE1" w:rsidRPr="00BE3DE1" w14:paraId="14ABF701" w14:textId="77777777" w:rsidTr="008A1D19">
        <w:tc>
          <w:tcPr>
            <w:cnfStyle w:val="001000000000" w:firstRow="0" w:lastRow="0" w:firstColumn="1" w:lastColumn="0" w:oddVBand="0" w:evenVBand="0" w:oddHBand="0" w:evenHBand="0" w:firstRowFirstColumn="0" w:firstRowLastColumn="0" w:lastRowFirstColumn="0" w:lastRowLastColumn="0"/>
            <w:tcW w:w="766" w:type="pct"/>
          </w:tcPr>
          <w:p w14:paraId="64955A79" w14:textId="3A29E66B" w:rsidR="00FD0C76" w:rsidRPr="00583A23" w:rsidRDefault="00FD0C76" w:rsidP="00F744CB">
            <w:r w:rsidRPr="00583A23">
              <w:t>Switzerland</w:t>
            </w:r>
          </w:p>
        </w:tc>
        <w:tc>
          <w:tcPr>
            <w:tcW w:w="789" w:type="pct"/>
          </w:tcPr>
          <w:p w14:paraId="50BCC1E0" w14:textId="237BF48E" w:rsidR="00FD0C76" w:rsidRPr="00583A23" w:rsidRDefault="00FD0C76" w:rsidP="00F744CB">
            <w:pPr>
              <w:cnfStyle w:val="000000000000" w:firstRow="0" w:lastRow="0" w:firstColumn="0" w:lastColumn="0" w:oddVBand="0" w:evenVBand="0" w:oddHBand="0" w:evenHBand="0" w:firstRowFirstColumn="0" w:firstRowLastColumn="0" w:lastRowFirstColumn="0" w:lastRowLastColumn="0"/>
            </w:pPr>
            <w:r w:rsidRPr="00583A23">
              <w:t>10 November 2021</w:t>
            </w:r>
          </w:p>
        </w:tc>
        <w:tc>
          <w:tcPr>
            <w:tcW w:w="856" w:type="pct"/>
          </w:tcPr>
          <w:p w14:paraId="74669A1E" w14:textId="4563DB9C" w:rsidR="00FD0C76" w:rsidRPr="00583A23" w:rsidRDefault="00FD0C76" w:rsidP="00F744CB">
            <w:pPr>
              <w:cnfStyle w:val="000000000000" w:firstRow="0" w:lastRow="0" w:firstColumn="0" w:lastColumn="0" w:oddVBand="0" w:evenVBand="0" w:oddHBand="0" w:evenHBand="0" w:firstRowFirstColumn="0" w:firstRowLastColumn="0" w:lastRowFirstColumn="0" w:lastRowLastColumn="0"/>
            </w:pPr>
            <w:r w:rsidRPr="00583A23">
              <w:t xml:space="preserve">Approved on </w:t>
            </w:r>
            <w:r w:rsidR="00E436D9" w:rsidRPr="00583A23">
              <w:t>26 July 2022</w:t>
            </w:r>
          </w:p>
        </w:tc>
        <w:tc>
          <w:tcPr>
            <w:tcW w:w="2589" w:type="pct"/>
          </w:tcPr>
          <w:p w14:paraId="1F3378BF" w14:textId="7D7AC82D" w:rsidR="00FD0C76" w:rsidRPr="00583A23" w:rsidRDefault="00E436D9" w:rsidP="008A1D19">
            <w:pPr>
              <w:cnfStyle w:val="000000000000" w:firstRow="0" w:lastRow="0" w:firstColumn="0" w:lastColumn="0" w:oddVBand="0" w:evenVBand="0" w:oddHBand="0" w:evenHBand="0" w:firstRowFirstColumn="0" w:firstRowLastColumn="0" w:lastRowFirstColumn="0" w:lastRowLastColumn="0"/>
            </w:pPr>
            <w:r w:rsidRPr="00583A23">
              <w:t xml:space="preserve">HER2-negative early high risk breast cancer with gBRCA-mutation </w:t>
            </w:r>
            <w:r w:rsidR="00E8296F" w:rsidRPr="00583A23">
              <w:br/>
            </w:r>
            <w:r w:rsidR="001A10EC">
              <w:t>Lynparza</w:t>
            </w:r>
            <w:r w:rsidRPr="00583A23">
              <w:t xml:space="preserve"> film-coated tablets are indicated as monotherapy for the adjuvant treatment of adult patients with gBRCA-mutated HER2-negative early high risk breast cancer who have previously been treated with neoadjuvant or adjuvant chemotherapy</w:t>
            </w:r>
          </w:p>
        </w:tc>
      </w:tr>
      <w:tr w:rsidR="00BE3DE1" w:rsidRPr="00BE3DE1" w14:paraId="2B009A7F" w14:textId="77777777" w:rsidTr="008A1D19">
        <w:tc>
          <w:tcPr>
            <w:cnfStyle w:val="001000000000" w:firstRow="0" w:lastRow="0" w:firstColumn="1" w:lastColumn="0" w:oddVBand="0" w:evenVBand="0" w:oddHBand="0" w:evenHBand="0" w:firstRowFirstColumn="0" w:firstRowLastColumn="0" w:lastRowFirstColumn="0" w:lastRowLastColumn="0"/>
            <w:tcW w:w="766" w:type="pct"/>
          </w:tcPr>
          <w:p w14:paraId="2909284C" w14:textId="124231A9" w:rsidR="00E436D9" w:rsidRPr="00583A23" w:rsidRDefault="00E436D9" w:rsidP="00F744CB">
            <w:r w:rsidRPr="00583A23">
              <w:t>United Kingdom</w:t>
            </w:r>
          </w:p>
        </w:tc>
        <w:tc>
          <w:tcPr>
            <w:tcW w:w="789" w:type="pct"/>
          </w:tcPr>
          <w:p w14:paraId="5F5BA647" w14:textId="0E175A9F" w:rsidR="00E436D9" w:rsidRPr="00583A23" w:rsidRDefault="00E436D9" w:rsidP="00F744CB">
            <w:pPr>
              <w:cnfStyle w:val="000000000000" w:firstRow="0" w:lastRow="0" w:firstColumn="0" w:lastColumn="0" w:oddVBand="0" w:evenVBand="0" w:oddHBand="0" w:evenHBand="0" w:firstRowFirstColumn="0" w:firstRowLastColumn="0" w:lastRowFirstColumn="0" w:lastRowLastColumn="0"/>
            </w:pPr>
            <w:r w:rsidRPr="00583A23">
              <w:t>30 June 2022</w:t>
            </w:r>
          </w:p>
        </w:tc>
        <w:tc>
          <w:tcPr>
            <w:tcW w:w="856" w:type="pct"/>
          </w:tcPr>
          <w:p w14:paraId="5A06D43F" w14:textId="5E842CBA" w:rsidR="00E436D9" w:rsidRPr="00583A23" w:rsidRDefault="00E8296F" w:rsidP="00F744CB">
            <w:pPr>
              <w:cnfStyle w:val="000000000000" w:firstRow="0" w:lastRow="0" w:firstColumn="0" w:lastColumn="0" w:oddVBand="0" w:evenVBand="0" w:oddHBand="0" w:evenHBand="0" w:firstRowFirstColumn="0" w:firstRowLastColumn="0" w:lastRowFirstColumn="0" w:lastRowLastColumn="0"/>
            </w:pPr>
            <w:r w:rsidRPr="00583A23">
              <w:t xml:space="preserve">Approved on </w:t>
            </w:r>
            <w:r w:rsidR="00E436D9" w:rsidRPr="00583A23">
              <w:t>2 September 2022</w:t>
            </w:r>
          </w:p>
        </w:tc>
        <w:tc>
          <w:tcPr>
            <w:tcW w:w="2589" w:type="pct"/>
          </w:tcPr>
          <w:p w14:paraId="4F9CBA66" w14:textId="77777777" w:rsidR="00E8296F" w:rsidRPr="00583A23" w:rsidRDefault="00E8296F" w:rsidP="00F744CB">
            <w:pPr>
              <w:cnfStyle w:val="000000000000" w:firstRow="0" w:lastRow="0" w:firstColumn="0" w:lastColumn="0" w:oddVBand="0" w:evenVBand="0" w:oddHBand="0" w:evenHBand="0" w:firstRowFirstColumn="0" w:firstRowLastColumn="0" w:lastRowFirstColumn="0" w:lastRowLastColumn="0"/>
              <w:rPr>
                <w:rFonts w:cstheme="minorHAnsi"/>
                <w:i/>
                <w:iCs/>
              </w:rPr>
            </w:pPr>
            <w:r w:rsidRPr="00583A23">
              <w:rPr>
                <w:rFonts w:cstheme="minorHAnsi"/>
                <w:i/>
                <w:iCs/>
              </w:rPr>
              <w:t>Breast cancer</w:t>
            </w:r>
          </w:p>
          <w:p w14:paraId="530968A6" w14:textId="6A5E56D0" w:rsidR="00E436D9" w:rsidRPr="00583A23" w:rsidRDefault="001A10EC" w:rsidP="00F744CB">
            <w:pPr>
              <w:cnfStyle w:val="000000000000" w:firstRow="0" w:lastRow="0" w:firstColumn="0" w:lastColumn="0" w:oddVBand="0" w:evenVBand="0" w:oddHBand="0" w:evenHBand="0" w:firstRowFirstColumn="0" w:firstRowLastColumn="0" w:lastRowFirstColumn="0" w:lastRowLastColumn="0"/>
            </w:pPr>
            <w:r>
              <w:rPr>
                <w:rFonts w:eastAsia="TimesNewRoman" w:cstheme="minorHAnsi"/>
              </w:rPr>
              <w:t>Lynparza</w:t>
            </w:r>
            <w:r w:rsidR="00E8296F" w:rsidRPr="00583A23">
              <w:rPr>
                <w:rFonts w:eastAsia="TimesNewRoman" w:cstheme="minorHAnsi"/>
              </w:rPr>
              <w:t xml:space="preserve"> is indicated as monotherapy or in combination with endocrine therapy for the adjuvant treatment of adult patients with germline BRCA1/2-mutations who have HER2-negative, high risk early breast cancer previously treated with neoadjuvant or adjuvant chemotherapy</w:t>
            </w:r>
          </w:p>
        </w:tc>
      </w:tr>
      <w:tr w:rsidR="00BE3DE1" w:rsidRPr="00BE3DE1" w14:paraId="2B451AFF" w14:textId="77777777" w:rsidTr="008A1D19">
        <w:tc>
          <w:tcPr>
            <w:cnfStyle w:val="001000000000" w:firstRow="0" w:lastRow="0" w:firstColumn="1" w:lastColumn="0" w:oddVBand="0" w:evenVBand="0" w:oddHBand="0" w:evenHBand="0" w:firstRowFirstColumn="0" w:firstRowLastColumn="0" w:lastRowFirstColumn="0" w:lastRowLastColumn="0"/>
            <w:tcW w:w="766" w:type="pct"/>
          </w:tcPr>
          <w:p w14:paraId="66532DC2" w14:textId="4610998D" w:rsidR="00E8296F" w:rsidRPr="00583A23" w:rsidRDefault="00E8296F" w:rsidP="00F744CB">
            <w:r w:rsidRPr="00583A23">
              <w:t>United States</w:t>
            </w:r>
            <w:r w:rsidR="007B37E7" w:rsidRPr="00583A23">
              <w:t xml:space="preserve"> of America</w:t>
            </w:r>
          </w:p>
        </w:tc>
        <w:tc>
          <w:tcPr>
            <w:tcW w:w="789" w:type="pct"/>
          </w:tcPr>
          <w:p w14:paraId="200F55E1" w14:textId="34C71A50" w:rsidR="00E8296F" w:rsidRPr="00583A23" w:rsidRDefault="00E8296F" w:rsidP="00F744CB">
            <w:pPr>
              <w:cnfStyle w:val="000000000000" w:firstRow="0" w:lastRow="0" w:firstColumn="0" w:lastColumn="0" w:oddVBand="0" w:evenVBand="0" w:oddHBand="0" w:evenHBand="0" w:firstRowFirstColumn="0" w:firstRowLastColumn="0" w:lastRowFirstColumn="0" w:lastRowLastColumn="0"/>
            </w:pPr>
            <w:r w:rsidRPr="00583A23">
              <w:t xml:space="preserve">24 </w:t>
            </w:r>
            <w:r w:rsidR="007B5DD8" w:rsidRPr="00583A23">
              <w:t>September 2021</w:t>
            </w:r>
          </w:p>
        </w:tc>
        <w:tc>
          <w:tcPr>
            <w:tcW w:w="856" w:type="pct"/>
          </w:tcPr>
          <w:p w14:paraId="075E4985" w14:textId="504CAC53" w:rsidR="00E8296F" w:rsidRPr="00583A23" w:rsidRDefault="006F26C6" w:rsidP="00F744CB">
            <w:pPr>
              <w:cnfStyle w:val="000000000000" w:firstRow="0" w:lastRow="0" w:firstColumn="0" w:lastColumn="0" w:oddVBand="0" w:evenVBand="0" w:oddHBand="0" w:evenHBand="0" w:firstRowFirstColumn="0" w:firstRowLastColumn="0" w:lastRowFirstColumn="0" w:lastRowLastColumn="0"/>
            </w:pPr>
            <w:r w:rsidRPr="00583A23">
              <w:t xml:space="preserve">Approved on </w:t>
            </w:r>
            <w:r w:rsidR="007B5DD8" w:rsidRPr="00583A23">
              <w:t>11 March 2022</w:t>
            </w:r>
          </w:p>
        </w:tc>
        <w:tc>
          <w:tcPr>
            <w:tcW w:w="2589" w:type="pct"/>
          </w:tcPr>
          <w:p w14:paraId="61C9412E" w14:textId="767740E9" w:rsidR="007B5DD8" w:rsidRPr="00583A23" w:rsidRDefault="007B5DD8" w:rsidP="00F744CB">
            <w:pPr>
              <w:cnfStyle w:val="000000000000" w:firstRow="0" w:lastRow="0" w:firstColumn="0" w:lastColumn="0" w:oddVBand="0" w:evenVBand="0" w:oddHBand="0" w:evenHBand="0" w:firstRowFirstColumn="0" w:firstRowLastColumn="0" w:lastRowFirstColumn="0" w:lastRowLastColumn="0"/>
              <w:rPr>
                <w:rFonts w:cs="TimesNewRoman,Italic"/>
                <w:i/>
                <w:iCs/>
              </w:rPr>
            </w:pPr>
            <w:r w:rsidRPr="00583A23">
              <w:rPr>
                <w:rFonts w:cs="TimesNewRoman,Italic"/>
                <w:i/>
                <w:iCs/>
              </w:rPr>
              <w:t>Adjuvant Treatment of Germline BRCA-mutated HER2-negative High Risk Early Breast Cancer</w:t>
            </w:r>
          </w:p>
          <w:p w14:paraId="4737304F" w14:textId="40355C21" w:rsidR="00E8296F" w:rsidRPr="00583A23" w:rsidRDefault="001A10EC" w:rsidP="00F744CB">
            <w:pPr>
              <w:cnfStyle w:val="000000000000" w:firstRow="0" w:lastRow="0" w:firstColumn="0" w:lastColumn="0" w:oddVBand="0" w:evenVBand="0" w:oddHBand="0" w:evenHBand="0" w:firstRowFirstColumn="0" w:firstRowLastColumn="0" w:lastRowFirstColumn="0" w:lastRowLastColumn="0"/>
              <w:rPr>
                <w:rFonts w:cstheme="minorHAnsi"/>
                <w:i/>
                <w:iCs/>
              </w:rPr>
            </w:pPr>
            <w:r>
              <w:rPr>
                <w:rFonts w:eastAsia="TimesNewRoman" w:cs="TimesNewRoman"/>
              </w:rPr>
              <w:t>Lynparza</w:t>
            </w:r>
            <w:r w:rsidR="007B5DD8" w:rsidRPr="00583A23">
              <w:rPr>
                <w:rFonts w:eastAsia="TimesNewRoman" w:cs="TimesNewRoman"/>
              </w:rPr>
              <w:t xml:space="preserve"> is indicated for the adjuvant treatment of adult patients with deleterious or suspected deleterious gBRCAm human epidermal growth factor receptor 2 (HER2)-negative high risk early breast cancer who have been treated with neoadjuvant or adjuvant chemotherapy. Select patients for therapy based on an FDA-approved companion diagnostic for </w:t>
            </w:r>
            <w:r>
              <w:rPr>
                <w:rFonts w:eastAsia="TimesNewRoman" w:cs="TimesNewRoman"/>
              </w:rPr>
              <w:t>Lynparza</w:t>
            </w:r>
          </w:p>
        </w:tc>
      </w:tr>
      <w:tr w:rsidR="00BE3DE1" w:rsidRPr="00BE3DE1" w14:paraId="41660FDD" w14:textId="77777777" w:rsidTr="008A1D19">
        <w:tc>
          <w:tcPr>
            <w:cnfStyle w:val="001000000000" w:firstRow="0" w:lastRow="0" w:firstColumn="1" w:lastColumn="0" w:oddVBand="0" w:evenVBand="0" w:oddHBand="0" w:evenHBand="0" w:firstRowFirstColumn="0" w:firstRowLastColumn="0" w:lastRowFirstColumn="0" w:lastRowLastColumn="0"/>
            <w:tcW w:w="766" w:type="pct"/>
          </w:tcPr>
          <w:p w14:paraId="4E20A68D" w14:textId="122CD49F" w:rsidR="007B5DD8" w:rsidRPr="00583A23" w:rsidRDefault="007B5DD8" w:rsidP="00F744CB">
            <w:r w:rsidRPr="00583A23">
              <w:t xml:space="preserve">Brazil </w:t>
            </w:r>
          </w:p>
        </w:tc>
        <w:tc>
          <w:tcPr>
            <w:tcW w:w="789" w:type="pct"/>
          </w:tcPr>
          <w:p w14:paraId="55A25D5E" w14:textId="2F0A02EB" w:rsidR="007B5DD8" w:rsidRPr="00583A23" w:rsidRDefault="007B5DD8" w:rsidP="00F744CB">
            <w:pPr>
              <w:cnfStyle w:val="000000000000" w:firstRow="0" w:lastRow="0" w:firstColumn="0" w:lastColumn="0" w:oddVBand="0" w:evenVBand="0" w:oddHBand="0" w:evenHBand="0" w:firstRowFirstColumn="0" w:firstRowLastColumn="0" w:lastRowFirstColumn="0" w:lastRowLastColumn="0"/>
            </w:pPr>
            <w:r w:rsidRPr="00583A23">
              <w:t>30 November 2021</w:t>
            </w:r>
          </w:p>
        </w:tc>
        <w:tc>
          <w:tcPr>
            <w:tcW w:w="856" w:type="pct"/>
          </w:tcPr>
          <w:p w14:paraId="50E4B970" w14:textId="45B8AC51" w:rsidR="007B5DD8" w:rsidRPr="00583A23" w:rsidRDefault="006F26C6" w:rsidP="00F744CB">
            <w:pPr>
              <w:cnfStyle w:val="000000000000" w:firstRow="0" w:lastRow="0" w:firstColumn="0" w:lastColumn="0" w:oddVBand="0" w:evenVBand="0" w:oddHBand="0" w:evenHBand="0" w:firstRowFirstColumn="0" w:firstRowLastColumn="0" w:lastRowFirstColumn="0" w:lastRowLastColumn="0"/>
            </w:pPr>
            <w:r w:rsidRPr="00583A23">
              <w:t xml:space="preserve">Approved on </w:t>
            </w:r>
            <w:r w:rsidR="007B5DD8" w:rsidRPr="00583A23">
              <w:t>18 July 2022</w:t>
            </w:r>
          </w:p>
        </w:tc>
        <w:tc>
          <w:tcPr>
            <w:tcW w:w="2589" w:type="pct"/>
          </w:tcPr>
          <w:p w14:paraId="36FF3E7D" w14:textId="77777777" w:rsidR="008A1D19" w:rsidRDefault="001A10EC" w:rsidP="008A1D19">
            <w:pPr>
              <w:cnfStyle w:val="000000000000" w:firstRow="0" w:lastRow="0" w:firstColumn="0" w:lastColumn="0" w:oddVBand="0" w:evenVBand="0" w:oddHBand="0" w:evenHBand="0" w:firstRowFirstColumn="0" w:firstRowLastColumn="0" w:lastRowFirstColumn="0" w:lastRowLastColumn="0"/>
              <w:rPr>
                <w:rFonts w:eastAsia="TimesNewRoman" w:cs="TimesNewRoman"/>
              </w:rPr>
            </w:pPr>
            <w:r>
              <w:rPr>
                <w:rFonts w:eastAsia="TimesNewRoman" w:cs="TimesNewRoman"/>
              </w:rPr>
              <w:t>Lynparza</w:t>
            </w:r>
            <w:r w:rsidR="006F26C6" w:rsidRPr="00583A23">
              <w:rPr>
                <w:rFonts w:eastAsia="TimesNewRoman" w:cs="TimesNewRoman"/>
              </w:rPr>
              <w:t xml:space="preserve"> TABLETS is indicated as monotherapy for the:</w:t>
            </w:r>
          </w:p>
          <w:p w14:paraId="71AAD2CE" w14:textId="4DA4668E" w:rsidR="007B5DD8" w:rsidRPr="00583A23" w:rsidRDefault="006F26C6" w:rsidP="008A1D19">
            <w:pPr>
              <w:cnfStyle w:val="000000000000" w:firstRow="0" w:lastRow="0" w:firstColumn="0" w:lastColumn="0" w:oddVBand="0" w:evenVBand="0" w:oddHBand="0" w:evenHBand="0" w:firstRowFirstColumn="0" w:firstRowLastColumn="0" w:lastRowFirstColumn="0" w:lastRowLastColumn="0"/>
              <w:rPr>
                <w:rFonts w:cs="TimesNewRoman,Italic"/>
                <w:i/>
                <w:iCs/>
              </w:rPr>
            </w:pPr>
            <w:r w:rsidRPr="00583A23">
              <w:rPr>
                <w:rFonts w:eastAsia="TimesNewRoman" w:cs="TimesNewRoman"/>
              </w:rPr>
              <w:t>• adjuvant treatment of adult patients with BRCA-mutated HER2-negative high risk early breast cancer who have previously been treated with neoadjuvant or adjuvant chemotherapy</w:t>
            </w:r>
          </w:p>
        </w:tc>
      </w:tr>
      <w:tr w:rsidR="00BE3DE1" w:rsidRPr="00BE3DE1" w14:paraId="569BE9C4" w14:textId="77777777" w:rsidTr="008A1D19">
        <w:tc>
          <w:tcPr>
            <w:cnfStyle w:val="001000000000" w:firstRow="0" w:lastRow="0" w:firstColumn="1" w:lastColumn="0" w:oddVBand="0" w:evenVBand="0" w:oddHBand="0" w:evenHBand="0" w:firstRowFirstColumn="0" w:firstRowLastColumn="0" w:lastRowFirstColumn="0" w:lastRowLastColumn="0"/>
            <w:tcW w:w="766" w:type="pct"/>
          </w:tcPr>
          <w:p w14:paraId="3FE6FA7B" w14:textId="34B7E187" w:rsidR="006F26C6" w:rsidRPr="00583A23" w:rsidRDefault="006F26C6" w:rsidP="00F744CB">
            <w:r w:rsidRPr="00583A23">
              <w:lastRenderedPageBreak/>
              <w:t xml:space="preserve">Japan </w:t>
            </w:r>
          </w:p>
        </w:tc>
        <w:tc>
          <w:tcPr>
            <w:tcW w:w="789" w:type="pct"/>
          </w:tcPr>
          <w:p w14:paraId="1B2423F7" w14:textId="2E156D26" w:rsidR="006F26C6" w:rsidRPr="00583A23" w:rsidRDefault="006F26C6" w:rsidP="00F744CB">
            <w:pPr>
              <w:cnfStyle w:val="000000000000" w:firstRow="0" w:lastRow="0" w:firstColumn="0" w:lastColumn="0" w:oddVBand="0" w:evenVBand="0" w:oddHBand="0" w:evenHBand="0" w:firstRowFirstColumn="0" w:firstRowLastColumn="0" w:lastRowFirstColumn="0" w:lastRowLastColumn="0"/>
            </w:pPr>
            <w:r w:rsidRPr="00583A23">
              <w:t>30 November 2021</w:t>
            </w:r>
          </w:p>
        </w:tc>
        <w:tc>
          <w:tcPr>
            <w:tcW w:w="856" w:type="pct"/>
          </w:tcPr>
          <w:p w14:paraId="5484880E" w14:textId="5DF9DEF5" w:rsidR="006F26C6" w:rsidRPr="00583A23" w:rsidRDefault="006F26C6" w:rsidP="00F744CB">
            <w:pPr>
              <w:cnfStyle w:val="000000000000" w:firstRow="0" w:lastRow="0" w:firstColumn="0" w:lastColumn="0" w:oddVBand="0" w:evenVBand="0" w:oddHBand="0" w:evenHBand="0" w:firstRowFirstColumn="0" w:firstRowLastColumn="0" w:lastRowFirstColumn="0" w:lastRowLastColumn="0"/>
            </w:pPr>
            <w:r w:rsidRPr="00583A23">
              <w:t>Approved on 24 August 2022</w:t>
            </w:r>
          </w:p>
        </w:tc>
        <w:tc>
          <w:tcPr>
            <w:tcW w:w="2589" w:type="pct"/>
          </w:tcPr>
          <w:p w14:paraId="7B646C4E" w14:textId="060703AB" w:rsidR="006F26C6" w:rsidRPr="00583A23" w:rsidRDefault="00F03C1E" w:rsidP="00F744CB">
            <w:pPr>
              <w:cnfStyle w:val="000000000000" w:firstRow="0" w:lastRow="0" w:firstColumn="0" w:lastColumn="0" w:oddVBand="0" w:evenVBand="0" w:oddHBand="0" w:evenHBand="0" w:firstRowFirstColumn="0" w:firstRowLastColumn="0" w:lastRowFirstColumn="0" w:lastRowLastColumn="0"/>
              <w:rPr>
                <w:rFonts w:eastAsia="TimesNewRoman" w:cs="TimesNewRoman"/>
              </w:rPr>
            </w:pPr>
            <w:r w:rsidRPr="00583A23">
              <w:rPr>
                <w:rFonts w:eastAsia="TimesNewRoman" w:cs="TimesNewRoman"/>
              </w:rPr>
              <w:t>Adjuvant treatment for patients with BRCA-mutated HER2 negative high recurrent risk breast cancer</w:t>
            </w:r>
          </w:p>
        </w:tc>
      </w:tr>
    </w:tbl>
    <w:p w14:paraId="321412EE" w14:textId="19306C85" w:rsidR="00EE12E9" w:rsidRDefault="00EE12E9" w:rsidP="00CE1F1A">
      <w:pPr>
        <w:pStyle w:val="TableTitle"/>
      </w:pPr>
      <w:bookmarkStart w:id="27" w:name="_Toc504480011"/>
      <w:bookmarkStart w:id="28" w:name="_Toc103679293"/>
      <w:r>
        <w:t xml:space="preserve">Table </w:t>
      </w:r>
      <w:r>
        <w:fldChar w:fldCharType="begin"/>
      </w:r>
      <w:r>
        <w:instrText xml:space="preserve"> SEQ Table \* ARABIC </w:instrText>
      </w:r>
      <w:r>
        <w:fldChar w:fldCharType="separate"/>
      </w:r>
      <w:r w:rsidR="00E042C2">
        <w:rPr>
          <w:noProof/>
        </w:rPr>
        <w:t>2</w:t>
      </w:r>
      <w:r>
        <w:rPr>
          <w:noProof/>
        </w:rPr>
        <w:fldChar w:fldCharType="end"/>
      </w:r>
      <w:r>
        <w:t xml:space="preserve">: International regulatory status </w:t>
      </w:r>
      <w:r w:rsidR="00CE1F1A">
        <w:t xml:space="preserve">for treatment of Metastatic Castration Resistant Prostate Cancer (mCRPC) in combination with Abiraterone and Prednisone or Prednisolone </w:t>
      </w:r>
      <w:r>
        <w:t>at the time of product registration.</w:t>
      </w:r>
    </w:p>
    <w:tbl>
      <w:tblPr>
        <w:tblStyle w:val="TableTGAblue2023"/>
        <w:tblW w:w="5000" w:type="pct"/>
        <w:tblLook w:val="04A0" w:firstRow="1" w:lastRow="0" w:firstColumn="1" w:lastColumn="0" w:noHBand="0" w:noVBand="1"/>
      </w:tblPr>
      <w:tblGrid>
        <w:gridCol w:w="1455"/>
        <w:gridCol w:w="1498"/>
        <w:gridCol w:w="1625"/>
        <w:gridCol w:w="4482"/>
      </w:tblGrid>
      <w:tr w:rsidR="00EE12E9" w:rsidRPr="00F744CB" w14:paraId="57EF94D9" w14:textId="77777777" w:rsidTr="008A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Pr>
          <w:p w14:paraId="47270AB4" w14:textId="77777777" w:rsidR="00EE12E9" w:rsidRPr="008A1D19" w:rsidRDefault="00EE12E9" w:rsidP="00281CA5">
            <w:pPr>
              <w:rPr>
                <w:szCs w:val="22"/>
              </w:rPr>
            </w:pPr>
            <w:r w:rsidRPr="008A1D19">
              <w:rPr>
                <w:szCs w:val="22"/>
              </w:rPr>
              <w:t>Region</w:t>
            </w:r>
          </w:p>
        </w:tc>
        <w:tc>
          <w:tcPr>
            <w:tcW w:w="781" w:type="pct"/>
          </w:tcPr>
          <w:p w14:paraId="3FD277DA" w14:textId="77777777" w:rsidR="00EE12E9" w:rsidRPr="008A1D19" w:rsidRDefault="00EE12E9" w:rsidP="00281CA5">
            <w:pPr>
              <w:cnfStyle w:val="100000000000" w:firstRow="1" w:lastRow="0" w:firstColumn="0" w:lastColumn="0" w:oddVBand="0" w:evenVBand="0" w:oddHBand="0" w:evenHBand="0" w:firstRowFirstColumn="0" w:firstRowLastColumn="0" w:lastRowFirstColumn="0" w:lastRowLastColumn="0"/>
              <w:rPr>
                <w:szCs w:val="22"/>
              </w:rPr>
            </w:pPr>
            <w:r w:rsidRPr="008A1D19">
              <w:rPr>
                <w:szCs w:val="22"/>
              </w:rPr>
              <w:t>Submission date</w:t>
            </w:r>
          </w:p>
        </w:tc>
        <w:tc>
          <w:tcPr>
            <w:tcW w:w="860" w:type="pct"/>
          </w:tcPr>
          <w:p w14:paraId="084CC595" w14:textId="77777777" w:rsidR="00EE12E9" w:rsidRPr="008A1D19" w:rsidRDefault="00EE12E9" w:rsidP="00281CA5">
            <w:pPr>
              <w:cnfStyle w:val="100000000000" w:firstRow="1" w:lastRow="0" w:firstColumn="0" w:lastColumn="0" w:oddVBand="0" w:evenVBand="0" w:oddHBand="0" w:evenHBand="0" w:firstRowFirstColumn="0" w:firstRowLastColumn="0" w:lastRowFirstColumn="0" w:lastRowLastColumn="0"/>
              <w:rPr>
                <w:szCs w:val="22"/>
              </w:rPr>
            </w:pPr>
            <w:r w:rsidRPr="008A1D19">
              <w:rPr>
                <w:szCs w:val="22"/>
              </w:rPr>
              <w:t>Status</w:t>
            </w:r>
          </w:p>
        </w:tc>
        <w:tc>
          <w:tcPr>
            <w:tcW w:w="2580" w:type="pct"/>
          </w:tcPr>
          <w:p w14:paraId="0444A160" w14:textId="77777777" w:rsidR="00EE12E9" w:rsidRPr="008A1D19" w:rsidRDefault="00EE12E9" w:rsidP="00281CA5">
            <w:pPr>
              <w:cnfStyle w:val="100000000000" w:firstRow="1" w:lastRow="0" w:firstColumn="0" w:lastColumn="0" w:oddVBand="0" w:evenVBand="0" w:oddHBand="0" w:evenHBand="0" w:firstRowFirstColumn="0" w:firstRowLastColumn="0" w:lastRowFirstColumn="0" w:lastRowLastColumn="0"/>
              <w:rPr>
                <w:szCs w:val="22"/>
              </w:rPr>
            </w:pPr>
            <w:r w:rsidRPr="008A1D19">
              <w:rPr>
                <w:szCs w:val="22"/>
              </w:rPr>
              <w:t>Approved indications</w:t>
            </w:r>
          </w:p>
        </w:tc>
      </w:tr>
      <w:tr w:rsidR="00EE12E9" w:rsidRPr="00F744CB" w14:paraId="5F86B174" w14:textId="77777777" w:rsidTr="008A1D19">
        <w:tc>
          <w:tcPr>
            <w:cnfStyle w:val="001000000000" w:firstRow="0" w:lastRow="0" w:firstColumn="1" w:lastColumn="0" w:oddVBand="0" w:evenVBand="0" w:oddHBand="0" w:evenHBand="0" w:firstRowFirstColumn="0" w:firstRowLastColumn="0" w:lastRowFirstColumn="0" w:lastRowLastColumn="0"/>
            <w:tcW w:w="779" w:type="pct"/>
          </w:tcPr>
          <w:p w14:paraId="1D2E32C8" w14:textId="77777777" w:rsidR="00EE12E9" w:rsidRPr="00F744CB" w:rsidRDefault="00EE12E9" w:rsidP="00281CA5">
            <w:pPr>
              <w:rPr>
                <w:szCs w:val="22"/>
              </w:rPr>
            </w:pPr>
            <w:r w:rsidRPr="00F744CB">
              <w:rPr>
                <w:szCs w:val="22"/>
              </w:rPr>
              <w:t>Canada</w:t>
            </w:r>
          </w:p>
        </w:tc>
        <w:tc>
          <w:tcPr>
            <w:tcW w:w="781" w:type="pct"/>
          </w:tcPr>
          <w:p w14:paraId="105EF65B" w14:textId="69DD838B" w:rsidR="00EE12E9" w:rsidRPr="00F744CB" w:rsidRDefault="00043CA0"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22 June 2022</w:t>
            </w:r>
          </w:p>
        </w:tc>
        <w:tc>
          <w:tcPr>
            <w:tcW w:w="860" w:type="pct"/>
          </w:tcPr>
          <w:p w14:paraId="261DB06A" w14:textId="2570A581" w:rsidR="00EE12E9" w:rsidRPr="00F744CB" w:rsidRDefault="00043CA0"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Under consideration</w:t>
            </w:r>
            <w:r w:rsidR="00EE12E9" w:rsidRPr="00F744CB">
              <w:rPr>
                <w:szCs w:val="22"/>
              </w:rPr>
              <w:t xml:space="preserve"> </w:t>
            </w:r>
          </w:p>
        </w:tc>
        <w:tc>
          <w:tcPr>
            <w:tcW w:w="2580" w:type="pct"/>
          </w:tcPr>
          <w:p w14:paraId="5C05A48E" w14:textId="15D2FC4C" w:rsidR="00EE12E9" w:rsidRPr="00F744CB" w:rsidRDefault="00043CA0"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Under consideration</w:t>
            </w:r>
          </w:p>
        </w:tc>
      </w:tr>
      <w:tr w:rsidR="009759C6" w:rsidRPr="00F744CB" w14:paraId="3C6BC606" w14:textId="77777777" w:rsidTr="008A1D19">
        <w:tc>
          <w:tcPr>
            <w:cnfStyle w:val="001000000000" w:firstRow="0" w:lastRow="0" w:firstColumn="1" w:lastColumn="0" w:oddVBand="0" w:evenVBand="0" w:oddHBand="0" w:evenHBand="0" w:firstRowFirstColumn="0" w:firstRowLastColumn="0" w:lastRowFirstColumn="0" w:lastRowLastColumn="0"/>
            <w:tcW w:w="779" w:type="pct"/>
          </w:tcPr>
          <w:p w14:paraId="7AE5A443" w14:textId="5C33A254" w:rsidR="009759C6" w:rsidRPr="00F744CB" w:rsidRDefault="009759C6" w:rsidP="00281CA5">
            <w:pPr>
              <w:rPr>
                <w:szCs w:val="22"/>
              </w:rPr>
            </w:pPr>
            <w:r w:rsidRPr="00F744CB">
              <w:rPr>
                <w:szCs w:val="22"/>
              </w:rPr>
              <w:t>European Union</w:t>
            </w:r>
          </w:p>
        </w:tc>
        <w:tc>
          <w:tcPr>
            <w:tcW w:w="781" w:type="pct"/>
          </w:tcPr>
          <w:p w14:paraId="56DBA463" w14:textId="7E2C59EB" w:rsidR="009759C6" w:rsidRPr="00F744CB" w:rsidRDefault="009759C6"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17 December 2021</w:t>
            </w:r>
          </w:p>
        </w:tc>
        <w:tc>
          <w:tcPr>
            <w:tcW w:w="860" w:type="pct"/>
          </w:tcPr>
          <w:p w14:paraId="433E4228" w14:textId="5471B19E" w:rsidR="009759C6" w:rsidRPr="00F744CB" w:rsidRDefault="00043CA0"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Approved on 16 December 2022</w:t>
            </w:r>
          </w:p>
        </w:tc>
        <w:tc>
          <w:tcPr>
            <w:tcW w:w="2580" w:type="pct"/>
          </w:tcPr>
          <w:p w14:paraId="467CCA5A" w14:textId="24FB9B55" w:rsidR="009759C6" w:rsidRPr="00F744CB" w:rsidRDefault="001A10EC" w:rsidP="0001053E">
            <w:pPr>
              <w:cnfStyle w:val="000000000000" w:firstRow="0" w:lastRow="0" w:firstColumn="0" w:lastColumn="0" w:oddVBand="0" w:evenVBand="0" w:oddHBand="0" w:evenHBand="0" w:firstRowFirstColumn="0" w:firstRowLastColumn="0" w:lastRowFirstColumn="0" w:lastRowLastColumn="0"/>
              <w:rPr>
                <w:szCs w:val="22"/>
              </w:rPr>
            </w:pPr>
            <w:r>
              <w:rPr>
                <w:szCs w:val="22"/>
              </w:rPr>
              <w:t>Lynparza</w:t>
            </w:r>
            <w:r w:rsidR="0001053E" w:rsidRPr="00F744CB">
              <w:rPr>
                <w:szCs w:val="22"/>
              </w:rPr>
              <w:t xml:space="preserve"> is indicated in combination with abiraterone and prednisone or prednisolone for the treatment of adult patients with mCRPC in whom chemotherapy is not clinically indicated</w:t>
            </w:r>
          </w:p>
        </w:tc>
      </w:tr>
      <w:tr w:rsidR="0001053E" w:rsidRPr="00F744CB" w14:paraId="11D1D942" w14:textId="77777777" w:rsidTr="008A1D19">
        <w:tc>
          <w:tcPr>
            <w:cnfStyle w:val="001000000000" w:firstRow="0" w:lastRow="0" w:firstColumn="1" w:lastColumn="0" w:oddVBand="0" w:evenVBand="0" w:oddHBand="0" w:evenHBand="0" w:firstRowFirstColumn="0" w:firstRowLastColumn="0" w:lastRowFirstColumn="0" w:lastRowLastColumn="0"/>
            <w:tcW w:w="779" w:type="pct"/>
          </w:tcPr>
          <w:p w14:paraId="47323476" w14:textId="6EECF1BD" w:rsidR="0001053E" w:rsidRPr="00F744CB" w:rsidRDefault="0001053E" w:rsidP="00281CA5">
            <w:pPr>
              <w:rPr>
                <w:szCs w:val="22"/>
              </w:rPr>
            </w:pPr>
            <w:r w:rsidRPr="00F744CB">
              <w:rPr>
                <w:szCs w:val="22"/>
              </w:rPr>
              <w:t>New Zealand</w:t>
            </w:r>
          </w:p>
        </w:tc>
        <w:tc>
          <w:tcPr>
            <w:tcW w:w="781" w:type="pct"/>
          </w:tcPr>
          <w:p w14:paraId="6C136330" w14:textId="39C64552" w:rsidR="0001053E" w:rsidRPr="00F744CB" w:rsidRDefault="0001053E"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19 May 2022</w:t>
            </w:r>
          </w:p>
        </w:tc>
        <w:tc>
          <w:tcPr>
            <w:tcW w:w="860" w:type="pct"/>
          </w:tcPr>
          <w:p w14:paraId="3ED11DDA" w14:textId="2FCFB859" w:rsidR="0001053E" w:rsidRPr="00F744CB" w:rsidRDefault="0001053E"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Under consideration</w:t>
            </w:r>
          </w:p>
        </w:tc>
        <w:tc>
          <w:tcPr>
            <w:tcW w:w="2580" w:type="pct"/>
          </w:tcPr>
          <w:p w14:paraId="7772FFF2" w14:textId="12ACC1B2" w:rsidR="0001053E" w:rsidRPr="00F744CB" w:rsidRDefault="0001053E" w:rsidP="0001053E">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Under consideration</w:t>
            </w:r>
          </w:p>
        </w:tc>
      </w:tr>
      <w:tr w:rsidR="0001053E" w:rsidRPr="00F744CB" w14:paraId="2A9D97AC" w14:textId="77777777" w:rsidTr="008A1D19">
        <w:tc>
          <w:tcPr>
            <w:cnfStyle w:val="001000000000" w:firstRow="0" w:lastRow="0" w:firstColumn="1" w:lastColumn="0" w:oddVBand="0" w:evenVBand="0" w:oddHBand="0" w:evenHBand="0" w:firstRowFirstColumn="0" w:firstRowLastColumn="0" w:lastRowFirstColumn="0" w:lastRowLastColumn="0"/>
            <w:tcW w:w="779" w:type="pct"/>
          </w:tcPr>
          <w:p w14:paraId="423F73C9" w14:textId="36E80098" w:rsidR="0001053E" w:rsidRPr="00F744CB" w:rsidRDefault="0001053E" w:rsidP="00281CA5">
            <w:pPr>
              <w:rPr>
                <w:szCs w:val="22"/>
              </w:rPr>
            </w:pPr>
            <w:r w:rsidRPr="00F744CB">
              <w:rPr>
                <w:szCs w:val="22"/>
              </w:rPr>
              <w:t xml:space="preserve">Singapore </w:t>
            </w:r>
          </w:p>
        </w:tc>
        <w:tc>
          <w:tcPr>
            <w:tcW w:w="781" w:type="pct"/>
          </w:tcPr>
          <w:p w14:paraId="1749C495" w14:textId="32BACC0D" w:rsidR="0001053E" w:rsidRPr="00F744CB" w:rsidRDefault="0001053E"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21 May 2022</w:t>
            </w:r>
          </w:p>
        </w:tc>
        <w:tc>
          <w:tcPr>
            <w:tcW w:w="860" w:type="pct"/>
          </w:tcPr>
          <w:p w14:paraId="04074473" w14:textId="70D89688" w:rsidR="0001053E" w:rsidRPr="00F744CB" w:rsidRDefault="0001053E"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Approved on 16 March 2023</w:t>
            </w:r>
          </w:p>
        </w:tc>
        <w:tc>
          <w:tcPr>
            <w:tcW w:w="2580" w:type="pct"/>
          </w:tcPr>
          <w:p w14:paraId="25D9ABB9" w14:textId="2E01890C" w:rsidR="0001053E" w:rsidRPr="00F744CB" w:rsidRDefault="001A10EC" w:rsidP="0050320D">
            <w:pPr>
              <w:cnfStyle w:val="000000000000" w:firstRow="0" w:lastRow="0" w:firstColumn="0" w:lastColumn="0" w:oddVBand="0" w:evenVBand="0" w:oddHBand="0" w:evenHBand="0" w:firstRowFirstColumn="0" w:firstRowLastColumn="0" w:lastRowFirstColumn="0" w:lastRowLastColumn="0"/>
              <w:rPr>
                <w:szCs w:val="22"/>
              </w:rPr>
            </w:pPr>
            <w:r>
              <w:rPr>
                <w:szCs w:val="22"/>
              </w:rPr>
              <w:t>Lynparza</w:t>
            </w:r>
            <w:r w:rsidR="0050320D" w:rsidRPr="00F744CB">
              <w:rPr>
                <w:szCs w:val="22"/>
              </w:rPr>
              <w:t xml:space="preserve"> is indicated in combination with abiraterone and prednisone or prednisolone for the treatment of adult patients with metastatic castration resistant prostate cancer in whom chemotherapy is not clinically indicated (see Section 5.1).</w:t>
            </w:r>
          </w:p>
        </w:tc>
      </w:tr>
      <w:tr w:rsidR="0050320D" w:rsidRPr="00F744CB" w14:paraId="6A71D75D" w14:textId="77777777" w:rsidTr="008A1D19">
        <w:tc>
          <w:tcPr>
            <w:cnfStyle w:val="001000000000" w:firstRow="0" w:lastRow="0" w:firstColumn="1" w:lastColumn="0" w:oddVBand="0" w:evenVBand="0" w:oddHBand="0" w:evenHBand="0" w:firstRowFirstColumn="0" w:firstRowLastColumn="0" w:lastRowFirstColumn="0" w:lastRowLastColumn="0"/>
            <w:tcW w:w="779" w:type="pct"/>
          </w:tcPr>
          <w:p w14:paraId="20DA1BED" w14:textId="1F3CFBA2" w:rsidR="0050320D" w:rsidRPr="00F744CB" w:rsidRDefault="0050320D" w:rsidP="00281CA5">
            <w:pPr>
              <w:rPr>
                <w:szCs w:val="22"/>
              </w:rPr>
            </w:pPr>
            <w:r w:rsidRPr="00F744CB">
              <w:rPr>
                <w:szCs w:val="22"/>
              </w:rPr>
              <w:t>Switzerland</w:t>
            </w:r>
          </w:p>
        </w:tc>
        <w:tc>
          <w:tcPr>
            <w:tcW w:w="781" w:type="pct"/>
          </w:tcPr>
          <w:p w14:paraId="6A6E1961" w14:textId="1CC8B472" w:rsidR="0050320D" w:rsidRPr="00F744CB" w:rsidRDefault="0050320D"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27 January 2022</w:t>
            </w:r>
          </w:p>
        </w:tc>
        <w:tc>
          <w:tcPr>
            <w:tcW w:w="860" w:type="pct"/>
          </w:tcPr>
          <w:p w14:paraId="1CD0869E" w14:textId="0EA1CCCA" w:rsidR="0050320D" w:rsidRPr="00F744CB" w:rsidRDefault="0050320D"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Withdrawn on 17 March 2023</w:t>
            </w:r>
          </w:p>
        </w:tc>
        <w:tc>
          <w:tcPr>
            <w:tcW w:w="2580" w:type="pct"/>
          </w:tcPr>
          <w:p w14:paraId="06C90FDA" w14:textId="178D6D29" w:rsidR="0050320D" w:rsidRPr="00F744CB" w:rsidRDefault="0050320D" w:rsidP="0050320D">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Withdrawn</w:t>
            </w:r>
          </w:p>
        </w:tc>
      </w:tr>
      <w:tr w:rsidR="0050320D" w:rsidRPr="00F744CB" w14:paraId="10A4ECB4" w14:textId="77777777" w:rsidTr="008A1D19">
        <w:tc>
          <w:tcPr>
            <w:cnfStyle w:val="001000000000" w:firstRow="0" w:lastRow="0" w:firstColumn="1" w:lastColumn="0" w:oddVBand="0" w:evenVBand="0" w:oddHBand="0" w:evenHBand="0" w:firstRowFirstColumn="0" w:firstRowLastColumn="0" w:lastRowFirstColumn="0" w:lastRowLastColumn="0"/>
            <w:tcW w:w="779" w:type="pct"/>
          </w:tcPr>
          <w:p w14:paraId="0F0C267E" w14:textId="3A3C99CC" w:rsidR="0050320D" w:rsidRPr="00F744CB" w:rsidRDefault="003725FB" w:rsidP="00281CA5">
            <w:pPr>
              <w:rPr>
                <w:szCs w:val="22"/>
              </w:rPr>
            </w:pPr>
            <w:r w:rsidRPr="00F744CB">
              <w:rPr>
                <w:szCs w:val="22"/>
              </w:rPr>
              <w:t>United Kingdom</w:t>
            </w:r>
          </w:p>
        </w:tc>
        <w:tc>
          <w:tcPr>
            <w:tcW w:w="781" w:type="pct"/>
          </w:tcPr>
          <w:p w14:paraId="602D6F63" w14:textId="44C5CB38" w:rsidR="0050320D" w:rsidRPr="00F744CB" w:rsidRDefault="003725FB"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16 November 2022</w:t>
            </w:r>
          </w:p>
        </w:tc>
        <w:tc>
          <w:tcPr>
            <w:tcW w:w="860" w:type="pct"/>
          </w:tcPr>
          <w:p w14:paraId="4A170AF9" w14:textId="1C92D0AE" w:rsidR="0050320D" w:rsidRPr="00F744CB" w:rsidRDefault="003725FB"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Approved on 15 March 2023</w:t>
            </w:r>
          </w:p>
        </w:tc>
        <w:tc>
          <w:tcPr>
            <w:tcW w:w="2580" w:type="pct"/>
          </w:tcPr>
          <w:p w14:paraId="710CBC69" w14:textId="0FD82994" w:rsidR="0050320D" w:rsidRPr="00F744CB" w:rsidRDefault="001A10EC" w:rsidP="007B37E7">
            <w:pPr>
              <w:cnfStyle w:val="000000000000" w:firstRow="0" w:lastRow="0" w:firstColumn="0" w:lastColumn="0" w:oddVBand="0" w:evenVBand="0" w:oddHBand="0" w:evenHBand="0" w:firstRowFirstColumn="0" w:firstRowLastColumn="0" w:lastRowFirstColumn="0" w:lastRowLastColumn="0"/>
              <w:rPr>
                <w:szCs w:val="22"/>
              </w:rPr>
            </w:pPr>
            <w:r>
              <w:rPr>
                <w:szCs w:val="22"/>
              </w:rPr>
              <w:t>Lynparza</w:t>
            </w:r>
            <w:r w:rsidR="007B37E7" w:rsidRPr="00F744CB">
              <w:rPr>
                <w:szCs w:val="22"/>
              </w:rPr>
              <w:t xml:space="preserve"> is indicated in combination with abiraterone and prednisone or prednisolone for the treatment of adult patients with mCRPC in whom chemotherapy is not clinically indicated (see section 5.1).</w:t>
            </w:r>
          </w:p>
        </w:tc>
      </w:tr>
      <w:tr w:rsidR="007B37E7" w:rsidRPr="00F744CB" w14:paraId="012F88FC" w14:textId="77777777" w:rsidTr="008A1D19">
        <w:tc>
          <w:tcPr>
            <w:cnfStyle w:val="001000000000" w:firstRow="0" w:lastRow="0" w:firstColumn="1" w:lastColumn="0" w:oddVBand="0" w:evenVBand="0" w:oddHBand="0" w:evenHBand="0" w:firstRowFirstColumn="0" w:firstRowLastColumn="0" w:lastRowFirstColumn="0" w:lastRowLastColumn="0"/>
            <w:tcW w:w="779" w:type="pct"/>
          </w:tcPr>
          <w:p w14:paraId="496FB2A0" w14:textId="373C0202" w:rsidR="007B37E7" w:rsidRPr="00F744CB" w:rsidRDefault="007B37E7" w:rsidP="00281CA5">
            <w:pPr>
              <w:rPr>
                <w:szCs w:val="22"/>
              </w:rPr>
            </w:pPr>
            <w:r w:rsidRPr="00F744CB">
              <w:rPr>
                <w:szCs w:val="22"/>
              </w:rPr>
              <w:t>United States of America</w:t>
            </w:r>
          </w:p>
        </w:tc>
        <w:tc>
          <w:tcPr>
            <w:tcW w:w="781" w:type="pct"/>
          </w:tcPr>
          <w:p w14:paraId="5D2471F9" w14:textId="610C3F43" w:rsidR="007B37E7" w:rsidRPr="00F744CB" w:rsidRDefault="007B37E7"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16 June 2022</w:t>
            </w:r>
          </w:p>
        </w:tc>
        <w:tc>
          <w:tcPr>
            <w:tcW w:w="860" w:type="pct"/>
          </w:tcPr>
          <w:p w14:paraId="5A355318" w14:textId="5A6FF8F4" w:rsidR="007B37E7" w:rsidRPr="00F744CB" w:rsidRDefault="007B37E7"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Approved on 31 May 2023</w:t>
            </w:r>
          </w:p>
        </w:tc>
        <w:tc>
          <w:tcPr>
            <w:tcW w:w="2580" w:type="pct"/>
          </w:tcPr>
          <w:p w14:paraId="32DC4EE5" w14:textId="44FC497A" w:rsidR="00F1000D" w:rsidRPr="00F744CB" w:rsidRDefault="00F1000D" w:rsidP="00F1000D">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 xml:space="preserve">Approved indication: </w:t>
            </w:r>
            <w:r w:rsidR="001A10EC">
              <w:rPr>
                <w:szCs w:val="22"/>
              </w:rPr>
              <w:t>Lynparza</w:t>
            </w:r>
            <w:r w:rsidRPr="00F744CB">
              <w:rPr>
                <w:szCs w:val="22"/>
              </w:rPr>
              <w:t xml:space="preserve"> TABLETS is indicated in combination with abiraterone and prednisone or prednisolone for:</w:t>
            </w:r>
          </w:p>
          <w:p w14:paraId="4AC1A04D" w14:textId="48CB7DA9" w:rsidR="007B37E7" w:rsidRPr="00F744CB" w:rsidRDefault="00F1000D" w:rsidP="00F1000D">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 treatment of adult patients with metastatic castration-resistant prostate cancer.</w:t>
            </w:r>
          </w:p>
        </w:tc>
      </w:tr>
      <w:tr w:rsidR="00F1000D" w:rsidRPr="00F744CB" w14:paraId="5AE769AE" w14:textId="77777777" w:rsidTr="008A1D19">
        <w:tc>
          <w:tcPr>
            <w:cnfStyle w:val="001000000000" w:firstRow="0" w:lastRow="0" w:firstColumn="1" w:lastColumn="0" w:oddVBand="0" w:evenVBand="0" w:oddHBand="0" w:evenHBand="0" w:firstRowFirstColumn="0" w:firstRowLastColumn="0" w:lastRowFirstColumn="0" w:lastRowLastColumn="0"/>
            <w:tcW w:w="779" w:type="pct"/>
          </w:tcPr>
          <w:p w14:paraId="3C01CCDB" w14:textId="400096F9" w:rsidR="00F1000D" w:rsidRPr="00F744CB" w:rsidRDefault="00F1000D" w:rsidP="00281CA5">
            <w:pPr>
              <w:rPr>
                <w:szCs w:val="22"/>
              </w:rPr>
            </w:pPr>
            <w:r w:rsidRPr="00F744CB">
              <w:rPr>
                <w:szCs w:val="22"/>
              </w:rPr>
              <w:lastRenderedPageBreak/>
              <w:t xml:space="preserve">Brazil </w:t>
            </w:r>
          </w:p>
        </w:tc>
        <w:tc>
          <w:tcPr>
            <w:tcW w:w="781" w:type="pct"/>
          </w:tcPr>
          <w:p w14:paraId="2C1CBEEF" w14:textId="16D392F2" w:rsidR="00F1000D" w:rsidRPr="00F744CB" w:rsidRDefault="00F1000D"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24 February 2022</w:t>
            </w:r>
          </w:p>
        </w:tc>
        <w:tc>
          <w:tcPr>
            <w:tcW w:w="860" w:type="pct"/>
          </w:tcPr>
          <w:p w14:paraId="65D59457" w14:textId="42753725" w:rsidR="00F1000D" w:rsidRPr="00F744CB" w:rsidRDefault="00F1000D"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Approved on 23 January 2023</w:t>
            </w:r>
          </w:p>
        </w:tc>
        <w:tc>
          <w:tcPr>
            <w:tcW w:w="2580" w:type="pct"/>
          </w:tcPr>
          <w:p w14:paraId="6CFA8E2D" w14:textId="7654ADFB" w:rsidR="00C2646E" w:rsidRPr="00F744CB" w:rsidRDefault="00C2646E" w:rsidP="00C2646E">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 xml:space="preserve">Approved indication: </w:t>
            </w:r>
            <w:r w:rsidR="001A10EC">
              <w:rPr>
                <w:szCs w:val="22"/>
              </w:rPr>
              <w:t>Lynparza</w:t>
            </w:r>
            <w:r w:rsidRPr="00F744CB">
              <w:rPr>
                <w:szCs w:val="22"/>
              </w:rPr>
              <w:t xml:space="preserve"> TABLETS is indicated in combination with abiraterone and prednisone or prednisolone for:</w:t>
            </w:r>
          </w:p>
          <w:p w14:paraId="4DA8AC50" w14:textId="632D3BF9" w:rsidR="00F1000D" w:rsidRPr="00F744CB" w:rsidRDefault="00C2646E" w:rsidP="00C2646E">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 treatment of adult patients with metastatic castration-resistant prostate cancer.</w:t>
            </w:r>
          </w:p>
        </w:tc>
      </w:tr>
      <w:tr w:rsidR="00C2646E" w:rsidRPr="00F744CB" w14:paraId="4345A5A1" w14:textId="77777777" w:rsidTr="008A1D19">
        <w:tc>
          <w:tcPr>
            <w:cnfStyle w:val="001000000000" w:firstRow="0" w:lastRow="0" w:firstColumn="1" w:lastColumn="0" w:oddVBand="0" w:evenVBand="0" w:oddHBand="0" w:evenHBand="0" w:firstRowFirstColumn="0" w:firstRowLastColumn="0" w:lastRowFirstColumn="0" w:lastRowLastColumn="0"/>
            <w:tcW w:w="779" w:type="pct"/>
          </w:tcPr>
          <w:p w14:paraId="55ECF5C2" w14:textId="096EB04D" w:rsidR="00C2646E" w:rsidRPr="00F744CB" w:rsidRDefault="00C2646E" w:rsidP="00281CA5">
            <w:pPr>
              <w:rPr>
                <w:szCs w:val="22"/>
              </w:rPr>
            </w:pPr>
            <w:r w:rsidRPr="00F744CB">
              <w:rPr>
                <w:szCs w:val="22"/>
              </w:rPr>
              <w:t>Japan</w:t>
            </w:r>
          </w:p>
        </w:tc>
        <w:tc>
          <w:tcPr>
            <w:tcW w:w="781" w:type="pct"/>
          </w:tcPr>
          <w:p w14:paraId="7E9CE73E" w14:textId="5290C5E7" w:rsidR="00C2646E" w:rsidRPr="00F744CB" w:rsidRDefault="00C2646E"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10 February 2022</w:t>
            </w:r>
          </w:p>
        </w:tc>
        <w:tc>
          <w:tcPr>
            <w:tcW w:w="860" w:type="pct"/>
          </w:tcPr>
          <w:p w14:paraId="64603892" w14:textId="1C065255" w:rsidR="00C2646E" w:rsidRPr="00F744CB" w:rsidRDefault="00C2646E" w:rsidP="00281CA5">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Under consideration</w:t>
            </w:r>
          </w:p>
        </w:tc>
        <w:tc>
          <w:tcPr>
            <w:tcW w:w="2580" w:type="pct"/>
          </w:tcPr>
          <w:p w14:paraId="5A672D67" w14:textId="3D33726C" w:rsidR="00C2646E" w:rsidRPr="00F744CB" w:rsidRDefault="00C2646E" w:rsidP="00C2646E">
            <w:pPr>
              <w:cnfStyle w:val="000000000000" w:firstRow="0" w:lastRow="0" w:firstColumn="0" w:lastColumn="0" w:oddVBand="0" w:evenVBand="0" w:oddHBand="0" w:evenHBand="0" w:firstRowFirstColumn="0" w:firstRowLastColumn="0" w:lastRowFirstColumn="0" w:lastRowLastColumn="0"/>
              <w:rPr>
                <w:szCs w:val="22"/>
              </w:rPr>
            </w:pPr>
            <w:r w:rsidRPr="00F744CB">
              <w:rPr>
                <w:szCs w:val="22"/>
              </w:rPr>
              <w:t>Under consideration</w:t>
            </w:r>
          </w:p>
        </w:tc>
      </w:tr>
    </w:tbl>
    <w:p w14:paraId="6D92589C" w14:textId="5AA36509" w:rsidR="00324B33" w:rsidRDefault="00324B33" w:rsidP="00F744CB">
      <w:pPr>
        <w:pStyle w:val="Heading3"/>
      </w:pPr>
      <w:bookmarkStart w:id="29" w:name="_Toc171942661"/>
      <w:r>
        <w:t>Registration timeline</w:t>
      </w:r>
      <w:bookmarkEnd w:id="27"/>
      <w:bookmarkEnd w:id="28"/>
      <w:bookmarkEnd w:id="29"/>
    </w:p>
    <w:p w14:paraId="3555AACF" w14:textId="77777777" w:rsidR="001A10EC" w:rsidRPr="001A10EC" w:rsidRDefault="001A10EC" w:rsidP="001A10EC">
      <w:pPr>
        <w:rPr>
          <w:szCs w:val="22"/>
        </w:rPr>
      </w:pPr>
      <w:r w:rsidRPr="001A10EC">
        <w:rPr>
          <w:szCs w:val="22"/>
        </w:rPr>
        <w:t xml:space="preserve">This submission was evaluated under the </w:t>
      </w:r>
      <w:hyperlink r:id="rId22" w:history="1">
        <w:r w:rsidRPr="001A10EC">
          <w:rPr>
            <w:rStyle w:val="Hyperlink"/>
            <w:szCs w:val="22"/>
          </w:rPr>
          <w:t>standard prescription medicines registration process</w:t>
        </w:r>
      </w:hyperlink>
      <w:r w:rsidRPr="001A10EC">
        <w:rPr>
          <w:szCs w:val="22"/>
        </w:rPr>
        <w:t>.</w:t>
      </w:r>
    </w:p>
    <w:p w14:paraId="225E3D87" w14:textId="0CB08E7B" w:rsidR="00324B33" w:rsidRPr="00BD5DBD" w:rsidRDefault="004533C8" w:rsidP="00324B33">
      <w:pPr>
        <w:rPr>
          <w:szCs w:val="22"/>
        </w:rPr>
      </w:pPr>
      <w:r>
        <w:rPr>
          <w:szCs w:val="22"/>
        </w:rPr>
        <w:t>Table 3</w:t>
      </w:r>
      <w:r w:rsidR="00324B33" w:rsidRPr="00BD5DBD">
        <w:rPr>
          <w:szCs w:val="22"/>
        </w:rPr>
        <w:t xml:space="preserve"> captures the key steps and dates for this submission.</w:t>
      </w:r>
    </w:p>
    <w:p w14:paraId="5263E729" w14:textId="3488972D" w:rsidR="005B02A2" w:rsidRPr="00670C4F" w:rsidRDefault="00324B33" w:rsidP="00670C4F">
      <w:pPr>
        <w:pStyle w:val="TableTitle"/>
      </w:pPr>
      <w:r w:rsidRPr="002C1232">
        <w:t xml:space="preserve">Table </w:t>
      </w:r>
      <w:r>
        <w:fldChar w:fldCharType="begin"/>
      </w:r>
      <w:r>
        <w:instrText xml:space="preserve"> SEQ Table \* ARABIC </w:instrText>
      </w:r>
      <w:r>
        <w:fldChar w:fldCharType="separate"/>
      </w:r>
      <w:r w:rsidR="00E042C2">
        <w:rPr>
          <w:noProof/>
        </w:rPr>
        <w:t>3</w:t>
      </w:r>
      <w:r>
        <w:rPr>
          <w:noProof/>
        </w:rPr>
        <w:fldChar w:fldCharType="end"/>
      </w:r>
      <w:r w:rsidRPr="002C1232">
        <w:t xml:space="preserve">: </w:t>
      </w:r>
      <w:r w:rsidR="001A10EC" w:rsidRPr="001A10EC">
        <w:t xml:space="preserve">Registration timeline for </w:t>
      </w:r>
      <w:r w:rsidR="001A10EC">
        <w:t>Lynparza</w:t>
      </w:r>
      <w:r w:rsidR="001A10EC" w:rsidRPr="001A10EC">
        <w:t xml:space="preserve"> (submission no. PM-2022-00987-1-4) – Key Dates.</w:t>
      </w:r>
    </w:p>
    <w:tbl>
      <w:tblPr>
        <w:tblStyle w:val="TableTGAblue2023"/>
        <w:tblW w:w="8815" w:type="dxa"/>
        <w:tblLook w:val="04A0" w:firstRow="1" w:lastRow="0" w:firstColumn="1" w:lastColumn="0" w:noHBand="0" w:noVBand="1"/>
      </w:tblPr>
      <w:tblGrid>
        <w:gridCol w:w="6374"/>
        <w:gridCol w:w="2441"/>
      </w:tblGrid>
      <w:tr w:rsidR="00BE3DE1" w:rsidRPr="001A10EC" w14:paraId="6C59BE9C" w14:textId="77777777" w:rsidTr="008A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6D80E78" w14:textId="3EC0CCAF" w:rsidR="00324B33" w:rsidRPr="001A10EC" w:rsidRDefault="00324B33" w:rsidP="00324B33">
            <w:pPr>
              <w:rPr>
                <w:color w:val="auto"/>
                <w:szCs w:val="22"/>
              </w:rPr>
            </w:pPr>
            <w:r w:rsidRPr="001A10EC">
              <w:rPr>
                <w:color w:val="auto"/>
                <w:szCs w:val="22"/>
              </w:rPr>
              <w:t>Description</w:t>
            </w:r>
          </w:p>
        </w:tc>
        <w:tc>
          <w:tcPr>
            <w:tcW w:w="2441" w:type="dxa"/>
          </w:tcPr>
          <w:p w14:paraId="79AFDC4B" w14:textId="05792035" w:rsidR="00324B33" w:rsidRPr="001A10EC" w:rsidRDefault="00324B33" w:rsidP="00324B33">
            <w:pPr>
              <w:cnfStyle w:val="100000000000" w:firstRow="1" w:lastRow="0" w:firstColumn="0" w:lastColumn="0" w:oddVBand="0" w:evenVBand="0" w:oddHBand="0" w:evenHBand="0" w:firstRowFirstColumn="0" w:firstRowLastColumn="0" w:lastRowFirstColumn="0" w:lastRowLastColumn="0"/>
              <w:rPr>
                <w:color w:val="auto"/>
                <w:szCs w:val="22"/>
              </w:rPr>
            </w:pPr>
            <w:r w:rsidRPr="001A10EC">
              <w:rPr>
                <w:color w:val="auto"/>
                <w:szCs w:val="22"/>
              </w:rPr>
              <w:t>Date</w:t>
            </w:r>
          </w:p>
        </w:tc>
      </w:tr>
      <w:tr w:rsidR="00324B33" w:rsidRPr="001A10EC" w14:paraId="23610C53" w14:textId="77777777" w:rsidTr="008A1D19">
        <w:tc>
          <w:tcPr>
            <w:cnfStyle w:val="001000000000" w:firstRow="0" w:lastRow="0" w:firstColumn="1" w:lastColumn="0" w:oddVBand="0" w:evenVBand="0" w:oddHBand="0" w:evenHBand="0" w:firstRowFirstColumn="0" w:firstRowLastColumn="0" w:lastRowFirstColumn="0" w:lastRowLastColumn="0"/>
            <w:tcW w:w="6374" w:type="dxa"/>
          </w:tcPr>
          <w:p w14:paraId="759D2A12" w14:textId="0D705F83" w:rsidR="00324B33" w:rsidRPr="001A10EC" w:rsidRDefault="00324B33" w:rsidP="00E679D1">
            <w:pPr>
              <w:rPr>
                <w:szCs w:val="22"/>
              </w:rPr>
            </w:pPr>
            <w:r w:rsidRPr="001A10EC">
              <w:rPr>
                <w:szCs w:val="22"/>
              </w:rPr>
              <w:t>Submission dossier accepted and first round evaluation commenced</w:t>
            </w:r>
          </w:p>
        </w:tc>
        <w:tc>
          <w:tcPr>
            <w:tcW w:w="2441" w:type="dxa"/>
          </w:tcPr>
          <w:p w14:paraId="2963D9D8" w14:textId="554EEFA6" w:rsidR="00324B33" w:rsidRPr="001A10EC" w:rsidRDefault="00FF0CC7" w:rsidP="00324B33">
            <w:pPr>
              <w:cnfStyle w:val="000000000000" w:firstRow="0" w:lastRow="0" w:firstColumn="0" w:lastColumn="0" w:oddVBand="0" w:evenVBand="0" w:oddHBand="0" w:evenHBand="0" w:firstRowFirstColumn="0" w:firstRowLastColumn="0" w:lastRowFirstColumn="0" w:lastRowLastColumn="0"/>
              <w:rPr>
                <w:szCs w:val="22"/>
              </w:rPr>
            </w:pPr>
            <w:r w:rsidRPr="001A10EC">
              <w:rPr>
                <w:szCs w:val="22"/>
              </w:rPr>
              <w:t>2 May 2022</w:t>
            </w:r>
          </w:p>
        </w:tc>
      </w:tr>
      <w:tr w:rsidR="00324B33" w:rsidRPr="001A10EC" w14:paraId="53437815" w14:textId="77777777" w:rsidTr="008A1D19">
        <w:tc>
          <w:tcPr>
            <w:cnfStyle w:val="001000000000" w:firstRow="0" w:lastRow="0" w:firstColumn="1" w:lastColumn="0" w:oddVBand="0" w:evenVBand="0" w:oddHBand="0" w:evenHBand="0" w:firstRowFirstColumn="0" w:firstRowLastColumn="0" w:lastRowFirstColumn="0" w:lastRowLastColumn="0"/>
            <w:tcW w:w="6374" w:type="dxa"/>
          </w:tcPr>
          <w:p w14:paraId="4C037D4E" w14:textId="2B0CE255" w:rsidR="00324B33" w:rsidRPr="001A10EC" w:rsidRDefault="00324B33" w:rsidP="00E679D1">
            <w:pPr>
              <w:rPr>
                <w:szCs w:val="22"/>
              </w:rPr>
            </w:pPr>
            <w:r w:rsidRPr="001A10EC">
              <w:rPr>
                <w:szCs w:val="22"/>
              </w:rPr>
              <w:t>First round evaluation completed</w:t>
            </w:r>
          </w:p>
        </w:tc>
        <w:tc>
          <w:tcPr>
            <w:tcW w:w="2441" w:type="dxa"/>
          </w:tcPr>
          <w:p w14:paraId="3CEAFAAB" w14:textId="44360BBD" w:rsidR="00324B33" w:rsidRPr="001A10EC" w:rsidRDefault="009D7B4A" w:rsidP="00324B33">
            <w:pPr>
              <w:cnfStyle w:val="000000000000" w:firstRow="0" w:lastRow="0" w:firstColumn="0" w:lastColumn="0" w:oddVBand="0" w:evenVBand="0" w:oddHBand="0" w:evenHBand="0" w:firstRowFirstColumn="0" w:firstRowLastColumn="0" w:lastRowFirstColumn="0" w:lastRowLastColumn="0"/>
              <w:rPr>
                <w:szCs w:val="22"/>
              </w:rPr>
            </w:pPr>
            <w:r w:rsidRPr="001A10EC">
              <w:rPr>
                <w:szCs w:val="22"/>
              </w:rPr>
              <w:t>12 October 2022</w:t>
            </w:r>
          </w:p>
        </w:tc>
      </w:tr>
      <w:tr w:rsidR="00324B33" w:rsidRPr="001A10EC" w14:paraId="60DA57CC" w14:textId="77777777" w:rsidTr="008A1D19">
        <w:tc>
          <w:tcPr>
            <w:cnfStyle w:val="001000000000" w:firstRow="0" w:lastRow="0" w:firstColumn="1" w:lastColumn="0" w:oddVBand="0" w:evenVBand="0" w:oddHBand="0" w:evenHBand="0" w:firstRowFirstColumn="0" w:firstRowLastColumn="0" w:lastRowFirstColumn="0" w:lastRowLastColumn="0"/>
            <w:tcW w:w="6374" w:type="dxa"/>
          </w:tcPr>
          <w:p w14:paraId="02EA1147" w14:textId="15D87764" w:rsidR="00324B33" w:rsidRPr="001A10EC" w:rsidRDefault="00CD546E" w:rsidP="00E679D1">
            <w:pPr>
              <w:rPr>
                <w:szCs w:val="22"/>
              </w:rPr>
            </w:pPr>
            <w:r w:rsidRPr="001A10EC">
              <w:rPr>
                <w:szCs w:val="22"/>
              </w:rPr>
              <w:t>sponsor</w:t>
            </w:r>
            <w:r w:rsidR="00324B33" w:rsidRPr="001A10EC">
              <w:rPr>
                <w:szCs w:val="22"/>
              </w:rPr>
              <w:t xml:space="preserve"> provides responses on questions raised in first round evaluation</w:t>
            </w:r>
          </w:p>
        </w:tc>
        <w:tc>
          <w:tcPr>
            <w:tcW w:w="2441" w:type="dxa"/>
          </w:tcPr>
          <w:p w14:paraId="10278E6D" w14:textId="77777777" w:rsidR="00324B33" w:rsidRPr="001A10EC" w:rsidRDefault="0014067B" w:rsidP="00324B33">
            <w:pPr>
              <w:cnfStyle w:val="000000000000" w:firstRow="0" w:lastRow="0" w:firstColumn="0" w:lastColumn="0" w:oddVBand="0" w:evenVBand="0" w:oddHBand="0" w:evenHBand="0" w:firstRowFirstColumn="0" w:firstRowLastColumn="0" w:lastRowFirstColumn="0" w:lastRowLastColumn="0"/>
              <w:rPr>
                <w:szCs w:val="22"/>
              </w:rPr>
            </w:pPr>
            <w:r w:rsidRPr="001A10EC">
              <w:rPr>
                <w:szCs w:val="22"/>
              </w:rPr>
              <w:t>2 December 2022</w:t>
            </w:r>
          </w:p>
          <w:p w14:paraId="68A577C1" w14:textId="2C33DE75" w:rsidR="004533C8" w:rsidRPr="001A10EC" w:rsidRDefault="004533C8" w:rsidP="004533C8">
            <w:pPr>
              <w:cnfStyle w:val="000000000000" w:firstRow="0" w:lastRow="0" w:firstColumn="0" w:lastColumn="0" w:oddVBand="0" w:evenVBand="0" w:oddHBand="0" w:evenHBand="0" w:firstRowFirstColumn="0" w:firstRowLastColumn="0" w:lastRowFirstColumn="0" w:lastRowLastColumn="0"/>
              <w:rPr>
                <w:szCs w:val="22"/>
              </w:rPr>
            </w:pPr>
          </w:p>
        </w:tc>
      </w:tr>
      <w:tr w:rsidR="00324B33" w:rsidRPr="001A10EC" w14:paraId="767E33A4" w14:textId="77777777" w:rsidTr="008A1D19">
        <w:tc>
          <w:tcPr>
            <w:cnfStyle w:val="001000000000" w:firstRow="0" w:lastRow="0" w:firstColumn="1" w:lastColumn="0" w:oddVBand="0" w:evenVBand="0" w:oddHBand="0" w:evenHBand="0" w:firstRowFirstColumn="0" w:firstRowLastColumn="0" w:lastRowFirstColumn="0" w:lastRowLastColumn="0"/>
            <w:tcW w:w="6374" w:type="dxa"/>
          </w:tcPr>
          <w:p w14:paraId="4AFC5B50" w14:textId="2BCC6A3E" w:rsidR="00324B33" w:rsidRPr="001A10EC" w:rsidRDefault="00324B33" w:rsidP="00E679D1">
            <w:pPr>
              <w:rPr>
                <w:szCs w:val="22"/>
              </w:rPr>
            </w:pPr>
            <w:r w:rsidRPr="001A10EC">
              <w:rPr>
                <w:szCs w:val="22"/>
              </w:rPr>
              <w:t>Second round evaluation completed</w:t>
            </w:r>
          </w:p>
        </w:tc>
        <w:tc>
          <w:tcPr>
            <w:tcW w:w="2441" w:type="dxa"/>
          </w:tcPr>
          <w:p w14:paraId="4E47DF62" w14:textId="227C1E1E" w:rsidR="00324B33" w:rsidRPr="001A10EC" w:rsidRDefault="009D7B4A" w:rsidP="00324B33">
            <w:pPr>
              <w:cnfStyle w:val="000000000000" w:firstRow="0" w:lastRow="0" w:firstColumn="0" w:lastColumn="0" w:oddVBand="0" w:evenVBand="0" w:oddHBand="0" w:evenHBand="0" w:firstRowFirstColumn="0" w:firstRowLastColumn="0" w:lastRowFirstColumn="0" w:lastRowLastColumn="0"/>
              <w:rPr>
                <w:szCs w:val="22"/>
              </w:rPr>
            </w:pPr>
            <w:r w:rsidRPr="001A10EC">
              <w:rPr>
                <w:szCs w:val="22"/>
              </w:rPr>
              <w:t>17 May 2023</w:t>
            </w:r>
          </w:p>
        </w:tc>
      </w:tr>
      <w:tr w:rsidR="00324B33" w:rsidRPr="001A10EC" w14:paraId="302FCB45" w14:textId="77777777" w:rsidTr="008A1D19">
        <w:tc>
          <w:tcPr>
            <w:cnfStyle w:val="001000000000" w:firstRow="0" w:lastRow="0" w:firstColumn="1" w:lastColumn="0" w:oddVBand="0" w:evenVBand="0" w:oddHBand="0" w:evenHBand="0" w:firstRowFirstColumn="0" w:firstRowLastColumn="0" w:lastRowFirstColumn="0" w:lastRowLastColumn="0"/>
            <w:tcW w:w="6374" w:type="dxa"/>
          </w:tcPr>
          <w:p w14:paraId="716E9DC1" w14:textId="2C68EA0E" w:rsidR="00324B33" w:rsidRPr="001A10EC" w:rsidRDefault="00CD546E" w:rsidP="00324B33">
            <w:pPr>
              <w:rPr>
                <w:szCs w:val="22"/>
              </w:rPr>
            </w:pPr>
            <w:r w:rsidRPr="001A10EC">
              <w:rPr>
                <w:szCs w:val="22"/>
              </w:rPr>
              <w:t>delegate</w:t>
            </w:r>
            <w:r w:rsidR="00324B33" w:rsidRPr="001A10EC">
              <w:rPr>
                <w:szCs w:val="22"/>
              </w:rPr>
              <w:t>’s</w:t>
            </w:r>
            <w:r w:rsidR="00500D68" w:rsidRPr="001A10EC">
              <w:rPr>
                <w:rStyle w:val="FootnoteReference"/>
                <w:szCs w:val="22"/>
              </w:rPr>
              <w:footnoteReference w:id="31"/>
            </w:r>
            <w:r w:rsidR="00324B33" w:rsidRPr="001A10EC">
              <w:rPr>
                <w:szCs w:val="22"/>
              </w:rPr>
              <w:t xml:space="preserve"> Overall benefit-risk assessment and </w:t>
            </w:r>
            <w:r w:rsidR="00B81E54" w:rsidRPr="001A10EC">
              <w:rPr>
                <w:szCs w:val="22"/>
              </w:rPr>
              <w:t xml:space="preserve">first </w:t>
            </w:r>
            <w:r w:rsidR="00324B33" w:rsidRPr="001A10EC">
              <w:rPr>
                <w:szCs w:val="22"/>
              </w:rPr>
              <w:t xml:space="preserve">request for Advisory Committee advice </w:t>
            </w:r>
          </w:p>
        </w:tc>
        <w:tc>
          <w:tcPr>
            <w:tcW w:w="2441" w:type="dxa"/>
          </w:tcPr>
          <w:p w14:paraId="3BA6EF79" w14:textId="28BAE91F" w:rsidR="00324B33" w:rsidRPr="001A10EC" w:rsidRDefault="00C658F4" w:rsidP="00324B33">
            <w:pPr>
              <w:cnfStyle w:val="000000000000" w:firstRow="0" w:lastRow="0" w:firstColumn="0" w:lastColumn="0" w:oddVBand="0" w:evenVBand="0" w:oddHBand="0" w:evenHBand="0" w:firstRowFirstColumn="0" w:firstRowLastColumn="0" w:lastRowFirstColumn="0" w:lastRowLastColumn="0"/>
              <w:rPr>
                <w:szCs w:val="22"/>
              </w:rPr>
            </w:pPr>
            <w:r w:rsidRPr="001A10EC">
              <w:rPr>
                <w:szCs w:val="22"/>
              </w:rPr>
              <w:t>27 February 2023</w:t>
            </w:r>
          </w:p>
        </w:tc>
      </w:tr>
      <w:tr w:rsidR="00324B33" w:rsidRPr="001A10EC" w14:paraId="5832EBC8" w14:textId="77777777" w:rsidTr="008A1D19">
        <w:tc>
          <w:tcPr>
            <w:cnfStyle w:val="001000000000" w:firstRow="0" w:lastRow="0" w:firstColumn="1" w:lastColumn="0" w:oddVBand="0" w:evenVBand="0" w:oddHBand="0" w:evenHBand="0" w:firstRowFirstColumn="0" w:firstRowLastColumn="0" w:lastRowFirstColumn="0" w:lastRowLastColumn="0"/>
            <w:tcW w:w="6374" w:type="dxa"/>
          </w:tcPr>
          <w:p w14:paraId="720592DE" w14:textId="4FE7F3CD" w:rsidR="00324B33" w:rsidRPr="001A10EC" w:rsidRDefault="00CD546E" w:rsidP="00E679D1">
            <w:pPr>
              <w:rPr>
                <w:szCs w:val="22"/>
              </w:rPr>
            </w:pPr>
            <w:r w:rsidRPr="001A10EC">
              <w:rPr>
                <w:szCs w:val="22"/>
              </w:rPr>
              <w:t>sponsor</w:t>
            </w:r>
            <w:r w:rsidR="00324B33" w:rsidRPr="001A10EC">
              <w:rPr>
                <w:szCs w:val="22"/>
              </w:rPr>
              <w:t xml:space="preserve">’s </w:t>
            </w:r>
            <w:r w:rsidR="00B81E54" w:rsidRPr="001A10EC">
              <w:rPr>
                <w:szCs w:val="22"/>
              </w:rPr>
              <w:t xml:space="preserve">first </w:t>
            </w:r>
            <w:r w:rsidR="00324B33" w:rsidRPr="001A10EC">
              <w:rPr>
                <w:szCs w:val="22"/>
              </w:rPr>
              <w:t>pre-Advisory Committee response</w:t>
            </w:r>
          </w:p>
        </w:tc>
        <w:tc>
          <w:tcPr>
            <w:tcW w:w="2441" w:type="dxa"/>
          </w:tcPr>
          <w:p w14:paraId="5AE04841" w14:textId="211E81AF" w:rsidR="00324B33" w:rsidRPr="001A10EC" w:rsidRDefault="00A94DFB" w:rsidP="00324B33">
            <w:pPr>
              <w:cnfStyle w:val="000000000000" w:firstRow="0" w:lastRow="0" w:firstColumn="0" w:lastColumn="0" w:oddVBand="0" w:evenVBand="0" w:oddHBand="0" w:evenHBand="0" w:firstRowFirstColumn="0" w:firstRowLastColumn="0" w:lastRowFirstColumn="0" w:lastRowLastColumn="0"/>
              <w:rPr>
                <w:szCs w:val="22"/>
              </w:rPr>
            </w:pPr>
            <w:r w:rsidRPr="001A10EC">
              <w:rPr>
                <w:szCs w:val="22"/>
              </w:rPr>
              <w:t>8 March 2023</w:t>
            </w:r>
          </w:p>
        </w:tc>
      </w:tr>
      <w:tr w:rsidR="00324B33" w:rsidRPr="001A10EC" w14:paraId="5754F7AC" w14:textId="77777777" w:rsidTr="008A1D19">
        <w:tc>
          <w:tcPr>
            <w:cnfStyle w:val="001000000000" w:firstRow="0" w:lastRow="0" w:firstColumn="1" w:lastColumn="0" w:oddVBand="0" w:evenVBand="0" w:oddHBand="0" w:evenHBand="0" w:firstRowFirstColumn="0" w:firstRowLastColumn="0" w:lastRowFirstColumn="0" w:lastRowLastColumn="0"/>
            <w:tcW w:w="6374" w:type="dxa"/>
          </w:tcPr>
          <w:p w14:paraId="789DE187" w14:textId="63903D07" w:rsidR="00324B33" w:rsidRPr="001A10EC" w:rsidRDefault="009D7B4A" w:rsidP="00E679D1">
            <w:pPr>
              <w:rPr>
                <w:szCs w:val="22"/>
              </w:rPr>
            </w:pPr>
            <w:r w:rsidRPr="001A10EC">
              <w:rPr>
                <w:szCs w:val="22"/>
              </w:rPr>
              <w:t xml:space="preserve">First </w:t>
            </w:r>
            <w:r w:rsidR="00324B33" w:rsidRPr="001A10EC">
              <w:rPr>
                <w:szCs w:val="22"/>
              </w:rPr>
              <w:t>Advisory Committee meeting</w:t>
            </w:r>
          </w:p>
        </w:tc>
        <w:tc>
          <w:tcPr>
            <w:tcW w:w="2441" w:type="dxa"/>
          </w:tcPr>
          <w:p w14:paraId="5BE1EDE7" w14:textId="2DE10B2B" w:rsidR="00324B33" w:rsidRPr="001A10EC" w:rsidRDefault="00DC206E" w:rsidP="00324B33">
            <w:pPr>
              <w:cnfStyle w:val="000000000000" w:firstRow="0" w:lastRow="0" w:firstColumn="0" w:lastColumn="0" w:oddVBand="0" w:evenVBand="0" w:oddHBand="0" w:evenHBand="0" w:firstRowFirstColumn="0" w:firstRowLastColumn="0" w:lastRowFirstColumn="0" w:lastRowLastColumn="0"/>
              <w:rPr>
                <w:szCs w:val="22"/>
              </w:rPr>
            </w:pPr>
            <w:r w:rsidRPr="001A10EC">
              <w:rPr>
                <w:szCs w:val="22"/>
              </w:rPr>
              <w:t>3</w:t>
            </w:r>
            <w:r w:rsidR="00C2689A" w:rsidRPr="001A10EC">
              <w:rPr>
                <w:szCs w:val="22"/>
              </w:rPr>
              <w:t>0 March 2023</w:t>
            </w:r>
          </w:p>
        </w:tc>
      </w:tr>
      <w:tr w:rsidR="00B81E54" w:rsidRPr="001A10EC" w14:paraId="6B4FF5C8" w14:textId="77777777" w:rsidTr="008A1D19">
        <w:tc>
          <w:tcPr>
            <w:cnfStyle w:val="001000000000" w:firstRow="0" w:lastRow="0" w:firstColumn="1" w:lastColumn="0" w:oddVBand="0" w:evenVBand="0" w:oddHBand="0" w:evenHBand="0" w:firstRowFirstColumn="0" w:firstRowLastColumn="0" w:lastRowFirstColumn="0" w:lastRowLastColumn="0"/>
            <w:tcW w:w="6374" w:type="dxa"/>
          </w:tcPr>
          <w:p w14:paraId="68607ED9" w14:textId="1080DBB6" w:rsidR="00B81E54" w:rsidRPr="001A10EC" w:rsidRDefault="00CD546E" w:rsidP="00E679D1">
            <w:pPr>
              <w:rPr>
                <w:szCs w:val="22"/>
              </w:rPr>
            </w:pPr>
            <w:r w:rsidRPr="001A10EC">
              <w:rPr>
                <w:szCs w:val="22"/>
              </w:rPr>
              <w:t>delegate</w:t>
            </w:r>
            <w:r w:rsidR="00B81E54" w:rsidRPr="001A10EC">
              <w:rPr>
                <w:szCs w:val="22"/>
              </w:rPr>
              <w:t>’s second request for Advisory Committee advice</w:t>
            </w:r>
          </w:p>
        </w:tc>
        <w:tc>
          <w:tcPr>
            <w:tcW w:w="2441" w:type="dxa"/>
          </w:tcPr>
          <w:p w14:paraId="58EF31A2" w14:textId="55DBD7FC" w:rsidR="00B81E54" w:rsidRPr="001A10EC" w:rsidRDefault="00C658F4" w:rsidP="00324B33">
            <w:pPr>
              <w:cnfStyle w:val="000000000000" w:firstRow="0" w:lastRow="0" w:firstColumn="0" w:lastColumn="0" w:oddVBand="0" w:evenVBand="0" w:oddHBand="0" w:evenHBand="0" w:firstRowFirstColumn="0" w:firstRowLastColumn="0" w:lastRowFirstColumn="0" w:lastRowLastColumn="0"/>
              <w:rPr>
                <w:szCs w:val="22"/>
              </w:rPr>
            </w:pPr>
            <w:r w:rsidRPr="001A10EC">
              <w:rPr>
                <w:szCs w:val="22"/>
              </w:rPr>
              <w:t>2 June 2023</w:t>
            </w:r>
          </w:p>
        </w:tc>
      </w:tr>
      <w:tr w:rsidR="009D7B4A" w:rsidRPr="001A10EC" w14:paraId="37AAB97F" w14:textId="77777777" w:rsidTr="008A1D19">
        <w:tc>
          <w:tcPr>
            <w:cnfStyle w:val="001000000000" w:firstRow="0" w:lastRow="0" w:firstColumn="1" w:lastColumn="0" w:oddVBand="0" w:evenVBand="0" w:oddHBand="0" w:evenHBand="0" w:firstRowFirstColumn="0" w:firstRowLastColumn="0" w:lastRowFirstColumn="0" w:lastRowLastColumn="0"/>
            <w:tcW w:w="6374" w:type="dxa"/>
          </w:tcPr>
          <w:p w14:paraId="4B750EA8" w14:textId="3A799F99" w:rsidR="009D7B4A" w:rsidRPr="001A10EC" w:rsidRDefault="00CD546E" w:rsidP="009D7B4A">
            <w:pPr>
              <w:rPr>
                <w:szCs w:val="22"/>
              </w:rPr>
            </w:pPr>
            <w:r w:rsidRPr="001A10EC">
              <w:rPr>
                <w:szCs w:val="22"/>
              </w:rPr>
              <w:t>sponsor</w:t>
            </w:r>
            <w:r w:rsidR="009D7B4A" w:rsidRPr="001A10EC">
              <w:rPr>
                <w:szCs w:val="22"/>
              </w:rPr>
              <w:t>’s</w:t>
            </w:r>
            <w:r w:rsidR="00B81E54" w:rsidRPr="001A10EC">
              <w:rPr>
                <w:szCs w:val="22"/>
              </w:rPr>
              <w:t xml:space="preserve"> second</w:t>
            </w:r>
            <w:r w:rsidR="009D7B4A" w:rsidRPr="001A10EC">
              <w:rPr>
                <w:szCs w:val="22"/>
              </w:rPr>
              <w:t xml:space="preserve"> pre-Advisory Committee response</w:t>
            </w:r>
          </w:p>
        </w:tc>
        <w:tc>
          <w:tcPr>
            <w:tcW w:w="2441" w:type="dxa"/>
          </w:tcPr>
          <w:p w14:paraId="64C01321" w14:textId="0E5757EB" w:rsidR="009D7B4A" w:rsidRPr="001A10EC" w:rsidRDefault="00A601C4" w:rsidP="009D7B4A">
            <w:pPr>
              <w:cnfStyle w:val="000000000000" w:firstRow="0" w:lastRow="0" w:firstColumn="0" w:lastColumn="0" w:oddVBand="0" w:evenVBand="0" w:oddHBand="0" w:evenHBand="0" w:firstRowFirstColumn="0" w:firstRowLastColumn="0" w:lastRowFirstColumn="0" w:lastRowLastColumn="0"/>
              <w:rPr>
                <w:szCs w:val="22"/>
              </w:rPr>
            </w:pPr>
            <w:r w:rsidRPr="001A10EC">
              <w:rPr>
                <w:szCs w:val="22"/>
              </w:rPr>
              <w:t>14 July 2023</w:t>
            </w:r>
          </w:p>
        </w:tc>
      </w:tr>
      <w:tr w:rsidR="009D7B4A" w:rsidRPr="001A10EC" w14:paraId="4D5F55D0" w14:textId="77777777" w:rsidTr="008A1D19">
        <w:tc>
          <w:tcPr>
            <w:cnfStyle w:val="001000000000" w:firstRow="0" w:lastRow="0" w:firstColumn="1" w:lastColumn="0" w:oddVBand="0" w:evenVBand="0" w:oddHBand="0" w:evenHBand="0" w:firstRowFirstColumn="0" w:firstRowLastColumn="0" w:lastRowFirstColumn="0" w:lastRowLastColumn="0"/>
            <w:tcW w:w="6374" w:type="dxa"/>
          </w:tcPr>
          <w:p w14:paraId="427C3BCA" w14:textId="43B43B93" w:rsidR="009D7B4A" w:rsidRPr="001A10EC" w:rsidRDefault="009D7B4A" w:rsidP="009D7B4A">
            <w:pPr>
              <w:rPr>
                <w:szCs w:val="22"/>
              </w:rPr>
            </w:pPr>
            <w:r w:rsidRPr="001A10EC">
              <w:rPr>
                <w:szCs w:val="22"/>
              </w:rPr>
              <w:t>Second Advisory Committee meeting</w:t>
            </w:r>
          </w:p>
        </w:tc>
        <w:tc>
          <w:tcPr>
            <w:tcW w:w="2441" w:type="dxa"/>
          </w:tcPr>
          <w:p w14:paraId="330E79B1" w14:textId="0AB5ED64" w:rsidR="009D7B4A" w:rsidRPr="001A10EC" w:rsidRDefault="00C2689A" w:rsidP="009D7B4A">
            <w:pPr>
              <w:cnfStyle w:val="000000000000" w:firstRow="0" w:lastRow="0" w:firstColumn="0" w:lastColumn="0" w:oddVBand="0" w:evenVBand="0" w:oddHBand="0" w:evenHBand="0" w:firstRowFirstColumn="0" w:firstRowLastColumn="0" w:lastRowFirstColumn="0" w:lastRowLastColumn="0"/>
              <w:rPr>
                <w:szCs w:val="22"/>
              </w:rPr>
            </w:pPr>
            <w:r w:rsidRPr="001A10EC">
              <w:rPr>
                <w:szCs w:val="22"/>
              </w:rPr>
              <w:t>3 August 2023</w:t>
            </w:r>
          </w:p>
        </w:tc>
      </w:tr>
      <w:tr w:rsidR="00324B33" w:rsidRPr="001A10EC" w14:paraId="6E5D32FE" w14:textId="77777777" w:rsidTr="008A1D19">
        <w:tc>
          <w:tcPr>
            <w:cnfStyle w:val="001000000000" w:firstRow="0" w:lastRow="0" w:firstColumn="1" w:lastColumn="0" w:oddVBand="0" w:evenVBand="0" w:oddHBand="0" w:evenHBand="0" w:firstRowFirstColumn="0" w:firstRowLastColumn="0" w:lastRowFirstColumn="0" w:lastRowLastColumn="0"/>
            <w:tcW w:w="6374" w:type="dxa"/>
          </w:tcPr>
          <w:p w14:paraId="4E95C44C" w14:textId="7A91C710" w:rsidR="00324B33" w:rsidRPr="001A10EC" w:rsidRDefault="00324B33" w:rsidP="00E679D1">
            <w:pPr>
              <w:rPr>
                <w:szCs w:val="22"/>
              </w:rPr>
            </w:pPr>
            <w:r w:rsidRPr="001A10EC">
              <w:rPr>
                <w:szCs w:val="22"/>
              </w:rPr>
              <w:t>Registration decision (Outcome)</w:t>
            </w:r>
          </w:p>
        </w:tc>
        <w:tc>
          <w:tcPr>
            <w:tcW w:w="2441" w:type="dxa"/>
          </w:tcPr>
          <w:p w14:paraId="62987ABD" w14:textId="38721824" w:rsidR="00324B33" w:rsidRPr="001A10EC" w:rsidRDefault="00B81E54" w:rsidP="00324B33">
            <w:pPr>
              <w:cnfStyle w:val="000000000000" w:firstRow="0" w:lastRow="0" w:firstColumn="0" w:lastColumn="0" w:oddVBand="0" w:evenVBand="0" w:oddHBand="0" w:evenHBand="0" w:firstRowFirstColumn="0" w:firstRowLastColumn="0" w:lastRowFirstColumn="0" w:lastRowLastColumn="0"/>
              <w:rPr>
                <w:szCs w:val="22"/>
              </w:rPr>
            </w:pPr>
            <w:r w:rsidRPr="001A10EC">
              <w:rPr>
                <w:szCs w:val="22"/>
              </w:rPr>
              <w:t>29 September 2023</w:t>
            </w:r>
          </w:p>
        </w:tc>
      </w:tr>
      <w:tr w:rsidR="00324B33" w:rsidRPr="001A10EC" w14:paraId="6DDCDDA4" w14:textId="77777777" w:rsidTr="008A1D19">
        <w:tc>
          <w:tcPr>
            <w:cnfStyle w:val="001000000000" w:firstRow="0" w:lastRow="0" w:firstColumn="1" w:lastColumn="0" w:oddVBand="0" w:evenVBand="0" w:oddHBand="0" w:evenHBand="0" w:firstRowFirstColumn="0" w:firstRowLastColumn="0" w:lastRowFirstColumn="0" w:lastRowLastColumn="0"/>
            <w:tcW w:w="6374" w:type="dxa"/>
          </w:tcPr>
          <w:p w14:paraId="192FD19D" w14:textId="3612A2E7" w:rsidR="00324B33" w:rsidRPr="001A10EC" w:rsidRDefault="0013132F" w:rsidP="00E679D1">
            <w:pPr>
              <w:rPr>
                <w:szCs w:val="22"/>
              </w:rPr>
            </w:pPr>
            <w:r w:rsidRPr="001A10EC">
              <w:rPr>
                <w:szCs w:val="22"/>
              </w:rPr>
              <w:t xml:space="preserve">Administrative activities and registration </w:t>
            </w:r>
            <w:r w:rsidR="005C4B46" w:rsidRPr="001A10EC">
              <w:rPr>
                <w:szCs w:val="22"/>
              </w:rPr>
              <w:t xml:space="preserve">in </w:t>
            </w:r>
            <w:r w:rsidRPr="001A10EC">
              <w:rPr>
                <w:szCs w:val="22"/>
              </w:rPr>
              <w:t>the ARTG completed</w:t>
            </w:r>
          </w:p>
        </w:tc>
        <w:tc>
          <w:tcPr>
            <w:tcW w:w="2441" w:type="dxa"/>
          </w:tcPr>
          <w:p w14:paraId="5A8923FD" w14:textId="3E4895E7" w:rsidR="00324B33" w:rsidRPr="001A10EC" w:rsidRDefault="004D7FF6" w:rsidP="00324B33">
            <w:pPr>
              <w:cnfStyle w:val="000000000000" w:firstRow="0" w:lastRow="0" w:firstColumn="0" w:lastColumn="0" w:oddVBand="0" w:evenVBand="0" w:oddHBand="0" w:evenHBand="0" w:firstRowFirstColumn="0" w:firstRowLastColumn="0" w:lastRowFirstColumn="0" w:lastRowLastColumn="0"/>
              <w:rPr>
                <w:szCs w:val="22"/>
              </w:rPr>
            </w:pPr>
            <w:r w:rsidRPr="001A10EC">
              <w:rPr>
                <w:szCs w:val="22"/>
              </w:rPr>
              <w:t>5 October 2023</w:t>
            </w:r>
          </w:p>
        </w:tc>
      </w:tr>
      <w:tr w:rsidR="00324B33" w:rsidRPr="001A10EC" w14:paraId="56D922E2" w14:textId="77777777" w:rsidTr="008A1D19">
        <w:tc>
          <w:tcPr>
            <w:cnfStyle w:val="001000000000" w:firstRow="0" w:lastRow="0" w:firstColumn="1" w:lastColumn="0" w:oddVBand="0" w:evenVBand="0" w:oddHBand="0" w:evenHBand="0" w:firstRowFirstColumn="0" w:firstRowLastColumn="0" w:lastRowFirstColumn="0" w:lastRowLastColumn="0"/>
            <w:tcW w:w="6374" w:type="dxa"/>
          </w:tcPr>
          <w:p w14:paraId="787FD8DD" w14:textId="0E0CF97F" w:rsidR="00324B33" w:rsidRPr="001A10EC" w:rsidRDefault="00324B33" w:rsidP="00E679D1">
            <w:pPr>
              <w:rPr>
                <w:szCs w:val="22"/>
              </w:rPr>
            </w:pPr>
            <w:r w:rsidRPr="001A10EC">
              <w:rPr>
                <w:szCs w:val="22"/>
              </w:rPr>
              <w:t>Number of working days from submission dossier acceptance to registration decision*</w:t>
            </w:r>
          </w:p>
        </w:tc>
        <w:tc>
          <w:tcPr>
            <w:tcW w:w="2441" w:type="dxa"/>
          </w:tcPr>
          <w:p w14:paraId="5BAF9FA1" w14:textId="1B843112" w:rsidR="00324B33" w:rsidRPr="001A10EC" w:rsidRDefault="00B81E54" w:rsidP="00324B33">
            <w:pPr>
              <w:cnfStyle w:val="000000000000" w:firstRow="0" w:lastRow="0" w:firstColumn="0" w:lastColumn="0" w:oddVBand="0" w:evenVBand="0" w:oddHBand="0" w:evenHBand="0" w:firstRowFirstColumn="0" w:firstRowLastColumn="0" w:lastRowFirstColumn="0" w:lastRowLastColumn="0"/>
              <w:rPr>
                <w:szCs w:val="22"/>
              </w:rPr>
            </w:pPr>
            <w:r w:rsidRPr="001A10EC">
              <w:rPr>
                <w:szCs w:val="22"/>
              </w:rPr>
              <w:t>226</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0" w:name="_Toc196046504"/>
      <w:bookmarkStart w:id="31" w:name="_Toc247691527"/>
      <w:bookmarkStart w:id="32" w:name="_Toc314842510"/>
      <w:bookmarkStart w:id="33" w:name="_Toc103679294"/>
      <w:bookmarkStart w:id="34" w:name="_Toc171942662"/>
      <w:r w:rsidRPr="00006FAB">
        <w:lastRenderedPageBreak/>
        <w:t xml:space="preserve">Submission overview </w:t>
      </w:r>
      <w:r w:rsidRPr="00792A32">
        <w:t xml:space="preserve">and </w:t>
      </w:r>
      <w:r>
        <w:t>r</w:t>
      </w:r>
      <w:r w:rsidRPr="00792A32">
        <w:t>isk/</w:t>
      </w:r>
      <w:r>
        <w:t>b</w:t>
      </w:r>
      <w:r w:rsidRPr="00792A32">
        <w:t xml:space="preserve">enefit </w:t>
      </w:r>
      <w:r>
        <w:t>a</w:t>
      </w:r>
      <w:r w:rsidRPr="00792A32">
        <w:t>ssessment</w:t>
      </w:r>
      <w:bookmarkEnd w:id="30"/>
      <w:bookmarkEnd w:id="31"/>
      <w:bookmarkEnd w:id="32"/>
      <w:bookmarkEnd w:id="33"/>
      <w:bookmarkEnd w:id="34"/>
    </w:p>
    <w:p w14:paraId="37F5A1C0" w14:textId="1513A9DC" w:rsidR="00C22214" w:rsidRDefault="001A10EC" w:rsidP="00C22214">
      <w:pPr>
        <w:pStyle w:val="Heading3"/>
      </w:pPr>
      <w:bookmarkStart w:id="35" w:name="_Toc171942663"/>
      <w:r w:rsidRPr="001A10EC">
        <w:t xml:space="preserve">Quality </w:t>
      </w:r>
      <w:r w:rsidR="008A1D19" w:rsidRPr="001A10EC">
        <w:t>evaluation s</w:t>
      </w:r>
      <w:r w:rsidRPr="001A10EC">
        <w:t>ummary</w:t>
      </w:r>
      <w:bookmarkEnd w:id="35"/>
    </w:p>
    <w:p w14:paraId="29A3BB75" w14:textId="0AA54879" w:rsidR="00A01C56" w:rsidRPr="00BD5DBD" w:rsidRDefault="00637F0E" w:rsidP="00637F0E">
      <w:pPr>
        <w:rPr>
          <w:szCs w:val="22"/>
        </w:rPr>
      </w:pPr>
      <w:r w:rsidRPr="00BD5DBD">
        <w:rPr>
          <w:szCs w:val="22"/>
        </w:rPr>
        <w:t xml:space="preserve">Quality evaluation is not required for this submission as there are no proposed changes to the </w:t>
      </w:r>
      <w:r w:rsidR="003A50DF">
        <w:rPr>
          <w:szCs w:val="22"/>
        </w:rPr>
        <w:t>manufacture</w:t>
      </w:r>
      <w:r w:rsidR="003A50DF" w:rsidRPr="00BD5DBD">
        <w:rPr>
          <w:szCs w:val="22"/>
        </w:rPr>
        <w:t xml:space="preserve"> </w:t>
      </w:r>
      <w:r w:rsidRPr="00BD5DBD">
        <w:rPr>
          <w:szCs w:val="22"/>
        </w:rPr>
        <w:t>of the currently approved product in Australia</w:t>
      </w:r>
      <w:r w:rsidR="00C816C6" w:rsidRPr="00BD5DBD">
        <w:rPr>
          <w:szCs w:val="22"/>
        </w:rPr>
        <w:t>.</w:t>
      </w:r>
      <w:r w:rsidRPr="00BD5DBD">
        <w:rPr>
          <w:szCs w:val="22"/>
        </w:rPr>
        <w:t xml:space="preserve"> A full quality evaluation was conducted at the time this product received initial registration</w:t>
      </w:r>
      <w:r w:rsidR="00883D35">
        <w:rPr>
          <w:szCs w:val="22"/>
        </w:rPr>
        <w:t>.</w:t>
      </w:r>
      <w:r w:rsidR="00301D9A">
        <w:rPr>
          <w:rStyle w:val="FootnoteReference"/>
          <w:szCs w:val="22"/>
        </w:rPr>
        <w:footnoteReference w:id="32"/>
      </w:r>
    </w:p>
    <w:p w14:paraId="2BE90AAE" w14:textId="6211655A" w:rsidR="00C22214" w:rsidRDefault="001A10EC" w:rsidP="00C22214">
      <w:pPr>
        <w:pStyle w:val="Heading3"/>
      </w:pPr>
      <w:bookmarkStart w:id="36" w:name="_Toc171942664"/>
      <w:r w:rsidRPr="001A10EC">
        <w:t>Nonclinical (</w:t>
      </w:r>
      <w:r w:rsidR="008A1D19" w:rsidRPr="001A10EC">
        <w:t>toxicology) evaluation summary</w:t>
      </w:r>
      <w:bookmarkEnd w:id="36"/>
    </w:p>
    <w:p w14:paraId="1FCF4F7A" w14:textId="311A590A" w:rsidR="00684530" w:rsidRPr="009D7EEE" w:rsidRDefault="00684530" w:rsidP="00684530">
      <w:pPr>
        <w:rPr>
          <w:vertAlign w:val="superscript"/>
        </w:rPr>
      </w:pPr>
      <w:bookmarkStart w:id="37" w:name="_Toc247691530"/>
      <w:bookmarkStart w:id="38" w:name="_Toc314842513"/>
      <w:bookmarkStart w:id="39" w:name="_Toc103679297"/>
      <w:r>
        <w:t xml:space="preserve">The </w:t>
      </w:r>
      <w:r w:rsidR="00F430DF">
        <w:t>s</w:t>
      </w:r>
      <w:r>
        <w:t>ponsor propose</w:t>
      </w:r>
      <w:r w:rsidR="00F430DF">
        <w:t>d</w:t>
      </w:r>
      <w:r>
        <w:t xml:space="preserve"> to add new text (</w:t>
      </w:r>
      <w:r w:rsidR="00187FCA" w:rsidRPr="00A425C7">
        <w:rPr>
          <w:b/>
          <w:bCs/>
        </w:rPr>
        <w:t>bold</w:t>
      </w:r>
      <w:r>
        <w:t>, below) to the existing Australian PI text, regarding hypothetical mechanism of action (MOA) for addition of a PARP inhibitor to NHA treatment, based on published literature.</w:t>
      </w:r>
      <w:bookmarkStart w:id="40" w:name="_Ref121304369"/>
      <w:r w:rsidR="00F430DF">
        <w:rPr>
          <w:rStyle w:val="FootnoteReference"/>
        </w:rPr>
        <w:footnoteReference w:id="33"/>
      </w:r>
      <w:bookmarkEnd w:id="40"/>
      <w:r w:rsidR="00EF7CE6" w:rsidRPr="00583A23">
        <w:rPr>
          <w:vertAlign w:val="superscript"/>
        </w:rPr>
        <w:t>,</w:t>
      </w:r>
      <w:r w:rsidRPr="00B311BC">
        <w:rPr>
          <w:vertAlign w:val="superscript"/>
        </w:rPr>
        <w:t xml:space="preserve"> </w:t>
      </w:r>
      <w:bookmarkStart w:id="41" w:name="_Ref121305173"/>
      <w:r w:rsidR="003B587E">
        <w:rPr>
          <w:rStyle w:val="FootnoteReference"/>
        </w:rPr>
        <w:footnoteReference w:id="34"/>
      </w:r>
      <w:r w:rsidR="00EF7CE6" w:rsidRPr="00EF7CE6">
        <w:rPr>
          <w:vertAlign w:val="superscript"/>
        </w:rPr>
        <w:t>,</w:t>
      </w:r>
      <w:r w:rsidR="003B587E">
        <w:rPr>
          <w:vertAlign w:val="superscript"/>
        </w:rPr>
        <w:t xml:space="preserve"> </w:t>
      </w:r>
      <w:bookmarkEnd w:id="41"/>
      <w:r w:rsidR="003B587E">
        <w:rPr>
          <w:rStyle w:val="FootnoteReference"/>
        </w:rPr>
        <w:footnoteReference w:id="35"/>
      </w:r>
      <w:r w:rsidR="00EF7CE6" w:rsidRPr="00EF7CE6">
        <w:rPr>
          <w:vertAlign w:val="superscript"/>
        </w:rPr>
        <w:t>,</w:t>
      </w:r>
      <w:r w:rsidRPr="00B311BC">
        <w:rPr>
          <w:vertAlign w:val="superscript"/>
        </w:rPr>
        <w:t xml:space="preserve"> </w:t>
      </w:r>
      <w:r w:rsidR="003B587E">
        <w:rPr>
          <w:rStyle w:val="FootnoteReference"/>
        </w:rPr>
        <w:footnoteReference w:id="36"/>
      </w:r>
    </w:p>
    <w:p w14:paraId="6F28C14D" w14:textId="77777777" w:rsidR="00684530" w:rsidRPr="00BC5045" w:rsidRDefault="00684530" w:rsidP="00684530">
      <w:pPr>
        <w:pStyle w:val="Quotation"/>
        <w:rPr>
          <w:sz w:val="22"/>
          <w:szCs w:val="24"/>
          <w:u w:val="single"/>
        </w:rPr>
      </w:pPr>
      <w:r w:rsidRPr="00BC5045">
        <w:rPr>
          <w:snapToGrid w:val="0"/>
          <w:sz w:val="22"/>
          <w:szCs w:val="24"/>
        </w:rPr>
        <w:t>“</w:t>
      </w:r>
      <w:r w:rsidRPr="00BC5045">
        <w:rPr>
          <w:sz w:val="22"/>
          <w:szCs w:val="24"/>
        </w:rPr>
        <w:t xml:space="preserve">Olaparib is an orally active inhibitor of human poly (ADP-ribose) polymerase enzymes (PARP-1, PARP-2, and PARP-3), and has been shown to inhibit the growth of selected tumour cell lines in vitro and tumour growth in mice either as a standalone treatment or in combination with established chemotherapies </w:t>
      </w:r>
      <w:r w:rsidRPr="00583A23">
        <w:rPr>
          <w:b/>
          <w:bCs/>
          <w:sz w:val="22"/>
          <w:szCs w:val="24"/>
        </w:rPr>
        <w:t>or new hormonal agents (NHA)</w:t>
      </w:r>
      <w:r w:rsidRPr="00BC5045">
        <w:rPr>
          <w:sz w:val="22"/>
          <w:szCs w:val="24"/>
          <w:u w:val="single"/>
        </w:rPr>
        <w:t>.</w:t>
      </w:r>
    </w:p>
    <w:p w14:paraId="098C99D7" w14:textId="77777777" w:rsidR="00684530" w:rsidRPr="00BC5045" w:rsidRDefault="00684530" w:rsidP="00684530">
      <w:pPr>
        <w:pStyle w:val="Quotation"/>
        <w:rPr>
          <w:sz w:val="22"/>
          <w:szCs w:val="24"/>
        </w:rPr>
      </w:pPr>
      <w:r w:rsidRPr="00583A23">
        <w:rPr>
          <w:b/>
          <w:bCs/>
          <w:sz w:val="22"/>
          <w:szCs w:val="24"/>
        </w:rPr>
        <w:t>Pre-clinical studies in prostate cancer models reported a combined anti-tumour effect when PARP inhibitors and new hormonal agents are administered together. PARP is involved in positive coregulation of androgen receptor (AR) signalling, which leads to enhanced AR target gene suppression when PARP/AR signalling is co-inhibited. Other pre-clinical studies reported that treatment with NHAs inhibit the transcription of some HRR genes, therefore, inducing HRR deficiency and increased sensitivity to PARP inhibitors via non-genetic mechanisms</w:t>
      </w:r>
      <w:r w:rsidRPr="00BC5045">
        <w:rPr>
          <w:sz w:val="22"/>
          <w:szCs w:val="24"/>
        </w:rPr>
        <w:t>.”</w:t>
      </w:r>
    </w:p>
    <w:p w14:paraId="71F6921D" w14:textId="77777777" w:rsidR="00684530" w:rsidRDefault="00684530" w:rsidP="00684530">
      <w:r>
        <w:t>The</w:t>
      </w:r>
      <w:r w:rsidRPr="0022081D">
        <w:t xml:space="preserve"> proposed biological rationale for </w:t>
      </w:r>
      <w:r>
        <w:t>addition of</w:t>
      </w:r>
      <w:r w:rsidRPr="0022081D">
        <w:t xml:space="preserve"> PARP inhibitor treatment</w:t>
      </w:r>
      <w:r>
        <w:t xml:space="preserve"> to NHA treatment</w:t>
      </w:r>
      <w:r w:rsidRPr="0022081D">
        <w:t xml:space="preserve"> in </w:t>
      </w:r>
      <w:r>
        <w:t xml:space="preserve">biomarker-agnostic </w:t>
      </w:r>
      <w:r w:rsidRPr="0022081D">
        <w:t xml:space="preserve">prostate cancer incorporates two mechanisms </w:t>
      </w:r>
      <w:r>
        <w:t>through which</w:t>
      </w:r>
      <w:r w:rsidRPr="0022081D">
        <w:t xml:space="preserve"> olaparib </w:t>
      </w:r>
      <w:r>
        <w:t>may have efficacy:</w:t>
      </w:r>
    </w:p>
    <w:p w14:paraId="1B50478B" w14:textId="37293D7D" w:rsidR="00684530" w:rsidRPr="008B325E" w:rsidRDefault="00684530" w:rsidP="007F29D8">
      <w:pPr>
        <w:ind w:left="720"/>
      </w:pPr>
      <w:r>
        <w:t xml:space="preserve">PARP inhibition may add to the effect of an NHA, by inhibiting transcription downstream of androgen receptor signalling: </w:t>
      </w:r>
      <w:r>
        <w:br/>
      </w:r>
      <w:r>
        <w:br/>
      </w:r>
      <w:r w:rsidRPr="008B325E">
        <w:t>Beyond its function in DNA repair, PARP-1 is implicated in modulation of transcription.</w:t>
      </w:r>
      <w:r w:rsidR="00C5308E">
        <w:rPr>
          <w:rStyle w:val="FootnoteReference"/>
        </w:rPr>
        <w:footnoteReference w:id="37"/>
      </w:r>
      <w:r w:rsidRPr="008B325E">
        <w:t xml:space="preserve"> PARP-1’s transcriptional functions may be especially relevant in hormone-dependent cancers such as prostate cancer, as nuclear hormone receptors have been reported to require catalytically active PARP-1 as a positive co-regulator of target gene expression.</w:t>
      </w:r>
      <w:r w:rsidR="00807907">
        <w:rPr>
          <w:rStyle w:val="FootnoteReference"/>
        </w:rPr>
        <w:footnoteReference w:id="38"/>
      </w:r>
      <w:r w:rsidRPr="008B325E">
        <w:t xml:space="preserve"> </w:t>
      </w:r>
      <w:r w:rsidRPr="008B325E">
        <w:lastRenderedPageBreak/>
        <w:t>The proposed PARP-1 co-regulation of the androgen receptor pathway is supported by the observations that PARP inhibition may suppress transcription of several AR targets</w:t>
      </w:r>
      <w:r>
        <w:t>.</w:t>
      </w:r>
      <w:r>
        <w:fldChar w:fldCharType="begin"/>
      </w:r>
      <w:r>
        <w:instrText xml:space="preserve"> NOTEREF _Ref121304369 \f \h </w:instrText>
      </w:r>
      <w:r w:rsidR="007F29D8">
        <w:instrText xml:space="preserve"> \* MERGEFORMAT </w:instrText>
      </w:r>
      <w:r>
        <w:fldChar w:fldCharType="separate"/>
      </w:r>
      <w:bookmarkStart w:id="42" w:name="_Ref163551006"/>
      <w:r w:rsidR="00106A6F">
        <w:rPr>
          <w:rStyle w:val="FootnoteReference"/>
        </w:rPr>
        <w:footnoteReference w:id="39"/>
      </w:r>
      <w:bookmarkEnd w:id="42"/>
      <w:r>
        <w:fldChar w:fldCharType="end"/>
      </w:r>
      <w:r w:rsidRPr="008B325E">
        <w:t xml:space="preserve"> </w:t>
      </w:r>
    </w:p>
    <w:p w14:paraId="705FC1A0" w14:textId="77777777" w:rsidR="008A1D19" w:rsidRDefault="00684530" w:rsidP="007F29D8">
      <w:pPr>
        <w:ind w:left="720"/>
      </w:pPr>
      <w:r>
        <w:t>Anti-androgen treatment (such as with a</w:t>
      </w:r>
      <w:r w:rsidR="00106A6F">
        <w:t>n</w:t>
      </w:r>
      <w:r>
        <w:t xml:space="preserve"> NHA) may induce a phenotype of homologous repair deficiency (HRD), thereby inducing sensitivity to PARP inhibition:</w:t>
      </w:r>
    </w:p>
    <w:p w14:paraId="71D54D46" w14:textId="4597ECAF" w:rsidR="00684530" w:rsidRPr="008B325E" w:rsidRDefault="00684530" w:rsidP="007F29D8">
      <w:pPr>
        <w:ind w:left="720"/>
      </w:pPr>
      <w:r w:rsidRPr="008B325E">
        <w:t>Inhibition of AR signalling may induce a</w:t>
      </w:r>
      <w:r>
        <w:t>n</w:t>
      </w:r>
      <w:r w:rsidRPr="008B325E">
        <w:t xml:space="preserve"> </w:t>
      </w:r>
      <w:r>
        <w:t>HRD</w:t>
      </w:r>
      <w:r w:rsidRPr="008B325E">
        <w:t xml:space="preserve"> phenotype through non-genetic mechanisms. Several lines of evidence have been reported that support this possibility, including downregulation of HRR gene transcripts and protein levels in response to inhibition of AR signalling in prostate cancer correlated with deficient DNA repair and increased DNA damage sensitivity.</w:t>
      </w:r>
      <w:r w:rsidR="00B10748">
        <w:fldChar w:fldCharType="begin"/>
      </w:r>
      <w:r w:rsidR="00B10748">
        <w:instrText xml:space="preserve"> NOTEREF _Ref163551006 \f \h </w:instrText>
      </w:r>
      <w:r w:rsidR="00B10748">
        <w:fldChar w:fldCharType="separate"/>
      </w:r>
      <w:r w:rsidR="00B10748" w:rsidRPr="00B10748">
        <w:rPr>
          <w:rStyle w:val="FootnoteReference"/>
        </w:rPr>
        <w:t>13</w:t>
      </w:r>
      <w:r w:rsidR="00B10748">
        <w:fldChar w:fldCharType="end"/>
      </w:r>
      <w:r w:rsidR="00AA0FF6" w:rsidRPr="00AA0FF6">
        <w:rPr>
          <w:vertAlign w:val="superscript"/>
        </w:rPr>
        <w:t>,</w:t>
      </w:r>
      <w:r w:rsidR="00BD032F">
        <w:rPr>
          <w:rStyle w:val="FootnoteReference"/>
        </w:rPr>
        <w:footnoteReference w:id="40"/>
      </w:r>
      <w:r w:rsidR="000463F9">
        <w:t xml:space="preserve"> </w:t>
      </w:r>
      <w:r>
        <w:t>This is a mechanism through which anti-androgen treatment (reducing DNA repair capacity) is thought to synergise with radiation therapy (which causes DNA damage).</w:t>
      </w:r>
      <w:r w:rsidR="000463F9">
        <w:rPr>
          <w:rStyle w:val="FootnoteReference"/>
        </w:rPr>
        <w:footnoteReference w:id="41"/>
      </w:r>
    </w:p>
    <w:p w14:paraId="5E360A0D" w14:textId="33BA1423" w:rsidR="00187FCA" w:rsidRDefault="00684530">
      <w:pPr>
        <w:rPr>
          <w:b/>
        </w:rPr>
      </w:pPr>
      <w:r w:rsidRPr="00D924CC">
        <w:t xml:space="preserve">In </w:t>
      </w:r>
      <w:r>
        <w:t xml:space="preserve">support of the second hypothesis, i.e. of a synergistic effect where a tumour is not already HRR-deficient, </w:t>
      </w:r>
      <w:r w:rsidRPr="00D924CC">
        <w:t xml:space="preserve">treatment </w:t>
      </w:r>
      <w:r>
        <w:t xml:space="preserve">of </w:t>
      </w:r>
      <w:r w:rsidRPr="00D924CC">
        <w:t>a prostate cancer xenograft with PARP inhibitors plus castration resulted in a larger decrease in tumour volume compared with castration or PARP inhibitor alone.</w:t>
      </w:r>
      <w:r w:rsidR="000D4BC5">
        <w:fldChar w:fldCharType="begin"/>
      </w:r>
      <w:r w:rsidR="000D4BC5">
        <w:instrText xml:space="preserve"> NOTEREF _Ref163551006 \h </w:instrText>
      </w:r>
      <w:r w:rsidR="005F4CCC">
        <w:fldChar w:fldCharType="separate"/>
      </w:r>
      <w:r w:rsidR="000D4BC5">
        <w:fldChar w:fldCharType="end"/>
      </w:r>
      <w:r w:rsidR="000D4BC5">
        <w:fldChar w:fldCharType="begin"/>
      </w:r>
      <w:r w:rsidR="000D4BC5">
        <w:instrText xml:space="preserve"> NOTEREF _Ref163551006 \f \h </w:instrText>
      </w:r>
      <w:r w:rsidR="000D4BC5">
        <w:fldChar w:fldCharType="separate"/>
      </w:r>
      <w:r w:rsidR="000D4BC5" w:rsidRPr="000D4BC5">
        <w:rPr>
          <w:rStyle w:val="FootnoteReference"/>
        </w:rPr>
        <w:t>13</w:t>
      </w:r>
      <w:r w:rsidR="000D4BC5">
        <w:fldChar w:fldCharType="end"/>
      </w:r>
      <w:r w:rsidRPr="00D924CC">
        <w:fldChar w:fldCharType="begin"/>
      </w:r>
      <w:r w:rsidRPr="00D924CC">
        <w:instrText xml:space="preserve"> NOTEREF _Ref121304369 \f \h  \* MERGEFORMAT </w:instrText>
      </w:r>
      <w:r w:rsidR="005F4CCC">
        <w:fldChar w:fldCharType="separate"/>
      </w:r>
      <w:r w:rsidRPr="00D924CC">
        <w:fldChar w:fldCharType="end"/>
      </w:r>
      <w:bookmarkStart w:id="43" w:name="_Ref125626526"/>
      <w:bookmarkStart w:id="44" w:name="_Toc111023728"/>
      <w:bookmarkStart w:id="45" w:name="_Ref125626523"/>
    </w:p>
    <w:p w14:paraId="3C7417D6" w14:textId="1F234E87" w:rsidR="00684530" w:rsidRPr="00BC5045" w:rsidRDefault="00684530" w:rsidP="00583A23">
      <w:pPr>
        <w:pStyle w:val="FigureTitle"/>
      </w:pPr>
      <w:r w:rsidRPr="00BC5045">
        <w:t xml:space="preserve">Figure </w:t>
      </w:r>
      <w:r>
        <w:fldChar w:fldCharType="begin"/>
      </w:r>
      <w:r>
        <w:instrText xml:space="preserve"> SEQ Figure \* ARABIC </w:instrText>
      </w:r>
      <w:r>
        <w:fldChar w:fldCharType="separate"/>
      </w:r>
      <w:r w:rsidR="00AF2F76">
        <w:rPr>
          <w:noProof/>
        </w:rPr>
        <w:t>1</w:t>
      </w:r>
      <w:r>
        <w:rPr>
          <w:noProof/>
        </w:rPr>
        <w:fldChar w:fldCharType="end"/>
      </w:r>
      <w:bookmarkEnd w:id="43"/>
      <w:r w:rsidRPr="00BC5045">
        <w:t xml:space="preserve">. Biological rationale as proposed by the </w:t>
      </w:r>
      <w:r w:rsidR="00CD546E">
        <w:t>sponsor</w:t>
      </w:r>
      <w:r w:rsidRPr="00BC5045">
        <w:t xml:space="preserve"> for PARP inhibitor and NHA combination</w:t>
      </w:r>
      <w:bookmarkEnd w:id="44"/>
      <w:r w:rsidRPr="00BC5045">
        <w:t>, based on preclinical models</w:t>
      </w:r>
      <w:r w:rsidR="00AA0FF6">
        <w:t xml:space="preserve"> (a</w:t>
      </w:r>
      <w:r w:rsidRPr="00BC5045">
        <w:t>dapted from</w:t>
      </w:r>
      <w:r w:rsidR="00AA0FF6">
        <w:t xml:space="preserve"> references 34, 35 and 36)</w:t>
      </w:r>
      <w:r w:rsidRPr="00BC5045">
        <w:t>.</w:t>
      </w:r>
      <w:bookmarkEnd w:id="45"/>
    </w:p>
    <w:p w14:paraId="4CC352CB" w14:textId="77777777" w:rsidR="00684530" w:rsidRPr="00D924CC" w:rsidRDefault="00684530" w:rsidP="00684530">
      <w:pPr>
        <w:spacing w:after="0"/>
        <w:rPr>
          <w:lang w:eastAsia="ja-JP"/>
        </w:rPr>
      </w:pPr>
      <w:r w:rsidRPr="00D924CC">
        <w:rPr>
          <w:noProof/>
          <w:lang w:eastAsia="en-AU"/>
        </w:rPr>
        <w:drawing>
          <wp:inline distT="0" distB="0" distL="0" distR="0" wp14:anchorId="105B312E" wp14:editId="16325220">
            <wp:extent cx="5607378" cy="2233366"/>
            <wp:effectExtent l="133350" t="114300" r="146050" b="147955"/>
            <wp:docPr id="4" name="Picture 4" descr="Biological rationale as proposed by the sponsor for PARP inhibitor and NHA combination, based on preclinical models (adapted from references 34, 35 an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iological rationale as proposed by the sponsor for PARP inhibitor and NHA combination, based on preclinical models (adapted from references 34, 35 and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1537" cy="22429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881590" w14:textId="47AE1C3F" w:rsidR="00684530" w:rsidRPr="00BC5045" w:rsidRDefault="00684530" w:rsidP="00BC5045">
      <w:pPr>
        <w:pStyle w:val="FigureDescription"/>
      </w:pPr>
      <w:r w:rsidRPr="00D924CC">
        <w:t>AR = androgen receptor; HRR = homologous recombination repair; HRRm = homologous recombination repair gene mutation; NHA = novel hormonal agent; PARP = polyadenosine 5’diphosphoribose polymerase.</w:t>
      </w:r>
    </w:p>
    <w:p w14:paraId="2AB0027E" w14:textId="76A5C402" w:rsidR="00684530" w:rsidRDefault="00CD546E" w:rsidP="000B4549">
      <w:pPr>
        <w:pStyle w:val="Heading5"/>
      </w:pPr>
      <w:r>
        <w:t>Delegate</w:t>
      </w:r>
      <w:r w:rsidR="00684530">
        <w:t xml:space="preserve"> comment</w:t>
      </w:r>
    </w:p>
    <w:p w14:paraId="3D5C52B2" w14:textId="77777777" w:rsidR="00684530" w:rsidRPr="004D640B" w:rsidRDefault="00684530" w:rsidP="00684530">
      <w:r w:rsidRPr="004D640B">
        <w:t xml:space="preserve">Whether a monotherapy PARP inhibitor would achieve similar efficacy to NHA+PARPi in patients with </w:t>
      </w:r>
      <w:r w:rsidRPr="004D640B">
        <w:rPr>
          <w:i/>
          <w:iCs/>
        </w:rPr>
        <w:t>BRCA</w:t>
      </w:r>
      <w:r w:rsidRPr="004D640B">
        <w:t>m has not been addressed by the submitted data.</w:t>
      </w:r>
    </w:p>
    <w:p w14:paraId="59D84BCC" w14:textId="77777777" w:rsidR="008A1D19" w:rsidRDefault="00684530" w:rsidP="008A1D19">
      <w:r w:rsidRPr="004D640B">
        <w:t>Whil</w:t>
      </w:r>
      <w:r>
        <w:t>e</w:t>
      </w:r>
      <w:r w:rsidRPr="004D640B">
        <w:t xml:space="preserve"> the submitted hypotheses around mechanism of action and contribution of effect for NHA and PARP inhibitor combination treatment in prostate cancer are reasonable, the text proposed </w:t>
      </w:r>
      <w:r w:rsidRPr="004D640B">
        <w:lastRenderedPageBreak/>
        <w:t xml:space="preserve">by the </w:t>
      </w:r>
      <w:r w:rsidR="00CD546E">
        <w:t>sponsor</w:t>
      </w:r>
      <w:r w:rsidRPr="004D640B">
        <w:t xml:space="preserve"> for inclusion in the PI implies a higher level of certainty around these pathways as established mechanisms than is supported.</w:t>
      </w:r>
      <w:r w:rsidRPr="00B8476B">
        <w:t xml:space="preserve"> </w:t>
      </w:r>
      <w:r>
        <w:t>Their relevance is unclear, in the context of spurious clinical efficacy amongst patients without</w:t>
      </w:r>
      <w:r w:rsidRPr="004D640B">
        <w:rPr>
          <w:i/>
          <w:iCs/>
        </w:rPr>
        <w:t xml:space="preserve"> BRCA</w:t>
      </w:r>
      <w:r>
        <w:t xml:space="preserve">m in </w:t>
      </w:r>
      <w:r w:rsidR="00B146F3">
        <w:t>large, randomised</w:t>
      </w:r>
      <w:r>
        <w:t xml:space="preserve"> studies</w:t>
      </w:r>
      <w:r w:rsidR="00BC5045">
        <w:t>.</w:t>
      </w:r>
      <w:bookmarkStart w:id="46" w:name="_Toc171942665"/>
      <w:bookmarkEnd w:id="37"/>
      <w:bookmarkEnd w:id="38"/>
      <w:bookmarkEnd w:id="39"/>
    </w:p>
    <w:p w14:paraId="35B580A5" w14:textId="7584BAF8" w:rsidR="00C22214" w:rsidRDefault="00AA0FF6" w:rsidP="008A1D19">
      <w:pPr>
        <w:pStyle w:val="Heading4"/>
      </w:pPr>
      <w:r w:rsidRPr="00AA0FF6">
        <w:t xml:space="preserve">Clinical </w:t>
      </w:r>
      <w:r w:rsidR="008A1D19" w:rsidRPr="00AA0FF6">
        <w:t>evaluation summary</w:t>
      </w:r>
      <w:bookmarkEnd w:id="46"/>
    </w:p>
    <w:p w14:paraId="0DF282B0" w14:textId="77777777" w:rsidR="00E156A3" w:rsidRPr="00901283" w:rsidRDefault="00E156A3" w:rsidP="00E156A3">
      <w:pPr>
        <w:pStyle w:val="Heading4"/>
        <w:rPr>
          <w:rFonts w:eastAsia="Times New Roman"/>
          <w:b w:val="0"/>
          <w:i/>
          <w:color w:val="7295D2" w:themeColor="accent1" w:themeTint="BF"/>
        </w:rPr>
      </w:pPr>
      <w:bookmarkStart w:id="47" w:name="_Toc171942666"/>
      <w:bookmarkStart w:id="48" w:name="_Toc314842514"/>
      <w:r w:rsidRPr="00AA53F4">
        <w:t>Pharmacology</w:t>
      </w:r>
      <w:bookmarkEnd w:id="47"/>
    </w:p>
    <w:p w14:paraId="2B8C5C67" w14:textId="77777777" w:rsidR="00E156A3" w:rsidRDefault="00E156A3" w:rsidP="00E156A3">
      <w:pPr>
        <w:pStyle w:val="Heading5"/>
      </w:pPr>
      <w:r>
        <w:t>General pharmacology data</w:t>
      </w:r>
      <w:bookmarkStart w:id="49" w:name="_Ref127890094"/>
      <w:r>
        <w:t>: steady-state metabolite exposure</w:t>
      </w:r>
      <w:bookmarkEnd w:id="49"/>
    </w:p>
    <w:p w14:paraId="42C19351" w14:textId="77777777" w:rsidR="00E156A3" w:rsidRDefault="00E156A3" w:rsidP="00E156A3">
      <w:bookmarkStart w:id="50" w:name="_Hlk131086661"/>
      <w:r>
        <w:t>The metabolism of olaparib had previously been studied for a single dose (Study D0810C00010) in female patients, in which three metabolites (</w:t>
      </w:r>
      <w:r w:rsidRPr="00FD7EE7">
        <w:t>M12</w:t>
      </w:r>
      <w:r>
        <w:t>,</w:t>
      </w:r>
      <w:r w:rsidRPr="00FD7EE7">
        <w:t xml:space="preserve"> M15</w:t>
      </w:r>
      <w:r>
        <w:t xml:space="preserve"> and </w:t>
      </w:r>
      <w:r w:rsidRPr="00FD7EE7">
        <w:t>M18)</w:t>
      </w:r>
      <w:r>
        <w:t xml:space="preserve"> were identified, each comprising approximately 10% of the radioactive circulating material. </w:t>
      </w:r>
    </w:p>
    <w:p w14:paraId="173D513C" w14:textId="2A437001" w:rsidR="00E156A3" w:rsidRDefault="00E156A3" w:rsidP="00E156A3">
      <w:r>
        <w:t xml:space="preserve">The submission included a new ‘Metabolite PK Analysis Report,’ describing additional metabolite analyses conducted using plasma samples taken from patients receiving olaparib 300 mg </w:t>
      </w:r>
      <w:r w:rsidR="009902A2">
        <w:t xml:space="preserve">twice a day </w:t>
      </w:r>
      <w:r>
        <w:t>in the PROfound study</w:t>
      </w:r>
      <w:r w:rsidR="00187FCA">
        <w:t>.</w:t>
      </w:r>
      <w:r>
        <w:t xml:space="preserve">, that is, steady-state exposure. </w:t>
      </w:r>
    </w:p>
    <w:p w14:paraId="2662373A" w14:textId="336D0CCD" w:rsidR="00E156A3" w:rsidRDefault="00E156A3" w:rsidP="00E156A3">
      <w:r>
        <w:t>The same three metabolites were found to comprise 8.5%, 2.4% and 15.8% of the total drug-related exposure at steady state</w:t>
      </w:r>
      <w:r w:rsidR="00187FCA">
        <w:t xml:space="preserve">, </w:t>
      </w:r>
      <w:r>
        <w:t>respectively. Thus, M18 (but not M12 or M15) met the threshold (10%) for being considered a major metabolite according to FDA guidance.</w:t>
      </w:r>
      <w:r w:rsidR="00061181">
        <w:rPr>
          <w:rStyle w:val="FootnoteReference"/>
        </w:rPr>
        <w:footnoteReference w:id="42"/>
      </w:r>
      <w:r>
        <w:t xml:space="preserve"> The guidance advises n</w:t>
      </w:r>
      <w:r w:rsidRPr="006260B5">
        <w:t>onclinical testing with the drug metabolite</w:t>
      </w:r>
      <w:r>
        <w:t xml:space="preserve"> where human exposure is more than 10% and e</w:t>
      </w:r>
      <w:r w:rsidRPr="006260B5">
        <w:t>xposure in animal studies does not approach human exposure</w:t>
      </w:r>
      <w:r>
        <w:t>.</w:t>
      </w:r>
      <w:r w:rsidRPr="006260B5">
        <w:t xml:space="preserve"> </w:t>
      </w:r>
      <w:r w:rsidR="00187FCA">
        <w:t>P</w:t>
      </w:r>
      <w:r>
        <w:t xml:space="preserve">lasma M18 exposure was 8% in male rats (n=3) and 0% in female rats (n=3). These levels appear lower than in humans, though the small sample size limits interpretation. </w:t>
      </w:r>
    </w:p>
    <w:p w14:paraId="20ED6A0A" w14:textId="7C0C6D91" w:rsidR="00E156A3" w:rsidRDefault="00E156A3" w:rsidP="00E156A3">
      <w:r>
        <w:t>The sponsor concluded:</w:t>
      </w:r>
    </w:p>
    <w:p w14:paraId="4F09BD6D" w14:textId="77777777" w:rsidR="00E156A3" w:rsidRPr="009902A2" w:rsidRDefault="00E156A3" w:rsidP="00E156A3">
      <w:pPr>
        <w:pStyle w:val="Quotation"/>
        <w:rPr>
          <w:sz w:val="22"/>
          <w:szCs w:val="24"/>
        </w:rPr>
      </w:pPr>
      <w:r w:rsidRPr="009902A2">
        <w:rPr>
          <w:sz w:val="22"/>
          <w:szCs w:val="24"/>
        </w:rPr>
        <w:t>It has been shown that there is one major metabolite in humans (M18) which is greater than 10% of total drug-related exposure at steady state when measured with a specific LC-MS/MS assay. This metabolite does not contribute significantly to efficacy and is not human unique as detected in similar proportions in rats. However, absolute concentrations of this metabolite have not been measured in preclinical safety studies and therefore safety margins could not be determined. Like olaparib itself, it is considered likely that exposure of this metabolite in the preclinical safety studies is lower than observed in humans therefore AstraZeneca considers that additional nonclinical studies in line with ICH M3 (R2) will be of limited use. It is AstraZeneca’s view that further nonclinical safety studies on the metabolites are not warranted given the wealth of clinical safety data available across a range of tumour types and durations of therapy.</w:t>
      </w:r>
    </w:p>
    <w:bookmarkEnd w:id="50"/>
    <w:p w14:paraId="0B9555BA" w14:textId="7990DF06" w:rsidR="00E156A3" w:rsidRDefault="00E156A3" w:rsidP="00E156A3">
      <w:pPr>
        <w:pStyle w:val="CommentText"/>
      </w:pPr>
      <w:r>
        <w:t xml:space="preserve">The </w:t>
      </w:r>
      <w:r w:rsidR="00CD546E">
        <w:t>delegate</w:t>
      </w:r>
      <w:r>
        <w:t xml:space="preserve"> agreed with the sponsor’s conclusions on this.  </w:t>
      </w:r>
    </w:p>
    <w:p w14:paraId="6C59E217" w14:textId="59213D39" w:rsidR="00527599" w:rsidRPr="00B8476B" w:rsidRDefault="00527599" w:rsidP="00527599">
      <w:pPr>
        <w:pStyle w:val="Heading5"/>
      </w:pPr>
      <w:r>
        <w:t xml:space="preserve">Pharmacology relevant to </w:t>
      </w:r>
      <w:r w:rsidR="00AA0FF6">
        <w:t>early breast cancer</w:t>
      </w:r>
    </w:p>
    <w:p w14:paraId="4F437FBF" w14:textId="7B563989" w:rsidR="00527599" w:rsidRDefault="00527599" w:rsidP="00527599">
      <w:r>
        <w:t xml:space="preserve">The submission included a dedicated PK report from VIOLETTE which found the exposure to olaparib at a 300 mg BD dose in patients with metastatic breast cancer was similar to that seen in previous studies. </w:t>
      </w:r>
    </w:p>
    <w:p w14:paraId="6B8891BC" w14:textId="77777777" w:rsidR="00527599" w:rsidRDefault="00527599" w:rsidP="00527599">
      <w:r>
        <w:t xml:space="preserve">The potential for drug-drug interactions (DDI) with anti-hormonal agents that are relevant to EBC (anastrozole, letrozole and tamoxifen) has been evaluated previously in Study </w:t>
      </w:r>
      <w:r w:rsidRPr="0087545A">
        <w:t>D081CC00001</w:t>
      </w:r>
      <w:r>
        <w:t xml:space="preserve"> (an open label, non-randomised, parallel group, Phase I study in patients with advanced solid cancer).</w:t>
      </w:r>
    </w:p>
    <w:p w14:paraId="714BC0D8" w14:textId="75720FE8" w:rsidR="00527599" w:rsidRDefault="00527599" w:rsidP="00527599">
      <w:r>
        <w:lastRenderedPageBreak/>
        <w:t xml:space="preserve">While coadministration of olaparib (300 mg </w:t>
      </w:r>
      <w:r w:rsidR="00F51E65">
        <w:t>twice daily</w:t>
      </w:r>
      <w:r>
        <w:t>) with anastrozole (1 mg daily) or letrozole (2.5 mg daily) caused no significant effect on the PK of either drug, coadministration with tamoxifen (20 mg daily) decreased mean exposure to olaparib at steady state (20% for C</w:t>
      </w:r>
      <w:r w:rsidRPr="00211CCF">
        <w:rPr>
          <w:vertAlign w:val="subscript"/>
        </w:rPr>
        <w:t>max,ss</w:t>
      </w:r>
      <w:r>
        <w:t xml:space="preserve"> and by 27% for AUC</w:t>
      </w:r>
      <w:r w:rsidRPr="00211CCF">
        <w:rPr>
          <w:vertAlign w:val="subscript"/>
        </w:rPr>
        <w:t>ss</w:t>
      </w:r>
      <w:r>
        <w:t>). Tamoxifen induces CYP3A4</w:t>
      </w:r>
      <w:r w:rsidR="00DE44FD">
        <w:rPr>
          <w:rStyle w:val="FootnoteReference"/>
        </w:rPr>
        <w:footnoteReference w:id="43"/>
      </w:r>
      <w:r>
        <w:t>, and the effect of tamoxifen on the PK of olaparib was apparent in the PK data from the OlympiA study in EBC. Among 69 patients with PK data, 8 received tamoxifen during olaparib treatment. Olaparib steady state exposure was slightly decreased amongst this group (geometric mean decrease of 22% and 29% for C</w:t>
      </w:r>
      <w:r w:rsidRPr="00272039">
        <w:rPr>
          <w:vertAlign w:val="subscript"/>
        </w:rPr>
        <w:t xml:space="preserve">max,ss </w:t>
      </w:r>
      <w:r>
        <w:t>and AUC</w:t>
      </w:r>
      <w:r w:rsidRPr="00211CCF">
        <w:rPr>
          <w:vertAlign w:val="subscript"/>
        </w:rPr>
        <w:t>ss</w:t>
      </w:r>
      <w:r>
        <w:t>, respectively). Despite the lower exposure, the rate of</w:t>
      </w:r>
      <w:r w:rsidR="00F51E65">
        <w:t xml:space="preserve"> invasive disease-free survival</w:t>
      </w:r>
      <w:r>
        <w:t xml:space="preserve"> </w:t>
      </w:r>
      <w:r w:rsidR="00F51E65">
        <w:t>(</w:t>
      </w:r>
      <w:r>
        <w:t>IDFS</w:t>
      </w:r>
      <w:r w:rsidR="00F51E65">
        <w:t>)</w:t>
      </w:r>
      <w:r>
        <w:t xml:space="preserve"> events amongst this group of HR+ patients on tamoxifen (12.5%) was similar to the rate of IDFS events amongst HR+ patients not taking tamoxifen (10.4%) and amongst all patients in the olaparib arm (11.5%). </w:t>
      </w:r>
    </w:p>
    <w:p w14:paraId="02321FE0" w14:textId="293F59C7" w:rsidR="00527599" w:rsidRDefault="00527599" w:rsidP="00527599">
      <w:r>
        <w:t>In OlympiA, Kaplan-Meier curves for IDFS stratified by the tertile exposure for any of the exposure metrics showed no apparent exposure-response trend. In addition, Cox proportional hazard analysis based on AUC</w:t>
      </w:r>
      <w:r w:rsidRPr="00211CCF">
        <w:rPr>
          <w:vertAlign w:val="subscript"/>
        </w:rPr>
        <w:t>ss</w:t>
      </w:r>
      <w:r>
        <w:t xml:space="preserve"> values spanning over the range of 13.2 μg.h/mL to 101 μg.h/mL could not detect a statistically significant correlation between this exposure metric and IDFS. In patients with PK data who received concomitant tamoxifen and were demonstrated to have lower exposure of olaparib, the Kaplan Meier curve was similar to that of patients with PK data who did not receive concomitant tamoxifen. The hormone receptor positive patients who did not receive concurrent tamoxifen includes hormone receptor positive patients on other endocrine therapies and patients on none. The proportion of patients with IDFS events in the olaparib treatment arm was similar in all groups, demonstrating no increase in IDFS events for patients receiving olaparib in the presence of tamoxifen. Similarly, graphical analyses in OlympiA did not reveal any apparent relationship in breast cancer patients between olaparib exposure metrics and </w:t>
      </w:r>
      <w:r w:rsidR="00D92C81">
        <w:t>progression-free survival (</w:t>
      </w:r>
      <w:r>
        <w:t>PFS</w:t>
      </w:r>
      <w:r w:rsidR="00D92C81">
        <w:t>)</w:t>
      </w:r>
      <w:r>
        <w:t xml:space="preserve">, </w:t>
      </w:r>
      <w:r w:rsidR="004B6F9A">
        <w:t>overall survival (</w:t>
      </w:r>
      <w:r>
        <w:t>OS</w:t>
      </w:r>
      <w:r w:rsidR="004B6F9A">
        <w:t>)</w:t>
      </w:r>
      <w:r>
        <w:t xml:space="preserve">, or PFS2. The results, while exploratory, suggest that the exposure response for efficacy in breast cancer is flat at the 300 mg BD dose level and the reduction in olaparib exposure due to co-administration of tamoxifen does not impact olaparib efficacy. </w:t>
      </w:r>
    </w:p>
    <w:p w14:paraId="57FD7C29" w14:textId="35EA4284" w:rsidR="00527599" w:rsidRDefault="00527599" w:rsidP="00527599">
      <w:r>
        <w:t>The submission contained a new population PK report updating the previously developed model to incorporate PK data from 69 patients who received olaparib in the pivotal clinical study, OlympiA</w:t>
      </w:r>
      <w:r w:rsidR="00253971">
        <w:t xml:space="preserve">. </w:t>
      </w:r>
      <w:r>
        <w:t>Olaparib PK in these patients was similar to described in previous studies of olaparib tablets at a 300 mg BD dose. PK was adequately described by a two</w:t>
      </w:r>
      <w:r w:rsidR="00253971">
        <w:t>-</w:t>
      </w:r>
      <w:r>
        <w:t>compartment model with linear elimination from the central compartment and consecutive zero and first order absorption.</w:t>
      </w:r>
      <w:r w:rsidRPr="00FD7EE7">
        <w:t xml:space="preserve"> </w:t>
      </w:r>
      <w:r>
        <w:t>Olaparib clearance was 20% lower for steady-state administration compared to single doses and the addition of adjuvant data had no influence on the overall PK of olaparib.</w:t>
      </w:r>
    </w:p>
    <w:p w14:paraId="32911C0C" w14:textId="77777777" w:rsidR="00527599" w:rsidRDefault="00527599" w:rsidP="00527599">
      <w:r>
        <w:t>Relevant covariates were consistent with those previously described, i.e., disease severity affects clearance, and tablet strength affects absorption. No additional covariate relationships were detected, including for</w:t>
      </w:r>
      <w:r w:rsidRPr="00FD7EE7">
        <w:t xml:space="preserve"> </w:t>
      </w:r>
      <w:r w:rsidRPr="00151ABC">
        <w:rPr>
          <w:i/>
          <w:iCs/>
        </w:rPr>
        <w:t>BRCA</w:t>
      </w:r>
      <w:r>
        <w:t xml:space="preserve"> mutation type. At the recommended dose, the geometric mean AUC, C</w:t>
      </w:r>
      <w:r w:rsidRPr="00211CCF">
        <w:rPr>
          <w:vertAlign w:val="subscript"/>
        </w:rPr>
        <w:t>max</w:t>
      </w:r>
      <w:r>
        <w:t>, and C</w:t>
      </w:r>
      <w:r w:rsidRPr="00211CCF">
        <w:rPr>
          <w:vertAlign w:val="subscript"/>
        </w:rPr>
        <w:t>min</w:t>
      </w:r>
      <w:r>
        <w:t xml:space="preserve"> at steady state based on post-hoc individual parameter estimates were 47.2 µg*hour/mL, 7.37 µg/mL, and 1.48 µg/mL respectively.</w:t>
      </w:r>
    </w:p>
    <w:p w14:paraId="03EDB91A" w14:textId="7706A4A1" w:rsidR="00527599" w:rsidRDefault="00527599" w:rsidP="00527599">
      <w:r>
        <w:t xml:space="preserve">Based on the popPK </w:t>
      </w:r>
      <w:r w:rsidR="00F34B03">
        <w:t>analysis</w:t>
      </w:r>
      <w:r>
        <w:t xml:space="preserve">, there is no need to consider different dosing for any special populations amongst the proposed EBC population. </w:t>
      </w:r>
    </w:p>
    <w:p w14:paraId="51E2CB86" w14:textId="59DF9AB6" w:rsidR="00527599" w:rsidRDefault="00527599" w:rsidP="00527599">
      <w:r>
        <w:t xml:space="preserve">An exposure-response (ER) relationship for efficacy in patients from OlympiA was not fully characterised, due to the limited number of patients (n=69) and the </w:t>
      </w:r>
      <w:r w:rsidRPr="0087545A">
        <w:t>narrow therapeutic exposure</w:t>
      </w:r>
      <w:r>
        <w:t xml:space="preserve"> range</w:t>
      </w:r>
      <w:r w:rsidRPr="0087545A">
        <w:t xml:space="preserve"> </w:t>
      </w:r>
      <w:r>
        <w:t>(</w:t>
      </w:r>
      <w:r w:rsidRPr="0087545A">
        <w:t xml:space="preserve">from one </w:t>
      </w:r>
      <w:r>
        <w:t xml:space="preserve">studied </w:t>
      </w:r>
      <w:r w:rsidRPr="0087545A">
        <w:t>dose</w:t>
      </w:r>
      <w:r>
        <w:t xml:space="preserve"> level). The analysis was unable to identify statistically significant associations between IDFS and any exposure metric based on Cox proportional hazard regression analysis. </w:t>
      </w:r>
    </w:p>
    <w:p w14:paraId="5C07F9EE" w14:textId="5474ED23" w:rsidR="00527599" w:rsidRDefault="00527599" w:rsidP="00975919">
      <w:r>
        <w:lastRenderedPageBreak/>
        <w:t>The exposure-response analysis for safety (n=645) reported statistically significant ER relationships (p&lt;0.001) between daily AUC or daily C</w:t>
      </w:r>
      <w:r w:rsidRPr="00211CCF">
        <w:rPr>
          <w:vertAlign w:val="subscript"/>
        </w:rPr>
        <w:t>max</w:t>
      </w:r>
      <w:r>
        <w:t xml:space="preserve"> and anaemia, decreased appetite, fatigue, nausea and vomiting, which are consistent with previous analyses. No ER relationship was detected for any of the exposure metrics for dysgeusia, headache or neutropenia event rate.</w:t>
      </w:r>
    </w:p>
    <w:p w14:paraId="39F1DF0B" w14:textId="77777777" w:rsidR="003560A5" w:rsidRDefault="003560A5" w:rsidP="003560A5">
      <w:pPr>
        <w:pStyle w:val="Heading5"/>
      </w:pPr>
      <w:bookmarkStart w:id="51" w:name="_Ref136272644"/>
      <w:r>
        <w:t>Pharmacology relevant to first-line prostate cancer</w:t>
      </w:r>
      <w:bookmarkEnd w:id="51"/>
    </w:p>
    <w:p w14:paraId="0F068264" w14:textId="7BBB2EDE" w:rsidR="003560A5" w:rsidRDefault="003560A5" w:rsidP="003560A5">
      <w:r>
        <w:t>The submission included a dedicated PK report from PROpel, which found the exposure to olaparib at a 300 mg BD dose in patients with metastatic prostate cancer was similar to that seen in previous studies</w:t>
      </w:r>
      <w:r w:rsidR="00DE44FD">
        <w:t xml:space="preserve"> </w:t>
      </w:r>
      <w:r>
        <w:t xml:space="preserve">and was not affected by co-administration with abiraterone in PROpel. </w:t>
      </w:r>
    </w:p>
    <w:p w14:paraId="63BA47D1" w14:textId="77777777" w:rsidR="00EC2FCF" w:rsidRDefault="00EC2FCF" w:rsidP="00622D9A">
      <w:pPr>
        <w:pStyle w:val="Heading4"/>
      </w:pPr>
      <w:bookmarkStart w:id="52" w:name="_Toc171942667"/>
      <w:r w:rsidRPr="00AA53F4">
        <w:t>Efficacy</w:t>
      </w:r>
      <w:bookmarkEnd w:id="52"/>
    </w:p>
    <w:p w14:paraId="7C620440" w14:textId="77777777" w:rsidR="00EC2FCF" w:rsidRPr="009F0F70" w:rsidRDefault="00EC2FCF" w:rsidP="000B4549">
      <w:pPr>
        <w:pStyle w:val="Heading5"/>
      </w:pPr>
      <w:r>
        <w:t>Efficacy data relevant to the proposed early breast cancer (EBC) indication</w:t>
      </w:r>
    </w:p>
    <w:p w14:paraId="5749F798" w14:textId="77777777" w:rsidR="00EC2FCF" w:rsidRDefault="00EC2FCF" w:rsidP="00583A23">
      <w:pPr>
        <w:pStyle w:val="Heading5"/>
      </w:pPr>
      <w:bookmarkStart w:id="53" w:name="_Ref126682064"/>
      <w:r>
        <w:t>Olympia (</w:t>
      </w:r>
      <w:r w:rsidRPr="00DD23EF">
        <w:t>D081CC00006</w:t>
      </w:r>
      <w:r>
        <w:t>)</w:t>
      </w:r>
      <w:r w:rsidRPr="00DD23EF">
        <w:t xml:space="preserve"> </w:t>
      </w:r>
      <w:r>
        <w:t>– pivotal study for p</w:t>
      </w:r>
      <w:r w:rsidRPr="008662C5">
        <w:t xml:space="preserve">roposed early breast cancer </w:t>
      </w:r>
      <w:r>
        <w:t xml:space="preserve">(EBC) </w:t>
      </w:r>
      <w:r w:rsidRPr="008662C5">
        <w:t>indication</w:t>
      </w:r>
      <w:bookmarkEnd w:id="53"/>
    </w:p>
    <w:p w14:paraId="4BAC753C" w14:textId="77777777" w:rsidR="00EC2FCF" w:rsidRPr="00EC2FCF" w:rsidRDefault="00EC2FCF" w:rsidP="00583A23">
      <w:pPr>
        <w:pStyle w:val="Heading6"/>
      </w:pPr>
      <w:bookmarkStart w:id="54" w:name="_Ref127181132"/>
      <w:r w:rsidRPr="00EC2FCF">
        <w:t>Design</w:t>
      </w:r>
      <w:bookmarkEnd w:id="54"/>
    </w:p>
    <w:p w14:paraId="321A51AB" w14:textId="77777777" w:rsidR="00EC2FCF" w:rsidRDefault="00EC2FCF" w:rsidP="00EC2FCF">
      <w:r>
        <w:t>OlympiA is a randomised, double-blind, placebo-controlled, international trial (546 centres in 23 countries) in patients with a g</w:t>
      </w:r>
      <w:r w:rsidRPr="008E7280">
        <w:rPr>
          <w:i/>
          <w:iCs/>
        </w:rPr>
        <w:t>BRCA</w:t>
      </w:r>
      <w:r>
        <w:t xml:space="preserve">m who had HER2-negative, high-risk EBC, and who had completed </w:t>
      </w:r>
      <w:r w:rsidRPr="00162881">
        <w:t>definitive local treatment as well as neoadjuvant or adjuvant chemotherapy. The study commenced in April</w:t>
      </w:r>
      <w:r>
        <w:t xml:space="preserve"> 2014 and the last patient was enrolled in April 2019.</w:t>
      </w:r>
    </w:p>
    <w:p w14:paraId="36BBE2EA" w14:textId="70099BCC" w:rsidR="00EC2FCF" w:rsidRDefault="00EC2FCF" w:rsidP="00EC2FCF">
      <w:r>
        <w:t xml:space="preserve">A summary of the study design is contained in </w:t>
      </w:r>
      <w:r>
        <w:fldChar w:fldCharType="begin"/>
      </w:r>
      <w:r>
        <w:instrText xml:space="preserve"> REF _Ref126913222 \h </w:instrText>
      </w:r>
      <w:r>
        <w:fldChar w:fldCharType="separate"/>
      </w:r>
      <w:r>
        <w:t xml:space="preserve">Figure </w:t>
      </w:r>
      <w:r>
        <w:rPr>
          <w:noProof/>
        </w:rPr>
        <w:t>2</w:t>
      </w:r>
      <w:r>
        <w:fldChar w:fldCharType="end"/>
      </w:r>
      <w:r>
        <w:t xml:space="preserve">, the main inclusion/exclusion criteria of OlympiA are presented in </w:t>
      </w:r>
      <w:r>
        <w:fldChar w:fldCharType="begin"/>
      </w:r>
      <w:r>
        <w:instrText xml:space="preserve"> REF _Ref125705161 \h </w:instrText>
      </w:r>
      <w:r>
        <w:fldChar w:fldCharType="separate"/>
      </w:r>
      <w:r w:rsidR="00B751AE">
        <w:t xml:space="preserve">Table </w:t>
      </w:r>
      <w:r w:rsidR="00B751AE">
        <w:rPr>
          <w:noProof/>
        </w:rPr>
        <w:t>4</w:t>
      </w:r>
      <w:r>
        <w:fldChar w:fldCharType="end"/>
      </w:r>
      <w:r>
        <w:t xml:space="preserve">, and more detail regarding some definitions can be found below. </w:t>
      </w:r>
    </w:p>
    <w:p w14:paraId="60FD0405" w14:textId="6A5D4B03" w:rsidR="00EC2FCF" w:rsidRDefault="00EC2FCF" w:rsidP="008A1D19">
      <w:pPr>
        <w:pStyle w:val="FigureTitle"/>
      </w:pPr>
      <w:bookmarkStart w:id="55" w:name="_Ref126913222"/>
      <w:r>
        <w:t xml:space="preserve">Figure </w:t>
      </w:r>
      <w:r>
        <w:fldChar w:fldCharType="begin"/>
      </w:r>
      <w:r>
        <w:instrText xml:space="preserve"> SEQ Figure \* ARABIC </w:instrText>
      </w:r>
      <w:r>
        <w:fldChar w:fldCharType="separate"/>
      </w:r>
      <w:r w:rsidR="00AF2F76">
        <w:rPr>
          <w:noProof/>
        </w:rPr>
        <w:t>2</w:t>
      </w:r>
      <w:r>
        <w:rPr>
          <w:noProof/>
        </w:rPr>
        <w:fldChar w:fldCharType="end"/>
      </w:r>
      <w:bookmarkEnd w:id="55"/>
      <w:r>
        <w:t>. Schema of the OlympiA study design</w:t>
      </w:r>
      <w:r w:rsidR="00061181">
        <w:rPr>
          <w:rStyle w:val="FootnoteReference"/>
        </w:rPr>
        <w:footnoteReference w:id="44"/>
      </w:r>
    </w:p>
    <w:p w14:paraId="65902BED" w14:textId="77777777" w:rsidR="00EC2FCF" w:rsidRDefault="00EC2FCF" w:rsidP="00EC2FCF">
      <w:r>
        <w:rPr>
          <w:noProof/>
        </w:rPr>
        <w:drawing>
          <wp:inline distT="0" distB="0" distL="0" distR="0" wp14:anchorId="328F51CD" wp14:editId="173D2FF1">
            <wp:extent cx="5126966" cy="2325482"/>
            <wp:effectExtent l="152400" t="133350" r="150495" b="170180"/>
            <wp:docPr id="8" name="Picture 8" descr="Schema of the OlympiA study de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hema of the OlympiA study design&#10;"/>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45895" cy="23340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14:paraId="66F20374" w14:textId="77777777" w:rsidR="00EC2FCF" w:rsidRDefault="00EC2FCF" w:rsidP="008A1D19">
      <w:pPr>
        <w:pStyle w:val="FigureDescription"/>
      </w:pPr>
      <w:r w:rsidRPr="00E9653E">
        <w:t xml:space="preserve">NACT </w:t>
      </w:r>
      <w:r>
        <w:t xml:space="preserve">= </w:t>
      </w:r>
      <w:r w:rsidRPr="00E9653E">
        <w:t xml:space="preserve">neoadjuvant chemotherapy, ACT </w:t>
      </w:r>
      <w:r>
        <w:t xml:space="preserve">= </w:t>
      </w:r>
      <w:r w:rsidRPr="00E9653E">
        <w:t>adjuvant chemotherapy, S</w:t>
      </w:r>
      <w:r>
        <w:t xml:space="preserve"> =</w:t>
      </w:r>
      <w:r w:rsidRPr="00E9653E">
        <w:t xml:space="preserve"> surgery, RT</w:t>
      </w:r>
      <w:r>
        <w:t xml:space="preserve"> =</w:t>
      </w:r>
      <w:r w:rsidRPr="00E9653E">
        <w:t xml:space="preserve"> radiation therapy, HR+ </w:t>
      </w:r>
      <w:r>
        <w:t xml:space="preserve">= </w:t>
      </w:r>
      <w:r w:rsidRPr="00E9653E">
        <w:t>hormone receptor-positive, TNBC</w:t>
      </w:r>
      <w:r>
        <w:t xml:space="preserve"> =</w:t>
      </w:r>
      <w:r w:rsidRPr="00E9653E">
        <w:t xml:space="preserve"> triple-negative breast cancer, R </w:t>
      </w:r>
      <w:r>
        <w:t xml:space="preserve">= </w:t>
      </w:r>
      <w:r w:rsidRPr="00E9653E">
        <w:t>randomi</w:t>
      </w:r>
      <w:r>
        <w:t>s</w:t>
      </w:r>
      <w:r w:rsidRPr="00E9653E">
        <w:t xml:space="preserve">ed, iDFS </w:t>
      </w:r>
      <w:r>
        <w:t xml:space="preserve">= </w:t>
      </w:r>
      <w:r w:rsidRPr="00E9653E">
        <w:t xml:space="preserve">invasive disease-free </w:t>
      </w:r>
      <w:r w:rsidRPr="00E9653E">
        <w:lastRenderedPageBreak/>
        <w:t xml:space="preserve">survival, DDFS </w:t>
      </w:r>
      <w:r>
        <w:t xml:space="preserve">= </w:t>
      </w:r>
      <w:r w:rsidRPr="00E9653E">
        <w:t>distant disease-free survival, OS</w:t>
      </w:r>
      <w:r>
        <w:t xml:space="preserve"> =</w:t>
      </w:r>
      <w:r w:rsidRPr="00E9653E">
        <w:t xml:space="preserve"> overall survival, HRQoL</w:t>
      </w:r>
      <w:r>
        <w:t xml:space="preserve"> =</w:t>
      </w:r>
      <w:r w:rsidRPr="00E9653E">
        <w:t xml:space="preserve"> health-related quality of life, CT </w:t>
      </w:r>
      <w:r>
        <w:t xml:space="preserve">= </w:t>
      </w:r>
      <w:r w:rsidRPr="00E9653E">
        <w:t>chemotherapy.</w:t>
      </w:r>
    </w:p>
    <w:p w14:paraId="63263CC1" w14:textId="7D346394" w:rsidR="00D054A5" w:rsidRDefault="00D054A5" w:rsidP="00AA0FF6">
      <w:pPr>
        <w:pStyle w:val="TableTitle"/>
      </w:pPr>
      <w:bookmarkStart w:id="56" w:name="_Ref125705161"/>
      <w:r>
        <w:t xml:space="preserve">Table </w:t>
      </w:r>
      <w:r>
        <w:fldChar w:fldCharType="begin"/>
      </w:r>
      <w:r>
        <w:instrText xml:space="preserve"> SEQ Table \* ARABIC </w:instrText>
      </w:r>
      <w:r>
        <w:fldChar w:fldCharType="separate"/>
      </w:r>
      <w:r w:rsidR="00E042C2">
        <w:rPr>
          <w:noProof/>
        </w:rPr>
        <w:t>4</w:t>
      </w:r>
      <w:r>
        <w:rPr>
          <w:noProof/>
        </w:rPr>
        <w:fldChar w:fldCharType="end"/>
      </w:r>
      <w:bookmarkEnd w:id="56"/>
      <w:r>
        <w:t>. The main inclusion and exclusion criteria of OlympiA</w:t>
      </w:r>
    </w:p>
    <w:tbl>
      <w:tblPr>
        <w:tblStyle w:val="TableTGAblue2023"/>
        <w:tblW w:w="0" w:type="auto"/>
        <w:tblLook w:val="04A0" w:firstRow="1" w:lastRow="0" w:firstColumn="1" w:lastColumn="0" w:noHBand="0" w:noVBand="1"/>
      </w:tblPr>
      <w:tblGrid>
        <w:gridCol w:w="4490"/>
        <w:gridCol w:w="4140"/>
      </w:tblGrid>
      <w:tr w:rsidR="00187FCA" w:rsidRPr="008A1D19" w14:paraId="579A391D" w14:textId="77777777" w:rsidTr="008A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4CF59FE3" w14:textId="77777777" w:rsidR="00D054A5" w:rsidRPr="008A1D19" w:rsidRDefault="00D054A5" w:rsidP="003D02A1">
            <w:pPr>
              <w:jc w:val="center"/>
              <w:rPr>
                <w:sz w:val="20"/>
                <w:szCs w:val="20"/>
              </w:rPr>
            </w:pPr>
            <w:r w:rsidRPr="008A1D19">
              <w:rPr>
                <w:rFonts w:cstheme="minorBidi"/>
                <w:sz w:val="20"/>
                <w:szCs w:val="20"/>
              </w:rPr>
              <w:t>Inclusion</w:t>
            </w:r>
          </w:p>
        </w:tc>
        <w:tc>
          <w:tcPr>
            <w:tcW w:w="4140" w:type="dxa"/>
          </w:tcPr>
          <w:p w14:paraId="0603B743" w14:textId="77777777" w:rsidR="00D054A5" w:rsidRPr="008A1D19" w:rsidRDefault="00D054A5" w:rsidP="003D02A1">
            <w:pPr>
              <w:jc w:val="center"/>
              <w:cnfStyle w:val="100000000000" w:firstRow="1" w:lastRow="0" w:firstColumn="0" w:lastColumn="0" w:oddVBand="0" w:evenVBand="0" w:oddHBand="0" w:evenHBand="0" w:firstRowFirstColumn="0" w:firstRowLastColumn="0" w:lastRowFirstColumn="0" w:lastRowLastColumn="0"/>
              <w:rPr>
                <w:sz w:val="20"/>
                <w:szCs w:val="20"/>
              </w:rPr>
            </w:pPr>
            <w:r w:rsidRPr="008A1D19">
              <w:rPr>
                <w:rFonts w:cstheme="minorBidi"/>
                <w:sz w:val="20"/>
                <w:szCs w:val="20"/>
              </w:rPr>
              <w:t>Exclusion</w:t>
            </w:r>
          </w:p>
        </w:tc>
      </w:tr>
      <w:tr w:rsidR="00187FCA" w:rsidRPr="008A1D19" w14:paraId="2EDE093F" w14:textId="77777777" w:rsidTr="008A1D19">
        <w:tc>
          <w:tcPr>
            <w:cnfStyle w:val="001000000000" w:firstRow="0" w:lastRow="0" w:firstColumn="1" w:lastColumn="0" w:oddVBand="0" w:evenVBand="0" w:oddHBand="0" w:evenHBand="0" w:firstRowFirstColumn="0" w:firstRowLastColumn="0" w:lastRowFirstColumn="0" w:lastRowLastColumn="0"/>
            <w:tcW w:w="4490" w:type="dxa"/>
          </w:tcPr>
          <w:p w14:paraId="528DFB14" w14:textId="77777777" w:rsidR="00D054A5" w:rsidRPr="008A1D19" w:rsidRDefault="00D054A5" w:rsidP="008A1D19">
            <w:pPr>
              <w:pStyle w:val="ListBullet"/>
              <w:rPr>
                <w:sz w:val="20"/>
                <w:szCs w:val="20"/>
              </w:rPr>
            </w:pPr>
            <w:r w:rsidRPr="008A1D19">
              <w:rPr>
                <w:sz w:val="20"/>
                <w:szCs w:val="20"/>
              </w:rPr>
              <w:t>Consenting, compliant adults (age 18+), with WHO PS 0-1 and adequate organ function</w:t>
            </w:r>
          </w:p>
          <w:p w14:paraId="2BE61D89" w14:textId="77777777" w:rsidR="00D054A5" w:rsidRPr="008A1D19" w:rsidRDefault="00D054A5" w:rsidP="008A1D19">
            <w:pPr>
              <w:pStyle w:val="ListBullet"/>
              <w:rPr>
                <w:sz w:val="20"/>
                <w:szCs w:val="20"/>
              </w:rPr>
            </w:pPr>
            <w:r w:rsidRPr="008A1D19">
              <w:rPr>
                <w:sz w:val="20"/>
                <w:szCs w:val="20"/>
              </w:rPr>
              <w:t>Histologically confirmed, non-metastatic, HER2-negative, primary invasive adenocarcinoma of the breast</w:t>
            </w:r>
          </w:p>
          <w:p w14:paraId="3607E07F" w14:textId="77777777" w:rsidR="00D054A5" w:rsidRPr="008A1D19" w:rsidRDefault="00D054A5" w:rsidP="008A1D19">
            <w:pPr>
              <w:pStyle w:val="ListBullet"/>
              <w:rPr>
                <w:sz w:val="20"/>
                <w:szCs w:val="20"/>
              </w:rPr>
            </w:pPr>
            <w:r w:rsidRPr="008A1D19">
              <w:rPr>
                <w:sz w:val="20"/>
                <w:szCs w:val="20"/>
              </w:rPr>
              <w:t>High-risk disease after the completion of surgery and neoadjuvant or adjuvant therapy</w:t>
            </w:r>
          </w:p>
          <w:p w14:paraId="673C25CD" w14:textId="77777777" w:rsidR="00D054A5" w:rsidRPr="008A1D19" w:rsidRDefault="00D054A5" w:rsidP="008A1D19">
            <w:pPr>
              <w:pStyle w:val="ListBullet"/>
              <w:rPr>
                <w:sz w:val="20"/>
                <w:szCs w:val="20"/>
              </w:rPr>
            </w:pPr>
            <w:r w:rsidRPr="008A1D19">
              <w:rPr>
                <w:sz w:val="20"/>
                <w:szCs w:val="20"/>
              </w:rPr>
              <w:t>Presence of g</w:t>
            </w:r>
            <w:r w:rsidRPr="008A1D19">
              <w:rPr>
                <w:i/>
                <w:iCs/>
                <w:sz w:val="20"/>
                <w:szCs w:val="20"/>
              </w:rPr>
              <w:t>BRCA</w:t>
            </w:r>
            <w:r w:rsidRPr="008A1D19">
              <w:rPr>
                <w:sz w:val="20"/>
                <w:szCs w:val="20"/>
              </w:rPr>
              <w:t>m</w:t>
            </w:r>
          </w:p>
        </w:tc>
        <w:tc>
          <w:tcPr>
            <w:tcW w:w="4140" w:type="dxa"/>
          </w:tcPr>
          <w:p w14:paraId="0983161F" w14:textId="77777777" w:rsidR="00D054A5" w:rsidRPr="008A1D19" w:rsidRDefault="00D054A5" w:rsidP="008A1D19">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8A1D19">
              <w:rPr>
                <w:sz w:val="20"/>
                <w:szCs w:val="20"/>
              </w:rPr>
              <w:t>Pregnancy or breastfeeding</w:t>
            </w:r>
          </w:p>
          <w:p w14:paraId="04F46547" w14:textId="77777777" w:rsidR="00D054A5" w:rsidRPr="008A1D19" w:rsidRDefault="00D054A5" w:rsidP="008A1D19">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8A1D19">
              <w:rPr>
                <w:sz w:val="20"/>
                <w:szCs w:val="20"/>
              </w:rPr>
              <w:t>HR+ disease, until a protocol amendment ~18 months after study start, when 408 patients with TNBC had already been enrolled</w:t>
            </w:r>
          </w:p>
        </w:tc>
      </w:tr>
    </w:tbl>
    <w:p w14:paraId="0C10763F" w14:textId="77777777" w:rsidR="008A1D19" w:rsidRDefault="008A1D19" w:rsidP="008A1D19"/>
    <w:p w14:paraId="59B4AE45" w14:textId="1D922E8C" w:rsidR="00FA7976" w:rsidRDefault="00FA7976" w:rsidP="008A1D19">
      <w:r>
        <w:t>Patients were required to have completed at least 6 cycles of neoadjuvant or adjuvant chemotherapy containing anthracyclines, taxanes, or both, in addition to having c</w:t>
      </w:r>
      <w:r w:rsidRPr="002539DF">
        <w:t>ompleted adequate primary breast and axilla surgery.</w:t>
      </w:r>
      <w:r>
        <w:t xml:space="preserve"> Prior platinum as potentially curative treatment for prior cancer (e</w:t>
      </w:r>
      <w:r w:rsidR="00740391">
        <w:t>.</w:t>
      </w:r>
      <w:r>
        <w:t>g</w:t>
      </w:r>
      <w:r w:rsidR="00740391">
        <w:t>.</w:t>
      </w:r>
      <w:r>
        <w:t>, ovarian) or as adjuvant or neoadjuvant treatment for breast cancer was allowed. Patients with HR+ breast cancer were allowed to continue concurrent treatment with endocrine therapy according to local guidelines.</w:t>
      </w:r>
      <w:r w:rsidRPr="002539DF">
        <w:t xml:space="preserve"> </w:t>
      </w:r>
    </w:p>
    <w:p w14:paraId="038E78AB" w14:textId="77777777" w:rsidR="00FA7976" w:rsidRDefault="00FA7976" w:rsidP="00FA7976">
      <w:bookmarkStart w:id="57" w:name="highriskEBCdefinition"/>
      <w:bookmarkEnd w:id="57"/>
      <w:r>
        <w:t>High-risk EBC was defined as that meeting all the following criteria:</w:t>
      </w:r>
    </w:p>
    <w:p w14:paraId="0BB7E54E" w14:textId="77777777" w:rsidR="00FA7976" w:rsidRDefault="00FA7976" w:rsidP="00FA7976">
      <w:pPr>
        <w:pStyle w:val="ListBullet"/>
      </w:pPr>
      <w:r>
        <w:t>If treated with initial surgery prior to adjuvant chemotherapy, and</w:t>
      </w:r>
    </w:p>
    <w:p w14:paraId="28E4A91E" w14:textId="54E6BD28" w:rsidR="00FA7976" w:rsidRDefault="00206D4B" w:rsidP="00FA7976">
      <w:pPr>
        <w:pStyle w:val="ListBullet2"/>
      </w:pPr>
      <w:r>
        <w:t>w</w:t>
      </w:r>
      <w:r w:rsidR="00FA7976">
        <w:t>as hormone receptor positive (HR+), had at least 4 pathologically confirmed positive lymph nodes.</w:t>
      </w:r>
    </w:p>
    <w:p w14:paraId="6738BE2F" w14:textId="32F38D5C" w:rsidR="00FA7976" w:rsidRDefault="00206D4B" w:rsidP="00FA7976">
      <w:pPr>
        <w:pStyle w:val="ListBullet2"/>
      </w:pPr>
      <w:r>
        <w:t>w</w:t>
      </w:r>
      <w:r w:rsidR="00FA7976">
        <w:t xml:space="preserve">as TNBC, had axillary </w:t>
      </w:r>
      <w:r w:rsidR="00FA7976" w:rsidRPr="008E7280">
        <w:t>nod</w:t>
      </w:r>
      <w:r w:rsidR="00FA7976">
        <w:t>e-</w:t>
      </w:r>
      <w:r w:rsidR="00FA7976" w:rsidRPr="008E7280">
        <w:t xml:space="preserve">positive disease </w:t>
      </w:r>
      <w:r w:rsidR="00FA7976">
        <w:t>and/</w:t>
      </w:r>
      <w:r w:rsidR="00FA7976" w:rsidRPr="008E7280">
        <w:t>or a ≥2cm primary tumo</w:t>
      </w:r>
      <w:r w:rsidR="00FA7976">
        <w:t>u</w:t>
      </w:r>
      <w:r w:rsidR="00FA7976" w:rsidRPr="008E7280">
        <w:t>r</w:t>
      </w:r>
      <w:r w:rsidR="00FA7976">
        <w:t>.</w:t>
      </w:r>
    </w:p>
    <w:p w14:paraId="01157983" w14:textId="6A5CE97C" w:rsidR="00FA7976" w:rsidRDefault="00FA7976" w:rsidP="00583A23">
      <w:pPr>
        <w:pStyle w:val="ListBullet2"/>
      </w:pPr>
      <w:r>
        <w:t xml:space="preserve">If treated with neoadjuvant therapy prior to initial surgery, and had residual invasive cancer in the breast and/or the resected lymph nodes at time of surgery (i.e. a lack of pathological complete response; pCR), </w:t>
      </w:r>
      <w:r w:rsidR="00FD24E8">
        <w:t>and if</w:t>
      </w:r>
      <w:r>
        <w:t xml:space="preserve"> HR+, had a CPS&amp;EG score ≥3 (This is a scored based on the pretreatment clinical stage and post-treatment pathological stage (CPS score) as well as oestrogen receptor status and tumour grade (EG score).</w:t>
      </w:r>
    </w:p>
    <w:p w14:paraId="2FE34D37" w14:textId="77777777" w:rsidR="00FA7976" w:rsidRDefault="00FA7976" w:rsidP="00FA7976">
      <w:pPr>
        <w:ind w:right="170"/>
      </w:pPr>
      <w:r>
        <w:t xml:space="preserve">Only patients with a </w:t>
      </w:r>
      <w:r>
        <w:rPr>
          <w:szCs w:val="21"/>
          <w:lang w:eastAsia="en-AU"/>
        </w:rPr>
        <w:t>de</w:t>
      </w:r>
      <w:r w:rsidRPr="007D2330">
        <w:rPr>
          <w:szCs w:val="21"/>
          <w:lang w:eastAsia="en-AU"/>
        </w:rPr>
        <w:t>leterious or suspected deleterious g</w:t>
      </w:r>
      <w:r w:rsidRPr="007D2330">
        <w:rPr>
          <w:i/>
          <w:iCs/>
          <w:szCs w:val="21"/>
          <w:lang w:eastAsia="en-AU"/>
        </w:rPr>
        <w:t>BRCA</w:t>
      </w:r>
      <w:r w:rsidRPr="007D2330">
        <w:rPr>
          <w:szCs w:val="21"/>
          <w:lang w:eastAsia="en-AU"/>
        </w:rPr>
        <w:t xml:space="preserve">m (in </w:t>
      </w:r>
      <w:r w:rsidRPr="007D2330">
        <w:rPr>
          <w:i/>
          <w:iCs/>
          <w:szCs w:val="21"/>
          <w:lang w:eastAsia="en-AU"/>
        </w:rPr>
        <w:t>BRCA1</w:t>
      </w:r>
      <w:r w:rsidRPr="007D2330">
        <w:rPr>
          <w:szCs w:val="21"/>
          <w:lang w:eastAsia="en-AU"/>
        </w:rPr>
        <w:t xml:space="preserve"> or </w:t>
      </w:r>
      <w:r w:rsidRPr="007D2330">
        <w:rPr>
          <w:i/>
          <w:iCs/>
          <w:szCs w:val="21"/>
          <w:lang w:eastAsia="en-AU"/>
        </w:rPr>
        <w:t>BRCA2</w:t>
      </w:r>
      <w:r w:rsidRPr="007D2330">
        <w:rPr>
          <w:szCs w:val="21"/>
          <w:lang w:eastAsia="en-AU"/>
        </w:rPr>
        <w:t>)</w:t>
      </w:r>
      <w:r>
        <w:rPr>
          <w:szCs w:val="21"/>
          <w:lang w:eastAsia="en-AU"/>
        </w:rPr>
        <w:t xml:space="preserve"> </w:t>
      </w:r>
      <w:r>
        <w:t>were eligible for enrolment. Those enrolled based on a local testing result required confirmation by central testing using the Myriad g</w:t>
      </w:r>
      <w:r w:rsidRPr="00E32BB3">
        <w:rPr>
          <w:i/>
          <w:iCs/>
        </w:rPr>
        <w:t>BRCA</w:t>
      </w:r>
      <w:r>
        <w:t xml:space="preserve"> test, except for patients enrolled in China as samples were not able to be exported.</w:t>
      </w:r>
    </w:p>
    <w:p w14:paraId="3E15FA6B" w14:textId="77777777" w:rsidR="00FA7976" w:rsidRDefault="00FA7976" w:rsidP="00FA7976">
      <w:r>
        <w:t>A total of 1836 patients were randomised (1:1) to receive either olaparib (n=921) 300mg twice daily (with or without food) or matching placebo (n=915). This dose regimen for olaparib is in line with that previously approved for other indications (ovarian, breast, pancreatic and prostate cancer).</w:t>
      </w:r>
    </w:p>
    <w:p w14:paraId="6C34AC21" w14:textId="77777777" w:rsidR="00FA7976" w:rsidRDefault="00FA7976" w:rsidP="00FA7976">
      <w:r>
        <w:t>Randomisation was stratified by hormone receptor status (ER and/or PR positive/HER2-negative vs TNBC), prior neoadjuvant vs</w:t>
      </w:r>
      <w:r w:rsidRPr="00E32BB3">
        <w:t xml:space="preserve"> adjuvant chemotherapy, and prior platinum use for breast cancer (yes vs no).</w:t>
      </w:r>
    </w:p>
    <w:p w14:paraId="773920C8" w14:textId="0A30E49D" w:rsidR="00F34B03" w:rsidRDefault="00FA7976">
      <w:pPr>
        <w:rPr>
          <w:b/>
        </w:rPr>
      </w:pPr>
      <w:r>
        <w:t xml:space="preserve">Treatment was continued for up to 1 year or until disease recurrence or unacceptable toxicity. Dose modifications were allowed, but no re-escalation. Treatment was permanently discontinued if a delay of &gt;4 weeks occurred for any reason. </w:t>
      </w:r>
      <w:bookmarkStart w:id="58" w:name="_Ref163558140"/>
    </w:p>
    <w:bookmarkEnd w:id="58"/>
    <w:p w14:paraId="184ACC65" w14:textId="6BF46785" w:rsidR="00086065" w:rsidRDefault="00FA7976" w:rsidP="00975919">
      <w:r>
        <w:lastRenderedPageBreak/>
        <w:t xml:space="preserve">The primary efficacy endpoint was invasive disease-free survival (IDFS), defined as the time from randomisation to date of first recurrence (defined as invasive loco-regional, distant recurrence, or contralateral invasive breast cancer), new cancer, or death from any cause. Alpha-controlled secondary endpoints included distant disease-free survival (DDFS) and </w:t>
      </w:r>
      <w:r w:rsidR="00DE44FD">
        <w:t>overall survival (</w:t>
      </w:r>
      <w:r>
        <w:t>OS</w:t>
      </w:r>
      <w:r w:rsidR="00DE44FD">
        <w:t>)</w:t>
      </w:r>
      <w:r>
        <w:t>.</w:t>
      </w:r>
    </w:p>
    <w:p w14:paraId="7568A96A" w14:textId="0535EF92" w:rsidR="006C4A96" w:rsidRDefault="006C4A96" w:rsidP="006C4A96">
      <w:r>
        <w:t xml:space="preserve">Hierarchical testing was used to control type 1 error, with IDFS followed by DDFS then OS (see </w:t>
      </w:r>
      <w:r w:rsidR="00274E35">
        <w:fldChar w:fldCharType="begin"/>
      </w:r>
      <w:r w:rsidR="00274E35">
        <w:instrText xml:space="preserve"> REF _Ref163558272 \h </w:instrText>
      </w:r>
      <w:r w:rsidR="00274E35">
        <w:fldChar w:fldCharType="separate"/>
      </w:r>
      <w:r w:rsidR="00274E35">
        <w:t xml:space="preserve">Figure </w:t>
      </w:r>
      <w:r w:rsidR="00274E35">
        <w:rPr>
          <w:noProof/>
        </w:rPr>
        <w:t>3</w:t>
      </w:r>
      <w:r w:rsidR="00274E35">
        <w:fldChar w:fldCharType="end"/>
      </w:r>
      <w:r w:rsidRPr="00211CCF">
        <w:t xml:space="preserve">). </w:t>
      </w:r>
    </w:p>
    <w:p w14:paraId="71ADC16B" w14:textId="72E7C6D4" w:rsidR="00274E35" w:rsidRDefault="00274E35" w:rsidP="008A1D19">
      <w:pPr>
        <w:pStyle w:val="FigureTitle"/>
      </w:pPr>
      <w:bookmarkStart w:id="59" w:name="_Ref163558272"/>
      <w:r>
        <w:t xml:space="preserve">Figure </w:t>
      </w:r>
      <w:r>
        <w:fldChar w:fldCharType="begin"/>
      </w:r>
      <w:r>
        <w:instrText xml:space="preserve"> SEQ Figure \* ARABIC </w:instrText>
      </w:r>
      <w:r>
        <w:fldChar w:fldCharType="separate"/>
      </w:r>
      <w:r w:rsidR="00AF2F76">
        <w:rPr>
          <w:noProof/>
        </w:rPr>
        <w:t>3</w:t>
      </w:r>
      <w:r>
        <w:rPr>
          <w:noProof/>
        </w:rPr>
        <w:fldChar w:fldCharType="end"/>
      </w:r>
      <w:bookmarkEnd w:id="59"/>
      <w:r w:rsidR="00AA0FF6">
        <w:rPr>
          <w:noProof/>
        </w:rPr>
        <w:t>.</w:t>
      </w:r>
      <w:r>
        <w:t xml:space="preserve"> Multiplicity and OS assumptions in OlympiA</w:t>
      </w:r>
    </w:p>
    <w:p w14:paraId="43EBD22F" w14:textId="48EB338F" w:rsidR="003B56CC" w:rsidRPr="00211CCF" w:rsidRDefault="003B56CC" w:rsidP="006C4A96">
      <w:r>
        <w:rPr>
          <w:noProof/>
        </w:rPr>
        <w:drawing>
          <wp:inline distT="0" distB="0" distL="0" distR="0" wp14:anchorId="0225D0AA" wp14:editId="19695066">
            <wp:extent cx="5759450" cy="2403685"/>
            <wp:effectExtent l="133350" t="114300" r="146050" b="168275"/>
            <wp:docPr id="10" name="Picture 10" descr="Multiplicity and OS assumptions in Olym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ultiplicity and OS assumptions in OlympiA"/>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t="15292"/>
                    <a:stretch/>
                  </pic:blipFill>
                  <pic:spPr bwMode="auto">
                    <a:xfrm>
                      <a:off x="0" y="0"/>
                      <a:ext cx="5759450" cy="2403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384038" w14:textId="2403C11E" w:rsidR="006C4A96" w:rsidRPr="00211CCF" w:rsidRDefault="006C4A96" w:rsidP="006C4A96">
      <w:r w:rsidRPr="00211CCF">
        <w:t>Exploratory analyses were conducted but were not alpha controlled so have not contributed significantly to the</w:t>
      </w:r>
      <w:r>
        <w:t xml:space="preserve"> regulatory</w:t>
      </w:r>
      <w:r w:rsidRPr="00211CCF">
        <w:t xml:space="preserve"> decision. These included IDFS, DDFS and OS in the subset of the study population in whom </w:t>
      </w:r>
      <w:r w:rsidRPr="00211CCF">
        <w:rPr>
          <w:i/>
          <w:iCs/>
        </w:rPr>
        <w:t>gBRCAm</w:t>
      </w:r>
      <w:r w:rsidRPr="00211CCF">
        <w:t xml:space="preserve"> was confirmed by a central Myriad (BRCAAnalysis) test.</w:t>
      </w:r>
    </w:p>
    <w:p w14:paraId="253EEFAD" w14:textId="77777777" w:rsidR="00153C1F" w:rsidRPr="002552AC" w:rsidRDefault="00153C1F" w:rsidP="002552AC">
      <w:pPr>
        <w:pStyle w:val="Heading7"/>
        <w:rPr>
          <w:rFonts w:ascii="Cambria" w:hAnsi="Cambria"/>
          <w:b/>
          <w:bCs/>
        </w:rPr>
      </w:pPr>
      <w:r w:rsidRPr="002552AC">
        <w:rPr>
          <w:rFonts w:ascii="Cambria" w:hAnsi="Cambria"/>
          <w:b/>
          <w:bCs/>
        </w:rPr>
        <w:t>Population</w:t>
      </w:r>
    </w:p>
    <w:p w14:paraId="7A7D7C63" w14:textId="77777777" w:rsidR="00153C1F" w:rsidRDefault="00153C1F" w:rsidP="008A1D19">
      <w:r>
        <w:t xml:space="preserve">The primary efficacy endpoint was tested in the full analysis set (FAS) [n=1836] on an intention-to-treat (ITT) basis. </w:t>
      </w:r>
    </w:p>
    <w:p w14:paraId="3B19D92D" w14:textId="77777777" w:rsidR="00153C1F" w:rsidRDefault="00153C1F" w:rsidP="002552AC">
      <w:r>
        <w:t>Ten patients in the olaparib arm and 11 in the placebo arm did not receive treatment. More patients on the olaparib arm compared the placebo arm discontinued treatment due to patient decision (60 patients vs 32 patients).</w:t>
      </w:r>
    </w:p>
    <w:p w14:paraId="69AD6CE2" w14:textId="15C2BC7B" w:rsidR="00153C1F" w:rsidRDefault="00153C1F" w:rsidP="002552AC">
      <w:r>
        <w:t xml:space="preserve">Amongst the FAS, there were 6 male patients (2 randomised to olaparib and 4 to placebo). The median age was 42 (range 22 to 78) years, in keeping with the inclusion requirement for a gBRCAm. Most patients (61%) were pre-menopausal, and of the 38% who were postmenopausal, around half (19% of the FAS) were so due to </w:t>
      </w:r>
      <w:r w:rsidR="00843964">
        <w:t>prophylactic</w:t>
      </w:r>
      <w:r>
        <w:t xml:space="preserve"> bilateral oophorectomy. Most patients (67%) were Caucasian and 29% were Asian; 89% had an ECOG PS of 0; and half had received prior neoadjuvant treatment while the other half had received prior adjuvant treatment: almost all (94%) had received an anthracycline and taxane regimen. </w:t>
      </w:r>
    </w:p>
    <w:p w14:paraId="3D371CA1" w14:textId="0144584C" w:rsidR="00153C1F" w:rsidRDefault="00153C1F" w:rsidP="002552AC">
      <w:r>
        <w:t xml:space="preserve">The majority of patients (72%) had a BRCAm in the BRCA1 gene, in keeping with the higher proportion of TNBC in the study. Of the 18% (n=325) who had HR+ disease, 291 (89.5%) received adjuvant endocrine therapy per local guidelines. Of the 34 who did not, most were either PR+/ER- (whether this represents a testing artefact has been debated, but it appears at least reasonably possible this represents a true biological entity) or ER-low. This is in keeping with the study protocol, and with clinical guidelines that state that the use of adjuvant endocrine therapy in patients with low or no ER-positivity is clinical judgement call to be made based on individual circumstances.  </w:t>
      </w:r>
    </w:p>
    <w:p w14:paraId="6125257C" w14:textId="06521001" w:rsidR="00405DC8" w:rsidRDefault="00153C1F" w:rsidP="002552AC">
      <w:r>
        <w:lastRenderedPageBreak/>
        <w:t>The subset in whom gBRCAm status was confirmed centrally using the Myriad test (the Myriad-confirmed subset) included 1539 patients from the FAS. Their baseline characteristics were similar, though a higher proportion were Caucasian (77%) relative to Asian (18%), as many of the patients for whom this testing couldn’t be conducted had samples that couldn’t be exported from China.</w:t>
      </w:r>
    </w:p>
    <w:p w14:paraId="296ECF73" w14:textId="77777777" w:rsidR="002E7618" w:rsidRPr="002E7618" w:rsidRDefault="002E7618" w:rsidP="007B5CDC">
      <w:pPr>
        <w:pStyle w:val="Heading6"/>
      </w:pPr>
      <w:r w:rsidRPr="002E7618">
        <w:t>Results</w:t>
      </w:r>
    </w:p>
    <w:p w14:paraId="1B1949F8" w14:textId="6AC58037" w:rsidR="002E7618" w:rsidRDefault="002E7618" w:rsidP="002552AC">
      <w:r w:rsidRPr="00635FCA">
        <w:t>Key efficacy results for the OlympiA study</w:t>
      </w:r>
      <w:r>
        <w:t xml:space="preserve"> </w:t>
      </w:r>
      <w:r w:rsidRPr="00635FCA">
        <w:t xml:space="preserve">are summarised in </w:t>
      </w:r>
      <w:r w:rsidR="00187FCA">
        <w:t>Table 5</w:t>
      </w:r>
      <w:r w:rsidRPr="00635FCA">
        <w:t xml:space="preserve"> and </w:t>
      </w:r>
      <w:r w:rsidRPr="00635FCA">
        <w:fldChar w:fldCharType="begin"/>
      </w:r>
      <w:r w:rsidRPr="00635FCA">
        <w:instrText xml:space="preserve"> REF _Ref125722834 \h </w:instrText>
      </w:r>
      <w:r w:rsidRPr="00635FCA">
        <w:fldChar w:fldCharType="separate"/>
      </w:r>
      <w:r w:rsidRPr="00635FCA">
        <w:t xml:space="preserve">Figure </w:t>
      </w:r>
      <w:r>
        <w:rPr>
          <w:noProof/>
        </w:rPr>
        <w:t>4</w:t>
      </w:r>
      <w:r w:rsidRPr="00635FCA">
        <w:fldChar w:fldCharType="end"/>
      </w:r>
      <w:r>
        <w:t xml:space="preserve">. A statistically significant improvement in IDFS and DFS (at DCO1) and OS (at DCO2) was demonstrated in patients in the olaparib arm compared with the placebo arm. </w:t>
      </w:r>
    </w:p>
    <w:p w14:paraId="343764BE" w14:textId="77777777" w:rsidR="002E7618" w:rsidRDefault="002E7618" w:rsidP="002552AC">
      <w:pPr>
        <w:jc w:val="both"/>
        <w:rPr>
          <w:lang w:eastAsia="ja-JP"/>
        </w:rPr>
      </w:pPr>
      <w:r w:rsidRPr="00303D29">
        <w:rPr>
          <w:lang w:eastAsia="ja-JP"/>
        </w:rPr>
        <w:t xml:space="preserve">The results of </w:t>
      </w:r>
      <w:r>
        <w:rPr>
          <w:lang w:eastAsia="ja-JP"/>
        </w:rPr>
        <w:t>four</w:t>
      </w:r>
      <w:r w:rsidRPr="00303D29">
        <w:rPr>
          <w:lang w:eastAsia="ja-JP"/>
        </w:rPr>
        <w:t xml:space="preserve"> sensitivity analyses</w:t>
      </w:r>
      <w:r>
        <w:rPr>
          <w:lang w:eastAsia="ja-JP"/>
        </w:rPr>
        <w:t xml:space="preserve"> of IDFS (i</w:t>
      </w:r>
      <w:r w:rsidRPr="00303D29">
        <w:rPr>
          <w:lang w:eastAsia="ja-JP"/>
        </w:rPr>
        <w:t xml:space="preserve">ncluding only patients with central </w:t>
      </w:r>
      <w:r>
        <w:rPr>
          <w:lang w:eastAsia="ja-JP"/>
        </w:rPr>
        <w:t>results</w:t>
      </w:r>
      <w:r w:rsidRPr="00303D29">
        <w:rPr>
          <w:lang w:eastAsia="ja-JP"/>
        </w:rPr>
        <w:t xml:space="preserve"> for </w:t>
      </w:r>
      <w:r>
        <w:rPr>
          <w:lang w:eastAsia="ja-JP"/>
        </w:rPr>
        <w:t>HR status</w:t>
      </w:r>
      <w:r w:rsidRPr="00303D29">
        <w:rPr>
          <w:lang w:eastAsia="ja-JP"/>
        </w:rPr>
        <w:t xml:space="preserve">, using unadjusted analysis, using interval censoring, and using the </w:t>
      </w:r>
      <w:r>
        <w:rPr>
          <w:lang w:eastAsia="ja-JP"/>
        </w:rPr>
        <w:t>restricted mean survival time [</w:t>
      </w:r>
      <w:r w:rsidRPr="00303D29">
        <w:rPr>
          <w:lang w:eastAsia="ja-JP"/>
        </w:rPr>
        <w:t>RMST</w:t>
      </w:r>
      <w:r>
        <w:rPr>
          <w:lang w:eastAsia="ja-JP"/>
        </w:rPr>
        <w:t xml:space="preserve">] </w:t>
      </w:r>
      <w:r w:rsidRPr="00303D29">
        <w:rPr>
          <w:lang w:eastAsia="ja-JP"/>
        </w:rPr>
        <w:t>method</w:t>
      </w:r>
      <w:r>
        <w:rPr>
          <w:lang w:eastAsia="ja-JP"/>
        </w:rPr>
        <w:t xml:space="preserve">) </w:t>
      </w:r>
      <w:r w:rsidRPr="00303D29">
        <w:rPr>
          <w:lang w:eastAsia="ja-JP"/>
        </w:rPr>
        <w:t>were consistent with the primary analysis</w:t>
      </w:r>
      <w:r>
        <w:rPr>
          <w:lang w:eastAsia="ja-JP"/>
        </w:rPr>
        <w:t>.</w:t>
      </w:r>
    </w:p>
    <w:p w14:paraId="4C20A8F6" w14:textId="7CBDCB23" w:rsidR="002E7618" w:rsidRDefault="002E7618" w:rsidP="002552AC">
      <w:pPr>
        <w:rPr>
          <w:lang w:eastAsia="ja-JP"/>
        </w:rPr>
      </w:pPr>
      <w:r>
        <w:rPr>
          <w:lang w:eastAsia="ja-JP"/>
        </w:rPr>
        <w:t xml:space="preserve">Subgroup analyses of IDFS and OS are presented as forest plots in </w:t>
      </w:r>
      <w:r w:rsidR="00983DD1">
        <w:rPr>
          <w:lang w:eastAsia="ja-JP"/>
        </w:rPr>
        <w:fldChar w:fldCharType="begin"/>
      </w:r>
      <w:r w:rsidR="00983DD1">
        <w:rPr>
          <w:lang w:eastAsia="ja-JP"/>
        </w:rPr>
        <w:instrText xml:space="preserve"> REF _Ref163561259 \h </w:instrText>
      </w:r>
      <w:r w:rsidR="00983DD1">
        <w:rPr>
          <w:lang w:eastAsia="ja-JP"/>
        </w:rPr>
      </w:r>
      <w:r w:rsidR="00983DD1">
        <w:rPr>
          <w:lang w:eastAsia="ja-JP"/>
        </w:rPr>
        <w:fldChar w:fldCharType="separate"/>
      </w:r>
      <w:r w:rsidR="00983DD1">
        <w:t xml:space="preserve">Figure </w:t>
      </w:r>
      <w:r w:rsidR="00983DD1">
        <w:rPr>
          <w:noProof/>
        </w:rPr>
        <w:t>6</w:t>
      </w:r>
      <w:r w:rsidR="00983DD1">
        <w:rPr>
          <w:lang w:eastAsia="ja-JP"/>
        </w:rPr>
        <w:fldChar w:fldCharType="end"/>
      </w:r>
      <w:r w:rsidR="00983DD1">
        <w:rPr>
          <w:lang w:eastAsia="ja-JP"/>
        </w:rPr>
        <w:t xml:space="preserve"> </w:t>
      </w:r>
      <w:r>
        <w:rPr>
          <w:lang w:eastAsia="ja-JP"/>
        </w:rPr>
        <w:t xml:space="preserve">and </w:t>
      </w:r>
      <w:r>
        <w:rPr>
          <w:lang w:eastAsia="ja-JP"/>
        </w:rPr>
        <w:fldChar w:fldCharType="begin"/>
      </w:r>
      <w:r>
        <w:rPr>
          <w:lang w:eastAsia="ja-JP"/>
        </w:rPr>
        <w:instrText xml:space="preserve"> REF _Ref126678997 \h </w:instrText>
      </w:r>
      <w:r>
        <w:rPr>
          <w:lang w:eastAsia="ja-JP"/>
        </w:rPr>
      </w:r>
      <w:r>
        <w:rPr>
          <w:lang w:eastAsia="ja-JP"/>
        </w:rPr>
        <w:fldChar w:fldCharType="separate"/>
      </w:r>
      <w:r>
        <w:t xml:space="preserve">Figure </w:t>
      </w:r>
      <w:r>
        <w:rPr>
          <w:noProof/>
        </w:rPr>
        <w:t>14</w:t>
      </w:r>
      <w:r>
        <w:rPr>
          <w:lang w:eastAsia="ja-JP"/>
        </w:rPr>
        <w:fldChar w:fldCharType="end"/>
      </w:r>
      <w:r>
        <w:rPr>
          <w:lang w:eastAsia="ja-JP"/>
        </w:rPr>
        <w:t xml:space="preserve">. Nine out of 49 </w:t>
      </w:r>
      <w:r w:rsidRPr="00392441">
        <w:rPr>
          <w:lang w:eastAsia="ja-JP"/>
        </w:rPr>
        <w:t>pre-planned subgroup</w:t>
      </w:r>
      <w:r>
        <w:rPr>
          <w:lang w:eastAsia="ja-JP"/>
        </w:rPr>
        <w:t xml:space="preserve"> analyse</w:t>
      </w:r>
      <w:r w:rsidRPr="00392441">
        <w:rPr>
          <w:lang w:eastAsia="ja-JP"/>
        </w:rPr>
        <w:t>s</w:t>
      </w:r>
      <w:r>
        <w:rPr>
          <w:lang w:eastAsia="ja-JP"/>
        </w:rPr>
        <w:t xml:space="preserve"> for IDFS were not conducted</w:t>
      </w:r>
      <w:r w:rsidRPr="00392441">
        <w:rPr>
          <w:lang w:eastAsia="ja-JP"/>
        </w:rPr>
        <w:t xml:space="preserve"> due to low event numbers (</w:t>
      </w:r>
      <w:r>
        <w:rPr>
          <w:lang w:eastAsia="ja-JP"/>
        </w:rPr>
        <w:t>&lt;</w:t>
      </w:r>
      <w:r w:rsidRPr="00392441">
        <w:rPr>
          <w:lang w:eastAsia="ja-JP"/>
        </w:rPr>
        <w:t>5 events in</w:t>
      </w:r>
      <w:r>
        <w:rPr>
          <w:lang w:eastAsia="ja-JP"/>
        </w:rPr>
        <w:t xml:space="preserve"> a</w:t>
      </w:r>
      <w:r w:rsidRPr="00392441">
        <w:rPr>
          <w:lang w:eastAsia="ja-JP"/>
        </w:rPr>
        <w:t xml:space="preserve"> subgroup within a treatment arm). </w:t>
      </w:r>
      <w:r>
        <w:rPr>
          <w:lang w:eastAsia="ja-JP"/>
        </w:rPr>
        <w:t>The subgroup analyses did not raise concerns about</w:t>
      </w:r>
      <w:r w:rsidRPr="00392441">
        <w:rPr>
          <w:lang w:eastAsia="ja-JP"/>
        </w:rPr>
        <w:t xml:space="preserve"> differential treatment effect</w:t>
      </w:r>
      <w:r>
        <w:rPr>
          <w:lang w:eastAsia="ja-JP"/>
        </w:rPr>
        <w:t>s or harm in the examined subgroups</w:t>
      </w:r>
      <w:r w:rsidRPr="00392441">
        <w:rPr>
          <w:lang w:eastAsia="ja-JP"/>
        </w:rPr>
        <w:t>.</w:t>
      </w:r>
    </w:p>
    <w:p w14:paraId="26A0508B" w14:textId="0C354661" w:rsidR="000D6101" w:rsidRDefault="004D14EB" w:rsidP="002552AC">
      <w:r>
        <w:t>PARPi following recurrence was received</w:t>
      </w:r>
      <w:r w:rsidRPr="00E9653E">
        <w:t xml:space="preserve"> </w:t>
      </w:r>
      <w:r>
        <w:t xml:space="preserve">by 6 patients (&lt;1%) in the olaparib arm and 36 patients (4%) in the placebo arm. </w:t>
      </w:r>
    </w:p>
    <w:p w14:paraId="6F3EAC5A" w14:textId="1826E6FE" w:rsidR="000D6101" w:rsidRPr="00635FCA" w:rsidRDefault="000D6101" w:rsidP="00583A23">
      <w:pPr>
        <w:pStyle w:val="TableTitle"/>
      </w:pPr>
      <w:bookmarkStart w:id="60" w:name="_Ref77940780"/>
      <w:r w:rsidRPr="00635FCA">
        <w:t xml:space="preserve">Table </w:t>
      </w:r>
      <w:r w:rsidR="00187FCA">
        <w:t>5</w:t>
      </w:r>
      <w:bookmarkEnd w:id="60"/>
      <w:r w:rsidRPr="00635FCA">
        <w:t xml:space="preserve">. Key efficacy results for </w:t>
      </w:r>
      <w:r>
        <w:t xml:space="preserve">the FAS in </w:t>
      </w:r>
      <w:r w:rsidRPr="00635FCA">
        <w:t>OlympiA</w:t>
      </w:r>
      <w:r>
        <w:t xml:space="preserve"> </w:t>
      </w:r>
    </w:p>
    <w:tbl>
      <w:tblPr>
        <w:tblStyle w:val="TableTGAblue2023"/>
        <w:tblW w:w="9062" w:type="dxa"/>
        <w:tblLook w:val="04A0" w:firstRow="1" w:lastRow="0" w:firstColumn="1" w:lastColumn="0" w:noHBand="0" w:noVBand="1"/>
      </w:tblPr>
      <w:tblGrid>
        <w:gridCol w:w="3428"/>
        <w:gridCol w:w="2877"/>
        <w:gridCol w:w="2757"/>
      </w:tblGrid>
      <w:tr w:rsidR="00187FCA" w:rsidRPr="00187FCA" w14:paraId="5CA53821" w14:textId="77777777" w:rsidTr="008A1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266D9F4" w14:textId="77777777" w:rsidR="000D6101" w:rsidRPr="008A1D19" w:rsidRDefault="000D6101" w:rsidP="00583A23">
            <w:pPr>
              <w:rPr>
                <w:sz w:val="18"/>
                <w:szCs w:val="18"/>
              </w:rPr>
            </w:pPr>
          </w:p>
        </w:tc>
        <w:tc>
          <w:tcPr>
            <w:tcW w:w="0" w:type="dxa"/>
          </w:tcPr>
          <w:p w14:paraId="4EC436CA" w14:textId="2CC0D41F" w:rsidR="000D6101" w:rsidRPr="008A1D19" w:rsidRDefault="000D6101" w:rsidP="00583A23">
            <w:pPr>
              <w:cnfStyle w:val="100000000000" w:firstRow="1" w:lastRow="0" w:firstColumn="0" w:lastColumn="0" w:oddVBand="0" w:evenVBand="0" w:oddHBand="0" w:evenHBand="0" w:firstRowFirstColumn="0" w:firstRowLastColumn="0" w:lastRowFirstColumn="0" w:lastRowLastColumn="0"/>
              <w:rPr>
                <w:sz w:val="18"/>
                <w:szCs w:val="18"/>
              </w:rPr>
            </w:pPr>
            <w:r w:rsidRPr="008A1D19">
              <w:rPr>
                <w:rFonts w:cstheme="minorBidi"/>
                <w:sz w:val="18"/>
                <w:szCs w:val="18"/>
                <w:lang w:eastAsia="en-US"/>
              </w:rPr>
              <w:t>Olaparib</w:t>
            </w:r>
            <w:r w:rsidR="008A1D19">
              <w:rPr>
                <w:rFonts w:cstheme="minorBidi"/>
                <w:sz w:val="18"/>
                <w:szCs w:val="18"/>
                <w:lang w:eastAsia="en-US"/>
              </w:rPr>
              <w:t xml:space="preserve"> </w:t>
            </w:r>
            <w:r w:rsidRPr="008A1D19">
              <w:rPr>
                <w:rFonts w:cstheme="minorBidi"/>
                <w:sz w:val="18"/>
                <w:szCs w:val="18"/>
                <w:lang w:eastAsia="en-US"/>
              </w:rPr>
              <w:t>(n=921)</w:t>
            </w:r>
          </w:p>
        </w:tc>
        <w:tc>
          <w:tcPr>
            <w:tcW w:w="0" w:type="dxa"/>
          </w:tcPr>
          <w:p w14:paraId="5876B25B" w14:textId="32C649EC" w:rsidR="000D6101" w:rsidRPr="008A1D19" w:rsidRDefault="000D6101" w:rsidP="00583A23">
            <w:pPr>
              <w:cnfStyle w:val="100000000000" w:firstRow="1" w:lastRow="0" w:firstColumn="0" w:lastColumn="0" w:oddVBand="0" w:evenVBand="0" w:oddHBand="0" w:evenHBand="0" w:firstRowFirstColumn="0" w:firstRowLastColumn="0" w:lastRowFirstColumn="0" w:lastRowLastColumn="0"/>
              <w:rPr>
                <w:sz w:val="18"/>
                <w:szCs w:val="18"/>
              </w:rPr>
            </w:pPr>
            <w:r w:rsidRPr="008A1D19">
              <w:rPr>
                <w:rFonts w:cstheme="minorBidi"/>
                <w:sz w:val="18"/>
                <w:szCs w:val="18"/>
                <w:lang w:eastAsia="en-US"/>
              </w:rPr>
              <w:t>Placebo</w:t>
            </w:r>
            <w:r w:rsidR="008A1D19">
              <w:rPr>
                <w:rFonts w:cstheme="minorBidi"/>
                <w:sz w:val="18"/>
                <w:szCs w:val="18"/>
                <w:lang w:eastAsia="en-US"/>
              </w:rPr>
              <w:t xml:space="preserve"> </w:t>
            </w:r>
            <w:r w:rsidRPr="008A1D19">
              <w:rPr>
                <w:rFonts w:cstheme="minorBidi"/>
                <w:sz w:val="18"/>
                <w:szCs w:val="18"/>
                <w:lang w:eastAsia="en-US"/>
              </w:rPr>
              <w:t>(n=915)</w:t>
            </w:r>
          </w:p>
        </w:tc>
      </w:tr>
      <w:tr w:rsidR="00187FCA" w:rsidRPr="00187FCA" w14:paraId="79ECBCBA"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4967397B" w14:textId="77777777" w:rsidR="000D6101" w:rsidRPr="003D02A1" w:rsidRDefault="000D6101" w:rsidP="00583A23">
            <w:pPr>
              <w:rPr>
                <w:b/>
                <w:color w:val="auto"/>
                <w:sz w:val="18"/>
                <w:szCs w:val="18"/>
              </w:rPr>
            </w:pPr>
            <w:bookmarkStart w:id="61" w:name="_Hlk125444439"/>
            <w:bookmarkStart w:id="62" w:name="_Hlk125447655"/>
            <w:bookmarkStart w:id="63" w:name="_Hlk125724593"/>
            <w:r w:rsidRPr="003D02A1">
              <w:rPr>
                <w:rFonts w:cstheme="minorBidi"/>
                <w:b/>
                <w:sz w:val="18"/>
                <w:szCs w:val="18"/>
                <w:lang w:eastAsia="en-US"/>
              </w:rPr>
              <w:t xml:space="preserve">IDFS (DCO1: 27 MAR 2020) </w:t>
            </w:r>
            <w:r w:rsidRPr="003D02A1">
              <w:rPr>
                <w:rFonts w:cstheme="minorBidi"/>
                <w:b/>
                <w:sz w:val="18"/>
                <w:szCs w:val="18"/>
                <w:vertAlign w:val="superscript"/>
                <w:lang w:eastAsia="en-US"/>
              </w:rPr>
              <w:t>a</w:t>
            </w:r>
          </w:p>
        </w:tc>
        <w:tc>
          <w:tcPr>
            <w:tcW w:w="0" w:type="dxa"/>
            <w:gridSpan w:val="2"/>
          </w:tcPr>
          <w:p w14:paraId="18150851"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bCs/>
                <w:color w:val="auto"/>
                <w:sz w:val="18"/>
                <w:szCs w:val="18"/>
              </w:rPr>
            </w:pPr>
          </w:p>
        </w:tc>
      </w:tr>
      <w:tr w:rsidR="00187FCA" w:rsidRPr="00187FCA" w14:paraId="11D91E7B"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0A111958" w14:textId="77777777" w:rsidR="000D6101" w:rsidRPr="003D02A1" w:rsidRDefault="000D6101" w:rsidP="00583A23">
            <w:pPr>
              <w:rPr>
                <w:b/>
                <w:color w:val="auto"/>
                <w:sz w:val="18"/>
                <w:szCs w:val="18"/>
              </w:rPr>
            </w:pPr>
            <w:bookmarkStart w:id="64" w:name="_Hlk125444417"/>
            <w:bookmarkEnd w:id="61"/>
            <w:bookmarkEnd w:id="62"/>
            <w:r w:rsidRPr="003D02A1">
              <w:rPr>
                <w:rFonts w:cstheme="minorBidi"/>
                <w:b/>
                <w:sz w:val="18"/>
                <w:szCs w:val="18"/>
                <w:lang w:eastAsia="en-US"/>
              </w:rPr>
              <w:t>Events, n (%)</w:t>
            </w:r>
          </w:p>
        </w:tc>
        <w:tc>
          <w:tcPr>
            <w:tcW w:w="0" w:type="dxa"/>
          </w:tcPr>
          <w:p w14:paraId="4D05FC7D"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106 (12%)</w:t>
            </w:r>
          </w:p>
        </w:tc>
        <w:tc>
          <w:tcPr>
            <w:tcW w:w="0" w:type="dxa"/>
          </w:tcPr>
          <w:p w14:paraId="79B43819"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178 (19%)</w:t>
            </w:r>
          </w:p>
        </w:tc>
      </w:tr>
      <w:tr w:rsidR="00187FCA" w:rsidRPr="00187FCA" w14:paraId="11AB3563"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517310DA" w14:textId="77777777" w:rsidR="000D6101" w:rsidRPr="003D02A1" w:rsidRDefault="000D6101" w:rsidP="00583A23">
            <w:pPr>
              <w:rPr>
                <w:b/>
                <w:color w:val="auto"/>
                <w:sz w:val="18"/>
                <w:szCs w:val="18"/>
              </w:rPr>
            </w:pPr>
            <w:r w:rsidRPr="003D02A1">
              <w:rPr>
                <w:rFonts w:cstheme="minorBidi"/>
                <w:b/>
                <w:sz w:val="18"/>
                <w:szCs w:val="18"/>
                <w:lang w:eastAsia="en-US"/>
              </w:rPr>
              <w:t xml:space="preserve">HR </w:t>
            </w:r>
            <w:r w:rsidRPr="003D02A1">
              <w:rPr>
                <w:b/>
                <w:sz w:val="18"/>
                <w:szCs w:val="18"/>
                <w:vertAlign w:val="superscript"/>
              </w:rPr>
              <w:fldChar w:fldCharType="begin"/>
            </w:r>
            <w:r w:rsidRPr="003D02A1">
              <w:rPr>
                <w:rFonts w:cstheme="minorBidi"/>
                <w:b/>
                <w:sz w:val="18"/>
                <w:szCs w:val="18"/>
                <w:vertAlign w:val="superscript"/>
                <w:lang w:eastAsia="en-US"/>
              </w:rPr>
              <w:instrText xml:space="preserve"> REF _Ref125725565 \w \h  \* MERGEFORMAT </w:instrText>
            </w:r>
            <w:r w:rsidRPr="003D02A1">
              <w:rPr>
                <w:b/>
                <w:sz w:val="18"/>
                <w:szCs w:val="18"/>
                <w:vertAlign w:val="superscript"/>
              </w:rPr>
            </w:r>
            <w:r w:rsidRPr="003D02A1">
              <w:rPr>
                <w:b/>
                <w:sz w:val="18"/>
                <w:szCs w:val="18"/>
                <w:vertAlign w:val="superscript"/>
              </w:rPr>
              <w:fldChar w:fldCharType="separate"/>
            </w:r>
            <w:r w:rsidRPr="003D02A1">
              <w:rPr>
                <w:rFonts w:cstheme="minorBidi"/>
                <w:b/>
                <w:sz w:val="18"/>
                <w:szCs w:val="18"/>
                <w:vertAlign w:val="superscript"/>
                <w:lang w:eastAsia="en-US"/>
              </w:rPr>
              <w:t>b</w:t>
            </w:r>
            <w:r w:rsidRPr="003D02A1">
              <w:rPr>
                <w:b/>
                <w:sz w:val="18"/>
                <w:szCs w:val="18"/>
                <w:vertAlign w:val="superscript"/>
              </w:rPr>
              <w:fldChar w:fldCharType="end"/>
            </w:r>
            <w:r w:rsidRPr="003D02A1">
              <w:rPr>
                <w:rFonts w:cstheme="minorBidi"/>
                <w:b/>
                <w:sz w:val="18"/>
                <w:szCs w:val="18"/>
                <w:vertAlign w:val="superscript"/>
                <w:lang w:eastAsia="en-US"/>
              </w:rPr>
              <w:t xml:space="preserve"> </w:t>
            </w:r>
            <w:r w:rsidRPr="003D02A1">
              <w:rPr>
                <w:rFonts w:cstheme="minorBidi"/>
                <w:b/>
                <w:sz w:val="18"/>
                <w:szCs w:val="18"/>
                <w:lang w:eastAsia="en-US"/>
              </w:rPr>
              <w:t xml:space="preserve">(95% CI) </w:t>
            </w:r>
            <w:r w:rsidRPr="003D02A1">
              <w:rPr>
                <w:b/>
                <w:sz w:val="18"/>
                <w:szCs w:val="18"/>
                <w:vertAlign w:val="superscript"/>
              </w:rPr>
              <w:fldChar w:fldCharType="begin"/>
            </w:r>
            <w:r w:rsidRPr="003D02A1">
              <w:rPr>
                <w:rFonts w:cstheme="minorBidi"/>
                <w:b/>
                <w:sz w:val="18"/>
                <w:szCs w:val="18"/>
                <w:vertAlign w:val="superscript"/>
                <w:lang w:eastAsia="en-US"/>
              </w:rPr>
              <w:instrText xml:space="preserve"> REF _Ref125724085 \w \h  \* MERGEFORMAT </w:instrText>
            </w:r>
            <w:r w:rsidRPr="003D02A1">
              <w:rPr>
                <w:b/>
                <w:sz w:val="18"/>
                <w:szCs w:val="18"/>
                <w:vertAlign w:val="superscript"/>
              </w:rPr>
            </w:r>
            <w:r w:rsidRPr="003D02A1">
              <w:rPr>
                <w:b/>
                <w:sz w:val="18"/>
                <w:szCs w:val="18"/>
                <w:vertAlign w:val="superscript"/>
              </w:rPr>
              <w:fldChar w:fldCharType="separate"/>
            </w:r>
            <w:r w:rsidRPr="003D02A1">
              <w:rPr>
                <w:rFonts w:cstheme="minorBidi"/>
                <w:b/>
                <w:sz w:val="18"/>
                <w:szCs w:val="18"/>
                <w:vertAlign w:val="superscript"/>
                <w:lang w:eastAsia="en-US"/>
              </w:rPr>
              <w:t>c</w:t>
            </w:r>
            <w:r w:rsidRPr="003D02A1">
              <w:rPr>
                <w:b/>
                <w:sz w:val="18"/>
                <w:szCs w:val="18"/>
                <w:vertAlign w:val="superscript"/>
              </w:rPr>
              <w:fldChar w:fldCharType="end"/>
            </w:r>
          </w:p>
        </w:tc>
        <w:tc>
          <w:tcPr>
            <w:tcW w:w="0" w:type="dxa"/>
            <w:gridSpan w:val="2"/>
          </w:tcPr>
          <w:p w14:paraId="465A4F91"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0.58 (0.46, 0.74)</w:t>
            </w:r>
          </w:p>
        </w:tc>
      </w:tr>
      <w:tr w:rsidR="00187FCA" w:rsidRPr="00187FCA" w14:paraId="020CF030"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702BC3EB" w14:textId="77777777" w:rsidR="000D6101" w:rsidRPr="003D02A1" w:rsidRDefault="000D6101" w:rsidP="00583A23">
            <w:pPr>
              <w:rPr>
                <w:b/>
                <w:color w:val="auto"/>
                <w:sz w:val="18"/>
                <w:szCs w:val="18"/>
              </w:rPr>
            </w:pPr>
            <w:r w:rsidRPr="003D02A1">
              <w:rPr>
                <w:rFonts w:cstheme="minorBidi"/>
                <w:b/>
                <w:sz w:val="18"/>
                <w:szCs w:val="18"/>
                <w:lang w:eastAsia="en-US"/>
              </w:rPr>
              <w:t xml:space="preserve">99.5% CI for the HR </w:t>
            </w:r>
            <w:r w:rsidRPr="003D02A1">
              <w:rPr>
                <w:b/>
                <w:sz w:val="18"/>
                <w:szCs w:val="18"/>
                <w:vertAlign w:val="superscript"/>
              </w:rPr>
              <w:fldChar w:fldCharType="begin"/>
            </w:r>
            <w:r w:rsidRPr="003D02A1">
              <w:rPr>
                <w:rFonts w:cstheme="minorBidi"/>
                <w:b/>
                <w:sz w:val="18"/>
                <w:szCs w:val="18"/>
                <w:vertAlign w:val="superscript"/>
                <w:lang w:eastAsia="en-US"/>
              </w:rPr>
              <w:instrText xml:space="preserve"> REF _Ref125724150 \w \h  \* MERGEFORMAT </w:instrText>
            </w:r>
            <w:r w:rsidRPr="003D02A1">
              <w:rPr>
                <w:b/>
                <w:sz w:val="18"/>
                <w:szCs w:val="18"/>
                <w:vertAlign w:val="superscript"/>
              </w:rPr>
            </w:r>
            <w:r w:rsidRPr="003D02A1">
              <w:rPr>
                <w:b/>
                <w:sz w:val="18"/>
                <w:szCs w:val="18"/>
                <w:vertAlign w:val="superscript"/>
              </w:rPr>
              <w:fldChar w:fldCharType="separate"/>
            </w:r>
            <w:r w:rsidRPr="003D02A1">
              <w:rPr>
                <w:rFonts w:cstheme="minorBidi"/>
                <w:b/>
                <w:sz w:val="18"/>
                <w:szCs w:val="18"/>
                <w:vertAlign w:val="superscript"/>
                <w:lang w:eastAsia="en-US"/>
              </w:rPr>
              <w:t>d</w:t>
            </w:r>
            <w:r w:rsidRPr="003D02A1">
              <w:rPr>
                <w:b/>
                <w:sz w:val="18"/>
                <w:szCs w:val="18"/>
                <w:vertAlign w:val="superscript"/>
              </w:rPr>
              <w:fldChar w:fldCharType="end"/>
            </w:r>
          </w:p>
        </w:tc>
        <w:tc>
          <w:tcPr>
            <w:tcW w:w="0" w:type="dxa"/>
            <w:gridSpan w:val="2"/>
          </w:tcPr>
          <w:p w14:paraId="5A080DF9"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 xml:space="preserve">0.41, 0.82 </w:t>
            </w:r>
          </w:p>
        </w:tc>
      </w:tr>
      <w:tr w:rsidR="00187FCA" w:rsidRPr="00187FCA" w14:paraId="10EB05F7"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4567160A" w14:textId="77777777" w:rsidR="000D6101" w:rsidRPr="003D02A1" w:rsidRDefault="000D6101" w:rsidP="00583A23">
            <w:pPr>
              <w:rPr>
                <w:b/>
                <w:color w:val="auto"/>
                <w:sz w:val="18"/>
                <w:szCs w:val="18"/>
              </w:rPr>
            </w:pPr>
            <w:r w:rsidRPr="003D02A1">
              <w:rPr>
                <w:rFonts w:cstheme="minorBidi"/>
                <w:b/>
                <w:sz w:val="18"/>
                <w:szCs w:val="18"/>
                <w:lang w:eastAsia="en-US"/>
              </w:rPr>
              <w:t xml:space="preserve">p-value </w:t>
            </w:r>
            <w:r w:rsidRPr="003D02A1">
              <w:rPr>
                <w:b/>
                <w:sz w:val="18"/>
                <w:szCs w:val="18"/>
                <w:vertAlign w:val="superscript"/>
              </w:rPr>
              <w:fldChar w:fldCharType="begin"/>
            </w:r>
            <w:r w:rsidRPr="003D02A1">
              <w:rPr>
                <w:rFonts w:cstheme="minorBidi"/>
                <w:b/>
                <w:sz w:val="18"/>
                <w:szCs w:val="18"/>
                <w:vertAlign w:val="superscript"/>
                <w:lang w:eastAsia="en-US"/>
              </w:rPr>
              <w:instrText xml:space="preserve"> REF _Ref125724094 \w \h  \* MERGEFORMAT </w:instrText>
            </w:r>
            <w:r w:rsidRPr="003D02A1">
              <w:rPr>
                <w:b/>
                <w:sz w:val="18"/>
                <w:szCs w:val="18"/>
                <w:vertAlign w:val="superscript"/>
              </w:rPr>
            </w:r>
            <w:r w:rsidRPr="003D02A1">
              <w:rPr>
                <w:b/>
                <w:sz w:val="18"/>
                <w:szCs w:val="18"/>
                <w:vertAlign w:val="superscript"/>
              </w:rPr>
              <w:fldChar w:fldCharType="separate"/>
            </w:r>
            <w:r w:rsidRPr="003D02A1">
              <w:rPr>
                <w:rFonts w:cstheme="minorBidi"/>
                <w:b/>
                <w:sz w:val="18"/>
                <w:szCs w:val="18"/>
                <w:vertAlign w:val="superscript"/>
                <w:lang w:eastAsia="en-US"/>
              </w:rPr>
              <w:t>e</w:t>
            </w:r>
            <w:r w:rsidRPr="003D02A1">
              <w:rPr>
                <w:b/>
                <w:sz w:val="18"/>
                <w:szCs w:val="18"/>
                <w:vertAlign w:val="superscript"/>
              </w:rPr>
              <w:fldChar w:fldCharType="end"/>
            </w:r>
          </w:p>
        </w:tc>
        <w:tc>
          <w:tcPr>
            <w:tcW w:w="0" w:type="dxa"/>
            <w:gridSpan w:val="2"/>
          </w:tcPr>
          <w:p w14:paraId="1EC544BF"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0.0000073</w:t>
            </w:r>
          </w:p>
        </w:tc>
      </w:tr>
      <w:tr w:rsidR="00187FCA" w:rsidRPr="00187FCA" w14:paraId="24B4437C"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23509F83" w14:textId="77777777" w:rsidR="000D6101" w:rsidRPr="003D02A1" w:rsidRDefault="000D6101" w:rsidP="00583A23">
            <w:pPr>
              <w:rPr>
                <w:b/>
                <w:color w:val="auto"/>
                <w:sz w:val="18"/>
                <w:szCs w:val="18"/>
              </w:rPr>
            </w:pPr>
            <w:r w:rsidRPr="003D02A1">
              <w:rPr>
                <w:rFonts w:cstheme="minorBidi"/>
                <w:b/>
                <w:sz w:val="18"/>
                <w:szCs w:val="18"/>
                <w:lang w:eastAsia="en-US"/>
              </w:rPr>
              <w:t xml:space="preserve">Percentage (95% CI) of patients free of invasive disease rate at: </w:t>
            </w:r>
            <w:r w:rsidRPr="003D02A1">
              <w:rPr>
                <w:b/>
                <w:sz w:val="18"/>
                <w:szCs w:val="18"/>
                <w:vertAlign w:val="superscript"/>
              </w:rPr>
              <w:fldChar w:fldCharType="begin"/>
            </w:r>
            <w:r w:rsidRPr="003D02A1">
              <w:rPr>
                <w:rFonts w:cstheme="minorBidi"/>
                <w:b/>
                <w:sz w:val="18"/>
                <w:szCs w:val="18"/>
                <w:vertAlign w:val="superscript"/>
                <w:lang w:eastAsia="en-US"/>
              </w:rPr>
              <w:instrText xml:space="preserve"> REF _Ref125724263 \w \h  \* MERGEFORMAT </w:instrText>
            </w:r>
            <w:r w:rsidRPr="003D02A1">
              <w:rPr>
                <w:b/>
                <w:sz w:val="18"/>
                <w:szCs w:val="18"/>
                <w:vertAlign w:val="superscript"/>
              </w:rPr>
            </w:r>
            <w:r w:rsidRPr="003D02A1">
              <w:rPr>
                <w:b/>
                <w:sz w:val="18"/>
                <w:szCs w:val="18"/>
                <w:vertAlign w:val="superscript"/>
              </w:rPr>
              <w:fldChar w:fldCharType="separate"/>
            </w:r>
            <w:r w:rsidRPr="003D02A1">
              <w:rPr>
                <w:rFonts w:cstheme="minorBidi"/>
                <w:b/>
                <w:sz w:val="18"/>
                <w:szCs w:val="18"/>
                <w:vertAlign w:val="superscript"/>
                <w:lang w:eastAsia="en-US"/>
              </w:rPr>
              <w:t>f</w:t>
            </w:r>
            <w:r w:rsidRPr="003D02A1">
              <w:rPr>
                <w:b/>
                <w:sz w:val="18"/>
                <w:szCs w:val="18"/>
                <w:vertAlign w:val="superscript"/>
              </w:rPr>
              <w:fldChar w:fldCharType="end"/>
            </w:r>
          </w:p>
        </w:tc>
        <w:tc>
          <w:tcPr>
            <w:tcW w:w="0" w:type="dxa"/>
            <w:gridSpan w:val="2"/>
          </w:tcPr>
          <w:p w14:paraId="670422B4"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p>
        </w:tc>
      </w:tr>
      <w:bookmarkEnd w:id="64"/>
      <w:tr w:rsidR="00187FCA" w:rsidRPr="00187FCA" w14:paraId="1319D577"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328DBBB2" w14:textId="77777777" w:rsidR="000D6101" w:rsidRPr="003D02A1" w:rsidRDefault="000D6101" w:rsidP="00583A23">
            <w:pPr>
              <w:rPr>
                <w:b/>
                <w:color w:val="auto"/>
                <w:sz w:val="18"/>
                <w:szCs w:val="18"/>
              </w:rPr>
            </w:pPr>
            <w:r w:rsidRPr="003D02A1">
              <w:rPr>
                <w:rFonts w:cstheme="minorBidi"/>
                <w:b/>
                <w:sz w:val="18"/>
                <w:szCs w:val="18"/>
                <w:lang w:eastAsia="en-US"/>
              </w:rPr>
              <w:t>1 year</w:t>
            </w:r>
          </w:p>
        </w:tc>
        <w:tc>
          <w:tcPr>
            <w:tcW w:w="0" w:type="dxa"/>
          </w:tcPr>
          <w:p w14:paraId="026678BB"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93% (91, 95)</w:t>
            </w:r>
          </w:p>
        </w:tc>
        <w:tc>
          <w:tcPr>
            <w:tcW w:w="0" w:type="dxa"/>
          </w:tcPr>
          <w:p w14:paraId="303241FA"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88% (86, 90)</w:t>
            </w:r>
          </w:p>
        </w:tc>
      </w:tr>
      <w:tr w:rsidR="00187FCA" w:rsidRPr="00187FCA" w14:paraId="2052C6BD"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611EDED7" w14:textId="77777777" w:rsidR="000D6101" w:rsidRPr="003D02A1" w:rsidRDefault="000D6101" w:rsidP="00583A23">
            <w:pPr>
              <w:rPr>
                <w:b/>
                <w:color w:val="auto"/>
                <w:sz w:val="18"/>
                <w:szCs w:val="18"/>
              </w:rPr>
            </w:pPr>
            <w:r w:rsidRPr="003D02A1">
              <w:rPr>
                <w:rFonts w:cstheme="minorBidi"/>
                <w:b/>
                <w:sz w:val="18"/>
                <w:szCs w:val="18"/>
                <w:lang w:eastAsia="en-US"/>
              </w:rPr>
              <w:t>2 years</w:t>
            </w:r>
          </w:p>
        </w:tc>
        <w:tc>
          <w:tcPr>
            <w:tcW w:w="0" w:type="dxa"/>
          </w:tcPr>
          <w:p w14:paraId="7857C92D"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89% (87, 91)</w:t>
            </w:r>
          </w:p>
        </w:tc>
        <w:tc>
          <w:tcPr>
            <w:tcW w:w="0" w:type="dxa"/>
          </w:tcPr>
          <w:p w14:paraId="5ACDB2D7"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82% (79, 84)</w:t>
            </w:r>
          </w:p>
        </w:tc>
      </w:tr>
      <w:tr w:rsidR="00187FCA" w:rsidRPr="00187FCA" w14:paraId="2F374268"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229EF1F7" w14:textId="77777777" w:rsidR="000D6101" w:rsidRPr="003D02A1" w:rsidRDefault="000D6101" w:rsidP="00583A23">
            <w:pPr>
              <w:rPr>
                <w:b/>
                <w:color w:val="auto"/>
                <w:sz w:val="18"/>
                <w:szCs w:val="18"/>
              </w:rPr>
            </w:pPr>
            <w:r w:rsidRPr="003D02A1">
              <w:rPr>
                <w:rFonts w:cstheme="minorBidi"/>
                <w:b/>
                <w:sz w:val="18"/>
                <w:szCs w:val="18"/>
                <w:lang w:eastAsia="en-US"/>
              </w:rPr>
              <w:t>3 years</w:t>
            </w:r>
          </w:p>
        </w:tc>
        <w:tc>
          <w:tcPr>
            <w:tcW w:w="0" w:type="dxa"/>
          </w:tcPr>
          <w:p w14:paraId="46B55823"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86% (83, 88)</w:t>
            </w:r>
          </w:p>
        </w:tc>
        <w:tc>
          <w:tcPr>
            <w:tcW w:w="0" w:type="dxa"/>
          </w:tcPr>
          <w:p w14:paraId="36031487"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77% (74, 80)</w:t>
            </w:r>
          </w:p>
        </w:tc>
      </w:tr>
      <w:bookmarkEnd w:id="63"/>
      <w:tr w:rsidR="00187FCA" w:rsidRPr="00187FCA" w14:paraId="7C8A8B41"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75FB4E91" w14:textId="77777777" w:rsidR="000D6101" w:rsidRPr="003D02A1" w:rsidRDefault="000D6101" w:rsidP="00583A23">
            <w:pPr>
              <w:rPr>
                <w:b/>
                <w:color w:val="auto"/>
                <w:sz w:val="18"/>
                <w:szCs w:val="18"/>
              </w:rPr>
            </w:pPr>
            <w:r w:rsidRPr="003D02A1">
              <w:rPr>
                <w:rFonts w:cstheme="minorBidi"/>
                <w:b/>
                <w:sz w:val="18"/>
                <w:szCs w:val="18"/>
                <w:lang w:eastAsia="en-US"/>
              </w:rPr>
              <w:t>DDFS (DCO1: 27 MAR 2020)</w:t>
            </w:r>
          </w:p>
        </w:tc>
        <w:tc>
          <w:tcPr>
            <w:tcW w:w="0" w:type="dxa"/>
            <w:gridSpan w:val="2"/>
          </w:tcPr>
          <w:p w14:paraId="4502191F"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bCs/>
                <w:color w:val="auto"/>
                <w:sz w:val="18"/>
                <w:szCs w:val="18"/>
              </w:rPr>
            </w:pPr>
          </w:p>
        </w:tc>
      </w:tr>
      <w:tr w:rsidR="00187FCA" w:rsidRPr="00187FCA" w14:paraId="012A6863"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6A0D4A60" w14:textId="77777777" w:rsidR="000D6101" w:rsidRPr="003D02A1" w:rsidRDefault="000D6101" w:rsidP="00583A23">
            <w:pPr>
              <w:rPr>
                <w:b/>
                <w:color w:val="auto"/>
                <w:sz w:val="18"/>
                <w:szCs w:val="18"/>
              </w:rPr>
            </w:pPr>
            <w:r w:rsidRPr="003D02A1">
              <w:rPr>
                <w:rFonts w:cstheme="minorBidi"/>
                <w:b/>
                <w:sz w:val="18"/>
                <w:szCs w:val="18"/>
                <w:lang w:eastAsia="en-US"/>
              </w:rPr>
              <w:t>Events, n (%)</w:t>
            </w:r>
          </w:p>
        </w:tc>
        <w:tc>
          <w:tcPr>
            <w:tcW w:w="0" w:type="dxa"/>
          </w:tcPr>
          <w:p w14:paraId="1AEB3831"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89 (10%)</w:t>
            </w:r>
          </w:p>
        </w:tc>
        <w:tc>
          <w:tcPr>
            <w:tcW w:w="0" w:type="dxa"/>
          </w:tcPr>
          <w:p w14:paraId="4CD7782E"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152 (17%)</w:t>
            </w:r>
          </w:p>
        </w:tc>
      </w:tr>
      <w:tr w:rsidR="00187FCA" w:rsidRPr="00187FCA" w14:paraId="72C8B013"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52F3521D" w14:textId="77777777" w:rsidR="000D6101" w:rsidRPr="003D02A1" w:rsidRDefault="000D6101" w:rsidP="00583A23">
            <w:pPr>
              <w:rPr>
                <w:b/>
                <w:color w:val="auto"/>
                <w:sz w:val="18"/>
                <w:szCs w:val="18"/>
              </w:rPr>
            </w:pPr>
            <w:r w:rsidRPr="003D02A1">
              <w:rPr>
                <w:rFonts w:cstheme="minorBidi"/>
                <w:b/>
                <w:sz w:val="18"/>
                <w:szCs w:val="18"/>
                <w:lang w:eastAsia="en-US"/>
              </w:rPr>
              <w:t xml:space="preserve">HR </w:t>
            </w:r>
            <w:r w:rsidRPr="003D02A1">
              <w:rPr>
                <w:b/>
                <w:sz w:val="18"/>
                <w:szCs w:val="18"/>
                <w:vertAlign w:val="superscript"/>
              </w:rPr>
              <w:fldChar w:fldCharType="begin"/>
            </w:r>
            <w:r w:rsidRPr="003D02A1">
              <w:rPr>
                <w:rFonts w:cstheme="minorBidi"/>
                <w:b/>
                <w:sz w:val="18"/>
                <w:szCs w:val="18"/>
                <w:vertAlign w:val="superscript"/>
                <w:lang w:eastAsia="en-US"/>
              </w:rPr>
              <w:instrText xml:space="preserve"> REF _Ref125725565 \w \h  \* MERGEFORMAT </w:instrText>
            </w:r>
            <w:r w:rsidRPr="003D02A1">
              <w:rPr>
                <w:b/>
                <w:sz w:val="18"/>
                <w:szCs w:val="18"/>
                <w:vertAlign w:val="superscript"/>
              </w:rPr>
            </w:r>
            <w:r w:rsidRPr="003D02A1">
              <w:rPr>
                <w:b/>
                <w:sz w:val="18"/>
                <w:szCs w:val="18"/>
                <w:vertAlign w:val="superscript"/>
              </w:rPr>
              <w:fldChar w:fldCharType="separate"/>
            </w:r>
            <w:r w:rsidRPr="003D02A1">
              <w:rPr>
                <w:rFonts w:cstheme="minorBidi"/>
                <w:b/>
                <w:sz w:val="18"/>
                <w:szCs w:val="18"/>
                <w:vertAlign w:val="superscript"/>
                <w:lang w:eastAsia="en-US"/>
              </w:rPr>
              <w:t>b</w:t>
            </w:r>
            <w:r w:rsidRPr="003D02A1">
              <w:rPr>
                <w:b/>
                <w:sz w:val="18"/>
                <w:szCs w:val="18"/>
                <w:vertAlign w:val="superscript"/>
              </w:rPr>
              <w:fldChar w:fldCharType="end"/>
            </w:r>
            <w:r w:rsidRPr="003D02A1">
              <w:rPr>
                <w:rFonts w:cstheme="minorBidi"/>
                <w:b/>
                <w:sz w:val="18"/>
                <w:szCs w:val="18"/>
                <w:vertAlign w:val="superscript"/>
                <w:lang w:eastAsia="en-US"/>
              </w:rPr>
              <w:t xml:space="preserve"> </w:t>
            </w:r>
            <w:r w:rsidRPr="003D02A1">
              <w:rPr>
                <w:rFonts w:cstheme="minorBidi"/>
                <w:b/>
                <w:sz w:val="18"/>
                <w:szCs w:val="18"/>
                <w:lang w:eastAsia="en-US"/>
              </w:rPr>
              <w:t xml:space="preserve">(95% CI) </w:t>
            </w:r>
            <w:r w:rsidRPr="003D02A1">
              <w:rPr>
                <w:b/>
                <w:sz w:val="18"/>
                <w:szCs w:val="18"/>
                <w:vertAlign w:val="superscript"/>
              </w:rPr>
              <w:fldChar w:fldCharType="begin"/>
            </w:r>
            <w:r w:rsidRPr="003D02A1">
              <w:rPr>
                <w:rFonts w:cstheme="minorBidi"/>
                <w:b/>
                <w:sz w:val="18"/>
                <w:szCs w:val="18"/>
                <w:vertAlign w:val="superscript"/>
                <w:lang w:eastAsia="en-US"/>
              </w:rPr>
              <w:instrText xml:space="preserve"> REF _Ref125724085 \w \h  \* MERGEFORMAT </w:instrText>
            </w:r>
            <w:r w:rsidRPr="003D02A1">
              <w:rPr>
                <w:b/>
                <w:sz w:val="18"/>
                <w:szCs w:val="18"/>
                <w:vertAlign w:val="superscript"/>
              </w:rPr>
            </w:r>
            <w:r w:rsidRPr="003D02A1">
              <w:rPr>
                <w:b/>
                <w:sz w:val="18"/>
                <w:szCs w:val="18"/>
                <w:vertAlign w:val="superscript"/>
              </w:rPr>
              <w:fldChar w:fldCharType="separate"/>
            </w:r>
            <w:r w:rsidRPr="003D02A1">
              <w:rPr>
                <w:rFonts w:cstheme="minorBidi"/>
                <w:b/>
                <w:sz w:val="18"/>
                <w:szCs w:val="18"/>
                <w:vertAlign w:val="superscript"/>
                <w:lang w:eastAsia="en-US"/>
              </w:rPr>
              <w:t>c</w:t>
            </w:r>
            <w:r w:rsidRPr="003D02A1">
              <w:rPr>
                <w:b/>
                <w:sz w:val="18"/>
                <w:szCs w:val="18"/>
                <w:vertAlign w:val="superscript"/>
              </w:rPr>
              <w:fldChar w:fldCharType="end"/>
            </w:r>
          </w:p>
        </w:tc>
        <w:tc>
          <w:tcPr>
            <w:tcW w:w="0" w:type="dxa"/>
            <w:gridSpan w:val="2"/>
          </w:tcPr>
          <w:p w14:paraId="5BA20C8F"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0.57 (0.44, 0.74)</w:t>
            </w:r>
          </w:p>
        </w:tc>
      </w:tr>
      <w:tr w:rsidR="00187FCA" w:rsidRPr="00187FCA" w14:paraId="68755F8A"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1817B8D9" w14:textId="77777777" w:rsidR="000D6101" w:rsidRPr="003D02A1" w:rsidRDefault="000D6101" w:rsidP="00583A23">
            <w:pPr>
              <w:rPr>
                <w:b/>
                <w:color w:val="auto"/>
                <w:sz w:val="18"/>
                <w:szCs w:val="18"/>
              </w:rPr>
            </w:pPr>
            <w:r w:rsidRPr="003D02A1">
              <w:rPr>
                <w:rFonts w:cstheme="minorBidi"/>
                <w:b/>
                <w:sz w:val="18"/>
                <w:szCs w:val="18"/>
                <w:lang w:eastAsia="en-US"/>
              </w:rPr>
              <w:t xml:space="preserve">99.5% CI for the HR </w:t>
            </w:r>
            <w:r w:rsidRPr="003D02A1">
              <w:rPr>
                <w:b/>
                <w:sz w:val="18"/>
                <w:szCs w:val="18"/>
                <w:vertAlign w:val="superscript"/>
              </w:rPr>
              <w:fldChar w:fldCharType="begin"/>
            </w:r>
            <w:r w:rsidRPr="003D02A1">
              <w:rPr>
                <w:rFonts w:cstheme="minorBidi"/>
                <w:b/>
                <w:sz w:val="18"/>
                <w:szCs w:val="18"/>
                <w:vertAlign w:val="superscript"/>
                <w:lang w:eastAsia="en-US"/>
              </w:rPr>
              <w:instrText xml:space="preserve"> REF _Ref125724150 \w \h  \* MERGEFORMAT </w:instrText>
            </w:r>
            <w:r w:rsidRPr="003D02A1">
              <w:rPr>
                <w:b/>
                <w:sz w:val="18"/>
                <w:szCs w:val="18"/>
                <w:vertAlign w:val="superscript"/>
              </w:rPr>
            </w:r>
            <w:r w:rsidRPr="003D02A1">
              <w:rPr>
                <w:b/>
                <w:sz w:val="18"/>
                <w:szCs w:val="18"/>
                <w:vertAlign w:val="superscript"/>
              </w:rPr>
              <w:fldChar w:fldCharType="separate"/>
            </w:r>
            <w:r w:rsidRPr="003D02A1">
              <w:rPr>
                <w:rFonts w:cstheme="minorBidi"/>
                <w:b/>
                <w:sz w:val="18"/>
                <w:szCs w:val="18"/>
                <w:vertAlign w:val="superscript"/>
                <w:lang w:eastAsia="en-US"/>
              </w:rPr>
              <w:t>d</w:t>
            </w:r>
            <w:r w:rsidRPr="003D02A1">
              <w:rPr>
                <w:b/>
                <w:sz w:val="18"/>
                <w:szCs w:val="18"/>
                <w:vertAlign w:val="superscript"/>
              </w:rPr>
              <w:fldChar w:fldCharType="end"/>
            </w:r>
          </w:p>
        </w:tc>
        <w:tc>
          <w:tcPr>
            <w:tcW w:w="0" w:type="dxa"/>
            <w:gridSpan w:val="2"/>
          </w:tcPr>
          <w:p w14:paraId="611B1EB1"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0.39, 0.83</w:t>
            </w:r>
          </w:p>
        </w:tc>
      </w:tr>
      <w:tr w:rsidR="00187FCA" w:rsidRPr="00187FCA" w14:paraId="5CFDEF0A"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79DF18E8" w14:textId="77777777" w:rsidR="000D6101" w:rsidRPr="003D02A1" w:rsidRDefault="000D6101" w:rsidP="00583A23">
            <w:pPr>
              <w:rPr>
                <w:b/>
                <w:color w:val="auto"/>
                <w:sz w:val="18"/>
                <w:szCs w:val="18"/>
              </w:rPr>
            </w:pPr>
            <w:r w:rsidRPr="003D02A1">
              <w:rPr>
                <w:rFonts w:cstheme="minorBidi"/>
                <w:b/>
                <w:sz w:val="18"/>
                <w:szCs w:val="18"/>
                <w:lang w:eastAsia="en-US"/>
              </w:rPr>
              <w:t xml:space="preserve">p-value </w:t>
            </w:r>
            <w:r w:rsidRPr="003D02A1">
              <w:rPr>
                <w:b/>
                <w:sz w:val="18"/>
                <w:szCs w:val="18"/>
                <w:vertAlign w:val="superscript"/>
              </w:rPr>
              <w:fldChar w:fldCharType="begin"/>
            </w:r>
            <w:r w:rsidRPr="003D02A1">
              <w:rPr>
                <w:rFonts w:cstheme="minorBidi"/>
                <w:b/>
                <w:sz w:val="18"/>
                <w:szCs w:val="18"/>
                <w:vertAlign w:val="superscript"/>
                <w:lang w:eastAsia="en-US"/>
              </w:rPr>
              <w:instrText xml:space="preserve"> REF _Ref125724094 \w \h  \* MERGEFORMAT </w:instrText>
            </w:r>
            <w:r w:rsidRPr="003D02A1">
              <w:rPr>
                <w:b/>
                <w:sz w:val="18"/>
                <w:szCs w:val="18"/>
                <w:vertAlign w:val="superscript"/>
              </w:rPr>
            </w:r>
            <w:r w:rsidRPr="003D02A1">
              <w:rPr>
                <w:b/>
                <w:sz w:val="18"/>
                <w:szCs w:val="18"/>
                <w:vertAlign w:val="superscript"/>
              </w:rPr>
              <w:fldChar w:fldCharType="separate"/>
            </w:r>
            <w:r w:rsidRPr="003D02A1">
              <w:rPr>
                <w:rFonts w:cstheme="minorBidi"/>
                <w:b/>
                <w:sz w:val="18"/>
                <w:szCs w:val="18"/>
                <w:vertAlign w:val="superscript"/>
                <w:lang w:eastAsia="en-US"/>
              </w:rPr>
              <w:t>e</w:t>
            </w:r>
            <w:r w:rsidRPr="003D02A1">
              <w:rPr>
                <w:b/>
                <w:sz w:val="18"/>
                <w:szCs w:val="18"/>
                <w:vertAlign w:val="superscript"/>
              </w:rPr>
              <w:fldChar w:fldCharType="end"/>
            </w:r>
          </w:p>
        </w:tc>
        <w:tc>
          <w:tcPr>
            <w:tcW w:w="0" w:type="dxa"/>
            <w:gridSpan w:val="2"/>
          </w:tcPr>
          <w:p w14:paraId="7ECB6C12"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0.0000257</w:t>
            </w:r>
          </w:p>
        </w:tc>
      </w:tr>
      <w:tr w:rsidR="00187FCA" w:rsidRPr="00187FCA" w14:paraId="33B90004"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14C84042" w14:textId="77777777" w:rsidR="000D6101" w:rsidRPr="003D02A1" w:rsidRDefault="000D6101" w:rsidP="00583A23">
            <w:pPr>
              <w:rPr>
                <w:b/>
                <w:color w:val="auto"/>
                <w:sz w:val="18"/>
                <w:szCs w:val="18"/>
              </w:rPr>
            </w:pPr>
            <w:r w:rsidRPr="003D02A1">
              <w:rPr>
                <w:rFonts w:cstheme="minorBidi"/>
                <w:b/>
                <w:sz w:val="18"/>
                <w:szCs w:val="18"/>
                <w:lang w:eastAsia="en-US"/>
              </w:rPr>
              <w:t xml:space="preserve">Percentage (95% CI) of patients free of invasive disease rate at: </w:t>
            </w:r>
          </w:p>
        </w:tc>
        <w:tc>
          <w:tcPr>
            <w:tcW w:w="0" w:type="dxa"/>
            <w:gridSpan w:val="2"/>
          </w:tcPr>
          <w:p w14:paraId="6155CD7C"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187FCA" w:rsidRPr="00187FCA" w14:paraId="4BC4D8D7"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5B42577E" w14:textId="77777777" w:rsidR="000D6101" w:rsidRPr="003D02A1" w:rsidRDefault="000D6101" w:rsidP="00583A23">
            <w:pPr>
              <w:rPr>
                <w:b/>
                <w:color w:val="auto"/>
                <w:sz w:val="18"/>
                <w:szCs w:val="18"/>
              </w:rPr>
            </w:pPr>
            <w:r w:rsidRPr="003D02A1">
              <w:rPr>
                <w:rFonts w:cstheme="minorBidi"/>
                <w:b/>
                <w:sz w:val="18"/>
                <w:szCs w:val="18"/>
                <w:lang w:eastAsia="en-US"/>
              </w:rPr>
              <w:t>1 year</w:t>
            </w:r>
          </w:p>
        </w:tc>
        <w:tc>
          <w:tcPr>
            <w:tcW w:w="0" w:type="dxa"/>
          </w:tcPr>
          <w:p w14:paraId="1B2365E7"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94% (92, 96)</w:t>
            </w:r>
          </w:p>
        </w:tc>
        <w:tc>
          <w:tcPr>
            <w:tcW w:w="0" w:type="dxa"/>
          </w:tcPr>
          <w:p w14:paraId="3808FC53"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90% (88, 92)</w:t>
            </w:r>
          </w:p>
        </w:tc>
      </w:tr>
      <w:tr w:rsidR="00187FCA" w:rsidRPr="00187FCA" w14:paraId="38C02D16"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59BF7E08" w14:textId="77777777" w:rsidR="000D6101" w:rsidRPr="003D02A1" w:rsidRDefault="000D6101" w:rsidP="00583A23">
            <w:pPr>
              <w:rPr>
                <w:b/>
                <w:color w:val="auto"/>
                <w:sz w:val="18"/>
                <w:szCs w:val="18"/>
              </w:rPr>
            </w:pPr>
            <w:r w:rsidRPr="003D02A1">
              <w:rPr>
                <w:rFonts w:cstheme="minorBidi"/>
                <w:b/>
                <w:sz w:val="18"/>
                <w:szCs w:val="18"/>
                <w:lang w:eastAsia="en-US"/>
              </w:rPr>
              <w:t>2 years</w:t>
            </w:r>
          </w:p>
        </w:tc>
        <w:tc>
          <w:tcPr>
            <w:tcW w:w="0" w:type="dxa"/>
          </w:tcPr>
          <w:p w14:paraId="2252CF27"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90% (88, 92)</w:t>
            </w:r>
          </w:p>
        </w:tc>
        <w:tc>
          <w:tcPr>
            <w:tcW w:w="0" w:type="dxa"/>
          </w:tcPr>
          <w:p w14:paraId="5DE1C144"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84% (81, 86)</w:t>
            </w:r>
          </w:p>
        </w:tc>
      </w:tr>
      <w:tr w:rsidR="00187FCA" w:rsidRPr="00187FCA" w14:paraId="6E7BC57B"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3F8E8799" w14:textId="77777777" w:rsidR="000D6101" w:rsidRPr="003D02A1" w:rsidRDefault="000D6101" w:rsidP="00583A23">
            <w:pPr>
              <w:rPr>
                <w:b/>
                <w:color w:val="auto"/>
                <w:sz w:val="18"/>
                <w:szCs w:val="18"/>
              </w:rPr>
            </w:pPr>
            <w:r w:rsidRPr="003D02A1">
              <w:rPr>
                <w:rFonts w:cstheme="minorBidi"/>
                <w:b/>
                <w:sz w:val="18"/>
                <w:szCs w:val="18"/>
                <w:lang w:eastAsia="en-US"/>
              </w:rPr>
              <w:t>3 years</w:t>
            </w:r>
          </w:p>
        </w:tc>
        <w:tc>
          <w:tcPr>
            <w:tcW w:w="0" w:type="dxa"/>
          </w:tcPr>
          <w:p w14:paraId="59F4D3EB"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87% (85, 90)</w:t>
            </w:r>
          </w:p>
        </w:tc>
        <w:tc>
          <w:tcPr>
            <w:tcW w:w="0" w:type="dxa"/>
          </w:tcPr>
          <w:p w14:paraId="2072C852"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80% (77, 83)</w:t>
            </w:r>
          </w:p>
        </w:tc>
      </w:tr>
      <w:tr w:rsidR="00187FCA" w:rsidRPr="00C757AE" w14:paraId="08EF4D1F"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1D53FBC4" w14:textId="77777777" w:rsidR="000D6101" w:rsidRPr="003D02A1" w:rsidRDefault="000D6101" w:rsidP="00583A23">
            <w:pPr>
              <w:rPr>
                <w:b/>
                <w:color w:val="auto"/>
                <w:sz w:val="18"/>
                <w:szCs w:val="18"/>
                <w:lang w:val="sv-SE"/>
              </w:rPr>
            </w:pPr>
            <w:r w:rsidRPr="003D02A1">
              <w:rPr>
                <w:rFonts w:cstheme="minorBidi"/>
                <w:b/>
                <w:sz w:val="18"/>
                <w:szCs w:val="18"/>
                <w:lang w:val="sv-SE" w:eastAsia="en-US"/>
              </w:rPr>
              <w:t>OS at 2</w:t>
            </w:r>
            <w:r w:rsidRPr="003D02A1">
              <w:rPr>
                <w:rFonts w:cstheme="minorBidi"/>
                <w:b/>
                <w:sz w:val="18"/>
                <w:szCs w:val="18"/>
                <w:vertAlign w:val="superscript"/>
                <w:lang w:val="sv-SE" w:eastAsia="en-US"/>
              </w:rPr>
              <w:t>nd</w:t>
            </w:r>
            <w:r w:rsidRPr="003D02A1">
              <w:rPr>
                <w:rFonts w:cstheme="minorBidi"/>
                <w:b/>
                <w:sz w:val="18"/>
                <w:szCs w:val="18"/>
                <w:lang w:val="sv-SE" w:eastAsia="en-US"/>
              </w:rPr>
              <w:t xml:space="preserve"> interim analysis</w:t>
            </w:r>
            <w:r w:rsidRPr="003D02A1">
              <w:rPr>
                <w:rFonts w:cstheme="minorBidi"/>
                <w:b/>
                <w:color w:val="auto"/>
                <w:sz w:val="18"/>
                <w:szCs w:val="18"/>
                <w:lang w:val="sv-SE" w:eastAsia="en-US"/>
              </w:rPr>
              <w:t xml:space="preserve"> </w:t>
            </w:r>
            <w:r w:rsidRPr="003D02A1">
              <w:rPr>
                <w:rFonts w:cstheme="minorBidi"/>
                <w:b/>
                <w:sz w:val="18"/>
                <w:szCs w:val="18"/>
                <w:lang w:val="sv-SE" w:eastAsia="en-US"/>
              </w:rPr>
              <w:t>(DCO2: 12 JUL 2021)</w:t>
            </w:r>
            <w:r w:rsidRPr="003D02A1">
              <w:rPr>
                <w:rFonts w:cstheme="minorBidi"/>
                <w:b/>
                <w:sz w:val="18"/>
                <w:szCs w:val="18"/>
                <w:vertAlign w:val="superscript"/>
                <w:lang w:val="sv-SE" w:eastAsia="en-US"/>
              </w:rPr>
              <w:t xml:space="preserve"> g</w:t>
            </w:r>
          </w:p>
        </w:tc>
        <w:tc>
          <w:tcPr>
            <w:tcW w:w="0" w:type="dxa"/>
            <w:gridSpan w:val="2"/>
          </w:tcPr>
          <w:p w14:paraId="39EE6040" w14:textId="77777777" w:rsidR="000D6101" w:rsidRPr="00C757AE" w:rsidRDefault="000D6101" w:rsidP="00583A23">
            <w:pPr>
              <w:cnfStyle w:val="000000000000" w:firstRow="0" w:lastRow="0" w:firstColumn="0" w:lastColumn="0" w:oddVBand="0" w:evenVBand="0" w:oddHBand="0" w:evenHBand="0" w:firstRowFirstColumn="0" w:firstRowLastColumn="0" w:lastRowFirstColumn="0" w:lastRowLastColumn="0"/>
              <w:rPr>
                <w:bCs/>
                <w:color w:val="auto"/>
                <w:sz w:val="18"/>
                <w:szCs w:val="18"/>
                <w:lang w:val="sv-SE"/>
              </w:rPr>
            </w:pPr>
          </w:p>
        </w:tc>
      </w:tr>
      <w:tr w:rsidR="00187FCA" w:rsidRPr="00187FCA" w14:paraId="2C692CEB"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5F6E57E1" w14:textId="77777777" w:rsidR="000D6101" w:rsidRPr="003D02A1" w:rsidRDefault="000D6101" w:rsidP="00583A23">
            <w:pPr>
              <w:rPr>
                <w:b/>
                <w:color w:val="auto"/>
                <w:sz w:val="18"/>
                <w:szCs w:val="18"/>
              </w:rPr>
            </w:pPr>
            <w:r w:rsidRPr="003D02A1">
              <w:rPr>
                <w:rFonts w:cstheme="minorBidi"/>
                <w:b/>
                <w:sz w:val="18"/>
                <w:szCs w:val="18"/>
                <w:lang w:eastAsia="en-US"/>
              </w:rPr>
              <w:lastRenderedPageBreak/>
              <w:t>Deaths, n (%)</w:t>
            </w:r>
          </w:p>
        </w:tc>
        <w:tc>
          <w:tcPr>
            <w:tcW w:w="0" w:type="dxa"/>
          </w:tcPr>
          <w:p w14:paraId="272E46BB"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75 (8%)</w:t>
            </w:r>
          </w:p>
        </w:tc>
        <w:tc>
          <w:tcPr>
            <w:tcW w:w="0" w:type="dxa"/>
          </w:tcPr>
          <w:p w14:paraId="355C2E4E"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109 (12%)</w:t>
            </w:r>
          </w:p>
        </w:tc>
      </w:tr>
      <w:tr w:rsidR="00187FCA" w:rsidRPr="00187FCA" w14:paraId="1FD9205F"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59ED1141" w14:textId="77777777" w:rsidR="000D6101" w:rsidRPr="003D02A1" w:rsidRDefault="000D6101" w:rsidP="00583A23">
            <w:pPr>
              <w:rPr>
                <w:b/>
                <w:color w:val="auto"/>
                <w:sz w:val="18"/>
                <w:szCs w:val="18"/>
              </w:rPr>
            </w:pPr>
            <w:r w:rsidRPr="003D02A1">
              <w:rPr>
                <w:rFonts w:cstheme="minorBidi"/>
                <w:b/>
                <w:sz w:val="18"/>
                <w:szCs w:val="18"/>
                <w:lang w:eastAsia="en-US"/>
              </w:rPr>
              <w:t xml:space="preserve">HR </w:t>
            </w:r>
            <w:r w:rsidRPr="003D02A1">
              <w:rPr>
                <w:b/>
                <w:sz w:val="18"/>
                <w:szCs w:val="18"/>
                <w:vertAlign w:val="superscript"/>
              </w:rPr>
              <w:fldChar w:fldCharType="begin"/>
            </w:r>
            <w:r w:rsidRPr="003D02A1">
              <w:rPr>
                <w:rFonts w:cstheme="minorBidi"/>
                <w:b/>
                <w:sz w:val="18"/>
                <w:szCs w:val="18"/>
                <w:vertAlign w:val="superscript"/>
                <w:lang w:eastAsia="en-US"/>
              </w:rPr>
              <w:instrText xml:space="preserve"> REF _Ref125725565 \w \h  \* MERGEFORMAT </w:instrText>
            </w:r>
            <w:r w:rsidRPr="003D02A1">
              <w:rPr>
                <w:b/>
                <w:sz w:val="18"/>
                <w:szCs w:val="18"/>
                <w:vertAlign w:val="superscript"/>
              </w:rPr>
            </w:r>
            <w:r w:rsidRPr="003D02A1">
              <w:rPr>
                <w:b/>
                <w:sz w:val="18"/>
                <w:szCs w:val="18"/>
                <w:vertAlign w:val="superscript"/>
              </w:rPr>
              <w:fldChar w:fldCharType="separate"/>
            </w:r>
            <w:r w:rsidRPr="003D02A1">
              <w:rPr>
                <w:rFonts w:cstheme="minorBidi"/>
                <w:b/>
                <w:sz w:val="18"/>
                <w:szCs w:val="18"/>
                <w:vertAlign w:val="superscript"/>
                <w:lang w:eastAsia="en-US"/>
              </w:rPr>
              <w:t>b</w:t>
            </w:r>
            <w:r w:rsidRPr="003D02A1">
              <w:rPr>
                <w:b/>
                <w:sz w:val="18"/>
                <w:szCs w:val="18"/>
                <w:vertAlign w:val="superscript"/>
              </w:rPr>
              <w:fldChar w:fldCharType="end"/>
            </w:r>
            <w:r w:rsidRPr="003D02A1">
              <w:rPr>
                <w:rFonts w:cstheme="minorBidi"/>
                <w:b/>
                <w:sz w:val="18"/>
                <w:szCs w:val="18"/>
                <w:vertAlign w:val="superscript"/>
                <w:lang w:eastAsia="en-US"/>
              </w:rPr>
              <w:t xml:space="preserve"> </w:t>
            </w:r>
            <w:r w:rsidRPr="003D02A1">
              <w:rPr>
                <w:rFonts w:cstheme="minorBidi"/>
                <w:b/>
                <w:sz w:val="18"/>
                <w:szCs w:val="18"/>
                <w:lang w:eastAsia="en-US"/>
              </w:rPr>
              <w:t xml:space="preserve">(95% CI) </w:t>
            </w:r>
            <w:r w:rsidRPr="003D02A1">
              <w:rPr>
                <w:b/>
                <w:sz w:val="18"/>
                <w:szCs w:val="18"/>
                <w:vertAlign w:val="superscript"/>
              </w:rPr>
              <w:fldChar w:fldCharType="begin"/>
            </w:r>
            <w:r w:rsidRPr="003D02A1">
              <w:rPr>
                <w:rFonts w:cstheme="minorBidi"/>
                <w:b/>
                <w:sz w:val="18"/>
                <w:szCs w:val="18"/>
                <w:vertAlign w:val="superscript"/>
                <w:lang w:eastAsia="en-US"/>
              </w:rPr>
              <w:instrText xml:space="preserve"> REF _Ref125724085 \w \h  \* MERGEFORMAT </w:instrText>
            </w:r>
            <w:r w:rsidRPr="003D02A1">
              <w:rPr>
                <w:b/>
                <w:sz w:val="18"/>
                <w:szCs w:val="18"/>
                <w:vertAlign w:val="superscript"/>
              </w:rPr>
            </w:r>
            <w:r w:rsidRPr="003D02A1">
              <w:rPr>
                <w:b/>
                <w:sz w:val="18"/>
                <w:szCs w:val="18"/>
                <w:vertAlign w:val="superscript"/>
              </w:rPr>
              <w:fldChar w:fldCharType="separate"/>
            </w:r>
            <w:r w:rsidRPr="003D02A1">
              <w:rPr>
                <w:rFonts w:cstheme="minorBidi"/>
                <w:b/>
                <w:sz w:val="18"/>
                <w:szCs w:val="18"/>
                <w:vertAlign w:val="superscript"/>
                <w:lang w:eastAsia="en-US"/>
              </w:rPr>
              <w:t>c</w:t>
            </w:r>
            <w:r w:rsidRPr="003D02A1">
              <w:rPr>
                <w:b/>
                <w:sz w:val="18"/>
                <w:szCs w:val="18"/>
                <w:vertAlign w:val="superscript"/>
              </w:rPr>
              <w:fldChar w:fldCharType="end"/>
            </w:r>
          </w:p>
        </w:tc>
        <w:tc>
          <w:tcPr>
            <w:tcW w:w="0" w:type="dxa"/>
            <w:gridSpan w:val="2"/>
          </w:tcPr>
          <w:p w14:paraId="76BBDB4D"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0.68 (0.50, 0.91)</w:t>
            </w:r>
          </w:p>
        </w:tc>
      </w:tr>
      <w:tr w:rsidR="00187FCA" w:rsidRPr="00187FCA" w14:paraId="18115ED7"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67BB98AD" w14:textId="77777777" w:rsidR="000D6101" w:rsidRPr="003D02A1" w:rsidRDefault="000D6101" w:rsidP="00583A23">
            <w:pPr>
              <w:rPr>
                <w:b/>
                <w:color w:val="auto"/>
                <w:sz w:val="18"/>
                <w:szCs w:val="18"/>
              </w:rPr>
            </w:pPr>
            <w:r w:rsidRPr="003D02A1">
              <w:rPr>
                <w:rFonts w:cstheme="minorBidi"/>
                <w:b/>
                <w:sz w:val="18"/>
                <w:szCs w:val="18"/>
                <w:lang w:eastAsia="en-US"/>
              </w:rPr>
              <w:t xml:space="preserve">98.5% CI for the HR </w:t>
            </w:r>
            <w:r w:rsidRPr="003D02A1">
              <w:rPr>
                <w:b/>
                <w:sz w:val="18"/>
                <w:szCs w:val="18"/>
                <w:vertAlign w:val="superscript"/>
              </w:rPr>
              <w:fldChar w:fldCharType="begin"/>
            </w:r>
            <w:r w:rsidRPr="003D02A1">
              <w:rPr>
                <w:rFonts w:cstheme="minorBidi"/>
                <w:b/>
                <w:sz w:val="18"/>
                <w:szCs w:val="18"/>
                <w:vertAlign w:val="superscript"/>
                <w:lang w:eastAsia="en-US"/>
              </w:rPr>
              <w:instrText xml:space="preserve"> REF _Ref125724150 \w \h  \* MERGEFORMAT </w:instrText>
            </w:r>
            <w:r w:rsidRPr="003D02A1">
              <w:rPr>
                <w:b/>
                <w:sz w:val="18"/>
                <w:szCs w:val="18"/>
                <w:vertAlign w:val="superscript"/>
              </w:rPr>
            </w:r>
            <w:r w:rsidRPr="003D02A1">
              <w:rPr>
                <w:b/>
                <w:sz w:val="18"/>
                <w:szCs w:val="18"/>
                <w:vertAlign w:val="superscript"/>
              </w:rPr>
              <w:fldChar w:fldCharType="separate"/>
            </w:r>
            <w:r w:rsidRPr="003D02A1">
              <w:rPr>
                <w:rFonts w:cstheme="minorBidi"/>
                <w:b/>
                <w:sz w:val="18"/>
                <w:szCs w:val="18"/>
                <w:vertAlign w:val="superscript"/>
                <w:lang w:eastAsia="en-US"/>
              </w:rPr>
              <w:t>d</w:t>
            </w:r>
            <w:r w:rsidRPr="003D02A1">
              <w:rPr>
                <w:b/>
                <w:sz w:val="18"/>
                <w:szCs w:val="18"/>
                <w:vertAlign w:val="superscript"/>
              </w:rPr>
              <w:fldChar w:fldCharType="end"/>
            </w:r>
          </w:p>
        </w:tc>
        <w:tc>
          <w:tcPr>
            <w:tcW w:w="0" w:type="dxa"/>
            <w:gridSpan w:val="2"/>
          </w:tcPr>
          <w:p w14:paraId="22DD1F95"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0.47, 0.97</w:t>
            </w:r>
          </w:p>
        </w:tc>
      </w:tr>
      <w:tr w:rsidR="00187FCA" w:rsidRPr="00187FCA" w14:paraId="0D0A5F74"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6D700B0F" w14:textId="77777777" w:rsidR="000D6101" w:rsidRPr="003D02A1" w:rsidRDefault="000D6101" w:rsidP="00583A23">
            <w:pPr>
              <w:rPr>
                <w:b/>
                <w:color w:val="auto"/>
                <w:sz w:val="18"/>
                <w:szCs w:val="18"/>
              </w:rPr>
            </w:pPr>
            <w:r w:rsidRPr="003D02A1">
              <w:rPr>
                <w:rFonts w:cstheme="minorBidi"/>
                <w:b/>
                <w:sz w:val="18"/>
                <w:szCs w:val="18"/>
                <w:lang w:eastAsia="en-US"/>
              </w:rPr>
              <w:t xml:space="preserve">p-value </w:t>
            </w:r>
            <w:r w:rsidRPr="003D02A1">
              <w:rPr>
                <w:rFonts w:cstheme="minorBidi"/>
                <w:b/>
                <w:sz w:val="18"/>
                <w:szCs w:val="18"/>
                <w:vertAlign w:val="superscript"/>
                <w:lang w:eastAsia="en-US"/>
              </w:rPr>
              <w:t>h</w:t>
            </w:r>
          </w:p>
        </w:tc>
        <w:tc>
          <w:tcPr>
            <w:tcW w:w="0" w:type="dxa"/>
            <w:gridSpan w:val="2"/>
          </w:tcPr>
          <w:p w14:paraId="7E653E0C"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0.0091</w:t>
            </w:r>
          </w:p>
        </w:tc>
      </w:tr>
      <w:tr w:rsidR="00187FCA" w:rsidRPr="00187FCA" w14:paraId="1A1DA52F"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61FC99D0" w14:textId="77777777" w:rsidR="000D6101" w:rsidRPr="003D02A1" w:rsidRDefault="000D6101" w:rsidP="00583A23">
            <w:pPr>
              <w:rPr>
                <w:b/>
                <w:color w:val="auto"/>
                <w:sz w:val="18"/>
                <w:szCs w:val="18"/>
              </w:rPr>
            </w:pPr>
            <w:r w:rsidRPr="003D02A1">
              <w:rPr>
                <w:rFonts w:cstheme="minorBidi"/>
                <w:b/>
                <w:sz w:val="18"/>
                <w:szCs w:val="18"/>
                <w:lang w:eastAsia="en-US"/>
              </w:rPr>
              <w:t xml:space="preserve">Percentage (95% CI) of patients alive at: </w:t>
            </w:r>
          </w:p>
        </w:tc>
        <w:tc>
          <w:tcPr>
            <w:tcW w:w="0" w:type="dxa"/>
            <w:gridSpan w:val="2"/>
          </w:tcPr>
          <w:p w14:paraId="32A5B501"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187FCA" w:rsidRPr="00187FCA" w14:paraId="5CE33204"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7E56A9ED" w14:textId="77777777" w:rsidR="000D6101" w:rsidRPr="003D02A1" w:rsidRDefault="000D6101" w:rsidP="00583A23">
            <w:pPr>
              <w:rPr>
                <w:b/>
                <w:color w:val="auto"/>
                <w:sz w:val="18"/>
                <w:szCs w:val="18"/>
              </w:rPr>
            </w:pPr>
            <w:r w:rsidRPr="003D02A1">
              <w:rPr>
                <w:rFonts w:cstheme="minorBidi"/>
                <w:b/>
                <w:sz w:val="18"/>
                <w:szCs w:val="18"/>
                <w:lang w:eastAsia="en-US"/>
              </w:rPr>
              <w:t>1 year</w:t>
            </w:r>
          </w:p>
        </w:tc>
        <w:tc>
          <w:tcPr>
            <w:tcW w:w="0" w:type="dxa"/>
          </w:tcPr>
          <w:p w14:paraId="5DC1EF98"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98% (97, 99)</w:t>
            </w:r>
          </w:p>
        </w:tc>
        <w:tc>
          <w:tcPr>
            <w:tcW w:w="0" w:type="dxa"/>
          </w:tcPr>
          <w:p w14:paraId="741175DA"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97 (96, 98)</w:t>
            </w:r>
          </w:p>
        </w:tc>
      </w:tr>
      <w:tr w:rsidR="00187FCA" w:rsidRPr="00187FCA" w14:paraId="2420510E"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1302AD2E" w14:textId="77777777" w:rsidR="000D6101" w:rsidRPr="003D02A1" w:rsidRDefault="000D6101" w:rsidP="00583A23">
            <w:pPr>
              <w:rPr>
                <w:b/>
                <w:color w:val="auto"/>
                <w:sz w:val="18"/>
                <w:szCs w:val="18"/>
              </w:rPr>
            </w:pPr>
            <w:r w:rsidRPr="003D02A1">
              <w:rPr>
                <w:rFonts w:cstheme="minorBidi"/>
                <w:b/>
                <w:sz w:val="18"/>
                <w:szCs w:val="18"/>
                <w:lang w:eastAsia="en-US"/>
              </w:rPr>
              <w:t>2 years</w:t>
            </w:r>
          </w:p>
        </w:tc>
        <w:tc>
          <w:tcPr>
            <w:tcW w:w="0" w:type="dxa"/>
          </w:tcPr>
          <w:p w14:paraId="68BA7C80"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95% (93, 96)</w:t>
            </w:r>
          </w:p>
        </w:tc>
        <w:tc>
          <w:tcPr>
            <w:tcW w:w="0" w:type="dxa"/>
          </w:tcPr>
          <w:p w14:paraId="55471C95"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93% (91, 94)</w:t>
            </w:r>
          </w:p>
        </w:tc>
      </w:tr>
      <w:tr w:rsidR="00187FCA" w:rsidRPr="00187FCA" w14:paraId="092C6D42"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06D24029" w14:textId="77777777" w:rsidR="000D6101" w:rsidRPr="003D02A1" w:rsidRDefault="000D6101" w:rsidP="00583A23">
            <w:pPr>
              <w:rPr>
                <w:b/>
                <w:color w:val="auto"/>
                <w:sz w:val="18"/>
                <w:szCs w:val="18"/>
              </w:rPr>
            </w:pPr>
            <w:r w:rsidRPr="003D02A1">
              <w:rPr>
                <w:rFonts w:cstheme="minorBidi"/>
                <w:b/>
                <w:sz w:val="18"/>
                <w:szCs w:val="18"/>
                <w:lang w:eastAsia="en-US"/>
              </w:rPr>
              <w:t>3 years</w:t>
            </w:r>
          </w:p>
        </w:tc>
        <w:tc>
          <w:tcPr>
            <w:tcW w:w="0" w:type="dxa"/>
          </w:tcPr>
          <w:p w14:paraId="4AF40F9A"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93% (91, 94)</w:t>
            </w:r>
          </w:p>
        </w:tc>
        <w:tc>
          <w:tcPr>
            <w:tcW w:w="0" w:type="dxa"/>
          </w:tcPr>
          <w:p w14:paraId="10077551"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89% (87, 91)</w:t>
            </w:r>
          </w:p>
        </w:tc>
      </w:tr>
      <w:tr w:rsidR="00187FCA" w:rsidRPr="00187FCA" w14:paraId="6E55C773" w14:textId="77777777" w:rsidTr="008A1D19">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086845BC" w14:textId="77777777" w:rsidR="000D6101" w:rsidRPr="003D02A1" w:rsidRDefault="000D6101" w:rsidP="00583A23">
            <w:pPr>
              <w:rPr>
                <w:b/>
                <w:color w:val="auto"/>
                <w:sz w:val="18"/>
                <w:szCs w:val="18"/>
              </w:rPr>
            </w:pPr>
            <w:r w:rsidRPr="003D02A1">
              <w:rPr>
                <w:rFonts w:cstheme="minorBidi"/>
                <w:b/>
                <w:sz w:val="18"/>
                <w:szCs w:val="18"/>
                <w:lang w:eastAsia="en-US"/>
              </w:rPr>
              <w:t>4 years</w:t>
            </w:r>
          </w:p>
        </w:tc>
        <w:tc>
          <w:tcPr>
            <w:tcW w:w="0" w:type="dxa"/>
          </w:tcPr>
          <w:p w14:paraId="2347FF16"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90% (87, 92)</w:t>
            </w:r>
          </w:p>
        </w:tc>
        <w:tc>
          <w:tcPr>
            <w:tcW w:w="0" w:type="dxa"/>
          </w:tcPr>
          <w:p w14:paraId="1C11B4E7" w14:textId="77777777" w:rsidR="000D6101" w:rsidRPr="00583A23" w:rsidRDefault="000D6101" w:rsidP="00583A23">
            <w:pPr>
              <w:cnfStyle w:val="000000000000" w:firstRow="0" w:lastRow="0" w:firstColumn="0" w:lastColumn="0" w:oddVBand="0" w:evenVBand="0" w:oddHBand="0" w:evenHBand="0" w:firstRowFirstColumn="0" w:firstRowLastColumn="0" w:lastRowFirstColumn="0" w:lastRowLastColumn="0"/>
              <w:rPr>
                <w:color w:val="auto"/>
                <w:sz w:val="18"/>
                <w:szCs w:val="18"/>
              </w:rPr>
            </w:pPr>
            <w:r w:rsidRPr="00583A23">
              <w:rPr>
                <w:rFonts w:cstheme="minorBidi"/>
                <w:sz w:val="18"/>
                <w:szCs w:val="18"/>
                <w:lang w:eastAsia="en-US"/>
              </w:rPr>
              <w:t>86% (84, 89)</w:t>
            </w:r>
          </w:p>
        </w:tc>
      </w:tr>
    </w:tbl>
    <w:p w14:paraId="6BD17632" w14:textId="77777777" w:rsidR="000D6101" w:rsidRPr="00E2403B" w:rsidRDefault="000D6101" w:rsidP="0087091C">
      <w:pPr>
        <w:pStyle w:val="TableDescription"/>
        <w:rPr>
          <w:color w:val="FF0000"/>
        </w:rPr>
      </w:pPr>
      <w:r w:rsidRPr="00E91EAE">
        <w:t xml:space="preserve">CI = confidence interval; </w:t>
      </w:r>
      <w:r w:rsidRPr="009F275C">
        <w:t xml:space="preserve">DCO = data cut-off; </w:t>
      </w:r>
      <w:r w:rsidRPr="002B62A0">
        <w:t xml:space="preserve">FAS = full analysis set; </w:t>
      </w:r>
      <w:r w:rsidRPr="00E91EAE">
        <w:t>HR = hazard ratio;</w:t>
      </w:r>
      <w:r>
        <w:t xml:space="preserve"> IDFS = invasive disease-free survival;</w:t>
      </w:r>
      <w:r w:rsidRPr="00E91EAE">
        <w:t xml:space="preserve"> </w:t>
      </w:r>
      <w:r w:rsidRPr="007919F7">
        <w:t>OS = overall survival</w:t>
      </w:r>
    </w:p>
    <w:p w14:paraId="5DB039E6" w14:textId="77777777" w:rsidR="000D6101" w:rsidRDefault="000D6101" w:rsidP="0087091C">
      <w:pPr>
        <w:pStyle w:val="TableDescription"/>
      </w:pPr>
      <w:bookmarkStart w:id="65" w:name="_Ref125725595"/>
      <w:bookmarkStart w:id="66" w:name="_Ref125724071"/>
      <w:r>
        <w:t>M</w:t>
      </w:r>
      <w:r w:rsidRPr="00635FCA">
        <w:t>edian duration of follow-up</w:t>
      </w:r>
      <w:r>
        <w:t xml:space="preserve"> (</w:t>
      </w:r>
      <w:r w:rsidRPr="009F275C">
        <w:t>calculated using the reverse censoring method</w:t>
      </w:r>
      <w:r>
        <w:t xml:space="preserve">): </w:t>
      </w:r>
      <w:r w:rsidRPr="00635FCA">
        <w:t>2.3 years in the olaparib arm and 2.5 years in the placebo arm</w:t>
      </w:r>
      <w:r>
        <w:t>. IDFS data at 16% maturity.</w:t>
      </w:r>
    </w:p>
    <w:p w14:paraId="4CAA0F62" w14:textId="77777777" w:rsidR="000D6101" w:rsidRPr="00635FCA" w:rsidRDefault="000D6101" w:rsidP="0087091C">
      <w:pPr>
        <w:pStyle w:val="TableDescription"/>
      </w:pPr>
      <w:bookmarkStart w:id="67" w:name="_Ref125725565"/>
      <w:bookmarkEnd w:id="65"/>
      <w:r w:rsidRPr="00635FCA">
        <w:t>Cox proportional hazards model stratified by chemotherapy type (2 levels: adjuvant versus neoadjuvant), hormone receptor status (2 levels: ER and/or PR positive, HER2 negative versus TNBC), and prior platinum therapy (2 levels: yes versus no). Stratification factors were based upon the categories used in the randomisation system and were chosen by pooling strategy. Once the pooling strategy was applied, only the hormone receptor status stratification factor was selected.</w:t>
      </w:r>
      <w:bookmarkEnd w:id="66"/>
      <w:bookmarkEnd w:id="67"/>
    </w:p>
    <w:p w14:paraId="331D12D8" w14:textId="77777777" w:rsidR="000D6101" w:rsidRPr="00635FCA" w:rsidRDefault="000D6101" w:rsidP="0087091C">
      <w:pPr>
        <w:pStyle w:val="TableDescription"/>
      </w:pPr>
      <w:bookmarkStart w:id="68" w:name="_Ref125724085"/>
      <w:bookmarkStart w:id="69" w:name="_Ref125723999"/>
      <w:r w:rsidRPr="00635FCA">
        <w:t>Exploratory, estimated using the profile likelihood approach.</w:t>
      </w:r>
      <w:bookmarkEnd w:id="68"/>
    </w:p>
    <w:p w14:paraId="7D68C60D" w14:textId="77777777" w:rsidR="000D6101" w:rsidRPr="00635FCA" w:rsidRDefault="000D6101" w:rsidP="0087091C">
      <w:pPr>
        <w:pStyle w:val="TableDescription"/>
      </w:pPr>
      <w:bookmarkStart w:id="70" w:name="_Ref125724150"/>
      <w:r w:rsidRPr="00635FCA">
        <w:t>Inferential, according to the alpha spending rules for the interim analysis. Estimated using the profile likelihood approach.</w:t>
      </w:r>
      <w:bookmarkEnd w:id="69"/>
      <w:bookmarkEnd w:id="70"/>
    </w:p>
    <w:p w14:paraId="3782DBE8" w14:textId="77777777" w:rsidR="000D6101" w:rsidRPr="00635FCA" w:rsidRDefault="000D6101" w:rsidP="0087091C">
      <w:pPr>
        <w:pStyle w:val="TableDescription"/>
        <w:rPr>
          <w:color w:val="FF0000"/>
        </w:rPr>
      </w:pPr>
      <w:bookmarkStart w:id="71" w:name="_Ref125724094"/>
      <w:r>
        <w:t>L</w:t>
      </w:r>
      <w:r w:rsidRPr="00635FCA">
        <w:t>og-rank test, stratified as for the Cox PH model above.</w:t>
      </w:r>
      <w:r w:rsidRPr="009F275C">
        <w:t xml:space="preserve"> 2-sided significance level </w:t>
      </w:r>
      <w:r>
        <w:t>=</w:t>
      </w:r>
      <w:r w:rsidRPr="009F275C">
        <w:t xml:space="preserve"> 0.005 </w:t>
      </w:r>
      <w:bookmarkEnd w:id="71"/>
    </w:p>
    <w:p w14:paraId="323B1E6F" w14:textId="77777777" w:rsidR="000D6101" w:rsidRDefault="000D6101" w:rsidP="0087091C">
      <w:pPr>
        <w:pStyle w:val="TableDescription"/>
      </w:pPr>
      <w:bookmarkStart w:id="72" w:name="_Ref125724263"/>
      <w:r>
        <w:t xml:space="preserve">Non alpha-controlled </w:t>
      </w:r>
      <w:r w:rsidRPr="00635FCA">
        <w:t>KM estimate</w:t>
      </w:r>
      <w:r>
        <w:t xml:space="preserve">s, with </w:t>
      </w:r>
      <w:r w:rsidRPr="00635FCA">
        <w:t>95% Cis calculated using Greenwood’s formula</w:t>
      </w:r>
      <w:bookmarkEnd w:id="72"/>
    </w:p>
    <w:p w14:paraId="210B6949" w14:textId="77777777" w:rsidR="000D6101" w:rsidRDefault="000D6101" w:rsidP="0087091C">
      <w:pPr>
        <w:pStyle w:val="TableDescription"/>
      </w:pPr>
      <w:r>
        <w:t>Median duration of follow-up: 3.5 years in the olaparib arm and 3.6 years in the placebo arm. OS data at 10% maturity.</w:t>
      </w:r>
    </w:p>
    <w:p w14:paraId="4DD2CAA5" w14:textId="77777777" w:rsidR="000D6101" w:rsidRPr="004F032E" w:rsidRDefault="000D6101" w:rsidP="0087091C">
      <w:pPr>
        <w:pStyle w:val="TableDescription"/>
        <w:rPr>
          <w:color w:val="FF0000"/>
        </w:rPr>
      </w:pPr>
      <w:r>
        <w:t>L</w:t>
      </w:r>
      <w:r w:rsidRPr="00635FCA">
        <w:t>og-rank test, stratified as for the Cox PH model above.</w:t>
      </w:r>
      <w:r w:rsidRPr="009F275C">
        <w:t xml:space="preserve"> 2-sided significance level </w:t>
      </w:r>
      <w:r>
        <w:t>=</w:t>
      </w:r>
      <w:r w:rsidRPr="009F275C">
        <w:t xml:space="preserve"> 0.0</w:t>
      </w:r>
      <w:r>
        <w:t>1</w:t>
      </w:r>
      <w:r w:rsidRPr="009F275C">
        <w:t xml:space="preserve">5 </w:t>
      </w:r>
    </w:p>
    <w:p w14:paraId="1357B3FB" w14:textId="5339A050" w:rsidR="00AF0908" w:rsidRDefault="00AF0908" w:rsidP="002552AC"/>
    <w:p w14:paraId="1BAB8E85" w14:textId="175E876C" w:rsidR="00AF0908" w:rsidRDefault="00AF0908" w:rsidP="0087091C">
      <w:pPr>
        <w:pStyle w:val="FigureTitle"/>
      </w:pPr>
      <w:bookmarkStart w:id="73" w:name="_Ref125722834"/>
      <w:r w:rsidRPr="00635FCA">
        <w:lastRenderedPageBreak/>
        <w:t xml:space="preserve">Figure </w:t>
      </w:r>
      <w:r>
        <w:fldChar w:fldCharType="begin"/>
      </w:r>
      <w:r>
        <w:instrText xml:space="preserve"> SEQ Figure \* ARABIC </w:instrText>
      </w:r>
      <w:r>
        <w:fldChar w:fldCharType="separate"/>
      </w:r>
      <w:r w:rsidR="00AF2F76">
        <w:rPr>
          <w:noProof/>
        </w:rPr>
        <w:t>4</w:t>
      </w:r>
      <w:r>
        <w:rPr>
          <w:noProof/>
        </w:rPr>
        <w:fldChar w:fldCharType="end"/>
      </w:r>
      <w:bookmarkEnd w:id="73"/>
      <w:r w:rsidRPr="00635FCA">
        <w:t xml:space="preserve">. Kaplan-Meier plot of </w:t>
      </w:r>
      <w:r>
        <w:t>IDFS</w:t>
      </w:r>
      <w:r w:rsidRPr="00635FCA">
        <w:t xml:space="preserve"> in</w:t>
      </w:r>
      <w:r>
        <w:t xml:space="preserve"> the FAS of</w:t>
      </w:r>
      <w:r w:rsidRPr="00635FCA">
        <w:t xml:space="preserve"> </w:t>
      </w:r>
      <w:r>
        <w:t>OlympiA</w:t>
      </w:r>
      <w:r w:rsidRPr="00635FCA">
        <w:t xml:space="preserve"> at the primary </w:t>
      </w:r>
      <w:r>
        <w:t>analysis (DCO 27</w:t>
      </w:r>
      <w:r w:rsidR="003D02A1">
        <w:t xml:space="preserve"> March 2020</w:t>
      </w:r>
      <w:r>
        <w:t>)</w:t>
      </w:r>
    </w:p>
    <w:p w14:paraId="6718653B" w14:textId="489E69C3" w:rsidR="00B378A9" w:rsidRPr="00B378A9" w:rsidRDefault="00B378A9" w:rsidP="00B378A9">
      <w:r>
        <w:rPr>
          <w:noProof/>
        </w:rPr>
        <w:drawing>
          <wp:inline distT="0" distB="0" distL="0" distR="0" wp14:anchorId="004C483E" wp14:editId="3855FB56">
            <wp:extent cx="7973621" cy="4437801"/>
            <wp:effectExtent l="0" t="3810" r="5080" b="5080"/>
            <wp:docPr id="1715437814" name="Picture 1" descr="Kaplan-Meier plot of IDFS in the FAS of OlympiA at the primary analysis (DCO 27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37814" name="Picture 1" descr="Kaplan-Meier plot of IDFS in the FAS of OlympiA at the primary analysis (DCO 27 March 2020)"/>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rot="16200000">
                      <a:off x="0" y="0"/>
                      <a:ext cx="8012833" cy="4459625"/>
                    </a:xfrm>
                    <a:prstGeom prst="rect">
                      <a:avLst/>
                    </a:prstGeom>
                  </pic:spPr>
                </pic:pic>
              </a:graphicData>
            </a:graphic>
          </wp:inline>
        </w:drawing>
      </w:r>
    </w:p>
    <w:p w14:paraId="1F8749ED" w14:textId="5597E988" w:rsidR="00AF0908" w:rsidRPr="00635FCA" w:rsidRDefault="00AF0908" w:rsidP="0087091C">
      <w:pPr>
        <w:pStyle w:val="FigureDescription"/>
        <w:keepNext w:val="0"/>
      </w:pPr>
      <w:r w:rsidRPr="00A06F4D">
        <w:t>DCO = data cut-off;</w:t>
      </w:r>
      <w:r>
        <w:t xml:space="preserve"> </w:t>
      </w:r>
      <w:r w:rsidRPr="00635FCA">
        <w:t xml:space="preserve">FAS = full analysis set; IDFS = invasive </w:t>
      </w:r>
      <w:r w:rsidR="000A3C7D" w:rsidRPr="00635FCA">
        <w:t>disease-free</w:t>
      </w:r>
      <w:r w:rsidRPr="00635FCA">
        <w:t xml:space="preserve"> survival.</w:t>
      </w:r>
      <w:r>
        <w:t xml:space="preserve"> </w:t>
      </w:r>
    </w:p>
    <w:p w14:paraId="51E812D5" w14:textId="75ED3701" w:rsidR="00913800" w:rsidRDefault="00913800" w:rsidP="0087091C">
      <w:pPr>
        <w:pStyle w:val="FigureTitle"/>
      </w:pPr>
      <w:r>
        <w:lastRenderedPageBreak/>
        <w:t xml:space="preserve">Figure </w:t>
      </w:r>
      <w:r>
        <w:fldChar w:fldCharType="begin"/>
      </w:r>
      <w:r>
        <w:instrText xml:space="preserve"> SEQ Figure \* ARABIC </w:instrText>
      </w:r>
      <w:r>
        <w:fldChar w:fldCharType="separate"/>
      </w:r>
      <w:r w:rsidR="00AF2F76">
        <w:rPr>
          <w:noProof/>
        </w:rPr>
        <w:t>5</w:t>
      </w:r>
      <w:r>
        <w:rPr>
          <w:noProof/>
        </w:rPr>
        <w:fldChar w:fldCharType="end"/>
      </w:r>
      <w:r>
        <w:t>. Kaplan-Meier plot of OS in the FAS of OlympiA at the planned 2</w:t>
      </w:r>
      <w:r w:rsidRPr="00A06F4D">
        <w:rPr>
          <w:vertAlign w:val="superscript"/>
        </w:rPr>
        <w:t>nd</w:t>
      </w:r>
      <w:r>
        <w:t xml:space="preserve"> interim analysis (DCO 12 JUL 2021)</w:t>
      </w:r>
    </w:p>
    <w:p w14:paraId="397C54AA" w14:textId="71C8CAEE" w:rsidR="000B4549" w:rsidRPr="000B4549" w:rsidRDefault="000B4549" w:rsidP="000B4549">
      <w:r>
        <w:rPr>
          <w:noProof/>
        </w:rPr>
        <w:drawing>
          <wp:inline distT="0" distB="0" distL="0" distR="0" wp14:anchorId="3F1E101C" wp14:editId="466514FC">
            <wp:extent cx="8169150" cy="5015284"/>
            <wp:effectExtent l="0" t="4445" r="0" b="0"/>
            <wp:docPr id="23" name="Picture 23" descr="Kaplan-Meier plot of OS in the FAS of OlympiA at the planned 2nd interim analysis (DCO 12 JU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Kaplan-Meier plot of OS in the FAS of OlympiA at the planned 2nd interim analysis (DCO 12 JUL 2021)"/>
                    <pic:cNvPicPr/>
                  </pic:nvPicPr>
                  <pic:blipFill>
                    <a:blip r:embed="rId30"/>
                    <a:stretch>
                      <a:fillRect/>
                    </a:stretch>
                  </pic:blipFill>
                  <pic:spPr>
                    <a:xfrm rot="16200000">
                      <a:off x="0" y="0"/>
                      <a:ext cx="8209059" cy="5039786"/>
                    </a:xfrm>
                    <a:prstGeom prst="rect">
                      <a:avLst/>
                    </a:prstGeom>
                  </pic:spPr>
                </pic:pic>
              </a:graphicData>
            </a:graphic>
          </wp:inline>
        </w:drawing>
      </w:r>
    </w:p>
    <w:p w14:paraId="2D86BD03" w14:textId="47DBCD1C" w:rsidR="00913800" w:rsidRDefault="00913800" w:rsidP="0087091C">
      <w:pPr>
        <w:pStyle w:val="FigureDescription"/>
        <w:keepNext w:val="0"/>
      </w:pPr>
      <w:r w:rsidRPr="00A06F4D">
        <w:t xml:space="preserve">DCO = data cut-off; </w:t>
      </w:r>
      <w:r w:rsidRPr="00635FCA">
        <w:t xml:space="preserve">FAS = full analysis set; </w:t>
      </w:r>
      <w:r>
        <w:t>OS</w:t>
      </w:r>
      <w:r w:rsidRPr="00635FCA">
        <w:t xml:space="preserve"> = </w:t>
      </w:r>
      <w:r>
        <w:t>overall</w:t>
      </w:r>
      <w:r w:rsidRPr="00635FCA">
        <w:t xml:space="preserve"> survival.</w:t>
      </w:r>
      <w:r>
        <w:t xml:space="preserve"> </w:t>
      </w:r>
      <w:r>
        <w:br/>
      </w:r>
    </w:p>
    <w:p w14:paraId="0D1CAC0D" w14:textId="15AED8BF" w:rsidR="00C20025" w:rsidRDefault="00C20025" w:rsidP="0087091C">
      <w:pPr>
        <w:pStyle w:val="FigureTitle"/>
      </w:pPr>
      <w:bookmarkStart w:id="74" w:name="_Ref163561259"/>
      <w:r>
        <w:lastRenderedPageBreak/>
        <w:t xml:space="preserve">Figure </w:t>
      </w:r>
      <w:r>
        <w:fldChar w:fldCharType="begin"/>
      </w:r>
      <w:r>
        <w:instrText xml:space="preserve"> SEQ Figure \* ARABIC </w:instrText>
      </w:r>
      <w:r>
        <w:fldChar w:fldCharType="separate"/>
      </w:r>
      <w:r w:rsidR="00AF2F76">
        <w:rPr>
          <w:noProof/>
        </w:rPr>
        <w:t>6</w:t>
      </w:r>
      <w:r>
        <w:rPr>
          <w:noProof/>
        </w:rPr>
        <w:fldChar w:fldCharType="end"/>
      </w:r>
      <w:bookmarkEnd w:id="74"/>
      <w:r w:rsidR="00622D9A">
        <w:rPr>
          <w:noProof/>
        </w:rPr>
        <w:t>.</w:t>
      </w:r>
      <w:r w:rsidRPr="00D5361C">
        <w:t xml:space="preserve"> Forest plot of subgroup analyses for the primary endpoint (IDFS) in OlympiA at data cut-off 27 MAR 2020</w:t>
      </w:r>
    </w:p>
    <w:p w14:paraId="666AA453" w14:textId="1BEBC8F1" w:rsidR="00695BBA" w:rsidRDefault="0034028C" w:rsidP="002552AC">
      <w:r>
        <w:rPr>
          <w:noProof/>
        </w:rPr>
        <w:drawing>
          <wp:inline distT="0" distB="0" distL="0" distR="0" wp14:anchorId="3F8880F8" wp14:editId="66CA0D72">
            <wp:extent cx="8560798" cy="4260578"/>
            <wp:effectExtent l="0" t="2540" r="0" b="0"/>
            <wp:docPr id="1990543225" name="Picture 1"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43225" name="Picture 1" descr="A graph with numbers and a line&#10;&#10;Description automatically generated with medium confidenc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rot="16200000">
                      <a:off x="0" y="0"/>
                      <a:ext cx="8570809" cy="4265560"/>
                    </a:xfrm>
                    <a:prstGeom prst="rect">
                      <a:avLst/>
                    </a:prstGeom>
                  </pic:spPr>
                </pic:pic>
              </a:graphicData>
            </a:graphic>
          </wp:inline>
        </w:drawing>
      </w:r>
    </w:p>
    <w:p w14:paraId="727ADBAF" w14:textId="77D0EB26" w:rsidR="009D41E2" w:rsidRDefault="00A57229" w:rsidP="002552AC">
      <w:r>
        <w:rPr>
          <w:noProof/>
        </w:rPr>
        <w:lastRenderedPageBreak/>
        <w:drawing>
          <wp:inline distT="0" distB="0" distL="0" distR="0" wp14:anchorId="24DA0552" wp14:editId="3DC0CCDA">
            <wp:extent cx="9027240" cy="4449109"/>
            <wp:effectExtent l="3175" t="0" r="5715" b="5715"/>
            <wp:docPr id="876307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07035" name=""/>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b="1429"/>
                    <a:stretch/>
                  </pic:blipFill>
                  <pic:spPr bwMode="auto">
                    <a:xfrm rot="16200000">
                      <a:off x="0" y="0"/>
                      <a:ext cx="9052756" cy="4461685"/>
                    </a:xfrm>
                    <a:prstGeom prst="rect">
                      <a:avLst/>
                    </a:prstGeom>
                    <a:ln>
                      <a:noFill/>
                    </a:ln>
                    <a:extLst>
                      <a:ext uri="{53640926-AAD7-44D8-BBD7-CCE9431645EC}">
                        <a14:shadowObscured xmlns:a14="http://schemas.microsoft.com/office/drawing/2010/main"/>
                      </a:ext>
                    </a:extLst>
                  </pic:spPr>
                </pic:pic>
              </a:graphicData>
            </a:graphic>
          </wp:inline>
        </w:drawing>
      </w:r>
    </w:p>
    <w:p w14:paraId="4384234B" w14:textId="77777777" w:rsidR="005C796B" w:rsidRPr="00392441" w:rsidRDefault="005C796B" w:rsidP="0087091C">
      <w:pPr>
        <w:pStyle w:val="FigureDescription"/>
      </w:pPr>
      <w:r w:rsidRPr="00392441">
        <w:lastRenderedPageBreak/>
        <w:t>1 HR+ was defined as ER positive and/or PgR positive.</w:t>
      </w:r>
    </w:p>
    <w:p w14:paraId="3F4ADD39" w14:textId="77777777" w:rsidR="005C796B" w:rsidRPr="00392441" w:rsidRDefault="005C796B" w:rsidP="0087091C">
      <w:pPr>
        <w:pStyle w:val="FigureDescription"/>
      </w:pPr>
      <w:r w:rsidRPr="00392441">
        <w:t>2 Two patients were excluded from the summary of the TNBC subset because they did not have confirmed negative HER2 status.</w:t>
      </w:r>
    </w:p>
    <w:p w14:paraId="3615998B" w14:textId="77777777" w:rsidR="005C796B" w:rsidRPr="00392441" w:rsidRDefault="005C796B" w:rsidP="0087091C">
      <w:pPr>
        <w:pStyle w:val="FigureDescription"/>
      </w:pPr>
      <w:r w:rsidRPr="00392441">
        <w:t>3 Breast conservation was defined as partial mastectomy/breast quadrantectomy/breast segmentectomy/breast lumpectomy and breast re-excision of margins.</w:t>
      </w:r>
    </w:p>
    <w:p w14:paraId="75B0280F" w14:textId="77777777" w:rsidR="005C796B" w:rsidRPr="00392441" w:rsidRDefault="005C796B" w:rsidP="0087091C">
      <w:pPr>
        <w:pStyle w:val="FigureDescription"/>
      </w:pPr>
      <w:r w:rsidRPr="00392441">
        <w:t>4 Unilateral mastectomy was defined as modified radical mastectomy, radical mastectomy (Halsted), or simple mastectomy.</w:t>
      </w:r>
    </w:p>
    <w:p w14:paraId="7DFB5958" w14:textId="77777777" w:rsidR="005C796B" w:rsidRPr="00392441" w:rsidRDefault="005C796B" w:rsidP="0087091C">
      <w:pPr>
        <w:pStyle w:val="FigureDescription"/>
      </w:pPr>
      <w:r w:rsidRPr="00392441">
        <w:t>5 Triple negative breast cancer, adjuvant patients only, with sentinel node sampling or axillary node dissection.</w:t>
      </w:r>
    </w:p>
    <w:p w14:paraId="2E9F7238" w14:textId="77777777" w:rsidR="005C796B" w:rsidRPr="00392441" w:rsidRDefault="005C796B" w:rsidP="0087091C">
      <w:pPr>
        <w:pStyle w:val="FigureDescription"/>
      </w:pPr>
      <w:r w:rsidRPr="00392441">
        <w:t>6 Post-neoadjuvant group only.</w:t>
      </w:r>
    </w:p>
    <w:p w14:paraId="35ED9274" w14:textId="77777777" w:rsidR="005C796B" w:rsidRPr="00392441" w:rsidRDefault="005C796B" w:rsidP="0087091C">
      <w:pPr>
        <w:pStyle w:val="FigureDescription"/>
      </w:pPr>
      <w:r w:rsidRPr="00392441">
        <w:t>7 Not Ashkenazi Jewish means that the patient was either Jewish but not Ashkenazi Jewish, not Jewish, or descent recorded as unknown.</w:t>
      </w:r>
    </w:p>
    <w:p w14:paraId="76184A3F" w14:textId="241A4751" w:rsidR="005C796B" w:rsidRPr="00392441" w:rsidRDefault="005C796B" w:rsidP="0087091C">
      <w:pPr>
        <w:pStyle w:val="FigureDescription"/>
        <w:rPr>
          <w:lang w:eastAsia="ja-JP"/>
        </w:rPr>
      </w:pPr>
      <w:r w:rsidRPr="00392441">
        <w:t>Note: Ten olaparib-treated patients and 8 placebo-treated patients in the missing race category were analysed in race subgroup "other".</w:t>
      </w:r>
    </w:p>
    <w:p w14:paraId="1CE5587D" w14:textId="77777777" w:rsidR="005C796B" w:rsidRPr="00392441" w:rsidRDefault="005C796B" w:rsidP="0087091C">
      <w:pPr>
        <w:pStyle w:val="FigureDescription"/>
      </w:pPr>
      <w:r w:rsidRPr="00392441">
        <w:t>Note: According to data collected on the eCRF for prior platinum use, 485 patients in total received prior platinum therapy. However, this output takes prior</w:t>
      </w:r>
      <w:r>
        <w:t xml:space="preserve"> </w:t>
      </w:r>
      <w:r w:rsidRPr="00392441">
        <w:t>platinum use data from the stratification eCRF which incorrectly indicates one additional patient in the placebo arm received prior platinum (the site confirmed</w:t>
      </w:r>
      <w:r>
        <w:t xml:space="preserve"> </w:t>
      </w:r>
      <w:r w:rsidRPr="00392441">
        <w:t>this was not the case). As the database was not updated to amend this discrepancy at this DCO, this output incorrectly shows that 486 patients received prior</w:t>
      </w:r>
      <w:r>
        <w:t xml:space="preserve"> </w:t>
      </w:r>
      <w:r w:rsidRPr="00392441">
        <w:t>platinum therapy.</w:t>
      </w:r>
    </w:p>
    <w:p w14:paraId="258061CB" w14:textId="77777777" w:rsidR="005C796B" w:rsidRPr="00392441" w:rsidRDefault="005C796B" w:rsidP="0087091C">
      <w:pPr>
        <w:pStyle w:val="FigureDescription"/>
      </w:pPr>
      <w:r w:rsidRPr="00392441">
        <w:rPr>
          <w:i/>
          <w:iCs/>
        </w:rPr>
        <w:t xml:space="preserve">BRCA </w:t>
      </w:r>
      <w:r w:rsidRPr="00392441">
        <w:t>= breast cancer susceptibility gene; CI = confidence interval; CPS+EG = clinical stage (CS), oestrogen receptor status (E), nuclear grade (G), and posttreatment</w:t>
      </w:r>
      <w:r>
        <w:t xml:space="preserve"> </w:t>
      </w:r>
      <w:r w:rsidRPr="00392441">
        <w:t>pathologic stage (PS) – a disease scoring system; ER = oestrogen receptor; FAS = full analysis set; HER2 = human epidermal growth factor receptor 2;</w:t>
      </w:r>
      <w:r>
        <w:t xml:space="preserve"> </w:t>
      </w:r>
      <w:r w:rsidRPr="00392441">
        <w:t>HR = hazard ratio; HR+ = hormone receptor positive; HR status = hormone receptor status; IDFS = invasive disease free survival; PgR = progesterone receptor;</w:t>
      </w:r>
      <w:r>
        <w:t xml:space="preserve"> </w:t>
      </w:r>
      <w:r w:rsidRPr="00392441">
        <w:t>TNBC = triple negative breast cancer.</w:t>
      </w:r>
    </w:p>
    <w:p w14:paraId="199471D7" w14:textId="77777777" w:rsidR="00DD6D0A" w:rsidRDefault="00DD6D0A" w:rsidP="002552AC">
      <w:pPr>
        <w:spacing w:after="0" w:line="240" w:lineRule="auto"/>
        <w:jc w:val="both"/>
        <w:rPr>
          <w:rFonts w:ascii="Calibri" w:eastAsia="TimesNewRoman" w:hAnsi="Calibri" w:cs="Calibri"/>
          <w:sz w:val="16"/>
          <w:szCs w:val="16"/>
        </w:rPr>
      </w:pPr>
    </w:p>
    <w:p w14:paraId="657C224F" w14:textId="55E7E886" w:rsidR="00AF2F76" w:rsidRDefault="00AF2F76" w:rsidP="0087091C">
      <w:pPr>
        <w:pStyle w:val="FigureTitle"/>
      </w:pPr>
      <w:r>
        <w:lastRenderedPageBreak/>
        <w:t xml:space="preserve">Figure </w:t>
      </w:r>
      <w:r>
        <w:fldChar w:fldCharType="begin"/>
      </w:r>
      <w:r>
        <w:instrText xml:space="preserve"> SEQ Figure \* ARABIC </w:instrText>
      </w:r>
      <w:r>
        <w:fldChar w:fldCharType="separate"/>
      </w:r>
      <w:r>
        <w:rPr>
          <w:noProof/>
        </w:rPr>
        <w:t>7</w:t>
      </w:r>
      <w:r>
        <w:rPr>
          <w:noProof/>
        </w:rPr>
        <w:fldChar w:fldCharType="end"/>
      </w:r>
      <w:r>
        <w:t xml:space="preserve"> </w:t>
      </w:r>
      <w:r w:rsidRPr="00330018">
        <w:t>Forest plot of OS in subgroups in OlympiA at data cut-off 12 JUL 2021</w:t>
      </w:r>
    </w:p>
    <w:p w14:paraId="12399449" w14:textId="7B0B4DF4" w:rsidR="005C796B" w:rsidRDefault="000237FF" w:rsidP="002552AC">
      <w:r>
        <w:rPr>
          <w:noProof/>
        </w:rPr>
        <w:drawing>
          <wp:inline distT="0" distB="0" distL="0" distR="0" wp14:anchorId="7BBA7370" wp14:editId="7C446B5E">
            <wp:extent cx="8746487" cy="5127758"/>
            <wp:effectExtent l="0" t="635" r="0" b="0"/>
            <wp:docPr id="9" name="Picture 9" descr="Figure 7 Forest plot of OS in subgroups in OlympiA at data cut-off 12 JU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7 Forest plot of OS in subgroups in OlympiA at data cut-off 12 JUL 202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rot="16200000">
                      <a:off x="0" y="0"/>
                      <a:ext cx="8764832" cy="5138513"/>
                    </a:xfrm>
                    <a:prstGeom prst="rect">
                      <a:avLst/>
                    </a:prstGeom>
                  </pic:spPr>
                </pic:pic>
              </a:graphicData>
            </a:graphic>
          </wp:inline>
        </w:drawing>
      </w:r>
    </w:p>
    <w:p w14:paraId="76402527" w14:textId="77777777" w:rsidR="00DA0C2B" w:rsidRDefault="009B5381" w:rsidP="00583A23">
      <w:pPr>
        <w:pStyle w:val="FigureDescription"/>
        <w:contextualSpacing/>
      </w:pPr>
      <w:r>
        <w:rPr>
          <w:noProof/>
        </w:rPr>
        <w:lastRenderedPageBreak/>
        <w:drawing>
          <wp:inline distT="0" distB="0" distL="0" distR="0" wp14:anchorId="1D7961D4" wp14:editId="634E0B0B">
            <wp:extent cx="8973139" cy="5174587"/>
            <wp:effectExtent l="0" t="5715" r="0" b="0"/>
            <wp:docPr id="6" name="Picture 6" descr="Figure 7 Forest plot of OS in subgroups in OlympiA at data cut-off 12 JU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7 Forest plot of OS in subgroups in OlympiA at data cut-off 12 JUL 202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rot="16200000">
                      <a:off x="0" y="0"/>
                      <a:ext cx="9005084" cy="5193009"/>
                    </a:xfrm>
                    <a:prstGeom prst="rect">
                      <a:avLst/>
                    </a:prstGeom>
                  </pic:spPr>
                </pic:pic>
              </a:graphicData>
            </a:graphic>
          </wp:inline>
        </w:drawing>
      </w:r>
      <w:r w:rsidR="00551029" w:rsidRPr="00551029">
        <w:t xml:space="preserve"> </w:t>
      </w:r>
    </w:p>
    <w:p w14:paraId="19243ED4" w14:textId="15DE3D76" w:rsidR="00551029" w:rsidRPr="000017AC" w:rsidRDefault="00551029" w:rsidP="00583A23">
      <w:pPr>
        <w:pStyle w:val="FigureDescription"/>
        <w:contextualSpacing/>
      </w:pPr>
      <w:r w:rsidRPr="000017AC">
        <w:lastRenderedPageBreak/>
        <w:t>BRCA = breast cancer susceptibility gene; CI = confidence interval; CPS+EG = clinical stage (CS), oestrogen receptor status (E), nuclear grade (G), and</w:t>
      </w:r>
      <w:r>
        <w:t xml:space="preserve"> </w:t>
      </w:r>
      <w:r w:rsidRPr="000017AC">
        <w:t xml:space="preserve">post-treatment pathologic stage (PS) </w:t>
      </w:r>
      <w:r w:rsidRPr="000017AC">
        <w:rPr>
          <w:rFonts w:hint="eastAsia"/>
        </w:rPr>
        <w:t>–</w:t>
      </w:r>
      <w:r w:rsidRPr="000017AC">
        <w:t xml:space="preserve"> a disease scoring system; ER = oestrogen receptor; FAS = full analysis set; HER2 = human epidermal growth factor</w:t>
      </w:r>
      <w:r>
        <w:t xml:space="preserve"> </w:t>
      </w:r>
      <w:r w:rsidRPr="000017AC">
        <w:t>receptor 2; HR = hazard ratio; HR+ = hormone receptor positive; HR status = hormone receptor status; N = total number of patients; OS = overall survival;</w:t>
      </w:r>
      <w:r>
        <w:t xml:space="preserve"> </w:t>
      </w:r>
      <w:r w:rsidRPr="000017AC">
        <w:t>PgR = progesterone receptor; TNBC = triple negative breast cancer.</w:t>
      </w:r>
    </w:p>
    <w:p w14:paraId="5848D74D" w14:textId="77777777" w:rsidR="00551029" w:rsidRPr="00DA0C2B" w:rsidRDefault="00551029" w:rsidP="00DA0C2B">
      <w:pPr>
        <w:pStyle w:val="FigureDescription"/>
        <w:rPr>
          <w:sz w:val="18"/>
          <w:szCs w:val="18"/>
        </w:rPr>
      </w:pPr>
      <w:r w:rsidRPr="00DA0C2B">
        <w:rPr>
          <w:sz w:val="18"/>
          <w:szCs w:val="18"/>
        </w:rPr>
        <w:t>Hormone receptor positive was defined as ER positive and/or PgR positive.</w:t>
      </w:r>
    </w:p>
    <w:p w14:paraId="7D7896EF" w14:textId="77777777" w:rsidR="00551029" w:rsidRPr="00DA0C2B" w:rsidRDefault="00551029" w:rsidP="00DA0C2B">
      <w:pPr>
        <w:pStyle w:val="FigureDescription"/>
        <w:rPr>
          <w:sz w:val="18"/>
          <w:szCs w:val="18"/>
        </w:rPr>
      </w:pPr>
      <w:r w:rsidRPr="00DA0C2B">
        <w:rPr>
          <w:sz w:val="18"/>
          <w:szCs w:val="18"/>
        </w:rPr>
        <w:t>Two patients were excluded from the summary of the TNBC subset because they did not have confirmed negative HER2 status.</w:t>
      </w:r>
    </w:p>
    <w:p w14:paraId="16435998" w14:textId="77777777" w:rsidR="00551029" w:rsidRPr="00DA0C2B" w:rsidRDefault="00551029" w:rsidP="00DA0C2B">
      <w:pPr>
        <w:pStyle w:val="FigureDescription"/>
        <w:rPr>
          <w:sz w:val="18"/>
          <w:szCs w:val="18"/>
        </w:rPr>
      </w:pPr>
      <w:r w:rsidRPr="00DA0C2B">
        <w:rPr>
          <w:sz w:val="18"/>
          <w:szCs w:val="18"/>
        </w:rPr>
        <w:t>Breast conservation was defined as partial mastectomy/breast quadrantectomy/breast segmentectomy/breast lumpectomy and breast re-excision of margins.</w:t>
      </w:r>
    </w:p>
    <w:p w14:paraId="30D0DEFB" w14:textId="77777777" w:rsidR="00551029" w:rsidRPr="00DA0C2B" w:rsidRDefault="00551029" w:rsidP="00DA0C2B">
      <w:pPr>
        <w:pStyle w:val="FigureDescription"/>
        <w:rPr>
          <w:sz w:val="18"/>
          <w:szCs w:val="18"/>
        </w:rPr>
      </w:pPr>
      <w:r w:rsidRPr="00DA0C2B">
        <w:rPr>
          <w:sz w:val="18"/>
          <w:szCs w:val="18"/>
        </w:rPr>
        <w:t>Unilateral mastectomy was defined as modified radical mastectomy, radical mastectomy (Halsted), or simple mastectomy.</w:t>
      </w:r>
    </w:p>
    <w:p w14:paraId="580716F4" w14:textId="77777777" w:rsidR="00551029" w:rsidRPr="00DA0C2B" w:rsidRDefault="00551029" w:rsidP="00DA0C2B">
      <w:pPr>
        <w:pStyle w:val="FigureDescription"/>
        <w:rPr>
          <w:sz w:val="18"/>
          <w:szCs w:val="18"/>
        </w:rPr>
      </w:pPr>
      <w:r w:rsidRPr="00DA0C2B">
        <w:rPr>
          <w:sz w:val="18"/>
          <w:szCs w:val="18"/>
        </w:rPr>
        <w:t xml:space="preserve">Triple negative breast cancer, adjuvant patients only, with sentinel node sampling or axillary node dissection. </w:t>
      </w:r>
    </w:p>
    <w:p w14:paraId="23086B54" w14:textId="77777777" w:rsidR="00551029" w:rsidRPr="00DA0C2B" w:rsidRDefault="00551029" w:rsidP="00DA0C2B">
      <w:pPr>
        <w:pStyle w:val="FigureDescription"/>
        <w:rPr>
          <w:sz w:val="18"/>
          <w:szCs w:val="18"/>
        </w:rPr>
      </w:pPr>
      <w:r w:rsidRPr="00DA0C2B">
        <w:rPr>
          <w:sz w:val="18"/>
          <w:szCs w:val="18"/>
        </w:rPr>
        <w:t>Post-neoadjuvant group only.</w:t>
      </w:r>
    </w:p>
    <w:p w14:paraId="150A4372" w14:textId="77777777" w:rsidR="00551029" w:rsidRPr="00DA0C2B" w:rsidRDefault="00551029" w:rsidP="00DA0C2B">
      <w:pPr>
        <w:pStyle w:val="FigureDescription"/>
        <w:rPr>
          <w:sz w:val="18"/>
          <w:szCs w:val="18"/>
        </w:rPr>
      </w:pPr>
      <w:r w:rsidRPr="00DA0C2B">
        <w:rPr>
          <w:sz w:val="18"/>
          <w:szCs w:val="18"/>
        </w:rPr>
        <w:t>Not Ashkenazi Jewish means that the patient was either Jewish but not Ashkenazi Jewish, not Jewish, or descent recorded as unknown.</w:t>
      </w:r>
    </w:p>
    <w:p w14:paraId="45CA1C4B" w14:textId="249D2D36" w:rsidR="00551029" w:rsidRPr="00DA0C2B" w:rsidRDefault="00551029" w:rsidP="00DA0C2B">
      <w:pPr>
        <w:pStyle w:val="FigureDescription"/>
        <w:rPr>
          <w:sz w:val="18"/>
          <w:szCs w:val="18"/>
        </w:rPr>
      </w:pPr>
      <w:r w:rsidRPr="00DA0C2B">
        <w:rPr>
          <w:sz w:val="18"/>
          <w:szCs w:val="18"/>
        </w:rPr>
        <w:t>Note: Ten olaparib-treated patients and 8 placebo-treated patients in the missing race category were analysed in race subgroup "other".</w:t>
      </w:r>
    </w:p>
    <w:p w14:paraId="03378475" w14:textId="77777777" w:rsidR="00D44ED6" w:rsidRPr="009F0F70" w:rsidRDefault="00D44ED6" w:rsidP="000B4549">
      <w:pPr>
        <w:pStyle w:val="Heading5"/>
      </w:pPr>
      <w:bookmarkStart w:id="75" w:name="_Ref136272661"/>
      <w:bookmarkStart w:id="76" w:name="_Ref126682095"/>
      <w:bookmarkStart w:id="77" w:name="_Ref136272668"/>
      <w:bookmarkStart w:id="78" w:name="_Ref125475479"/>
      <w:r>
        <w:t>Efficacy data relevant to the proposed prostate cancer indication</w:t>
      </w:r>
      <w:bookmarkEnd w:id="75"/>
    </w:p>
    <w:p w14:paraId="03E11E9A" w14:textId="77777777" w:rsidR="00D44ED6" w:rsidRDefault="00D44ED6" w:rsidP="00583A23">
      <w:pPr>
        <w:pStyle w:val="Heading5"/>
      </w:pPr>
      <w:r>
        <w:t>PROpel (</w:t>
      </w:r>
      <w:r w:rsidRPr="00DD23EF">
        <w:t>D081SC00001</w:t>
      </w:r>
      <w:r>
        <w:t>) – pivotal study for proposed first-line prostate cancer indication</w:t>
      </w:r>
      <w:bookmarkEnd w:id="76"/>
    </w:p>
    <w:p w14:paraId="6E5F9FDC" w14:textId="77777777" w:rsidR="00D44ED6" w:rsidRPr="00DE3B12" w:rsidRDefault="00D44ED6" w:rsidP="00583A23">
      <w:pPr>
        <w:pStyle w:val="Heading6"/>
      </w:pPr>
      <w:r>
        <w:t>Design</w:t>
      </w:r>
    </w:p>
    <w:p w14:paraId="6584A84E" w14:textId="367D3B10" w:rsidR="00D44ED6" w:rsidRDefault="00D44ED6" w:rsidP="00D44ED6">
      <w:r w:rsidRPr="00DE3B12">
        <w:t>PROpel is a randomised, double-blind, placebo-controlled, international phase III trial (</w:t>
      </w:r>
      <w:r>
        <w:t>126</w:t>
      </w:r>
      <w:r w:rsidRPr="00DE3B12">
        <w:t xml:space="preserve"> centres in </w:t>
      </w:r>
      <w:r>
        <w:t>17</w:t>
      </w:r>
      <w:r w:rsidRPr="00DE3B12">
        <w:t xml:space="preserve"> countries) of olaparib as an add-on to first-line abiraterone (plus steroid) treatment</w:t>
      </w:r>
      <w:r>
        <w:t xml:space="preserve"> for men with</w:t>
      </w:r>
      <w:r w:rsidRPr="00DE3B12">
        <w:t xml:space="preserve"> metastatic castration-resistant prostate cancer (mCRPC). </w:t>
      </w:r>
      <w:r>
        <w:t>Enrolment</w:t>
      </w:r>
      <w:r w:rsidRPr="00DE3B12">
        <w:t xml:space="preserve"> commenced in October 2018 and the last patient was enrolled in March 2020.</w:t>
      </w:r>
      <w:r>
        <w:t xml:space="preserve"> </w:t>
      </w:r>
      <w:r>
        <w:fldChar w:fldCharType="begin"/>
      </w:r>
      <w:r>
        <w:instrText xml:space="preserve"> REF _Ref131166445 \h </w:instrText>
      </w:r>
      <w:r>
        <w:fldChar w:fldCharType="separate"/>
      </w:r>
      <w:r w:rsidRPr="00BA589D">
        <w:t xml:space="preserve">Figure </w:t>
      </w:r>
      <w:r>
        <w:rPr>
          <w:noProof/>
        </w:rPr>
        <w:t>6</w:t>
      </w:r>
      <w:r>
        <w:fldChar w:fldCharType="end"/>
      </w:r>
      <w:r>
        <w:t xml:space="preserve"> shows a </w:t>
      </w:r>
      <w:r w:rsidRPr="00BA589D">
        <w:t>summary of the study design</w:t>
      </w:r>
      <w:r>
        <w:t xml:space="preserve">, including the main selection criteria. </w:t>
      </w:r>
      <w:r w:rsidRPr="00DE3B12">
        <w:rPr>
          <w:color w:val="FF0000"/>
        </w:rPr>
        <w:t xml:space="preserve"> </w:t>
      </w:r>
    </w:p>
    <w:p w14:paraId="2D39B0E6" w14:textId="77777777" w:rsidR="00D44ED6" w:rsidRDefault="00D44ED6" w:rsidP="00D44ED6">
      <w:r>
        <w:t xml:space="preserve">Eligible patients had not received </w:t>
      </w:r>
      <w:r w:rsidRPr="00A57F88">
        <w:t>chemotherapy or</w:t>
      </w:r>
      <w:r>
        <w:t xml:space="preserve"> NHA for a prostate adenocarcinoma that was metastatic and castration-resistant. Patients had to be candidates for abiraterone therapy, with documented evidence of progressive disease defined by PSA progression and/or radiological progression. Patients were eligible regardless of presence of symptomatic disease or visceral metastases (except brain metastases). An archival formalin-fixed, paraffin-embedded tumour tissue sample, or a new biopsy taken during the screening window, was required before randomisation.</w:t>
      </w:r>
    </w:p>
    <w:p w14:paraId="19442500" w14:textId="77777777" w:rsidR="00D44ED6" w:rsidRDefault="00D44ED6" w:rsidP="00D44ED6">
      <w:r>
        <w:t xml:space="preserve">Patients were randomised 1:1 to either olaparib 300 mg BD or matching placebo, in addition to background of abiraterone 1000 mg daily and either prednisone or prednisolone 5 mg orally BD. Randomisation was stratified by site of distant metastases (bone only v. visceral v. other) and receipt of prior taxane for metastatic hormone-sensitive disease (yes v. no). </w:t>
      </w:r>
    </w:p>
    <w:p w14:paraId="664C2260" w14:textId="77777777" w:rsidR="00D44ED6" w:rsidRDefault="00D44ED6" w:rsidP="00D44ED6">
      <w:r>
        <w:t xml:space="preserve">Randomisation was not stratified based on HRR status. HRR mutation status for all randomised patients was determined </w:t>
      </w:r>
      <w:r w:rsidRPr="00D52BC1">
        <w:t>retrospectively</w:t>
      </w:r>
      <w:r>
        <w:t xml:space="preserve"> by central testing, performed by Foundation Medicine Inc. using the </w:t>
      </w:r>
      <w:r w:rsidRPr="005D3D80">
        <w:t>FoundationOne</w:t>
      </w:r>
      <w:r w:rsidRPr="005D3D80">
        <w:rPr>
          <w:rFonts w:hint="eastAsia"/>
        </w:rPr>
        <w:t>®</w:t>
      </w:r>
      <w:r w:rsidRPr="005D3D80">
        <w:t>CDx</w:t>
      </w:r>
      <w:r>
        <w:t xml:space="preserve"> (F1CDx) test on tumour tissue samples and the </w:t>
      </w:r>
      <w:r w:rsidRPr="005D3D80">
        <w:t>FoundationOne</w:t>
      </w:r>
      <w:r w:rsidRPr="005D3D80">
        <w:rPr>
          <w:rFonts w:hint="eastAsia"/>
        </w:rPr>
        <w:t>®</w:t>
      </w:r>
      <w:r w:rsidRPr="005D3D80">
        <w:t>Liquid CDx</w:t>
      </w:r>
      <w:r>
        <w:t xml:space="preserve"> (F1LCDx) on whole blood samples. </w:t>
      </w:r>
    </w:p>
    <w:p w14:paraId="11CFB19E" w14:textId="77777777" w:rsidR="00D44ED6" w:rsidRDefault="00D44ED6" w:rsidP="00D44ED6">
      <w:r>
        <w:t>Treatment was continued until disease progression or unacceptable toxicity.</w:t>
      </w:r>
      <w:r w:rsidRPr="005D3D80">
        <w:t xml:space="preserve"> </w:t>
      </w:r>
      <w:r w:rsidRPr="00A57F88">
        <w:t>Crossover from placebo+abiraterone to olaparib+abiraterone was not allowed.</w:t>
      </w:r>
      <w:r>
        <w:t xml:space="preserve"> </w:t>
      </w:r>
    </w:p>
    <w:p w14:paraId="67DDADB9" w14:textId="77777777" w:rsidR="00D44ED6" w:rsidRPr="00DE3B12" w:rsidRDefault="00D44ED6" w:rsidP="00D44ED6">
      <w:pPr>
        <w:rPr>
          <w:color w:val="FF0000"/>
        </w:rPr>
      </w:pPr>
      <w:r>
        <w:t xml:space="preserve">The primary endpoint was radiologically-determined PFS (rPFS) per investigators according to RECIST v1.1 (soft tissue) and PCWG-3 (bone) criteria, in the full analysis set (FAS). Blinded </w:t>
      </w:r>
      <w:r>
        <w:lastRenderedPageBreak/>
        <w:t>independent central review (BICR) was also conducted. The key secondary endpoint was OS. The remaining endpoints were not controlled for multiplicity.</w:t>
      </w:r>
      <w:r w:rsidRPr="006952A1">
        <w:rPr>
          <w:color w:val="FF0000"/>
        </w:rPr>
        <w:t xml:space="preserve"> </w:t>
      </w:r>
    </w:p>
    <w:p w14:paraId="49D39DF8" w14:textId="5DB5FC13" w:rsidR="00D44ED6" w:rsidRPr="00BA589D" w:rsidRDefault="00D44ED6" w:rsidP="00B12D26">
      <w:pPr>
        <w:pStyle w:val="FigureTitle"/>
      </w:pPr>
      <w:bookmarkStart w:id="79" w:name="_Ref131166445"/>
      <w:r w:rsidRPr="00BA589D">
        <w:t xml:space="preserve">Figure </w:t>
      </w:r>
      <w:r w:rsidR="00A425C7">
        <w:t>8</w:t>
      </w:r>
      <w:bookmarkEnd w:id="79"/>
      <w:r w:rsidRPr="00BA589D">
        <w:t>. Schema of the PROpel study design</w:t>
      </w:r>
    </w:p>
    <w:p w14:paraId="56600092" w14:textId="77777777" w:rsidR="00D44ED6" w:rsidRPr="00DE3B12" w:rsidRDefault="00D44ED6" w:rsidP="00D44ED6">
      <w:pPr>
        <w:rPr>
          <w:color w:val="FF0000"/>
        </w:rPr>
      </w:pPr>
      <w:r>
        <w:rPr>
          <w:noProof/>
        </w:rPr>
        <w:drawing>
          <wp:inline distT="0" distB="0" distL="0" distR="0" wp14:anchorId="6BFE5A28" wp14:editId="12B9EB58">
            <wp:extent cx="5731510" cy="2069923"/>
            <wp:effectExtent l="0" t="0" r="2540" b="6985"/>
            <wp:docPr id="20" name="Picture 20" descr="Schema of the PROpel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hema of the PROpel study design"/>
                    <pic:cNvPicPr>
                      <a:picLocks noChangeAspect="1" noChangeArrowheads="1"/>
                    </pic:cNvPicPr>
                  </pic:nvPicPr>
                  <pic:blipFill rotWithShape="1">
                    <a:blip r:embed="rId39">
                      <a:extLst>
                        <a:ext uri="{28A0092B-C50C-407E-A947-70E740481C1C}">
                          <a14:useLocalDpi xmlns:a14="http://schemas.microsoft.com/office/drawing/2010/main" val="0"/>
                        </a:ext>
                      </a:extLst>
                    </a:blip>
                    <a:srcRect t="16332"/>
                    <a:stretch/>
                  </pic:blipFill>
                  <pic:spPr bwMode="auto">
                    <a:xfrm>
                      <a:off x="0" y="0"/>
                      <a:ext cx="5731510" cy="2069923"/>
                    </a:xfrm>
                    <a:prstGeom prst="rect">
                      <a:avLst/>
                    </a:prstGeom>
                    <a:noFill/>
                    <a:ln>
                      <a:noFill/>
                    </a:ln>
                    <a:extLst>
                      <a:ext uri="{53640926-AAD7-44D8-BBD7-CCE9431645EC}">
                        <a14:shadowObscured xmlns:a14="http://schemas.microsoft.com/office/drawing/2010/main"/>
                      </a:ext>
                    </a:extLst>
                  </pic:spPr>
                </pic:pic>
              </a:graphicData>
            </a:graphic>
          </wp:inline>
        </w:drawing>
      </w:r>
    </w:p>
    <w:p w14:paraId="3C02B3D6" w14:textId="77777777" w:rsidR="00D44ED6" w:rsidRPr="00BA589D" w:rsidRDefault="00D44ED6" w:rsidP="0087091C">
      <w:pPr>
        <w:pStyle w:val="FigureDescription"/>
      </w:pPr>
      <w:r>
        <w:t xml:space="preserve">ADT = androgen deprivation therapy; ECOG = Eastern Cooperative Oncology Group performance status; </w:t>
      </w:r>
      <w:r w:rsidRPr="00BA589D">
        <w:t>mCRPC = metastatic castration-resistant prostate cancer</w:t>
      </w:r>
      <w:r>
        <w:t>;</w:t>
      </w:r>
      <w:r w:rsidRPr="00BA589D">
        <w:t xml:space="preserve"> </w:t>
      </w:r>
      <w:r>
        <w:t xml:space="preserve">mHSPC = metastatic hormone-sensitive prostate cancer; </w:t>
      </w:r>
      <w:r w:rsidRPr="00BA589D">
        <w:t>NHA = new hormonal agent</w:t>
      </w:r>
      <w:r>
        <w:t>; qd* = daily, in combination with steroid.</w:t>
      </w:r>
    </w:p>
    <w:p w14:paraId="4CF582D0" w14:textId="77777777" w:rsidR="00D44ED6" w:rsidRPr="00BA589D" w:rsidRDefault="00D44ED6" w:rsidP="00583A23">
      <w:pPr>
        <w:pStyle w:val="Heading6"/>
      </w:pPr>
      <w:r>
        <w:t>Population</w:t>
      </w:r>
    </w:p>
    <w:p w14:paraId="01A836F0" w14:textId="77777777" w:rsidR="00D44ED6" w:rsidRPr="00DE3B12" w:rsidRDefault="00D44ED6" w:rsidP="00D44ED6">
      <w:pPr>
        <w:rPr>
          <w:color w:val="FF0000"/>
        </w:rPr>
      </w:pPr>
      <w:r w:rsidRPr="006952A1">
        <w:t xml:space="preserve">A total of 796 patients were </w:t>
      </w:r>
      <w:r w:rsidRPr="0069021D">
        <w:t>randomised in the study: 399 to receive olaparib and 397 to receive the matching placebo.  One patient in each arm did not continue to receive treatment.</w:t>
      </w:r>
    </w:p>
    <w:p w14:paraId="2D5052B5" w14:textId="77777777" w:rsidR="00D44ED6" w:rsidRPr="00DC60CA" w:rsidRDefault="00D44ED6" w:rsidP="00D44ED6">
      <w:r w:rsidRPr="0069021D">
        <w:t>Amongst the FAS, the median age was 69 (range 43 to 91) years, and 71% were over 65. Most patients (17%) were Caucasian and 17% were Asian; 70% had an ECOG PS of 0; 79% had received prior hormonal therapy, 25% had received prior cytotoxic chemotherapy, and 50% had received prior radiation therapy.</w:t>
      </w:r>
      <w:r>
        <w:t xml:space="preserve"> Most had bone involvement at enrolment (86%), and for 54%, bone was the only metastatic site at enrolment.</w:t>
      </w:r>
    </w:p>
    <w:p w14:paraId="7D81A219" w14:textId="7F2F66E3" w:rsidR="00D44ED6" w:rsidRDefault="00D44ED6" w:rsidP="00D44ED6">
      <w:r w:rsidRPr="005D3D80">
        <w:t xml:space="preserve">HRR </w:t>
      </w:r>
      <w:r>
        <w:t xml:space="preserve">status was defined as HRRm (where a deleterious variant was detected either F1CDx or F1LCDx), non-HRRm (where non-deleterious variants were detected) or HRRm unknown (where test failure occurred or where no sample was tested). Results of FoundationOne testing are summarised in </w:t>
      </w:r>
      <w:r w:rsidR="00A425C7">
        <w:t>Table 6</w:t>
      </w:r>
      <w:r>
        <w:t>.</w:t>
      </w:r>
    </w:p>
    <w:p w14:paraId="71349533" w14:textId="7D4F9313" w:rsidR="00D44ED6" w:rsidRDefault="00D44ED6" w:rsidP="00D44ED6">
      <w:r>
        <w:t xml:space="preserve">For tissue testing, success rates were 68% at both patient and sample level, consistent with what was seen in the PROfound study. For ctDNA (blood sample) testing, success rates were 92% at a patient level and 84% at a sample level. </w:t>
      </w:r>
    </w:p>
    <w:p w14:paraId="094CAE5B" w14:textId="77777777" w:rsidR="00D44ED6" w:rsidRDefault="00D44ED6" w:rsidP="00D44ED6">
      <w:r>
        <w:t xml:space="preserve">There were 85 patients (10.7% of the randomised population) who were </w:t>
      </w:r>
      <w:r w:rsidRPr="00A743EA">
        <w:rPr>
          <w:i/>
          <w:iCs/>
        </w:rPr>
        <w:t>BRCA</w:t>
      </w:r>
      <w:r>
        <w:t>m according to either test.</w:t>
      </w:r>
    </w:p>
    <w:p w14:paraId="5DC99107" w14:textId="55B850DE" w:rsidR="00D44ED6" w:rsidRPr="00DC60CA" w:rsidRDefault="00D44ED6" w:rsidP="00DA0C2B">
      <w:pPr>
        <w:pStyle w:val="TableTitle"/>
      </w:pPr>
      <w:bookmarkStart w:id="80" w:name="_Ref136259752"/>
      <w:r w:rsidRPr="00DC60CA">
        <w:t>Table</w:t>
      </w:r>
      <w:r w:rsidR="00FD24E8">
        <w:t xml:space="preserve"> </w:t>
      </w:r>
      <w:r w:rsidR="000A3C7D">
        <w:t>6</w:t>
      </w:r>
      <w:bookmarkEnd w:id="80"/>
      <w:r w:rsidRPr="00DC60CA">
        <w:t xml:space="preserve">. </w:t>
      </w:r>
      <w:r>
        <w:t xml:space="preserve">HRRm and </w:t>
      </w:r>
      <w:r w:rsidRPr="0043526A">
        <w:rPr>
          <w:i/>
          <w:iCs/>
        </w:rPr>
        <w:t>BRCA</w:t>
      </w:r>
      <w:r>
        <w:t>m status in PROpel</w:t>
      </w:r>
      <w:r w:rsidRPr="00DC60CA">
        <w:t xml:space="preserve"> </w:t>
      </w:r>
    </w:p>
    <w:tbl>
      <w:tblPr>
        <w:tblStyle w:val="TableTGAblue2023"/>
        <w:tblW w:w="9011" w:type="dxa"/>
        <w:tblLook w:val="04A0" w:firstRow="1" w:lastRow="0" w:firstColumn="1" w:lastColumn="0" w:noHBand="0" w:noVBand="1"/>
      </w:tblPr>
      <w:tblGrid>
        <w:gridCol w:w="2571"/>
        <w:gridCol w:w="3220"/>
        <w:gridCol w:w="3220"/>
      </w:tblGrid>
      <w:tr w:rsidR="000A3C7D" w:rsidRPr="00DA0C2B" w14:paraId="04BDA3B0" w14:textId="77777777" w:rsidTr="00870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8CDADAF" w14:textId="77777777" w:rsidR="00D44ED6" w:rsidRPr="0087091C" w:rsidRDefault="00D44ED6" w:rsidP="00583A23">
            <w:pPr>
              <w:rPr>
                <w:szCs w:val="22"/>
              </w:rPr>
            </w:pPr>
          </w:p>
        </w:tc>
        <w:tc>
          <w:tcPr>
            <w:tcW w:w="0" w:type="dxa"/>
          </w:tcPr>
          <w:p w14:paraId="258CDAE2" w14:textId="77777777" w:rsidR="00D44ED6" w:rsidRPr="0087091C" w:rsidRDefault="00D44ED6" w:rsidP="00583A23">
            <w:pPr>
              <w:cnfStyle w:val="100000000000" w:firstRow="1" w:lastRow="0" w:firstColumn="0" w:lastColumn="0" w:oddVBand="0" w:evenVBand="0" w:oddHBand="0" w:evenHBand="0" w:firstRowFirstColumn="0" w:firstRowLastColumn="0" w:lastRowFirstColumn="0" w:lastRowLastColumn="0"/>
              <w:rPr>
                <w:szCs w:val="22"/>
              </w:rPr>
            </w:pPr>
            <w:r w:rsidRPr="0087091C">
              <w:rPr>
                <w:rFonts w:cstheme="minorBidi"/>
                <w:szCs w:val="22"/>
                <w:lang w:eastAsia="en-US"/>
              </w:rPr>
              <w:t>FoundationOne CDx (tissue)</w:t>
            </w:r>
          </w:p>
        </w:tc>
        <w:tc>
          <w:tcPr>
            <w:tcW w:w="0" w:type="dxa"/>
          </w:tcPr>
          <w:p w14:paraId="27B5CE72" w14:textId="77777777" w:rsidR="00D44ED6" w:rsidRPr="0087091C" w:rsidRDefault="00D44ED6" w:rsidP="00583A23">
            <w:pPr>
              <w:cnfStyle w:val="100000000000" w:firstRow="1" w:lastRow="0" w:firstColumn="0" w:lastColumn="0" w:oddVBand="0" w:evenVBand="0" w:oddHBand="0" w:evenHBand="0" w:firstRowFirstColumn="0" w:firstRowLastColumn="0" w:lastRowFirstColumn="0" w:lastRowLastColumn="0"/>
              <w:rPr>
                <w:szCs w:val="22"/>
              </w:rPr>
            </w:pPr>
            <w:r w:rsidRPr="0087091C">
              <w:rPr>
                <w:rFonts w:cstheme="minorBidi"/>
                <w:szCs w:val="22"/>
                <w:lang w:eastAsia="en-US"/>
              </w:rPr>
              <w:t>FoundationOne Liquid Cdx (ctDNA)</w:t>
            </w:r>
          </w:p>
        </w:tc>
      </w:tr>
      <w:tr w:rsidR="000A3C7D" w:rsidRPr="00DA0C2B" w14:paraId="20C97A54"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7A3D5A38" w14:textId="77777777" w:rsidR="00D44ED6" w:rsidRPr="00DA0C2B" w:rsidRDefault="00D44ED6" w:rsidP="00583A23">
            <w:pPr>
              <w:rPr>
                <w:color w:val="auto"/>
                <w:szCs w:val="22"/>
              </w:rPr>
            </w:pPr>
            <w:r w:rsidRPr="00DA0C2B">
              <w:rPr>
                <w:rFonts w:cstheme="minorBidi"/>
                <w:color w:val="auto"/>
                <w:szCs w:val="22"/>
                <w:lang w:eastAsia="en-US"/>
              </w:rPr>
              <w:t>Total, n (%)</w:t>
            </w:r>
          </w:p>
        </w:tc>
        <w:tc>
          <w:tcPr>
            <w:tcW w:w="0" w:type="dxa"/>
          </w:tcPr>
          <w:p w14:paraId="1EBB1AE5" w14:textId="77777777" w:rsidR="00D44ED6" w:rsidRPr="00DA0C2B"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rFonts w:cstheme="minorBidi"/>
                <w:color w:val="auto"/>
                <w:szCs w:val="22"/>
                <w:lang w:eastAsia="en-US"/>
              </w:rPr>
              <w:t>796 (100)</w:t>
            </w:r>
          </w:p>
        </w:tc>
        <w:tc>
          <w:tcPr>
            <w:tcW w:w="0" w:type="dxa"/>
          </w:tcPr>
          <w:p w14:paraId="0B03831C" w14:textId="77777777" w:rsidR="00D44ED6" w:rsidRPr="00DA0C2B"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rFonts w:cstheme="minorBidi"/>
                <w:color w:val="auto"/>
                <w:szCs w:val="22"/>
                <w:lang w:eastAsia="en-US"/>
              </w:rPr>
              <w:t>796 (100)</w:t>
            </w:r>
          </w:p>
        </w:tc>
      </w:tr>
      <w:tr w:rsidR="000A3C7D" w:rsidRPr="00DA0C2B" w14:paraId="20458787"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6C66A1FC" w14:textId="77777777" w:rsidR="00D44ED6" w:rsidRPr="00DA0C2B" w:rsidRDefault="00D44ED6" w:rsidP="00583A23">
            <w:pPr>
              <w:rPr>
                <w:color w:val="auto"/>
                <w:szCs w:val="22"/>
              </w:rPr>
            </w:pPr>
            <w:r w:rsidRPr="00DA0C2B">
              <w:rPr>
                <w:rFonts w:cstheme="minorBidi"/>
                <w:color w:val="auto"/>
                <w:szCs w:val="22"/>
                <w:lang w:eastAsia="en-US"/>
              </w:rPr>
              <w:t>BRCAm, n (%)</w:t>
            </w:r>
          </w:p>
        </w:tc>
        <w:tc>
          <w:tcPr>
            <w:tcW w:w="0" w:type="dxa"/>
          </w:tcPr>
          <w:p w14:paraId="3861269A" w14:textId="77777777" w:rsidR="00D44ED6" w:rsidRPr="00DA0C2B"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rFonts w:cstheme="minorBidi"/>
                <w:color w:val="auto"/>
                <w:szCs w:val="22"/>
                <w:lang w:eastAsia="en-US"/>
              </w:rPr>
              <w:t>50 (6.3)</w:t>
            </w:r>
          </w:p>
        </w:tc>
        <w:tc>
          <w:tcPr>
            <w:tcW w:w="0" w:type="dxa"/>
          </w:tcPr>
          <w:p w14:paraId="0212A4B6" w14:textId="77777777" w:rsidR="00D44ED6" w:rsidRPr="00DA0C2B"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rFonts w:cstheme="minorBidi"/>
                <w:color w:val="auto"/>
                <w:szCs w:val="22"/>
                <w:lang w:eastAsia="en-US"/>
              </w:rPr>
              <w:t>69 (8.7)</w:t>
            </w:r>
          </w:p>
        </w:tc>
      </w:tr>
      <w:tr w:rsidR="000A3C7D" w:rsidRPr="00DA0C2B" w14:paraId="59A1E756"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266CFC5F" w14:textId="77777777" w:rsidR="00D44ED6" w:rsidRPr="00DA0C2B" w:rsidRDefault="00D44ED6" w:rsidP="00583A23">
            <w:pPr>
              <w:rPr>
                <w:color w:val="auto"/>
                <w:szCs w:val="22"/>
              </w:rPr>
            </w:pPr>
            <w:r w:rsidRPr="00DA0C2B">
              <w:rPr>
                <w:rFonts w:cstheme="minorBidi"/>
                <w:color w:val="auto"/>
                <w:szCs w:val="22"/>
                <w:lang w:eastAsia="en-US"/>
              </w:rPr>
              <w:t>Non-BRCAm, n (%)</w:t>
            </w:r>
          </w:p>
        </w:tc>
        <w:tc>
          <w:tcPr>
            <w:tcW w:w="0" w:type="dxa"/>
          </w:tcPr>
          <w:p w14:paraId="3E1A8714" w14:textId="77777777" w:rsidR="00D44ED6" w:rsidRPr="00DA0C2B"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rFonts w:cstheme="minorBidi"/>
                <w:color w:val="auto"/>
                <w:szCs w:val="22"/>
                <w:lang w:eastAsia="en-US"/>
              </w:rPr>
              <w:t>485 (60.9)</w:t>
            </w:r>
          </w:p>
        </w:tc>
        <w:tc>
          <w:tcPr>
            <w:tcW w:w="0" w:type="dxa"/>
          </w:tcPr>
          <w:p w14:paraId="1ABCD772" w14:textId="77777777" w:rsidR="00D44ED6" w:rsidRPr="00DA0C2B"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rFonts w:cstheme="minorBidi"/>
                <w:color w:val="auto"/>
                <w:szCs w:val="22"/>
                <w:lang w:eastAsia="en-US"/>
              </w:rPr>
              <w:t>665 (83.5)</w:t>
            </w:r>
          </w:p>
        </w:tc>
      </w:tr>
      <w:tr w:rsidR="000A3C7D" w:rsidRPr="00DA0C2B" w14:paraId="6F96CACF"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3334AD8D" w14:textId="77777777" w:rsidR="00D44ED6" w:rsidRPr="00DA0C2B" w:rsidRDefault="00D44ED6" w:rsidP="00583A23">
            <w:pPr>
              <w:rPr>
                <w:color w:val="auto"/>
                <w:szCs w:val="22"/>
              </w:rPr>
            </w:pPr>
            <w:r w:rsidRPr="00DA0C2B">
              <w:rPr>
                <w:rFonts w:cstheme="minorBidi"/>
                <w:color w:val="auto"/>
                <w:szCs w:val="22"/>
                <w:lang w:eastAsia="en-US"/>
              </w:rPr>
              <w:t>HRRm, n (%) [prevalence]</w:t>
            </w:r>
          </w:p>
        </w:tc>
        <w:tc>
          <w:tcPr>
            <w:tcW w:w="0" w:type="dxa"/>
          </w:tcPr>
          <w:p w14:paraId="06F2D5DD" w14:textId="77777777" w:rsidR="00D44ED6" w:rsidRPr="00DA0C2B"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rFonts w:cstheme="minorBidi"/>
                <w:color w:val="auto"/>
                <w:szCs w:val="22"/>
                <w:lang w:eastAsia="en-US"/>
              </w:rPr>
              <w:t>118 (14.8) [</w:t>
            </w:r>
            <w:r w:rsidRPr="00DA0C2B">
              <w:rPr>
                <w:rFonts w:cstheme="minorBidi"/>
                <w:i/>
                <w:iCs/>
                <w:color w:val="auto"/>
                <w:szCs w:val="22"/>
                <w:lang w:eastAsia="en-US"/>
              </w:rPr>
              <w:t>22.1]</w:t>
            </w:r>
          </w:p>
        </w:tc>
        <w:tc>
          <w:tcPr>
            <w:tcW w:w="0" w:type="dxa"/>
          </w:tcPr>
          <w:p w14:paraId="2D033862" w14:textId="77777777" w:rsidR="00D44ED6" w:rsidRPr="00DA0C2B"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rFonts w:cstheme="minorBidi"/>
                <w:color w:val="auto"/>
                <w:szCs w:val="22"/>
                <w:lang w:eastAsia="en-US"/>
              </w:rPr>
              <w:t>198 (24.9) [</w:t>
            </w:r>
            <w:r w:rsidRPr="00DA0C2B">
              <w:rPr>
                <w:rFonts w:cstheme="minorBidi"/>
                <w:i/>
                <w:iCs/>
                <w:color w:val="auto"/>
                <w:szCs w:val="22"/>
                <w:lang w:eastAsia="en-US"/>
              </w:rPr>
              <w:t>27.0]</w:t>
            </w:r>
          </w:p>
        </w:tc>
      </w:tr>
      <w:tr w:rsidR="000A3C7D" w:rsidRPr="00DA0C2B" w14:paraId="1C18C184"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06EF64C8" w14:textId="77777777" w:rsidR="00D44ED6" w:rsidRPr="00DA0C2B" w:rsidRDefault="00D44ED6" w:rsidP="00583A23">
            <w:pPr>
              <w:rPr>
                <w:color w:val="auto"/>
                <w:szCs w:val="22"/>
              </w:rPr>
            </w:pPr>
            <w:r w:rsidRPr="00DA0C2B">
              <w:rPr>
                <w:rFonts w:cstheme="minorBidi"/>
                <w:color w:val="auto"/>
                <w:szCs w:val="22"/>
                <w:lang w:eastAsia="en-US"/>
              </w:rPr>
              <w:t>Non-HRRm</w:t>
            </w:r>
          </w:p>
        </w:tc>
        <w:tc>
          <w:tcPr>
            <w:tcW w:w="0" w:type="dxa"/>
          </w:tcPr>
          <w:p w14:paraId="28FA109E" w14:textId="77777777" w:rsidR="00D44ED6" w:rsidRPr="00DA0C2B"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rFonts w:cstheme="minorBidi"/>
                <w:color w:val="auto"/>
                <w:szCs w:val="22"/>
                <w:lang w:eastAsia="en-US"/>
              </w:rPr>
              <w:t>417 (52.4)</w:t>
            </w:r>
          </w:p>
        </w:tc>
        <w:tc>
          <w:tcPr>
            <w:tcW w:w="0" w:type="dxa"/>
          </w:tcPr>
          <w:p w14:paraId="1C5C4D93" w14:textId="77777777" w:rsidR="00D44ED6" w:rsidRPr="00DA0C2B"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rFonts w:cstheme="minorBidi"/>
                <w:color w:val="auto"/>
                <w:szCs w:val="22"/>
                <w:lang w:eastAsia="en-US"/>
              </w:rPr>
              <w:t>536 (67.3)</w:t>
            </w:r>
          </w:p>
        </w:tc>
      </w:tr>
      <w:tr w:rsidR="000A3C7D" w:rsidRPr="00DA0C2B" w14:paraId="3BDAAD6B"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7CC4B8DF" w14:textId="77777777" w:rsidR="00D44ED6" w:rsidRPr="00DA0C2B" w:rsidRDefault="00D44ED6" w:rsidP="00583A23">
            <w:pPr>
              <w:rPr>
                <w:color w:val="auto"/>
                <w:szCs w:val="22"/>
              </w:rPr>
            </w:pPr>
            <w:r w:rsidRPr="00DA0C2B">
              <w:rPr>
                <w:rFonts w:cstheme="minorBidi"/>
                <w:color w:val="auto"/>
                <w:szCs w:val="22"/>
                <w:lang w:eastAsia="en-US"/>
              </w:rPr>
              <w:lastRenderedPageBreak/>
              <w:t>Test failure, n (%)</w:t>
            </w:r>
          </w:p>
        </w:tc>
        <w:tc>
          <w:tcPr>
            <w:tcW w:w="0" w:type="dxa"/>
          </w:tcPr>
          <w:p w14:paraId="21F52DA3" w14:textId="77777777" w:rsidR="00D44ED6" w:rsidRPr="00DA0C2B"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rFonts w:cstheme="minorBidi"/>
                <w:color w:val="auto"/>
                <w:szCs w:val="22"/>
                <w:lang w:eastAsia="en-US"/>
              </w:rPr>
              <w:t>247 (31)</w:t>
            </w:r>
          </w:p>
        </w:tc>
        <w:tc>
          <w:tcPr>
            <w:tcW w:w="0" w:type="dxa"/>
          </w:tcPr>
          <w:p w14:paraId="55E48BF9" w14:textId="77777777" w:rsidR="00D44ED6" w:rsidRPr="00DA0C2B"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rFonts w:cstheme="minorBidi"/>
                <w:color w:val="auto"/>
                <w:szCs w:val="22"/>
                <w:lang w:eastAsia="en-US"/>
              </w:rPr>
              <w:t>60 (7.5)</w:t>
            </w:r>
          </w:p>
        </w:tc>
      </w:tr>
      <w:tr w:rsidR="000A3C7D" w:rsidRPr="00DA0C2B" w14:paraId="54045F0A"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4F3BB32B" w14:textId="77777777" w:rsidR="00D44ED6" w:rsidRPr="00DA0C2B" w:rsidRDefault="00D44ED6" w:rsidP="00583A23">
            <w:pPr>
              <w:rPr>
                <w:color w:val="auto"/>
                <w:szCs w:val="22"/>
              </w:rPr>
            </w:pPr>
            <w:r w:rsidRPr="00DA0C2B">
              <w:rPr>
                <w:rFonts w:cstheme="minorBidi"/>
                <w:color w:val="auto"/>
                <w:szCs w:val="22"/>
                <w:lang w:eastAsia="en-US"/>
              </w:rPr>
              <w:t>No sample, n (%)</w:t>
            </w:r>
          </w:p>
        </w:tc>
        <w:tc>
          <w:tcPr>
            <w:tcW w:w="0" w:type="dxa"/>
          </w:tcPr>
          <w:p w14:paraId="40555588" w14:textId="77777777" w:rsidR="00D44ED6" w:rsidRPr="00DA0C2B"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rFonts w:cstheme="minorBidi"/>
                <w:color w:val="auto"/>
                <w:szCs w:val="22"/>
                <w:lang w:eastAsia="en-US"/>
              </w:rPr>
              <w:t>14 (1.8)</w:t>
            </w:r>
          </w:p>
        </w:tc>
        <w:tc>
          <w:tcPr>
            <w:tcW w:w="0" w:type="dxa"/>
          </w:tcPr>
          <w:p w14:paraId="24BF253D" w14:textId="77777777" w:rsidR="00D44ED6" w:rsidRPr="00DA0C2B"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rFonts w:cstheme="minorBidi"/>
                <w:color w:val="auto"/>
                <w:szCs w:val="22"/>
                <w:lang w:eastAsia="en-US"/>
              </w:rPr>
              <w:t>2 (0.3)</w:t>
            </w:r>
          </w:p>
        </w:tc>
      </w:tr>
    </w:tbl>
    <w:p w14:paraId="23AC992A" w14:textId="77777777" w:rsidR="00D44ED6" w:rsidRDefault="00D44ED6" w:rsidP="00583A23">
      <w:pPr>
        <w:pStyle w:val="Heading6"/>
      </w:pPr>
      <w:r>
        <w:t>Results</w:t>
      </w:r>
    </w:p>
    <w:p w14:paraId="5CC8BC1A" w14:textId="588A5B08" w:rsidR="00D44ED6" w:rsidRDefault="00D44ED6" w:rsidP="00D44ED6">
      <w:r w:rsidRPr="00DC60CA">
        <w:t xml:space="preserve">Key efficacy results for </w:t>
      </w:r>
      <w:r w:rsidRPr="00105055">
        <w:t xml:space="preserve">the PROpel study are summarised in </w:t>
      </w:r>
      <w:r w:rsidR="000A3C7D">
        <w:t xml:space="preserve">Table </w:t>
      </w:r>
      <w:r w:rsidR="00A425C7">
        <w:t xml:space="preserve">7 </w:t>
      </w:r>
      <w:r w:rsidRPr="00105055">
        <w:t>and</w:t>
      </w:r>
      <w:r>
        <w:fldChar w:fldCharType="begin"/>
      </w:r>
      <w:r>
        <w:instrText xml:space="preserve"> REF _Ref131166590 \h </w:instrText>
      </w:r>
      <w:r>
        <w:fldChar w:fldCharType="separate"/>
      </w:r>
      <w:r w:rsidR="006C56CA">
        <w:t xml:space="preserve"> </w:t>
      </w:r>
      <w:r w:rsidRPr="00105055">
        <w:t xml:space="preserve">Figure </w:t>
      </w:r>
      <w:r>
        <w:rPr>
          <w:noProof/>
        </w:rPr>
        <w:t>7</w:t>
      </w:r>
      <w:r>
        <w:fldChar w:fldCharType="end"/>
      </w:r>
      <w:r w:rsidRPr="00105055">
        <w:t xml:space="preserve">. At the first data cut-off (DCO1), a statistically significant improvement in rPFS was demonstrated in patients in the olaparib arm compared with the placebo arm. </w:t>
      </w:r>
      <w:r>
        <w:t xml:space="preserve">A sensitivity analysis using BICR assessment concurred, reporting an rPFS HR (95% CI) of </w:t>
      </w:r>
      <w:r w:rsidRPr="00105055">
        <w:t>0.61 (0.49, 0.74)</w:t>
      </w:r>
      <w:r>
        <w:t xml:space="preserve">. </w:t>
      </w:r>
    </w:p>
    <w:p w14:paraId="1BE50CEF" w14:textId="133B474E" w:rsidR="00D44ED6" w:rsidRPr="00DC60CA" w:rsidRDefault="00D44ED6" w:rsidP="00D64B13">
      <w:pPr>
        <w:pStyle w:val="TableTitle"/>
      </w:pPr>
      <w:bookmarkStart w:id="81" w:name="_Ref131166530"/>
      <w:r w:rsidRPr="00DC60CA">
        <w:t xml:space="preserve">Table </w:t>
      </w:r>
      <w:bookmarkEnd w:id="81"/>
      <w:r w:rsidR="00A425C7">
        <w:t>7</w:t>
      </w:r>
      <w:r w:rsidRPr="00DC60CA">
        <w:t xml:space="preserve">. Key efficacy results for </w:t>
      </w:r>
      <w:r>
        <w:t>the FAS in PROpel</w:t>
      </w:r>
      <w:r w:rsidRPr="00DC60CA">
        <w:t xml:space="preserve"> </w:t>
      </w:r>
    </w:p>
    <w:tbl>
      <w:tblPr>
        <w:tblStyle w:val="TableTGAblue2023"/>
        <w:tblW w:w="9062" w:type="dxa"/>
        <w:tblLook w:val="04A0" w:firstRow="1" w:lastRow="0" w:firstColumn="1" w:lastColumn="0" w:noHBand="0" w:noVBand="1"/>
      </w:tblPr>
      <w:tblGrid>
        <w:gridCol w:w="3459"/>
        <w:gridCol w:w="2866"/>
        <w:gridCol w:w="2737"/>
      </w:tblGrid>
      <w:tr w:rsidR="00D44ED6" w:rsidRPr="00DA0C2B" w14:paraId="054F666B" w14:textId="77777777" w:rsidTr="00870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D2DFE59" w14:textId="77777777" w:rsidR="00D44ED6" w:rsidRPr="0087091C" w:rsidRDefault="00D44ED6" w:rsidP="00D64B13">
            <w:pPr>
              <w:rPr>
                <w:szCs w:val="22"/>
              </w:rPr>
            </w:pPr>
          </w:p>
        </w:tc>
        <w:tc>
          <w:tcPr>
            <w:tcW w:w="0" w:type="dxa"/>
          </w:tcPr>
          <w:p w14:paraId="288367C9" w14:textId="0130F2E2" w:rsidR="00D44ED6" w:rsidRPr="0087091C" w:rsidRDefault="00D44ED6" w:rsidP="00D64B13">
            <w:pPr>
              <w:cnfStyle w:val="100000000000" w:firstRow="1" w:lastRow="0" w:firstColumn="0" w:lastColumn="0" w:oddVBand="0" w:evenVBand="0" w:oddHBand="0" w:evenHBand="0" w:firstRowFirstColumn="0" w:firstRowLastColumn="0" w:lastRowFirstColumn="0" w:lastRowLastColumn="0"/>
              <w:rPr>
                <w:szCs w:val="22"/>
              </w:rPr>
            </w:pPr>
            <w:r w:rsidRPr="0087091C">
              <w:rPr>
                <w:szCs w:val="22"/>
              </w:rPr>
              <w:t>Olaparib</w:t>
            </w:r>
            <w:r w:rsidR="0087091C">
              <w:rPr>
                <w:szCs w:val="22"/>
              </w:rPr>
              <w:t xml:space="preserve"> </w:t>
            </w:r>
            <w:r w:rsidRPr="0087091C">
              <w:rPr>
                <w:szCs w:val="22"/>
              </w:rPr>
              <w:t>(n=399)</w:t>
            </w:r>
          </w:p>
        </w:tc>
        <w:tc>
          <w:tcPr>
            <w:tcW w:w="0" w:type="dxa"/>
          </w:tcPr>
          <w:p w14:paraId="5431607C" w14:textId="04585231" w:rsidR="00D44ED6" w:rsidRPr="0087091C" w:rsidRDefault="00D44ED6" w:rsidP="00D64B13">
            <w:pPr>
              <w:cnfStyle w:val="100000000000" w:firstRow="1" w:lastRow="0" w:firstColumn="0" w:lastColumn="0" w:oddVBand="0" w:evenVBand="0" w:oddHBand="0" w:evenHBand="0" w:firstRowFirstColumn="0" w:firstRowLastColumn="0" w:lastRowFirstColumn="0" w:lastRowLastColumn="0"/>
              <w:rPr>
                <w:szCs w:val="22"/>
              </w:rPr>
            </w:pPr>
            <w:r w:rsidRPr="0087091C">
              <w:rPr>
                <w:szCs w:val="22"/>
              </w:rPr>
              <w:t>Placebo</w:t>
            </w:r>
            <w:r w:rsidR="0087091C">
              <w:rPr>
                <w:szCs w:val="22"/>
              </w:rPr>
              <w:t xml:space="preserve"> </w:t>
            </w:r>
            <w:r w:rsidRPr="0087091C">
              <w:rPr>
                <w:szCs w:val="22"/>
              </w:rPr>
              <w:t>(n=397)</w:t>
            </w:r>
          </w:p>
        </w:tc>
      </w:tr>
      <w:tr w:rsidR="00D44ED6" w:rsidRPr="00DA0C2B" w14:paraId="1B0E7DB4"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5218C387" w14:textId="77777777" w:rsidR="00D44ED6" w:rsidRPr="00DA0C2B" w:rsidRDefault="00D44ED6" w:rsidP="00D64B13">
            <w:pPr>
              <w:rPr>
                <w:bCs/>
                <w:color w:val="FF0000"/>
                <w:szCs w:val="22"/>
              </w:rPr>
            </w:pPr>
            <w:r w:rsidRPr="00DA0C2B">
              <w:rPr>
                <w:bCs/>
                <w:color w:val="auto"/>
                <w:szCs w:val="22"/>
              </w:rPr>
              <w:t xml:space="preserve">rPFS (DCO1: 30 JUL 2021) </w:t>
            </w:r>
            <w:r w:rsidRPr="00DA0C2B">
              <w:rPr>
                <w:bCs/>
                <w:color w:val="auto"/>
                <w:szCs w:val="22"/>
                <w:vertAlign w:val="superscript"/>
              </w:rPr>
              <w:t>a</w:t>
            </w:r>
            <w:r w:rsidRPr="00DA0C2B">
              <w:rPr>
                <w:bCs/>
                <w:color w:val="auto"/>
                <w:szCs w:val="22"/>
              </w:rPr>
              <w:t xml:space="preserve"> per Investigator </w:t>
            </w:r>
          </w:p>
        </w:tc>
        <w:tc>
          <w:tcPr>
            <w:tcW w:w="0" w:type="dxa"/>
            <w:gridSpan w:val="2"/>
          </w:tcPr>
          <w:p w14:paraId="1B11F5C6" w14:textId="77777777" w:rsidR="00D44ED6" w:rsidRPr="00DA0C2B" w:rsidRDefault="00D44ED6" w:rsidP="00D64B13">
            <w:pPr>
              <w:cnfStyle w:val="000000000000" w:firstRow="0" w:lastRow="0" w:firstColumn="0" w:lastColumn="0" w:oddVBand="0" w:evenVBand="0" w:oddHBand="0" w:evenHBand="0" w:firstRowFirstColumn="0" w:firstRowLastColumn="0" w:lastRowFirstColumn="0" w:lastRowLastColumn="0"/>
              <w:rPr>
                <w:bCs/>
                <w:color w:val="FF0000"/>
                <w:szCs w:val="22"/>
              </w:rPr>
            </w:pPr>
          </w:p>
        </w:tc>
      </w:tr>
      <w:tr w:rsidR="00D44ED6" w:rsidRPr="00DA0C2B" w14:paraId="2083CCE2"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15F934E4" w14:textId="77777777" w:rsidR="00D44ED6" w:rsidRPr="00DA0C2B" w:rsidRDefault="00D44ED6" w:rsidP="00D64B13">
            <w:pPr>
              <w:rPr>
                <w:color w:val="auto"/>
                <w:szCs w:val="22"/>
              </w:rPr>
            </w:pPr>
            <w:r w:rsidRPr="00DA0C2B">
              <w:rPr>
                <w:color w:val="auto"/>
                <w:szCs w:val="22"/>
              </w:rPr>
              <w:t>Events, n (%)</w:t>
            </w:r>
          </w:p>
        </w:tc>
        <w:tc>
          <w:tcPr>
            <w:tcW w:w="0" w:type="dxa"/>
          </w:tcPr>
          <w:p w14:paraId="146EC1C8" w14:textId="77777777" w:rsidR="00D44ED6" w:rsidRPr="00DA0C2B" w:rsidRDefault="00D44ED6" w:rsidP="00D64B1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color w:val="auto"/>
                <w:szCs w:val="22"/>
              </w:rPr>
              <w:t>168 (42%)</w:t>
            </w:r>
          </w:p>
        </w:tc>
        <w:tc>
          <w:tcPr>
            <w:tcW w:w="0" w:type="dxa"/>
          </w:tcPr>
          <w:p w14:paraId="780CDCE9" w14:textId="77777777" w:rsidR="00D44ED6" w:rsidRPr="00DA0C2B" w:rsidRDefault="00D44ED6" w:rsidP="00D64B1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color w:val="auto"/>
                <w:szCs w:val="22"/>
              </w:rPr>
              <w:t>226 (57%)</w:t>
            </w:r>
          </w:p>
        </w:tc>
      </w:tr>
      <w:tr w:rsidR="00D44ED6" w:rsidRPr="00DA0C2B" w14:paraId="6C168100"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7B57C5DA" w14:textId="77777777" w:rsidR="00D44ED6" w:rsidRPr="00DA0C2B" w:rsidRDefault="00D44ED6" w:rsidP="00D64B13">
            <w:pPr>
              <w:rPr>
                <w:color w:val="auto"/>
                <w:szCs w:val="22"/>
              </w:rPr>
            </w:pPr>
            <w:r w:rsidRPr="00DA0C2B">
              <w:rPr>
                <w:color w:val="auto"/>
                <w:szCs w:val="22"/>
              </w:rPr>
              <w:t>Median (95% CI), months</w:t>
            </w:r>
          </w:p>
        </w:tc>
        <w:tc>
          <w:tcPr>
            <w:tcW w:w="0" w:type="dxa"/>
          </w:tcPr>
          <w:p w14:paraId="714E2E89" w14:textId="77777777" w:rsidR="00D44ED6" w:rsidRPr="00DA0C2B" w:rsidRDefault="00D44ED6" w:rsidP="00D64B1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color w:val="auto"/>
                <w:szCs w:val="22"/>
              </w:rPr>
              <w:t>24.8 (20.5, 27.6)</w:t>
            </w:r>
          </w:p>
        </w:tc>
        <w:tc>
          <w:tcPr>
            <w:tcW w:w="0" w:type="dxa"/>
          </w:tcPr>
          <w:p w14:paraId="5F5C1ECD" w14:textId="77777777" w:rsidR="00D44ED6" w:rsidRPr="00DA0C2B" w:rsidRDefault="00D44ED6" w:rsidP="00D64B1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color w:val="auto"/>
                <w:szCs w:val="22"/>
              </w:rPr>
              <w:t>16.6 (14.0, 19.2)</w:t>
            </w:r>
          </w:p>
        </w:tc>
      </w:tr>
      <w:tr w:rsidR="00D44ED6" w:rsidRPr="00DA0C2B" w14:paraId="69262C6C"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365FD7BC" w14:textId="77777777" w:rsidR="00D44ED6" w:rsidRPr="00DA0C2B" w:rsidRDefault="00D44ED6" w:rsidP="00D64B13">
            <w:pPr>
              <w:rPr>
                <w:color w:val="auto"/>
                <w:szCs w:val="22"/>
              </w:rPr>
            </w:pPr>
            <w:r w:rsidRPr="00DA0C2B">
              <w:rPr>
                <w:color w:val="auto"/>
                <w:szCs w:val="22"/>
              </w:rPr>
              <w:t xml:space="preserve">HR (95% CI) </w:t>
            </w:r>
            <w:r w:rsidRPr="00DA0C2B">
              <w:rPr>
                <w:szCs w:val="22"/>
                <w:vertAlign w:val="superscript"/>
              </w:rPr>
              <w:fldChar w:fldCharType="begin"/>
            </w:r>
            <w:r w:rsidRPr="00DA0C2B">
              <w:rPr>
                <w:color w:val="auto"/>
                <w:szCs w:val="22"/>
                <w:vertAlign w:val="superscript"/>
              </w:rPr>
              <w:instrText xml:space="preserve"> REF _Ref125725565 \w \h  \* MERGEFORMAT </w:instrText>
            </w:r>
            <w:r w:rsidRPr="00DA0C2B">
              <w:rPr>
                <w:szCs w:val="22"/>
                <w:vertAlign w:val="superscript"/>
              </w:rPr>
            </w:r>
            <w:r w:rsidRPr="00DA0C2B">
              <w:rPr>
                <w:szCs w:val="22"/>
                <w:vertAlign w:val="superscript"/>
              </w:rPr>
              <w:fldChar w:fldCharType="separate"/>
            </w:r>
            <w:r w:rsidRPr="00DA0C2B">
              <w:rPr>
                <w:color w:val="auto"/>
                <w:szCs w:val="22"/>
                <w:vertAlign w:val="superscript"/>
              </w:rPr>
              <w:t>b</w:t>
            </w:r>
            <w:r w:rsidRPr="00DA0C2B">
              <w:rPr>
                <w:szCs w:val="22"/>
                <w:vertAlign w:val="superscript"/>
              </w:rPr>
              <w:fldChar w:fldCharType="end"/>
            </w:r>
          </w:p>
        </w:tc>
        <w:tc>
          <w:tcPr>
            <w:tcW w:w="0" w:type="dxa"/>
            <w:gridSpan w:val="2"/>
          </w:tcPr>
          <w:p w14:paraId="15E40F28" w14:textId="77777777" w:rsidR="00D44ED6" w:rsidRPr="00DA0C2B" w:rsidRDefault="00D44ED6" w:rsidP="00D64B1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color w:val="auto"/>
                <w:szCs w:val="22"/>
              </w:rPr>
              <w:t>0.66 (0.54, 0.81)</w:t>
            </w:r>
          </w:p>
        </w:tc>
      </w:tr>
      <w:tr w:rsidR="00D44ED6" w:rsidRPr="00DA0C2B" w14:paraId="0FFE88B7"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78832298" w14:textId="77777777" w:rsidR="00D44ED6" w:rsidRPr="00DA0C2B" w:rsidRDefault="00D44ED6" w:rsidP="00D64B13">
            <w:pPr>
              <w:rPr>
                <w:color w:val="auto"/>
                <w:szCs w:val="22"/>
              </w:rPr>
            </w:pPr>
            <w:r w:rsidRPr="00DA0C2B">
              <w:rPr>
                <w:color w:val="auto"/>
                <w:szCs w:val="22"/>
              </w:rPr>
              <w:t xml:space="preserve">2-sided p-value </w:t>
            </w:r>
            <w:r w:rsidRPr="00DA0C2B">
              <w:rPr>
                <w:szCs w:val="22"/>
                <w:vertAlign w:val="superscript"/>
              </w:rPr>
              <w:fldChar w:fldCharType="begin"/>
            </w:r>
            <w:r w:rsidRPr="00DA0C2B">
              <w:rPr>
                <w:color w:val="auto"/>
                <w:szCs w:val="22"/>
                <w:vertAlign w:val="superscript"/>
              </w:rPr>
              <w:instrText xml:space="preserve"> REF _Ref130991113 \w \h  \* MERGEFORMAT </w:instrText>
            </w:r>
            <w:r w:rsidRPr="00DA0C2B">
              <w:rPr>
                <w:szCs w:val="22"/>
                <w:vertAlign w:val="superscript"/>
              </w:rPr>
            </w:r>
            <w:r w:rsidRPr="00DA0C2B">
              <w:rPr>
                <w:szCs w:val="22"/>
                <w:vertAlign w:val="superscript"/>
              </w:rPr>
              <w:fldChar w:fldCharType="separate"/>
            </w:r>
            <w:r w:rsidRPr="00DA0C2B">
              <w:rPr>
                <w:color w:val="auto"/>
                <w:szCs w:val="22"/>
                <w:vertAlign w:val="superscript"/>
              </w:rPr>
              <w:t>c</w:t>
            </w:r>
            <w:r w:rsidRPr="00DA0C2B">
              <w:rPr>
                <w:szCs w:val="22"/>
                <w:vertAlign w:val="superscript"/>
              </w:rPr>
              <w:fldChar w:fldCharType="end"/>
            </w:r>
          </w:p>
        </w:tc>
        <w:tc>
          <w:tcPr>
            <w:tcW w:w="0" w:type="dxa"/>
            <w:gridSpan w:val="2"/>
          </w:tcPr>
          <w:p w14:paraId="59D3089E" w14:textId="77777777" w:rsidR="00D44ED6" w:rsidRPr="00DA0C2B" w:rsidRDefault="00D44ED6" w:rsidP="00D64B1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color w:val="auto"/>
                <w:szCs w:val="22"/>
              </w:rPr>
              <w:t>&lt; 0.0001</w:t>
            </w:r>
          </w:p>
        </w:tc>
      </w:tr>
      <w:tr w:rsidR="00D44ED6" w:rsidRPr="00DA0C2B" w14:paraId="59AE94BB"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32CF9CDD" w14:textId="77777777" w:rsidR="00D44ED6" w:rsidRPr="00DA0C2B" w:rsidRDefault="00D44ED6" w:rsidP="00D64B13">
            <w:pPr>
              <w:rPr>
                <w:bCs/>
                <w:color w:val="auto"/>
                <w:szCs w:val="22"/>
              </w:rPr>
            </w:pPr>
            <w:r w:rsidRPr="00DA0C2B">
              <w:rPr>
                <w:bCs/>
                <w:color w:val="auto"/>
                <w:szCs w:val="22"/>
              </w:rPr>
              <w:t>OS (DCO3: 14 MAR 2022)</w:t>
            </w:r>
          </w:p>
        </w:tc>
        <w:tc>
          <w:tcPr>
            <w:tcW w:w="0" w:type="dxa"/>
            <w:gridSpan w:val="2"/>
          </w:tcPr>
          <w:p w14:paraId="61C18F98" w14:textId="77777777" w:rsidR="00D44ED6" w:rsidRPr="00DA0C2B" w:rsidRDefault="00D44ED6" w:rsidP="00D64B13">
            <w:pPr>
              <w:cnfStyle w:val="000000000000" w:firstRow="0" w:lastRow="0" w:firstColumn="0" w:lastColumn="0" w:oddVBand="0" w:evenVBand="0" w:oddHBand="0" w:evenHBand="0" w:firstRowFirstColumn="0" w:firstRowLastColumn="0" w:lastRowFirstColumn="0" w:lastRowLastColumn="0"/>
              <w:rPr>
                <w:bCs/>
                <w:color w:val="auto"/>
                <w:szCs w:val="22"/>
              </w:rPr>
            </w:pPr>
          </w:p>
        </w:tc>
      </w:tr>
      <w:tr w:rsidR="00D44ED6" w:rsidRPr="00DA0C2B" w14:paraId="4274CA44"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198CB3F6" w14:textId="77777777" w:rsidR="00D44ED6" w:rsidRPr="00DA0C2B" w:rsidRDefault="00D44ED6" w:rsidP="00D64B13">
            <w:pPr>
              <w:rPr>
                <w:color w:val="auto"/>
                <w:szCs w:val="22"/>
              </w:rPr>
            </w:pPr>
            <w:r w:rsidRPr="00DA0C2B">
              <w:rPr>
                <w:color w:val="auto"/>
                <w:szCs w:val="22"/>
              </w:rPr>
              <w:t>Deaths, n (%)</w:t>
            </w:r>
          </w:p>
        </w:tc>
        <w:tc>
          <w:tcPr>
            <w:tcW w:w="0" w:type="dxa"/>
          </w:tcPr>
          <w:p w14:paraId="45E098AB" w14:textId="77777777" w:rsidR="00D44ED6" w:rsidRPr="00DA0C2B" w:rsidRDefault="00D44ED6" w:rsidP="00D64B1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color w:val="auto"/>
                <w:szCs w:val="22"/>
              </w:rPr>
              <w:t>176 (44%)</w:t>
            </w:r>
          </w:p>
        </w:tc>
        <w:tc>
          <w:tcPr>
            <w:tcW w:w="0" w:type="dxa"/>
          </w:tcPr>
          <w:p w14:paraId="544DA9B8" w14:textId="77777777" w:rsidR="00D44ED6" w:rsidRPr="00DA0C2B" w:rsidRDefault="00D44ED6" w:rsidP="00D64B1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color w:val="auto"/>
                <w:szCs w:val="22"/>
              </w:rPr>
              <w:t>205 (52%)</w:t>
            </w:r>
          </w:p>
        </w:tc>
      </w:tr>
      <w:tr w:rsidR="00D44ED6" w:rsidRPr="00DA0C2B" w14:paraId="270007F2"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1580650D" w14:textId="77777777" w:rsidR="00D44ED6" w:rsidRPr="00DA0C2B" w:rsidRDefault="00D44ED6" w:rsidP="00D64B13">
            <w:pPr>
              <w:rPr>
                <w:color w:val="auto"/>
                <w:szCs w:val="22"/>
              </w:rPr>
            </w:pPr>
            <w:r w:rsidRPr="00DA0C2B">
              <w:rPr>
                <w:color w:val="auto"/>
                <w:szCs w:val="22"/>
              </w:rPr>
              <w:t xml:space="preserve">HR (95% CI) </w:t>
            </w:r>
          </w:p>
        </w:tc>
        <w:tc>
          <w:tcPr>
            <w:tcW w:w="0" w:type="dxa"/>
            <w:gridSpan w:val="2"/>
          </w:tcPr>
          <w:p w14:paraId="79B16F19" w14:textId="77777777" w:rsidR="00D44ED6" w:rsidRPr="00DA0C2B" w:rsidRDefault="00D44ED6" w:rsidP="00D64B13">
            <w:pPr>
              <w:cnfStyle w:val="000000000000" w:firstRow="0" w:lastRow="0" w:firstColumn="0" w:lastColumn="0" w:oddVBand="0" w:evenVBand="0" w:oddHBand="0" w:evenHBand="0" w:firstRowFirstColumn="0" w:firstRowLastColumn="0" w:lastRowFirstColumn="0" w:lastRowLastColumn="0"/>
              <w:rPr>
                <w:color w:val="auto"/>
                <w:szCs w:val="22"/>
              </w:rPr>
            </w:pPr>
            <w:r w:rsidRPr="00DA0C2B">
              <w:rPr>
                <w:color w:val="auto"/>
                <w:szCs w:val="22"/>
              </w:rPr>
              <w:t>0.81 (0.67, 1.00)</w:t>
            </w:r>
          </w:p>
        </w:tc>
      </w:tr>
    </w:tbl>
    <w:p w14:paraId="473D9E1D" w14:textId="77777777" w:rsidR="00D44ED6" w:rsidRPr="00DE3B12" w:rsidRDefault="00D44ED6" w:rsidP="0087091C">
      <w:pPr>
        <w:pStyle w:val="TableDescription"/>
        <w:rPr>
          <w:color w:val="FF0000"/>
        </w:rPr>
      </w:pPr>
      <w:r w:rsidRPr="005D3D80">
        <w:t xml:space="preserve">CI = confidence interval; DCO = data cut-off; FAS = full analysis set; HR = hazard ratio; rPFS = radiographic progression-free </w:t>
      </w:r>
      <w:r w:rsidRPr="0043526A">
        <w:t>survival; OS = overall survival</w:t>
      </w:r>
    </w:p>
    <w:p w14:paraId="21E79827" w14:textId="77777777" w:rsidR="00D44ED6" w:rsidRPr="00DC60CA" w:rsidRDefault="00D44ED6" w:rsidP="0087091C">
      <w:pPr>
        <w:pStyle w:val="TableDescription"/>
      </w:pPr>
      <w:r w:rsidRPr="00DC60CA">
        <w:t>Median duration of follow-up 16.5 months in the olaparib arm and 14.0 months in the placebo arm. rPFS data at 49.5% maturity.</w:t>
      </w:r>
    </w:p>
    <w:p w14:paraId="4CC4CCEF" w14:textId="77777777" w:rsidR="00D44ED6" w:rsidRPr="00DC60CA" w:rsidRDefault="00D44ED6" w:rsidP="0087091C">
      <w:pPr>
        <w:pStyle w:val="TableDescription"/>
      </w:pPr>
      <w:r w:rsidRPr="00DC60CA">
        <w:t>Cox proportional hazards model stratified by same categories used in the randomisation system.</w:t>
      </w:r>
    </w:p>
    <w:p w14:paraId="34F6D294" w14:textId="77777777" w:rsidR="00D44ED6" w:rsidRPr="00DC60CA" w:rsidRDefault="00D44ED6" w:rsidP="0087091C">
      <w:pPr>
        <w:pStyle w:val="TableDescription"/>
      </w:pPr>
      <w:bookmarkStart w:id="82" w:name="_Ref130991113"/>
      <w:r w:rsidRPr="00DC60CA">
        <w:t>Log-rank test, stratified as for the Cox PH model above. 2-sided significance level =</w:t>
      </w:r>
      <w:r>
        <w:t xml:space="preserve"> </w:t>
      </w:r>
      <w:r w:rsidRPr="00DC60CA">
        <w:t>0.0324</w:t>
      </w:r>
      <w:bookmarkEnd w:id="82"/>
    </w:p>
    <w:p w14:paraId="24D3CEF8" w14:textId="62F8F024" w:rsidR="00D44ED6" w:rsidRPr="00105055" w:rsidRDefault="00D44ED6" w:rsidP="00583A23">
      <w:pPr>
        <w:pStyle w:val="FigureTitle"/>
      </w:pPr>
      <w:bookmarkStart w:id="83" w:name="_Ref131166590"/>
      <w:r w:rsidRPr="00105055">
        <w:lastRenderedPageBreak/>
        <w:t xml:space="preserve">Figure </w:t>
      </w:r>
      <w:r>
        <w:fldChar w:fldCharType="begin"/>
      </w:r>
      <w:r>
        <w:instrText xml:space="preserve"> SEQ Figure \* ARABIC </w:instrText>
      </w:r>
      <w:r>
        <w:fldChar w:fldCharType="separate"/>
      </w:r>
      <w:r>
        <w:rPr>
          <w:noProof/>
        </w:rPr>
        <w:t>7</w:t>
      </w:r>
      <w:r>
        <w:rPr>
          <w:noProof/>
        </w:rPr>
        <w:fldChar w:fldCharType="end"/>
      </w:r>
      <w:bookmarkEnd w:id="83"/>
      <w:r w:rsidRPr="00105055">
        <w:t>. Kaplan-Meier plot of rPFS</w:t>
      </w:r>
      <w:r>
        <w:t xml:space="preserve"> per Investigator</w:t>
      </w:r>
      <w:r w:rsidRPr="00105055">
        <w:t xml:space="preserve"> in the FAS of PROpel at the primary analysis (DCO 30 JUL 2021)</w:t>
      </w:r>
    </w:p>
    <w:p w14:paraId="6CB7BD28" w14:textId="131E9DE4" w:rsidR="00D44ED6" w:rsidRPr="00105055" w:rsidRDefault="00D44ED6" w:rsidP="00D44ED6">
      <w:pPr>
        <w:autoSpaceDE w:val="0"/>
        <w:autoSpaceDN w:val="0"/>
        <w:adjustRightInd w:val="0"/>
        <w:spacing w:after="0" w:line="240" w:lineRule="auto"/>
        <w:rPr>
          <w:rFonts w:asciiTheme="minorHAnsi" w:hAnsiTheme="minorHAnsi" w:cs="TimesNewRoman"/>
          <w:sz w:val="18"/>
          <w:szCs w:val="18"/>
        </w:rPr>
      </w:pPr>
      <w:r>
        <w:rPr>
          <w:noProof/>
        </w:rPr>
        <w:drawing>
          <wp:inline distT="0" distB="0" distL="0" distR="0" wp14:anchorId="783278C6" wp14:editId="7FB99635">
            <wp:extent cx="8154655" cy="5690913"/>
            <wp:effectExtent l="0" t="6667" r="0" b="0"/>
            <wp:docPr id="21" name="Picture 21" descr=". Kaplan-Meier plot of rPFS per Investigator in the FAS of PROpel at the primary analysis (DCO 30 JU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 Kaplan-Meier plot of rPFS per Investigator in the FAS of PROpel at the primary analysis (DCO 30 JUL 202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rot="16200000">
                      <a:off x="0" y="0"/>
                      <a:ext cx="8234576" cy="5746688"/>
                    </a:xfrm>
                    <a:prstGeom prst="rect">
                      <a:avLst/>
                    </a:prstGeom>
                  </pic:spPr>
                </pic:pic>
              </a:graphicData>
            </a:graphic>
          </wp:inline>
        </w:drawing>
      </w:r>
      <w:r w:rsidRPr="00DE3B12">
        <w:rPr>
          <w:color w:val="FF0000"/>
        </w:rPr>
        <w:t xml:space="preserve"> </w:t>
      </w:r>
      <w:r>
        <w:rPr>
          <w:color w:val="FF0000"/>
        </w:rPr>
        <w:br/>
      </w:r>
    </w:p>
    <w:p w14:paraId="5FE0A928" w14:textId="77777777" w:rsidR="00D44ED6" w:rsidRPr="00DE3B12" w:rsidRDefault="00D44ED6" w:rsidP="00D44ED6">
      <w:pPr>
        <w:rPr>
          <w:color w:val="FF0000"/>
        </w:rPr>
      </w:pPr>
    </w:p>
    <w:p w14:paraId="48C646A9" w14:textId="397A2790" w:rsidR="00D44ED6" w:rsidRPr="00DE0BF8" w:rsidRDefault="000A3C7D" w:rsidP="0087091C">
      <w:pPr>
        <w:pStyle w:val="TableTitle"/>
      </w:pPr>
      <w:r>
        <w:br w:type="page"/>
      </w:r>
      <w:r w:rsidR="00D44ED6" w:rsidRPr="00DE0BF8">
        <w:lastRenderedPageBreak/>
        <w:t xml:space="preserve">Figure </w:t>
      </w:r>
      <w:r>
        <w:fldChar w:fldCharType="begin"/>
      </w:r>
      <w:r>
        <w:instrText xml:space="preserve"> SEQ Figure \* ARABIC </w:instrText>
      </w:r>
      <w:r>
        <w:fldChar w:fldCharType="separate"/>
      </w:r>
      <w:r w:rsidR="00D44ED6">
        <w:rPr>
          <w:noProof/>
        </w:rPr>
        <w:t>8</w:t>
      </w:r>
      <w:r>
        <w:rPr>
          <w:noProof/>
        </w:rPr>
        <w:fldChar w:fldCharType="end"/>
      </w:r>
      <w:r w:rsidR="00D44ED6" w:rsidRPr="00DE0BF8">
        <w:t>. Kaplan-Meier plot of OS in the FAS of PROpel at the planned 3</w:t>
      </w:r>
      <w:r w:rsidR="00D44ED6" w:rsidRPr="00DE0BF8">
        <w:rPr>
          <w:vertAlign w:val="superscript"/>
        </w:rPr>
        <w:t>rd</w:t>
      </w:r>
      <w:r w:rsidR="00D44ED6" w:rsidRPr="00DE0BF8">
        <w:t xml:space="preserve"> interim analysis (DCO 12 OCT 2022)</w:t>
      </w:r>
    </w:p>
    <w:p w14:paraId="7991A725" w14:textId="77777777" w:rsidR="00D44ED6" w:rsidRDefault="00D44ED6" w:rsidP="00D44ED6">
      <w:pPr>
        <w:spacing w:line="240" w:lineRule="auto"/>
        <w:rPr>
          <w:rFonts w:asciiTheme="minorHAnsi" w:hAnsiTheme="minorHAnsi" w:cs="TimesNewRoman"/>
          <w:sz w:val="18"/>
          <w:szCs w:val="18"/>
        </w:rPr>
      </w:pPr>
      <w:r>
        <w:rPr>
          <w:noProof/>
        </w:rPr>
        <w:drawing>
          <wp:inline distT="0" distB="0" distL="0" distR="0" wp14:anchorId="76B4DC4E" wp14:editId="3F5A7C86">
            <wp:extent cx="8244097" cy="5130089"/>
            <wp:effectExtent l="0" t="5080" r="0" b="0"/>
            <wp:docPr id="16" name="Picture 16" descr="Kaplan-Meier plot of OS in the FAS of PROpel at the planned 3rd interim analysis (DCO 12 OC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Kaplan-Meier plot of OS in the FAS of PROpel at the planned 3rd interim analysis (DCO 12 OCT 2022)"/>
                    <pic:cNvPicPr/>
                  </pic:nvPicPr>
                  <pic:blipFill>
                    <a:blip r:embed="rId42"/>
                    <a:stretch>
                      <a:fillRect/>
                    </a:stretch>
                  </pic:blipFill>
                  <pic:spPr>
                    <a:xfrm rot="16200000">
                      <a:off x="0" y="0"/>
                      <a:ext cx="8277282" cy="5150739"/>
                    </a:xfrm>
                    <a:prstGeom prst="rect">
                      <a:avLst/>
                    </a:prstGeom>
                  </pic:spPr>
                </pic:pic>
              </a:graphicData>
            </a:graphic>
          </wp:inline>
        </w:drawing>
      </w:r>
    </w:p>
    <w:p w14:paraId="63C629E7" w14:textId="77777777" w:rsidR="00D44ED6" w:rsidRDefault="00D44ED6" w:rsidP="0087091C">
      <w:pPr>
        <w:pStyle w:val="TableDescription"/>
      </w:pPr>
      <w:r w:rsidRPr="00DE0BF8">
        <w:t xml:space="preserve">DCO = data cut-off; FAS = full analysis set; OS = overall survival. </w:t>
      </w:r>
      <w:r w:rsidRPr="00DE0BF8">
        <w:br/>
        <w:t>Source: CSR Addendum 2 for PROpel, “Figure 4”</w:t>
      </w:r>
    </w:p>
    <w:p w14:paraId="4628D3E2" w14:textId="77777777" w:rsidR="00D44ED6" w:rsidRPr="009F335B" w:rsidRDefault="00D44ED6" w:rsidP="009F335B">
      <w:pPr>
        <w:pStyle w:val="Heading8"/>
        <w:rPr>
          <w:rFonts w:ascii="Cambria" w:hAnsi="Cambria"/>
          <w:b/>
          <w:bCs/>
          <w:sz w:val="22"/>
          <w:szCs w:val="22"/>
        </w:rPr>
      </w:pPr>
      <w:r w:rsidRPr="009F335B">
        <w:rPr>
          <w:rFonts w:ascii="Cambria" w:hAnsi="Cambria"/>
          <w:b/>
          <w:bCs/>
          <w:sz w:val="22"/>
          <w:szCs w:val="22"/>
        </w:rPr>
        <w:lastRenderedPageBreak/>
        <w:t>Subgroup analysis of PROpel results</w:t>
      </w:r>
    </w:p>
    <w:p w14:paraId="27555C3F" w14:textId="1409F535" w:rsidR="00D44ED6" w:rsidRDefault="00D44ED6" w:rsidP="009F335B">
      <w:r w:rsidRPr="00A45B24">
        <w:rPr>
          <w:lang w:eastAsia="ja-JP"/>
        </w:rPr>
        <w:t>Subgroup analyses of rPFS were presented in the CSRs</w:t>
      </w:r>
      <w:r>
        <w:rPr>
          <w:lang w:eastAsia="ja-JP"/>
        </w:rPr>
        <w:t xml:space="preserve"> for all pre-planned subgroups</w:t>
      </w:r>
      <w:r w:rsidRPr="00A45B24">
        <w:rPr>
          <w:lang w:eastAsia="ja-JP"/>
        </w:rPr>
        <w:t>,</w:t>
      </w:r>
      <w:r>
        <w:rPr>
          <w:lang w:eastAsia="ja-JP"/>
        </w:rPr>
        <w:t xml:space="preserve"> which included a category of HRR based on grouping a set of HRR genes,</w:t>
      </w:r>
      <w:r w:rsidRPr="00A45B24">
        <w:rPr>
          <w:lang w:eastAsia="ja-JP"/>
        </w:rPr>
        <w:t xml:space="preserve"> </w:t>
      </w:r>
      <w:r>
        <w:rPr>
          <w:lang w:eastAsia="ja-JP"/>
        </w:rPr>
        <w:t xml:space="preserve">but not </w:t>
      </w:r>
      <w:r w:rsidRPr="00864584">
        <w:rPr>
          <w:i/>
          <w:iCs/>
          <w:lang w:eastAsia="ja-JP"/>
        </w:rPr>
        <w:t>BRCA</w:t>
      </w:r>
      <w:r>
        <w:rPr>
          <w:lang w:eastAsia="ja-JP"/>
        </w:rPr>
        <w:t>m independently</w:t>
      </w:r>
      <w:r w:rsidRPr="005D3D80">
        <w:rPr>
          <w:lang w:eastAsia="ja-JP"/>
        </w:rPr>
        <w:t xml:space="preserve">.  </w:t>
      </w:r>
    </w:p>
    <w:p w14:paraId="47DC2108" w14:textId="77777777" w:rsidR="00D44ED6" w:rsidRPr="00B65564" w:rsidRDefault="00D44ED6" w:rsidP="00583A23">
      <w:pPr>
        <w:pStyle w:val="Heading5"/>
      </w:pPr>
      <w:bookmarkStart w:id="84" w:name="_Ref126682103"/>
      <w:r>
        <w:t>Study 8 (</w:t>
      </w:r>
      <w:r w:rsidRPr="00DD23EF">
        <w:t>D081DC00008</w:t>
      </w:r>
      <w:r>
        <w:t>)</w:t>
      </w:r>
      <w:r w:rsidRPr="00DD23EF">
        <w:t xml:space="preserve"> </w:t>
      </w:r>
      <w:r>
        <w:t>– supporting s</w:t>
      </w:r>
      <w:r w:rsidRPr="00B65564">
        <w:t>tudy for proposed first-line prostate cancer indication</w:t>
      </w:r>
      <w:bookmarkEnd w:id="84"/>
    </w:p>
    <w:p w14:paraId="62EC1701" w14:textId="77777777" w:rsidR="00D44ED6" w:rsidRDefault="00D44ED6" w:rsidP="00D44ED6">
      <w:r w:rsidRPr="00B65564">
        <w:t>This was a randomised phase 2 study (NCT01972217)</w:t>
      </w:r>
      <w:r>
        <w:t xml:space="preserve"> that preceded PROpel (patients were enrolled between APR 2014 and JUL 2015) and appears to have contributed to the design of PROpel. It was undertaken to investigate the value of adding olaparib to NHA treatment in prostate cancer, in light of the accumulating evidence that NHA treatment may induce “BRCA-ness.”</w:t>
      </w:r>
    </w:p>
    <w:p w14:paraId="163B7F2C" w14:textId="77777777" w:rsidR="00D44ED6" w:rsidRDefault="00D44ED6" w:rsidP="00D44ED6">
      <w:r>
        <w:t>Part A was safety-focussed.</w:t>
      </w:r>
      <w:r w:rsidRPr="00B65564">
        <w:t xml:space="preserve"> </w:t>
      </w:r>
    </w:p>
    <w:p w14:paraId="038A6D7D" w14:textId="62510D00" w:rsidR="00D44ED6" w:rsidRDefault="00D44ED6" w:rsidP="00D44ED6">
      <w:r>
        <w:t xml:space="preserve">In Part B, 142 patients with mCRPC who had previously </w:t>
      </w:r>
      <w:r w:rsidRPr="00B65564">
        <w:t xml:space="preserve">received prior docetaxel </w:t>
      </w:r>
      <w:r>
        <w:t>received abiraterone 1000 mg daily (plus steroid</w:t>
      </w:r>
      <w:r w:rsidR="000A3C7D">
        <w:t>) and</w:t>
      </w:r>
      <w:r>
        <w:t xml:space="preserve"> were randomised 1:1 to additionally receive either olaparib 300 mg BD or a matching placebo.</w:t>
      </w:r>
    </w:p>
    <w:p w14:paraId="70971838" w14:textId="77777777" w:rsidR="00D44ED6" w:rsidRDefault="00D44ED6" w:rsidP="00D44ED6">
      <w:r>
        <w:t xml:space="preserve">As for PROpel, the primary endpoint was </w:t>
      </w:r>
      <w:r w:rsidRPr="00B91F15">
        <w:t xml:space="preserve">rPFS. </w:t>
      </w:r>
      <w:r>
        <w:t>The primary outcome found a HR (95% CI) of 0.65 (0.44, 0.17), justifying further study of this combination in PROpel. At the time of DCO for the submitted report (2 SEP 2017), OS data remained at 61% maturity (88 of 142 events), and the HR (95% CI) for OS was 0.79 (</w:t>
      </w:r>
      <w:r w:rsidRPr="00B91F15">
        <w:t>0.51,</w:t>
      </w:r>
      <w:r>
        <w:t xml:space="preserve"> </w:t>
      </w:r>
      <w:r w:rsidRPr="00B91F15">
        <w:t>1.2</w:t>
      </w:r>
      <w:r>
        <w:t>).</w:t>
      </w:r>
    </w:p>
    <w:p w14:paraId="6F8904F1" w14:textId="5A6CAB6A" w:rsidR="00D44ED6" w:rsidRDefault="00D44ED6" w:rsidP="00D44ED6">
      <w:r>
        <w:t xml:space="preserve">In Study 8, </w:t>
      </w:r>
      <w:r w:rsidRPr="00B91F15">
        <w:t>t</w:t>
      </w:r>
      <w:r w:rsidRPr="00B91F15">
        <w:rPr>
          <w:i/>
          <w:iCs/>
        </w:rPr>
        <w:t>BRCA</w:t>
      </w:r>
      <w:r w:rsidRPr="00B91F15">
        <w:t xml:space="preserve"> was tested in archival tissue where available.</w:t>
      </w:r>
      <w:r>
        <w:t xml:space="preserve"> Due to the relatively low prevalence of BRCA and ATM mutations in mCRPC, the </w:t>
      </w:r>
      <w:r w:rsidR="00CD546E">
        <w:t>sponsor</w:t>
      </w:r>
      <w:r>
        <w:t xml:space="preserve"> made changes to the planned analyses first to include a new subgroup containing 12 </w:t>
      </w:r>
      <w:proofErr w:type="gramStart"/>
      <w:r>
        <w:t>other</w:t>
      </w:r>
      <w:proofErr w:type="gramEnd"/>
      <w:r>
        <w:t xml:space="preserve"> (non-ATM, non-BRCA) HRR gene mutations, and then to merge these with the ATM and BRCA mutations to form a 15-gene HRR group. </w:t>
      </w:r>
    </w:p>
    <w:p w14:paraId="768F8144" w14:textId="77777777" w:rsidR="00D44ED6" w:rsidRDefault="00D44ED6" w:rsidP="00D44ED6">
      <w:r>
        <w:t>The following text are the reasons given for these changes, respectively:</w:t>
      </w:r>
    </w:p>
    <w:p w14:paraId="7A5F074F" w14:textId="77777777" w:rsidR="00D44ED6" w:rsidRPr="00B74CC3" w:rsidRDefault="00D44ED6" w:rsidP="00D44ED6">
      <w:pPr>
        <w:pStyle w:val="Quotation"/>
        <w:numPr>
          <w:ilvl w:val="0"/>
          <w:numId w:val="30"/>
        </w:numPr>
        <w:rPr>
          <w:sz w:val="22"/>
          <w:szCs w:val="24"/>
        </w:rPr>
      </w:pPr>
      <w:r w:rsidRPr="00B74CC3">
        <w:rPr>
          <w:sz w:val="22"/>
          <w:szCs w:val="24"/>
        </w:rPr>
        <w:t xml:space="preserve">Prevalence of </w:t>
      </w:r>
      <w:r w:rsidRPr="00B74CC3">
        <w:rPr>
          <w:i/>
          <w:iCs/>
          <w:sz w:val="22"/>
          <w:szCs w:val="24"/>
        </w:rPr>
        <w:t>BRCA</w:t>
      </w:r>
      <w:r w:rsidRPr="00B74CC3">
        <w:rPr>
          <w:sz w:val="22"/>
          <w:szCs w:val="24"/>
        </w:rPr>
        <w:t xml:space="preserve">/ATM mutation carriers in the all-comer mCRPC population is too low to enable subgroup analysis. The subgroup analysis was extended to include a further 12 HRR genes in order to incorporate additional genes beyond </w:t>
      </w:r>
      <w:r w:rsidRPr="00B74CC3">
        <w:rPr>
          <w:i/>
          <w:iCs/>
          <w:sz w:val="22"/>
          <w:szCs w:val="24"/>
        </w:rPr>
        <w:t>BRCA</w:t>
      </w:r>
      <w:r w:rsidRPr="00B74CC3">
        <w:rPr>
          <w:sz w:val="22"/>
          <w:szCs w:val="24"/>
        </w:rPr>
        <w:t xml:space="preserve">1, </w:t>
      </w:r>
      <w:r w:rsidRPr="00B74CC3">
        <w:rPr>
          <w:i/>
          <w:iCs/>
          <w:sz w:val="22"/>
          <w:szCs w:val="24"/>
        </w:rPr>
        <w:t>BRCA</w:t>
      </w:r>
      <w:r w:rsidRPr="00B74CC3">
        <w:rPr>
          <w:sz w:val="22"/>
          <w:szCs w:val="24"/>
        </w:rPr>
        <w:t>2 and ATM that were expected to respond to olaparib based on preclinical evidence and limited clinical evidence. Inclusion of these additional genes expanded the subgroups, enabling interpretation of the study results with regards to relationship between HRR deficiency and response.</w:t>
      </w:r>
    </w:p>
    <w:p w14:paraId="2AA85A69" w14:textId="77777777" w:rsidR="00D44ED6" w:rsidRPr="00B74CC3" w:rsidRDefault="00D44ED6" w:rsidP="00D44ED6">
      <w:pPr>
        <w:pStyle w:val="Quotation"/>
        <w:numPr>
          <w:ilvl w:val="0"/>
          <w:numId w:val="30"/>
        </w:numPr>
        <w:rPr>
          <w:sz w:val="22"/>
          <w:szCs w:val="24"/>
        </w:rPr>
      </w:pPr>
      <w:r w:rsidRPr="00B74CC3">
        <w:rPr>
          <w:sz w:val="22"/>
          <w:szCs w:val="24"/>
        </w:rPr>
        <w:t>The new classification provides a more comprehensive patient profile.</w:t>
      </w:r>
    </w:p>
    <w:p w14:paraId="17A1399A" w14:textId="62860016" w:rsidR="00D44ED6" w:rsidRDefault="00D44ED6" w:rsidP="00D44ED6">
      <w:r>
        <w:t xml:space="preserve">Where a subgroup had less than </w:t>
      </w:r>
      <w:r w:rsidRPr="00D92013">
        <w:t xml:space="preserve">5 events in each treatment arm, </w:t>
      </w:r>
      <w:r>
        <w:t xml:space="preserve">no statistical comparison was performed. Whilst this reflected the pre-specified analysis plan, no descriptive statistics appear to have been included. </w:t>
      </w:r>
    </w:p>
    <w:p w14:paraId="61CFB2B9" w14:textId="78209C98" w:rsidR="00D44ED6" w:rsidRDefault="00D44ED6" w:rsidP="00D44ED6">
      <w:r>
        <w:t>The results of the subgroup analysis of rPFS by HRR status are summarised in</w:t>
      </w:r>
      <w:r w:rsidR="00A425C7">
        <w:t xml:space="preserve"> Table 8</w:t>
      </w:r>
      <w:r>
        <w:t>.</w:t>
      </w:r>
    </w:p>
    <w:p w14:paraId="78085C96" w14:textId="2DA63B41" w:rsidR="00D44ED6" w:rsidRPr="00DC60CA" w:rsidRDefault="00D44ED6" w:rsidP="0087091C">
      <w:pPr>
        <w:pStyle w:val="TableTitle"/>
        <w:pageBreakBefore/>
      </w:pPr>
      <w:bookmarkStart w:id="85" w:name="_Ref131001455"/>
      <w:r w:rsidRPr="00DC60CA">
        <w:lastRenderedPageBreak/>
        <w:t xml:space="preserve">Table </w:t>
      </w:r>
      <w:bookmarkEnd w:id="85"/>
      <w:r w:rsidR="00A425C7">
        <w:t>8</w:t>
      </w:r>
      <w:r w:rsidRPr="00DC60CA">
        <w:t xml:space="preserve">. </w:t>
      </w:r>
      <w:r>
        <w:t>Exploratory rPFS subgroup results of study 8 according to HRR status (15-gene composite)</w:t>
      </w:r>
    </w:p>
    <w:tbl>
      <w:tblPr>
        <w:tblStyle w:val="TableTGAblue2023"/>
        <w:tblW w:w="9062" w:type="dxa"/>
        <w:tblLook w:val="04A0" w:firstRow="1" w:lastRow="0" w:firstColumn="1" w:lastColumn="0" w:noHBand="0" w:noVBand="1"/>
      </w:tblPr>
      <w:tblGrid>
        <w:gridCol w:w="3320"/>
        <w:gridCol w:w="2985"/>
        <w:gridCol w:w="2757"/>
      </w:tblGrid>
      <w:tr w:rsidR="000A3C7D" w:rsidRPr="00B12D26" w14:paraId="0BE9719B" w14:textId="77777777" w:rsidTr="00870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3D4F095" w14:textId="77777777" w:rsidR="00D44ED6" w:rsidRPr="0087091C" w:rsidRDefault="00D44ED6" w:rsidP="00583A23">
            <w:pPr>
              <w:rPr>
                <w:szCs w:val="22"/>
              </w:rPr>
            </w:pPr>
          </w:p>
        </w:tc>
        <w:tc>
          <w:tcPr>
            <w:tcW w:w="0" w:type="dxa"/>
          </w:tcPr>
          <w:p w14:paraId="4B1E7B57" w14:textId="77777777" w:rsidR="00D44ED6" w:rsidRPr="0087091C" w:rsidRDefault="00D44ED6" w:rsidP="00583A23">
            <w:pPr>
              <w:cnfStyle w:val="100000000000" w:firstRow="1" w:lastRow="0" w:firstColumn="0" w:lastColumn="0" w:oddVBand="0" w:evenVBand="0" w:oddHBand="0" w:evenHBand="0" w:firstRowFirstColumn="0" w:firstRowLastColumn="0" w:lastRowFirstColumn="0" w:lastRowLastColumn="0"/>
              <w:rPr>
                <w:szCs w:val="22"/>
              </w:rPr>
            </w:pPr>
            <w:r w:rsidRPr="0087091C">
              <w:rPr>
                <w:rFonts w:cstheme="minorBidi"/>
                <w:szCs w:val="22"/>
                <w:lang w:eastAsia="en-US"/>
              </w:rPr>
              <w:t>Olaparib</w:t>
            </w:r>
          </w:p>
        </w:tc>
        <w:tc>
          <w:tcPr>
            <w:tcW w:w="0" w:type="dxa"/>
          </w:tcPr>
          <w:p w14:paraId="6B6E9224" w14:textId="77777777" w:rsidR="00D44ED6" w:rsidRPr="0087091C" w:rsidRDefault="00D44ED6" w:rsidP="00583A23">
            <w:pPr>
              <w:cnfStyle w:val="100000000000" w:firstRow="1" w:lastRow="0" w:firstColumn="0" w:lastColumn="0" w:oddVBand="0" w:evenVBand="0" w:oddHBand="0" w:evenHBand="0" w:firstRowFirstColumn="0" w:firstRowLastColumn="0" w:lastRowFirstColumn="0" w:lastRowLastColumn="0"/>
              <w:rPr>
                <w:szCs w:val="22"/>
              </w:rPr>
            </w:pPr>
            <w:r w:rsidRPr="0087091C">
              <w:rPr>
                <w:rFonts w:cstheme="minorBidi"/>
                <w:szCs w:val="22"/>
                <w:lang w:eastAsia="en-US"/>
              </w:rPr>
              <w:t>Placebo</w:t>
            </w:r>
          </w:p>
        </w:tc>
      </w:tr>
      <w:tr w:rsidR="000A3C7D" w:rsidRPr="00B12D26" w14:paraId="4BCF3213"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15B80AF9" w14:textId="77777777" w:rsidR="00D44ED6" w:rsidRPr="00B12D26" w:rsidRDefault="00D44ED6" w:rsidP="00583A23">
            <w:pPr>
              <w:rPr>
                <w:bCs/>
                <w:color w:val="auto"/>
                <w:szCs w:val="22"/>
              </w:rPr>
            </w:pPr>
            <w:r w:rsidRPr="00B12D26">
              <w:rPr>
                <w:bCs/>
                <w:color w:val="auto"/>
                <w:szCs w:val="22"/>
              </w:rPr>
              <w:t>rPFS in the overall population</w:t>
            </w:r>
          </w:p>
        </w:tc>
        <w:tc>
          <w:tcPr>
            <w:tcW w:w="0" w:type="dxa"/>
            <w:gridSpan w:val="2"/>
          </w:tcPr>
          <w:p w14:paraId="5089A6C2"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bCs/>
                <w:color w:val="auto"/>
                <w:szCs w:val="22"/>
              </w:rPr>
            </w:pPr>
          </w:p>
        </w:tc>
      </w:tr>
      <w:tr w:rsidR="000A3C7D" w:rsidRPr="00B12D26" w14:paraId="167CF73D"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66C0D552" w14:textId="77777777" w:rsidR="00D44ED6" w:rsidRPr="00B12D26" w:rsidRDefault="00D44ED6" w:rsidP="00583A23">
            <w:pPr>
              <w:rPr>
                <w:color w:val="auto"/>
                <w:szCs w:val="22"/>
              </w:rPr>
            </w:pPr>
            <w:r w:rsidRPr="00B12D26">
              <w:rPr>
                <w:color w:val="auto"/>
                <w:szCs w:val="22"/>
              </w:rPr>
              <w:t>Number of patients</w:t>
            </w:r>
          </w:p>
        </w:tc>
        <w:tc>
          <w:tcPr>
            <w:tcW w:w="0" w:type="dxa"/>
          </w:tcPr>
          <w:p w14:paraId="0EC4A380"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71</w:t>
            </w:r>
          </w:p>
        </w:tc>
        <w:tc>
          <w:tcPr>
            <w:tcW w:w="0" w:type="dxa"/>
          </w:tcPr>
          <w:p w14:paraId="28C130E1"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71</w:t>
            </w:r>
          </w:p>
        </w:tc>
      </w:tr>
      <w:tr w:rsidR="000A3C7D" w:rsidRPr="00B12D26" w14:paraId="11D10B9C"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5325AE49" w14:textId="77777777" w:rsidR="00D44ED6" w:rsidRPr="00B12D26" w:rsidRDefault="00D44ED6" w:rsidP="00583A23">
            <w:pPr>
              <w:rPr>
                <w:color w:val="auto"/>
                <w:szCs w:val="22"/>
              </w:rPr>
            </w:pPr>
            <w:r w:rsidRPr="00B12D26">
              <w:rPr>
                <w:color w:val="auto"/>
                <w:szCs w:val="22"/>
              </w:rPr>
              <w:t>Events, n (%)</w:t>
            </w:r>
          </w:p>
        </w:tc>
        <w:tc>
          <w:tcPr>
            <w:tcW w:w="0" w:type="dxa"/>
          </w:tcPr>
          <w:p w14:paraId="679BF92A"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46 (65%)</w:t>
            </w:r>
          </w:p>
        </w:tc>
        <w:tc>
          <w:tcPr>
            <w:tcW w:w="0" w:type="dxa"/>
          </w:tcPr>
          <w:p w14:paraId="65B2A782"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54 (76%)</w:t>
            </w:r>
          </w:p>
        </w:tc>
      </w:tr>
      <w:tr w:rsidR="000A3C7D" w:rsidRPr="00B12D26" w14:paraId="625DC266"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1BB709EF" w14:textId="77777777" w:rsidR="00D44ED6" w:rsidRPr="00B12D26" w:rsidRDefault="00D44ED6" w:rsidP="00583A23">
            <w:pPr>
              <w:rPr>
                <w:color w:val="auto"/>
                <w:szCs w:val="22"/>
              </w:rPr>
            </w:pPr>
            <w:r w:rsidRPr="00B12D26">
              <w:rPr>
                <w:color w:val="auto"/>
                <w:szCs w:val="22"/>
              </w:rPr>
              <w:t>Median (95% CI), months</w:t>
            </w:r>
          </w:p>
        </w:tc>
        <w:tc>
          <w:tcPr>
            <w:tcW w:w="0" w:type="dxa"/>
          </w:tcPr>
          <w:p w14:paraId="5804DA62"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13.8</w:t>
            </w:r>
          </w:p>
        </w:tc>
        <w:tc>
          <w:tcPr>
            <w:tcW w:w="0" w:type="dxa"/>
          </w:tcPr>
          <w:p w14:paraId="4D3AC328"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8.2</w:t>
            </w:r>
          </w:p>
        </w:tc>
      </w:tr>
      <w:tr w:rsidR="000A3C7D" w:rsidRPr="00B12D26" w14:paraId="380873F6"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41F7C056" w14:textId="58B576C4" w:rsidR="00D44ED6" w:rsidRPr="00B12D26" w:rsidRDefault="00D44ED6" w:rsidP="00583A23">
            <w:pPr>
              <w:rPr>
                <w:color w:val="auto"/>
                <w:szCs w:val="22"/>
              </w:rPr>
            </w:pPr>
            <w:r w:rsidRPr="00B12D26">
              <w:rPr>
                <w:color w:val="auto"/>
                <w:szCs w:val="22"/>
              </w:rPr>
              <w:t xml:space="preserve">HR (95% CI) </w:t>
            </w:r>
          </w:p>
        </w:tc>
        <w:tc>
          <w:tcPr>
            <w:tcW w:w="0" w:type="dxa"/>
            <w:gridSpan w:val="2"/>
          </w:tcPr>
          <w:p w14:paraId="589A71B1"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0.651 (0.44, 0.97)</w:t>
            </w:r>
          </w:p>
        </w:tc>
      </w:tr>
      <w:tr w:rsidR="000A3C7D" w:rsidRPr="00B12D26" w14:paraId="5467FFC1"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375563FB" w14:textId="77777777" w:rsidR="00D44ED6" w:rsidRPr="00B12D26" w:rsidRDefault="00D44ED6" w:rsidP="00583A23">
            <w:pPr>
              <w:rPr>
                <w:color w:val="auto"/>
                <w:szCs w:val="22"/>
              </w:rPr>
            </w:pPr>
            <w:r w:rsidRPr="00B12D26">
              <w:rPr>
                <w:color w:val="auto"/>
                <w:szCs w:val="22"/>
              </w:rPr>
              <w:t>Nominal 2-sided p-value</w:t>
            </w:r>
          </w:p>
        </w:tc>
        <w:tc>
          <w:tcPr>
            <w:tcW w:w="0" w:type="dxa"/>
            <w:gridSpan w:val="2"/>
          </w:tcPr>
          <w:p w14:paraId="61E97630"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0.034</w:t>
            </w:r>
          </w:p>
        </w:tc>
      </w:tr>
      <w:tr w:rsidR="000A3C7D" w:rsidRPr="00B12D26" w14:paraId="21673ED2"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34CB73AB" w14:textId="77777777" w:rsidR="00D44ED6" w:rsidRPr="00B12D26" w:rsidRDefault="00D44ED6" w:rsidP="00583A23">
            <w:pPr>
              <w:rPr>
                <w:bCs/>
                <w:color w:val="auto"/>
                <w:szCs w:val="22"/>
              </w:rPr>
            </w:pPr>
            <w:r w:rsidRPr="00B12D26">
              <w:rPr>
                <w:bCs/>
                <w:color w:val="auto"/>
                <w:szCs w:val="22"/>
              </w:rPr>
              <w:t>rPFS in HRRm</w:t>
            </w:r>
          </w:p>
        </w:tc>
        <w:tc>
          <w:tcPr>
            <w:tcW w:w="0" w:type="dxa"/>
            <w:gridSpan w:val="2"/>
          </w:tcPr>
          <w:p w14:paraId="7C2137D1"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bCs/>
                <w:color w:val="auto"/>
                <w:szCs w:val="22"/>
              </w:rPr>
            </w:pPr>
          </w:p>
        </w:tc>
      </w:tr>
      <w:tr w:rsidR="000A3C7D" w:rsidRPr="00B12D26" w14:paraId="5051DE29"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10E1B55D" w14:textId="77777777" w:rsidR="00D44ED6" w:rsidRPr="00B12D26" w:rsidRDefault="00D44ED6" w:rsidP="00583A23">
            <w:pPr>
              <w:rPr>
                <w:color w:val="auto"/>
                <w:szCs w:val="22"/>
              </w:rPr>
            </w:pPr>
            <w:r w:rsidRPr="00B12D26">
              <w:rPr>
                <w:color w:val="auto"/>
                <w:szCs w:val="22"/>
              </w:rPr>
              <w:t>Number of patients</w:t>
            </w:r>
          </w:p>
        </w:tc>
        <w:tc>
          <w:tcPr>
            <w:tcW w:w="0" w:type="dxa"/>
          </w:tcPr>
          <w:p w14:paraId="3DF777AB"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11</w:t>
            </w:r>
          </w:p>
        </w:tc>
        <w:tc>
          <w:tcPr>
            <w:tcW w:w="0" w:type="dxa"/>
          </w:tcPr>
          <w:p w14:paraId="59B6AE84"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10</w:t>
            </w:r>
          </w:p>
        </w:tc>
      </w:tr>
      <w:tr w:rsidR="000A3C7D" w:rsidRPr="00B12D26" w14:paraId="3B456A89"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6FC4AD6C" w14:textId="77777777" w:rsidR="00D44ED6" w:rsidRPr="00B12D26" w:rsidRDefault="00D44ED6" w:rsidP="00583A23">
            <w:pPr>
              <w:rPr>
                <w:color w:val="auto"/>
                <w:szCs w:val="22"/>
              </w:rPr>
            </w:pPr>
            <w:r w:rsidRPr="00B12D26">
              <w:rPr>
                <w:color w:val="auto"/>
                <w:szCs w:val="22"/>
              </w:rPr>
              <w:t>Events, n (%)</w:t>
            </w:r>
          </w:p>
        </w:tc>
        <w:tc>
          <w:tcPr>
            <w:tcW w:w="0" w:type="dxa"/>
          </w:tcPr>
          <w:p w14:paraId="673E02F7"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8 (73%)</w:t>
            </w:r>
          </w:p>
        </w:tc>
        <w:tc>
          <w:tcPr>
            <w:tcW w:w="0" w:type="dxa"/>
          </w:tcPr>
          <w:p w14:paraId="5104ABF3"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7 (70%)</w:t>
            </w:r>
          </w:p>
        </w:tc>
      </w:tr>
      <w:tr w:rsidR="000A3C7D" w:rsidRPr="00B12D26" w14:paraId="41CE95B9"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7114DAC4" w14:textId="77777777" w:rsidR="00D44ED6" w:rsidRPr="00B12D26" w:rsidRDefault="00D44ED6" w:rsidP="00583A23">
            <w:pPr>
              <w:rPr>
                <w:color w:val="auto"/>
                <w:szCs w:val="22"/>
              </w:rPr>
            </w:pPr>
            <w:r w:rsidRPr="00B12D26">
              <w:rPr>
                <w:color w:val="auto"/>
                <w:szCs w:val="22"/>
              </w:rPr>
              <w:t>Median (95% CI), months</w:t>
            </w:r>
          </w:p>
        </w:tc>
        <w:tc>
          <w:tcPr>
            <w:tcW w:w="0" w:type="dxa"/>
          </w:tcPr>
          <w:p w14:paraId="4819789B"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17.8</w:t>
            </w:r>
          </w:p>
        </w:tc>
        <w:tc>
          <w:tcPr>
            <w:tcW w:w="0" w:type="dxa"/>
          </w:tcPr>
          <w:p w14:paraId="14349F43"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6.5</w:t>
            </w:r>
          </w:p>
        </w:tc>
      </w:tr>
      <w:tr w:rsidR="000A3C7D" w:rsidRPr="00B12D26" w14:paraId="04477042"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2D529F84" w14:textId="449A34BC" w:rsidR="00D44ED6" w:rsidRPr="00B12D26" w:rsidRDefault="00D44ED6" w:rsidP="00583A23">
            <w:pPr>
              <w:rPr>
                <w:color w:val="auto"/>
                <w:szCs w:val="22"/>
              </w:rPr>
            </w:pPr>
            <w:r w:rsidRPr="00B12D26">
              <w:rPr>
                <w:color w:val="auto"/>
                <w:szCs w:val="22"/>
              </w:rPr>
              <w:t xml:space="preserve">HR (95% CI) </w:t>
            </w:r>
          </w:p>
        </w:tc>
        <w:tc>
          <w:tcPr>
            <w:tcW w:w="0" w:type="dxa"/>
            <w:gridSpan w:val="2"/>
          </w:tcPr>
          <w:p w14:paraId="55BE6577"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0.744 (0.26, 2.12)</w:t>
            </w:r>
          </w:p>
        </w:tc>
      </w:tr>
      <w:tr w:rsidR="000A3C7D" w:rsidRPr="00B12D26" w14:paraId="7DD9D7BF"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43AA4847" w14:textId="77777777" w:rsidR="00D44ED6" w:rsidRPr="00B12D26" w:rsidRDefault="00D44ED6" w:rsidP="00583A23">
            <w:pPr>
              <w:rPr>
                <w:color w:val="auto"/>
                <w:szCs w:val="22"/>
              </w:rPr>
            </w:pPr>
            <w:r w:rsidRPr="00B12D26">
              <w:rPr>
                <w:color w:val="auto"/>
                <w:szCs w:val="22"/>
              </w:rPr>
              <w:t>Nominal 2-sided p-value</w:t>
            </w:r>
          </w:p>
        </w:tc>
        <w:tc>
          <w:tcPr>
            <w:tcW w:w="0" w:type="dxa"/>
            <w:gridSpan w:val="2"/>
          </w:tcPr>
          <w:p w14:paraId="76A39D63"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0.581</w:t>
            </w:r>
          </w:p>
        </w:tc>
      </w:tr>
      <w:tr w:rsidR="000A3C7D" w:rsidRPr="00B12D26" w14:paraId="2FB90B3D"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2936B319" w14:textId="77777777" w:rsidR="00D44ED6" w:rsidRPr="00B12D26" w:rsidRDefault="00D44ED6" w:rsidP="00583A23">
            <w:pPr>
              <w:rPr>
                <w:bCs/>
                <w:color w:val="auto"/>
                <w:szCs w:val="22"/>
              </w:rPr>
            </w:pPr>
            <w:r w:rsidRPr="00B12D26">
              <w:rPr>
                <w:bCs/>
                <w:color w:val="auto"/>
                <w:szCs w:val="22"/>
              </w:rPr>
              <w:t>rPFS in non-HRRm</w:t>
            </w:r>
          </w:p>
        </w:tc>
        <w:tc>
          <w:tcPr>
            <w:tcW w:w="0" w:type="dxa"/>
            <w:gridSpan w:val="2"/>
          </w:tcPr>
          <w:p w14:paraId="32819189"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bCs/>
                <w:color w:val="auto"/>
                <w:szCs w:val="22"/>
              </w:rPr>
            </w:pPr>
          </w:p>
        </w:tc>
      </w:tr>
      <w:tr w:rsidR="000A3C7D" w:rsidRPr="00B12D26" w14:paraId="22842488"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68F0EE29" w14:textId="77777777" w:rsidR="00D44ED6" w:rsidRPr="00B12D26" w:rsidRDefault="00D44ED6" w:rsidP="00583A23">
            <w:pPr>
              <w:rPr>
                <w:color w:val="auto"/>
                <w:szCs w:val="22"/>
              </w:rPr>
            </w:pPr>
            <w:r w:rsidRPr="00B12D26">
              <w:rPr>
                <w:color w:val="auto"/>
                <w:szCs w:val="22"/>
              </w:rPr>
              <w:t>Number of patients</w:t>
            </w:r>
          </w:p>
        </w:tc>
        <w:tc>
          <w:tcPr>
            <w:tcW w:w="0" w:type="dxa"/>
          </w:tcPr>
          <w:p w14:paraId="7DED9446"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15</w:t>
            </w:r>
          </w:p>
        </w:tc>
        <w:tc>
          <w:tcPr>
            <w:tcW w:w="0" w:type="dxa"/>
          </w:tcPr>
          <w:p w14:paraId="1E5E4B86"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20</w:t>
            </w:r>
          </w:p>
        </w:tc>
      </w:tr>
      <w:tr w:rsidR="000A3C7D" w:rsidRPr="00B12D26" w14:paraId="4C490700"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427A2882" w14:textId="77777777" w:rsidR="00D44ED6" w:rsidRPr="00B12D26" w:rsidRDefault="00D44ED6" w:rsidP="00583A23">
            <w:pPr>
              <w:rPr>
                <w:color w:val="auto"/>
                <w:szCs w:val="22"/>
              </w:rPr>
            </w:pPr>
            <w:r w:rsidRPr="00B12D26">
              <w:rPr>
                <w:color w:val="auto"/>
                <w:szCs w:val="22"/>
              </w:rPr>
              <w:t>Events, n (%)</w:t>
            </w:r>
          </w:p>
        </w:tc>
        <w:tc>
          <w:tcPr>
            <w:tcW w:w="0" w:type="dxa"/>
          </w:tcPr>
          <w:p w14:paraId="6370D86B"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8 (53%)</w:t>
            </w:r>
          </w:p>
        </w:tc>
        <w:tc>
          <w:tcPr>
            <w:tcW w:w="0" w:type="dxa"/>
          </w:tcPr>
          <w:p w14:paraId="7B2B6EDD"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17 (85%)</w:t>
            </w:r>
          </w:p>
        </w:tc>
      </w:tr>
      <w:tr w:rsidR="000A3C7D" w:rsidRPr="00B12D26" w14:paraId="2F913589"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289E6870" w14:textId="77777777" w:rsidR="00D44ED6" w:rsidRPr="00B12D26" w:rsidRDefault="00D44ED6" w:rsidP="00583A23">
            <w:pPr>
              <w:rPr>
                <w:color w:val="auto"/>
                <w:szCs w:val="22"/>
              </w:rPr>
            </w:pPr>
            <w:r w:rsidRPr="00B12D26">
              <w:rPr>
                <w:color w:val="auto"/>
                <w:szCs w:val="22"/>
              </w:rPr>
              <w:t>Median (95% CI), months</w:t>
            </w:r>
          </w:p>
        </w:tc>
        <w:tc>
          <w:tcPr>
            <w:tcW w:w="0" w:type="dxa"/>
          </w:tcPr>
          <w:p w14:paraId="60195791"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15.0</w:t>
            </w:r>
          </w:p>
        </w:tc>
        <w:tc>
          <w:tcPr>
            <w:tcW w:w="0" w:type="dxa"/>
          </w:tcPr>
          <w:p w14:paraId="47414F6F"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9.7</w:t>
            </w:r>
          </w:p>
        </w:tc>
      </w:tr>
      <w:tr w:rsidR="000A3C7D" w:rsidRPr="00B12D26" w14:paraId="20D098CF"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70BF84EF" w14:textId="6AE5D767" w:rsidR="00D44ED6" w:rsidRPr="00B12D26" w:rsidRDefault="00D44ED6" w:rsidP="00583A23">
            <w:pPr>
              <w:rPr>
                <w:color w:val="auto"/>
                <w:szCs w:val="22"/>
              </w:rPr>
            </w:pPr>
            <w:r w:rsidRPr="00B12D26">
              <w:rPr>
                <w:color w:val="auto"/>
                <w:szCs w:val="22"/>
              </w:rPr>
              <w:t xml:space="preserve">HR (95% CI) </w:t>
            </w:r>
          </w:p>
        </w:tc>
        <w:tc>
          <w:tcPr>
            <w:tcW w:w="0" w:type="dxa"/>
            <w:gridSpan w:val="2"/>
          </w:tcPr>
          <w:p w14:paraId="7E5BBF8E"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0.521 (0.24, 1.15)</w:t>
            </w:r>
          </w:p>
        </w:tc>
      </w:tr>
      <w:tr w:rsidR="000A3C7D" w:rsidRPr="00B12D26" w14:paraId="12E79AED"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7D82F82A" w14:textId="77777777" w:rsidR="00D44ED6" w:rsidRPr="00B12D26" w:rsidRDefault="00D44ED6" w:rsidP="00583A23">
            <w:pPr>
              <w:rPr>
                <w:color w:val="auto"/>
                <w:szCs w:val="22"/>
              </w:rPr>
            </w:pPr>
            <w:r w:rsidRPr="00B12D26">
              <w:rPr>
                <w:color w:val="auto"/>
                <w:szCs w:val="22"/>
              </w:rPr>
              <w:t>Nominal 2-sided p-value</w:t>
            </w:r>
          </w:p>
        </w:tc>
        <w:tc>
          <w:tcPr>
            <w:tcW w:w="0" w:type="dxa"/>
            <w:gridSpan w:val="2"/>
          </w:tcPr>
          <w:p w14:paraId="24776197"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0.106</w:t>
            </w:r>
          </w:p>
        </w:tc>
      </w:tr>
      <w:tr w:rsidR="000A3C7D" w:rsidRPr="00B12D26" w14:paraId="09749438"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5A2F2AFF" w14:textId="77777777" w:rsidR="00D44ED6" w:rsidRPr="00B12D26" w:rsidRDefault="00D44ED6" w:rsidP="00583A23">
            <w:pPr>
              <w:rPr>
                <w:bCs/>
                <w:color w:val="auto"/>
                <w:szCs w:val="22"/>
              </w:rPr>
            </w:pPr>
            <w:r w:rsidRPr="00B12D26">
              <w:rPr>
                <w:bCs/>
                <w:color w:val="auto"/>
                <w:szCs w:val="22"/>
              </w:rPr>
              <w:t xml:space="preserve">rPFS in HRR unknown </w:t>
            </w:r>
          </w:p>
        </w:tc>
        <w:tc>
          <w:tcPr>
            <w:tcW w:w="0" w:type="dxa"/>
            <w:gridSpan w:val="2"/>
          </w:tcPr>
          <w:p w14:paraId="5E915B9E"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bCs/>
                <w:color w:val="auto"/>
                <w:szCs w:val="22"/>
              </w:rPr>
            </w:pPr>
          </w:p>
        </w:tc>
      </w:tr>
      <w:tr w:rsidR="000A3C7D" w:rsidRPr="00B12D26" w14:paraId="2C1ECA9D"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5866D753" w14:textId="77777777" w:rsidR="00D44ED6" w:rsidRPr="00B12D26" w:rsidRDefault="00D44ED6" w:rsidP="00583A23">
            <w:pPr>
              <w:rPr>
                <w:color w:val="auto"/>
                <w:szCs w:val="22"/>
              </w:rPr>
            </w:pPr>
            <w:r w:rsidRPr="00B12D26">
              <w:rPr>
                <w:color w:val="auto"/>
                <w:szCs w:val="22"/>
              </w:rPr>
              <w:t>Number of patients</w:t>
            </w:r>
          </w:p>
        </w:tc>
        <w:tc>
          <w:tcPr>
            <w:tcW w:w="0" w:type="dxa"/>
          </w:tcPr>
          <w:p w14:paraId="7C5F60B8"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45</w:t>
            </w:r>
          </w:p>
        </w:tc>
        <w:tc>
          <w:tcPr>
            <w:tcW w:w="0" w:type="dxa"/>
          </w:tcPr>
          <w:p w14:paraId="720E5D50"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41</w:t>
            </w:r>
          </w:p>
        </w:tc>
      </w:tr>
      <w:tr w:rsidR="000A3C7D" w:rsidRPr="00B12D26" w14:paraId="5576A3E4"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344FA8F3" w14:textId="77777777" w:rsidR="00D44ED6" w:rsidRPr="00B12D26" w:rsidRDefault="00D44ED6" w:rsidP="00583A23">
            <w:pPr>
              <w:rPr>
                <w:color w:val="auto"/>
                <w:szCs w:val="22"/>
              </w:rPr>
            </w:pPr>
            <w:r w:rsidRPr="00B12D26">
              <w:rPr>
                <w:color w:val="auto"/>
                <w:szCs w:val="22"/>
              </w:rPr>
              <w:t>Events, n (%)</w:t>
            </w:r>
          </w:p>
        </w:tc>
        <w:tc>
          <w:tcPr>
            <w:tcW w:w="0" w:type="dxa"/>
          </w:tcPr>
          <w:p w14:paraId="6F1149CB"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30 (67%)</w:t>
            </w:r>
          </w:p>
        </w:tc>
        <w:tc>
          <w:tcPr>
            <w:tcW w:w="0" w:type="dxa"/>
          </w:tcPr>
          <w:p w14:paraId="0548D095"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30 (73%)</w:t>
            </w:r>
          </w:p>
        </w:tc>
      </w:tr>
      <w:tr w:rsidR="000A3C7D" w:rsidRPr="00B12D26" w14:paraId="250F69C2"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437A51C5" w14:textId="77777777" w:rsidR="00D44ED6" w:rsidRPr="00B12D26" w:rsidRDefault="00D44ED6" w:rsidP="00583A23">
            <w:pPr>
              <w:rPr>
                <w:color w:val="auto"/>
                <w:szCs w:val="22"/>
              </w:rPr>
            </w:pPr>
            <w:r w:rsidRPr="00B12D26">
              <w:rPr>
                <w:color w:val="auto"/>
                <w:szCs w:val="22"/>
              </w:rPr>
              <w:t>Median (95% CI), months</w:t>
            </w:r>
          </w:p>
        </w:tc>
        <w:tc>
          <w:tcPr>
            <w:tcW w:w="0" w:type="dxa"/>
          </w:tcPr>
          <w:p w14:paraId="469FDAA4"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13.1</w:t>
            </w:r>
          </w:p>
        </w:tc>
        <w:tc>
          <w:tcPr>
            <w:tcW w:w="0" w:type="dxa"/>
          </w:tcPr>
          <w:p w14:paraId="7D93AAE1"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6.4</w:t>
            </w:r>
          </w:p>
        </w:tc>
      </w:tr>
      <w:tr w:rsidR="000A3C7D" w:rsidRPr="00B12D26" w14:paraId="1A44A367"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5B59003B" w14:textId="0E8572B9" w:rsidR="00D44ED6" w:rsidRPr="00B12D26" w:rsidRDefault="00D44ED6" w:rsidP="00583A23">
            <w:pPr>
              <w:rPr>
                <w:color w:val="auto"/>
                <w:szCs w:val="22"/>
              </w:rPr>
            </w:pPr>
            <w:r w:rsidRPr="00B12D26">
              <w:rPr>
                <w:color w:val="auto"/>
                <w:szCs w:val="22"/>
              </w:rPr>
              <w:t xml:space="preserve">HR (95% CI) </w:t>
            </w:r>
          </w:p>
        </w:tc>
        <w:tc>
          <w:tcPr>
            <w:tcW w:w="0" w:type="dxa"/>
            <w:gridSpan w:val="2"/>
          </w:tcPr>
          <w:p w14:paraId="006ABF97"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0.669 (0.40, 1.13)</w:t>
            </w:r>
          </w:p>
        </w:tc>
      </w:tr>
      <w:tr w:rsidR="000A3C7D" w:rsidRPr="00B12D26" w14:paraId="343C1E83" w14:textId="77777777" w:rsidTr="0087091C">
        <w:trPr>
          <w:trHeight w:val="227"/>
        </w:trPr>
        <w:tc>
          <w:tcPr>
            <w:cnfStyle w:val="001000000000" w:firstRow="0" w:lastRow="0" w:firstColumn="1" w:lastColumn="0" w:oddVBand="0" w:evenVBand="0" w:oddHBand="0" w:evenHBand="0" w:firstRowFirstColumn="0" w:firstRowLastColumn="0" w:lastRowFirstColumn="0" w:lastRowLastColumn="0"/>
            <w:tcW w:w="0" w:type="dxa"/>
          </w:tcPr>
          <w:p w14:paraId="563D6BF4" w14:textId="77777777" w:rsidR="00D44ED6" w:rsidRPr="00B12D26" w:rsidRDefault="00D44ED6" w:rsidP="00583A23">
            <w:pPr>
              <w:rPr>
                <w:color w:val="auto"/>
                <w:szCs w:val="22"/>
              </w:rPr>
            </w:pPr>
            <w:r w:rsidRPr="00B12D26">
              <w:rPr>
                <w:color w:val="auto"/>
                <w:szCs w:val="22"/>
              </w:rPr>
              <w:t>Nominal 2-sided p-value</w:t>
            </w:r>
          </w:p>
        </w:tc>
        <w:tc>
          <w:tcPr>
            <w:tcW w:w="0" w:type="dxa"/>
            <w:gridSpan w:val="2"/>
          </w:tcPr>
          <w:p w14:paraId="0D634433" w14:textId="77777777" w:rsidR="00D44ED6" w:rsidRPr="00B12D26" w:rsidRDefault="00D44ED6" w:rsidP="00583A23">
            <w:pPr>
              <w:cnfStyle w:val="000000000000" w:firstRow="0" w:lastRow="0" w:firstColumn="0" w:lastColumn="0" w:oddVBand="0" w:evenVBand="0" w:oddHBand="0" w:evenHBand="0" w:firstRowFirstColumn="0" w:firstRowLastColumn="0" w:lastRowFirstColumn="0" w:lastRowLastColumn="0"/>
              <w:rPr>
                <w:color w:val="auto"/>
                <w:szCs w:val="22"/>
              </w:rPr>
            </w:pPr>
            <w:r w:rsidRPr="00B12D26">
              <w:rPr>
                <w:color w:val="auto"/>
                <w:szCs w:val="22"/>
              </w:rPr>
              <w:t>0.130</w:t>
            </w:r>
          </w:p>
        </w:tc>
      </w:tr>
    </w:tbl>
    <w:p w14:paraId="24D60179" w14:textId="51099A5F" w:rsidR="00B74CC3" w:rsidRDefault="00D44ED6" w:rsidP="00D619A6">
      <w:pPr>
        <w:pStyle w:val="TableDescription"/>
      </w:pPr>
      <w:r w:rsidRPr="005D3D80">
        <w:t xml:space="preserve">CI = confidence interval; HR = hazard ratio; </w:t>
      </w:r>
      <w:r>
        <w:t xml:space="preserve">HRR = homologous recombination repair; </w:t>
      </w:r>
      <w:r w:rsidRPr="005D3D80">
        <w:t>rPFS = radiographic progression-free survival</w:t>
      </w:r>
      <w:r>
        <w:t>.</w:t>
      </w:r>
    </w:p>
    <w:p w14:paraId="3486D393" w14:textId="77777777" w:rsidR="000A3C7D" w:rsidRDefault="000A3C7D">
      <w:r>
        <w:br w:type="page"/>
      </w:r>
    </w:p>
    <w:p w14:paraId="0D85E1A8" w14:textId="51BC0133" w:rsidR="00D44ED6" w:rsidRDefault="00D44ED6" w:rsidP="00D44ED6">
      <w:r>
        <w:lastRenderedPageBreak/>
        <w:t xml:space="preserve">The report concludes: </w:t>
      </w:r>
    </w:p>
    <w:p w14:paraId="5E35AA29" w14:textId="15F8E95C" w:rsidR="003E07B9" w:rsidRPr="00D44ED6" w:rsidRDefault="00D44ED6" w:rsidP="00D44ED6">
      <w:pPr>
        <w:pStyle w:val="Quotation"/>
        <w:rPr>
          <w:sz w:val="22"/>
          <w:szCs w:val="24"/>
        </w:rPr>
      </w:pPr>
      <w:r w:rsidRPr="00D44ED6">
        <w:rPr>
          <w:sz w:val="22"/>
          <w:szCs w:val="24"/>
        </w:rPr>
        <w:t xml:space="preserve">Efficacy in relation to rPFS was shown in an exploratory analysis of patient subgroups for composite HRR mutations including </w:t>
      </w:r>
      <w:r w:rsidRPr="00D44ED6">
        <w:rPr>
          <w:i/>
          <w:iCs/>
          <w:sz w:val="22"/>
          <w:szCs w:val="24"/>
        </w:rPr>
        <w:t>BRCA</w:t>
      </w:r>
      <w:r w:rsidRPr="00D44ED6">
        <w:rPr>
          <w:sz w:val="22"/>
          <w:szCs w:val="24"/>
        </w:rPr>
        <w:t xml:space="preserve">1, </w:t>
      </w:r>
      <w:r w:rsidRPr="00D44ED6">
        <w:rPr>
          <w:i/>
          <w:iCs/>
          <w:sz w:val="22"/>
          <w:szCs w:val="24"/>
        </w:rPr>
        <w:t>BRCA</w:t>
      </w:r>
      <w:r w:rsidRPr="00D44ED6">
        <w:rPr>
          <w:sz w:val="22"/>
          <w:szCs w:val="24"/>
        </w:rPr>
        <w:t>2, ATM and a panel of 12 additional genes (15 genes in total). The results in the 3 subgroups analysed (HRRm positive, negative and partly characterised) were consistent with the primary analysis, showing no notable differences in efficacy. These results support the study hypothesis that in a setting where olaparib is combined with abiraterone, added clinical benefit as assessed by PFS is observed irrespective of HRRm status, a finding unlike that seen with olaparib monotherapy, for which a strong dependency on HRRm status was observed. The results must, however, be viewed with caution due to the small sample size in these subgroups.</w:t>
      </w:r>
    </w:p>
    <w:p w14:paraId="6AACCB39" w14:textId="77777777" w:rsidR="0066570B" w:rsidRDefault="0066570B" w:rsidP="00622D9A">
      <w:pPr>
        <w:pStyle w:val="Heading4"/>
      </w:pPr>
      <w:bookmarkStart w:id="86" w:name="_Toc171942668"/>
      <w:bookmarkEnd w:id="77"/>
      <w:bookmarkEnd w:id="78"/>
      <w:r w:rsidRPr="00D92013">
        <w:t>Safety</w:t>
      </w:r>
      <w:bookmarkEnd w:id="86"/>
    </w:p>
    <w:p w14:paraId="01FD36F5" w14:textId="77777777" w:rsidR="0066570B" w:rsidRDefault="0066570B" w:rsidP="00622D9A">
      <w:pPr>
        <w:pStyle w:val="Heading5"/>
      </w:pPr>
      <w:r>
        <w:t>Olympia (</w:t>
      </w:r>
      <w:r w:rsidRPr="00DD23EF">
        <w:t>D081CC00006</w:t>
      </w:r>
      <w:r>
        <w:t>)</w:t>
      </w:r>
    </w:p>
    <w:p w14:paraId="6A320209" w14:textId="080541E8" w:rsidR="0066570B" w:rsidRDefault="0066570B" w:rsidP="0066570B">
      <w:r>
        <w:t xml:space="preserve">The main safety data supporting the proposed indication come from the OlympiA study, in which </w:t>
      </w:r>
      <w:r w:rsidRPr="0088036F">
        <w:t>1836 patients who received at least one dose of study treatment</w:t>
      </w:r>
      <w:r>
        <w:t>,</w:t>
      </w:r>
      <w:r w:rsidRPr="0088036F">
        <w:t xml:space="preserve"> including 911 patients </w:t>
      </w:r>
      <w:r>
        <w:t>in</w:t>
      </w:r>
      <w:r w:rsidRPr="0088036F">
        <w:t xml:space="preserve"> the olaparib arm and 905 patients </w:t>
      </w:r>
      <w:r>
        <w:t>in</w:t>
      </w:r>
      <w:r w:rsidRPr="0088036F">
        <w:t xml:space="preserve"> the placebo arm</w:t>
      </w:r>
      <w:r>
        <w:t>.</w:t>
      </w:r>
      <w:r w:rsidRPr="0088036F">
        <w:t xml:space="preserve"> </w:t>
      </w:r>
      <w:r>
        <w:t xml:space="preserve">Adverse events reported in the study were graded using </w:t>
      </w:r>
      <w:r w:rsidRPr="007D2330">
        <w:t>CTCAE Version 4.03</w:t>
      </w:r>
      <w:r>
        <w:t>. If olaparib was interrupted due to an adverse event (AE), dosing was held ≤Grade 1 unless specified otherwise in the dose modification instructions.</w:t>
      </w:r>
    </w:p>
    <w:p w14:paraId="1B84F37B" w14:textId="77777777" w:rsidR="0066570B" w:rsidRDefault="0066570B" w:rsidP="0066570B">
      <w:r>
        <w:t>Overall, no new safety findings were reported in OlympiA following 12 months of olaparib treatment in the adjuvant setting, and the safety observations are consistent with the established safety profile of olaparib.</w:t>
      </w:r>
    </w:p>
    <w:p w14:paraId="567D88DA" w14:textId="4CBE20E5" w:rsidR="0066570B" w:rsidRDefault="0066570B" w:rsidP="0066570B">
      <w:r>
        <w:t xml:space="preserve">The </w:t>
      </w:r>
      <w:r w:rsidR="00CD546E">
        <w:t>sponsor</w:t>
      </w:r>
      <w:r>
        <w:t xml:space="preserve"> also submitted a pooled dataset across tumour types for olaparib monotherapy at the proposed dose (300 mg BD). </w:t>
      </w:r>
      <w:r w:rsidRPr="0088036F">
        <w:t xml:space="preserve"> </w:t>
      </w:r>
      <w:r>
        <w:t xml:space="preserve">This pool was highly heterogeneous, and included patients with advanced </w:t>
      </w:r>
      <w:r w:rsidRPr="0088036F">
        <w:t>ovarian, fallopian tube, or primary peritoneal (</w:t>
      </w:r>
      <w:r>
        <w:t>45%),</w:t>
      </w:r>
      <w:r w:rsidRPr="0088036F">
        <w:t xml:space="preserve"> breast (</w:t>
      </w:r>
      <w:r>
        <w:t>39%), prostate (9%), pancreatic (3%), or colorectal (&lt;1%) cancer.</w:t>
      </w:r>
      <w:r w:rsidRPr="0088036F">
        <w:t xml:space="preserve"> Patients were generally heavily pre-treated.</w:t>
      </w:r>
    </w:p>
    <w:p w14:paraId="28F804DD" w14:textId="77777777" w:rsidR="0066570B" w:rsidRDefault="0066570B" w:rsidP="000B4549">
      <w:pPr>
        <w:pStyle w:val="Heading5"/>
      </w:pPr>
      <w:r>
        <w:t>Exposure</w:t>
      </w:r>
    </w:p>
    <w:p w14:paraId="4DDF5AD1" w14:textId="77777777" w:rsidR="0066570B" w:rsidRDefault="0066570B" w:rsidP="0066570B">
      <w:r>
        <w:t xml:space="preserve">In OlympiA, the median total intended exposure was 364 days (12 months) in both treatment arms. The actual median number of days on 300 mg BD treatment was 338 days, and the median actual treatment duration was 350 days. </w:t>
      </w:r>
    </w:p>
    <w:p w14:paraId="29262CAD" w14:textId="77777777" w:rsidR="00444C9E" w:rsidRDefault="00444C9E" w:rsidP="000B4549">
      <w:pPr>
        <w:pStyle w:val="Heading5"/>
      </w:pPr>
      <w:r>
        <w:t>Overview of safety</w:t>
      </w:r>
    </w:p>
    <w:p w14:paraId="388CB99F" w14:textId="52367B26" w:rsidR="00444C9E" w:rsidRPr="00724B15" w:rsidRDefault="00FD24E8" w:rsidP="00444C9E">
      <w:r>
        <w:t>Table</w:t>
      </w:r>
      <w:r w:rsidR="000A3C7D">
        <w:t xml:space="preserve"> </w:t>
      </w:r>
      <w:r w:rsidR="00F443CD">
        <w:t>9</w:t>
      </w:r>
      <w:r w:rsidR="00F443CD">
        <w:tab/>
        <w:t xml:space="preserve"> </w:t>
      </w:r>
      <w:r w:rsidR="00444C9E">
        <w:t>contains a summary of safety data in OlympiA.</w:t>
      </w:r>
    </w:p>
    <w:p w14:paraId="09B9DB43" w14:textId="3D16923C" w:rsidR="00444C9E" w:rsidRDefault="00444C9E" w:rsidP="00583A23">
      <w:pPr>
        <w:pStyle w:val="TableTitle"/>
      </w:pPr>
      <w:bookmarkStart w:id="87" w:name="_Ref127958106"/>
      <w:r>
        <w:t xml:space="preserve">Table </w:t>
      </w:r>
      <w:bookmarkEnd w:id="87"/>
      <w:r w:rsidR="00F443CD">
        <w:t>9</w:t>
      </w:r>
      <w:r>
        <w:t>. Overview of safety in OlympiA</w:t>
      </w:r>
    </w:p>
    <w:tbl>
      <w:tblPr>
        <w:tblStyle w:val="TableTGAblue2023"/>
        <w:tblW w:w="8931" w:type="dxa"/>
        <w:tblLayout w:type="fixed"/>
        <w:tblLook w:val="01E0" w:firstRow="1" w:lastRow="1" w:firstColumn="1" w:lastColumn="1" w:noHBand="0" w:noVBand="0"/>
      </w:tblPr>
      <w:tblGrid>
        <w:gridCol w:w="2977"/>
        <w:gridCol w:w="2977"/>
        <w:gridCol w:w="2977"/>
      </w:tblGrid>
      <w:tr w:rsidR="00D30977" w:rsidRPr="00D30977" w14:paraId="61EFD243" w14:textId="77777777" w:rsidTr="00AD1F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Pr>
          <w:p w14:paraId="3A1D4C4B" w14:textId="77777777" w:rsidR="00444C9E" w:rsidRPr="00AD1F7F" w:rsidRDefault="00444C9E" w:rsidP="00D30977">
            <w:pPr>
              <w:pStyle w:val="Tabletext0"/>
              <w:rPr>
                <w:color w:val="263287"/>
              </w:rPr>
            </w:pPr>
          </w:p>
        </w:tc>
        <w:tc>
          <w:tcPr>
            <w:tcW w:w="0" w:type="dxa"/>
          </w:tcPr>
          <w:p w14:paraId="1104A082" w14:textId="77777777" w:rsidR="00444C9E" w:rsidRPr="00AD1F7F" w:rsidRDefault="00444C9E" w:rsidP="00D30977">
            <w:pPr>
              <w:pStyle w:val="Tabletext0"/>
              <w:cnfStyle w:val="100000000000" w:firstRow="1" w:lastRow="0" w:firstColumn="0" w:lastColumn="0" w:oddVBand="0" w:evenVBand="0" w:oddHBand="0" w:evenHBand="0" w:firstRowFirstColumn="0" w:firstRowLastColumn="0" w:lastRowFirstColumn="0" w:lastRowLastColumn="0"/>
              <w:rPr>
                <w:color w:val="263287"/>
              </w:rPr>
            </w:pPr>
            <w:r w:rsidRPr="00AD1F7F">
              <w:rPr>
                <w:color w:val="263287"/>
              </w:rPr>
              <w:t>Olaparib (N=911), %</w:t>
            </w:r>
          </w:p>
        </w:tc>
        <w:tc>
          <w:tcPr>
            <w:tcW w:w="0" w:type="dxa"/>
          </w:tcPr>
          <w:p w14:paraId="798E44BC" w14:textId="77777777" w:rsidR="00444C9E" w:rsidRPr="00AD1F7F" w:rsidRDefault="00444C9E" w:rsidP="00D30977">
            <w:pPr>
              <w:pStyle w:val="Tabletext0"/>
              <w:cnfStyle w:val="100000000000" w:firstRow="1" w:lastRow="0" w:firstColumn="0" w:lastColumn="0" w:oddVBand="0" w:evenVBand="0" w:oddHBand="0" w:evenHBand="0" w:firstRowFirstColumn="0" w:firstRowLastColumn="0" w:lastRowFirstColumn="0" w:lastRowLastColumn="0"/>
              <w:rPr>
                <w:color w:val="263287"/>
              </w:rPr>
            </w:pPr>
            <w:r w:rsidRPr="00AD1F7F">
              <w:rPr>
                <w:color w:val="263287"/>
              </w:rPr>
              <w:t>Placebo (N=904), %</w:t>
            </w:r>
          </w:p>
        </w:tc>
      </w:tr>
      <w:tr w:rsidR="00D30977" w:rsidRPr="00D30977" w14:paraId="006A8F5F" w14:textId="77777777" w:rsidTr="00AD1F7F">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486238D2" w14:textId="77777777" w:rsidR="00444C9E" w:rsidRPr="00D30977" w:rsidRDefault="00444C9E" w:rsidP="00D30977">
            <w:pPr>
              <w:pStyle w:val="Tabletext0"/>
            </w:pPr>
            <w:r w:rsidRPr="00D30977">
              <w:t>All-grade TEAEs</w:t>
            </w:r>
          </w:p>
        </w:tc>
        <w:tc>
          <w:tcPr>
            <w:tcW w:w="0" w:type="dxa"/>
          </w:tcPr>
          <w:p w14:paraId="7B2A9A04" w14:textId="77777777" w:rsidR="00444C9E" w:rsidRPr="00D30977" w:rsidRDefault="00444C9E" w:rsidP="00D30977">
            <w:pPr>
              <w:pStyle w:val="Tabletext0"/>
              <w:cnfStyle w:val="000000000000" w:firstRow="0" w:lastRow="0" w:firstColumn="0" w:lastColumn="0" w:oddVBand="0" w:evenVBand="0" w:oddHBand="0" w:evenHBand="0" w:firstRowFirstColumn="0" w:firstRowLastColumn="0" w:lastRowFirstColumn="0" w:lastRowLastColumn="0"/>
            </w:pPr>
            <w:r w:rsidRPr="00D30977">
              <w:t>92</w:t>
            </w:r>
          </w:p>
        </w:tc>
        <w:tc>
          <w:tcPr>
            <w:tcW w:w="0" w:type="dxa"/>
          </w:tcPr>
          <w:p w14:paraId="2C638177" w14:textId="77777777" w:rsidR="00444C9E" w:rsidRPr="00D30977" w:rsidRDefault="00444C9E" w:rsidP="00D30977">
            <w:pPr>
              <w:pStyle w:val="Tabletext0"/>
              <w:cnfStyle w:val="000000000000" w:firstRow="0" w:lastRow="0" w:firstColumn="0" w:lastColumn="0" w:oddVBand="0" w:evenVBand="0" w:oddHBand="0" w:evenHBand="0" w:firstRowFirstColumn="0" w:firstRowLastColumn="0" w:lastRowFirstColumn="0" w:lastRowLastColumn="0"/>
            </w:pPr>
            <w:r w:rsidRPr="00D30977">
              <w:t>83</w:t>
            </w:r>
          </w:p>
        </w:tc>
      </w:tr>
      <w:tr w:rsidR="00D30977" w:rsidRPr="00D30977" w14:paraId="364A27C7" w14:textId="77777777" w:rsidTr="00AD1F7F">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130ADA86" w14:textId="77777777" w:rsidR="00444C9E" w:rsidRPr="00D30977" w:rsidRDefault="00444C9E" w:rsidP="00D30977">
            <w:pPr>
              <w:pStyle w:val="Tabletext0"/>
            </w:pPr>
            <w:r w:rsidRPr="00D30977">
              <w:t>Grade 3-4</w:t>
            </w:r>
          </w:p>
        </w:tc>
        <w:tc>
          <w:tcPr>
            <w:tcW w:w="0" w:type="dxa"/>
          </w:tcPr>
          <w:p w14:paraId="226E0433" w14:textId="77777777" w:rsidR="00444C9E" w:rsidRPr="00D30977" w:rsidRDefault="00444C9E" w:rsidP="00D30977">
            <w:pPr>
              <w:pStyle w:val="Tabletext0"/>
              <w:cnfStyle w:val="000000000000" w:firstRow="0" w:lastRow="0" w:firstColumn="0" w:lastColumn="0" w:oddVBand="0" w:evenVBand="0" w:oddHBand="0" w:evenHBand="0" w:firstRowFirstColumn="0" w:firstRowLastColumn="0" w:lastRowFirstColumn="0" w:lastRowLastColumn="0"/>
            </w:pPr>
            <w:r w:rsidRPr="00D30977">
              <w:t>18</w:t>
            </w:r>
          </w:p>
        </w:tc>
        <w:tc>
          <w:tcPr>
            <w:tcW w:w="0" w:type="dxa"/>
          </w:tcPr>
          <w:p w14:paraId="71A3DC5F" w14:textId="77777777" w:rsidR="00444C9E" w:rsidRPr="00D30977" w:rsidRDefault="00444C9E" w:rsidP="00D30977">
            <w:pPr>
              <w:pStyle w:val="Tabletext0"/>
              <w:cnfStyle w:val="000000000000" w:firstRow="0" w:lastRow="0" w:firstColumn="0" w:lastColumn="0" w:oddVBand="0" w:evenVBand="0" w:oddHBand="0" w:evenHBand="0" w:firstRowFirstColumn="0" w:firstRowLastColumn="0" w:lastRowFirstColumn="0" w:lastRowLastColumn="0"/>
            </w:pPr>
            <w:r w:rsidRPr="00D30977">
              <w:t>9</w:t>
            </w:r>
          </w:p>
        </w:tc>
      </w:tr>
      <w:tr w:rsidR="00D30977" w:rsidRPr="00D30977" w14:paraId="55B9214A" w14:textId="77777777" w:rsidTr="00AD1F7F">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55E4D7E1" w14:textId="77777777" w:rsidR="00444C9E" w:rsidRPr="00D30977" w:rsidRDefault="00444C9E" w:rsidP="00D30977">
            <w:pPr>
              <w:pStyle w:val="Tabletext0"/>
            </w:pPr>
            <w:r w:rsidRPr="00D30977">
              <w:t>Grade 5</w:t>
            </w:r>
          </w:p>
        </w:tc>
        <w:tc>
          <w:tcPr>
            <w:tcW w:w="0" w:type="dxa"/>
          </w:tcPr>
          <w:p w14:paraId="473AC3BB" w14:textId="77777777" w:rsidR="00444C9E" w:rsidRPr="00D30977" w:rsidRDefault="00444C9E" w:rsidP="00D30977">
            <w:pPr>
              <w:pStyle w:val="Tabletext0"/>
              <w:cnfStyle w:val="000000000000" w:firstRow="0" w:lastRow="0" w:firstColumn="0" w:lastColumn="0" w:oddVBand="0" w:evenVBand="0" w:oddHBand="0" w:evenHBand="0" w:firstRowFirstColumn="0" w:firstRowLastColumn="0" w:lastRowFirstColumn="0" w:lastRowLastColumn="0"/>
            </w:pPr>
            <w:r w:rsidRPr="00D30977">
              <w:t>0.1</w:t>
            </w:r>
          </w:p>
        </w:tc>
        <w:tc>
          <w:tcPr>
            <w:tcW w:w="0" w:type="dxa"/>
          </w:tcPr>
          <w:p w14:paraId="3473B37A" w14:textId="77777777" w:rsidR="00444C9E" w:rsidRPr="00D30977" w:rsidRDefault="00444C9E" w:rsidP="00D30977">
            <w:pPr>
              <w:pStyle w:val="Tabletext0"/>
              <w:cnfStyle w:val="000000000000" w:firstRow="0" w:lastRow="0" w:firstColumn="0" w:lastColumn="0" w:oddVBand="0" w:evenVBand="0" w:oddHBand="0" w:evenHBand="0" w:firstRowFirstColumn="0" w:firstRowLastColumn="0" w:lastRowFirstColumn="0" w:lastRowLastColumn="0"/>
            </w:pPr>
            <w:r w:rsidRPr="00D30977">
              <w:t>0</w:t>
            </w:r>
          </w:p>
        </w:tc>
      </w:tr>
      <w:tr w:rsidR="00D30977" w:rsidRPr="00D30977" w14:paraId="75B6126C" w14:textId="77777777" w:rsidTr="00AD1F7F">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3A3F0925" w14:textId="4C528676" w:rsidR="00444C9E" w:rsidRPr="00D30977" w:rsidRDefault="00444C9E" w:rsidP="00D30977">
            <w:pPr>
              <w:pStyle w:val="Tabletext0"/>
            </w:pPr>
            <w:r w:rsidRPr="00D30977">
              <w:t>Serious A</w:t>
            </w:r>
            <w:r w:rsidR="00FD24E8" w:rsidRPr="00D30977">
              <w:t>E</w:t>
            </w:r>
            <w:r w:rsidRPr="00D30977">
              <w:t>s (SAEs)</w:t>
            </w:r>
          </w:p>
        </w:tc>
        <w:tc>
          <w:tcPr>
            <w:tcW w:w="0" w:type="dxa"/>
          </w:tcPr>
          <w:p w14:paraId="1F4EB48C" w14:textId="77777777" w:rsidR="00444C9E" w:rsidRPr="00D30977" w:rsidRDefault="00444C9E" w:rsidP="00D30977">
            <w:pPr>
              <w:pStyle w:val="Tabletext0"/>
              <w:cnfStyle w:val="000000000000" w:firstRow="0" w:lastRow="0" w:firstColumn="0" w:lastColumn="0" w:oddVBand="0" w:evenVBand="0" w:oddHBand="0" w:evenHBand="0" w:firstRowFirstColumn="0" w:firstRowLastColumn="0" w:lastRowFirstColumn="0" w:lastRowLastColumn="0"/>
            </w:pPr>
            <w:r w:rsidRPr="00D30977">
              <w:t>9</w:t>
            </w:r>
          </w:p>
        </w:tc>
        <w:tc>
          <w:tcPr>
            <w:tcW w:w="0" w:type="dxa"/>
          </w:tcPr>
          <w:p w14:paraId="29712C1D" w14:textId="77777777" w:rsidR="00444C9E" w:rsidRPr="00D30977" w:rsidRDefault="00444C9E" w:rsidP="00D30977">
            <w:pPr>
              <w:pStyle w:val="Tabletext0"/>
              <w:cnfStyle w:val="000000000000" w:firstRow="0" w:lastRow="0" w:firstColumn="0" w:lastColumn="0" w:oddVBand="0" w:evenVBand="0" w:oddHBand="0" w:evenHBand="0" w:firstRowFirstColumn="0" w:firstRowLastColumn="0" w:lastRowFirstColumn="0" w:lastRowLastColumn="0"/>
            </w:pPr>
            <w:r w:rsidRPr="00D30977">
              <w:t>8</w:t>
            </w:r>
          </w:p>
        </w:tc>
      </w:tr>
      <w:tr w:rsidR="00D30977" w:rsidRPr="00D30977" w14:paraId="48A56854" w14:textId="77777777" w:rsidTr="00AD1F7F">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64EDBAC9" w14:textId="537E7486" w:rsidR="00444C9E" w:rsidRPr="00D30977" w:rsidRDefault="00444C9E" w:rsidP="00D30977">
            <w:pPr>
              <w:pStyle w:val="Tabletext0"/>
            </w:pPr>
            <w:r w:rsidRPr="00D30977">
              <w:t>Drug withdrawn due to A</w:t>
            </w:r>
            <w:r w:rsidR="00FD24E8" w:rsidRPr="00D30977">
              <w:t>E</w:t>
            </w:r>
            <w:r w:rsidRPr="00D30977">
              <w:t>s</w:t>
            </w:r>
          </w:p>
        </w:tc>
        <w:tc>
          <w:tcPr>
            <w:tcW w:w="0" w:type="dxa"/>
          </w:tcPr>
          <w:p w14:paraId="0F238D1C" w14:textId="77777777" w:rsidR="00444C9E" w:rsidRPr="00D30977" w:rsidRDefault="00444C9E" w:rsidP="00D30977">
            <w:pPr>
              <w:pStyle w:val="Tabletext0"/>
              <w:cnfStyle w:val="000000000000" w:firstRow="0" w:lastRow="0" w:firstColumn="0" w:lastColumn="0" w:oddVBand="0" w:evenVBand="0" w:oddHBand="0" w:evenHBand="0" w:firstRowFirstColumn="0" w:firstRowLastColumn="0" w:lastRowFirstColumn="0" w:lastRowLastColumn="0"/>
            </w:pPr>
            <w:r w:rsidRPr="00D30977">
              <w:t>10</w:t>
            </w:r>
          </w:p>
        </w:tc>
        <w:tc>
          <w:tcPr>
            <w:tcW w:w="0" w:type="dxa"/>
          </w:tcPr>
          <w:p w14:paraId="61E927B6" w14:textId="77777777" w:rsidR="00444C9E" w:rsidRPr="00D30977" w:rsidRDefault="00444C9E" w:rsidP="00D30977">
            <w:pPr>
              <w:pStyle w:val="Tabletext0"/>
              <w:cnfStyle w:val="000000000000" w:firstRow="0" w:lastRow="0" w:firstColumn="0" w:lastColumn="0" w:oddVBand="0" w:evenVBand="0" w:oddHBand="0" w:evenHBand="0" w:firstRowFirstColumn="0" w:firstRowLastColumn="0" w:lastRowFirstColumn="0" w:lastRowLastColumn="0"/>
            </w:pPr>
            <w:r w:rsidRPr="00D30977">
              <w:t>4.2</w:t>
            </w:r>
          </w:p>
        </w:tc>
      </w:tr>
      <w:tr w:rsidR="00D30977" w:rsidRPr="00D30977" w14:paraId="67D8DC5D" w14:textId="77777777" w:rsidTr="00AD1F7F">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0CA037FC" w14:textId="530CDF4F" w:rsidR="00444C9E" w:rsidRPr="00D30977" w:rsidRDefault="00444C9E" w:rsidP="00D30977">
            <w:pPr>
              <w:pStyle w:val="Tabletext0"/>
            </w:pPr>
            <w:r w:rsidRPr="00D30977">
              <w:t>Drug interrupted due to A</w:t>
            </w:r>
            <w:r w:rsidR="00FD24E8" w:rsidRPr="00D30977">
              <w:t>E</w:t>
            </w:r>
            <w:r w:rsidRPr="00D30977">
              <w:t>s</w:t>
            </w:r>
          </w:p>
        </w:tc>
        <w:tc>
          <w:tcPr>
            <w:tcW w:w="0" w:type="dxa"/>
          </w:tcPr>
          <w:p w14:paraId="79906D60" w14:textId="77777777" w:rsidR="00444C9E" w:rsidRPr="00D30977" w:rsidRDefault="00444C9E" w:rsidP="00D30977">
            <w:pPr>
              <w:pStyle w:val="Tabletext0"/>
              <w:cnfStyle w:val="000000000000" w:firstRow="0" w:lastRow="0" w:firstColumn="0" w:lastColumn="0" w:oddVBand="0" w:evenVBand="0" w:oddHBand="0" w:evenHBand="0" w:firstRowFirstColumn="0" w:firstRowLastColumn="0" w:lastRowFirstColumn="0" w:lastRowLastColumn="0"/>
            </w:pPr>
            <w:r w:rsidRPr="00D30977">
              <w:t>31</w:t>
            </w:r>
          </w:p>
        </w:tc>
        <w:tc>
          <w:tcPr>
            <w:tcW w:w="0" w:type="dxa"/>
          </w:tcPr>
          <w:p w14:paraId="34C0E9DF" w14:textId="77777777" w:rsidR="00444C9E" w:rsidRPr="00D30977" w:rsidRDefault="00444C9E" w:rsidP="00D30977">
            <w:pPr>
              <w:pStyle w:val="Tabletext0"/>
              <w:cnfStyle w:val="000000000000" w:firstRow="0" w:lastRow="0" w:firstColumn="0" w:lastColumn="0" w:oddVBand="0" w:evenVBand="0" w:oddHBand="0" w:evenHBand="0" w:firstRowFirstColumn="0" w:firstRowLastColumn="0" w:lastRowFirstColumn="0" w:lastRowLastColumn="0"/>
            </w:pPr>
            <w:r w:rsidRPr="00D30977">
              <w:t>10</w:t>
            </w:r>
          </w:p>
        </w:tc>
      </w:tr>
      <w:tr w:rsidR="00D30977" w:rsidRPr="00D30977" w14:paraId="1DAA8142" w14:textId="77777777" w:rsidTr="00AD1F7F">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058AB926" w14:textId="3710E31D" w:rsidR="00444C9E" w:rsidRPr="00D30977" w:rsidRDefault="00444C9E" w:rsidP="00D30977">
            <w:pPr>
              <w:pStyle w:val="Tabletext0"/>
            </w:pPr>
            <w:r w:rsidRPr="00D30977">
              <w:t>Dose reduced due to A</w:t>
            </w:r>
            <w:r w:rsidR="00FD24E8" w:rsidRPr="00D30977">
              <w:t>E</w:t>
            </w:r>
            <w:r w:rsidRPr="00D30977">
              <w:t>s</w:t>
            </w:r>
          </w:p>
        </w:tc>
        <w:tc>
          <w:tcPr>
            <w:tcW w:w="0" w:type="dxa"/>
          </w:tcPr>
          <w:p w14:paraId="35EDA6B8" w14:textId="77777777" w:rsidR="00444C9E" w:rsidRPr="00D30977" w:rsidRDefault="00444C9E" w:rsidP="00D30977">
            <w:pPr>
              <w:pStyle w:val="Tabletext0"/>
              <w:cnfStyle w:val="000000000000" w:firstRow="0" w:lastRow="0" w:firstColumn="0" w:lastColumn="0" w:oddVBand="0" w:evenVBand="0" w:oddHBand="0" w:evenHBand="0" w:firstRowFirstColumn="0" w:firstRowLastColumn="0" w:lastRowFirstColumn="0" w:lastRowLastColumn="0"/>
            </w:pPr>
            <w:r w:rsidRPr="00D30977">
              <w:t>23</w:t>
            </w:r>
          </w:p>
        </w:tc>
        <w:tc>
          <w:tcPr>
            <w:tcW w:w="0" w:type="dxa"/>
          </w:tcPr>
          <w:p w14:paraId="7921B85B" w14:textId="77777777" w:rsidR="00444C9E" w:rsidRPr="00D30977" w:rsidRDefault="00444C9E" w:rsidP="00D30977">
            <w:pPr>
              <w:pStyle w:val="Tabletext0"/>
              <w:cnfStyle w:val="000000000000" w:firstRow="0" w:lastRow="0" w:firstColumn="0" w:lastColumn="0" w:oddVBand="0" w:evenVBand="0" w:oddHBand="0" w:evenHBand="0" w:firstRowFirstColumn="0" w:firstRowLastColumn="0" w:lastRowFirstColumn="0" w:lastRowLastColumn="0"/>
            </w:pPr>
            <w:r w:rsidRPr="00D30977">
              <w:t>3.5</w:t>
            </w:r>
          </w:p>
        </w:tc>
      </w:tr>
    </w:tbl>
    <w:p w14:paraId="312D80BE" w14:textId="77777777" w:rsidR="00444C9E" w:rsidRDefault="00444C9E" w:rsidP="00444C9E">
      <w:pPr>
        <w:pStyle w:val="TableDescription"/>
      </w:pPr>
      <w:r>
        <w:t>AE = adverse event; N = number of patients; TEAE = treatment-emergent adverse event</w:t>
      </w:r>
    </w:p>
    <w:p w14:paraId="2FFF72EF" w14:textId="77777777" w:rsidR="00DA682D" w:rsidRDefault="00DA682D" w:rsidP="000B4549">
      <w:pPr>
        <w:pStyle w:val="Heading5"/>
      </w:pPr>
      <w:r>
        <w:lastRenderedPageBreak/>
        <w:t>Adverse events in OlympiA</w:t>
      </w:r>
    </w:p>
    <w:p w14:paraId="75E9108A" w14:textId="02650BBF" w:rsidR="00DA682D" w:rsidRDefault="00DA682D" w:rsidP="00DA682D">
      <w:r>
        <w:t xml:space="preserve">In the olaparib arm, the most common (incidence at least 10%) treatment-emergent adverse events (TEAEs) were nausea, fatigue, anaemia, vomiting, headache, diarrhoea, leukopenia, neutropenia, decreased appetite, dysgeusia, dizziness, and stomatitis. The most common severe (grade 3-4) TEAEs were anaemia, neutropenia, leukopenia, lymphopenia and fatigue. </w:t>
      </w:r>
      <w:r w:rsidR="00D66090">
        <w:t>Table 10</w:t>
      </w:r>
      <w:r>
        <w:t xml:space="preserve"> contains the table of common A</w:t>
      </w:r>
      <w:r w:rsidR="000A3C7D">
        <w:t>E</w:t>
      </w:r>
      <w:r>
        <w:t xml:space="preserve">s from the approved FDA label, and </w:t>
      </w:r>
      <w:r w:rsidR="000A3C7D">
        <w:t>Table 1</w:t>
      </w:r>
      <w:r w:rsidR="00D66090">
        <w:t>1</w:t>
      </w:r>
      <w:r w:rsidR="00F443CD">
        <w:t xml:space="preserve"> </w:t>
      </w:r>
      <w:r>
        <w:t>contains the table of common laboratory abnormalities in OlympiA (also from the FDA label).</w:t>
      </w:r>
    </w:p>
    <w:p w14:paraId="092C768C" w14:textId="77777777" w:rsidR="00DA682D" w:rsidRDefault="00DA682D" w:rsidP="00DA682D">
      <w:pPr>
        <w:pStyle w:val="BodyText"/>
        <w:spacing w:before="4" w:after="1"/>
        <w:rPr>
          <w:rFonts w:ascii="Arial"/>
          <w:b/>
          <w:sz w:val="20"/>
        </w:rPr>
      </w:pPr>
    </w:p>
    <w:p w14:paraId="139C1975" w14:textId="5DF1548F" w:rsidR="00615394" w:rsidRDefault="00615394" w:rsidP="00615394">
      <w:pPr>
        <w:pStyle w:val="Caption"/>
      </w:pPr>
      <w:bookmarkStart w:id="88" w:name="_Ref127963633"/>
      <w:r>
        <w:t>Table</w:t>
      </w:r>
      <w:bookmarkEnd w:id="88"/>
      <w:r w:rsidR="00F443CD">
        <w:t xml:space="preserve"> 10</w:t>
      </w:r>
      <w:r>
        <w:t>.</w:t>
      </w:r>
      <w:r w:rsidRPr="004111C0">
        <w:t xml:space="preserve"> </w:t>
      </w:r>
      <w:r>
        <w:t>Adverse</w:t>
      </w:r>
      <w:r>
        <w:rPr>
          <w:spacing w:val="-3"/>
        </w:rPr>
        <w:t xml:space="preserve"> </w:t>
      </w:r>
      <w:r>
        <w:t>Reactions</w:t>
      </w:r>
      <w:r>
        <w:rPr>
          <w:vertAlign w:val="superscript"/>
        </w:rPr>
        <w:t>*</w:t>
      </w:r>
      <w:r>
        <w:rPr>
          <w:spacing w:val="-4"/>
        </w:rPr>
        <w:t xml:space="preserve"> </w:t>
      </w:r>
      <w:r>
        <w:t>in</w:t>
      </w:r>
      <w:r>
        <w:rPr>
          <w:spacing w:val="-7"/>
        </w:rPr>
        <w:t xml:space="preserve"> </w:t>
      </w:r>
      <w:r>
        <w:t>OlympiA</w:t>
      </w:r>
      <w:r>
        <w:rPr>
          <w:spacing w:val="-4"/>
        </w:rPr>
        <w:t xml:space="preserve"> </w:t>
      </w:r>
      <w:r>
        <w:t>(≥10%</w:t>
      </w:r>
      <w:r>
        <w:rPr>
          <w:spacing w:val="-2"/>
        </w:rPr>
        <w:t xml:space="preserve"> </w:t>
      </w:r>
      <w:r>
        <w:t>of</w:t>
      </w:r>
      <w:r>
        <w:rPr>
          <w:spacing w:val="-5"/>
        </w:rPr>
        <w:t xml:space="preserve"> </w:t>
      </w:r>
      <w:r>
        <w:t>Patients</w:t>
      </w:r>
      <w:r>
        <w:rPr>
          <w:spacing w:val="-5"/>
        </w:rPr>
        <w:t xml:space="preserve"> </w:t>
      </w:r>
      <w:r>
        <w:t>Who</w:t>
      </w:r>
      <w:r>
        <w:rPr>
          <w:spacing w:val="-6"/>
        </w:rPr>
        <w:t xml:space="preserve"> </w:t>
      </w:r>
      <w:r>
        <w:t>Received</w:t>
      </w:r>
      <w:r>
        <w:rPr>
          <w:spacing w:val="-4"/>
        </w:rPr>
        <w:t xml:space="preserve"> </w:t>
      </w:r>
      <w:r w:rsidR="001A10EC">
        <w:rPr>
          <w:spacing w:val="-2"/>
        </w:rPr>
        <w:t>Lynparza</w:t>
      </w:r>
      <w:r>
        <w:rPr>
          <w:spacing w:val="-2"/>
        </w:rPr>
        <w:t>) [table from approved FDA label]</w:t>
      </w:r>
    </w:p>
    <w:tbl>
      <w:tblPr>
        <w:tblStyle w:val="TableTGAblue"/>
        <w:tblW w:w="9351" w:type="dxa"/>
        <w:tblLayout w:type="fixed"/>
        <w:tblLook w:val="01E0" w:firstRow="1" w:lastRow="1" w:firstColumn="1" w:lastColumn="1" w:noHBand="0" w:noVBand="0"/>
      </w:tblPr>
      <w:tblGrid>
        <w:gridCol w:w="1871"/>
        <w:gridCol w:w="1870"/>
        <w:gridCol w:w="1870"/>
        <w:gridCol w:w="1870"/>
        <w:gridCol w:w="1870"/>
      </w:tblGrid>
      <w:tr w:rsidR="00F443CD" w:rsidRPr="00D30977" w14:paraId="25626FDC" w14:textId="77777777" w:rsidTr="00F443CD">
        <w:trPr>
          <w:cnfStyle w:val="100000000000" w:firstRow="1" w:lastRow="0" w:firstColumn="0" w:lastColumn="0" w:oddVBand="0" w:evenVBand="0" w:oddHBand="0" w:evenHBand="0" w:firstRowFirstColumn="0" w:firstRowLastColumn="0" w:lastRowFirstColumn="0" w:lastRowLastColumn="0"/>
          <w:trHeight w:val="20"/>
        </w:trPr>
        <w:tc>
          <w:tcPr>
            <w:tcW w:w="0" w:type="dxa"/>
            <w:vMerge w:val="restart"/>
            <w:shd w:val="clear" w:color="auto" w:fill="auto"/>
          </w:tcPr>
          <w:p w14:paraId="6689656F" w14:textId="77777777" w:rsidR="00615394" w:rsidRPr="00D30977" w:rsidRDefault="00615394" w:rsidP="00F443CD">
            <w:pPr>
              <w:pStyle w:val="Tabletext0"/>
              <w:rPr>
                <w:b w:val="0"/>
                <w:sz w:val="22"/>
                <w:szCs w:val="22"/>
              </w:rPr>
            </w:pPr>
            <w:r w:rsidRPr="00D30977">
              <w:rPr>
                <w:sz w:val="22"/>
                <w:szCs w:val="22"/>
              </w:rPr>
              <w:t>Adverse</w:t>
            </w:r>
            <w:r w:rsidRPr="00D30977">
              <w:rPr>
                <w:spacing w:val="-3"/>
                <w:sz w:val="22"/>
                <w:szCs w:val="22"/>
              </w:rPr>
              <w:t xml:space="preserve"> </w:t>
            </w:r>
            <w:r w:rsidRPr="00D30977">
              <w:rPr>
                <w:sz w:val="22"/>
                <w:szCs w:val="22"/>
              </w:rPr>
              <w:t>Reactions</w:t>
            </w:r>
          </w:p>
        </w:tc>
        <w:tc>
          <w:tcPr>
            <w:tcW w:w="0" w:type="dxa"/>
            <w:gridSpan w:val="2"/>
            <w:shd w:val="clear" w:color="auto" w:fill="auto"/>
          </w:tcPr>
          <w:p w14:paraId="40053B8D" w14:textId="2B174E70" w:rsidR="00615394" w:rsidRPr="00D30977" w:rsidRDefault="001A10EC" w:rsidP="00F443CD">
            <w:pPr>
              <w:pStyle w:val="Tabletext0"/>
              <w:rPr>
                <w:b w:val="0"/>
                <w:sz w:val="22"/>
                <w:szCs w:val="22"/>
              </w:rPr>
            </w:pPr>
            <w:r w:rsidRPr="00D30977">
              <w:rPr>
                <w:sz w:val="22"/>
                <w:szCs w:val="22"/>
              </w:rPr>
              <w:t>Lynparza</w:t>
            </w:r>
            <w:r w:rsidR="00615394" w:rsidRPr="00D30977">
              <w:rPr>
                <w:spacing w:val="-14"/>
                <w:sz w:val="22"/>
                <w:szCs w:val="22"/>
              </w:rPr>
              <w:t xml:space="preserve"> </w:t>
            </w:r>
            <w:r w:rsidR="00615394" w:rsidRPr="00D30977">
              <w:rPr>
                <w:sz w:val="22"/>
                <w:szCs w:val="22"/>
              </w:rPr>
              <w:t>tablets n=911</w:t>
            </w:r>
          </w:p>
        </w:tc>
        <w:tc>
          <w:tcPr>
            <w:tcW w:w="0" w:type="dxa"/>
            <w:gridSpan w:val="2"/>
            <w:shd w:val="clear" w:color="auto" w:fill="auto"/>
          </w:tcPr>
          <w:p w14:paraId="23CA5D1A" w14:textId="77777777" w:rsidR="00615394" w:rsidRPr="00D30977" w:rsidRDefault="00615394" w:rsidP="00F443CD">
            <w:pPr>
              <w:pStyle w:val="Tabletext0"/>
              <w:rPr>
                <w:b w:val="0"/>
                <w:sz w:val="22"/>
                <w:szCs w:val="22"/>
              </w:rPr>
            </w:pPr>
            <w:r w:rsidRPr="00D30977">
              <w:rPr>
                <w:sz w:val="22"/>
                <w:szCs w:val="22"/>
              </w:rPr>
              <w:t xml:space="preserve">Placebo </w:t>
            </w:r>
            <w:r w:rsidRPr="00D30977">
              <w:rPr>
                <w:spacing w:val="-4"/>
                <w:sz w:val="22"/>
                <w:szCs w:val="22"/>
              </w:rPr>
              <w:t>n=904</w:t>
            </w:r>
          </w:p>
        </w:tc>
      </w:tr>
      <w:tr w:rsidR="00F443CD" w:rsidRPr="00D30977" w14:paraId="1EADF506" w14:textId="77777777" w:rsidTr="00F443CD">
        <w:trPr>
          <w:trHeight w:val="20"/>
        </w:trPr>
        <w:tc>
          <w:tcPr>
            <w:tcW w:w="0" w:type="dxa"/>
            <w:vMerge/>
          </w:tcPr>
          <w:p w14:paraId="4C6A145A" w14:textId="77777777" w:rsidR="00615394" w:rsidRPr="00D30977" w:rsidRDefault="00615394" w:rsidP="00F443CD">
            <w:pPr>
              <w:pStyle w:val="Tabletext0"/>
              <w:rPr>
                <w:sz w:val="22"/>
                <w:szCs w:val="22"/>
              </w:rPr>
            </w:pPr>
          </w:p>
        </w:tc>
        <w:tc>
          <w:tcPr>
            <w:tcW w:w="0" w:type="dxa"/>
          </w:tcPr>
          <w:p w14:paraId="1C9B9AD6" w14:textId="77777777" w:rsidR="00615394" w:rsidRPr="00D30977" w:rsidRDefault="00615394" w:rsidP="00F443CD">
            <w:pPr>
              <w:pStyle w:val="Tabletext0"/>
              <w:rPr>
                <w:sz w:val="22"/>
                <w:szCs w:val="22"/>
              </w:rPr>
            </w:pPr>
            <w:r w:rsidRPr="00D30977">
              <w:rPr>
                <w:sz w:val="22"/>
                <w:szCs w:val="22"/>
              </w:rPr>
              <w:t>Grades</w:t>
            </w:r>
            <w:r w:rsidRPr="00D30977">
              <w:rPr>
                <w:spacing w:val="-14"/>
                <w:sz w:val="22"/>
                <w:szCs w:val="22"/>
              </w:rPr>
              <w:t xml:space="preserve"> </w:t>
            </w:r>
            <w:r w:rsidRPr="00D30977">
              <w:rPr>
                <w:sz w:val="22"/>
                <w:szCs w:val="22"/>
              </w:rPr>
              <w:t xml:space="preserve">1-4 </w:t>
            </w:r>
            <w:r w:rsidRPr="00D30977">
              <w:rPr>
                <w:spacing w:val="-4"/>
                <w:sz w:val="22"/>
                <w:szCs w:val="22"/>
              </w:rPr>
              <w:t>(%)</w:t>
            </w:r>
          </w:p>
        </w:tc>
        <w:tc>
          <w:tcPr>
            <w:tcW w:w="0" w:type="dxa"/>
          </w:tcPr>
          <w:p w14:paraId="188FCAED" w14:textId="77777777" w:rsidR="00615394" w:rsidRPr="00D30977" w:rsidRDefault="00615394" w:rsidP="00F443CD">
            <w:pPr>
              <w:pStyle w:val="Tabletext0"/>
              <w:rPr>
                <w:sz w:val="22"/>
                <w:szCs w:val="22"/>
              </w:rPr>
            </w:pPr>
            <w:r w:rsidRPr="00D30977">
              <w:rPr>
                <w:sz w:val="22"/>
                <w:szCs w:val="22"/>
              </w:rPr>
              <w:t>Grades</w:t>
            </w:r>
            <w:r w:rsidRPr="00D30977">
              <w:rPr>
                <w:spacing w:val="-14"/>
                <w:sz w:val="22"/>
                <w:szCs w:val="22"/>
              </w:rPr>
              <w:t xml:space="preserve"> </w:t>
            </w:r>
            <w:r w:rsidRPr="00D30977">
              <w:rPr>
                <w:sz w:val="22"/>
                <w:szCs w:val="22"/>
              </w:rPr>
              <w:t xml:space="preserve">3-4 </w:t>
            </w:r>
            <w:r w:rsidRPr="00D30977">
              <w:rPr>
                <w:spacing w:val="-4"/>
                <w:sz w:val="22"/>
                <w:szCs w:val="22"/>
              </w:rPr>
              <w:t>(%)</w:t>
            </w:r>
          </w:p>
        </w:tc>
        <w:tc>
          <w:tcPr>
            <w:tcW w:w="0" w:type="dxa"/>
          </w:tcPr>
          <w:p w14:paraId="5F68AF00" w14:textId="77777777" w:rsidR="00615394" w:rsidRPr="00D30977" w:rsidRDefault="00615394" w:rsidP="00F443CD">
            <w:pPr>
              <w:pStyle w:val="Tabletext0"/>
              <w:rPr>
                <w:sz w:val="22"/>
                <w:szCs w:val="22"/>
              </w:rPr>
            </w:pPr>
            <w:r w:rsidRPr="00D30977">
              <w:rPr>
                <w:sz w:val="22"/>
                <w:szCs w:val="22"/>
              </w:rPr>
              <w:t>Grades</w:t>
            </w:r>
            <w:r w:rsidRPr="00D30977">
              <w:rPr>
                <w:spacing w:val="-14"/>
                <w:sz w:val="22"/>
                <w:szCs w:val="22"/>
              </w:rPr>
              <w:t xml:space="preserve"> </w:t>
            </w:r>
            <w:r w:rsidRPr="00D30977">
              <w:rPr>
                <w:sz w:val="22"/>
                <w:szCs w:val="22"/>
              </w:rPr>
              <w:t xml:space="preserve">1-4 </w:t>
            </w:r>
            <w:r w:rsidRPr="00D30977">
              <w:rPr>
                <w:spacing w:val="-4"/>
                <w:sz w:val="22"/>
                <w:szCs w:val="22"/>
              </w:rPr>
              <w:t>(%)</w:t>
            </w:r>
          </w:p>
        </w:tc>
        <w:tc>
          <w:tcPr>
            <w:tcW w:w="0" w:type="dxa"/>
          </w:tcPr>
          <w:p w14:paraId="4E0E8916" w14:textId="77777777" w:rsidR="00615394" w:rsidRPr="00D30977" w:rsidRDefault="00615394" w:rsidP="00F443CD">
            <w:pPr>
              <w:pStyle w:val="Tabletext0"/>
              <w:rPr>
                <w:sz w:val="22"/>
                <w:szCs w:val="22"/>
              </w:rPr>
            </w:pPr>
            <w:r w:rsidRPr="00D30977">
              <w:rPr>
                <w:sz w:val="22"/>
                <w:szCs w:val="22"/>
              </w:rPr>
              <w:t>Grades</w:t>
            </w:r>
            <w:r w:rsidRPr="00D30977">
              <w:rPr>
                <w:spacing w:val="-14"/>
                <w:sz w:val="22"/>
                <w:szCs w:val="22"/>
              </w:rPr>
              <w:t xml:space="preserve"> </w:t>
            </w:r>
            <w:r w:rsidRPr="00D30977">
              <w:rPr>
                <w:sz w:val="22"/>
                <w:szCs w:val="22"/>
              </w:rPr>
              <w:t xml:space="preserve">3-4 </w:t>
            </w:r>
            <w:r w:rsidRPr="00D30977">
              <w:rPr>
                <w:spacing w:val="-4"/>
                <w:sz w:val="22"/>
                <w:szCs w:val="22"/>
              </w:rPr>
              <w:t>(%)</w:t>
            </w:r>
          </w:p>
        </w:tc>
      </w:tr>
      <w:tr w:rsidR="00F443CD" w:rsidRPr="00D30977" w14:paraId="4614703E" w14:textId="77777777" w:rsidTr="00F443CD">
        <w:trPr>
          <w:trHeight w:val="20"/>
        </w:trPr>
        <w:tc>
          <w:tcPr>
            <w:tcW w:w="0" w:type="dxa"/>
            <w:gridSpan w:val="5"/>
          </w:tcPr>
          <w:p w14:paraId="129DAD77" w14:textId="77777777" w:rsidR="00615394" w:rsidRPr="00D30977" w:rsidRDefault="00615394" w:rsidP="00F443CD">
            <w:pPr>
              <w:pStyle w:val="Tabletext0"/>
              <w:rPr>
                <w:sz w:val="22"/>
                <w:szCs w:val="22"/>
              </w:rPr>
            </w:pPr>
            <w:r w:rsidRPr="00D30977">
              <w:rPr>
                <w:sz w:val="22"/>
                <w:szCs w:val="22"/>
              </w:rPr>
              <w:t>Gastrointestinal</w:t>
            </w:r>
            <w:r w:rsidRPr="00D30977">
              <w:rPr>
                <w:spacing w:val="-10"/>
                <w:sz w:val="22"/>
                <w:szCs w:val="22"/>
              </w:rPr>
              <w:t xml:space="preserve"> </w:t>
            </w:r>
            <w:r w:rsidRPr="00D30977">
              <w:rPr>
                <w:sz w:val="22"/>
                <w:szCs w:val="22"/>
              </w:rPr>
              <w:t>Disorders</w:t>
            </w:r>
          </w:p>
        </w:tc>
      </w:tr>
      <w:tr w:rsidR="00F443CD" w:rsidRPr="00D30977" w14:paraId="57F640E3" w14:textId="77777777" w:rsidTr="00F443CD">
        <w:trPr>
          <w:trHeight w:val="20"/>
        </w:trPr>
        <w:tc>
          <w:tcPr>
            <w:tcW w:w="0" w:type="dxa"/>
          </w:tcPr>
          <w:p w14:paraId="1922D557" w14:textId="77777777" w:rsidR="00615394" w:rsidRPr="00D30977" w:rsidRDefault="00615394" w:rsidP="00F443CD">
            <w:pPr>
              <w:pStyle w:val="Tabletext0"/>
              <w:rPr>
                <w:sz w:val="22"/>
                <w:szCs w:val="22"/>
              </w:rPr>
            </w:pPr>
            <w:r w:rsidRPr="00D30977">
              <w:rPr>
                <w:sz w:val="22"/>
                <w:szCs w:val="22"/>
              </w:rPr>
              <w:t>Nausea</w:t>
            </w:r>
          </w:p>
        </w:tc>
        <w:tc>
          <w:tcPr>
            <w:tcW w:w="0" w:type="dxa"/>
          </w:tcPr>
          <w:p w14:paraId="685F23C6" w14:textId="77777777" w:rsidR="00615394" w:rsidRPr="00D30977" w:rsidRDefault="00615394" w:rsidP="00F443CD">
            <w:pPr>
              <w:pStyle w:val="Tabletext0"/>
              <w:rPr>
                <w:sz w:val="22"/>
                <w:szCs w:val="22"/>
              </w:rPr>
            </w:pPr>
            <w:r w:rsidRPr="00D30977">
              <w:rPr>
                <w:spacing w:val="-5"/>
                <w:sz w:val="22"/>
                <w:szCs w:val="22"/>
              </w:rPr>
              <w:t>57</w:t>
            </w:r>
          </w:p>
        </w:tc>
        <w:tc>
          <w:tcPr>
            <w:tcW w:w="0" w:type="dxa"/>
          </w:tcPr>
          <w:p w14:paraId="24EC5379" w14:textId="77777777" w:rsidR="00615394" w:rsidRPr="00D30977" w:rsidRDefault="00615394" w:rsidP="00F443CD">
            <w:pPr>
              <w:pStyle w:val="Tabletext0"/>
              <w:rPr>
                <w:sz w:val="22"/>
                <w:szCs w:val="22"/>
              </w:rPr>
            </w:pPr>
            <w:r w:rsidRPr="00D30977">
              <w:rPr>
                <w:spacing w:val="-5"/>
                <w:sz w:val="22"/>
                <w:szCs w:val="22"/>
              </w:rPr>
              <w:t>0.8</w:t>
            </w:r>
          </w:p>
        </w:tc>
        <w:tc>
          <w:tcPr>
            <w:tcW w:w="0" w:type="dxa"/>
          </w:tcPr>
          <w:p w14:paraId="194B1C0E" w14:textId="77777777" w:rsidR="00615394" w:rsidRPr="00D30977" w:rsidRDefault="00615394" w:rsidP="00F443CD">
            <w:pPr>
              <w:pStyle w:val="Tabletext0"/>
              <w:rPr>
                <w:sz w:val="22"/>
                <w:szCs w:val="22"/>
              </w:rPr>
            </w:pPr>
            <w:r w:rsidRPr="00D30977">
              <w:rPr>
                <w:spacing w:val="-5"/>
                <w:sz w:val="22"/>
                <w:szCs w:val="22"/>
              </w:rPr>
              <w:t>23</w:t>
            </w:r>
          </w:p>
        </w:tc>
        <w:tc>
          <w:tcPr>
            <w:tcW w:w="0" w:type="dxa"/>
          </w:tcPr>
          <w:p w14:paraId="7180096B" w14:textId="77777777" w:rsidR="00615394" w:rsidRPr="00D30977" w:rsidRDefault="00615394" w:rsidP="00F443CD">
            <w:pPr>
              <w:pStyle w:val="Tabletext0"/>
              <w:rPr>
                <w:sz w:val="22"/>
                <w:szCs w:val="22"/>
              </w:rPr>
            </w:pPr>
            <w:r w:rsidRPr="00D30977">
              <w:rPr>
                <w:sz w:val="22"/>
                <w:szCs w:val="22"/>
              </w:rPr>
              <w:t>0</w:t>
            </w:r>
          </w:p>
        </w:tc>
      </w:tr>
      <w:tr w:rsidR="00F443CD" w:rsidRPr="00D30977" w14:paraId="40513FD3" w14:textId="77777777" w:rsidTr="00F443CD">
        <w:trPr>
          <w:trHeight w:val="20"/>
        </w:trPr>
        <w:tc>
          <w:tcPr>
            <w:tcW w:w="0" w:type="dxa"/>
          </w:tcPr>
          <w:p w14:paraId="1D24176A" w14:textId="77777777" w:rsidR="00615394" w:rsidRPr="00D30977" w:rsidRDefault="00615394" w:rsidP="00F443CD">
            <w:pPr>
              <w:pStyle w:val="Tabletext0"/>
              <w:rPr>
                <w:sz w:val="22"/>
                <w:szCs w:val="22"/>
              </w:rPr>
            </w:pPr>
            <w:r w:rsidRPr="00D30977">
              <w:rPr>
                <w:sz w:val="22"/>
                <w:szCs w:val="22"/>
              </w:rPr>
              <w:t>Vomiting</w:t>
            </w:r>
          </w:p>
        </w:tc>
        <w:tc>
          <w:tcPr>
            <w:tcW w:w="0" w:type="dxa"/>
          </w:tcPr>
          <w:p w14:paraId="0CA2F3E9" w14:textId="77777777" w:rsidR="00615394" w:rsidRPr="00D30977" w:rsidRDefault="00615394" w:rsidP="00F443CD">
            <w:pPr>
              <w:pStyle w:val="Tabletext0"/>
              <w:rPr>
                <w:sz w:val="22"/>
                <w:szCs w:val="22"/>
              </w:rPr>
            </w:pPr>
            <w:r w:rsidRPr="00D30977">
              <w:rPr>
                <w:spacing w:val="-5"/>
                <w:sz w:val="22"/>
                <w:szCs w:val="22"/>
              </w:rPr>
              <w:t>23</w:t>
            </w:r>
          </w:p>
        </w:tc>
        <w:tc>
          <w:tcPr>
            <w:tcW w:w="0" w:type="dxa"/>
          </w:tcPr>
          <w:p w14:paraId="6273E02C" w14:textId="77777777" w:rsidR="00615394" w:rsidRPr="00D30977" w:rsidRDefault="00615394" w:rsidP="00F443CD">
            <w:pPr>
              <w:pStyle w:val="Tabletext0"/>
              <w:rPr>
                <w:sz w:val="22"/>
                <w:szCs w:val="22"/>
              </w:rPr>
            </w:pPr>
            <w:r w:rsidRPr="00D30977">
              <w:rPr>
                <w:spacing w:val="-5"/>
                <w:sz w:val="22"/>
                <w:szCs w:val="22"/>
              </w:rPr>
              <w:t>0.7</w:t>
            </w:r>
          </w:p>
        </w:tc>
        <w:tc>
          <w:tcPr>
            <w:tcW w:w="0" w:type="dxa"/>
          </w:tcPr>
          <w:p w14:paraId="126BF079" w14:textId="77777777" w:rsidR="00615394" w:rsidRPr="00D30977" w:rsidRDefault="00615394" w:rsidP="00F443CD">
            <w:pPr>
              <w:pStyle w:val="Tabletext0"/>
              <w:rPr>
                <w:sz w:val="22"/>
                <w:szCs w:val="22"/>
              </w:rPr>
            </w:pPr>
            <w:r w:rsidRPr="00D30977">
              <w:rPr>
                <w:sz w:val="22"/>
                <w:szCs w:val="22"/>
              </w:rPr>
              <w:t>8</w:t>
            </w:r>
          </w:p>
        </w:tc>
        <w:tc>
          <w:tcPr>
            <w:tcW w:w="0" w:type="dxa"/>
          </w:tcPr>
          <w:p w14:paraId="51F5086E" w14:textId="77777777" w:rsidR="00615394" w:rsidRPr="00D30977" w:rsidRDefault="00615394" w:rsidP="00F443CD">
            <w:pPr>
              <w:pStyle w:val="Tabletext0"/>
              <w:rPr>
                <w:sz w:val="22"/>
                <w:szCs w:val="22"/>
              </w:rPr>
            </w:pPr>
            <w:r w:rsidRPr="00D30977">
              <w:rPr>
                <w:sz w:val="22"/>
                <w:szCs w:val="22"/>
              </w:rPr>
              <w:t>0</w:t>
            </w:r>
          </w:p>
        </w:tc>
      </w:tr>
      <w:tr w:rsidR="00F443CD" w:rsidRPr="00D30977" w14:paraId="68AFA52D" w14:textId="77777777" w:rsidTr="00F443CD">
        <w:trPr>
          <w:trHeight w:val="20"/>
        </w:trPr>
        <w:tc>
          <w:tcPr>
            <w:tcW w:w="0" w:type="dxa"/>
          </w:tcPr>
          <w:p w14:paraId="080A4FA8" w14:textId="77777777" w:rsidR="00615394" w:rsidRPr="00D30977" w:rsidRDefault="00615394" w:rsidP="00F443CD">
            <w:pPr>
              <w:pStyle w:val="Tabletext0"/>
              <w:rPr>
                <w:sz w:val="22"/>
                <w:szCs w:val="22"/>
              </w:rPr>
            </w:pPr>
            <w:r w:rsidRPr="00D30977">
              <w:rPr>
                <w:sz w:val="22"/>
                <w:szCs w:val="22"/>
              </w:rPr>
              <w:t>Diarrhea</w:t>
            </w:r>
          </w:p>
        </w:tc>
        <w:tc>
          <w:tcPr>
            <w:tcW w:w="0" w:type="dxa"/>
          </w:tcPr>
          <w:p w14:paraId="0E9E96E2" w14:textId="77777777" w:rsidR="00615394" w:rsidRPr="00D30977" w:rsidRDefault="00615394" w:rsidP="00F443CD">
            <w:pPr>
              <w:pStyle w:val="Tabletext0"/>
              <w:rPr>
                <w:sz w:val="22"/>
                <w:szCs w:val="22"/>
              </w:rPr>
            </w:pPr>
            <w:r w:rsidRPr="00D30977">
              <w:rPr>
                <w:spacing w:val="-5"/>
                <w:sz w:val="22"/>
                <w:szCs w:val="22"/>
              </w:rPr>
              <w:t>18</w:t>
            </w:r>
          </w:p>
        </w:tc>
        <w:tc>
          <w:tcPr>
            <w:tcW w:w="0" w:type="dxa"/>
          </w:tcPr>
          <w:p w14:paraId="750F0E13" w14:textId="77777777" w:rsidR="00615394" w:rsidRPr="00D30977" w:rsidRDefault="00615394" w:rsidP="00F443CD">
            <w:pPr>
              <w:pStyle w:val="Tabletext0"/>
              <w:rPr>
                <w:sz w:val="22"/>
                <w:szCs w:val="22"/>
              </w:rPr>
            </w:pPr>
            <w:r w:rsidRPr="00D30977">
              <w:rPr>
                <w:spacing w:val="-5"/>
                <w:sz w:val="22"/>
                <w:szCs w:val="22"/>
              </w:rPr>
              <w:t>0.3</w:t>
            </w:r>
          </w:p>
        </w:tc>
        <w:tc>
          <w:tcPr>
            <w:tcW w:w="0" w:type="dxa"/>
          </w:tcPr>
          <w:p w14:paraId="5D9BF506" w14:textId="77777777" w:rsidR="00615394" w:rsidRPr="00D30977" w:rsidRDefault="00615394" w:rsidP="00F443CD">
            <w:pPr>
              <w:pStyle w:val="Tabletext0"/>
              <w:rPr>
                <w:sz w:val="22"/>
                <w:szCs w:val="22"/>
              </w:rPr>
            </w:pPr>
            <w:r w:rsidRPr="00D30977">
              <w:rPr>
                <w:spacing w:val="-5"/>
                <w:sz w:val="22"/>
                <w:szCs w:val="22"/>
              </w:rPr>
              <w:t>14</w:t>
            </w:r>
          </w:p>
        </w:tc>
        <w:tc>
          <w:tcPr>
            <w:tcW w:w="0" w:type="dxa"/>
          </w:tcPr>
          <w:p w14:paraId="4313C66A" w14:textId="77777777" w:rsidR="00615394" w:rsidRPr="00D30977" w:rsidRDefault="00615394" w:rsidP="00F443CD">
            <w:pPr>
              <w:pStyle w:val="Tabletext0"/>
              <w:rPr>
                <w:sz w:val="22"/>
                <w:szCs w:val="22"/>
              </w:rPr>
            </w:pPr>
            <w:r w:rsidRPr="00D30977">
              <w:rPr>
                <w:spacing w:val="-5"/>
                <w:sz w:val="22"/>
                <w:szCs w:val="22"/>
              </w:rPr>
              <w:t>0.3</w:t>
            </w:r>
          </w:p>
        </w:tc>
      </w:tr>
      <w:tr w:rsidR="00F443CD" w:rsidRPr="00D30977" w14:paraId="5F083047" w14:textId="77777777" w:rsidTr="00F443CD">
        <w:trPr>
          <w:trHeight w:val="20"/>
        </w:trPr>
        <w:tc>
          <w:tcPr>
            <w:tcW w:w="0" w:type="dxa"/>
          </w:tcPr>
          <w:p w14:paraId="356092EE" w14:textId="77777777" w:rsidR="00615394" w:rsidRPr="00D30977" w:rsidRDefault="00615394" w:rsidP="00F443CD">
            <w:pPr>
              <w:pStyle w:val="Tabletext0"/>
              <w:rPr>
                <w:sz w:val="22"/>
                <w:szCs w:val="22"/>
              </w:rPr>
            </w:pPr>
            <w:r w:rsidRPr="00D30977">
              <w:rPr>
                <w:sz w:val="22"/>
                <w:szCs w:val="22"/>
              </w:rPr>
              <w:t>Stomatitis</w:t>
            </w:r>
            <w:r w:rsidRPr="00D30977">
              <w:rPr>
                <w:position w:val="6"/>
                <w:sz w:val="22"/>
                <w:szCs w:val="22"/>
              </w:rPr>
              <w:t>†</w:t>
            </w:r>
          </w:p>
        </w:tc>
        <w:tc>
          <w:tcPr>
            <w:tcW w:w="0" w:type="dxa"/>
          </w:tcPr>
          <w:p w14:paraId="54F1774C" w14:textId="77777777" w:rsidR="00615394" w:rsidRPr="00D30977" w:rsidRDefault="00615394" w:rsidP="00F443CD">
            <w:pPr>
              <w:pStyle w:val="Tabletext0"/>
              <w:rPr>
                <w:sz w:val="22"/>
                <w:szCs w:val="22"/>
              </w:rPr>
            </w:pPr>
            <w:r w:rsidRPr="00D30977">
              <w:rPr>
                <w:spacing w:val="-5"/>
                <w:sz w:val="22"/>
                <w:szCs w:val="22"/>
              </w:rPr>
              <w:t>10</w:t>
            </w:r>
          </w:p>
        </w:tc>
        <w:tc>
          <w:tcPr>
            <w:tcW w:w="0" w:type="dxa"/>
          </w:tcPr>
          <w:p w14:paraId="4E7A7959" w14:textId="77777777" w:rsidR="00615394" w:rsidRPr="00D30977" w:rsidRDefault="00615394" w:rsidP="00F443CD">
            <w:pPr>
              <w:pStyle w:val="Tabletext0"/>
              <w:rPr>
                <w:sz w:val="22"/>
                <w:szCs w:val="22"/>
              </w:rPr>
            </w:pPr>
            <w:r w:rsidRPr="00D30977">
              <w:rPr>
                <w:spacing w:val="-5"/>
                <w:sz w:val="22"/>
                <w:szCs w:val="22"/>
              </w:rPr>
              <w:t>0.1</w:t>
            </w:r>
          </w:p>
        </w:tc>
        <w:tc>
          <w:tcPr>
            <w:tcW w:w="0" w:type="dxa"/>
          </w:tcPr>
          <w:p w14:paraId="4B8E23E6" w14:textId="77777777" w:rsidR="00615394" w:rsidRPr="00D30977" w:rsidRDefault="00615394" w:rsidP="00F443CD">
            <w:pPr>
              <w:pStyle w:val="Tabletext0"/>
              <w:rPr>
                <w:sz w:val="22"/>
                <w:szCs w:val="22"/>
              </w:rPr>
            </w:pPr>
            <w:r w:rsidRPr="00D30977">
              <w:rPr>
                <w:spacing w:val="-5"/>
                <w:sz w:val="22"/>
                <w:szCs w:val="22"/>
              </w:rPr>
              <w:t>4.5</w:t>
            </w:r>
          </w:p>
        </w:tc>
        <w:tc>
          <w:tcPr>
            <w:tcW w:w="0" w:type="dxa"/>
          </w:tcPr>
          <w:p w14:paraId="2703FCDB" w14:textId="77777777" w:rsidR="00615394" w:rsidRPr="00D30977" w:rsidRDefault="00615394" w:rsidP="00F443CD">
            <w:pPr>
              <w:pStyle w:val="Tabletext0"/>
              <w:rPr>
                <w:sz w:val="22"/>
                <w:szCs w:val="22"/>
              </w:rPr>
            </w:pPr>
            <w:r w:rsidRPr="00D30977">
              <w:rPr>
                <w:sz w:val="22"/>
                <w:szCs w:val="22"/>
              </w:rPr>
              <w:t>0</w:t>
            </w:r>
          </w:p>
        </w:tc>
      </w:tr>
      <w:tr w:rsidR="00F443CD" w:rsidRPr="00D30977" w14:paraId="72346C6C" w14:textId="77777777" w:rsidTr="00F443CD">
        <w:trPr>
          <w:trHeight w:val="20"/>
        </w:trPr>
        <w:tc>
          <w:tcPr>
            <w:tcW w:w="0" w:type="dxa"/>
          </w:tcPr>
          <w:p w14:paraId="58310203" w14:textId="77777777" w:rsidR="00615394" w:rsidRPr="00D30977" w:rsidRDefault="00615394" w:rsidP="00F443CD">
            <w:pPr>
              <w:pStyle w:val="Tabletext0"/>
              <w:rPr>
                <w:sz w:val="22"/>
                <w:szCs w:val="22"/>
              </w:rPr>
            </w:pPr>
            <w:r w:rsidRPr="00D30977">
              <w:rPr>
                <w:sz w:val="22"/>
                <w:szCs w:val="22"/>
              </w:rPr>
              <w:t>General Disorders and Administration</w:t>
            </w:r>
            <w:r w:rsidRPr="00D30977">
              <w:rPr>
                <w:spacing w:val="-14"/>
                <w:sz w:val="22"/>
                <w:szCs w:val="22"/>
              </w:rPr>
              <w:t xml:space="preserve"> </w:t>
            </w:r>
            <w:r w:rsidRPr="00D30977">
              <w:rPr>
                <w:sz w:val="22"/>
                <w:szCs w:val="22"/>
              </w:rPr>
              <w:t>Site</w:t>
            </w:r>
            <w:r w:rsidRPr="00D30977">
              <w:rPr>
                <w:spacing w:val="-14"/>
                <w:sz w:val="22"/>
                <w:szCs w:val="22"/>
              </w:rPr>
              <w:t xml:space="preserve"> </w:t>
            </w:r>
            <w:r w:rsidRPr="00D30977">
              <w:rPr>
                <w:sz w:val="22"/>
                <w:szCs w:val="22"/>
              </w:rPr>
              <w:t>Conditions</w:t>
            </w:r>
          </w:p>
        </w:tc>
        <w:tc>
          <w:tcPr>
            <w:tcW w:w="0" w:type="dxa"/>
          </w:tcPr>
          <w:p w14:paraId="6B270E58" w14:textId="77777777" w:rsidR="00615394" w:rsidRPr="00D30977" w:rsidRDefault="00615394" w:rsidP="00F443CD">
            <w:pPr>
              <w:pStyle w:val="Tabletext0"/>
              <w:rPr>
                <w:sz w:val="22"/>
                <w:szCs w:val="22"/>
              </w:rPr>
            </w:pPr>
          </w:p>
        </w:tc>
        <w:tc>
          <w:tcPr>
            <w:tcW w:w="0" w:type="dxa"/>
          </w:tcPr>
          <w:p w14:paraId="545E3D54" w14:textId="77777777" w:rsidR="00615394" w:rsidRPr="00D30977" w:rsidRDefault="00615394" w:rsidP="00F443CD">
            <w:pPr>
              <w:pStyle w:val="Tabletext0"/>
              <w:rPr>
                <w:sz w:val="22"/>
                <w:szCs w:val="22"/>
              </w:rPr>
            </w:pPr>
          </w:p>
        </w:tc>
        <w:tc>
          <w:tcPr>
            <w:tcW w:w="0" w:type="dxa"/>
          </w:tcPr>
          <w:p w14:paraId="3E63A6FE" w14:textId="77777777" w:rsidR="00615394" w:rsidRPr="00D30977" w:rsidRDefault="00615394" w:rsidP="00F443CD">
            <w:pPr>
              <w:pStyle w:val="Tabletext0"/>
              <w:rPr>
                <w:sz w:val="22"/>
                <w:szCs w:val="22"/>
              </w:rPr>
            </w:pPr>
          </w:p>
        </w:tc>
        <w:tc>
          <w:tcPr>
            <w:tcW w:w="0" w:type="dxa"/>
          </w:tcPr>
          <w:p w14:paraId="100A3232" w14:textId="77777777" w:rsidR="00615394" w:rsidRPr="00D30977" w:rsidRDefault="00615394" w:rsidP="00F443CD">
            <w:pPr>
              <w:pStyle w:val="Tabletext0"/>
              <w:rPr>
                <w:sz w:val="22"/>
                <w:szCs w:val="22"/>
              </w:rPr>
            </w:pPr>
          </w:p>
        </w:tc>
      </w:tr>
      <w:tr w:rsidR="00F443CD" w:rsidRPr="00D30977" w14:paraId="69030C98" w14:textId="77777777" w:rsidTr="00F443CD">
        <w:trPr>
          <w:trHeight w:val="20"/>
        </w:trPr>
        <w:tc>
          <w:tcPr>
            <w:tcW w:w="0" w:type="dxa"/>
          </w:tcPr>
          <w:p w14:paraId="60305748" w14:textId="77777777" w:rsidR="00615394" w:rsidRPr="00D30977" w:rsidRDefault="00615394" w:rsidP="00F443CD">
            <w:pPr>
              <w:pStyle w:val="Tabletext0"/>
              <w:rPr>
                <w:sz w:val="22"/>
                <w:szCs w:val="22"/>
              </w:rPr>
            </w:pPr>
            <w:r w:rsidRPr="00D30977">
              <w:rPr>
                <w:sz w:val="22"/>
                <w:szCs w:val="22"/>
              </w:rPr>
              <w:t>Fatigue</w:t>
            </w:r>
            <w:r w:rsidRPr="00D30977">
              <w:rPr>
                <w:spacing w:val="-5"/>
                <w:sz w:val="22"/>
                <w:szCs w:val="22"/>
              </w:rPr>
              <w:t xml:space="preserve"> </w:t>
            </w:r>
            <w:r w:rsidRPr="00D30977">
              <w:rPr>
                <w:sz w:val="22"/>
                <w:szCs w:val="22"/>
              </w:rPr>
              <w:t>(including</w:t>
            </w:r>
            <w:r w:rsidRPr="00D30977">
              <w:rPr>
                <w:spacing w:val="-5"/>
                <w:sz w:val="22"/>
                <w:szCs w:val="22"/>
              </w:rPr>
              <w:t xml:space="preserve"> </w:t>
            </w:r>
            <w:r w:rsidRPr="00D30977">
              <w:rPr>
                <w:sz w:val="22"/>
                <w:szCs w:val="22"/>
              </w:rPr>
              <w:t>asthenia)</w:t>
            </w:r>
          </w:p>
        </w:tc>
        <w:tc>
          <w:tcPr>
            <w:tcW w:w="0" w:type="dxa"/>
          </w:tcPr>
          <w:p w14:paraId="39913C4C" w14:textId="77777777" w:rsidR="00615394" w:rsidRPr="00D30977" w:rsidRDefault="00615394" w:rsidP="00F443CD">
            <w:pPr>
              <w:pStyle w:val="Tabletext0"/>
              <w:rPr>
                <w:sz w:val="22"/>
                <w:szCs w:val="22"/>
              </w:rPr>
            </w:pPr>
            <w:r w:rsidRPr="00D30977">
              <w:rPr>
                <w:spacing w:val="-5"/>
                <w:sz w:val="22"/>
                <w:szCs w:val="22"/>
              </w:rPr>
              <w:t>42</w:t>
            </w:r>
          </w:p>
        </w:tc>
        <w:tc>
          <w:tcPr>
            <w:tcW w:w="0" w:type="dxa"/>
          </w:tcPr>
          <w:p w14:paraId="13C312F8" w14:textId="77777777" w:rsidR="00615394" w:rsidRPr="00D30977" w:rsidRDefault="00615394" w:rsidP="00F443CD">
            <w:pPr>
              <w:pStyle w:val="Tabletext0"/>
              <w:rPr>
                <w:sz w:val="22"/>
                <w:szCs w:val="22"/>
              </w:rPr>
            </w:pPr>
            <w:r w:rsidRPr="00D30977">
              <w:rPr>
                <w:spacing w:val="-5"/>
                <w:sz w:val="22"/>
                <w:szCs w:val="22"/>
              </w:rPr>
              <w:t>1.8</w:t>
            </w:r>
          </w:p>
        </w:tc>
        <w:tc>
          <w:tcPr>
            <w:tcW w:w="0" w:type="dxa"/>
          </w:tcPr>
          <w:p w14:paraId="3DBB6206" w14:textId="77777777" w:rsidR="00615394" w:rsidRPr="00D30977" w:rsidRDefault="00615394" w:rsidP="00F443CD">
            <w:pPr>
              <w:pStyle w:val="Tabletext0"/>
              <w:rPr>
                <w:sz w:val="22"/>
                <w:szCs w:val="22"/>
              </w:rPr>
            </w:pPr>
            <w:r w:rsidRPr="00D30977">
              <w:rPr>
                <w:spacing w:val="-5"/>
                <w:sz w:val="22"/>
                <w:szCs w:val="22"/>
              </w:rPr>
              <w:t>28</w:t>
            </w:r>
          </w:p>
        </w:tc>
        <w:tc>
          <w:tcPr>
            <w:tcW w:w="0" w:type="dxa"/>
          </w:tcPr>
          <w:p w14:paraId="58AC6748" w14:textId="77777777" w:rsidR="00615394" w:rsidRPr="00D30977" w:rsidRDefault="00615394" w:rsidP="00F443CD">
            <w:pPr>
              <w:pStyle w:val="Tabletext0"/>
              <w:rPr>
                <w:sz w:val="22"/>
                <w:szCs w:val="22"/>
              </w:rPr>
            </w:pPr>
            <w:r w:rsidRPr="00D30977">
              <w:rPr>
                <w:spacing w:val="-5"/>
                <w:sz w:val="22"/>
                <w:szCs w:val="22"/>
              </w:rPr>
              <w:t>0.7</w:t>
            </w:r>
          </w:p>
        </w:tc>
      </w:tr>
      <w:tr w:rsidR="00F443CD" w:rsidRPr="00D30977" w14:paraId="6DC15996" w14:textId="77777777" w:rsidTr="00F443CD">
        <w:trPr>
          <w:trHeight w:val="20"/>
        </w:trPr>
        <w:tc>
          <w:tcPr>
            <w:tcW w:w="0" w:type="dxa"/>
            <w:gridSpan w:val="5"/>
          </w:tcPr>
          <w:p w14:paraId="35072273" w14:textId="77777777" w:rsidR="00615394" w:rsidRPr="00D30977" w:rsidRDefault="00615394" w:rsidP="00F443CD">
            <w:pPr>
              <w:pStyle w:val="Tabletext0"/>
              <w:rPr>
                <w:sz w:val="22"/>
                <w:szCs w:val="22"/>
              </w:rPr>
            </w:pPr>
            <w:r w:rsidRPr="00D30977">
              <w:rPr>
                <w:sz w:val="22"/>
                <w:szCs w:val="22"/>
              </w:rPr>
              <w:t>Blood</w:t>
            </w:r>
            <w:r w:rsidRPr="00D30977">
              <w:rPr>
                <w:spacing w:val="-4"/>
                <w:sz w:val="22"/>
                <w:szCs w:val="22"/>
              </w:rPr>
              <w:t xml:space="preserve"> </w:t>
            </w:r>
            <w:r w:rsidRPr="00D30977">
              <w:rPr>
                <w:sz w:val="22"/>
                <w:szCs w:val="22"/>
              </w:rPr>
              <w:t>and</w:t>
            </w:r>
            <w:r w:rsidRPr="00D30977">
              <w:rPr>
                <w:spacing w:val="-4"/>
                <w:sz w:val="22"/>
                <w:szCs w:val="22"/>
              </w:rPr>
              <w:t xml:space="preserve"> </w:t>
            </w:r>
            <w:r w:rsidRPr="00D30977">
              <w:rPr>
                <w:sz w:val="22"/>
                <w:szCs w:val="22"/>
              </w:rPr>
              <w:t>Lymphatic</w:t>
            </w:r>
            <w:r w:rsidRPr="00D30977">
              <w:rPr>
                <w:spacing w:val="-3"/>
                <w:sz w:val="22"/>
                <w:szCs w:val="22"/>
              </w:rPr>
              <w:t xml:space="preserve"> </w:t>
            </w:r>
            <w:r w:rsidRPr="00D30977">
              <w:rPr>
                <w:sz w:val="22"/>
                <w:szCs w:val="22"/>
              </w:rPr>
              <w:t>Disorders</w:t>
            </w:r>
          </w:p>
        </w:tc>
      </w:tr>
      <w:tr w:rsidR="00F443CD" w:rsidRPr="00D30977" w14:paraId="19A8A144" w14:textId="77777777" w:rsidTr="00F443CD">
        <w:trPr>
          <w:trHeight w:val="20"/>
        </w:trPr>
        <w:tc>
          <w:tcPr>
            <w:tcW w:w="0" w:type="dxa"/>
          </w:tcPr>
          <w:p w14:paraId="2D96B818" w14:textId="02DA9A35" w:rsidR="00615394" w:rsidRPr="00D30977" w:rsidRDefault="00FD24E8" w:rsidP="00F443CD">
            <w:pPr>
              <w:pStyle w:val="Tabletext0"/>
              <w:rPr>
                <w:sz w:val="22"/>
                <w:szCs w:val="22"/>
              </w:rPr>
            </w:pPr>
            <w:r w:rsidRPr="00D30977">
              <w:rPr>
                <w:sz w:val="22"/>
                <w:szCs w:val="22"/>
              </w:rPr>
              <w:t>Anaemia</w:t>
            </w:r>
            <w:r w:rsidR="00615394" w:rsidRPr="00D30977">
              <w:rPr>
                <w:position w:val="6"/>
                <w:sz w:val="22"/>
                <w:szCs w:val="22"/>
              </w:rPr>
              <w:t>‡</w:t>
            </w:r>
          </w:p>
        </w:tc>
        <w:tc>
          <w:tcPr>
            <w:tcW w:w="0" w:type="dxa"/>
          </w:tcPr>
          <w:p w14:paraId="0A213A14" w14:textId="77777777" w:rsidR="00615394" w:rsidRPr="00D30977" w:rsidRDefault="00615394" w:rsidP="00F443CD">
            <w:pPr>
              <w:pStyle w:val="Tabletext0"/>
              <w:rPr>
                <w:sz w:val="22"/>
                <w:szCs w:val="22"/>
              </w:rPr>
            </w:pPr>
            <w:r w:rsidRPr="00D30977">
              <w:rPr>
                <w:spacing w:val="-5"/>
                <w:sz w:val="22"/>
                <w:szCs w:val="22"/>
              </w:rPr>
              <w:t>24</w:t>
            </w:r>
          </w:p>
        </w:tc>
        <w:tc>
          <w:tcPr>
            <w:tcW w:w="0" w:type="dxa"/>
          </w:tcPr>
          <w:p w14:paraId="37BDBE13" w14:textId="77777777" w:rsidR="00615394" w:rsidRPr="00D30977" w:rsidRDefault="00615394" w:rsidP="00F443CD">
            <w:pPr>
              <w:pStyle w:val="Tabletext0"/>
              <w:rPr>
                <w:sz w:val="22"/>
                <w:szCs w:val="22"/>
              </w:rPr>
            </w:pPr>
            <w:r w:rsidRPr="00D30977">
              <w:rPr>
                <w:sz w:val="22"/>
                <w:szCs w:val="22"/>
              </w:rPr>
              <w:t>9</w:t>
            </w:r>
          </w:p>
        </w:tc>
        <w:tc>
          <w:tcPr>
            <w:tcW w:w="0" w:type="dxa"/>
          </w:tcPr>
          <w:p w14:paraId="0531AA36" w14:textId="77777777" w:rsidR="00615394" w:rsidRPr="00D30977" w:rsidRDefault="00615394" w:rsidP="00F443CD">
            <w:pPr>
              <w:pStyle w:val="Tabletext0"/>
              <w:rPr>
                <w:sz w:val="22"/>
                <w:szCs w:val="22"/>
              </w:rPr>
            </w:pPr>
            <w:r w:rsidRPr="00D30977">
              <w:rPr>
                <w:spacing w:val="-5"/>
                <w:sz w:val="22"/>
                <w:szCs w:val="22"/>
              </w:rPr>
              <w:t>3.9</w:t>
            </w:r>
          </w:p>
        </w:tc>
        <w:tc>
          <w:tcPr>
            <w:tcW w:w="0" w:type="dxa"/>
          </w:tcPr>
          <w:p w14:paraId="5D5B7BC8" w14:textId="77777777" w:rsidR="00615394" w:rsidRPr="00D30977" w:rsidRDefault="00615394" w:rsidP="00F443CD">
            <w:pPr>
              <w:pStyle w:val="Tabletext0"/>
              <w:rPr>
                <w:sz w:val="22"/>
                <w:szCs w:val="22"/>
              </w:rPr>
            </w:pPr>
            <w:r w:rsidRPr="00D30977">
              <w:rPr>
                <w:spacing w:val="-5"/>
                <w:sz w:val="22"/>
                <w:szCs w:val="22"/>
              </w:rPr>
              <w:t>0.3</w:t>
            </w:r>
          </w:p>
        </w:tc>
      </w:tr>
      <w:tr w:rsidR="00F443CD" w:rsidRPr="00D30977" w14:paraId="6F246F57" w14:textId="77777777" w:rsidTr="00F443CD">
        <w:trPr>
          <w:trHeight w:val="20"/>
        </w:trPr>
        <w:tc>
          <w:tcPr>
            <w:tcW w:w="0" w:type="dxa"/>
          </w:tcPr>
          <w:p w14:paraId="753F7FF9" w14:textId="77777777" w:rsidR="00615394" w:rsidRPr="00D30977" w:rsidRDefault="00615394" w:rsidP="00F443CD">
            <w:pPr>
              <w:pStyle w:val="Tabletext0"/>
              <w:rPr>
                <w:sz w:val="22"/>
                <w:szCs w:val="22"/>
              </w:rPr>
            </w:pPr>
            <w:r w:rsidRPr="00D30977">
              <w:rPr>
                <w:sz w:val="22"/>
                <w:szCs w:val="22"/>
              </w:rPr>
              <w:t>Leukopenia</w:t>
            </w:r>
            <w:r w:rsidRPr="00D30977">
              <w:rPr>
                <w:position w:val="6"/>
                <w:sz w:val="22"/>
                <w:szCs w:val="22"/>
              </w:rPr>
              <w:t>§</w:t>
            </w:r>
          </w:p>
        </w:tc>
        <w:tc>
          <w:tcPr>
            <w:tcW w:w="0" w:type="dxa"/>
          </w:tcPr>
          <w:p w14:paraId="201D5E3B" w14:textId="77777777" w:rsidR="00615394" w:rsidRPr="00D30977" w:rsidRDefault="00615394" w:rsidP="00F443CD">
            <w:pPr>
              <w:pStyle w:val="Tabletext0"/>
              <w:rPr>
                <w:sz w:val="22"/>
                <w:szCs w:val="22"/>
              </w:rPr>
            </w:pPr>
            <w:r w:rsidRPr="00D30977">
              <w:rPr>
                <w:spacing w:val="-5"/>
                <w:sz w:val="22"/>
                <w:szCs w:val="22"/>
              </w:rPr>
              <w:t>17</w:t>
            </w:r>
          </w:p>
        </w:tc>
        <w:tc>
          <w:tcPr>
            <w:tcW w:w="0" w:type="dxa"/>
          </w:tcPr>
          <w:p w14:paraId="21B4D121" w14:textId="77777777" w:rsidR="00615394" w:rsidRPr="00D30977" w:rsidRDefault="00615394" w:rsidP="00F443CD">
            <w:pPr>
              <w:pStyle w:val="Tabletext0"/>
              <w:rPr>
                <w:sz w:val="22"/>
                <w:szCs w:val="22"/>
              </w:rPr>
            </w:pPr>
            <w:r w:rsidRPr="00D30977">
              <w:rPr>
                <w:sz w:val="22"/>
                <w:szCs w:val="22"/>
              </w:rPr>
              <w:t>3</w:t>
            </w:r>
          </w:p>
        </w:tc>
        <w:tc>
          <w:tcPr>
            <w:tcW w:w="0" w:type="dxa"/>
          </w:tcPr>
          <w:p w14:paraId="30C7B4B5" w14:textId="77777777" w:rsidR="00615394" w:rsidRPr="00D30977" w:rsidRDefault="00615394" w:rsidP="00F443CD">
            <w:pPr>
              <w:pStyle w:val="Tabletext0"/>
              <w:rPr>
                <w:sz w:val="22"/>
                <w:szCs w:val="22"/>
              </w:rPr>
            </w:pPr>
            <w:r w:rsidRPr="00D30977">
              <w:rPr>
                <w:sz w:val="22"/>
                <w:szCs w:val="22"/>
              </w:rPr>
              <w:t>6</w:t>
            </w:r>
          </w:p>
        </w:tc>
        <w:tc>
          <w:tcPr>
            <w:tcW w:w="0" w:type="dxa"/>
          </w:tcPr>
          <w:p w14:paraId="786C55CC" w14:textId="77777777" w:rsidR="00615394" w:rsidRPr="00D30977" w:rsidRDefault="00615394" w:rsidP="00F443CD">
            <w:pPr>
              <w:pStyle w:val="Tabletext0"/>
              <w:rPr>
                <w:sz w:val="22"/>
                <w:szCs w:val="22"/>
              </w:rPr>
            </w:pPr>
            <w:r w:rsidRPr="00D30977">
              <w:rPr>
                <w:spacing w:val="-5"/>
                <w:sz w:val="22"/>
                <w:szCs w:val="22"/>
              </w:rPr>
              <w:t>0.3</w:t>
            </w:r>
          </w:p>
        </w:tc>
      </w:tr>
      <w:tr w:rsidR="00F443CD" w:rsidRPr="00D30977" w14:paraId="68C7BFEC" w14:textId="77777777" w:rsidTr="00F443CD">
        <w:trPr>
          <w:trHeight w:val="20"/>
        </w:trPr>
        <w:tc>
          <w:tcPr>
            <w:tcW w:w="0" w:type="dxa"/>
          </w:tcPr>
          <w:p w14:paraId="63D03CBD" w14:textId="77777777" w:rsidR="00615394" w:rsidRPr="00D30977" w:rsidRDefault="00615394" w:rsidP="00F443CD">
            <w:pPr>
              <w:pStyle w:val="Tabletext0"/>
              <w:rPr>
                <w:sz w:val="22"/>
                <w:szCs w:val="22"/>
              </w:rPr>
            </w:pPr>
            <w:r w:rsidRPr="00D30977">
              <w:rPr>
                <w:sz w:val="22"/>
                <w:szCs w:val="22"/>
              </w:rPr>
              <w:t>Neutropenia</w:t>
            </w:r>
            <w:r w:rsidRPr="00D30977">
              <w:rPr>
                <w:position w:val="6"/>
                <w:sz w:val="22"/>
                <w:szCs w:val="22"/>
              </w:rPr>
              <w:t>¶</w:t>
            </w:r>
          </w:p>
        </w:tc>
        <w:tc>
          <w:tcPr>
            <w:tcW w:w="0" w:type="dxa"/>
          </w:tcPr>
          <w:p w14:paraId="46B6FA4C" w14:textId="77777777" w:rsidR="00615394" w:rsidRPr="00D30977" w:rsidRDefault="00615394" w:rsidP="00F443CD">
            <w:pPr>
              <w:pStyle w:val="Tabletext0"/>
              <w:rPr>
                <w:sz w:val="22"/>
                <w:szCs w:val="22"/>
              </w:rPr>
            </w:pPr>
            <w:r w:rsidRPr="00D30977">
              <w:rPr>
                <w:spacing w:val="-5"/>
                <w:sz w:val="22"/>
                <w:szCs w:val="22"/>
              </w:rPr>
              <w:t>16</w:t>
            </w:r>
          </w:p>
        </w:tc>
        <w:tc>
          <w:tcPr>
            <w:tcW w:w="0" w:type="dxa"/>
          </w:tcPr>
          <w:p w14:paraId="74AD1511" w14:textId="77777777" w:rsidR="00615394" w:rsidRPr="00D30977" w:rsidRDefault="00615394" w:rsidP="00F443CD">
            <w:pPr>
              <w:pStyle w:val="Tabletext0"/>
              <w:rPr>
                <w:sz w:val="22"/>
                <w:szCs w:val="22"/>
              </w:rPr>
            </w:pPr>
            <w:r w:rsidRPr="00D30977">
              <w:rPr>
                <w:sz w:val="22"/>
                <w:szCs w:val="22"/>
              </w:rPr>
              <w:t>5</w:t>
            </w:r>
          </w:p>
        </w:tc>
        <w:tc>
          <w:tcPr>
            <w:tcW w:w="0" w:type="dxa"/>
          </w:tcPr>
          <w:p w14:paraId="2F0E16C0" w14:textId="77777777" w:rsidR="00615394" w:rsidRPr="00D30977" w:rsidRDefault="00615394" w:rsidP="00F443CD">
            <w:pPr>
              <w:pStyle w:val="Tabletext0"/>
              <w:rPr>
                <w:sz w:val="22"/>
                <w:szCs w:val="22"/>
              </w:rPr>
            </w:pPr>
            <w:r w:rsidRPr="00D30977">
              <w:rPr>
                <w:sz w:val="22"/>
                <w:szCs w:val="22"/>
              </w:rPr>
              <w:t>7</w:t>
            </w:r>
          </w:p>
        </w:tc>
        <w:tc>
          <w:tcPr>
            <w:tcW w:w="0" w:type="dxa"/>
          </w:tcPr>
          <w:p w14:paraId="4A8B9B0B" w14:textId="77777777" w:rsidR="00615394" w:rsidRPr="00D30977" w:rsidRDefault="00615394" w:rsidP="00F443CD">
            <w:pPr>
              <w:pStyle w:val="Tabletext0"/>
              <w:rPr>
                <w:sz w:val="22"/>
                <w:szCs w:val="22"/>
              </w:rPr>
            </w:pPr>
            <w:r w:rsidRPr="00D30977">
              <w:rPr>
                <w:spacing w:val="-5"/>
                <w:sz w:val="22"/>
                <w:szCs w:val="22"/>
              </w:rPr>
              <w:t>0.8</w:t>
            </w:r>
          </w:p>
        </w:tc>
      </w:tr>
      <w:tr w:rsidR="00F443CD" w:rsidRPr="00D30977" w14:paraId="6557A0A7" w14:textId="77777777" w:rsidTr="00F443CD">
        <w:trPr>
          <w:trHeight w:val="20"/>
        </w:trPr>
        <w:tc>
          <w:tcPr>
            <w:tcW w:w="0" w:type="dxa"/>
            <w:gridSpan w:val="5"/>
          </w:tcPr>
          <w:p w14:paraId="521AB326" w14:textId="77777777" w:rsidR="00615394" w:rsidRPr="00D30977" w:rsidRDefault="00615394" w:rsidP="00F443CD">
            <w:pPr>
              <w:pStyle w:val="Tabletext0"/>
              <w:rPr>
                <w:sz w:val="22"/>
                <w:szCs w:val="22"/>
              </w:rPr>
            </w:pPr>
            <w:r w:rsidRPr="00D30977">
              <w:rPr>
                <w:sz w:val="22"/>
                <w:szCs w:val="22"/>
              </w:rPr>
              <w:t>Nervous</w:t>
            </w:r>
            <w:r w:rsidRPr="00D30977">
              <w:rPr>
                <w:spacing w:val="-5"/>
                <w:sz w:val="22"/>
                <w:szCs w:val="22"/>
              </w:rPr>
              <w:t xml:space="preserve"> </w:t>
            </w:r>
            <w:r w:rsidRPr="00D30977">
              <w:rPr>
                <w:sz w:val="22"/>
                <w:szCs w:val="22"/>
              </w:rPr>
              <w:t>System</w:t>
            </w:r>
            <w:r w:rsidRPr="00D30977">
              <w:rPr>
                <w:spacing w:val="-3"/>
                <w:sz w:val="22"/>
                <w:szCs w:val="22"/>
              </w:rPr>
              <w:t xml:space="preserve"> </w:t>
            </w:r>
            <w:r w:rsidRPr="00D30977">
              <w:rPr>
                <w:sz w:val="22"/>
                <w:szCs w:val="22"/>
              </w:rPr>
              <w:t>Disorders</w:t>
            </w:r>
          </w:p>
        </w:tc>
      </w:tr>
      <w:tr w:rsidR="00F443CD" w:rsidRPr="00D30977" w14:paraId="4C67C73E" w14:textId="77777777" w:rsidTr="00F443CD">
        <w:trPr>
          <w:trHeight w:val="20"/>
        </w:trPr>
        <w:tc>
          <w:tcPr>
            <w:tcW w:w="0" w:type="dxa"/>
          </w:tcPr>
          <w:p w14:paraId="6DBB1D6D" w14:textId="77777777" w:rsidR="00615394" w:rsidRPr="00D30977" w:rsidRDefault="00615394" w:rsidP="00F443CD">
            <w:pPr>
              <w:pStyle w:val="Tabletext0"/>
              <w:rPr>
                <w:sz w:val="22"/>
                <w:szCs w:val="22"/>
              </w:rPr>
            </w:pPr>
            <w:r w:rsidRPr="00D30977">
              <w:rPr>
                <w:sz w:val="22"/>
                <w:szCs w:val="22"/>
              </w:rPr>
              <w:t>Headache</w:t>
            </w:r>
          </w:p>
        </w:tc>
        <w:tc>
          <w:tcPr>
            <w:tcW w:w="0" w:type="dxa"/>
          </w:tcPr>
          <w:p w14:paraId="3E64DAFB" w14:textId="77777777" w:rsidR="00615394" w:rsidRPr="00D30977" w:rsidRDefault="00615394" w:rsidP="00F443CD">
            <w:pPr>
              <w:pStyle w:val="Tabletext0"/>
              <w:rPr>
                <w:sz w:val="22"/>
                <w:szCs w:val="22"/>
              </w:rPr>
            </w:pPr>
            <w:r w:rsidRPr="00D30977">
              <w:rPr>
                <w:spacing w:val="-5"/>
                <w:sz w:val="22"/>
                <w:szCs w:val="22"/>
              </w:rPr>
              <w:t>20</w:t>
            </w:r>
          </w:p>
        </w:tc>
        <w:tc>
          <w:tcPr>
            <w:tcW w:w="0" w:type="dxa"/>
          </w:tcPr>
          <w:p w14:paraId="3E3196BE" w14:textId="77777777" w:rsidR="00615394" w:rsidRPr="00D30977" w:rsidRDefault="00615394" w:rsidP="00F443CD">
            <w:pPr>
              <w:pStyle w:val="Tabletext0"/>
              <w:rPr>
                <w:sz w:val="22"/>
                <w:szCs w:val="22"/>
              </w:rPr>
            </w:pPr>
            <w:r w:rsidRPr="00D30977">
              <w:rPr>
                <w:spacing w:val="-5"/>
                <w:sz w:val="22"/>
                <w:szCs w:val="22"/>
              </w:rPr>
              <w:t>0.2</w:t>
            </w:r>
          </w:p>
        </w:tc>
        <w:tc>
          <w:tcPr>
            <w:tcW w:w="0" w:type="dxa"/>
          </w:tcPr>
          <w:p w14:paraId="0F70BC69" w14:textId="77777777" w:rsidR="00615394" w:rsidRPr="00D30977" w:rsidRDefault="00615394" w:rsidP="00F443CD">
            <w:pPr>
              <w:pStyle w:val="Tabletext0"/>
              <w:rPr>
                <w:sz w:val="22"/>
                <w:szCs w:val="22"/>
              </w:rPr>
            </w:pPr>
            <w:r w:rsidRPr="00D30977">
              <w:rPr>
                <w:spacing w:val="-5"/>
                <w:sz w:val="22"/>
                <w:szCs w:val="22"/>
              </w:rPr>
              <w:t>17</w:t>
            </w:r>
          </w:p>
        </w:tc>
        <w:tc>
          <w:tcPr>
            <w:tcW w:w="0" w:type="dxa"/>
          </w:tcPr>
          <w:p w14:paraId="72F8C343" w14:textId="77777777" w:rsidR="00615394" w:rsidRPr="00D30977" w:rsidRDefault="00615394" w:rsidP="00F443CD">
            <w:pPr>
              <w:pStyle w:val="Tabletext0"/>
              <w:rPr>
                <w:sz w:val="22"/>
                <w:szCs w:val="22"/>
              </w:rPr>
            </w:pPr>
            <w:r w:rsidRPr="00D30977">
              <w:rPr>
                <w:spacing w:val="-5"/>
                <w:sz w:val="22"/>
                <w:szCs w:val="22"/>
              </w:rPr>
              <w:t>0.1</w:t>
            </w:r>
          </w:p>
        </w:tc>
      </w:tr>
      <w:tr w:rsidR="00F443CD" w:rsidRPr="00D30977" w14:paraId="38FC889B" w14:textId="77777777" w:rsidTr="00F443CD">
        <w:trPr>
          <w:trHeight w:val="20"/>
        </w:trPr>
        <w:tc>
          <w:tcPr>
            <w:tcW w:w="0" w:type="dxa"/>
          </w:tcPr>
          <w:p w14:paraId="44537090" w14:textId="77777777" w:rsidR="00615394" w:rsidRPr="00D30977" w:rsidRDefault="00615394" w:rsidP="00F443CD">
            <w:pPr>
              <w:pStyle w:val="Tabletext0"/>
              <w:rPr>
                <w:sz w:val="22"/>
                <w:szCs w:val="22"/>
              </w:rPr>
            </w:pPr>
            <w:r w:rsidRPr="00D30977">
              <w:rPr>
                <w:sz w:val="22"/>
                <w:szCs w:val="22"/>
              </w:rPr>
              <w:t>Dysgeusia</w:t>
            </w:r>
            <w:r w:rsidRPr="00D30977">
              <w:rPr>
                <w:position w:val="7"/>
                <w:sz w:val="22"/>
                <w:szCs w:val="22"/>
              </w:rPr>
              <w:t>#</w:t>
            </w:r>
          </w:p>
        </w:tc>
        <w:tc>
          <w:tcPr>
            <w:tcW w:w="0" w:type="dxa"/>
          </w:tcPr>
          <w:p w14:paraId="50121263" w14:textId="77777777" w:rsidR="00615394" w:rsidRPr="00D30977" w:rsidRDefault="00615394" w:rsidP="00F443CD">
            <w:pPr>
              <w:pStyle w:val="Tabletext0"/>
              <w:rPr>
                <w:sz w:val="22"/>
                <w:szCs w:val="22"/>
              </w:rPr>
            </w:pPr>
            <w:r w:rsidRPr="00D30977">
              <w:rPr>
                <w:spacing w:val="-5"/>
                <w:sz w:val="22"/>
                <w:szCs w:val="22"/>
              </w:rPr>
              <w:t>12</w:t>
            </w:r>
          </w:p>
        </w:tc>
        <w:tc>
          <w:tcPr>
            <w:tcW w:w="0" w:type="dxa"/>
          </w:tcPr>
          <w:p w14:paraId="60584424" w14:textId="77777777" w:rsidR="00615394" w:rsidRPr="00D30977" w:rsidRDefault="00615394" w:rsidP="00F443CD">
            <w:pPr>
              <w:pStyle w:val="Tabletext0"/>
              <w:rPr>
                <w:sz w:val="22"/>
                <w:szCs w:val="22"/>
              </w:rPr>
            </w:pPr>
            <w:r w:rsidRPr="00D30977">
              <w:rPr>
                <w:sz w:val="22"/>
                <w:szCs w:val="22"/>
              </w:rPr>
              <w:t>0</w:t>
            </w:r>
          </w:p>
        </w:tc>
        <w:tc>
          <w:tcPr>
            <w:tcW w:w="0" w:type="dxa"/>
          </w:tcPr>
          <w:p w14:paraId="353B13A9" w14:textId="77777777" w:rsidR="00615394" w:rsidRPr="00D30977" w:rsidRDefault="00615394" w:rsidP="00F443CD">
            <w:pPr>
              <w:pStyle w:val="Tabletext0"/>
              <w:rPr>
                <w:sz w:val="22"/>
                <w:szCs w:val="22"/>
              </w:rPr>
            </w:pPr>
            <w:r w:rsidRPr="00D30977">
              <w:rPr>
                <w:spacing w:val="-5"/>
                <w:sz w:val="22"/>
                <w:szCs w:val="22"/>
              </w:rPr>
              <w:t>4.8</w:t>
            </w:r>
          </w:p>
        </w:tc>
        <w:tc>
          <w:tcPr>
            <w:tcW w:w="0" w:type="dxa"/>
          </w:tcPr>
          <w:p w14:paraId="366E1A87" w14:textId="77777777" w:rsidR="00615394" w:rsidRPr="00D30977" w:rsidRDefault="00615394" w:rsidP="00F443CD">
            <w:pPr>
              <w:pStyle w:val="Tabletext0"/>
              <w:rPr>
                <w:sz w:val="22"/>
                <w:szCs w:val="22"/>
              </w:rPr>
            </w:pPr>
            <w:r w:rsidRPr="00D30977">
              <w:rPr>
                <w:sz w:val="22"/>
                <w:szCs w:val="22"/>
              </w:rPr>
              <w:t>0</w:t>
            </w:r>
          </w:p>
        </w:tc>
      </w:tr>
      <w:tr w:rsidR="00F443CD" w:rsidRPr="00D30977" w14:paraId="12A181C3" w14:textId="77777777" w:rsidTr="00F443CD">
        <w:trPr>
          <w:trHeight w:val="20"/>
        </w:trPr>
        <w:tc>
          <w:tcPr>
            <w:tcW w:w="0" w:type="dxa"/>
          </w:tcPr>
          <w:p w14:paraId="4B117ACC" w14:textId="77777777" w:rsidR="00615394" w:rsidRPr="00D30977" w:rsidRDefault="00615394" w:rsidP="00F443CD">
            <w:pPr>
              <w:pStyle w:val="Tabletext0"/>
              <w:rPr>
                <w:sz w:val="22"/>
                <w:szCs w:val="22"/>
              </w:rPr>
            </w:pPr>
            <w:r w:rsidRPr="00D30977">
              <w:rPr>
                <w:sz w:val="22"/>
                <w:szCs w:val="22"/>
              </w:rPr>
              <w:t>Dizziness</w:t>
            </w:r>
          </w:p>
        </w:tc>
        <w:tc>
          <w:tcPr>
            <w:tcW w:w="0" w:type="dxa"/>
          </w:tcPr>
          <w:p w14:paraId="78A0D1CD" w14:textId="77777777" w:rsidR="00615394" w:rsidRPr="00D30977" w:rsidRDefault="00615394" w:rsidP="00F443CD">
            <w:pPr>
              <w:pStyle w:val="Tabletext0"/>
              <w:rPr>
                <w:sz w:val="22"/>
                <w:szCs w:val="22"/>
              </w:rPr>
            </w:pPr>
            <w:r w:rsidRPr="00D30977">
              <w:rPr>
                <w:spacing w:val="-5"/>
                <w:sz w:val="22"/>
                <w:szCs w:val="22"/>
              </w:rPr>
              <w:t>11</w:t>
            </w:r>
          </w:p>
        </w:tc>
        <w:tc>
          <w:tcPr>
            <w:tcW w:w="0" w:type="dxa"/>
          </w:tcPr>
          <w:p w14:paraId="4C9DA2AD" w14:textId="77777777" w:rsidR="00615394" w:rsidRPr="00D30977" w:rsidRDefault="00615394" w:rsidP="00F443CD">
            <w:pPr>
              <w:pStyle w:val="Tabletext0"/>
              <w:rPr>
                <w:sz w:val="22"/>
                <w:szCs w:val="22"/>
              </w:rPr>
            </w:pPr>
            <w:r w:rsidRPr="00D30977">
              <w:rPr>
                <w:spacing w:val="-5"/>
                <w:sz w:val="22"/>
                <w:szCs w:val="22"/>
              </w:rPr>
              <w:t>0.1</w:t>
            </w:r>
          </w:p>
        </w:tc>
        <w:tc>
          <w:tcPr>
            <w:tcW w:w="0" w:type="dxa"/>
          </w:tcPr>
          <w:p w14:paraId="5676B4C4" w14:textId="77777777" w:rsidR="00615394" w:rsidRPr="00D30977" w:rsidRDefault="00615394" w:rsidP="00F443CD">
            <w:pPr>
              <w:pStyle w:val="Tabletext0"/>
              <w:rPr>
                <w:sz w:val="22"/>
                <w:szCs w:val="22"/>
              </w:rPr>
            </w:pPr>
            <w:r w:rsidRPr="00D30977">
              <w:rPr>
                <w:sz w:val="22"/>
                <w:szCs w:val="22"/>
              </w:rPr>
              <w:t>7</w:t>
            </w:r>
          </w:p>
        </w:tc>
        <w:tc>
          <w:tcPr>
            <w:tcW w:w="0" w:type="dxa"/>
          </w:tcPr>
          <w:p w14:paraId="2301AEF4" w14:textId="77777777" w:rsidR="00615394" w:rsidRPr="00D30977" w:rsidRDefault="00615394" w:rsidP="00F443CD">
            <w:pPr>
              <w:pStyle w:val="Tabletext0"/>
              <w:rPr>
                <w:sz w:val="22"/>
                <w:szCs w:val="22"/>
              </w:rPr>
            </w:pPr>
            <w:r w:rsidRPr="00D30977">
              <w:rPr>
                <w:spacing w:val="-5"/>
                <w:sz w:val="22"/>
                <w:szCs w:val="22"/>
              </w:rPr>
              <w:t>0.1</w:t>
            </w:r>
          </w:p>
        </w:tc>
      </w:tr>
      <w:tr w:rsidR="00F443CD" w:rsidRPr="00D30977" w14:paraId="5035C547" w14:textId="77777777" w:rsidTr="00F443CD">
        <w:trPr>
          <w:trHeight w:val="20"/>
        </w:trPr>
        <w:tc>
          <w:tcPr>
            <w:tcW w:w="0" w:type="dxa"/>
            <w:gridSpan w:val="5"/>
          </w:tcPr>
          <w:p w14:paraId="58FBD561" w14:textId="77777777" w:rsidR="00615394" w:rsidRPr="00D30977" w:rsidRDefault="00615394" w:rsidP="00F443CD">
            <w:pPr>
              <w:pStyle w:val="Tabletext0"/>
              <w:rPr>
                <w:sz w:val="22"/>
                <w:szCs w:val="22"/>
              </w:rPr>
            </w:pPr>
            <w:r w:rsidRPr="00D30977">
              <w:rPr>
                <w:sz w:val="22"/>
                <w:szCs w:val="22"/>
              </w:rPr>
              <w:t>Metabolism</w:t>
            </w:r>
            <w:r w:rsidRPr="00D30977">
              <w:rPr>
                <w:spacing w:val="-5"/>
                <w:sz w:val="22"/>
                <w:szCs w:val="22"/>
              </w:rPr>
              <w:t xml:space="preserve"> </w:t>
            </w:r>
            <w:r w:rsidRPr="00D30977">
              <w:rPr>
                <w:sz w:val="22"/>
                <w:szCs w:val="22"/>
              </w:rPr>
              <w:t>and</w:t>
            </w:r>
            <w:r w:rsidRPr="00D30977">
              <w:rPr>
                <w:spacing w:val="-6"/>
                <w:sz w:val="22"/>
                <w:szCs w:val="22"/>
              </w:rPr>
              <w:t xml:space="preserve"> </w:t>
            </w:r>
            <w:r w:rsidRPr="00D30977">
              <w:rPr>
                <w:sz w:val="22"/>
                <w:szCs w:val="22"/>
              </w:rPr>
              <w:t>Nutrition</w:t>
            </w:r>
            <w:r w:rsidRPr="00D30977">
              <w:rPr>
                <w:spacing w:val="-6"/>
                <w:sz w:val="22"/>
                <w:szCs w:val="22"/>
              </w:rPr>
              <w:t xml:space="preserve"> </w:t>
            </w:r>
            <w:r w:rsidRPr="00D30977">
              <w:rPr>
                <w:sz w:val="22"/>
                <w:szCs w:val="22"/>
              </w:rPr>
              <w:t>Disorders</w:t>
            </w:r>
          </w:p>
        </w:tc>
      </w:tr>
      <w:tr w:rsidR="00F443CD" w:rsidRPr="00D30977" w14:paraId="301370AC" w14:textId="77777777" w:rsidTr="00F443CD">
        <w:trPr>
          <w:trHeight w:val="20"/>
        </w:trPr>
        <w:tc>
          <w:tcPr>
            <w:tcW w:w="0" w:type="dxa"/>
          </w:tcPr>
          <w:p w14:paraId="39DE02DE" w14:textId="77777777" w:rsidR="00615394" w:rsidRPr="00D30977" w:rsidRDefault="00615394" w:rsidP="00F443CD">
            <w:pPr>
              <w:pStyle w:val="Tabletext0"/>
              <w:rPr>
                <w:sz w:val="22"/>
                <w:szCs w:val="22"/>
              </w:rPr>
            </w:pPr>
            <w:r w:rsidRPr="00D30977">
              <w:rPr>
                <w:sz w:val="22"/>
                <w:szCs w:val="22"/>
              </w:rPr>
              <w:t>Decreased</w:t>
            </w:r>
            <w:r w:rsidRPr="00D30977">
              <w:rPr>
                <w:spacing w:val="-8"/>
                <w:sz w:val="22"/>
                <w:szCs w:val="22"/>
              </w:rPr>
              <w:t xml:space="preserve"> </w:t>
            </w:r>
            <w:r w:rsidRPr="00D30977">
              <w:rPr>
                <w:sz w:val="22"/>
                <w:szCs w:val="22"/>
              </w:rPr>
              <w:t>appetite</w:t>
            </w:r>
          </w:p>
        </w:tc>
        <w:tc>
          <w:tcPr>
            <w:tcW w:w="0" w:type="dxa"/>
          </w:tcPr>
          <w:p w14:paraId="1520E2D5" w14:textId="77777777" w:rsidR="00615394" w:rsidRPr="00D30977" w:rsidRDefault="00615394" w:rsidP="00F443CD">
            <w:pPr>
              <w:pStyle w:val="Tabletext0"/>
              <w:rPr>
                <w:sz w:val="22"/>
                <w:szCs w:val="22"/>
              </w:rPr>
            </w:pPr>
            <w:r w:rsidRPr="00D30977">
              <w:rPr>
                <w:spacing w:val="-5"/>
                <w:sz w:val="22"/>
                <w:szCs w:val="22"/>
              </w:rPr>
              <w:t>13</w:t>
            </w:r>
          </w:p>
        </w:tc>
        <w:tc>
          <w:tcPr>
            <w:tcW w:w="0" w:type="dxa"/>
          </w:tcPr>
          <w:p w14:paraId="29AAB33D" w14:textId="77777777" w:rsidR="00615394" w:rsidRPr="00D30977" w:rsidRDefault="00615394" w:rsidP="00F443CD">
            <w:pPr>
              <w:pStyle w:val="Tabletext0"/>
              <w:rPr>
                <w:sz w:val="22"/>
                <w:szCs w:val="22"/>
              </w:rPr>
            </w:pPr>
            <w:r w:rsidRPr="00D30977">
              <w:rPr>
                <w:spacing w:val="-5"/>
                <w:sz w:val="22"/>
                <w:szCs w:val="22"/>
              </w:rPr>
              <w:t>0.2</w:t>
            </w:r>
          </w:p>
        </w:tc>
        <w:tc>
          <w:tcPr>
            <w:tcW w:w="0" w:type="dxa"/>
          </w:tcPr>
          <w:p w14:paraId="14AAE4EF" w14:textId="77777777" w:rsidR="00615394" w:rsidRPr="00D30977" w:rsidRDefault="00615394" w:rsidP="00F443CD">
            <w:pPr>
              <w:pStyle w:val="Tabletext0"/>
              <w:rPr>
                <w:sz w:val="22"/>
                <w:szCs w:val="22"/>
              </w:rPr>
            </w:pPr>
            <w:r w:rsidRPr="00D30977">
              <w:rPr>
                <w:sz w:val="22"/>
                <w:szCs w:val="22"/>
              </w:rPr>
              <w:t>6</w:t>
            </w:r>
          </w:p>
        </w:tc>
        <w:tc>
          <w:tcPr>
            <w:tcW w:w="0" w:type="dxa"/>
          </w:tcPr>
          <w:p w14:paraId="7B1D5A05" w14:textId="77777777" w:rsidR="00615394" w:rsidRPr="00D30977" w:rsidRDefault="00615394" w:rsidP="00F443CD">
            <w:pPr>
              <w:pStyle w:val="Tabletext0"/>
              <w:rPr>
                <w:sz w:val="22"/>
                <w:szCs w:val="22"/>
              </w:rPr>
            </w:pPr>
            <w:r w:rsidRPr="00D30977">
              <w:rPr>
                <w:sz w:val="22"/>
                <w:szCs w:val="22"/>
              </w:rPr>
              <w:t>0</w:t>
            </w:r>
          </w:p>
        </w:tc>
      </w:tr>
    </w:tbl>
    <w:p w14:paraId="74D63DE3" w14:textId="77777777" w:rsidR="00615394" w:rsidRPr="00583A23" w:rsidRDefault="00615394" w:rsidP="00583A23">
      <w:pPr>
        <w:pStyle w:val="TableDescription"/>
        <w:contextualSpacing/>
        <w:rPr>
          <w:sz w:val="16"/>
          <w:szCs w:val="16"/>
        </w:rPr>
      </w:pPr>
      <w:r w:rsidRPr="00583A23">
        <w:rPr>
          <w:position w:val="6"/>
          <w:sz w:val="10"/>
          <w:szCs w:val="16"/>
        </w:rPr>
        <w:t>*</w:t>
      </w:r>
      <w:r w:rsidRPr="00583A23">
        <w:rPr>
          <w:spacing w:val="12"/>
          <w:position w:val="6"/>
          <w:sz w:val="10"/>
          <w:szCs w:val="16"/>
        </w:rPr>
        <w:t xml:space="preserve"> </w:t>
      </w:r>
      <w:r w:rsidRPr="00583A23">
        <w:rPr>
          <w:sz w:val="16"/>
          <w:szCs w:val="16"/>
        </w:rPr>
        <w:t>Graded</w:t>
      </w:r>
      <w:r w:rsidRPr="00583A23">
        <w:rPr>
          <w:spacing w:val="-2"/>
          <w:sz w:val="16"/>
          <w:szCs w:val="16"/>
        </w:rPr>
        <w:t xml:space="preserve"> </w:t>
      </w:r>
      <w:r w:rsidRPr="00583A23">
        <w:rPr>
          <w:sz w:val="16"/>
          <w:szCs w:val="16"/>
        </w:rPr>
        <w:t>according</w:t>
      </w:r>
      <w:r w:rsidRPr="00583A23">
        <w:rPr>
          <w:spacing w:val="-2"/>
          <w:sz w:val="16"/>
          <w:szCs w:val="16"/>
        </w:rPr>
        <w:t xml:space="preserve"> </w:t>
      </w:r>
      <w:r w:rsidRPr="00583A23">
        <w:rPr>
          <w:sz w:val="16"/>
          <w:szCs w:val="16"/>
        </w:rPr>
        <w:t>to</w:t>
      </w:r>
      <w:r w:rsidRPr="00583A23">
        <w:rPr>
          <w:spacing w:val="-2"/>
          <w:sz w:val="16"/>
          <w:szCs w:val="16"/>
        </w:rPr>
        <w:t xml:space="preserve"> </w:t>
      </w:r>
      <w:r w:rsidRPr="00583A23">
        <w:rPr>
          <w:sz w:val="16"/>
          <w:szCs w:val="16"/>
        </w:rPr>
        <w:t>the</w:t>
      </w:r>
      <w:r w:rsidRPr="00583A23">
        <w:rPr>
          <w:spacing w:val="-4"/>
          <w:sz w:val="16"/>
          <w:szCs w:val="16"/>
        </w:rPr>
        <w:t xml:space="preserve"> </w:t>
      </w:r>
      <w:r w:rsidRPr="00583A23">
        <w:rPr>
          <w:sz w:val="16"/>
          <w:szCs w:val="16"/>
        </w:rPr>
        <w:t>National</w:t>
      </w:r>
      <w:r w:rsidRPr="00583A23">
        <w:rPr>
          <w:spacing w:val="-3"/>
          <w:sz w:val="16"/>
          <w:szCs w:val="16"/>
        </w:rPr>
        <w:t xml:space="preserve"> </w:t>
      </w:r>
      <w:r w:rsidRPr="00583A23">
        <w:rPr>
          <w:sz w:val="16"/>
          <w:szCs w:val="16"/>
        </w:rPr>
        <w:t>Cancer</w:t>
      </w:r>
      <w:r w:rsidRPr="00583A23">
        <w:rPr>
          <w:spacing w:val="-3"/>
          <w:sz w:val="16"/>
          <w:szCs w:val="16"/>
        </w:rPr>
        <w:t xml:space="preserve"> </w:t>
      </w:r>
      <w:r w:rsidRPr="00583A23">
        <w:rPr>
          <w:sz w:val="16"/>
          <w:szCs w:val="16"/>
        </w:rPr>
        <w:t>Institute</w:t>
      </w:r>
      <w:r w:rsidRPr="00583A23">
        <w:rPr>
          <w:spacing w:val="-4"/>
          <w:sz w:val="16"/>
          <w:szCs w:val="16"/>
        </w:rPr>
        <w:t xml:space="preserve"> </w:t>
      </w:r>
      <w:r w:rsidRPr="00583A23">
        <w:rPr>
          <w:sz w:val="16"/>
          <w:szCs w:val="16"/>
        </w:rPr>
        <w:t>Common</w:t>
      </w:r>
      <w:r w:rsidRPr="00583A23">
        <w:rPr>
          <w:spacing w:val="-4"/>
          <w:sz w:val="16"/>
          <w:szCs w:val="16"/>
        </w:rPr>
        <w:t xml:space="preserve"> </w:t>
      </w:r>
      <w:r w:rsidRPr="00583A23">
        <w:rPr>
          <w:sz w:val="16"/>
          <w:szCs w:val="16"/>
        </w:rPr>
        <w:t>Terminology</w:t>
      </w:r>
      <w:r w:rsidRPr="00583A23">
        <w:rPr>
          <w:spacing w:val="-2"/>
          <w:sz w:val="16"/>
          <w:szCs w:val="16"/>
        </w:rPr>
        <w:t xml:space="preserve"> </w:t>
      </w:r>
      <w:r w:rsidRPr="00583A23">
        <w:rPr>
          <w:sz w:val="16"/>
          <w:szCs w:val="16"/>
        </w:rPr>
        <w:t>Criteria</w:t>
      </w:r>
      <w:r w:rsidRPr="00583A23">
        <w:rPr>
          <w:spacing w:val="-4"/>
          <w:sz w:val="16"/>
          <w:szCs w:val="16"/>
        </w:rPr>
        <w:t xml:space="preserve"> </w:t>
      </w:r>
      <w:r w:rsidRPr="00583A23">
        <w:rPr>
          <w:sz w:val="16"/>
          <w:szCs w:val="16"/>
        </w:rPr>
        <w:t>for</w:t>
      </w:r>
      <w:r w:rsidRPr="00583A23">
        <w:rPr>
          <w:spacing w:val="-3"/>
          <w:sz w:val="16"/>
          <w:szCs w:val="16"/>
        </w:rPr>
        <w:t xml:space="preserve"> </w:t>
      </w:r>
      <w:r w:rsidRPr="00583A23">
        <w:rPr>
          <w:sz w:val="16"/>
          <w:szCs w:val="16"/>
        </w:rPr>
        <w:t>Adverse</w:t>
      </w:r>
      <w:r w:rsidRPr="00583A23">
        <w:rPr>
          <w:spacing w:val="-4"/>
          <w:sz w:val="16"/>
          <w:szCs w:val="16"/>
        </w:rPr>
        <w:t xml:space="preserve"> </w:t>
      </w:r>
      <w:r w:rsidRPr="00583A23">
        <w:rPr>
          <w:sz w:val="16"/>
          <w:szCs w:val="16"/>
        </w:rPr>
        <w:t>Events</w:t>
      </w:r>
      <w:r w:rsidRPr="00583A23">
        <w:rPr>
          <w:spacing w:val="-4"/>
          <w:sz w:val="16"/>
          <w:szCs w:val="16"/>
        </w:rPr>
        <w:t xml:space="preserve"> </w:t>
      </w:r>
      <w:r w:rsidRPr="00583A23">
        <w:rPr>
          <w:sz w:val="16"/>
          <w:szCs w:val="16"/>
        </w:rPr>
        <w:t>(NCI</w:t>
      </w:r>
      <w:r w:rsidRPr="00583A23">
        <w:rPr>
          <w:spacing w:val="-3"/>
          <w:sz w:val="16"/>
          <w:szCs w:val="16"/>
        </w:rPr>
        <w:t xml:space="preserve"> </w:t>
      </w:r>
      <w:r w:rsidRPr="00583A23">
        <w:rPr>
          <w:sz w:val="16"/>
          <w:szCs w:val="16"/>
        </w:rPr>
        <w:t>CTCAE), version 4.03</w:t>
      </w:r>
    </w:p>
    <w:p w14:paraId="5A1131A3" w14:textId="77777777" w:rsidR="00615394" w:rsidRPr="00583A23" w:rsidRDefault="00615394" w:rsidP="00583A23">
      <w:pPr>
        <w:pStyle w:val="TableDescription"/>
        <w:contextualSpacing/>
        <w:rPr>
          <w:szCs w:val="16"/>
        </w:rPr>
      </w:pPr>
      <w:r w:rsidRPr="00583A23">
        <w:rPr>
          <w:szCs w:val="16"/>
        </w:rPr>
        <w:t>†</w:t>
      </w:r>
      <w:r w:rsidRPr="00583A23">
        <w:rPr>
          <w:spacing w:val="9"/>
          <w:szCs w:val="16"/>
        </w:rPr>
        <w:t xml:space="preserve"> </w:t>
      </w:r>
      <w:r w:rsidRPr="00583A23">
        <w:rPr>
          <w:szCs w:val="16"/>
        </w:rPr>
        <w:t>Includes</w:t>
      </w:r>
      <w:r w:rsidRPr="00583A23">
        <w:rPr>
          <w:spacing w:val="-8"/>
          <w:szCs w:val="16"/>
        </w:rPr>
        <w:t xml:space="preserve"> </w:t>
      </w:r>
      <w:r w:rsidRPr="00583A23">
        <w:rPr>
          <w:szCs w:val="16"/>
        </w:rPr>
        <w:t>aphthous</w:t>
      </w:r>
      <w:r w:rsidRPr="00583A23">
        <w:rPr>
          <w:spacing w:val="-7"/>
          <w:szCs w:val="16"/>
        </w:rPr>
        <w:t xml:space="preserve"> </w:t>
      </w:r>
      <w:r w:rsidRPr="00583A23">
        <w:rPr>
          <w:szCs w:val="16"/>
        </w:rPr>
        <w:t>ulcer,</w:t>
      </w:r>
      <w:r w:rsidRPr="00583A23">
        <w:rPr>
          <w:spacing w:val="-6"/>
          <w:szCs w:val="16"/>
        </w:rPr>
        <w:t xml:space="preserve"> </w:t>
      </w:r>
      <w:r w:rsidRPr="00583A23">
        <w:rPr>
          <w:szCs w:val="16"/>
        </w:rPr>
        <w:t>mouth</w:t>
      </w:r>
      <w:r w:rsidRPr="00583A23">
        <w:rPr>
          <w:spacing w:val="-6"/>
          <w:szCs w:val="16"/>
        </w:rPr>
        <w:t xml:space="preserve"> </w:t>
      </w:r>
      <w:r w:rsidRPr="00583A23">
        <w:rPr>
          <w:szCs w:val="16"/>
        </w:rPr>
        <w:t>ulceration,</w:t>
      </w:r>
      <w:r w:rsidRPr="00583A23">
        <w:rPr>
          <w:spacing w:val="-6"/>
          <w:szCs w:val="16"/>
        </w:rPr>
        <w:t xml:space="preserve"> </w:t>
      </w:r>
      <w:r w:rsidRPr="00583A23">
        <w:rPr>
          <w:spacing w:val="-2"/>
          <w:szCs w:val="16"/>
        </w:rPr>
        <w:t>stomatitis.</w:t>
      </w:r>
    </w:p>
    <w:p w14:paraId="60AA23F0" w14:textId="0055F6A7" w:rsidR="00615394" w:rsidRPr="00583A23" w:rsidRDefault="00615394" w:rsidP="00583A23">
      <w:pPr>
        <w:pStyle w:val="TableDescription"/>
        <w:contextualSpacing/>
        <w:rPr>
          <w:szCs w:val="16"/>
        </w:rPr>
      </w:pPr>
      <w:r w:rsidRPr="00583A23">
        <w:rPr>
          <w:szCs w:val="16"/>
        </w:rPr>
        <w:t>‡</w:t>
      </w:r>
      <w:r w:rsidRPr="00583A23">
        <w:rPr>
          <w:spacing w:val="-12"/>
          <w:szCs w:val="16"/>
        </w:rPr>
        <w:t xml:space="preserve"> </w:t>
      </w:r>
      <w:r w:rsidRPr="00583A23">
        <w:rPr>
          <w:szCs w:val="16"/>
        </w:rPr>
        <w:t>Includes</w:t>
      </w:r>
      <w:r w:rsidRPr="00583A23">
        <w:rPr>
          <w:spacing w:val="-5"/>
          <w:szCs w:val="16"/>
        </w:rPr>
        <w:t xml:space="preserve"> </w:t>
      </w:r>
      <w:r w:rsidR="006C56CA" w:rsidRPr="006C56CA">
        <w:rPr>
          <w:szCs w:val="16"/>
        </w:rPr>
        <w:t>anaemia</w:t>
      </w:r>
      <w:r w:rsidRPr="00583A23">
        <w:rPr>
          <w:szCs w:val="16"/>
        </w:rPr>
        <w:t>,</w:t>
      </w:r>
      <w:r w:rsidRPr="00583A23">
        <w:rPr>
          <w:spacing w:val="-6"/>
          <w:szCs w:val="16"/>
        </w:rPr>
        <w:t xml:space="preserve"> </w:t>
      </w:r>
      <w:r w:rsidR="006C56CA" w:rsidRPr="006C56CA">
        <w:rPr>
          <w:szCs w:val="16"/>
        </w:rPr>
        <w:t>anaemia</w:t>
      </w:r>
      <w:r w:rsidRPr="00583A23">
        <w:rPr>
          <w:spacing w:val="-4"/>
          <w:szCs w:val="16"/>
        </w:rPr>
        <w:t xml:space="preserve"> </w:t>
      </w:r>
      <w:r w:rsidRPr="00583A23">
        <w:rPr>
          <w:szCs w:val="16"/>
        </w:rPr>
        <w:t>macrocytic,</w:t>
      </w:r>
      <w:r w:rsidRPr="00583A23">
        <w:rPr>
          <w:spacing w:val="-3"/>
          <w:szCs w:val="16"/>
        </w:rPr>
        <w:t xml:space="preserve"> </w:t>
      </w:r>
      <w:r w:rsidRPr="00583A23">
        <w:rPr>
          <w:szCs w:val="16"/>
        </w:rPr>
        <w:t>erythropenia,</w:t>
      </w:r>
      <w:r w:rsidRPr="00583A23">
        <w:rPr>
          <w:spacing w:val="-3"/>
          <w:szCs w:val="16"/>
        </w:rPr>
        <w:t xml:space="preserve"> </w:t>
      </w:r>
      <w:r w:rsidR="006C56CA" w:rsidRPr="006C56CA">
        <w:rPr>
          <w:szCs w:val="16"/>
        </w:rPr>
        <w:t>haematocrit</w:t>
      </w:r>
      <w:r w:rsidRPr="00583A23">
        <w:rPr>
          <w:spacing w:val="-4"/>
          <w:szCs w:val="16"/>
        </w:rPr>
        <w:t xml:space="preserve"> </w:t>
      </w:r>
      <w:r w:rsidRPr="00583A23">
        <w:rPr>
          <w:szCs w:val="16"/>
        </w:rPr>
        <w:t>decreased,</w:t>
      </w:r>
      <w:r w:rsidRPr="00583A23">
        <w:rPr>
          <w:spacing w:val="-3"/>
          <w:szCs w:val="16"/>
        </w:rPr>
        <w:t xml:space="preserve"> </w:t>
      </w:r>
      <w:r w:rsidR="006C56CA" w:rsidRPr="006C56CA">
        <w:rPr>
          <w:szCs w:val="16"/>
        </w:rPr>
        <w:t>haemoglobin</w:t>
      </w:r>
      <w:r w:rsidRPr="00583A23">
        <w:rPr>
          <w:spacing w:val="-3"/>
          <w:szCs w:val="16"/>
        </w:rPr>
        <w:t xml:space="preserve"> </w:t>
      </w:r>
      <w:r w:rsidRPr="00583A23">
        <w:rPr>
          <w:szCs w:val="16"/>
        </w:rPr>
        <w:t>decreased,</w:t>
      </w:r>
      <w:r w:rsidRPr="00583A23">
        <w:rPr>
          <w:spacing w:val="-3"/>
          <w:szCs w:val="16"/>
        </w:rPr>
        <w:t xml:space="preserve"> </w:t>
      </w:r>
      <w:r w:rsidRPr="00583A23">
        <w:rPr>
          <w:szCs w:val="16"/>
        </w:rPr>
        <w:t xml:space="preserve">normochromic </w:t>
      </w:r>
      <w:r w:rsidR="006C56CA" w:rsidRPr="006C56CA">
        <w:rPr>
          <w:szCs w:val="16"/>
        </w:rPr>
        <w:t>anaemia</w:t>
      </w:r>
      <w:r w:rsidRPr="00583A23">
        <w:rPr>
          <w:szCs w:val="16"/>
        </w:rPr>
        <w:t xml:space="preserve">, normochromic normocytic </w:t>
      </w:r>
      <w:r w:rsidR="006C56CA" w:rsidRPr="006C56CA">
        <w:rPr>
          <w:szCs w:val="16"/>
        </w:rPr>
        <w:t>anaemia</w:t>
      </w:r>
      <w:r w:rsidRPr="00583A23">
        <w:rPr>
          <w:szCs w:val="16"/>
        </w:rPr>
        <w:t xml:space="preserve">, normocytic </w:t>
      </w:r>
      <w:r w:rsidR="006C56CA" w:rsidRPr="006C56CA">
        <w:rPr>
          <w:szCs w:val="16"/>
        </w:rPr>
        <w:t>anaemia</w:t>
      </w:r>
      <w:r w:rsidRPr="00583A23">
        <w:rPr>
          <w:szCs w:val="16"/>
        </w:rPr>
        <w:t>, red blood cell count decreased.</w:t>
      </w:r>
    </w:p>
    <w:p w14:paraId="7A319356" w14:textId="77777777" w:rsidR="00615394" w:rsidRPr="00583A23" w:rsidRDefault="00615394" w:rsidP="00583A23">
      <w:pPr>
        <w:pStyle w:val="TableDescription"/>
        <w:contextualSpacing/>
        <w:rPr>
          <w:szCs w:val="16"/>
        </w:rPr>
      </w:pPr>
      <w:r w:rsidRPr="00583A23">
        <w:rPr>
          <w:szCs w:val="16"/>
        </w:rPr>
        <w:t>§</w:t>
      </w:r>
      <w:r w:rsidRPr="00583A23">
        <w:rPr>
          <w:spacing w:val="-5"/>
          <w:szCs w:val="16"/>
        </w:rPr>
        <w:t xml:space="preserve"> </w:t>
      </w:r>
      <w:r w:rsidRPr="00583A23">
        <w:rPr>
          <w:szCs w:val="16"/>
        </w:rPr>
        <w:t>Includes</w:t>
      </w:r>
      <w:r w:rsidRPr="00583A23">
        <w:rPr>
          <w:spacing w:val="-6"/>
          <w:szCs w:val="16"/>
        </w:rPr>
        <w:t xml:space="preserve"> </w:t>
      </w:r>
      <w:r w:rsidRPr="00583A23">
        <w:rPr>
          <w:szCs w:val="16"/>
        </w:rPr>
        <w:t>leukopenia,</w:t>
      </w:r>
      <w:r w:rsidRPr="00583A23">
        <w:rPr>
          <w:spacing w:val="-5"/>
          <w:szCs w:val="16"/>
        </w:rPr>
        <w:t xml:space="preserve"> </w:t>
      </w:r>
      <w:r w:rsidRPr="00583A23">
        <w:rPr>
          <w:szCs w:val="16"/>
        </w:rPr>
        <w:t>white</w:t>
      </w:r>
      <w:r w:rsidRPr="00583A23">
        <w:rPr>
          <w:spacing w:val="-5"/>
          <w:szCs w:val="16"/>
        </w:rPr>
        <w:t xml:space="preserve"> </w:t>
      </w:r>
      <w:r w:rsidRPr="00583A23">
        <w:rPr>
          <w:szCs w:val="16"/>
        </w:rPr>
        <w:t>blood</w:t>
      </w:r>
      <w:r w:rsidRPr="00583A23">
        <w:rPr>
          <w:spacing w:val="-4"/>
          <w:szCs w:val="16"/>
        </w:rPr>
        <w:t xml:space="preserve"> </w:t>
      </w:r>
      <w:r w:rsidRPr="00583A23">
        <w:rPr>
          <w:szCs w:val="16"/>
        </w:rPr>
        <w:t>cell</w:t>
      </w:r>
      <w:r w:rsidRPr="00583A23">
        <w:rPr>
          <w:spacing w:val="-6"/>
          <w:szCs w:val="16"/>
        </w:rPr>
        <w:t xml:space="preserve"> </w:t>
      </w:r>
      <w:r w:rsidRPr="00583A23">
        <w:rPr>
          <w:szCs w:val="16"/>
        </w:rPr>
        <w:t>count</w:t>
      </w:r>
      <w:r w:rsidRPr="00583A23">
        <w:rPr>
          <w:spacing w:val="-5"/>
          <w:szCs w:val="16"/>
        </w:rPr>
        <w:t xml:space="preserve"> </w:t>
      </w:r>
      <w:r w:rsidRPr="00583A23">
        <w:rPr>
          <w:spacing w:val="-2"/>
          <w:szCs w:val="16"/>
        </w:rPr>
        <w:t>decreased.</w:t>
      </w:r>
    </w:p>
    <w:p w14:paraId="5AEE52AF" w14:textId="77777777" w:rsidR="00615394" w:rsidRPr="00583A23" w:rsidRDefault="00615394" w:rsidP="00583A23">
      <w:pPr>
        <w:pStyle w:val="TableDescription"/>
        <w:contextualSpacing/>
        <w:rPr>
          <w:szCs w:val="16"/>
        </w:rPr>
      </w:pPr>
      <w:r w:rsidRPr="00583A23">
        <w:rPr>
          <w:szCs w:val="16"/>
        </w:rPr>
        <w:t>¶</w:t>
      </w:r>
      <w:r w:rsidRPr="00583A23">
        <w:rPr>
          <w:spacing w:val="-3"/>
          <w:szCs w:val="16"/>
        </w:rPr>
        <w:t xml:space="preserve"> </w:t>
      </w:r>
      <w:r w:rsidRPr="00583A23">
        <w:rPr>
          <w:szCs w:val="16"/>
        </w:rPr>
        <w:t>Includes</w:t>
      </w:r>
      <w:r w:rsidRPr="00583A23">
        <w:rPr>
          <w:spacing w:val="-5"/>
          <w:szCs w:val="16"/>
        </w:rPr>
        <w:t xml:space="preserve"> </w:t>
      </w:r>
      <w:r w:rsidRPr="00583A23">
        <w:rPr>
          <w:szCs w:val="16"/>
        </w:rPr>
        <w:t>agranulocytosis,</w:t>
      </w:r>
      <w:r w:rsidRPr="00583A23">
        <w:rPr>
          <w:spacing w:val="-3"/>
          <w:szCs w:val="16"/>
        </w:rPr>
        <w:t xml:space="preserve"> </w:t>
      </w:r>
      <w:r w:rsidRPr="00583A23">
        <w:rPr>
          <w:szCs w:val="16"/>
        </w:rPr>
        <w:t>febrile</w:t>
      </w:r>
      <w:r w:rsidRPr="00583A23">
        <w:rPr>
          <w:spacing w:val="-4"/>
          <w:szCs w:val="16"/>
        </w:rPr>
        <w:t xml:space="preserve"> </w:t>
      </w:r>
      <w:r w:rsidRPr="00583A23">
        <w:rPr>
          <w:szCs w:val="16"/>
        </w:rPr>
        <w:t>neutropenia,</w:t>
      </w:r>
      <w:r w:rsidRPr="00583A23">
        <w:rPr>
          <w:spacing w:val="-6"/>
          <w:szCs w:val="16"/>
        </w:rPr>
        <w:t xml:space="preserve"> </w:t>
      </w:r>
      <w:r w:rsidRPr="00583A23">
        <w:rPr>
          <w:szCs w:val="16"/>
        </w:rPr>
        <w:t>granulocyte</w:t>
      </w:r>
      <w:r w:rsidRPr="00583A23">
        <w:rPr>
          <w:spacing w:val="-6"/>
          <w:szCs w:val="16"/>
        </w:rPr>
        <w:t xml:space="preserve"> </w:t>
      </w:r>
      <w:r w:rsidRPr="00583A23">
        <w:rPr>
          <w:szCs w:val="16"/>
        </w:rPr>
        <w:t>count</w:t>
      </w:r>
      <w:r w:rsidRPr="00583A23">
        <w:rPr>
          <w:spacing w:val="-4"/>
          <w:szCs w:val="16"/>
        </w:rPr>
        <w:t xml:space="preserve"> </w:t>
      </w:r>
      <w:r w:rsidRPr="00583A23">
        <w:rPr>
          <w:szCs w:val="16"/>
        </w:rPr>
        <w:t>decreased,</w:t>
      </w:r>
      <w:r w:rsidRPr="00583A23">
        <w:rPr>
          <w:spacing w:val="-3"/>
          <w:szCs w:val="16"/>
        </w:rPr>
        <w:t xml:space="preserve"> </w:t>
      </w:r>
      <w:r w:rsidRPr="00583A23">
        <w:rPr>
          <w:szCs w:val="16"/>
        </w:rPr>
        <w:t>granulocytopenia,</w:t>
      </w:r>
      <w:r w:rsidRPr="00583A23">
        <w:rPr>
          <w:spacing w:val="-3"/>
          <w:szCs w:val="16"/>
        </w:rPr>
        <w:t xml:space="preserve"> </w:t>
      </w:r>
      <w:r w:rsidRPr="00583A23">
        <w:rPr>
          <w:szCs w:val="16"/>
        </w:rPr>
        <w:t>idiopathic neutropenia, neutropenia, neutropenic infection, neutropenic sepsis, neutrophil count decreased.</w:t>
      </w:r>
    </w:p>
    <w:p w14:paraId="03E6FAF0" w14:textId="77777777" w:rsidR="00615394" w:rsidRPr="00583A23" w:rsidRDefault="00615394" w:rsidP="00583A23">
      <w:pPr>
        <w:pStyle w:val="TableDescription"/>
        <w:contextualSpacing/>
        <w:rPr>
          <w:szCs w:val="16"/>
        </w:rPr>
      </w:pPr>
      <w:r w:rsidRPr="00583A23">
        <w:rPr>
          <w:szCs w:val="16"/>
        </w:rPr>
        <w:t>#</w:t>
      </w:r>
      <w:r w:rsidRPr="00583A23">
        <w:rPr>
          <w:spacing w:val="-5"/>
          <w:szCs w:val="16"/>
        </w:rPr>
        <w:t xml:space="preserve"> </w:t>
      </w:r>
      <w:r w:rsidRPr="00583A23">
        <w:rPr>
          <w:szCs w:val="16"/>
        </w:rPr>
        <w:t>Includes</w:t>
      </w:r>
      <w:r w:rsidRPr="00583A23">
        <w:rPr>
          <w:spacing w:val="-7"/>
          <w:szCs w:val="16"/>
        </w:rPr>
        <w:t xml:space="preserve"> </w:t>
      </w:r>
      <w:r w:rsidRPr="00583A23">
        <w:rPr>
          <w:szCs w:val="16"/>
        </w:rPr>
        <w:t>dysgeusia,</w:t>
      </w:r>
      <w:r w:rsidRPr="00583A23">
        <w:rPr>
          <w:spacing w:val="-5"/>
          <w:szCs w:val="16"/>
        </w:rPr>
        <w:t xml:space="preserve"> </w:t>
      </w:r>
      <w:r w:rsidRPr="00583A23">
        <w:rPr>
          <w:szCs w:val="16"/>
        </w:rPr>
        <w:t>taste</w:t>
      </w:r>
      <w:r w:rsidRPr="00583A23">
        <w:rPr>
          <w:spacing w:val="-5"/>
          <w:szCs w:val="16"/>
        </w:rPr>
        <w:t xml:space="preserve"> </w:t>
      </w:r>
      <w:r w:rsidRPr="00583A23">
        <w:rPr>
          <w:spacing w:val="-2"/>
          <w:szCs w:val="16"/>
        </w:rPr>
        <w:t>disorder.</w:t>
      </w:r>
    </w:p>
    <w:p w14:paraId="502242EE" w14:textId="55DD8C8F" w:rsidR="001E5491" w:rsidRDefault="001E5491" w:rsidP="001E5491">
      <w:r>
        <w:t xml:space="preserve">TEAEs in OlympiA that occurred in </w:t>
      </w:r>
      <w:r>
        <w:rPr>
          <w:b/>
        </w:rPr>
        <w:t>&lt;</w:t>
      </w:r>
      <w:r>
        <w:t>10% of patients receiving olaparib were cough</w:t>
      </w:r>
      <w:r>
        <w:rPr>
          <w:spacing w:val="-5"/>
        </w:rPr>
        <w:t xml:space="preserve"> </w:t>
      </w:r>
      <w:r>
        <w:t>(9.2%),</w:t>
      </w:r>
      <w:r>
        <w:rPr>
          <w:spacing w:val="-5"/>
        </w:rPr>
        <w:t xml:space="preserve"> </w:t>
      </w:r>
      <w:r>
        <w:t>lymphopenia</w:t>
      </w:r>
      <w:r>
        <w:rPr>
          <w:spacing w:val="-4"/>
        </w:rPr>
        <w:t xml:space="preserve"> </w:t>
      </w:r>
      <w:r>
        <w:t>(7%),</w:t>
      </w:r>
      <w:r>
        <w:rPr>
          <w:spacing w:val="-2"/>
        </w:rPr>
        <w:t xml:space="preserve"> </w:t>
      </w:r>
      <w:r>
        <w:t>dyspepsia</w:t>
      </w:r>
      <w:r>
        <w:rPr>
          <w:spacing w:val="-4"/>
        </w:rPr>
        <w:t xml:space="preserve"> </w:t>
      </w:r>
      <w:r>
        <w:t>(6%),</w:t>
      </w:r>
      <w:r>
        <w:rPr>
          <w:spacing w:val="-5"/>
        </w:rPr>
        <w:t xml:space="preserve"> </w:t>
      </w:r>
      <w:r>
        <w:t>upper</w:t>
      </w:r>
      <w:r>
        <w:rPr>
          <w:spacing w:val="-1"/>
        </w:rPr>
        <w:t xml:space="preserve"> </w:t>
      </w:r>
      <w:r>
        <w:t>abdominal</w:t>
      </w:r>
      <w:r>
        <w:rPr>
          <w:spacing w:val="-1"/>
        </w:rPr>
        <w:t xml:space="preserve"> </w:t>
      </w:r>
      <w:r>
        <w:t>pain</w:t>
      </w:r>
      <w:r>
        <w:rPr>
          <w:spacing w:val="-5"/>
        </w:rPr>
        <w:t xml:space="preserve"> </w:t>
      </w:r>
      <w:r>
        <w:t>(4.9%),</w:t>
      </w:r>
      <w:r>
        <w:rPr>
          <w:spacing w:val="-5"/>
        </w:rPr>
        <w:t xml:space="preserve"> </w:t>
      </w:r>
      <w:r>
        <w:t>rash</w:t>
      </w:r>
      <w:r>
        <w:rPr>
          <w:spacing w:val="-2"/>
        </w:rPr>
        <w:t xml:space="preserve"> </w:t>
      </w:r>
      <w:r>
        <w:t>(4.9%),</w:t>
      </w:r>
      <w:r>
        <w:rPr>
          <w:spacing w:val="-2"/>
        </w:rPr>
        <w:t xml:space="preserve"> </w:t>
      </w:r>
      <w:r>
        <w:t xml:space="preserve">dyspnoea </w:t>
      </w:r>
      <w:r w:rsidRPr="004111C0">
        <w:t>(4.2%), thrombocytopenia (4.2%), increase in creatinine (2%), VTE (0.5%), hypersensitivity (0.9%), dermatitis (0.5%), increase in mean corpuscular volume (0.2%), and MDS/AML (0.1%).</w:t>
      </w:r>
    </w:p>
    <w:p w14:paraId="7BB6F31D" w14:textId="04AC1B3A" w:rsidR="00D60ECA" w:rsidRDefault="00D60ECA" w:rsidP="00583A23">
      <w:pPr>
        <w:pStyle w:val="TableTitle"/>
      </w:pPr>
      <w:bookmarkStart w:id="89" w:name="_Ref127963923"/>
      <w:r>
        <w:lastRenderedPageBreak/>
        <w:t xml:space="preserve">Table </w:t>
      </w:r>
      <w:bookmarkEnd w:id="89"/>
      <w:r w:rsidR="00D66090">
        <w:t>11</w:t>
      </w:r>
      <w:r>
        <w:t>.</w:t>
      </w:r>
      <w:r w:rsidRPr="004111C0">
        <w:t xml:space="preserve"> </w:t>
      </w:r>
      <w:r>
        <w:t>Laboratory</w:t>
      </w:r>
      <w:r>
        <w:rPr>
          <w:spacing w:val="-6"/>
        </w:rPr>
        <w:t xml:space="preserve"> </w:t>
      </w:r>
      <w:r>
        <w:t>Abnormalities</w:t>
      </w:r>
      <w:r>
        <w:rPr>
          <w:spacing w:val="-4"/>
        </w:rPr>
        <w:t xml:space="preserve"> </w:t>
      </w:r>
      <w:r>
        <w:t>Reported</w:t>
      </w:r>
      <w:r>
        <w:rPr>
          <w:spacing w:val="-6"/>
        </w:rPr>
        <w:t xml:space="preserve"> </w:t>
      </w:r>
      <w:r>
        <w:t>in</w:t>
      </w:r>
      <w:r>
        <w:rPr>
          <w:spacing w:val="-4"/>
        </w:rPr>
        <w:t xml:space="preserve"> </w:t>
      </w:r>
      <w:r>
        <w:t>≥25%</w:t>
      </w:r>
      <w:r>
        <w:rPr>
          <w:spacing w:val="-3"/>
        </w:rPr>
        <w:t xml:space="preserve"> </w:t>
      </w:r>
      <w:r>
        <w:t>of</w:t>
      </w:r>
      <w:r>
        <w:rPr>
          <w:spacing w:val="-2"/>
        </w:rPr>
        <w:t xml:space="preserve"> </w:t>
      </w:r>
      <w:r>
        <w:t>Patients</w:t>
      </w:r>
      <w:r>
        <w:rPr>
          <w:spacing w:val="-6"/>
        </w:rPr>
        <w:t xml:space="preserve"> </w:t>
      </w:r>
      <w:r>
        <w:t>in</w:t>
      </w:r>
      <w:r>
        <w:rPr>
          <w:spacing w:val="-6"/>
        </w:rPr>
        <w:t xml:space="preserve"> </w:t>
      </w:r>
      <w:r>
        <w:rPr>
          <w:spacing w:val="-2"/>
        </w:rPr>
        <w:t>OlympiA [table from approved FDA label]</w:t>
      </w:r>
    </w:p>
    <w:tbl>
      <w:tblPr>
        <w:tblStyle w:val="TableTGAblue"/>
        <w:tblW w:w="9348" w:type="dxa"/>
        <w:tblLayout w:type="fixed"/>
        <w:tblLook w:val="01E0" w:firstRow="1" w:lastRow="1" w:firstColumn="1" w:lastColumn="1" w:noHBand="0" w:noVBand="0"/>
      </w:tblPr>
      <w:tblGrid>
        <w:gridCol w:w="2364"/>
        <w:gridCol w:w="1754"/>
        <w:gridCol w:w="1593"/>
        <w:gridCol w:w="1900"/>
        <w:gridCol w:w="1737"/>
      </w:tblGrid>
      <w:tr w:rsidR="00583A23" w:rsidRPr="00D30977" w14:paraId="0EE08B1D" w14:textId="77777777" w:rsidTr="00583A23">
        <w:trPr>
          <w:cnfStyle w:val="100000000000" w:firstRow="1" w:lastRow="0" w:firstColumn="0" w:lastColumn="0" w:oddVBand="0" w:evenVBand="0" w:oddHBand="0" w:evenHBand="0" w:firstRowFirstColumn="0" w:firstRowLastColumn="0" w:lastRowFirstColumn="0" w:lastRowLastColumn="0"/>
          <w:trHeight w:val="506"/>
        </w:trPr>
        <w:tc>
          <w:tcPr>
            <w:tcW w:w="2364"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0EE9150" w14:textId="77777777" w:rsidR="00D60ECA" w:rsidRPr="00D30977" w:rsidRDefault="00D60ECA" w:rsidP="00583A23">
            <w:pPr>
              <w:rPr>
                <w:color w:val="auto"/>
                <w:szCs w:val="22"/>
              </w:rPr>
            </w:pPr>
            <w:r w:rsidRPr="00D30977">
              <w:rPr>
                <w:rFonts w:cstheme="minorBidi"/>
                <w:color w:val="auto"/>
                <w:spacing w:val="-2"/>
                <w:szCs w:val="22"/>
              </w:rPr>
              <w:t>Laboratory Parameter*</w:t>
            </w:r>
          </w:p>
        </w:tc>
        <w:tc>
          <w:tcPr>
            <w:tcW w:w="334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B495C90" w14:textId="13130FEA" w:rsidR="00D60ECA" w:rsidRPr="00D30977" w:rsidRDefault="001A10EC" w:rsidP="00583A23">
            <w:pPr>
              <w:rPr>
                <w:color w:val="auto"/>
                <w:szCs w:val="22"/>
              </w:rPr>
            </w:pPr>
            <w:r w:rsidRPr="00D30977">
              <w:rPr>
                <w:rFonts w:cstheme="minorBidi"/>
                <w:color w:val="auto"/>
                <w:szCs w:val="22"/>
              </w:rPr>
              <w:t>Lynparza</w:t>
            </w:r>
            <w:r w:rsidR="00D60ECA" w:rsidRPr="00D30977">
              <w:rPr>
                <w:rFonts w:cstheme="minorBidi"/>
                <w:color w:val="auto"/>
                <w:spacing w:val="-14"/>
                <w:szCs w:val="22"/>
              </w:rPr>
              <w:t xml:space="preserve"> </w:t>
            </w:r>
            <w:r w:rsidR="00D60ECA" w:rsidRPr="00D30977">
              <w:rPr>
                <w:rFonts w:cstheme="minorBidi"/>
                <w:color w:val="auto"/>
                <w:szCs w:val="22"/>
              </w:rPr>
              <w:t>tablets n</w:t>
            </w:r>
            <w:r w:rsidR="00D60ECA" w:rsidRPr="00D30977">
              <w:rPr>
                <w:rFonts w:cstheme="minorBidi"/>
                <w:color w:val="auto"/>
                <w:position w:val="6"/>
                <w:szCs w:val="22"/>
              </w:rPr>
              <w:t>†</w:t>
            </w:r>
            <w:r w:rsidR="00D60ECA" w:rsidRPr="00D30977">
              <w:rPr>
                <w:rFonts w:cstheme="minorBidi"/>
                <w:color w:val="auto"/>
                <w:szCs w:val="22"/>
              </w:rPr>
              <w:t>= 911</w:t>
            </w:r>
          </w:p>
        </w:tc>
        <w:tc>
          <w:tcPr>
            <w:tcW w:w="363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870EA7D" w14:textId="77777777" w:rsidR="00D60ECA" w:rsidRPr="00D30977" w:rsidRDefault="00D60ECA" w:rsidP="00583A23">
            <w:pPr>
              <w:rPr>
                <w:color w:val="auto"/>
                <w:szCs w:val="22"/>
              </w:rPr>
            </w:pPr>
            <w:r w:rsidRPr="00D30977">
              <w:rPr>
                <w:rFonts w:cstheme="minorBidi"/>
                <w:color w:val="auto"/>
                <w:spacing w:val="-2"/>
                <w:szCs w:val="22"/>
              </w:rPr>
              <w:t>Placebo n</w:t>
            </w:r>
            <w:r w:rsidRPr="00D30977">
              <w:rPr>
                <w:rFonts w:cstheme="minorBidi"/>
                <w:color w:val="auto"/>
                <w:spacing w:val="-2"/>
                <w:position w:val="6"/>
                <w:szCs w:val="22"/>
              </w:rPr>
              <w:t>†</w:t>
            </w:r>
            <w:r w:rsidRPr="00D30977">
              <w:rPr>
                <w:rFonts w:cstheme="minorBidi"/>
                <w:color w:val="auto"/>
                <w:spacing w:val="-2"/>
                <w:szCs w:val="22"/>
              </w:rPr>
              <w:t>=904</w:t>
            </w:r>
          </w:p>
        </w:tc>
      </w:tr>
      <w:tr w:rsidR="00583A23" w:rsidRPr="00D30977" w14:paraId="4BC43479" w14:textId="77777777" w:rsidTr="00583A23">
        <w:trPr>
          <w:trHeight w:val="506"/>
        </w:trPr>
        <w:tc>
          <w:tcPr>
            <w:tcW w:w="2364" w:type="dxa"/>
            <w:vMerge/>
          </w:tcPr>
          <w:p w14:paraId="574598DF" w14:textId="77777777" w:rsidR="00D60ECA" w:rsidRPr="00D30977" w:rsidRDefault="00D60ECA" w:rsidP="00583A23">
            <w:pPr>
              <w:rPr>
                <w:color w:val="auto"/>
                <w:szCs w:val="22"/>
              </w:rPr>
            </w:pPr>
          </w:p>
        </w:tc>
        <w:tc>
          <w:tcPr>
            <w:tcW w:w="1754" w:type="dxa"/>
          </w:tcPr>
          <w:p w14:paraId="24068BD7" w14:textId="77777777" w:rsidR="00D60ECA" w:rsidRPr="00D30977" w:rsidRDefault="00D60ECA" w:rsidP="00583A23">
            <w:pPr>
              <w:rPr>
                <w:b/>
                <w:color w:val="auto"/>
                <w:szCs w:val="22"/>
              </w:rPr>
            </w:pPr>
            <w:r w:rsidRPr="00D30977">
              <w:rPr>
                <w:rFonts w:cstheme="minorBidi"/>
                <w:b/>
                <w:color w:val="auto"/>
                <w:szCs w:val="22"/>
              </w:rPr>
              <w:t>Grades</w:t>
            </w:r>
            <w:r w:rsidRPr="00D30977">
              <w:rPr>
                <w:rFonts w:cstheme="minorBidi"/>
                <w:b/>
                <w:color w:val="auto"/>
                <w:spacing w:val="-14"/>
                <w:szCs w:val="22"/>
              </w:rPr>
              <w:t xml:space="preserve"> </w:t>
            </w:r>
            <w:r w:rsidRPr="00D30977">
              <w:rPr>
                <w:rFonts w:cstheme="minorBidi"/>
                <w:b/>
                <w:color w:val="auto"/>
                <w:szCs w:val="22"/>
              </w:rPr>
              <w:t xml:space="preserve">1-4 </w:t>
            </w:r>
            <w:r w:rsidRPr="00D30977">
              <w:rPr>
                <w:rFonts w:cstheme="minorBidi"/>
                <w:b/>
                <w:color w:val="auto"/>
                <w:spacing w:val="-4"/>
                <w:szCs w:val="22"/>
              </w:rPr>
              <w:t>(%)</w:t>
            </w:r>
          </w:p>
        </w:tc>
        <w:tc>
          <w:tcPr>
            <w:tcW w:w="1593" w:type="dxa"/>
          </w:tcPr>
          <w:p w14:paraId="2A2F6F01" w14:textId="77777777" w:rsidR="00D60ECA" w:rsidRPr="00D30977" w:rsidRDefault="00D60ECA" w:rsidP="00583A23">
            <w:pPr>
              <w:rPr>
                <w:b/>
                <w:color w:val="auto"/>
                <w:szCs w:val="22"/>
              </w:rPr>
            </w:pPr>
            <w:r w:rsidRPr="00D30977">
              <w:rPr>
                <w:rFonts w:cstheme="minorBidi"/>
                <w:b/>
                <w:color w:val="auto"/>
                <w:szCs w:val="22"/>
              </w:rPr>
              <w:t>Grades</w:t>
            </w:r>
            <w:r w:rsidRPr="00D30977">
              <w:rPr>
                <w:rFonts w:cstheme="minorBidi"/>
                <w:b/>
                <w:color w:val="auto"/>
                <w:spacing w:val="-14"/>
                <w:szCs w:val="22"/>
              </w:rPr>
              <w:t xml:space="preserve"> </w:t>
            </w:r>
            <w:r w:rsidRPr="00D30977">
              <w:rPr>
                <w:rFonts w:cstheme="minorBidi"/>
                <w:b/>
                <w:color w:val="auto"/>
                <w:szCs w:val="22"/>
              </w:rPr>
              <w:t xml:space="preserve">3-4 </w:t>
            </w:r>
            <w:r w:rsidRPr="00D30977">
              <w:rPr>
                <w:rFonts w:cstheme="minorBidi"/>
                <w:b/>
                <w:color w:val="auto"/>
                <w:spacing w:val="-4"/>
                <w:szCs w:val="22"/>
              </w:rPr>
              <w:t>(%)</w:t>
            </w:r>
          </w:p>
        </w:tc>
        <w:tc>
          <w:tcPr>
            <w:tcW w:w="1900" w:type="dxa"/>
          </w:tcPr>
          <w:p w14:paraId="78C2402B" w14:textId="77777777" w:rsidR="00D60ECA" w:rsidRPr="00D30977" w:rsidRDefault="00D60ECA" w:rsidP="00583A23">
            <w:pPr>
              <w:rPr>
                <w:b/>
                <w:color w:val="auto"/>
                <w:szCs w:val="22"/>
              </w:rPr>
            </w:pPr>
            <w:r w:rsidRPr="00D30977">
              <w:rPr>
                <w:rFonts w:cstheme="minorBidi"/>
                <w:b/>
                <w:color w:val="auto"/>
                <w:szCs w:val="22"/>
              </w:rPr>
              <w:t>Grades</w:t>
            </w:r>
            <w:r w:rsidRPr="00D30977">
              <w:rPr>
                <w:rFonts w:cstheme="minorBidi"/>
                <w:b/>
                <w:color w:val="auto"/>
                <w:spacing w:val="-14"/>
                <w:szCs w:val="22"/>
              </w:rPr>
              <w:t xml:space="preserve"> </w:t>
            </w:r>
            <w:r w:rsidRPr="00D30977">
              <w:rPr>
                <w:rFonts w:cstheme="minorBidi"/>
                <w:b/>
                <w:color w:val="auto"/>
                <w:szCs w:val="22"/>
              </w:rPr>
              <w:t xml:space="preserve">1-4 </w:t>
            </w:r>
            <w:r w:rsidRPr="00D30977">
              <w:rPr>
                <w:rFonts w:cstheme="minorBidi"/>
                <w:b/>
                <w:color w:val="auto"/>
                <w:spacing w:val="-4"/>
                <w:szCs w:val="22"/>
              </w:rPr>
              <w:t>(%)</w:t>
            </w:r>
          </w:p>
        </w:tc>
        <w:tc>
          <w:tcPr>
            <w:tcW w:w="1737" w:type="dxa"/>
          </w:tcPr>
          <w:p w14:paraId="4F24A469" w14:textId="77777777" w:rsidR="00D60ECA" w:rsidRPr="00D30977" w:rsidRDefault="00D60ECA" w:rsidP="00583A23">
            <w:pPr>
              <w:rPr>
                <w:b/>
                <w:color w:val="auto"/>
                <w:szCs w:val="22"/>
              </w:rPr>
            </w:pPr>
            <w:r w:rsidRPr="00D30977">
              <w:rPr>
                <w:rFonts w:cstheme="minorBidi"/>
                <w:b/>
                <w:color w:val="auto"/>
                <w:szCs w:val="22"/>
              </w:rPr>
              <w:t>Grades</w:t>
            </w:r>
            <w:r w:rsidRPr="00D30977">
              <w:rPr>
                <w:rFonts w:cstheme="minorBidi"/>
                <w:b/>
                <w:color w:val="auto"/>
                <w:spacing w:val="-14"/>
                <w:szCs w:val="22"/>
              </w:rPr>
              <w:t xml:space="preserve"> </w:t>
            </w:r>
            <w:r w:rsidRPr="00D30977">
              <w:rPr>
                <w:rFonts w:cstheme="minorBidi"/>
                <w:b/>
                <w:color w:val="auto"/>
                <w:szCs w:val="22"/>
              </w:rPr>
              <w:t xml:space="preserve">3-4 </w:t>
            </w:r>
            <w:r w:rsidRPr="00D30977">
              <w:rPr>
                <w:rFonts w:cstheme="minorBidi"/>
                <w:b/>
                <w:color w:val="auto"/>
                <w:spacing w:val="-4"/>
                <w:szCs w:val="22"/>
              </w:rPr>
              <w:t>(%)</w:t>
            </w:r>
          </w:p>
        </w:tc>
      </w:tr>
      <w:tr w:rsidR="00583A23" w:rsidRPr="00D30977" w14:paraId="635CF77A" w14:textId="77777777" w:rsidTr="00583A23">
        <w:trPr>
          <w:trHeight w:val="505"/>
        </w:trPr>
        <w:tc>
          <w:tcPr>
            <w:tcW w:w="2364" w:type="dxa"/>
          </w:tcPr>
          <w:p w14:paraId="411DE81D" w14:textId="77777777" w:rsidR="00D60ECA" w:rsidRPr="00D30977" w:rsidRDefault="00D60ECA" w:rsidP="00583A23">
            <w:pPr>
              <w:rPr>
                <w:color w:val="auto"/>
                <w:szCs w:val="22"/>
              </w:rPr>
            </w:pPr>
            <w:r w:rsidRPr="00D30977">
              <w:rPr>
                <w:rFonts w:cstheme="minorBidi"/>
                <w:color w:val="auto"/>
                <w:szCs w:val="22"/>
              </w:rPr>
              <w:t xml:space="preserve">Decrease in </w:t>
            </w:r>
            <w:r w:rsidRPr="00D30977">
              <w:rPr>
                <w:rFonts w:cstheme="minorBidi"/>
                <w:color w:val="auto"/>
                <w:spacing w:val="-2"/>
                <w:szCs w:val="22"/>
              </w:rPr>
              <w:t>lymphocytes</w:t>
            </w:r>
          </w:p>
        </w:tc>
        <w:tc>
          <w:tcPr>
            <w:tcW w:w="1754" w:type="dxa"/>
          </w:tcPr>
          <w:p w14:paraId="335E786D" w14:textId="77777777" w:rsidR="00D60ECA" w:rsidRPr="00D30977" w:rsidRDefault="00D60ECA" w:rsidP="00583A23">
            <w:pPr>
              <w:rPr>
                <w:color w:val="auto"/>
                <w:szCs w:val="22"/>
              </w:rPr>
            </w:pPr>
            <w:r w:rsidRPr="00D30977">
              <w:rPr>
                <w:rFonts w:cstheme="minorBidi"/>
                <w:color w:val="auto"/>
                <w:spacing w:val="-5"/>
                <w:szCs w:val="22"/>
              </w:rPr>
              <w:t>77</w:t>
            </w:r>
          </w:p>
        </w:tc>
        <w:tc>
          <w:tcPr>
            <w:tcW w:w="1593" w:type="dxa"/>
          </w:tcPr>
          <w:p w14:paraId="4A3EC9E9" w14:textId="77777777" w:rsidR="00D60ECA" w:rsidRPr="00D30977" w:rsidRDefault="00D60ECA" w:rsidP="00583A23">
            <w:pPr>
              <w:rPr>
                <w:color w:val="auto"/>
                <w:szCs w:val="22"/>
              </w:rPr>
            </w:pPr>
            <w:r w:rsidRPr="00D30977">
              <w:rPr>
                <w:rFonts w:cstheme="minorBidi"/>
                <w:color w:val="auto"/>
                <w:spacing w:val="-5"/>
                <w:szCs w:val="22"/>
              </w:rPr>
              <w:t>13</w:t>
            </w:r>
          </w:p>
        </w:tc>
        <w:tc>
          <w:tcPr>
            <w:tcW w:w="1900" w:type="dxa"/>
          </w:tcPr>
          <w:p w14:paraId="65D4C117" w14:textId="77777777" w:rsidR="00D60ECA" w:rsidRPr="00D30977" w:rsidRDefault="00D60ECA" w:rsidP="00583A23">
            <w:pPr>
              <w:rPr>
                <w:color w:val="auto"/>
                <w:szCs w:val="22"/>
              </w:rPr>
            </w:pPr>
            <w:r w:rsidRPr="00D30977">
              <w:rPr>
                <w:rFonts w:cstheme="minorBidi"/>
                <w:color w:val="auto"/>
                <w:spacing w:val="-5"/>
                <w:szCs w:val="22"/>
              </w:rPr>
              <w:t>59</w:t>
            </w:r>
          </w:p>
        </w:tc>
        <w:tc>
          <w:tcPr>
            <w:tcW w:w="1737" w:type="dxa"/>
          </w:tcPr>
          <w:p w14:paraId="2E007A34" w14:textId="77777777" w:rsidR="00D60ECA" w:rsidRPr="00D30977" w:rsidRDefault="00D60ECA" w:rsidP="00583A23">
            <w:pPr>
              <w:rPr>
                <w:color w:val="auto"/>
                <w:szCs w:val="22"/>
              </w:rPr>
            </w:pPr>
            <w:r w:rsidRPr="00D30977">
              <w:rPr>
                <w:rFonts w:cstheme="minorBidi"/>
                <w:color w:val="auto"/>
                <w:spacing w:val="-5"/>
                <w:szCs w:val="22"/>
              </w:rPr>
              <w:t>3.7</w:t>
            </w:r>
          </w:p>
        </w:tc>
      </w:tr>
      <w:tr w:rsidR="00583A23" w:rsidRPr="00D30977" w14:paraId="098E1046" w14:textId="77777777" w:rsidTr="00583A23">
        <w:trPr>
          <w:trHeight w:val="251"/>
        </w:trPr>
        <w:tc>
          <w:tcPr>
            <w:tcW w:w="2364" w:type="dxa"/>
          </w:tcPr>
          <w:p w14:paraId="008EF451" w14:textId="1B980382" w:rsidR="00D60ECA" w:rsidRPr="00D30977" w:rsidRDefault="00D60ECA" w:rsidP="00583A23">
            <w:pPr>
              <w:rPr>
                <w:color w:val="auto"/>
                <w:szCs w:val="22"/>
              </w:rPr>
            </w:pPr>
            <w:r w:rsidRPr="00D30977">
              <w:rPr>
                <w:rFonts w:cstheme="minorBidi"/>
                <w:color w:val="auto"/>
                <w:szCs w:val="22"/>
              </w:rPr>
              <w:t>Decrease</w:t>
            </w:r>
            <w:r w:rsidRPr="00D30977">
              <w:rPr>
                <w:rFonts w:cstheme="minorBidi"/>
                <w:color w:val="auto"/>
                <w:spacing w:val="-4"/>
                <w:szCs w:val="22"/>
              </w:rPr>
              <w:t xml:space="preserve"> </w:t>
            </w:r>
            <w:r w:rsidRPr="00D30977">
              <w:rPr>
                <w:rFonts w:cstheme="minorBidi"/>
                <w:color w:val="auto"/>
                <w:szCs w:val="22"/>
              </w:rPr>
              <w:t>in</w:t>
            </w:r>
            <w:r w:rsidRPr="00D30977">
              <w:rPr>
                <w:rFonts w:cstheme="minorBidi"/>
                <w:color w:val="auto"/>
                <w:spacing w:val="-2"/>
                <w:szCs w:val="22"/>
              </w:rPr>
              <w:t xml:space="preserve"> </w:t>
            </w:r>
            <w:r w:rsidR="00FD24E8" w:rsidRPr="00D30977">
              <w:rPr>
                <w:rFonts w:cstheme="minorBidi"/>
                <w:color w:val="auto"/>
                <w:spacing w:val="-2"/>
                <w:szCs w:val="22"/>
              </w:rPr>
              <w:t>haemoglobin</w:t>
            </w:r>
          </w:p>
        </w:tc>
        <w:tc>
          <w:tcPr>
            <w:tcW w:w="1754" w:type="dxa"/>
          </w:tcPr>
          <w:p w14:paraId="073F779C" w14:textId="77777777" w:rsidR="00D60ECA" w:rsidRPr="00D30977" w:rsidRDefault="00D60ECA" w:rsidP="00583A23">
            <w:pPr>
              <w:rPr>
                <w:color w:val="auto"/>
                <w:szCs w:val="22"/>
              </w:rPr>
            </w:pPr>
            <w:r w:rsidRPr="00D30977">
              <w:rPr>
                <w:rFonts w:cstheme="minorBidi"/>
                <w:color w:val="auto"/>
                <w:spacing w:val="-5"/>
                <w:szCs w:val="22"/>
              </w:rPr>
              <w:t>65</w:t>
            </w:r>
          </w:p>
        </w:tc>
        <w:tc>
          <w:tcPr>
            <w:tcW w:w="1593" w:type="dxa"/>
          </w:tcPr>
          <w:p w14:paraId="28DC4748" w14:textId="77777777" w:rsidR="00D60ECA" w:rsidRPr="00D30977" w:rsidRDefault="00D60ECA" w:rsidP="00583A23">
            <w:pPr>
              <w:rPr>
                <w:color w:val="auto"/>
                <w:szCs w:val="22"/>
              </w:rPr>
            </w:pPr>
            <w:r w:rsidRPr="00D30977">
              <w:rPr>
                <w:rFonts w:cstheme="minorBidi"/>
                <w:color w:val="auto"/>
                <w:szCs w:val="22"/>
              </w:rPr>
              <w:t>8</w:t>
            </w:r>
          </w:p>
        </w:tc>
        <w:tc>
          <w:tcPr>
            <w:tcW w:w="1900" w:type="dxa"/>
          </w:tcPr>
          <w:p w14:paraId="25A76F8F" w14:textId="77777777" w:rsidR="00D60ECA" w:rsidRPr="00D30977" w:rsidRDefault="00D60ECA" w:rsidP="00583A23">
            <w:pPr>
              <w:rPr>
                <w:color w:val="auto"/>
                <w:szCs w:val="22"/>
              </w:rPr>
            </w:pPr>
            <w:r w:rsidRPr="00D30977">
              <w:rPr>
                <w:rFonts w:cstheme="minorBidi"/>
                <w:color w:val="auto"/>
                <w:spacing w:val="-5"/>
                <w:szCs w:val="22"/>
              </w:rPr>
              <w:t>31</w:t>
            </w:r>
          </w:p>
        </w:tc>
        <w:tc>
          <w:tcPr>
            <w:tcW w:w="1737" w:type="dxa"/>
          </w:tcPr>
          <w:p w14:paraId="236F8D57" w14:textId="77777777" w:rsidR="00D60ECA" w:rsidRPr="00D30977" w:rsidRDefault="00D60ECA" w:rsidP="00583A23">
            <w:pPr>
              <w:rPr>
                <w:color w:val="auto"/>
                <w:szCs w:val="22"/>
              </w:rPr>
            </w:pPr>
            <w:r w:rsidRPr="00D30977">
              <w:rPr>
                <w:rFonts w:cstheme="minorBidi"/>
                <w:color w:val="auto"/>
                <w:spacing w:val="-5"/>
                <w:szCs w:val="22"/>
              </w:rPr>
              <w:t>0.9</w:t>
            </w:r>
          </w:p>
        </w:tc>
      </w:tr>
      <w:tr w:rsidR="00583A23" w:rsidRPr="00D30977" w14:paraId="1062C617" w14:textId="77777777" w:rsidTr="00583A23">
        <w:trPr>
          <w:trHeight w:val="253"/>
        </w:trPr>
        <w:tc>
          <w:tcPr>
            <w:tcW w:w="2364" w:type="dxa"/>
          </w:tcPr>
          <w:p w14:paraId="2A12F81A" w14:textId="77777777" w:rsidR="00D60ECA" w:rsidRPr="00D30977" w:rsidRDefault="00D60ECA" w:rsidP="00583A23">
            <w:pPr>
              <w:rPr>
                <w:color w:val="auto"/>
                <w:szCs w:val="22"/>
              </w:rPr>
            </w:pPr>
            <w:r w:rsidRPr="00D30977">
              <w:rPr>
                <w:rFonts w:cstheme="minorBidi"/>
                <w:color w:val="auto"/>
                <w:szCs w:val="22"/>
              </w:rPr>
              <w:t>Decrease</w:t>
            </w:r>
            <w:r w:rsidRPr="00D30977">
              <w:rPr>
                <w:rFonts w:cstheme="minorBidi"/>
                <w:color w:val="auto"/>
                <w:spacing w:val="-5"/>
                <w:szCs w:val="22"/>
              </w:rPr>
              <w:t xml:space="preserve"> </w:t>
            </w:r>
            <w:r w:rsidRPr="00D30977">
              <w:rPr>
                <w:rFonts w:cstheme="minorBidi"/>
                <w:color w:val="auto"/>
                <w:szCs w:val="22"/>
              </w:rPr>
              <w:t>in</w:t>
            </w:r>
            <w:r w:rsidRPr="00D30977">
              <w:rPr>
                <w:rFonts w:cstheme="minorBidi"/>
                <w:color w:val="auto"/>
                <w:spacing w:val="-4"/>
                <w:szCs w:val="22"/>
              </w:rPr>
              <w:t xml:space="preserve"> </w:t>
            </w:r>
            <w:r w:rsidRPr="00D30977">
              <w:rPr>
                <w:rFonts w:cstheme="minorBidi"/>
                <w:color w:val="auto"/>
                <w:spacing w:val="-2"/>
                <w:szCs w:val="22"/>
              </w:rPr>
              <w:t>leukocytes</w:t>
            </w:r>
          </w:p>
        </w:tc>
        <w:tc>
          <w:tcPr>
            <w:tcW w:w="1754" w:type="dxa"/>
          </w:tcPr>
          <w:p w14:paraId="34C4D526" w14:textId="77777777" w:rsidR="00D60ECA" w:rsidRPr="00D30977" w:rsidRDefault="00D60ECA" w:rsidP="00583A23">
            <w:pPr>
              <w:rPr>
                <w:color w:val="auto"/>
                <w:szCs w:val="22"/>
              </w:rPr>
            </w:pPr>
            <w:r w:rsidRPr="00D30977">
              <w:rPr>
                <w:rFonts w:cstheme="minorBidi"/>
                <w:color w:val="auto"/>
                <w:spacing w:val="-5"/>
                <w:szCs w:val="22"/>
              </w:rPr>
              <w:t>64</w:t>
            </w:r>
          </w:p>
        </w:tc>
        <w:tc>
          <w:tcPr>
            <w:tcW w:w="1593" w:type="dxa"/>
          </w:tcPr>
          <w:p w14:paraId="7E31F0E0" w14:textId="77777777" w:rsidR="00D60ECA" w:rsidRPr="00D30977" w:rsidRDefault="00D60ECA" w:rsidP="00583A23">
            <w:pPr>
              <w:rPr>
                <w:color w:val="auto"/>
                <w:szCs w:val="22"/>
              </w:rPr>
            </w:pPr>
            <w:r w:rsidRPr="00D30977">
              <w:rPr>
                <w:rFonts w:cstheme="minorBidi"/>
                <w:color w:val="auto"/>
                <w:szCs w:val="22"/>
              </w:rPr>
              <w:t>5</w:t>
            </w:r>
          </w:p>
        </w:tc>
        <w:tc>
          <w:tcPr>
            <w:tcW w:w="1900" w:type="dxa"/>
          </w:tcPr>
          <w:p w14:paraId="5CF2B04E" w14:textId="77777777" w:rsidR="00D60ECA" w:rsidRPr="00D30977" w:rsidRDefault="00D60ECA" w:rsidP="00583A23">
            <w:pPr>
              <w:rPr>
                <w:color w:val="auto"/>
                <w:szCs w:val="22"/>
              </w:rPr>
            </w:pPr>
            <w:r w:rsidRPr="00D30977">
              <w:rPr>
                <w:rFonts w:cstheme="minorBidi"/>
                <w:color w:val="auto"/>
                <w:spacing w:val="-5"/>
                <w:szCs w:val="22"/>
              </w:rPr>
              <w:t>42</w:t>
            </w:r>
          </w:p>
        </w:tc>
        <w:tc>
          <w:tcPr>
            <w:tcW w:w="1737" w:type="dxa"/>
          </w:tcPr>
          <w:p w14:paraId="65628A5C" w14:textId="77777777" w:rsidR="00D60ECA" w:rsidRPr="00D30977" w:rsidRDefault="00D60ECA" w:rsidP="00583A23">
            <w:pPr>
              <w:rPr>
                <w:color w:val="auto"/>
                <w:szCs w:val="22"/>
              </w:rPr>
            </w:pPr>
            <w:r w:rsidRPr="00D30977">
              <w:rPr>
                <w:rFonts w:cstheme="minorBidi"/>
                <w:color w:val="auto"/>
                <w:spacing w:val="-5"/>
                <w:szCs w:val="22"/>
              </w:rPr>
              <w:t>0.7</w:t>
            </w:r>
          </w:p>
        </w:tc>
      </w:tr>
      <w:tr w:rsidR="00583A23" w:rsidRPr="00D30977" w14:paraId="2F71FD7D" w14:textId="77777777" w:rsidTr="00583A23">
        <w:trPr>
          <w:trHeight w:val="506"/>
        </w:trPr>
        <w:tc>
          <w:tcPr>
            <w:tcW w:w="2364" w:type="dxa"/>
          </w:tcPr>
          <w:p w14:paraId="38560B97" w14:textId="77777777" w:rsidR="00D60ECA" w:rsidRPr="00D30977" w:rsidRDefault="00D60ECA" w:rsidP="00583A23">
            <w:pPr>
              <w:rPr>
                <w:color w:val="auto"/>
                <w:szCs w:val="22"/>
              </w:rPr>
            </w:pPr>
            <w:r w:rsidRPr="00D30977">
              <w:rPr>
                <w:rFonts w:cstheme="minorBidi"/>
                <w:color w:val="auto"/>
                <w:szCs w:val="22"/>
              </w:rPr>
              <w:t>Increase in mean corpuscular</w:t>
            </w:r>
            <w:r w:rsidRPr="00D30977">
              <w:rPr>
                <w:rFonts w:cstheme="minorBidi"/>
                <w:color w:val="auto"/>
                <w:spacing w:val="-14"/>
                <w:szCs w:val="22"/>
              </w:rPr>
              <w:t xml:space="preserve"> </w:t>
            </w:r>
            <w:r w:rsidRPr="00D30977">
              <w:rPr>
                <w:rFonts w:cstheme="minorBidi"/>
                <w:color w:val="auto"/>
                <w:szCs w:val="22"/>
              </w:rPr>
              <w:t>volume</w:t>
            </w:r>
            <w:r w:rsidRPr="00D30977">
              <w:rPr>
                <w:rFonts w:cstheme="minorBidi"/>
                <w:color w:val="auto"/>
                <w:szCs w:val="22"/>
                <w:vertAlign w:val="superscript"/>
              </w:rPr>
              <w:t>‡</w:t>
            </w:r>
          </w:p>
        </w:tc>
        <w:tc>
          <w:tcPr>
            <w:tcW w:w="1754" w:type="dxa"/>
          </w:tcPr>
          <w:p w14:paraId="58077247" w14:textId="77777777" w:rsidR="00D60ECA" w:rsidRPr="00D30977" w:rsidRDefault="00D60ECA" w:rsidP="00583A23">
            <w:pPr>
              <w:rPr>
                <w:color w:val="auto"/>
                <w:szCs w:val="22"/>
              </w:rPr>
            </w:pPr>
            <w:r w:rsidRPr="00D30977">
              <w:rPr>
                <w:rFonts w:cstheme="minorBidi"/>
                <w:color w:val="auto"/>
                <w:spacing w:val="-5"/>
                <w:szCs w:val="22"/>
              </w:rPr>
              <w:t>67</w:t>
            </w:r>
          </w:p>
        </w:tc>
        <w:tc>
          <w:tcPr>
            <w:tcW w:w="1593" w:type="dxa"/>
          </w:tcPr>
          <w:p w14:paraId="30B7E024" w14:textId="77777777" w:rsidR="00D60ECA" w:rsidRPr="00D30977" w:rsidRDefault="00D60ECA" w:rsidP="00583A23">
            <w:pPr>
              <w:rPr>
                <w:color w:val="auto"/>
                <w:szCs w:val="22"/>
              </w:rPr>
            </w:pPr>
            <w:r w:rsidRPr="00D30977">
              <w:rPr>
                <w:rFonts w:cstheme="minorBidi"/>
                <w:color w:val="auto"/>
                <w:szCs w:val="22"/>
              </w:rPr>
              <w:t>0</w:t>
            </w:r>
          </w:p>
        </w:tc>
        <w:tc>
          <w:tcPr>
            <w:tcW w:w="1900" w:type="dxa"/>
          </w:tcPr>
          <w:p w14:paraId="191E9075" w14:textId="77777777" w:rsidR="00D60ECA" w:rsidRPr="00D30977" w:rsidRDefault="00D60ECA" w:rsidP="00583A23">
            <w:pPr>
              <w:rPr>
                <w:color w:val="auto"/>
                <w:szCs w:val="22"/>
              </w:rPr>
            </w:pPr>
            <w:r w:rsidRPr="00D30977">
              <w:rPr>
                <w:rFonts w:cstheme="minorBidi"/>
                <w:color w:val="auto"/>
                <w:spacing w:val="-5"/>
                <w:szCs w:val="22"/>
              </w:rPr>
              <w:t>4.8</w:t>
            </w:r>
          </w:p>
        </w:tc>
        <w:tc>
          <w:tcPr>
            <w:tcW w:w="1737" w:type="dxa"/>
          </w:tcPr>
          <w:p w14:paraId="4498A801" w14:textId="77777777" w:rsidR="00D60ECA" w:rsidRPr="00D30977" w:rsidRDefault="00D60ECA" w:rsidP="00583A23">
            <w:pPr>
              <w:rPr>
                <w:color w:val="auto"/>
                <w:szCs w:val="22"/>
              </w:rPr>
            </w:pPr>
            <w:r w:rsidRPr="00D30977">
              <w:rPr>
                <w:rFonts w:cstheme="minorBidi"/>
                <w:color w:val="auto"/>
                <w:szCs w:val="22"/>
              </w:rPr>
              <w:t>0</w:t>
            </w:r>
          </w:p>
        </w:tc>
      </w:tr>
      <w:tr w:rsidR="00583A23" w:rsidRPr="00D30977" w14:paraId="670CBF3C" w14:textId="77777777" w:rsidTr="00583A23">
        <w:trPr>
          <w:trHeight w:val="503"/>
        </w:trPr>
        <w:tc>
          <w:tcPr>
            <w:tcW w:w="2364" w:type="dxa"/>
          </w:tcPr>
          <w:p w14:paraId="4316770E" w14:textId="77777777" w:rsidR="00D60ECA" w:rsidRPr="00D30977" w:rsidRDefault="00D60ECA" w:rsidP="00583A23">
            <w:pPr>
              <w:rPr>
                <w:color w:val="auto"/>
                <w:szCs w:val="22"/>
              </w:rPr>
            </w:pPr>
            <w:r w:rsidRPr="00D30977">
              <w:rPr>
                <w:rFonts w:cstheme="minorBidi"/>
                <w:color w:val="auto"/>
                <w:szCs w:val="22"/>
              </w:rPr>
              <w:t>Decrease</w:t>
            </w:r>
            <w:r w:rsidRPr="00D30977">
              <w:rPr>
                <w:rFonts w:cstheme="minorBidi"/>
                <w:color w:val="auto"/>
                <w:spacing w:val="-14"/>
                <w:szCs w:val="22"/>
              </w:rPr>
              <w:t xml:space="preserve"> </w:t>
            </w:r>
            <w:r w:rsidRPr="00D30977">
              <w:rPr>
                <w:rFonts w:cstheme="minorBidi"/>
                <w:color w:val="auto"/>
                <w:szCs w:val="22"/>
              </w:rPr>
              <w:t>in</w:t>
            </w:r>
            <w:r w:rsidRPr="00D30977">
              <w:rPr>
                <w:rFonts w:cstheme="minorBidi"/>
                <w:color w:val="auto"/>
                <w:spacing w:val="-14"/>
                <w:szCs w:val="22"/>
              </w:rPr>
              <w:t xml:space="preserve"> </w:t>
            </w:r>
            <w:r w:rsidRPr="00D30977">
              <w:rPr>
                <w:rFonts w:cstheme="minorBidi"/>
                <w:color w:val="auto"/>
                <w:szCs w:val="22"/>
              </w:rPr>
              <w:t>absolute neutrophil count</w:t>
            </w:r>
          </w:p>
        </w:tc>
        <w:tc>
          <w:tcPr>
            <w:tcW w:w="1754" w:type="dxa"/>
          </w:tcPr>
          <w:p w14:paraId="4FE23B56" w14:textId="77777777" w:rsidR="00D60ECA" w:rsidRPr="00D30977" w:rsidRDefault="00D60ECA" w:rsidP="00583A23">
            <w:pPr>
              <w:rPr>
                <w:color w:val="auto"/>
                <w:szCs w:val="22"/>
              </w:rPr>
            </w:pPr>
            <w:r w:rsidRPr="00D30977">
              <w:rPr>
                <w:rFonts w:cstheme="minorBidi"/>
                <w:color w:val="auto"/>
                <w:spacing w:val="-5"/>
                <w:szCs w:val="22"/>
              </w:rPr>
              <w:t>39</w:t>
            </w:r>
          </w:p>
        </w:tc>
        <w:tc>
          <w:tcPr>
            <w:tcW w:w="1593" w:type="dxa"/>
          </w:tcPr>
          <w:p w14:paraId="350B379F" w14:textId="77777777" w:rsidR="00D60ECA" w:rsidRPr="00D30977" w:rsidRDefault="00D60ECA" w:rsidP="00583A23">
            <w:pPr>
              <w:rPr>
                <w:color w:val="auto"/>
                <w:szCs w:val="22"/>
              </w:rPr>
            </w:pPr>
            <w:r w:rsidRPr="00D30977">
              <w:rPr>
                <w:rFonts w:cstheme="minorBidi"/>
                <w:color w:val="auto"/>
                <w:szCs w:val="22"/>
              </w:rPr>
              <w:t>7</w:t>
            </w:r>
          </w:p>
        </w:tc>
        <w:tc>
          <w:tcPr>
            <w:tcW w:w="1900" w:type="dxa"/>
          </w:tcPr>
          <w:p w14:paraId="0A619F63" w14:textId="77777777" w:rsidR="00D60ECA" w:rsidRPr="00D30977" w:rsidRDefault="00D60ECA" w:rsidP="00583A23">
            <w:pPr>
              <w:rPr>
                <w:color w:val="auto"/>
                <w:szCs w:val="22"/>
              </w:rPr>
            </w:pPr>
            <w:r w:rsidRPr="00D30977">
              <w:rPr>
                <w:rFonts w:cstheme="minorBidi"/>
                <w:color w:val="auto"/>
                <w:spacing w:val="-5"/>
                <w:szCs w:val="22"/>
              </w:rPr>
              <w:t>27</w:t>
            </w:r>
          </w:p>
        </w:tc>
        <w:tc>
          <w:tcPr>
            <w:tcW w:w="1737" w:type="dxa"/>
          </w:tcPr>
          <w:p w14:paraId="5E2C5D86" w14:textId="77777777" w:rsidR="00D60ECA" w:rsidRPr="00D30977" w:rsidRDefault="00D60ECA" w:rsidP="00583A23">
            <w:pPr>
              <w:rPr>
                <w:color w:val="auto"/>
                <w:szCs w:val="22"/>
              </w:rPr>
            </w:pPr>
            <w:r w:rsidRPr="00D30977">
              <w:rPr>
                <w:rFonts w:cstheme="minorBidi"/>
                <w:color w:val="auto"/>
                <w:spacing w:val="-5"/>
                <w:szCs w:val="22"/>
              </w:rPr>
              <w:t>1.1</w:t>
            </w:r>
          </w:p>
        </w:tc>
      </w:tr>
    </w:tbl>
    <w:p w14:paraId="6F114DAA" w14:textId="77777777" w:rsidR="00D60ECA" w:rsidRPr="00583A23" w:rsidRDefault="00D60ECA" w:rsidP="00D60ECA">
      <w:pPr>
        <w:pStyle w:val="TableDescription"/>
        <w:rPr>
          <w:szCs w:val="18"/>
        </w:rPr>
      </w:pPr>
      <w:r w:rsidRPr="00583A23">
        <w:rPr>
          <w:szCs w:val="18"/>
        </w:rPr>
        <w:t>* Patients were allowed to enter clinical studies with laboratory values of CTCAE Grade 1.</w:t>
      </w:r>
    </w:p>
    <w:p w14:paraId="05DD700B" w14:textId="77777777" w:rsidR="00D60ECA" w:rsidRPr="00583A23" w:rsidRDefault="00D60ECA" w:rsidP="00D60ECA">
      <w:pPr>
        <w:pStyle w:val="TableDescription"/>
        <w:rPr>
          <w:szCs w:val="18"/>
        </w:rPr>
      </w:pPr>
      <w:r w:rsidRPr="00583A23">
        <w:rPr>
          <w:szCs w:val="18"/>
        </w:rPr>
        <w:t>† This number represents the safety population. The derived values in the table are based on the total number of evaluable patients for each laboratory parameter.</w:t>
      </w:r>
    </w:p>
    <w:p w14:paraId="1B1FFE16" w14:textId="77777777" w:rsidR="00D60ECA" w:rsidRPr="00583A23" w:rsidRDefault="00D60ECA" w:rsidP="00D60ECA">
      <w:pPr>
        <w:pStyle w:val="TableDescription"/>
        <w:rPr>
          <w:szCs w:val="18"/>
        </w:rPr>
      </w:pPr>
      <w:r w:rsidRPr="00583A23">
        <w:rPr>
          <w:szCs w:val="18"/>
        </w:rPr>
        <w:t>‡ Represents the proportion of subjects whose mean corpuscular volume was &gt; ULN.</w:t>
      </w:r>
    </w:p>
    <w:p w14:paraId="49DEDDB3" w14:textId="77777777" w:rsidR="00C14932" w:rsidRDefault="00C14932" w:rsidP="00C14932">
      <w:r>
        <w:t>Abnormal laboratory values were predominantly low grade apart from decrease in lymphocytes</w:t>
      </w:r>
      <w:r w:rsidRPr="00724B15">
        <w:t xml:space="preserve"> </w:t>
      </w:r>
      <w:r>
        <w:t xml:space="preserve">(grade 3-4 decrease occurred in 13% of the olaparib and 4% of the placebo arm) and haemoglobin (grade 3-4 decrease occurred in 8% of the olaparib and 1% of the placebo arm). </w:t>
      </w:r>
    </w:p>
    <w:p w14:paraId="05EBFEDD" w14:textId="370793AD" w:rsidR="00C14932" w:rsidRDefault="00C14932" w:rsidP="00C14932">
      <w:r>
        <w:t>No hepatobiliary or renal safety concerns were identified from review of the laboratory and adverse event (AE) data.</w:t>
      </w:r>
    </w:p>
    <w:p w14:paraId="499D07CD" w14:textId="0DF0A889" w:rsidR="00C14932" w:rsidRDefault="00C14932" w:rsidP="00C14932">
      <w:r>
        <w:t xml:space="preserve">A higher percentage of patients in the olaparib arm compared with the placebo arm reported AEs of CTCAE Grade ≥3 (24% vs 11%, respectively), AEs leading to discontinuation (10% vs 4%, respectively), AEs leading to dose interruption (31% vs 11%, respectively), and AEs leading to dose reduction (23% vs 4%, respectively). Serious AEs occurred in a similar proportion of patients in the olaparib and placebo arms (9% vs 8%, respectively). The most common serious adverse reactions in patients in the olaparib arm were nausea, fatigue and anaemia. </w:t>
      </w:r>
    </w:p>
    <w:p w14:paraId="2841210F" w14:textId="58E9D073" w:rsidR="00C14932" w:rsidRDefault="00C14932" w:rsidP="00C14932">
      <w:r>
        <w:t>The most common AE in the olaparib arm of all these categories was anaemia, except for AEs leading to discontinuation, where nausea was the most common.</w:t>
      </w:r>
    </w:p>
    <w:p w14:paraId="659E1144" w14:textId="0A574FF2" w:rsidR="00C14932" w:rsidRDefault="00C14932" w:rsidP="00C14932">
      <w:r w:rsidRPr="00724B15">
        <w:t xml:space="preserve">The </w:t>
      </w:r>
      <w:r>
        <w:t>sponsor i</w:t>
      </w:r>
      <w:r w:rsidRPr="00724B15">
        <w:t xml:space="preserve">dentified </w:t>
      </w:r>
      <w:r>
        <w:t>myelodysplastic syndrome/acute myeloid leukaemia (</w:t>
      </w:r>
      <w:r w:rsidRPr="00724B15">
        <w:t>MDS/AML</w:t>
      </w:r>
      <w:r>
        <w:t>)</w:t>
      </w:r>
      <w:r w:rsidRPr="00724B15">
        <w:t xml:space="preserve">, pneumonitis, and secondary malignancies </w:t>
      </w:r>
      <w:r>
        <w:t>as adverse events of special interest (</w:t>
      </w:r>
      <w:r w:rsidRPr="00724B15">
        <w:t>AESI</w:t>
      </w:r>
      <w:r>
        <w:t>)</w:t>
      </w:r>
      <w:r w:rsidRPr="00724B15">
        <w:t xml:space="preserve"> for OlympiA</w:t>
      </w:r>
      <w:r>
        <w:t>,</w:t>
      </w:r>
      <w:r w:rsidRPr="00724B15">
        <w:t xml:space="preserve"> based on toxicity concerns throughout the olaparib development program</w:t>
      </w:r>
      <w:r>
        <w:t xml:space="preserve">. These events were all more common in the placebo arm than the olaparib arm: </w:t>
      </w:r>
    </w:p>
    <w:p w14:paraId="7C094F37" w14:textId="77777777" w:rsidR="00C14932" w:rsidRDefault="00C14932" w:rsidP="00C14932">
      <w:pPr>
        <w:pStyle w:val="ListBullet"/>
      </w:pPr>
      <w:r>
        <w:t>There were 5 patients with events of MDS/AML (2 patients [0.2%] in the olaparib arm and 3 patients [0.3%] in the placebo arm).</w:t>
      </w:r>
    </w:p>
    <w:p w14:paraId="0C30F84E" w14:textId="77777777" w:rsidR="00C14932" w:rsidRDefault="00C14932" w:rsidP="00C14932">
      <w:pPr>
        <w:pStyle w:val="ListBullet"/>
      </w:pPr>
      <w:r>
        <w:t>There were 46 patients with events of new primary malignancies (16 patients [1.8%] in the olaparib arm and 30 patients [3.3%] in the placebo arm).</w:t>
      </w:r>
    </w:p>
    <w:p w14:paraId="4DB27D9C" w14:textId="77777777" w:rsidR="00C14932" w:rsidRDefault="00C14932" w:rsidP="00C14932">
      <w:pPr>
        <w:pStyle w:val="ListBullet"/>
      </w:pPr>
      <w:r>
        <w:t>There were 20 patients with events of pneumonitis (9 patients [1.0%] in the olaparib arm and 11 patients [1.2%] in the placebo arm).</w:t>
      </w:r>
    </w:p>
    <w:p w14:paraId="5389A921" w14:textId="77777777" w:rsidR="00C14932" w:rsidRDefault="00C14932" w:rsidP="00C14932">
      <w:r>
        <w:t xml:space="preserve">No new adverse drug reactions were identified from OlympiA. </w:t>
      </w:r>
    </w:p>
    <w:p w14:paraId="4D360989" w14:textId="77777777" w:rsidR="00C5014D" w:rsidRDefault="00C5014D" w:rsidP="000B4549">
      <w:pPr>
        <w:pStyle w:val="Heading5"/>
      </w:pPr>
      <w:r>
        <w:lastRenderedPageBreak/>
        <w:t>Deaths</w:t>
      </w:r>
    </w:p>
    <w:p w14:paraId="2D18A72C" w14:textId="2299633D" w:rsidR="00C5014D" w:rsidRDefault="00C5014D" w:rsidP="00C5014D">
      <w:r>
        <w:t>The majority of deaths in the study were attributed to breast cancer recurrence. There were 4 patients with fatal AEs (1 patient [1.7%] in the olaparib arm [cardiac arrest] and 3 patients [3.5%] in the placebo arm [acute myeloid leukaemia, leukaemia, and ovarian cancer]) during study treatment or after the 30-day follow up. These cases were:</w:t>
      </w:r>
    </w:p>
    <w:p w14:paraId="25D20F6A" w14:textId="77777777" w:rsidR="00C5014D" w:rsidRPr="00C5014D" w:rsidRDefault="00C5014D" w:rsidP="00C5014D">
      <w:pPr>
        <w:pStyle w:val="ListBullet"/>
      </w:pPr>
      <w:r w:rsidRPr="00C5014D">
        <w:t>Olaparib arm:</w:t>
      </w:r>
    </w:p>
    <w:p w14:paraId="06A6137A" w14:textId="584D4CCA" w:rsidR="00C5014D" w:rsidRPr="00C5014D" w:rsidRDefault="00C5014D" w:rsidP="00C5014D">
      <w:pPr>
        <w:pStyle w:val="ListBullet2"/>
      </w:pPr>
      <w:r w:rsidRPr="00C5014D">
        <w:t>A Caucasian female who was in the olaparib arm presented to the emergency department with dyspnoea on study day 76 and was diagnosed with influenza H1N1. On study day 79, the patient presented again to ED with severe respiratory insufficiency and cardiac arrest. She was resuscitated and admitted to the intensive care unit where she experienced another cardiac arrest which she did not survive. This adverse event was felt to not be related to study drug given underlying influenza, advanced age and underlying cardiac disease.</w:t>
      </w:r>
    </w:p>
    <w:p w14:paraId="2C45EB1D" w14:textId="77777777" w:rsidR="00C5014D" w:rsidRPr="00C5014D" w:rsidRDefault="00C5014D" w:rsidP="00C5014D">
      <w:pPr>
        <w:pStyle w:val="ListBullet"/>
      </w:pPr>
      <w:r w:rsidRPr="00C5014D">
        <w:t>Placebo arm:</w:t>
      </w:r>
    </w:p>
    <w:p w14:paraId="11598F6E" w14:textId="7E39BC6E" w:rsidR="00C5014D" w:rsidRPr="00C5014D" w:rsidRDefault="00C5014D" w:rsidP="00C5014D">
      <w:pPr>
        <w:pStyle w:val="ListBullet2"/>
      </w:pPr>
      <w:r w:rsidRPr="00C5014D">
        <w:t>A</w:t>
      </w:r>
      <w:r w:rsidR="00C757AE">
        <w:t>n</w:t>
      </w:r>
      <w:r w:rsidRPr="00C5014D">
        <w:t xml:space="preserve"> Asian female who was in the placebo arm presented on the last day of treatment (study day 369) with a platelet count of 103 with blast cells noted in the periphery. Acute myeloid leukemia (AML) was diagnosed by bone marrow biopsy and cytogenetic testing. The patient received induction chemotherapy with idarubicin and cytarabine but died due to complications of bone marrow transplantation. This patient’s AML is likely related to 5 months of neoadjuvant chemotherapy she completed around 14 months prior.</w:t>
      </w:r>
    </w:p>
    <w:p w14:paraId="33E024E9" w14:textId="07FEC7F1" w:rsidR="00C5014D" w:rsidRPr="00C5014D" w:rsidRDefault="00C5014D" w:rsidP="00C5014D">
      <w:pPr>
        <w:pStyle w:val="ListBullet2"/>
      </w:pPr>
      <w:r w:rsidRPr="00C5014D">
        <w:t>A BRCA-positive Caucasian female who was in the placebo arm presented with abdominal pain. Endoscopy a month later was normal, but CT abdomen/pelvis showed ascites and peritoneal carcinomatosis. Abdominal laparotomy with biopsy identified ovarian adenocarcinoma. Study drug was stopped on Day 142. The patient died secondary to ovarian adenocarcinoma which was felt to be related to her BRCA positivity.</w:t>
      </w:r>
    </w:p>
    <w:p w14:paraId="38F4D018" w14:textId="54492551" w:rsidR="00C5014D" w:rsidRPr="00C5014D" w:rsidRDefault="00C5014D" w:rsidP="00C5014D">
      <w:pPr>
        <w:pStyle w:val="ListBullet2"/>
      </w:pPr>
      <w:r w:rsidRPr="00C5014D">
        <w:t>A female in the placebo arm had an SAE of leukaemia 85 days after the last dose of study treatment and died 660 days after the last dose of study treatment. A patient narrative was not included as the patient died after the 30 day follow-up period.</w:t>
      </w:r>
    </w:p>
    <w:p w14:paraId="176BC5BA" w14:textId="77777777" w:rsidR="0087222F" w:rsidRDefault="0087222F" w:rsidP="00622D9A">
      <w:pPr>
        <w:pStyle w:val="Heading5"/>
      </w:pPr>
      <w:bookmarkStart w:id="90" w:name="_Ref136272704"/>
      <w:r>
        <w:t>PROpel (</w:t>
      </w:r>
      <w:r w:rsidRPr="00DD23EF">
        <w:t>D081SC00001</w:t>
      </w:r>
      <w:r>
        <w:t>)</w:t>
      </w:r>
      <w:bookmarkEnd w:id="90"/>
    </w:p>
    <w:p w14:paraId="1C8D2B77" w14:textId="599D20E3" w:rsidR="0087222F" w:rsidRPr="0075345E" w:rsidRDefault="0087222F" w:rsidP="0087222F">
      <w:r>
        <w:t xml:space="preserve">The TGA clinical evaluator’s review focussed on the </w:t>
      </w:r>
      <w:r w:rsidR="00CD546E">
        <w:t>sponsor</w:t>
      </w:r>
      <w:r>
        <w:t xml:space="preserve">’s summary of clinical safety which used a data cut-off date of </w:t>
      </w:r>
      <w:r w:rsidRPr="0075345E">
        <w:t>30 July 2021</w:t>
      </w:r>
      <w:r>
        <w:t xml:space="preserve">. The below data reflects the later cut-off (14 MAR 2022). </w:t>
      </w:r>
    </w:p>
    <w:p w14:paraId="6EC9453A" w14:textId="77777777" w:rsidR="0087222F" w:rsidRPr="0075345E" w:rsidRDefault="0087222F" w:rsidP="00583A23">
      <w:pPr>
        <w:pStyle w:val="Heading5"/>
      </w:pPr>
      <w:r w:rsidRPr="0075345E">
        <w:t>Exposure</w:t>
      </w:r>
    </w:p>
    <w:p w14:paraId="3A71A979" w14:textId="77777777" w:rsidR="0087222F" w:rsidRDefault="0087222F" w:rsidP="0087222F">
      <w:r w:rsidRPr="0075345E">
        <w:t xml:space="preserve">In PROpel, at time of DCO, the median duration of exposure to olaparib was 18.5 months and to placebo was 15.7 months. </w:t>
      </w:r>
    </w:p>
    <w:p w14:paraId="357F53E9" w14:textId="77777777" w:rsidR="0087222F" w:rsidRPr="0075345E" w:rsidRDefault="0087222F" w:rsidP="0087222F">
      <w:r w:rsidRPr="0075345E">
        <w:t xml:space="preserve">The median duration of exposure to abiraterone was 20.1 months in the olaparib-containing arm and 15.7 months in the placebo-containing arm. </w:t>
      </w:r>
    </w:p>
    <w:p w14:paraId="6F0310AF" w14:textId="77777777" w:rsidR="00B12D26" w:rsidRDefault="00B12D26">
      <w:pPr>
        <w:rPr>
          <w:rFonts w:ascii="Arial" w:eastAsia="Times New Roman" w:hAnsi="Arial" w:cs="Times New Roman"/>
          <w:b/>
          <w:bCs/>
          <w:i/>
          <w:color w:val="001871"/>
          <w:sz w:val="24"/>
          <w:szCs w:val="21"/>
        </w:rPr>
      </w:pPr>
      <w:r>
        <w:br w:type="page"/>
      </w:r>
    </w:p>
    <w:p w14:paraId="70C2DA06" w14:textId="6178B6A0" w:rsidR="0087222F" w:rsidRPr="0075345E" w:rsidRDefault="0087222F" w:rsidP="000B4549">
      <w:pPr>
        <w:pStyle w:val="Heading5"/>
      </w:pPr>
      <w:r w:rsidRPr="0075345E">
        <w:lastRenderedPageBreak/>
        <w:t>Overview of safety</w:t>
      </w:r>
    </w:p>
    <w:p w14:paraId="7E3303D9" w14:textId="07F99E05" w:rsidR="0087222F" w:rsidRPr="0075345E" w:rsidRDefault="00D66090" w:rsidP="0087222F">
      <w:r>
        <w:t>Table 12</w:t>
      </w:r>
      <w:r w:rsidR="0087222F">
        <w:t xml:space="preserve"> </w:t>
      </w:r>
      <w:r w:rsidR="0087222F" w:rsidRPr="0075345E">
        <w:t>contains a summary of safety data in PROpel.</w:t>
      </w:r>
    </w:p>
    <w:p w14:paraId="123AF6C7" w14:textId="452F73D5" w:rsidR="00482333" w:rsidRPr="00800602" w:rsidRDefault="00482333" w:rsidP="00482333">
      <w:pPr>
        <w:pStyle w:val="Caption"/>
      </w:pPr>
      <w:bookmarkStart w:id="91" w:name="_Ref131166342"/>
      <w:r w:rsidRPr="00800602">
        <w:t xml:space="preserve">Table </w:t>
      </w:r>
      <w:bookmarkEnd w:id="91"/>
      <w:r w:rsidR="00D66090">
        <w:t>12</w:t>
      </w:r>
      <w:r w:rsidRPr="00800602">
        <w:t>. Overview of safety in PROpel</w:t>
      </w:r>
    </w:p>
    <w:tbl>
      <w:tblPr>
        <w:tblStyle w:val="TableTGAblue"/>
        <w:tblW w:w="8931" w:type="dxa"/>
        <w:tblLayout w:type="fixed"/>
        <w:tblLook w:val="01E0" w:firstRow="1" w:lastRow="1" w:firstColumn="1" w:lastColumn="1" w:noHBand="0" w:noVBand="0"/>
      </w:tblPr>
      <w:tblGrid>
        <w:gridCol w:w="2977"/>
        <w:gridCol w:w="2977"/>
        <w:gridCol w:w="2977"/>
      </w:tblGrid>
      <w:tr w:rsidR="00D66090" w:rsidRPr="00B12D26" w14:paraId="5FF08DC8" w14:textId="77777777" w:rsidTr="00D66090">
        <w:trPr>
          <w:cnfStyle w:val="100000000000" w:firstRow="1" w:lastRow="0" w:firstColumn="0" w:lastColumn="0" w:oddVBand="0" w:evenVBand="0" w:oddHBand="0" w:evenHBand="0" w:firstRowFirstColumn="0" w:firstRowLastColumn="0" w:lastRowFirstColumn="0" w:lastRowLastColumn="0"/>
          <w:trHeight w:val="20"/>
        </w:trPr>
        <w:tc>
          <w:tcPr>
            <w:tcW w:w="0" w:type="dxa"/>
            <w:shd w:val="clear" w:color="auto" w:fill="auto"/>
          </w:tcPr>
          <w:p w14:paraId="7B19DAB3" w14:textId="77777777" w:rsidR="00482333" w:rsidRPr="00B12D26" w:rsidRDefault="00482333" w:rsidP="00583A23">
            <w:pPr>
              <w:rPr>
                <w:color w:val="auto"/>
                <w:szCs w:val="22"/>
              </w:rPr>
            </w:pPr>
          </w:p>
        </w:tc>
        <w:tc>
          <w:tcPr>
            <w:tcW w:w="0" w:type="dxa"/>
            <w:shd w:val="clear" w:color="auto" w:fill="auto"/>
          </w:tcPr>
          <w:p w14:paraId="29E7FDE3" w14:textId="77777777" w:rsidR="00482333" w:rsidRPr="00B12D26" w:rsidRDefault="00482333" w:rsidP="00583A23">
            <w:pPr>
              <w:rPr>
                <w:color w:val="auto"/>
                <w:szCs w:val="22"/>
              </w:rPr>
            </w:pPr>
            <w:r w:rsidRPr="00B12D26">
              <w:rPr>
                <w:color w:val="auto"/>
                <w:szCs w:val="22"/>
              </w:rPr>
              <w:t>Olaparib (N=398), %</w:t>
            </w:r>
          </w:p>
        </w:tc>
        <w:tc>
          <w:tcPr>
            <w:tcW w:w="0" w:type="dxa"/>
            <w:shd w:val="clear" w:color="auto" w:fill="auto"/>
          </w:tcPr>
          <w:p w14:paraId="4403C6DB" w14:textId="77777777" w:rsidR="00482333" w:rsidRPr="00B12D26" w:rsidRDefault="00482333" w:rsidP="00583A23">
            <w:pPr>
              <w:rPr>
                <w:color w:val="auto"/>
                <w:szCs w:val="22"/>
              </w:rPr>
            </w:pPr>
            <w:r w:rsidRPr="00B12D26">
              <w:rPr>
                <w:color w:val="auto"/>
                <w:szCs w:val="22"/>
              </w:rPr>
              <w:t>Placebo (N=396), %</w:t>
            </w:r>
          </w:p>
        </w:tc>
      </w:tr>
      <w:tr w:rsidR="00D66090" w:rsidRPr="00B12D26" w14:paraId="2DD72EDA" w14:textId="77777777" w:rsidTr="00D66090">
        <w:trPr>
          <w:trHeight w:val="20"/>
        </w:trPr>
        <w:tc>
          <w:tcPr>
            <w:tcW w:w="0" w:type="dxa"/>
          </w:tcPr>
          <w:p w14:paraId="2A7C23C6" w14:textId="77777777" w:rsidR="00482333" w:rsidRPr="00B12D26" w:rsidRDefault="00482333" w:rsidP="00583A23">
            <w:pPr>
              <w:rPr>
                <w:color w:val="auto"/>
                <w:szCs w:val="22"/>
              </w:rPr>
            </w:pPr>
            <w:r w:rsidRPr="00B12D26">
              <w:rPr>
                <w:color w:val="auto"/>
                <w:szCs w:val="22"/>
              </w:rPr>
              <w:t>All-grade TEAEs</w:t>
            </w:r>
          </w:p>
        </w:tc>
        <w:tc>
          <w:tcPr>
            <w:tcW w:w="0" w:type="dxa"/>
          </w:tcPr>
          <w:p w14:paraId="77752EE7" w14:textId="77777777" w:rsidR="00482333" w:rsidRPr="00B12D26" w:rsidRDefault="00482333" w:rsidP="00583A23">
            <w:pPr>
              <w:rPr>
                <w:color w:val="auto"/>
                <w:szCs w:val="22"/>
              </w:rPr>
            </w:pPr>
            <w:r w:rsidRPr="00B12D26">
              <w:rPr>
                <w:color w:val="auto"/>
                <w:szCs w:val="22"/>
              </w:rPr>
              <w:t>389 (98)</w:t>
            </w:r>
          </w:p>
        </w:tc>
        <w:tc>
          <w:tcPr>
            <w:tcW w:w="0" w:type="dxa"/>
          </w:tcPr>
          <w:p w14:paraId="65955B29" w14:textId="77777777" w:rsidR="00482333" w:rsidRPr="00B12D26" w:rsidRDefault="00482333" w:rsidP="00583A23">
            <w:pPr>
              <w:rPr>
                <w:color w:val="auto"/>
                <w:szCs w:val="22"/>
              </w:rPr>
            </w:pPr>
            <w:r w:rsidRPr="00B12D26">
              <w:rPr>
                <w:color w:val="auto"/>
                <w:szCs w:val="22"/>
              </w:rPr>
              <w:t>378 (95)</w:t>
            </w:r>
          </w:p>
        </w:tc>
      </w:tr>
      <w:tr w:rsidR="00D66090" w:rsidRPr="00B12D26" w14:paraId="3AA10247" w14:textId="77777777" w:rsidTr="00D66090">
        <w:trPr>
          <w:trHeight w:val="20"/>
        </w:trPr>
        <w:tc>
          <w:tcPr>
            <w:tcW w:w="0" w:type="dxa"/>
          </w:tcPr>
          <w:p w14:paraId="332D3DCF" w14:textId="77777777" w:rsidR="00482333" w:rsidRPr="00B12D26" w:rsidRDefault="00482333" w:rsidP="00583A23">
            <w:pPr>
              <w:rPr>
                <w:color w:val="auto"/>
                <w:szCs w:val="22"/>
              </w:rPr>
            </w:pPr>
            <w:r w:rsidRPr="00B12D26">
              <w:rPr>
                <w:color w:val="auto"/>
                <w:szCs w:val="22"/>
              </w:rPr>
              <w:t>Grade 3-4</w:t>
            </w:r>
          </w:p>
        </w:tc>
        <w:tc>
          <w:tcPr>
            <w:tcW w:w="0" w:type="dxa"/>
          </w:tcPr>
          <w:p w14:paraId="69A8F527" w14:textId="77777777" w:rsidR="00482333" w:rsidRPr="00B12D26" w:rsidRDefault="00482333" w:rsidP="00583A23">
            <w:pPr>
              <w:rPr>
                <w:color w:val="auto"/>
                <w:szCs w:val="22"/>
              </w:rPr>
            </w:pPr>
            <w:r w:rsidRPr="00B12D26">
              <w:rPr>
                <w:color w:val="auto"/>
                <w:szCs w:val="22"/>
              </w:rPr>
              <w:t>187 (47)</w:t>
            </w:r>
          </w:p>
        </w:tc>
        <w:tc>
          <w:tcPr>
            <w:tcW w:w="0" w:type="dxa"/>
          </w:tcPr>
          <w:p w14:paraId="11D1D9E6" w14:textId="77777777" w:rsidR="00482333" w:rsidRPr="00B12D26" w:rsidRDefault="00482333" w:rsidP="00583A23">
            <w:pPr>
              <w:rPr>
                <w:color w:val="auto"/>
                <w:szCs w:val="22"/>
              </w:rPr>
            </w:pPr>
            <w:r w:rsidRPr="00B12D26">
              <w:rPr>
                <w:color w:val="auto"/>
                <w:szCs w:val="22"/>
              </w:rPr>
              <w:t>142 (36)</w:t>
            </w:r>
          </w:p>
        </w:tc>
      </w:tr>
      <w:tr w:rsidR="00D66090" w:rsidRPr="00B12D26" w14:paraId="50A1CA4C" w14:textId="77777777" w:rsidTr="00D66090">
        <w:trPr>
          <w:trHeight w:val="20"/>
        </w:trPr>
        <w:tc>
          <w:tcPr>
            <w:tcW w:w="0" w:type="dxa"/>
          </w:tcPr>
          <w:p w14:paraId="4DE140B3" w14:textId="77777777" w:rsidR="00482333" w:rsidRPr="00B12D26" w:rsidRDefault="00482333" w:rsidP="00583A23">
            <w:pPr>
              <w:rPr>
                <w:color w:val="auto"/>
                <w:szCs w:val="22"/>
              </w:rPr>
            </w:pPr>
            <w:r w:rsidRPr="00B12D26">
              <w:rPr>
                <w:color w:val="auto"/>
                <w:szCs w:val="22"/>
              </w:rPr>
              <w:t>Grade 5</w:t>
            </w:r>
          </w:p>
        </w:tc>
        <w:tc>
          <w:tcPr>
            <w:tcW w:w="0" w:type="dxa"/>
          </w:tcPr>
          <w:p w14:paraId="557BE3E0" w14:textId="77777777" w:rsidR="00482333" w:rsidRPr="00B12D26" w:rsidRDefault="00482333" w:rsidP="00583A23">
            <w:pPr>
              <w:rPr>
                <w:color w:val="auto"/>
                <w:szCs w:val="22"/>
              </w:rPr>
            </w:pPr>
            <w:r w:rsidRPr="00B12D26">
              <w:rPr>
                <w:color w:val="auto"/>
                <w:szCs w:val="22"/>
              </w:rPr>
              <w:t>23 (6)</w:t>
            </w:r>
          </w:p>
        </w:tc>
        <w:tc>
          <w:tcPr>
            <w:tcW w:w="0" w:type="dxa"/>
          </w:tcPr>
          <w:p w14:paraId="0CE1E1D8" w14:textId="77777777" w:rsidR="00482333" w:rsidRPr="00B12D26" w:rsidRDefault="00482333" w:rsidP="00583A23">
            <w:pPr>
              <w:rPr>
                <w:color w:val="auto"/>
                <w:szCs w:val="22"/>
              </w:rPr>
            </w:pPr>
            <w:r w:rsidRPr="00B12D26">
              <w:rPr>
                <w:color w:val="auto"/>
                <w:szCs w:val="22"/>
              </w:rPr>
              <w:t>18 (5)</w:t>
            </w:r>
          </w:p>
        </w:tc>
      </w:tr>
      <w:tr w:rsidR="00D66090" w:rsidRPr="00B12D26" w14:paraId="7AFD7763" w14:textId="77777777" w:rsidTr="00D66090">
        <w:trPr>
          <w:trHeight w:val="20"/>
        </w:trPr>
        <w:tc>
          <w:tcPr>
            <w:tcW w:w="0" w:type="dxa"/>
          </w:tcPr>
          <w:p w14:paraId="69DAB39A" w14:textId="77777777" w:rsidR="00482333" w:rsidRPr="00B12D26" w:rsidRDefault="00482333" w:rsidP="00583A23">
            <w:pPr>
              <w:rPr>
                <w:color w:val="auto"/>
                <w:szCs w:val="22"/>
              </w:rPr>
            </w:pPr>
            <w:r w:rsidRPr="00B12D26">
              <w:rPr>
                <w:color w:val="auto"/>
                <w:szCs w:val="22"/>
              </w:rPr>
              <w:t>Serious AEs (SAEs)</w:t>
            </w:r>
          </w:p>
        </w:tc>
        <w:tc>
          <w:tcPr>
            <w:tcW w:w="0" w:type="dxa"/>
          </w:tcPr>
          <w:p w14:paraId="06290DAA" w14:textId="77777777" w:rsidR="00482333" w:rsidRPr="00B12D26" w:rsidRDefault="00482333" w:rsidP="00583A23">
            <w:pPr>
              <w:rPr>
                <w:color w:val="auto"/>
                <w:szCs w:val="22"/>
              </w:rPr>
            </w:pPr>
            <w:r w:rsidRPr="00B12D26">
              <w:rPr>
                <w:color w:val="auto"/>
                <w:szCs w:val="22"/>
              </w:rPr>
              <w:t>154 (39)</w:t>
            </w:r>
          </w:p>
        </w:tc>
        <w:tc>
          <w:tcPr>
            <w:tcW w:w="0" w:type="dxa"/>
          </w:tcPr>
          <w:p w14:paraId="6FFDE9C1" w14:textId="77777777" w:rsidR="00482333" w:rsidRPr="00B12D26" w:rsidRDefault="00482333" w:rsidP="00583A23">
            <w:pPr>
              <w:rPr>
                <w:color w:val="auto"/>
                <w:szCs w:val="22"/>
              </w:rPr>
            </w:pPr>
            <w:r w:rsidRPr="00B12D26">
              <w:rPr>
                <w:color w:val="auto"/>
                <w:szCs w:val="22"/>
              </w:rPr>
              <w:t>117 (30)</w:t>
            </w:r>
          </w:p>
        </w:tc>
      </w:tr>
      <w:tr w:rsidR="00D66090" w:rsidRPr="00B12D26" w14:paraId="759F2D3F" w14:textId="77777777" w:rsidTr="00D66090">
        <w:trPr>
          <w:trHeight w:val="20"/>
        </w:trPr>
        <w:tc>
          <w:tcPr>
            <w:tcW w:w="0" w:type="dxa"/>
          </w:tcPr>
          <w:p w14:paraId="68DA0EEB" w14:textId="77777777" w:rsidR="00482333" w:rsidRPr="00B12D26" w:rsidRDefault="00482333" w:rsidP="00583A23">
            <w:pPr>
              <w:rPr>
                <w:color w:val="auto"/>
                <w:szCs w:val="22"/>
              </w:rPr>
            </w:pPr>
            <w:r w:rsidRPr="00B12D26">
              <w:rPr>
                <w:color w:val="auto"/>
                <w:szCs w:val="22"/>
              </w:rPr>
              <w:t>Olaparib/placebo discontinued due to AEs</w:t>
            </w:r>
          </w:p>
        </w:tc>
        <w:tc>
          <w:tcPr>
            <w:tcW w:w="0" w:type="dxa"/>
          </w:tcPr>
          <w:p w14:paraId="107B3440" w14:textId="77777777" w:rsidR="00482333" w:rsidRPr="00B12D26" w:rsidRDefault="00482333" w:rsidP="00583A23">
            <w:pPr>
              <w:rPr>
                <w:color w:val="auto"/>
                <w:szCs w:val="22"/>
              </w:rPr>
            </w:pPr>
            <w:r w:rsidRPr="00B12D26">
              <w:rPr>
                <w:color w:val="auto"/>
                <w:szCs w:val="22"/>
              </w:rPr>
              <w:t>63 (16)</w:t>
            </w:r>
          </w:p>
        </w:tc>
        <w:tc>
          <w:tcPr>
            <w:tcW w:w="0" w:type="dxa"/>
          </w:tcPr>
          <w:p w14:paraId="61903DC9" w14:textId="77777777" w:rsidR="00482333" w:rsidRPr="00B12D26" w:rsidRDefault="00482333" w:rsidP="00583A23">
            <w:pPr>
              <w:rPr>
                <w:color w:val="auto"/>
                <w:szCs w:val="22"/>
              </w:rPr>
            </w:pPr>
            <w:r w:rsidRPr="00B12D26">
              <w:rPr>
                <w:color w:val="auto"/>
                <w:szCs w:val="22"/>
              </w:rPr>
              <w:t>32 (8)</w:t>
            </w:r>
          </w:p>
        </w:tc>
      </w:tr>
      <w:tr w:rsidR="00D66090" w:rsidRPr="00B12D26" w14:paraId="436E0B0C" w14:textId="77777777" w:rsidTr="00D66090">
        <w:trPr>
          <w:trHeight w:val="20"/>
        </w:trPr>
        <w:tc>
          <w:tcPr>
            <w:tcW w:w="0" w:type="dxa"/>
          </w:tcPr>
          <w:p w14:paraId="7697B2EF" w14:textId="77777777" w:rsidR="00482333" w:rsidRPr="00B12D26" w:rsidRDefault="00482333" w:rsidP="00583A23">
            <w:pPr>
              <w:rPr>
                <w:color w:val="auto"/>
                <w:szCs w:val="22"/>
              </w:rPr>
            </w:pPr>
            <w:r w:rsidRPr="00B12D26">
              <w:rPr>
                <w:color w:val="auto"/>
                <w:szCs w:val="22"/>
              </w:rPr>
              <w:t>Any study drug discontinued due to AEs</w:t>
            </w:r>
          </w:p>
        </w:tc>
        <w:tc>
          <w:tcPr>
            <w:tcW w:w="0" w:type="dxa"/>
          </w:tcPr>
          <w:p w14:paraId="34B86E24" w14:textId="77777777" w:rsidR="00482333" w:rsidRPr="00B12D26" w:rsidRDefault="00482333" w:rsidP="00583A23">
            <w:pPr>
              <w:rPr>
                <w:color w:val="auto"/>
                <w:szCs w:val="22"/>
              </w:rPr>
            </w:pPr>
            <w:r w:rsidRPr="00B12D26">
              <w:rPr>
                <w:color w:val="auto"/>
                <w:szCs w:val="22"/>
              </w:rPr>
              <w:t>65 (16)</w:t>
            </w:r>
          </w:p>
        </w:tc>
        <w:tc>
          <w:tcPr>
            <w:tcW w:w="0" w:type="dxa"/>
          </w:tcPr>
          <w:p w14:paraId="22662389" w14:textId="77777777" w:rsidR="00482333" w:rsidRPr="00B12D26" w:rsidRDefault="00482333" w:rsidP="00583A23">
            <w:pPr>
              <w:rPr>
                <w:color w:val="auto"/>
                <w:szCs w:val="22"/>
              </w:rPr>
            </w:pPr>
            <w:r w:rsidRPr="00B12D26">
              <w:rPr>
                <w:color w:val="auto"/>
                <w:szCs w:val="22"/>
              </w:rPr>
              <w:t>41 (10)</w:t>
            </w:r>
          </w:p>
        </w:tc>
      </w:tr>
      <w:tr w:rsidR="00D66090" w:rsidRPr="00B12D26" w14:paraId="4AE4E445" w14:textId="77777777" w:rsidTr="00D66090">
        <w:trPr>
          <w:trHeight w:val="20"/>
        </w:trPr>
        <w:tc>
          <w:tcPr>
            <w:tcW w:w="0" w:type="dxa"/>
          </w:tcPr>
          <w:p w14:paraId="6FAAA1C0" w14:textId="77777777" w:rsidR="00482333" w:rsidRPr="00B12D26" w:rsidRDefault="00482333" w:rsidP="00583A23">
            <w:pPr>
              <w:rPr>
                <w:color w:val="auto"/>
                <w:szCs w:val="22"/>
              </w:rPr>
            </w:pPr>
            <w:r w:rsidRPr="00B12D26">
              <w:rPr>
                <w:color w:val="auto"/>
                <w:szCs w:val="22"/>
              </w:rPr>
              <w:t>Olaparib/placebo dose reduced due to AEs</w:t>
            </w:r>
          </w:p>
        </w:tc>
        <w:tc>
          <w:tcPr>
            <w:tcW w:w="0" w:type="dxa"/>
          </w:tcPr>
          <w:p w14:paraId="000C2D27" w14:textId="77777777" w:rsidR="00482333" w:rsidRPr="00B12D26" w:rsidRDefault="00482333" w:rsidP="00583A23">
            <w:pPr>
              <w:rPr>
                <w:color w:val="auto"/>
                <w:szCs w:val="22"/>
              </w:rPr>
            </w:pPr>
            <w:r w:rsidRPr="00B12D26">
              <w:rPr>
                <w:color w:val="auto"/>
                <w:szCs w:val="22"/>
              </w:rPr>
              <w:t>85 (21)</w:t>
            </w:r>
          </w:p>
        </w:tc>
        <w:tc>
          <w:tcPr>
            <w:tcW w:w="0" w:type="dxa"/>
          </w:tcPr>
          <w:p w14:paraId="6E2CE1F2" w14:textId="77777777" w:rsidR="00482333" w:rsidRPr="00B12D26" w:rsidRDefault="00482333" w:rsidP="00583A23">
            <w:pPr>
              <w:rPr>
                <w:color w:val="auto"/>
                <w:szCs w:val="22"/>
              </w:rPr>
            </w:pPr>
            <w:r w:rsidRPr="00B12D26">
              <w:rPr>
                <w:color w:val="auto"/>
                <w:szCs w:val="22"/>
              </w:rPr>
              <w:t>22 (6)</w:t>
            </w:r>
          </w:p>
        </w:tc>
      </w:tr>
      <w:tr w:rsidR="00D66090" w:rsidRPr="00B12D26" w14:paraId="52730A6F" w14:textId="77777777" w:rsidTr="00D66090">
        <w:trPr>
          <w:trHeight w:val="20"/>
        </w:trPr>
        <w:tc>
          <w:tcPr>
            <w:tcW w:w="0" w:type="dxa"/>
          </w:tcPr>
          <w:p w14:paraId="4A160D26" w14:textId="77777777" w:rsidR="00482333" w:rsidRPr="00B12D26" w:rsidRDefault="00482333" w:rsidP="00583A23">
            <w:pPr>
              <w:rPr>
                <w:color w:val="auto"/>
                <w:szCs w:val="22"/>
              </w:rPr>
            </w:pPr>
            <w:r w:rsidRPr="00B12D26">
              <w:rPr>
                <w:color w:val="auto"/>
                <w:szCs w:val="22"/>
              </w:rPr>
              <w:t>Dose of any study drug discontinued due to AEs</w:t>
            </w:r>
          </w:p>
        </w:tc>
        <w:tc>
          <w:tcPr>
            <w:tcW w:w="0" w:type="dxa"/>
          </w:tcPr>
          <w:p w14:paraId="4B033BBA" w14:textId="77777777" w:rsidR="00482333" w:rsidRPr="00B12D26" w:rsidRDefault="00482333" w:rsidP="00583A23">
            <w:pPr>
              <w:rPr>
                <w:color w:val="auto"/>
                <w:szCs w:val="22"/>
              </w:rPr>
            </w:pPr>
            <w:r w:rsidRPr="00B12D26">
              <w:rPr>
                <w:color w:val="auto"/>
                <w:szCs w:val="22"/>
              </w:rPr>
              <w:t>107 (27)</w:t>
            </w:r>
          </w:p>
        </w:tc>
        <w:tc>
          <w:tcPr>
            <w:tcW w:w="0" w:type="dxa"/>
          </w:tcPr>
          <w:p w14:paraId="56172F01" w14:textId="77777777" w:rsidR="00482333" w:rsidRPr="00B12D26" w:rsidRDefault="00482333" w:rsidP="00583A23">
            <w:pPr>
              <w:rPr>
                <w:color w:val="auto"/>
                <w:szCs w:val="22"/>
              </w:rPr>
            </w:pPr>
            <w:r w:rsidRPr="00B12D26">
              <w:rPr>
                <w:color w:val="auto"/>
                <w:szCs w:val="22"/>
              </w:rPr>
              <w:t>54 (14)</w:t>
            </w:r>
          </w:p>
        </w:tc>
      </w:tr>
    </w:tbl>
    <w:p w14:paraId="226432B2" w14:textId="77777777" w:rsidR="00482333" w:rsidRPr="00800602" w:rsidRDefault="00482333" w:rsidP="00482333">
      <w:pPr>
        <w:pStyle w:val="TableDescription"/>
      </w:pPr>
      <w:r w:rsidRPr="00800602">
        <w:t xml:space="preserve">AE = adverse event; </w:t>
      </w:r>
      <w:r>
        <w:t>N</w:t>
      </w:r>
      <w:r w:rsidRPr="00800602">
        <w:t xml:space="preserve"> = number of patients; TEAE = treatment-emergent adverse event</w:t>
      </w:r>
    </w:p>
    <w:p w14:paraId="5CF184C1" w14:textId="77777777" w:rsidR="00612A59" w:rsidRPr="00E71E30" w:rsidRDefault="00612A59" w:rsidP="000B4549">
      <w:pPr>
        <w:pStyle w:val="Heading5"/>
      </w:pPr>
      <w:r w:rsidRPr="00E71E30">
        <w:t>Adverse events in PROpel</w:t>
      </w:r>
    </w:p>
    <w:p w14:paraId="387ED60D" w14:textId="44CDC864" w:rsidR="00612A59" w:rsidRDefault="00612A59" w:rsidP="00612A59">
      <w:r>
        <w:t>The most common TEAEs in PROpel were</w:t>
      </w:r>
      <w:r w:rsidRPr="00E71E30">
        <w:t xml:space="preserve"> </w:t>
      </w:r>
      <w:r>
        <w:t xml:space="preserve">anaemia, fatigue and </w:t>
      </w:r>
      <w:r w:rsidRPr="00E71E30">
        <w:t>nausea</w:t>
      </w:r>
      <w:r>
        <w:t xml:space="preserve"> (</w:t>
      </w:r>
      <w:r w:rsidR="000A3C7D">
        <w:t>Table 1</w:t>
      </w:r>
      <w:r w:rsidR="00D66090">
        <w:t>3</w:t>
      </w:r>
      <w:r>
        <w:t>)</w:t>
      </w:r>
      <w:r w:rsidRPr="00984D56">
        <w:t xml:space="preserve">. </w:t>
      </w:r>
    </w:p>
    <w:p w14:paraId="74E686D0" w14:textId="77777777" w:rsidR="00612A59" w:rsidRDefault="00612A59" w:rsidP="00612A59">
      <w:r>
        <w:t>AEs led to dose interruption, reduction or permanent discontinuation of olaparib in 48%, 21% and 16%, and of placebo in 27%, 6% and 8%</w:t>
      </w:r>
      <w:r w:rsidRPr="00130B4C">
        <w:t xml:space="preserve"> </w:t>
      </w:r>
      <w:r>
        <w:t>of patients, respectively.</w:t>
      </w:r>
    </w:p>
    <w:p w14:paraId="4ACECE73" w14:textId="77777777" w:rsidR="00612A59" w:rsidRDefault="00612A59" w:rsidP="00612A59">
      <w:r w:rsidRPr="006224A3">
        <w:t xml:space="preserve">Serious AEs occurred in 39% of patients who received olaparib and 30% of those who didn’t. The most common serious adverse reactions in patients in the olaparib arm were anaemia (5.8%), COVID-19 (3.5%), and pulmonary embolism (3.5%). </w:t>
      </w:r>
    </w:p>
    <w:p w14:paraId="7AD2F966" w14:textId="313A8540" w:rsidR="00612A59" w:rsidRDefault="00612A59" w:rsidP="00612A59">
      <w:r>
        <w:t xml:space="preserve">AEs of </w:t>
      </w:r>
      <w:r w:rsidR="00E07E82">
        <w:t>Common Terminology Criteria for Adverse Events (</w:t>
      </w:r>
      <w:r>
        <w:t>CTCAE</w:t>
      </w:r>
      <w:r w:rsidR="00E07E82">
        <w:t>)</w:t>
      </w:r>
      <w:r>
        <w:t xml:space="preserve"> Grade ≥3 were reported for 53% of patients receiving olaparib and 40% of those who did not. The most common Grade ≥3 AEs with olaparib were anaemia (15.8%) and pulmonary embolism (7.0%). Venous thromboembolism (</w:t>
      </w:r>
      <w:r w:rsidRPr="006224A3">
        <w:t>VTE</w:t>
      </w:r>
      <w:r>
        <w:t>)</w:t>
      </w:r>
      <w:r w:rsidRPr="006224A3">
        <w:t xml:space="preserve"> was investigated as a safety signal after DCO1</w:t>
      </w:r>
      <w:r>
        <w:t>.</w:t>
      </w:r>
    </w:p>
    <w:p w14:paraId="5BD4D8BC" w14:textId="6AEAC594" w:rsidR="00DA3AFE" w:rsidRPr="006A2706" w:rsidRDefault="00DA3AFE" w:rsidP="00DA3AFE">
      <w:pPr>
        <w:pStyle w:val="Caption"/>
      </w:pPr>
      <w:bookmarkStart w:id="92" w:name="_Ref131432368"/>
      <w:r w:rsidRPr="006A2706">
        <w:t xml:space="preserve">Table </w:t>
      </w:r>
      <w:bookmarkEnd w:id="92"/>
      <w:r w:rsidR="00D66090">
        <w:t>13</w:t>
      </w:r>
      <w:r w:rsidRPr="006A2706">
        <w:t xml:space="preserve">. </w:t>
      </w:r>
      <w:r>
        <w:t>Most common a</w:t>
      </w:r>
      <w:r w:rsidRPr="006A2706">
        <w:t>dverse</w:t>
      </w:r>
      <w:r w:rsidRPr="006A2706">
        <w:rPr>
          <w:spacing w:val="-3"/>
        </w:rPr>
        <w:t xml:space="preserve"> </w:t>
      </w:r>
      <w:r w:rsidRPr="006A2706">
        <w:t>events*</w:t>
      </w:r>
      <w:r w:rsidRPr="006A2706">
        <w:rPr>
          <w:spacing w:val="-4"/>
        </w:rPr>
        <w:t xml:space="preserve"> </w:t>
      </w:r>
      <w:r w:rsidRPr="006A2706">
        <w:t>in</w:t>
      </w:r>
      <w:r w:rsidRPr="006A2706">
        <w:rPr>
          <w:spacing w:val="-7"/>
        </w:rPr>
        <w:t xml:space="preserve"> </w:t>
      </w:r>
      <w:r w:rsidRPr="006A2706">
        <w:t>PROpel</w:t>
      </w:r>
      <w:r w:rsidRPr="006A2706">
        <w:rPr>
          <w:spacing w:val="-4"/>
        </w:rPr>
        <w:t xml:space="preserve"> </w:t>
      </w:r>
      <w:r w:rsidRPr="006A2706">
        <w:t>(≥</w:t>
      </w:r>
      <w:r>
        <w:t>25</w:t>
      </w:r>
      <w:r w:rsidRPr="006A2706">
        <w:t>%</w:t>
      </w:r>
      <w:r w:rsidRPr="006A2706">
        <w:rPr>
          <w:spacing w:val="-2"/>
        </w:rPr>
        <w:t xml:space="preserve"> </w:t>
      </w:r>
      <w:r w:rsidRPr="006A2706">
        <w:t>of</w:t>
      </w:r>
      <w:r w:rsidRPr="006A2706">
        <w:rPr>
          <w:spacing w:val="-5"/>
        </w:rPr>
        <w:t xml:space="preserve"> </w:t>
      </w:r>
      <w:r>
        <w:t>patients in either arm</w:t>
      </w:r>
      <w:r w:rsidRPr="006A2706">
        <w:rPr>
          <w:spacing w:val="-2"/>
        </w:rPr>
        <w:t>)</w:t>
      </w:r>
    </w:p>
    <w:tbl>
      <w:tblPr>
        <w:tblStyle w:val="TableTGAblue"/>
        <w:tblW w:w="9351" w:type="dxa"/>
        <w:tblLayout w:type="fixed"/>
        <w:tblLook w:val="01E0" w:firstRow="1" w:lastRow="1" w:firstColumn="1" w:lastColumn="1" w:noHBand="0" w:noVBand="0"/>
      </w:tblPr>
      <w:tblGrid>
        <w:gridCol w:w="1871"/>
        <w:gridCol w:w="1870"/>
        <w:gridCol w:w="1870"/>
        <w:gridCol w:w="1870"/>
        <w:gridCol w:w="1870"/>
      </w:tblGrid>
      <w:tr w:rsidR="004B2E74" w:rsidRPr="00B12D26" w14:paraId="21DE67B1" w14:textId="77777777" w:rsidTr="00583A23">
        <w:trPr>
          <w:cnfStyle w:val="100000000000" w:firstRow="1" w:lastRow="0" w:firstColumn="0" w:lastColumn="0" w:oddVBand="0" w:evenVBand="0" w:oddHBand="0" w:evenHBand="0" w:firstRowFirstColumn="0" w:firstRowLastColumn="0" w:lastRowFirstColumn="0" w:lastRowLastColumn="0"/>
          <w:trHeight w:val="20"/>
        </w:trPr>
        <w:tc>
          <w:tcPr>
            <w:tcW w:w="0" w:type="dxa"/>
            <w:vMerge w:val="restart"/>
            <w:shd w:val="clear" w:color="auto" w:fill="auto"/>
          </w:tcPr>
          <w:p w14:paraId="0F8B9AB0" w14:textId="77777777" w:rsidR="00DA3AFE" w:rsidRPr="00AD1F7F" w:rsidRDefault="00DA3AFE" w:rsidP="00AD1F7F">
            <w:pPr>
              <w:rPr>
                <w:b w:val="0"/>
                <w:color w:val="auto"/>
              </w:rPr>
            </w:pPr>
            <w:r w:rsidRPr="00AD1F7F">
              <w:rPr>
                <w:color w:val="auto"/>
              </w:rPr>
              <w:t>Adverse</w:t>
            </w:r>
            <w:r w:rsidRPr="00AD1F7F">
              <w:rPr>
                <w:color w:val="auto"/>
                <w:spacing w:val="-3"/>
              </w:rPr>
              <w:t xml:space="preserve"> </w:t>
            </w:r>
            <w:r w:rsidRPr="00AD1F7F">
              <w:rPr>
                <w:color w:val="auto"/>
              </w:rPr>
              <w:t>Reactions</w:t>
            </w:r>
          </w:p>
        </w:tc>
        <w:tc>
          <w:tcPr>
            <w:tcW w:w="0" w:type="dxa"/>
            <w:gridSpan w:val="2"/>
            <w:shd w:val="clear" w:color="auto" w:fill="auto"/>
          </w:tcPr>
          <w:p w14:paraId="79BA051C" w14:textId="77777777" w:rsidR="00DA3AFE" w:rsidRPr="00AD1F7F" w:rsidRDefault="00DA3AFE" w:rsidP="00AD1F7F">
            <w:pPr>
              <w:rPr>
                <w:b w:val="0"/>
                <w:color w:val="auto"/>
              </w:rPr>
            </w:pPr>
            <w:r w:rsidRPr="00AD1F7F">
              <w:rPr>
                <w:color w:val="auto"/>
              </w:rPr>
              <w:t>Olaparib (N=398)</w:t>
            </w:r>
          </w:p>
        </w:tc>
        <w:tc>
          <w:tcPr>
            <w:tcW w:w="0" w:type="dxa"/>
            <w:gridSpan w:val="2"/>
            <w:shd w:val="clear" w:color="auto" w:fill="auto"/>
          </w:tcPr>
          <w:p w14:paraId="706305B2" w14:textId="77777777" w:rsidR="00DA3AFE" w:rsidRPr="00AD1F7F" w:rsidRDefault="00DA3AFE" w:rsidP="00AD1F7F">
            <w:pPr>
              <w:rPr>
                <w:b w:val="0"/>
                <w:color w:val="auto"/>
              </w:rPr>
            </w:pPr>
            <w:r w:rsidRPr="00AD1F7F">
              <w:rPr>
                <w:color w:val="auto"/>
              </w:rPr>
              <w:t>Placebo (N=396)</w:t>
            </w:r>
          </w:p>
        </w:tc>
      </w:tr>
      <w:tr w:rsidR="004B2E74" w:rsidRPr="00B12D26" w14:paraId="7A6ED268" w14:textId="77777777" w:rsidTr="00583A23">
        <w:trPr>
          <w:trHeight w:val="20"/>
        </w:trPr>
        <w:tc>
          <w:tcPr>
            <w:tcW w:w="0" w:type="dxa"/>
            <w:vMerge/>
          </w:tcPr>
          <w:p w14:paraId="6C3CA5AC" w14:textId="77777777" w:rsidR="00DA3AFE" w:rsidRPr="00B12D26" w:rsidRDefault="00DA3AFE" w:rsidP="00AD1F7F"/>
        </w:tc>
        <w:tc>
          <w:tcPr>
            <w:tcW w:w="0" w:type="dxa"/>
          </w:tcPr>
          <w:p w14:paraId="6DACB669" w14:textId="77777777" w:rsidR="00DA3AFE" w:rsidRPr="00B12D26" w:rsidRDefault="00DA3AFE" w:rsidP="00AD1F7F">
            <w:r w:rsidRPr="00B12D26">
              <w:t>Grades</w:t>
            </w:r>
            <w:r w:rsidRPr="00B12D26">
              <w:rPr>
                <w:spacing w:val="-14"/>
              </w:rPr>
              <w:t xml:space="preserve"> </w:t>
            </w:r>
            <w:r w:rsidRPr="00B12D26">
              <w:t xml:space="preserve">1-4 </w:t>
            </w:r>
            <w:r w:rsidRPr="00B12D26">
              <w:rPr>
                <w:spacing w:val="-4"/>
              </w:rPr>
              <w:t>(%)</w:t>
            </w:r>
          </w:p>
        </w:tc>
        <w:tc>
          <w:tcPr>
            <w:tcW w:w="0" w:type="dxa"/>
          </w:tcPr>
          <w:p w14:paraId="15DECEF6" w14:textId="77777777" w:rsidR="00DA3AFE" w:rsidRPr="00B12D26" w:rsidRDefault="00DA3AFE" w:rsidP="00AD1F7F">
            <w:r w:rsidRPr="00B12D26">
              <w:t>Grades</w:t>
            </w:r>
            <w:r w:rsidRPr="00B12D26">
              <w:rPr>
                <w:spacing w:val="-14"/>
              </w:rPr>
              <w:t xml:space="preserve"> </w:t>
            </w:r>
            <w:r w:rsidRPr="00B12D26">
              <w:t xml:space="preserve">3-4 </w:t>
            </w:r>
            <w:r w:rsidRPr="00B12D26">
              <w:rPr>
                <w:spacing w:val="-4"/>
              </w:rPr>
              <w:t>(%)</w:t>
            </w:r>
          </w:p>
        </w:tc>
        <w:tc>
          <w:tcPr>
            <w:tcW w:w="0" w:type="dxa"/>
          </w:tcPr>
          <w:p w14:paraId="1FB66DBD" w14:textId="77777777" w:rsidR="00DA3AFE" w:rsidRPr="00B12D26" w:rsidRDefault="00DA3AFE" w:rsidP="00AD1F7F">
            <w:r w:rsidRPr="00B12D26">
              <w:t>Grades</w:t>
            </w:r>
            <w:r w:rsidRPr="00B12D26">
              <w:rPr>
                <w:spacing w:val="-14"/>
              </w:rPr>
              <w:t xml:space="preserve"> </w:t>
            </w:r>
            <w:r w:rsidRPr="00B12D26">
              <w:t xml:space="preserve">1-4 </w:t>
            </w:r>
            <w:r w:rsidRPr="00B12D26">
              <w:rPr>
                <w:spacing w:val="-4"/>
              </w:rPr>
              <w:t>(%)</w:t>
            </w:r>
          </w:p>
        </w:tc>
        <w:tc>
          <w:tcPr>
            <w:tcW w:w="0" w:type="dxa"/>
          </w:tcPr>
          <w:p w14:paraId="349CB23E" w14:textId="77777777" w:rsidR="00DA3AFE" w:rsidRPr="00B12D26" w:rsidRDefault="00DA3AFE" w:rsidP="00AD1F7F">
            <w:r w:rsidRPr="00B12D26">
              <w:t>Grades</w:t>
            </w:r>
            <w:r w:rsidRPr="00B12D26">
              <w:rPr>
                <w:spacing w:val="-14"/>
              </w:rPr>
              <w:t xml:space="preserve"> </w:t>
            </w:r>
            <w:r w:rsidRPr="00B12D26">
              <w:t xml:space="preserve">3-4 </w:t>
            </w:r>
            <w:r w:rsidRPr="00B12D26">
              <w:rPr>
                <w:spacing w:val="-4"/>
              </w:rPr>
              <w:t>(%)</w:t>
            </w:r>
          </w:p>
        </w:tc>
      </w:tr>
      <w:tr w:rsidR="004B2E74" w:rsidRPr="00B12D26" w14:paraId="71052789" w14:textId="77777777" w:rsidTr="00583A23">
        <w:trPr>
          <w:trHeight w:val="20"/>
        </w:trPr>
        <w:tc>
          <w:tcPr>
            <w:tcW w:w="0" w:type="dxa"/>
          </w:tcPr>
          <w:p w14:paraId="088AD07A" w14:textId="29D73AB9" w:rsidR="00DA3AFE" w:rsidRPr="00B12D26" w:rsidRDefault="00DA3AFE" w:rsidP="00AD1F7F">
            <w:r w:rsidRPr="00B12D26">
              <w:t>Anaemia</w:t>
            </w:r>
          </w:p>
        </w:tc>
        <w:tc>
          <w:tcPr>
            <w:tcW w:w="0" w:type="dxa"/>
          </w:tcPr>
          <w:p w14:paraId="506C92FD" w14:textId="77777777" w:rsidR="00DA3AFE" w:rsidRPr="00B12D26" w:rsidRDefault="00DA3AFE" w:rsidP="00AD1F7F">
            <w:r w:rsidRPr="00B12D26">
              <w:t>48</w:t>
            </w:r>
          </w:p>
        </w:tc>
        <w:tc>
          <w:tcPr>
            <w:tcW w:w="0" w:type="dxa"/>
          </w:tcPr>
          <w:p w14:paraId="704FD65D" w14:textId="77777777" w:rsidR="00DA3AFE" w:rsidRPr="00B12D26" w:rsidRDefault="00DA3AFE" w:rsidP="00AD1F7F">
            <w:r w:rsidRPr="00B12D26">
              <w:t>26</w:t>
            </w:r>
          </w:p>
        </w:tc>
        <w:tc>
          <w:tcPr>
            <w:tcW w:w="0" w:type="dxa"/>
          </w:tcPr>
          <w:p w14:paraId="41DFA18D" w14:textId="77777777" w:rsidR="00DA3AFE" w:rsidRPr="00B12D26" w:rsidRDefault="00DA3AFE" w:rsidP="00AD1F7F">
            <w:r w:rsidRPr="00B12D26">
              <w:t>18</w:t>
            </w:r>
          </w:p>
        </w:tc>
        <w:tc>
          <w:tcPr>
            <w:tcW w:w="0" w:type="dxa"/>
          </w:tcPr>
          <w:p w14:paraId="3B456A20" w14:textId="77777777" w:rsidR="00DA3AFE" w:rsidRPr="00B12D26" w:rsidRDefault="00DA3AFE" w:rsidP="00AD1F7F">
            <w:r w:rsidRPr="00B12D26">
              <w:t>3</w:t>
            </w:r>
          </w:p>
        </w:tc>
      </w:tr>
      <w:tr w:rsidR="004B2E74" w:rsidRPr="00B12D26" w14:paraId="3F397A98" w14:textId="77777777" w:rsidTr="00583A23">
        <w:trPr>
          <w:trHeight w:val="20"/>
        </w:trPr>
        <w:tc>
          <w:tcPr>
            <w:tcW w:w="0" w:type="dxa"/>
          </w:tcPr>
          <w:p w14:paraId="6DCAB1C5" w14:textId="77777777" w:rsidR="00DA3AFE" w:rsidRPr="00B12D26" w:rsidRDefault="00DA3AFE" w:rsidP="00AD1F7F">
            <w:r w:rsidRPr="00B12D26">
              <w:t>Fatigue</w:t>
            </w:r>
          </w:p>
        </w:tc>
        <w:tc>
          <w:tcPr>
            <w:tcW w:w="0" w:type="dxa"/>
          </w:tcPr>
          <w:p w14:paraId="1412CE47" w14:textId="77777777" w:rsidR="00DA3AFE" w:rsidRPr="00B12D26" w:rsidRDefault="00DA3AFE" w:rsidP="00AD1F7F">
            <w:r w:rsidRPr="00B12D26">
              <w:t>38</w:t>
            </w:r>
          </w:p>
        </w:tc>
        <w:tc>
          <w:tcPr>
            <w:tcW w:w="0" w:type="dxa"/>
          </w:tcPr>
          <w:p w14:paraId="30802913" w14:textId="77777777" w:rsidR="00DA3AFE" w:rsidRPr="00B12D26" w:rsidRDefault="00DA3AFE" w:rsidP="00AD1F7F">
            <w:r w:rsidRPr="00B12D26">
              <w:t>2</w:t>
            </w:r>
          </w:p>
        </w:tc>
        <w:tc>
          <w:tcPr>
            <w:tcW w:w="0" w:type="dxa"/>
          </w:tcPr>
          <w:p w14:paraId="3FB488FB" w14:textId="77777777" w:rsidR="00DA3AFE" w:rsidRPr="00B12D26" w:rsidRDefault="00DA3AFE" w:rsidP="00AD1F7F">
            <w:r w:rsidRPr="00B12D26">
              <w:t>30</w:t>
            </w:r>
          </w:p>
        </w:tc>
        <w:tc>
          <w:tcPr>
            <w:tcW w:w="0" w:type="dxa"/>
          </w:tcPr>
          <w:p w14:paraId="0BF7DF2D" w14:textId="77777777" w:rsidR="00DA3AFE" w:rsidRPr="00B12D26" w:rsidRDefault="00DA3AFE" w:rsidP="00AD1F7F">
            <w:r w:rsidRPr="00B12D26">
              <w:t>2</w:t>
            </w:r>
          </w:p>
        </w:tc>
      </w:tr>
      <w:tr w:rsidR="004B2E74" w:rsidRPr="00B12D26" w14:paraId="6237ACBE" w14:textId="77777777" w:rsidTr="00583A23">
        <w:trPr>
          <w:trHeight w:val="20"/>
        </w:trPr>
        <w:tc>
          <w:tcPr>
            <w:tcW w:w="0" w:type="dxa"/>
          </w:tcPr>
          <w:p w14:paraId="1B20EA5E" w14:textId="77777777" w:rsidR="00DA3AFE" w:rsidRPr="00B12D26" w:rsidRDefault="00DA3AFE" w:rsidP="00AD1F7F">
            <w:r w:rsidRPr="00B12D26">
              <w:t>Nausea</w:t>
            </w:r>
          </w:p>
        </w:tc>
        <w:tc>
          <w:tcPr>
            <w:tcW w:w="0" w:type="dxa"/>
          </w:tcPr>
          <w:p w14:paraId="58CBE71F" w14:textId="77777777" w:rsidR="00DA3AFE" w:rsidRPr="00B12D26" w:rsidRDefault="00DA3AFE" w:rsidP="00AD1F7F">
            <w:r w:rsidRPr="00B12D26">
              <w:t>30</w:t>
            </w:r>
          </w:p>
        </w:tc>
        <w:tc>
          <w:tcPr>
            <w:tcW w:w="0" w:type="dxa"/>
          </w:tcPr>
          <w:p w14:paraId="216E7B56" w14:textId="77777777" w:rsidR="00DA3AFE" w:rsidRPr="00B12D26" w:rsidRDefault="00DA3AFE" w:rsidP="00AD1F7F">
            <w:r w:rsidRPr="00B12D26">
              <w:t>0.3</w:t>
            </w:r>
          </w:p>
        </w:tc>
        <w:tc>
          <w:tcPr>
            <w:tcW w:w="0" w:type="dxa"/>
          </w:tcPr>
          <w:p w14:paraId="267E5B60" w14:textId="77777777" w:rsidR="00DA3AFE" w:rsidRPr="00B12D26" w:rsidRDefault="00DA3AFE" w:rsidP="00AD1F7F">
            <w:r w:rsidRPr="00B12D26">
              <w:t>14</w:t>
            </w:r>
          </w:p>
        </w:tc>
        <w:tc>
          <w:tcPr>
            <w:tcW w:w="0" w:type="dxa"/>
          </w:tcPr>
          <w:p w14:paraId="58843024" w14:textId="77777777" w:rsidR="00DA3AFE" w:rsidRPr="00B12D26" w:rsidRDefault="00DA3AFE" w:rsidP="00AD1F7F">
            <w:r w:rsidRPr="00B12D26">
              <w:t>0.3</w:t>
            </w:r>
          </w:p>
        </w:tc>
      </w:tr>
    </w:tbl>
    <w:p w14:paraId="0CEAE2CC" w14:textId="77777777" w:rsidR="00DA3AFE" w:rsidRDefault="00DA3AFE" w:rsidP="00583A23">
      <w:pPr>
        <w:pStyle w:val="TableDescription"/>
        <w:contextualSpacing/>
      </w:pPr>
      <w:r w:rsidRPr="006A2706">
        <w:t xml:space="preserve">* Graded according to the National Cancer Institute Common Terminology Criteria for Adverse Events (NCI CTCAE), </w:t>
      </w:r>
      <w:r>
        <w:t>v</w:t>
      </w:r>
      <w:r w:rsidRPr="006A2706">
        <w:t xml:space="preserve"> 4.03</w:t>
      </w:r>
    </w:p>
    <w:p w14:paraId="11F72850" w14:textId="02DB72BB" w:rsidR="00DA3AFE" w:rsidRDefault="00DA3AFE" w:rsidP="00583A23">
      <w:pPr>
        <w:pStyle w:val="TableDescription"/>
        <w:contextualSpacing/>
      </w:pPr>
      <w:r>
        <w:t>Percentages under 1 shown to one decimal place.</w:t>
      </w:r>
      <w:r>
        <w:br/>
        <w:t>Grouped term incorporating</w:t>
      </w:r>
      <w:r w:rsidRPr="00984D56">
        <w:t xml:space="preserve">: anaemia, anaemia macrocytic, erythropenia, haematocrit decreased, haemoglobin decreased, normochromic anaemia, normochromic normocytic anaemia, normocytic anaemia, and red blood cell count decreased. </w:t>
      </w:r>
    </w:p>
    <w:p w14:paraId="51D243DA" w14:textId="77777777" w:rsidR="00DA3AFE" w:rsidRDefault="00DA3AFE" w:rsidP="00583A23">
      <w:pPr>
        <w:pStyle w:val="TableDescription"/>
        <w:contextualSpacing/>
      </w:pPr>
      <w:r>
        <w:t>Grouped term incorporating fatigue and asthenia</w:t>
      </w:r>
    </w:p>
    <w:p w14:paraId="1553D334" w14:textId="77777777" w:rsidR="005753A5" w:rsidRDefault="005753A5" w:rsidP="005753A5">
      <w:r>
        <w:t>Anaemia was the most common higher grade and serious event, and the AE that most commonly</w:t>
      </w:r>
      <w:r w:rsidRPr="00984D56">
        <w:t xml:space="preserve"> led to </w:t>
      </w:r>
      <w:r>
        <w:t xml:space="preserve">dose interruption, dose reduction or permanent </w:t>
      </w:r>
      <w:r w:rsidRPr="00984D56">
        <w:t xml:space="preserve">discontinuation </w:t>
      </w:r>
      <w:r>
        <w:t xml:space="preserve">(16%, 11% and </w:t>
      </w:r>
      <w:r w:rsidRPr="00984D56">
        <w:t>4% of olaparib-treated patients</w:t>
      </w:r>
      <w:r>
        <w:t xml:space="preserve">, respectively, compared to 3%, &lt;1% and &lt;1% of placebo-treated patients, respectively). </w:t>
      </w:r>
    </w:p>
    <w:p w14:paraId="4BDA255E" w14:textId="01957BA7" w:rsidR="005753A5" w:rsidRDefault="005753A5" w:rsidP="005753A5">
      <w:r>
        <w:lastRenderedPageBreak/>
        <w:t xml:space="preserve">Nausea was also more common with olaparib </w:t>
      </w:r>
      <w:r w:rsidR="006C56CA">
        <w:t>treatment and</w:t>
      </w:r>
      <w:r>
        <w:t xml:space="preserve"> led </w:t>
      </w:r>
      <w:r w:rsidRPr="00984D56">
        <w:t xml:space="preserve">to </w:t>
      </w:r>
      <w:r>
        <w:t xml:space="preserve">dose interruption in 3% and dose reduction </w:t>
      </w:r>
      <w:r w:rsidRPr="00984D56">
        <w:t>in</w:t>
      </w:r>
      <w:r>
        <w:t xml:space="preserve"> 1% </w:t>
      </w:r>
      <w:r w:rsidRPr="00984D56">
        <w:t>of olaparib-treated patients</w:t>
      </w:r>
      <w:r>
        <w:t>, and to permanent discontinuation for one patient. Vomiting (14%) and decreased appetite (16%) were also more common with olaparib.</w:t>
      </w:r>
    </w:p>
    <w:p w14:paraId="0AD858D3" w14:textId="77777777" w:rsidR="005753A5" w:rsidRDefault="005753A5" w:rsidP="005753A5">
      <w:r>
        <w:t>Neutropenia is a known risk of olaparib treatment. Neutropenia (</w:t>
      </w:r>
      <w:r w:rsidRPr="00FB2A16">
        <w:t xml:space="preserve">febrile neutropenia, granulocyte count decreased, neutropenia, neutropenic infection, neutropenic sepsis, neutrophil count decreased, idiopathic neutropenia, </w:t>
      </w:r>
      <w:r>
        <w:t>or</w:t>
      </w:r>
      <w:r w:rsidRPr="00FB2A16">
        <w:t xml:space="preserve"> agranulocytosis</w:t>
      </w:r>
      <w:r>
        <w:t xml:space="preserve">) occurred in 9% of the olaparib arm and 4% of the placebo arm. Events were at least </w:t>
      </w:r>
      <w:r w:rsidRPr="005E10B7">
        <w:t>grade 3 severity for 4% and 2% of patients, respectively. There were no fatal events of neutropenia. Neutropenia led to dose interruption, dose reduction and permanent discontinuation in 2.5%, 0.3% and 0.3% of olaparib-treated patients, and in 0.3%, 0% and 0% of placebo-treated patients, respectively.</w:t>
      </w:r>
      <w:r w:rsidRPr="00D60063">
        <w:t xml:space="preserve"> </w:t>
      </w:r>
    </w:p>
    <w:p w14:paraId="28D449AE" w14:textId="77777777" w:rsidR="005753A5" w:rsidRDefault="005753A5" w:rsidP="005753A5">
      <w:r w:rsidRPr="006224A3">
        <w:t>Myelodyspla</w:t>
      </w:r>
      <w:r>
        <w:t>s</w:t>
      </w:r>
      <w:r w:rsidRPr="006224A3">
        <w:t xml:space="preserve">tic syndrome/acute myeloid leukaemia (MDS/AML), pneumonitis, and secondary malignancies </w:t>
      </w:r>
      <w:r>
        <w:t>are</w:t>
      </w:r>
      <w:r w:rsidRPr="006224A3">
        <w:t xml:space="preserve"> adverse events of special interest (AESI) for olaparib, based on toxicity concerns throughout the olaparib development program. </w:t>
      </w:r>
      <w:r>
        <w:t xml:space="preserve">There was one patient with MDS in the olaparib arm in PROpel, and none in the placebo arm. This patient died from COVID-19 in the setting of MDS-related pancytopenia. New primary malignancies and pneumonitis in PROpel occurred in a similar proportion of both arms (4.8% and 1.3% of the olaparib arm, and 4.3% and 0.8% of the placebo arm, respectively). </w:t>
      </w:r>
    </w:p>
    <w:p w14:paraId="731B666F" w14:textId="00084083" w:rsidR="005753A5" w:rsidRDefault="005753A5" w:rsidP="005753A5">
      <w:r>
        <w:t xml:space="preserve">Prolongation of the QT interval on ECG is a known risk of </w:t>
      </w:r>
      <w:r w:rsidR="00487E48">
        <w:t>androgen deprivation therapy (</w:t>
      </w:r>
      <w:r>
        <w:t>ADT</w:t>
      </w:r>
      <w:r w:rsidR="00487E48">
        <w:t xml:space="preserve">) </w:t>
      </w:r>
      <w:r>
        <w:t xml:space="preserve">and abiraterone. ECGs were taken but QT segment length was not systematically collected. </w:t>
      </w:r>
      <w:r w:rsidRPr="005E10B7">
        <w:t>Adverse events of electrocardiogram QT prolonged were reported in 3.5% of patients in the</w:t>
      </w:r>
      <w:r>
        <w:t xml:space="preserve"> o</w:t>
      </w:r>
      <w:r w:rsidRPr="005E10B7">
        <w:t xml:space="preserve">laparib+abiraterone arm versus 0.5% </w:t>
      </w:r>
      <w:r>
        <w:t>in</w:t>
      </w:r>
      <w:r w:rsidRPr="005E10B7">
        <w:t xml:space="preserve"> </w:t>
      </w:r>
      <w:r w:rsidRPr="006224A3">
        <w:t>the placebo+abiraterone arm.</w:t>
      </w:r>
    </w:p>
    <w:p w14:paraId="7D35A270" w14:textId="77777777" w:rsidR="005753A5" w:rsidRDefault="005753A5" w:rsidP="005753A5">
      <w:r>
        <w:t>No new safety concerns were identified in the safety laboratory data. There were five patients (3 receiving olaparib and 2 receiving placebo) who met the Hy’s law criteria; one was confirmed to be drug-induced liver injury, and as they were in the placebo arm it was attributed to abiraterone. The other four cases were attributable to other causes (new hepatic metastases, cholecystitis, cholangitis and choledocholithiasis).</w:t>
      </w:r>
    </w:p>
    <w:p w14:paraId="7C939529" w14:textId="77777777" w:rsidR="00E85FFF" w:rsidRPr="00AC0D2F" w:rsidRDefault="00E85FFF" w:rsidP="000B4549">
      <w:pPr>
        <w:pStyle w:val="Heading5"/>
      </w:pPr>
      <w:r w:rsidRPr="00AC0D2F">
        <w:t>Deaths</w:t>
      </w:r>
    </w:p>
    <w:p w14:paraId="44CE4054" w14:textId="77777777" w:rsidR="00E85FFF" w:rsidRPr="00AC0D2F" w:rsidRDefault="00E85FFF" w:rsidP="00E85FFF">
      <w:r w:rsidRPr="00AC0D2F">
        <w:t xml:space="preserve">The majority of deaths in the study in both arms were attributed to prostate cancer. TEAEs with a fatal outcome were reported in 17 patients [4.4%] in the olaparib arm and 17 patients [4.3%] in the placebo arm during study treatment or after the 30-day follow-up period. </w:t>
      </w:r>
      <w:r>
        <w:t>Individual review of the case narratives did not reveal a particular pattern amongst fatal events (except for a significant proportion of deaths due to COVID-19) or suggest new safety concerns for olaparib.</w:t>
      </w:r>
    </w:p>
    <w:p w14:paraId="2FA7FE9F" w14:textId="77777777" w:rsidR="006A74A2" w:rsidRDefault="006A74A2" w:rsidP="006A74A2">
      <w:pPr>
        <w:pStyle w:val="Heading5"/>
      </w:pPr>
      <w:bookmarkStart w:id="93" w:name="_Ref131601996"/>
      <w:r>
        <w:t>Venous thromboembolism (</w:t>
      </w:r>
      <w:r w:rsidRPr="00D92013">
        <w:t>VTE</w:t>
      </w:r>
      <w:r>
        <w:t>) safety signal</w:t>
      </w:r>
      <w:bookmarkEnd w:id="93"/>
      <w:r w:rsidRPr="00D92013">
        <w:t xml:space="preserve"> </w:t>
      </w:r>
    </w:p>
    <w:p w14:paraId="5ADFF566" w14:textId="77777777" w:rsidR="006A74A2" w:rsidRDefault="006A74A2" w:rsidP="006A74A2">
      <w:pPr>
        <w:jc w:val="both"/>
        <w:rPr>
          <w:lang w:eastAsia="ja-JP"/>
        </w:rPr>
      </w:pPr>
      <w:r>
        <w:rPr>
          <w:lang w:eastAsia="ja-JP"/>
        </w:rPr>
        <w:t>A new safety signal for VTE arose from the PROpel study.</w:t>
      </w:r>
    </w:p>
    <w:p w14:paraId="5CD62983" w14:textId="5EB56E03" w:rsidR="006A74A2" w:rsidRPr="00E76BF0" w:rsidRDefault="006A74A2" w:rsidP="006A74A2">
      <w:pPr>
        <w:jc w:val="both"/>
        <w:rPr>
          <w:lang w:eastAsia="ja-JP"/>
        </w:rPr>
      </w:pPr>
      <w:r>
        <w:rPr>
          <w:lang w:eastAsia="ja-JP"/>
        </w:rPr>
        <w:t>VTE</w:t>
      </w:r>
      <w:r w:rsidRPr="00130B4C">
        <w:rPr>
          <w:lang w:eastAsia="ja-JP"/>
        </w:rPr>
        <w:t xml:space="preserve"> </w:t>
      </w:r>
      <w:r>
        <w:rPr>
          <w:lang w:eastAsia="ja-JP"/>
        </w:rPr>
        <w:t>is common</w:t>
      </w:r>
      <w:r w:rsidRPr="00130B4C">
        <w:rPr>
          <w:lang w:eastAsia="ja-JP"/>
        </w:rPr>
        <w:t xml:space="preserve"> in patients with metastatic prostate cancer,</w:t>
      </w:r>
      <w:r>
        <w:rPr>
          <w:lang w:eastAsia="ja-JP"/>
        </w:rPr>
        <w:t xml:space="preserve"> </w:t>
      </w:r>
      <w:r w:rsidRPr="00130B4C">
        <w:rPr>
          <w:lang w:eastAsia="ja-JP"/>
        </w:rPr>
        <w:t>especially in those receiving ADT</w:t>
      </w:r>
      <w:r>
        <w:rPr>
          <w:lang w:eastAsia="ja-JP"/>
        </w:rPr>
        <w:t xml:space="preserve">. However, the rate of AEs within the standard MedDRA query for thrombotic or embolic events was higher amongst patients receiving olaparib (8% at DCO2) than those receiving placebo (3% at DCO2) in PROpel. This was noted at DCO1, and the </w:t>
      </w:r>
      <w:r w:rsidR="00CD546E">
        <w:rPr>
          <w:lang w:eastAsia="ja-JP"/>
        </w:rPr>
        <w:t>sponsor</w:t>
      </w:r>
      <w:r>
        <w:rPr>
          <w:lang w:eastAsia="ja-JP"/>
        </w:rPr>
        <w:t xml:space="preserve"> conducted a dedicated safety signal analysis as a result.</w:t>
      </w:r>
    </w:p>
    <w:p w14:paraId="1F03702B" w14:textId="5C76C1A1" w:rsidR="006A74A2" w:rsidRDefault="006A74A2" w:rsidP="006A74A2">
      <w:pPr>
        <w:jc w:val="both"/>
      </w:pPr>
      <w:r w:rsidRPr="00E76BF0">
        <w:rPr>
          <w:lang w:eastAsia="ja-JP"/>
        </w:rPr>
        <w:t xml:space="preserve">VTEs in PROpel at DCO1 are summarised in </w:t>
      </w:r>
      <w:r w:rsidRPr="00E76BF0">
        <w:rPr>
          <w:lang w:eastAsia="ja-JP"/>
        </w:rPr>
        <w:fldChar w:fldCharType="begin"/>
      </w:r>
      <w:r w:rsidRPr="00E76BF0">
        <w:rPr>
          <w:lang w:eastAsia="ja-JP"/>
        </w:rPr>
        <w:instrText xml:space="preserve"> REF _Ref131601595 \h </w:instrText>
      </w:r>
      <w:r w:rsidRPr="00E76BF0">
        <w:rPr>
          <w:lang w:eastAsia="ja-JP"/>
        </w:rPr>
      </w:r>
      <w:r w:rsidRPr="00E76BF0">
        <w:rPr>
          <w:lang w:eastAsia="ja-JP"/>
        </w:rPr>
        <w:fldChar w:fldCharType="separate"/>
      </w:r>
      <w:r w:rsidRPr="00E76BF0">
        <w:t xml:space="preserve">Table </w:t>
      </w:r>
      <w:r>
        <w:rPr>
          <w:noProof/>
        </w:rPr>
        <w:t>12</w:t>
      </w:r>
      <w:r w:rsidRPr="00E76BF0">
        <w:rPr>
          <w:lang w:eastAsia="ja-JP"/>
        </w:rPr>
        <w:fldChar w:fldCharType="end"/>
      </w:r>
      <w:r w:rsidRPr="00E76BF0">
        <w:rPr>
          <w:lang w:eastAsia="ja-JP"/>
        </w:rPr>
        <w:t>.</w:t>
      </w:r>
      <w:r>
        <w:rPr>
          <w:lang w:eastAsia="ja-JP"/>
        </w:rPr>
        <w:t xml:space="preserve"> </w:t>
      </w:r>
      <w:r w:rsidRPr="00E76BF0">
        <w:rPr>
          <w:lang w:eastAsia="ja-JP"/>
        </w:rPr>
        <w:t>One of the events was fatal: a</w:t>
      </w:r>
      <w:r w:rsidRPr="00E76BF0">
        <w:t xml:space="preserve">n 80-year-old male with medical history of hypertension, hypercholesterolaemia and ischaemic heart disease was diagnosed with PE 582 days after first dose of olaparib and abiraterone as an incidental finding on a re-evaluation CT scan. When recalled for admission based on the incidental finding, the patient reported he’d been experiencing asthenia and exertional dyspnoea. The patient’s condition deteriorated following admission for management. He developed renal failure and </w:t>
      </w:r>
      <w:r w:rsidRPr="00E76BF0">
        <w:lastRenderedPageBreak/>
        <w:t xml:space="preserve">hypotension, became comatose, and died </w:t>
      </w:r>
      <w:r>
        <w:t>seven</w:t>
      </w:r>
      <w:r w:rsidRPr="00E76BF0">
        <w:t xml:space="preserve"> days after diagnosis of PE. </w:t>
      </w:r>
      <w:r>
        <w:t>An</w:t>
      </w:r>
      <w:r w:rsidRPr="00E76BF0">
        <w:t xml:space="preserve"> autopsy was </w:t>
      </w:r>
      <w:r>
        <w:t xml:space="preserve">not </w:t>
      </w:r>
      <w:r w:rsidRPr="00E76BF0">
        <w:t>performed.</w:t>
      </w:r>
    </w:p>
    <w:p w14:paraId="4BF27461" w14:textId="41045282" w:rsidR="006A74A2" w:rsidRPr="00E76BF0" w:rsidRDefault="006A74A2" w:rsidP="00583A23">
      <w:pPr>
        <w:pStyle w:val="TableTitle"/>
      </w:pPr>
      <w:bookmarkStart w:id="94" w:name="_Ref131601595"/>
      <w:bookmarkStart w:id="95" w:name="_Toc122339019"/>
      <w:r w:rsidRPr="00E76BF0">
        <w:t>Table</w:t>
      </w:r>
      <w:bookmarkEnd w:id="94"/>
      <w:r w:rsidR="00D66090">
        <w:t xml:space="preserve"> </w:t>
      </w:r>
      <w:r w:rsidR="00D66090">
        <w:rPr>
          <w:noProof/>
        </w:rPr>
        <w:t>14</w:t>
      </w:r>
      <w:r w:rsidRPr="00E76BF0">
        <w:rPr>
          <w:noProof/>
        </w:rPr>
        <w:t xml:space="preserve">. </w:t>
      </w:r>
      <w:r w:rsidRPr="00E76BF0">
        <w:t>Study D081SC00001 (PROpel): Summary of VTEs</w:t>
      </w:r>
      <w:bookmarkEnd w:id="95"/>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27"/>
        <w:gridCol w:w="1622"/>
        <w:gridCol w:w="1611"/>
        <w:gridCol w:w="1609"/>
        <w:gridCol w:w="1714"/>
      </w:tblGrid>
      <w:tr w:rsidR="006C56CA" w:rsidRPr="00B12D26" w14:paraId="0C3E1CF0" w14:textId="77777777" w:rsidTr="00D30977">
        <w:trPr>
          <w:trHeight w:hRule="exact" w:val="721"/>
        </w:trPr>
        <w:tc>
          <w:tcPr>
            <w:tcW w:w="1431" w:type="pct"/>
            <w:vMerge w:val="restart"/>
            <w:shd w:val="clear" w:color="auto" w:fill="auto"/>
            <w:vAlign w:val="center"/>
          </w:tcPr>
          <w:p w14:paraId="2F67795E" w14:textId="77777777" w:rsidR="006A74A2" w:rsidRPr="00B12D26" w:rsidRDefault="006A74A2" w:rsidP="00DD7E39">
            <w:pPr>
              <w:keepNext/>
              <w:keepLines/>
              <w:widowControl w:val="0"/>
              <w:autoSpaceDE w:val="0"/>
              <w:autoSpaceDN w:val="0"/>
              <w:adjustRightInd w:val="0"/>
              <w:spacing w:after="0" w:line="240" w:lineRule="auto"/>
              <w:ind w:left="108" w:right="-20"/>
              <w:rPr>
                <w:rFonts w:eastAsia="MS Mincho" w:cs="Calibri"/>
                <w:szCs w:val="22"/>
              </w:rPr>
            </w:pPr>
            <w:r w:rsidRPr="00B12D26">
              <w:rPr>
                <w:rFonts w:eastAsia="MS Mincho" w:cs="Calibri"/>
                <w:b/>
                <w:bCs/>
                <w:szCs w:val="22"/>
              </w:rPr>
              <w:t>MedDRA</w:t>
            </w:r>
          </w:p>
          <w:p w14:paraId="2FA7D39B" w14:textId="77777777" w:rsidR="006A74A2" w:rsidRPr="00B12D26" w:rsidRDefault="006A74A2" w:rsidP="00DD7E39">
            <w:pPr>
              <w:keepNext/>
              <w:keepLines/>
              <w:widowControl w:val="0"/>
              <w:autoSpaceDE w:val="0"/>
              <w:autoSpaceDN w:val="0"/>
              <w:adjustRightInd w:val="0"/>
              <w:spacing w:after="0" w:line="240" w:lineRule="auto"/>
              <w:ind w:left="108" w:right="-20"/>
              <w:rPr>
                <w:rFonts w:eastAsia="MS Mincho" w:cs="Calibri"/>
                <w:szCs w:val="22"/>
              </w:rPr>
            </w:pPr>
            <w:r w:rsidRPr="00B12D26">
              <w:rPr>
                <w:rFonts w:eastAsia="MS Mincho" w:cs="Calibri"/>
                <w:b/>
                <w:bCs/>
                <w:spacing w:val="2"/>
                <w:szCs w:val="22"/>
              </w:rPr>
              <w:t>SMQ</w:t>
            </w:r>
            <w:r w:rsidRPr="00B12D26">
              <w:rPr>
                <w:rFonts w:eastAsia="MS Mincho" w:cs="Calibri"/>
                <w:b/>
                <w:bCs/>
                <w:szCs w:val="22"/>
              </w:rPr>
              <w:t>/</w:t>
            </w:r>
            <w:r w:rsidRPr="00B12D26">
              <w:rPr>
                <w:rFonts w:eastAsia="MS Mincho" w:cs="Calibri"/>
                <w:b/>
                <w:bCs/>
                <w:spacing w:val="-1"/>
                <w:szCs w:val="22"/>
              </w:rPr>
              <w:t>preferre</w:t>
            </w:r>
            <w:r w:rsidRPr="00B12D26">
              <w:rPr>
                <w:rFonts w:eastAsia="MS Mincho" w:cs="Calibri"/>
                <w:b/>
                <w:bCs/>
                <w:szCs w:val="22"/>
              </w:rPr>
              <w:t>d</w:t>
            </w:r>
            <w:r w:rsidRPr="00B12D26">
              <w:rPr>
                <w:rFonts w:eastAsia="MS Mincho" w:cs="Calibri"/>
                <w:b/>
                <w:bCs/>
                <w:spacing w:val="-1"/>
                <w:szCs w:val="22"/>
              </w:rPr>
              <w:t xml:space="preserve"> term</w:t>
            </w:r>
          </w:p>
        </w:tc>
        <w:tc>
          <w:tcPr>
            <w:tcW w:w="1760" w:type="pct"/>
            <w:gridSpan w:val="2"/>
            <w:shd w:val="clear" w:color="auto" w:fill="auto"/>
            <w:vAlign w:val="center"/>
          </w:tcPr>
          <w:p w14:paraId="546DAD96" w14:textId="77777777" w:rsidR="006A74A2" w:rsidRPr="00B12D26" w:rsidRDefault="006A74A2" w:rsidP="00DD7E39">
            <w:pPr>
              <w:keepNext/>
              <w:keepLines/>
              <w:widowControl w:val="0"/>
              <w:autoSpaceDE w:val="0"/>
              <w:autoSpaceDN w:val="0"/>
              <w:adjustRightInd w:val="0"/>
              <w:spacing w:after="0" w:line="240" w:lineRule="auto"/>
              <w:ind w:left="7" w:right="-20"/>
              <w:jc w:val="center"/>
              <w:rPr>
                <w:rFonts w:eastAsia="MS Mincho" w:cs="Calibri"/>
                <w:szCs w:val="22"/>
              </w:rPr>
            </w:pPr>
            <w:r w:rsidRPr="00B12D26">
              <w:rPr>
                <w:rFonts w:eastAsia="MS Mincho" w:cs="Calibri"/>
                <w:b/>
                <w:bCs/>
                <w:szCs w:val="22"/>
              </w:rPr>
              <w:t>Olaparib + abiraterone</w:t>
            </w:r>
          </w:p>
          <w:p w14:paraId="0EA929E3" w14:textId="77777777" w:rsidR="006A74A2" w:rsidRPr="00B12D26" w:rsidRDefault="006A74A2" w:rsidP="00DD7E39">
            <w:pPr>
              <w:keepNext/>
              <w:keepLines/>
              <w:widowControl w:val="0"/>
              <w:autoSpaceDE w:val="0"/>
              <w:autoSpaceDN w:val="0"/>
              <w:adjustRightInd w:val="0"/>
              <w:spacing w:after="0" w:line="240" w:lineRule="auto"/>
              <w:ind w:left="7" w:right="-20"/>
              <w:jc w:val="center"/>
              <w:rPr>
                <w:rFonts w:eastAsia="MS Mincho" w:cs="Calibri"/>
                <w:szCs w:val="22"/>
              </w:rPr>
            </w:pPr>
            <w:r w:rsidRPr="00B12D26">
              <w:rPr>
                <w:rFonts w:eastAsia="MS Mincho" w:cs="Calibri"/>
                <w:b/>
                <w:bCs/>
                <w:szCs w:val="22"/>
              </w:rPr>
              <w:t>(N=398)</w:t>
            </w:r>
          </w:p>
        </w:tc>
        <w:tc>
          <w:tcPr>
            <w:tcW w:w="1809" w:type="pct"/>
            <w:gridSpan w:val="2"/>
            <w:shd w:val="clear" w:color="auto" w:fill="auto"/>
            <w:vAlign w:val="center"/>
          </w:tcPr>
          <w:p w14:paraId="0AB8AD81" w14:textId="77777777" w:rsidR="006A74A2" w:rsidRPr="00B12D26" w:rsidRDefault="006A74A2" w:rsidP="00DD7E39">
            <w:pPr>
              <w:keepNext/>
              <w:keepLines/>
              <w:widowControl w:val="0"/>
              <w:autoSpaceDE w:val="0"/>
              <w:autoSpaceDN w:val="0"/>
              <w:adjustRightInd w:val="0"/>
              <w:spacing w:after="0" w:line="240" w:lineRule="auto"/>
              <w:ind w:left="7" w:right="-20"/>
              <w:jc w:val="center"/>
              <w:rPr>
                <w:rFonts w:eastAsia="MS Mincho" w:cs="Calibri"/>
                <w:szCs w:val="22"/>
              </w:rPr>
            </w:pPr>
            <w:r w:rsidRPr="00B12D26">
              <w:rPr>
                <w:rFonts w:eastAsia="MS Mincho" w:cs="Calibri"/>
                <w:b/>
                <w:bCs/>
                <w:szCs w:val="22"/>
              </w:rPr>
              <w:t>Placebo</w:t>
            </w:r>
            <w:r w:rsidRPr="00B12D26">
              <w:rPr>
                <w:rFonts w:eastAsia="MS Mincho" w:cs="Calibri"/>
                <w:b/>
                <w:bCs/>
                <w:spacing w:val="-1"/>
                <w:szCs w:val="22"/>
              </w:rPr>
              <w:t xml:space="preserve"> </w:t>
            </w:r>
            <w:r w:rsidRPr="00B12D26">
              <w:rPr>
                <w:rFonts w:eastAsia="MS Mincho" w:cs="Calibri"/>
                <w:b/>
                <w:bCs/>
                <w:szCs w:val="22"/>
              </w:rPr>
              <w:t>+</w:t>
            </w:r>
            <w:r w:rsidRPr="00B12D26">
              <w:rPr>
                <w:rFonts w:eastAsia="MS Mincho" w:cs="Calibri"/>
                <w:b/>
                <w:bCs/>
                <w:spacing w:val="2"/>
                <w:szCs w:val="22"/>
              </w:rPr>
              <w:t xml:space="preserve"> </w:t>
            </w:r>
            <w:r w:rsidRPr="00B12D26">
              <w:rPr>
                <w:rFonts w:eastAsia="MS Mincho" w:cs="Calibri"/>
                <w:b/>
                <w:bCs/>
                <w:szCs w:val="22"/>
              </w:rPr>
              <w:t>abiraterone</w:t>
            </w:r>
          </w:p>
          <w:p w14:paraId="69E4DEA4" w14:textId="77777777" w:rsidR="006A74A2" w:rsidRPr="00B12D26" w:rsidRDefault="006A74A2" w:rsidP="00DD7E39">
            <w:pPr>
              <w:keepNext/>
              <w:keepLines/>
              <w:widowControl w:val="0"/>
              <w:autoSpaceDE w:val="0"/>
              <w:autoSpaceDN w:val="0"/>
              <w:adjustRightInd w:val="0"/>
              <w:spacing w:after="0" w:line="240" w:lineRule="auto"/>
              <w:ind w:left="7" w:right="-20"/>
              <w:jc w:val="center"/>
              <w:rPr>
                <w:rFonts w:eastAsia="MS Mincho" w:cs="Calibri"/>
                <w:szCs w:val="22"/>
              </w:rPr>
            </w:pPr>
            <w:r w:rsidRPr="00B12D26">
              <w:rPr>
                <w:rFonts w:eastAsia="MS Mincho" w:cs="Calibri"/>
                <w:b/>
                <w:bCs/>
                <w:szCs w:val="22"/>
              </w:rPr>
              <w:t>(N=396)</w:t>
            </w:r>
          </w:p>
        </w:tc>
      </w:tr>
      <w:tr w:rsidR="006C56CA" w:rsidRPr="00B12D26" w14:paraId="4CC0430B" w14:textId="77777777" w:rsidTr="00D30977">
        <w:trPr>
          <w:trHeight w:hRule="exact" w:val="1018"/>
        </w:trPr>
        <w:tc>
          <w:tcPr>
            <w:tcW w:w="1431" w:type="pct"/>
            <w:vMerge/>
            <w:shd w:val="clear" w:color="auto" w:fill="auto"/>
          </w:tcPr>
          <w:p w14:paraId="45E8D11E" w14:textId="77777777" w:rsidR="006A74A2" w:rsidRPr="00B12D26" w:rsidRDefault="006A74A2" w:rsidP="00DD7E39">
            <w:pPr>
              <w:keepNext/>
              <w:keepLines/>
              <w:widowControl w:val="0"/>
              <w:autoSpaceDE w:val="0"/>
              <w:autoSpaceDN w:val="0"/>
              <w:adjustRightInd w:val="0"/>
              <w:spacing w:after="0" w:line="240" w:lineRule="auto"/>
              <w:ind w:left="108" w:right="-20"/>
              <w:rPr>
                <w:rFonts w:eastAsia="MS Mincho" w:cs="Calibri"/>
                <w:szCs w:val="22"/>
              </w:rPr>
            </w:pPr>
          </w:p>
        </w:tc>
        <w:tc>
          <w:tcPr>
            <w:tcW w:w="883" w:type="pct"/>
            <w:shd w:val="clear" w:color="auto" w:fill="auto"/>
            <w:vAlign w:val="center"/>
          </w:tcPr>
          <w:p w14:paraId="0FAB5301" w14:textId="77777777" w:rsidR="006A74A2" w:rsidRPr="00B12D26" w:rsidRDefault="006A74A2" w:rsidP="00DD7E39">
            <w:pPr>
              <w:keepNext/>
              <w:keepLines/>
              <w:widowControl w:val="0"/>
              <w:autoSpaceDE w:val="0"/>
              <w:autoSpaceDN w:val="0"/>
              <w:adjustRightInd w:val="0"/>
              <w:spacing w:after="0" w:line="240" w:lineRule="auto"/>
              <w:ind w:left="7" w:right="-15"/>
              <w:jc w:val="center"/>
              <w:rPr>
                <w:rFonts w:eastAsia="MS Mincho" w:cs="Calibri"/>
                <w:b/>
                <w:szCs w:val="22"/>
              </w:rPr>
            </w:pPr>
            <w:r w:rsidRPr="00B12D26">
              <w:rPr>
                <w:rFonts w:eastAsia="MS Mincho" w:cs="Calibri"/>
                <w:b/>
                <w:spacing w:val="-1"/>
                <w:szCs w:val="22"/>
              </w:rPr>
              <w:t xml:space="preserve">Number </w:t>
            </w:r>
            <w:r w:rsidRPr="00B12D26">
              <w:rPr>
                <w:rFonts w:eastAsia="MS Mincho" w:cs="Calibri"/>
                <w:b/>
                <w:spacing w:val="2"/>
                <w:szCs w:val="22"/>
              </w:rPr>
              <w:t>(%</w:t>
            </w:r>
            <w:r w:rsidRPr="00B12D26">
              <w:rPr>
                <w:rFonts w:eastAsia="MS Mincho" w:cs="Calibri"/>
                <w:b/>
                <w:szCs w:val="22"/>
              </w:rPr>
              <w:t>)</w:t>
            </w:r>
            <w:r w:rsidRPr="00B12D26">
              <w:rPr>
                <w:rFonts w:eastAsia="MS Mincho" w:cs="Calibri"/>
                <w:b/>
                <w:spacing w:val="-5"/>
                <w:szCs w:val="22"/>
              </w:rPr>
              <w:t xml:space="preserve"> </w:t>
            </w:r>
            <w:r w:rsidRPr="00B12D26">
              <w:rPr>
                <w:rFonts w:eastAsia="MS Mincho" w:cs="Calibri"/>
                <w:b/>
                <w:spacing w:val="5"/>
                <w:szCs w:val="22"/>
              </w:rPr>
              <w:t xml:space="preserve">of </w:t>
            </w:r>
            <w:r w:rsidRPr="00B12D26">
              <w:rPr>
                <w:rFonts w:eastAsia="MS Mincho" w:cs="Calibri"/>
                <w:b/>
                <w:spacing w:val="1"/>
                <w:szCs w:val="22"/>
              </w:rPr>
              <w:t>pat</w:t>
            </w:r>
            <w:r w:rsidRPr="00B12D26">
              <w:rPr>
                <w:rFonts w:eastAsia="MS Mincho" w:cs="Calibri"/>
                <w:b/>
                <w:spacing w:val="-9"/>
                <w:szCs w:val="22"/>
              </w:rPr>
              <w:t>i</w:t>
            </w:r>
            <w:r w:rsidRPr="00B12D26">
              <w:rPr>
                <w:rFonts w:eastAsia="MS Mincho" w:cs="Calibri"/>
                <w:b/>
                <w:spacing w:val="1"/>
                <w:szCs w:val="22"/>
              </w:rPr>
              <w:t>ents</w:t>
            </w:r>
          </w:p>
        </w:tc>
        <w:tc>
          <w:tcPr>
            <w:tcW w:w="877" w:type="pct"/>
            <w:shd w:val="clear" w:color="auto" w:fill="auto"/>
            <w:vAlign w:val="center"/>
          </w:tcPr>
          <w:p w14:paraId="3A9BFE71" w14:textId="77777777" w:rsidR="006A74A2" w:rsidRPr="00B12D26" w:rsidRDefault="006A74A2" w:rsidP="00DD7E39">
            <w:pPr>
              <w:keepNext/>
              <w:keepLines/>
              <w:widowControl w:val="0"/>
              <w:autoSpaceDE w:val="0"/>
              <w:autoSpaceDN w:val="0"/>
              <w:adjustRightInd w:val="0"/>
              <w:spacing w:after="0" w:line="240" w:lineRule="auto"/>
              <w:ind w:left="7" w:right="-15"/>
              <w:jc w:val="center"/>
              <w:rPr>
                <w:rFonts w:eastAsia="MS Mincho" w:cs="Calibri"/>
                <w:b/>
                <w:szCs w:val="22"/>
              </w:rPr>
            </w:pPr>
            <w:r w:rsidRPr="00B12D26">
              <w:rPr>
                <w:rFonts w:eastAsia="MS Mincho" w:cs="Calibri"/>
                <w:b/>
                <w:szCs w:val="22"/>
              </w:rPr>
              <w:t>Event</w:t>
            </w:r>
            <w:r w:rsidRPr="00B12D26">
              <w:rPr>
                <w:rFonts w:eastAsia="MS Mincho" w:cs="Calibri"/>
                <w:b/>
                <w:spacing w:val="1"/>
                <w:szCs w:val="22"/>
              </w:rPr>
              <w:t xml:space="preserve"> </w:t>
            </w:r>
            <w:r w:rsidRPr="00B12D26">
              <w:rPr>
                <w:rFonts w:eastAsia="MS Mincho" w:cs="Calibri"/>
                <w:b/>
                <w:szCs w:val="22"/>
              </w:rPr>
              <w:t>rate</w:t>
            </w:r>
          </w:p>
          <w:p w14:paraId="0D7D0DEB" w14:textId="77777777" w:rsidR="006A74A2" w:rsidRPr="00B12D26" w:rsidRDefault="006A74A2" w:rsidP="00DD7E39">
            <w:pPr>
              <w:keepNext/>
              <w:keepLines/>
              <w:widowControl w:val="0"/>
              <w:autoSpaceDE w:val="0"/>
              <w:autoSpaceDN w:val="0"/>
              <w:adjustRightInd w:val="0"/>
              <w:spacing w:after="0" w:line="240" w:lineRule="auto"/>
              <w:ind w:left="7" w:right="-15"/>
              <w:jc w:val="center"/>
              <w:rPr>
                <w:rFonts w:eastAsia="MS Mincho" w:cs="Calibri"/>
                <w:b/>
                <w:szCs w:val="22"/>
              </w:rPr>
            </w:pPr>
            <w:r w:rsidRPr="00B12D26">
              <w:rPr>
                <w:rFonts w:eastAsia="MS Mincho" w:cs="Calibri"/>
                <w:b/>
                <w:szCs w:val="22"/>
              </w:rPr>
              <w:t xml:space="preserve">(per 1000 </w:t>
            </w:r>
            <w:r w:rsidRPr="00B12D26">
              <w:rPr>
                <w:rFonts w:eastAsia="MS Mincho" w:cs="Calibri"/>
                <w:b/>
                <w:spacing w:val="1"/>
                <w:szCs w:val="22"/>
              </w:rPr>
              <w:t>pat</w:t>
            </w:r>
            <w:r w:rsidRPr="00B12D26">
              <w:rPr>
                <w:rFonts w:eastAsia="MS Mincho" w:cs="Calibri"/>
                <w:b/>
                <w:spacing w:val="-9"/>
                <w:szCs w:val="22"/>
              </w:rPr>
              <w:t>i</w:t>
            </w:r>
            <w:r w:rsidRPr="00B12D26">
              <w:rPr>
                <w:rFonts w:eastAsia="MS Mincho" w:cs="Calibri"/>
                <w:b/>
                <w:szCs w:val="22"/>
              </w:rPr>
              <w:t>ent</w:t>
            </w:r>
            <w:r w:rsidRPr="00B12D26">
              <w:rPr>
                <w:rFonts w:eastAsia="MS Mincho" w:cs="Calibri"/>
                <w:b/>
                <w:spacing w:val="12"/>
                <w:szCs w:val="22"/>
              </w:rPr>
              <w:t xml:space="preserve"> </w:t>
            </w:r>
            <w:r w:rsidRPr="00B12D26">
              <w:rPr>
                <w:rFonts w:eastAsia="MS Mincho" w:cs="Calibri"/>
                <w:b/>
                <w:spacing w:val="-2"/>
                <w:szCs w:val="22"/>
              </w:rPr>
              <w:t>years)</w:t>
            </w:r>
          </w:p>
        </w:tc>
        <w:tc>
          <w:tcPr>
            <w:tcW w:w="876" w:type="pct"/>
            <w:shd w:val="clear" w:color="auto" w:fill="auto"/>
            <w:vAlign w:val="center"/>
          </w:tcPr>
          <w:p w14:paraId="118BB42F" w14:textId="77777777" w:rsidR="006A74A2" w:rsidRPr="00B12D26" w:rsidRDefault="006A74A2" w:rsidP="00DD7E39">
            <w:pPr>
              <w:keepNext/>
              <w:keepLines/>
              <w:widowControl w:val="0"/>
              <w:autoSpaceDE w:val="0"/>
              <w:autoSpaceDN w:val="0"/>
              <w:adjustRightInd w:val="0"/>
              <w:spacing w:after="0" w:line="240" w:lineRule="auto"/>
              <w:ind w:left="7" w:right="-15"/>
              <w:jc w:val="center"/>
              <w:rPr>
                <w:rFonts w:eastAsia="MS Mincho" w:cs="Calibri"/>
                <w:b/>
                <w:szCs w:val="22"/>
              </w:rPr>
            </w:pPr>
            <w:r w:rsidRPr="00B12D26">
              <w:rPr>
                <w:rFonts w:eastAsia="MS Mincho" w:cs="Calibri"/>
                <w:b/>
                <w:szCs w:val="22"/>
              </w:rPr>
              <w:t>Number</w:t>
            </w:r>
            <w:r w:rsidRPr="00B12D26">
              <w:rPr>
                <w:rFonts w:eastAsia="MS Mincho" w:cs="Calibri"/>
                <w:b/>
                <w:spacing w:val="1"/>
                <w:szCs w:val="22"/>
              </w:rPr>
              <w:t xml:space="preserve"> </w:t>
            </w:r>
            <w:r w:rsidRPr="00B12D26">
              <w:rPr>
                <w:rFonts w:eastAsia="MS Mincho" w:cs="Calibri"/>
                <w:b/>
                <w:szCs w:val="22"/>
              </w:rPr>
              <w:t xml:space="preserve">(%) </w:t>
            </w:r>
            <w:r w:rsidRPr="00B12D26">
              <w:rPr>
                <w:rFonts w:eastAsia="MS Mincho" w:cs="Calibri"/>
                <w:b/>
                <w:spacing w:val="5"/>
                <w:szCs w:val="22"/>
              </w:rPr>
              <w:t>o</w:t>
            </w:r>
            <w:r w:rsidRPr="00B12D26">
              <w:rPr>
                <w:rFonts w:eastAsia="MS Mincho" w:cs="Calibri"/>
                <w:b/>
                <w:szCs w:val="22"/>
              </w:rPr>
              <w:t>f</w:t>
            </w:r>
            <w:r w:rsidRPr="00B12D26">
              <w:rPr>
                <w:rFonts w:eastAsia="MS Mincho" w:cs="Calibri"/>
                <w:b/>
                <w:spacing w:val="-6"/>
                <w:szCs w:val="22"/>
              </w:rPr>
              <w:t xml:space="preserve"> </w:t>
            </w:r>
            <w:r w:rsidRPr="00B12D26">
              <w:rPr>
                <w:rFonts w:eastAsia="MS Mincho" w:cs="Calibri"/>
                <w:b/>
                <w:spacing w:val="1"/>
                <w:szCs w:val="22"/>
              </w:rPr>
              <w:t>pat</w:t>
            </w:r>
            <w:r w:rsidRPr="00B12D26">
              <w:rPr>
                <w:rFonts w:eastAsia="MS Mincho" w:cs="Calibri"/>
                <w:b/>
                <w:spacing w:val="-9"/>
                <w:szCs w:val="22"/>
              </w:rPr>
              <w:t>i</w:t>
            </w:r>
            <w:r w:rsidRPr="00B12D26">
              <w:rPr>
                <w:rFonts w:eastAsia="MS Mincho" w:cs="Calibri"/>
                <w:b/>
                <w:spacing w:val="1"/>
                <w:szCs w:val="22"/>
              </w:rPr>
              <w:t>ents</w:t>
            </w:r>
          </w:p>
        </w:tc>
        <w:tc>
          <w:tcPr>
            <w:tcW w:w="933" w:type="pct"/>
            <w:shd w:val="clear" w:color="auto" w:fill="auto"/>
            <w:vAlign w:val="center"/>
          </w:tcPr>
          <w:p w14:paraId="378C3150" w14:textId="77777777" w:rsidR="006A74A2" w:rsidRPr="00B12D26" w:rsidRDefault="006A74A2" w:rsidP="00DD7E39">
            <w:pPr>
              <w:keepNext/>
              <w:keepLines/>
              <w:widowControl w:val="0"/>
              <w:autoSpaceDE w:val="0"/>
              <w:autoSpaceDN w:val="0"/>
              <w:adjustRightInd w:val="0"/>
              <w:spacing w:after="0" w:line="240" w:lineRule="auto"/>
              <w:ind w:left="7" w:right="-15"/>
              <w:jc w:val="center"/>
              <w:rPr>
                <w:rFonts w:eastAsia="MS Mincho" w:cs="Calibri"/>
                <w:b/>
                <w:szCs w:val="22"/>
              </w:rPr>
            </w:pPr>
            <w:r w:rsidRPr="00B12D26">
              <w:rPr>
                <w:rFonts w:eastAsia="MS Mincho" w:cs="Calibri"/>
                <w:b/>
                <w:szCs w:val="22"/>
              </w:rPr>
              <w:t>Event</w:t>
            </w:r>
            <w:r w:rsidRPr="00B12D26">
              <w:rPr>
                <w:rFonts w:eastAsia="MS Mincho" w:cs="Calibri"/>
                <w:b/>
                <w:spacing w:val="1"/>
                <w:szCs w:val="22"/>
              </w:rPr>
              <w:t xml:space="preserve"> </w:t>
            </w:r>
            <w:r w:rsidRPr="00B12D26">
              <w:rPr>
                <w:rFonts w:eastAsia="MS Mincho" w:cs="Calibri"/>
                <w:b/>
                <w:szCs w:val="22"/>
              </w:rPr>
              <w:t>rate</w:t>
            </w:r>
          </w:p>
          <w:p w14:paraId="184C936C" w14:textId="77777777" w:rsidR="006A74A2" w:rsidRPr="00B12D26" w:rsidRDefault="006A74A2" w:rsidP="00DD7E39">
            <w:pPr>
              <w:keepNext/>
              <w:keepLines/>
              <w:widowControl w:val="0"/>
              <w:autoSpaceDE w:val="0"/>
              <w:autoSpaceDN w:val="0"/>
              <w:adjustRightInd w:val="0"/>
              <w:spacing w:after="0" w:line="240" w:lineRule="auto"/>
              <w:ind w:left="7" w:right="-15"/>
              <w:jc w:val="center"/>
              <w:rPr>
                <w:rFonts w:eastAsia="MS Mincho" w:cs="Calibri"/>
                <w:b/>
                <w:szCs w:val="22"/>
              </w:rPr>
            </w:pPr>
            <w:r w:rsidRPr="00B12D26">
              <w:rPr>
                <w:rFonts w:eastAsia="MS Mincho" w:cs="Calibri"/>
                <w:b/>
                <w:szCs w:val="22"/>
              </w:rPr>
              <w:t xml:space="preserve">(per 1000 </w:t>
            </w:r>
            <w:r w:rsidRPr="00B12D26">
              <w:rPr>
                <w:rFonts w:eastAsia="MS Mincho" w:cs="Calibri"/>
                <w:b/>
                <w:spacing w:val="1"/>
                <w:szCs w:val="22"/>
              </w:rPr>
              <w:t>pat</w:t>
            </w:r>
            <w:r w:rsidRPr="00B12D26">
              <w:rPr>
                <w:rFonts w:eastAsia="MS Mincho" w:cs="Calibri"/>
                <w:b/>
                <w:spacing w:val="-9"/>
                <w:szCs w:val="22"/>
              </w:rPr>
              <w:t>i</w:t>
            </w:r>
            <w:r w:rsidRPr="00B12D26">
              <w:rPr>
                <w:rFonts w:eastAsia="MS Mincho" w:cs="Calibri"/>
                <w:b/>
                <w:szCs w:val="22"/>
              </w:rPr>
              <w:t>ent</w:t>
            </w:r>
            <w:r w:rsidRPr="00B12D26">
              <w:rPr>
                <w:rFonts w:eastAsia="MS Mincho" w:cs="Calibri"/>
                <w:b/>
                <w:spacing w:val="12"/>
                <w:szCs w:val="22"/>
              </w:rPr>
              <w:t xml:space="preserve"> </w:t>
            </w:r>
            <w:r w:rsidRPr="00B12D26">
              <w:rPr>
                <w:rFonts w:eastAsia="MS Mincho" w:cs="Calibri"/>
                <w:b/>
                <w:spacing w:val="-2"/>
                <w:szCs w:val="22"/>
              </w:rPr>
              <w:t>years)</w:t>
            </w:r>
          </w:p>
        </w:tc>
      </w:tr>
      <w:tr w:rsidR="006C56CA" w:rsidRPr="00B12D26" w14:paraId="6FD54D58" w14:textId="77777777" w:rsidTr="00583A23">
        <w:trPr>
          <w:trHeight w:hRule="exact" w:val="283"/>
        </w:trPr>
        <w:tc>
          <w:tcPr>
            <w:tcW w:w="1431" w:type="pct"/>
            <w:shd w:val="clear" w:color="auto" w:fill="auto"/>
            <w:vAlign w:val="center"/>
          </w:tcPr>
          <w:p w14:paraId="06D8C84E" w14:textId="77777777" w:rsidR="006A74A2" w:rsidRPr="00B12D26" w:rsidRDefault="006A74A2" w:rsidP="00DD7E39">
            <w:pPr>
              <w:keepNext/>
              <w:keepLines/>
              <w:widowControl w:val="0"/>
              <w:autoSpaceDE w:val="0"/>
              <w:autoSpaceDN w:val="0"/>
              <w:adjustRightInd w:val="0"/>
              <w:spacing w:after="0" w:line="240" w:lineRule="auto"/>
              <w:ind w:left="108" w:right="-20"/>
              <w:rPr>
                <w:rFonts w:eastAsia="MS Mincho" w:cs="Calibri"/>
                <w:szCs w:val="22"/>
              </w:rPr>
            </w:pPr>
            <w:r w:rsidRPr="00B12D26">
              <w:rPr>
                <w:rFonts w:eastAsia="MS Mincho" w:cs="Calibri"/>
                <w:b/>
                <w:bCs/>
                <w:szCs w:val="22"/>
              </w:rPr>
              <w:t xml:space="preserve">Patients with any </w:t>
            </w:r>
            <w:r w:rsidRPr="00B12D26">
              <w:rPr>
                <w:rFonts w:eastAsia="MS Mincho" w:cs="Calibri"/>
                <w:b/>
                <w:bCs/>
                <w:spacing w:val="-1"/>
                <w:szCs w:val="22"/>
              </w:rPr>
              <w:t>VTEs</w:t>
            </w:r>
          </w:p>
        </w:tc>
        <w:tc>
          <w:tcPr>
            <w:tcW w:w="883" w:type="pct"/>
            <w:shd w:val="clear" w:color="auto" w:fill="auto"/>
            <w:vAlign w:val="center"/>
          </w:tcPr>
          <w:p w14:paraId="4588FA81"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pacing w:val="1"/>
                <w:szCs w:val="22"/>
              </w:rPr>
              <w:t>2</w:t>
            </w:r>
            <w:r w:rsidRPr="00B12D26">
              <w:rPr>
                <w:rFonts w:eastAsia="MS Mincho" w:cs="Calibri"/>
                <w:szCs w:val="22"/>
              </w:rPr>
              <w:t>9</w:t>
            </w:r>
            <w:r w:rsidRPr="00B12D26">
              <w:rPr>
                <w:rFonts w:eastAsia="MS Mincho" w:cs="Calibri"/>
                <w:spacing w:val="1"/>
                <w:szCs w:val="22"/>
              </w:rPr>
              <w:t xml:space="preserve"> </w:t>
            </w:r>
            <w:r w:rsidRPr="00B12D26">
              <w:rPr>
                <w:rFonts w:eastAsia="MS Mincho" w:cs="Calibri"/>
                <w:szCs w:val="22"/>
              </w:rPr>
              <w:t>(</w:t>
            </w:r>
            <w:r w:rsidRPr="00B12D26">
              <w:rPr>
                <w:rFonts w:eastAsia="MS Mincho" w:cs="Calibri"/>
                <w:spacing w:val="1"/>
                <w:szCs w:val="22"/>
              </w:rPr>
              <w:t>7.3)</w:t>
            </w:r>
          </w:p>
        </w:tc>
        <w:tc>
          <w:tcPr>
            <w:tcW w:w="877" w:type="pct"/>
            <w:shd w:val="clear" w:color="auto" w:fill="auto"/>
            <w:vAlign w:val="center"/>
          </w:tcPr>
          <w:p w14:paraId="32FEFA1C"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pacing w:val="1"/>
                <w:szCs w:val="22"/>
              </w:rPr>
              <w:t>55.1</w:t>
            </w:r>
          </w:p>
        </w:tc>
        <w:tc>
          <w:tcPr>
            <w:tcW w:w="876" w:type="pct"/>
            <w:shd w:val="clear" w:color="auto" w:fill="auto"/>
            <w:vAlign w:val="center"/>
          </w:tcPr>
          <w:p w14:paraId="7ACDD671"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pacing w:val="1"/>
                <w:szCs w:val="22"/>
              </w:rPr>
              <w:t>1</w:t>
            </w:r>
            <w:r w:rsidRPr="00B12D26">
              <w:rPr>
                <w:rFonts w:eastAsia="MS Mincho" w:cs="Calibri"/>
                <w:szCs w:val="22"/>
              </w:rPr>
              <w:t>3</w:t>
            </w:r>
            <w:r w:rsidRPr="00B12D26">
              <w:rPr>
                <w:rFonts w:eastAsia="MS Mincho" w:cs="Calibri"/>
                <w:spacing w:val="1"/>
                <w:szCs w:val="22"/>
              </w:rPr>
              <w:t xml:space="preserve"> </w:t>
            </w:r>
            <w:r w:rsidRPr="00B12D26">
              <w:rPr>
                <w:rFonts w:eastAsia="MS Mincho" w:cs="Calibri"/>
                <w:szCs w:val="22"/>
              </w:rPr>
              <w:t>(</w:t>
            </w:r>
            <w:r w:rsidRPr="00B12D26">
              <w:rPr>
                <w:rFonts w:eastAsia="MS Mincho" w:cs="Calibri"/>
                <w:spacing w:val="1"/>
                <w:szCs w:val="22"/>
              </w:rPr>
              <w:t>3.3)</w:t>
            </w:r>
          </w:p>
        </w:tc>
        <w:tc>
          <w:tcPr>
            <w:tcW w:w="933" w:type="pct"/>
            <w:shd w:val="clear" w:color="auto" w:fill="auto"/>
            <w:vAlign w:val="center"/>
          </w:tcPr>
          <w:p w14:paraId="45A897D3"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pacing w:val="1"/>
                <w:szCs w:val="22"/>
              </w:rPr>
              <w:t>25.8</w:t>
            </w:r>
          </w:p>
        </w:tc>
      </w:tr>
      <w:tr w:rsidR="006C56CA" w:rsidRPr="00B12D26" w14:paraId="474F02E2" w14:textId="77777777" w:rsidTr="00583A23">
        <w:trPr>
          <w:trHeight w:val="283"/>
        </w:trPr>
        <w:tc>
          <w:tcPr>
            <w:tcW w:w="1431" w:type="pct"/>
            <w:shd w:val="clear" w:color="auto" w:fill="auto"/>
            <w:vAlign w:val="center"/>
          </w:tcPr>
          <w:p w14:paraId="6505250C" w14:textId="77777777" w:rsidR="006A74A2" w:rsidRPr="00B12D26" w:rsidRDefault="006A74A2" w:rsidP="00DD7E39">
            <w:pPr>
              <w:keepNext/>
              <w:keepLines/>
              <w:widowControl w:val="0"/>
              <w:autoSpaceDE w:val="0"/>
              <w:autoSpaceDN w:val="0"/>
              <w:adjustRightInd w:val="0"/>
              <w:spacing w:after="0" w:line="240" w:lineRule="auto"/>
              <w:ind w:left="108" w:right="-20"/>
              <w:rPr>
                <w:rFonts w:eastAsia="MS Mincho" w:cs="Calibri"/>
                <w:szCs w:val="22"/>
              </w:rPr>
            </w:pPr>
            <w:r w:rsidRPr="00B12D26">
              <w:rPr>
                <w:rFonts w:eastAsia="MS Mincho" w:cs="Calibri"/>
                <w:spacing w:val="-2"/>
                <w:szCs w:val="22"/>
              </w:rPr>
              <w:t>Pulm</w:t>
            </w:r>
            <w:r w:rsidRPr="00B12D26">
              <w:rPr>
                <w:rFonts w:eastAsia="MS Mincho" w:cs="Calibri"/>
                <w:spacing w:val="10"/>
                <w:szCs w:val="22"/>
              </w:rPr>
              <w:t>o</w:t>
            </w:r>
            <w:r w:rsidRPr="00B12D26">
              <w:rPr>
                <w:rFonts w:eastAsia="MS Mincho" w:cs="Calibri"/>
                <w:szCs w:val="22"/>
              </w:rPr>
              <w:t>nary</w:t>
            </w:r>
            <w:r w:rsidRPr="00B12D26">
              <w:rPr>
                <w:rFonts w:eastAsia="MS Mincho" w:cs="Calibri"/>
                <w:spacing w:val="-10"/>
                <w:szCs w:val="22"/>
              </w:rPr>
              <w:t xml:space="preserve"> </w:t>
            </w:r>
            <w:r w:rsidRPr="00B12D26">
              <w:rPr>
                <w:rFonts w:eastAsia="MS Mincho" w:cs="Calibri"/>
                <w:spacing w:val="-1"/>
                <w:szCs w:val="22"/>
              </w:rPr>
              <w:t>emb</w:t>
            </w:r>
            <w:r w:rsidRPr="00B12D26">
              <w:rPr>
                <w:rFonts w:eastAsia="MS Mincho" w:cs="Calibri"/>
                <w:spacing w:val="9"/>
                <w:szCs w:val="22"/>
              </w:rPr>
              <w:t>o</w:t>
            </w:r>
            <w:r w:rsidRPr="00B12D26">
              <w:rPr>
                <w:rFonts w:eastAsia="MS Mincho" w:cs="Calibri"/>
                <w:szCs w:val="22"/>
              </w:rPr>
              <w:t>lism</w:t>
            </w:r>
          </w:p>
        </w:tc>
        <w:tc>
          <w:tcPr>
            <w:tcW w:w="883" w:type="pct"/>
            <w:shd w:val="clear" w:color="auto" w:fill="auto"/>
            <w:vAlign w:val="center"/>
          </w:tcPr>
          <w:p w14:paraId="116B35C6"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zCs w:val="22"/>
              </w:rPr>
              <w:t>26 (6.5)</w:t>
            </w:r>
          </w:p>
        </w:tc>
        <w:tc>
          <w:tcPr>
            <w:tcW w:w="877" w:type="pct"/>
            <w:shd w:val="clear" w:color="auto" w:fill="auto"/>
            <w:vAlign w:val="center"/>
          </w:tcPr>
          <w:p w14:paraId="58FA9C6F"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pacing w:val="1"/>
                <w:szCs w:val="22"/>
              </w:rPr>
              <w:t>49.1</w:t>
            </w:r>
          </w:p>
        </w:tc>
        <w:tc>
          <w:tcPr>
            <w:tcW w:w="876" w:type="pct"/>
            <w:shd w:val="clear" w:color="auto" w:fill="auto"/>
            <w:vAlign w:val="center"/>
          </w:tcPr>
          <w:p w14:paraId="21502E4F"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zCs w:val="22"/>
              </w:rPr>
              <w:t>7 (1.8)</w:t>
            </w:r>
          </w:p>
        </w:tc>
        <w:tc>
          <w:tcPr>
            <w:tcW w:w="933" w:type="pct"/>
            <w:shd w:val="clear" w:color="auto" w:fill="auto"/>
            <w:vAlign w:val="center"/>
          </w:tcPr>
          <w:p w14:paraId="1C0D5A54"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pacing w:val="1"/>
                <w:szCs w:val="22"/>
              </w:rPr>
              <w:t>13.8</w:t>
            </w:r>
          </w:p>
        </w:tc>
      </w:tr>
      <w:tr w:rsidR="006C56CA" w:rsidRPr="00B12D26" w14:paraId="5DB31242" w14:textId="77777777" w:rsidTr="00583A23">
        <w:trPr>
          <w:trHeight w:val="283"/>
        </w:trPr>
        <w:tc>
          <w:tcPr>
            <w:tcW w:w="1431" w:type="pct"/>
            <w:shd w:val="clear" w:color="auto" w:fill="auto"/>
            <w:vAlign w:val="center"/>
          </w:tcPr>
          <w:p w14:paraId="3D2E850C" w14:textId="77777777" w:rsidR="006A74A2" w:rsidRPr="00B12D26" w:rsidRDefault="006A74A2" w:rsidP="00DD7E39">
            <w:pPr>
              <w:keepNext/>
              <w:keepLines/>
              <w:widowControl w:val="0"/>
              <w:autoSpaceDE w:val="0"/>
              <w:autoSpaceDN w:val="0"/>
              <w:adjustRightInd w:val="0"/>
              <w:spacing w:after="0" w:line="240" w:lineRule="auto"/>
              <w:ind w:left="108" w:right="-20"/>
              <w:rPr>
                <w:rFonts w:eastAsia="MS Mincho" w:cs="Calibri"/>
                <w:szCs w:val="22"/>
              </w:rPr>
            </w:pPr>
            <w:r w:rsidRPr="00B12D26">
              <w:rPr>
                <w:rFonts w:eastAsia="MS Mincho" w:cs="Calibri"/>
                <w:spacing w:val="-1"/>
                <w:szCs w:val="22"/>
              </w:rPr>
              <w:t>Dee</w:t>
            </w:r>
            <w:r w:rsidRPr="00B12D26">
              <w:rPr>
                <w:rFonts w:eastAsia="MS Mincho" w:cs="Calibri"/>
                <w:szCs w:val="22"/>
              </w:rPr>
              <w:t>p</w:t>
            </w:r>
            <w:r w:rsidRPr="00B12D26">
              <w:rPr>
                <w:rFonts w:eastAsia="MS Mincho" w:cs="Calibri"/>
                <w:spacing w:val="2"/>
                <w:szCs w:val="22"/>
              </w:rPr>
              <w:t xml:space="preserve"> </w:t>
            </w:r>
            <w:r w:rsidRPr="00B12D26">
              <w:rPr>
                <w:rFonts w:eastAsia="MS Mincho" w:cs="Calibri"/>
                <w:szCs w:val="22"/>
              </w:rPr>
              <w:t>vein thrombosis</w:t>
            </w:r>
          </w:p>
        </w:tc>
        <w:tc>
          <w:tcPr>
            <w:tcW w:w="883" w:type="pct"/>
            <w:shd w:val="clear" w:color="auto" w:fill="auto"/>
            <w:vAlign w:val="center"/>
          </w:tcPr>
          <w:p w14:paraId="3CB2FB3F"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zCs w:val="22"/>
              </w:rPr>
              <w:t>7 (1.8)</w:t>
            </w:r>
          </w:p>
        </w:tc>
        <w:tc>
          <w:tcPr>
            <w:tcW w:w="877" w:type="pct"/>
            <w:shd w:val="clear" w:color="auto" w:fill="auto"/>
            <w:vAlign w:val="center"/>
          </w:tcPr>
          <w:p w14:paraId="395D6A37"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pacing w:val="1"/>
                <w:szCs w:val="22"/>
              </w:rPr>
              <w:t>12.8</w:t>
            </w:r>
          </w:p>
        </w:tc>
        <w:tc>
          <w:tcPr>
            <w:tcW w:w="876" w:type="pct"/>
            <w:shd w:val="clear" w:color="auto" w:fill="auto"/>
            <w:vAlign w:val="center"/>
          </w:tcPr>
          <w:p w14:paraId="4FC0A103"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zCs w:val="22"/>
              </w:rPr>
              <w:t>3 (0.8)</w:t>
            </w:r>
          </w:p>
        </w:tc>
        <w:tc>
          <w:tcPr>
            <w:tcW w:w="933" w:type="pct"/>
            <w:shd w:val="clear" w:color="auto" w:fill="auto"/>
            <w:vAlign w:val="center"/>
          </w:tcPr>
          <w:p w14:paraId="2BEDD28C"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pacing w:val="1"/>
                <w:szCs w:val="22"/>
              </w:rPr>
              <w:t>5.9</w:t>
            </w:r>
          </w:p>
        </w:tc>
      </w:tr>
      <w:tr w:rsidR="006C56CA" w:rsidRPr="00B12D26" w14:paraId="22CCDE17" w14:textId="77777777" w:rsidTr="00583A23">
        <w:trPr>
          <w:trHeight w:val="283"/>
        </w:trPr>
        <w:tc>
          <w:tcPr>
            <w:tcW w:w="1431" w:type="pct"/>
            <w:shd w:val="clear" w:color="auto" w:fill="auto"/>
            <w:vAlign w:val="center"/>
          </w:tcPr>
          <w:p w14:paraId="39D0602B" w14:textId="77777777" w:rsidR="006A74A2" w:rsidRPr="00B12D26" w:rsidRDefault="006A74A2" w:rsidP="00DD7E39">
            <w:pPr>
              <w:keepNext/>
              <w:keepLines/>
              <w:widowControl w:val="0"/>
              <w:autoSpaceDE w:val="0"/>
              <w:autoSpaceDN w:val="0"/>
              <w:adjustRightInd w:val="0"/>
              <w:spacing w:after="0" w:line="240" w:lineRule="auto"/>
              <w:ind w:left="108" w:right="-20"/>
              <w:rPr>
                <w:rFonts w:eastAsia="MS Mincho" w:cs="Calibri"/>
                <w:szCs w:val="22"/>
              </w:rPr>
            </w:pPr>
            <w:r w:rsidRPr="00B12D26">
              <w:rPr>
                <w:rFonts w:eastAsia="MS Mincho" w:cs="Calibri"/>
                <w:szCs w:val="22"/>
              </w:rPr>
              <w:t>Portal</w:t>
            </w:r>
            <w:r w:rsidRPr="00B12D26">
              <w:rPr>
                <w:rFonts w:eastAsia="MS Mincho" w:cs="Calibri"/>
                <w:spacing w:val="-1"/>
                <w:szCs w:val="22"/>
              </w:rPr>
              <w:t xml:space="preserve"> </w:t>
            </w:r>
            <w:r w:rsidRPr="00B12D26">
              <w:rPr>
                <w:rFonts w:eastAsia="MS Mincho" w:cs="Calibri"/>
                <w:szCs w:val="22"/>
              </w:rPr>
              <w:t>vein</w:t>
            </w:r>
            <w:r w:rsidRPr="00B12D26">
              <w:rPr>
                <w:rFonts w:eastAsia="MS Mincho" w:cs="Calibri"/>
                <w:spacing w:val="-1"/>
                <w:szCs w:val="22"/>
              </w:rPr>
              <w:t xml:space="preserve"> </w:t>
            </w:r>
            <w:r w:rsidRPr="00B12D26">
              <w:rPr>
                <w:rFonts w:eastAsia="MS Mincho" w:cs="Calibri"/>
                <w:szCs w:val="22"/>
              </w:rPr>
              <w:t>thr</w:t>
            </w:r>
            <w:r w:rsidRPr="00B12D26">
              <w:rPr>
                <w:rFonts w:eastAsia="MS Mincho" w:cs="Calibri"/>
                <w:spacing w:val="9"/>
                <w:szCs w:val="22"/>
              </w:rPr>
              <w:t>o</w:t>
            </w:r>
            <w:r w:rsidRPr="00B12D26">
              <w:rPr>
                <w:rFonts w:eastAsia="MS Mincho" w:cs="Calibri"/>
                <w:spacing w:val="-1"/>
                <w:szCs w:val="22"/>
              </w:rPr>
              <w:t>mbosis</w:t>
            </w:r>
          </w:p>
        </w:tc>
        <w:tc>
          <w:tcPr>
            <w:tcW w:w="883" w:type="pct"/>
            <w:shd w:val="clear" w:color="auto" w:fill="auto"/>
            <w:vAlign w:val="center"/>
          </w:tcPr>
          <w:p w14:paraId="0A062492"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zCs w:val="22"/>
              </w:rPr>
              <w:t>0</w:t>
            </w:r>
          </w:p>
        </w:tc>
        <w:tc>
          <w:tcPr>
            <w:tcW w:w="877" w:type="pct"/>
            <w:shd w:val="clear" w:color="auto" w:fill="auto"/>
            <w:vAlign w:val="center"/>
          </w:tcPr>
          <w:p w14:paraId="28B5AB70"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zCs w:val="22"/>
              </w:rPr>
              <w:t>0</w:t>
            </w:r>
          </w:p>
        </w:tc>
        <w:tc>
          <w:tcPr>
            <w:tcW w:w="876" w:type="pct"/>
            <w:shd w:val="clear" w:color="auto" w:fill="auto"/>
            <w:vAlign w:val="center"/>
          </w:tcPr>
          <w:p w14:paraId="5C7EBC94"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zCs w:val="22"/>
              </w:rPr>
              <w:t>1 (0.3)</w:t>
            </w:r>
          </w:p>
        </w:tc>
        <w:tc>
          <w:tcPr>
            <w:tcW w:w="933" w:type="pct"/>
            <w:shd w:val="clear" w:color="auto" w:fill="auto"/>
            <w:vAlign w:val="center"/>
          </w:tcPr>
          <w:p w14:paraId="05157241"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pacing w:val="1"/>
                <w:szCs w:val="22"/>
              </w:rPr>
              <w:t>2.0</w:t>
            </w:r>
          </w:p>
        </w:tc>
      </w:tr>
      <w:tr w:rsidR="006C56CA" w:rsidRPr="00B12D26" w14:paraId="660823AB" w14:textId="77777777" w:rsidTr="00583A23">
        <w:trPr>
          <w:trHeight w:hRule="exact" w:val="283"/>
        </w:trPr>
        <w:tc>
          <w:tcPr>
            <w:tcW w:w="1431" w:type="pct"/>
            <w:shd w:val="clear" w:color="auto" w:fill="auto"/>
            <w:vAlign w:val="center"/>
          </w:tcPr>
          <w:p w14:paraId="2870CDDB" w14:textId="77777777" w:rsidR="006A74A2" w:rsidRPr="00B12D26" w:rsidRDefault="006A74A2" w:rsidP="00DD7E39">
            <w:pPr>
              <w:keepNext/>
              <w:keepLines/>
              <w:widowControl w:val="0"/>
              <w:autoSpaceDE w:val="0"/>
              <w:autoSpaceDN w:val="0"/>
              <w:adjustRightInd w:val="0"/>
              <w:spacing w:after="0" w:line="240" w:lineRule="auto"/>
              <w:ind w:left="108" w:right="-20"/>
              <w:rPr>
                <w:rFonts w:eastAsia="MS Mincho" w:cs="Calibri"/>
                <w:szCs w:val="22"/>
              </w:rPr>
            </w:pPr>
            <w:r w:rsidRPr="00B12D26">
              <w:rPr>
                <w:rFonts w:eastAsia="MS Mincho" w:cs="Calibri"/>
                <w:spacing w:val="-1"/>
                <w:szCs w:val="22"/>
              </w:rPr>
              <w:t>Thrombophlebi</w:t>
            </w:r>
            <w:r w:rsidRPr="00B12D26">
              <w:rPr>
                <w:rFonts w:eastAsia="MS Mincho" w:cs="Calibri"/>
                <w:spacing w:val="10"/>
                <w:szCs w:val="22"/>
              </w:rPr>
              <w:t>t</w:t>
            </w:r>
            <w:r w:rsidRPr="00B12D26">
              <w:rPr>
                <w:rFonts w:eastAsia="MS Mincho" w:cs="Calibri"/>
                <w:spacing w:val="-4"/>
                <w:szCs w:val="22"/>
              </w:rPr>
              <w:t xml:space="preserve">is </w:t>
            </w:r>
            <w:r w:rsidRPr="00B12D26">
              <w:rPr>
                <w:rFonts w:eastAsia="MS Mincho" w:cs="Calibri"/>
                <w:szCs w:val="22"/>
              </w:rPr>
              <w:t>superficial</w:t>
            </w:r>
          </w:p>
        </w:tc>
        <w:tc>
          <w:tcPr>
            <w:tcW w:w="883" w:type="pct"/>
            <w:shd w:val="clear" w:color="auto" w:fill="auto"/>
            <w:vAlign w:val="center"/>
          </w:tcPr>
          <w:p w14:paraId="0A961890"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zCs w:val="22"/>
              </w:rPr>
              <w:t>0</w:t>
            </w:r>
          </w:p>
        </w:tc>
        <w:tc>
          <w:tcPr>
            <w:tcW w:w="877" w:type="pct"/>
            <w:shd w:val="clear" w:color="auto" w:fill="auto"/>
            <w:vAlign w:val="center"/>
          </w:tcPr>
          <w:p w14:paraId="3B390329"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zCs w:val="22"/>
              </w:rPr>
              <w:t>0</w:t>
            </w:r>
          </w:p>
        </w:tc>
        <w:tc>
          <w:tcPr>
            <w:tcW w:w="876" w:type="pct"/>
            <w:shd w:val="clear" w:color="auto" w:fill="auto"/>
            <w:vAlign w:val="center"/>
          </w:tcPr>
          <w:p w14:paraId="153B143D"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zCs w:val="22"/>
              </w:rPr>
              <w:t>2 (0.5)</w:t>
            </w:r>
          </w:p>
        </w:tc>
        <w:tc>
          <w:tcPr>
            <w:tcW w:w="933" w:type="pct"/>
            <w:shd w:val="clear" w:color="auto" w:fill="auto"/>
            <w:vAlign w:val="center"/>
          </w:tcPr>
          <w:p w14:paraId="1684218F" w14:textId="77777777" w:rsidR="006A74A2" w:rsidRPr="00B12D26" w:rsidRDefault="006A74A2" w:rsidP="00DD7E39">
            <w:pPr>
              <w:keepNext/>
              <w:keepLines/>
              <w:widowControl w:val="0"/>
              <w:autoSpaceDE w:val="0"/>
              <w:autoSpaceDN w:val="0"/>
              <w:adjustRightInd w:val="0"/>
              <w:spacing w:after="0" w:line="240" w:lineRule="auto"/>
              <w:ind w:right="-1"/>
              <w:jc w:val="center"/>
              <w:rPr>
                <w:rFonts w:eastAsia="MS Mincho" w:cs="Calibri"/>
                <w:szCs w:val="22"/>
              </w:rPr>
            </w:pPr>
            <w:r w:rsidRPr="00B12D26">
              <w:rPr>
                <w:rFonts w:eastAsia="MS Mincho" w:cs="Calibri"/>
                <w:spacing w:val="1"/>
                <w:szCs w:val="22"/>
              </w:rPr>
              <w:t>3.9</w:t>
            </w:r>
          </w:p>
        </w:tc>
      </w:tr>
    </w:tbl>
    <w:p w14:paraId="61F2D279" w14:textId="11820F97" w:rsidR="00C155D9" w:rsidRDefault="006A74A2" w:rsidP="006A74A2">
      <w:pPr>
        <w:jc w:val="both"/>
      </w:pPr>
      <w:r>
        <w:t xml:space="preserve">A </w:t>
      </w:r>
      <w:r w:rsidRPr="008B65F9">
        <w:t xml:space="preserve">summary of </w:t>
      </w:r>
      <w:r>
        <w:t xml:space="preserve">VTE </w:t>
      </w:r>
      <w:r w:rsidRPr="008B65F9">
        <w:t>data across pivotal studies and amongst a pool of patients who received olaparib as monotherapy at a dose of 300 mg BD (Olaparib monotherapy 300 mg bd pool)</w:t>
      </w:r>
      <w:r>
        <w:t xml:space="preserve"> is </w:t>
      </w:r>
      <w:r w:rsidRPr="008B65F9">
        <w:t>contained in</w:t>
      </w:r>
      <w:r w:rsidR="00583A23">
        <w:t xml:space="preserve"> Table 1</w:t>
      </w:r>
      <w:r w:rsidR="00D66090">
        <w:t>5</w:t>
      </w:r>
      <w:r>
        <w:t>.</w:t>
      </w:r>
    </w:p>
    <w:p w14:paraId="743AED66" w14:textId="70EEC77C" w:rsidR="00C155D9" w:rsidRPr="008B65F9" w:rsidRDefault="00C155D9" w:rsidP="00D66090">
      <w:pPr>
        <w:pStyle w:val="TableTitle"/>
        <w:rPr>
          <w:lang w:eastAsia="ja-JP"/>
        </w:rPr>
      </w:pPr>
      <w:r>
        <w:br w:type="page"/>
      </w:r>
      <w:bookmarkStart w:id="96" w:name="_Ref131602247"/>
      <w:bookmarkStart w:id="97" w:name="_Toc122339025"/>
      <w:r w:rsidRPr="008B65F9">
        <w:lastRenderedPageBreak/>
        <w:t xml:space="preserve">Table </w:t>
      </w:r>
      <w:bookmarkEnd w:id="96"/>
      <w:r w:rsidR="00D66090">
        <w:t>15.</w:t>
      </w:r>
      <w:r w:rsidR="004B2E74">
        <w:t xml:space="preserve"> </w:t>
      </w:r>
      <w:r w:rsidRPr="008B65F9">
        <w:t>Summary of VTE A</w:t>
      </w:r>
      <w:r w:rsidR="006C56CA">
        <w:t>E</w:t>
      </w:r>
      <w:r w:rsidRPr="008B65F9">
        <w:t>s occurring across the olaparib program (DCO 2 October 2020)</w:t>
      </w:r>
      <w:bookmarkEnd w:id="97"/>
    </w:p>
    <w:tbl>
      <w:tblPr>
        <w:tblW w:w="5000" w:type="pct"/>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00" w:firstRow="0" w:lastRow="0" w:firstColumn="0" w:lastColumn="0" w:noHBand="0" w:noVBand="0"/>
      </w:tblPr>
      <w:tblGrid>
        <w:gridCol w:w="3070"/>
        <w:gridCol w:w="1026"/>
        <w:gridCol w:w="1167"/>
        <w:gridCol w:w="1314"/>
        <w:gridCol w:w="1171"/>
        <w:gridCol w:w="1316"/>
      </w:tblGrid>
      <w:tr w:rsidR="00C155D9" w:rsidRPr="00B12D26" w14:paraId="0B42BC05" w14:textId="77777777" w:rsidTr="00D30977">
        <w:trPr>
          <w:trHeight w:val="20"/>
        </w:trPr>
        <w:tc>
          <w:tcPr>
            <w:tcW w:w="2259" w:type="pct"/>
            <w:gridSpan w:val="2"/>
            <w:vMerge w:val="restart"/>
            <w:shd w:val="clear" w:color="auto" w:fill="auto"/>
          </w:tcPr>
          <w:p w14:paraId="13B24B1B" w14:textId="77777777" w:rsidR="00C155D9" w:rsidRPr="00B12D26" w:rsidRDefault="00C155D9" w:rsidP="00DD7E39">
            <w:pPr>
              <w:autoSpaceDE w:val="0"/>
              <w:autoSpaceDN w:val="0"/>
              <w:adjustRightInd w:val="0"/>
              <w:spacing w:after="0" w:line="240" w:lineRule="auto"/>
              <w:rPr>
                <w:rFonts w:eastAsia="MS Mincho" w:cs="Calibri"/>
                <w:szCs w:val="22"/>
              </w:rPr>
            </w:pPr>
          </w:p>
        </w:tc>
        <w:tc>
          <w:tcPr>
            <w:tcW w:w="1369" w:type="pct"/>
            <w:gridSpan w:val="2"/>
            <w:shd w:val="clear" w:color="auto" w:fill="auto"/>
            <w:vAlign w:val="center"/>
          </w:tcPr>
          <w:p w14:paraId="39F817C3"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b/>
                <w:bCs/>
                <w:szCs w:val="22"/>
              </w:rPr>
              <w:t>Olaparib</w:t>
            </w:r>
          </w:p>
        </w:tc>
        <w:tc>
          <w:tcPr>
            <w:tcW w:w="1372" w:type="pct"/>
            <w:gridSpan w:val="2"/>
            <w:shd w:val="clear" w:color="auto" w:fill="auto"/>
            <w:vAlign w:val="center"/>
          </w:tcPr>
          <w:p w14:paraId="7DB45C38"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b/>
                <w:bCs/>
                <w:spacing w:val="-1"/>
                <w:szCs w:val="22"/>
              </w:rPr>
              <w:t xml:space="preserve">Comparator </w:t>
            </w:r>
            <w:r w:rsidRPr="00B12D26">
              <w:rPr>
                <w:rFonts w:eastAsia="MS Mincho" w:cs="Calibri"/>
                <w:b/>
                <w:bCs/>
                <w:spacing w:val="-1"/>
                <w:szCs w:val="22"/>
                <w:vertAlign w:val="superscript"/>
              </w:rPr>
              <w:t>a</w:t>
            </w:r>
          </w:p>
        </w:tc>
      </w:tr>
      <w:tr w:rsidR="00C155D9" w:rsidRPr="00B12D26" w14:paraId="7D06410C" w14:textId="77777777" w:rsidTr="00D30977">
        <w:trPr>
          <w:trHeight w:val="20"/>
        </w:trPr>
        <w:tc>
          <w:tcPr>
            <w:tcW w:w="2259" w:type="pct"/>
            <w:gridSpan w:val="2"/>
            <w:vMerge/>
            <w:shd w:val="clear" w:color="auto" w:fill="auto"/>
          </w:tcPr>
          <w:p w14:paraId="1A33C00B" w14:textId="77777777" w:rsidR="00C155D9" w:rsidRPr="00B12D26" w:rsidRDefault="00C155D9" w:rsidP="00DD7E39">
            <w:pPr>
              <w:autoSpaceDE w:val="0"/>
              <w:autoSpaceDN w:val="0"/>
              <w:adjustRightInd w:val="0"/>
              <w:spacing w:after="0" w:line="240" w:lineRule="auto"/>
              <w:ind w:left="628"/>
              <w:rPr>
                <w:rFonts w:eastAsia="MS Mincho" w:cs="Calibri"/>
                <w:szCs w:val="22"/>
              </w:rPr>
            </w:pPr>
          </w:p>
        </w:tc>
        <w:tc>
          <w:tcPr>
            <w:tcW w:w="644" w:type="pct"/>
            <w:shd w:val="clear" w:color="auto" w:fill="auto"/>
            <w:vAlign w:val="center"/>
          </w:tcPr>
          <w:p w14:paraId="4E5B30A0"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b/>
                <w:bCs/>
                <w:spacing w:val="-1"/>
                <w:szCs w:val="22"/>
              </w:rPr>
              <w:t>Numbe</w:t>
            </w:r>
            <w:r w:rsidRPr="00B12D26">
              <w:rPr>
                <w:rFonts w:eastAsia="MS Mincho" w:cs="Calibri"/>
                <w:b/>
                <w:bCs/>
                <w:szCs w:val="22"/>
              </w:rPr>
              <w:t>r</w:t>
            </w:r>
            <w:r w:rsidRPr="00B12D26">
              <w:rPr>
                <w:rFonts w:eastAsia="MS Mincho" w:cs="Calibri"/>
                <w:b/>
                <w:bCs/>
                <w:spacing w:val="-2"/>
                <w:szCs w:val="22"/>
              </w:rPr>
              <w:t xml:space="preserve"> </w:t>
            </w:r>
            <w:r w:rsidRPr="00B12D26">
              <w:rPr>
                <w:rFonts w:eastAsia="MS Mincho" w:cs="Calibri"/>
                <w:b/>
                <w:bCs/>
                <w:spacing w:val="-1"/>
                <w:szCs w:val="22"/>
              </w:rPr>
              <w:t xml:space="preserve">of </w:t>
            </w:r>
            <w:r w:rsidRPr="00B12D26">
              <w:rPr>
                <w:rFonts w:eastAsia="MS Mincho" w:cs="Calibri"/>
                <w:b/>
                <w:bCs/>
                <w:szCs w:val="22"/>
              </w:rPr>
              <w:t>patients</w:t>
            </w:r>
          </w:p>
          <w:p w14:paraId="1B6540AB"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b/>
                <w:bCs/>
                <w:szCs w:val="22"/>
              </w:rPr>
              <w:t>n</w:t>
            </w:r>
            <w:r w:rsidRPr="00B12D26">
              <w:rPr>
                <w:rFonts w:eastAsia="MS Mincho" w:cs="Calibri"/>
                <w:b/>
                <w:bCs/>
                <w:spacing w:val="1"/>
                <w:szCs w:val="22"/>
              </w:rPr>
              <w:t xml:space="preserve"> </w:t>
            </w:r>
            <w:r w:rsidRPr="00B12D26">
              <w:rPr>
                <w:rFonts w:eastAsia="MS Mincho" w:cs="Calibri"/>
                <w:b/>
                <w:bCs/>
                <w:szCs w:val="22"/>
              </w:rPr>
              <w:t>(%)</w:t>
            </w:r>
          </w:p>
        </w:tc>
        <w:tc>
          <w:tcPr>
            <w:tcW w:w="725" w:type="pct"/>
            <w:shd w:val="clear" w:color="auto" w:fill="auto"/>
            <w:vAlign w:val="center"/>
          </w:tcPr>
          <w:p w14:paraId="166EB218" w14:textId="77777777" w:rsidR="00C155D9" w:rsidRPr="00B12D26" w:rsidRDefault="00C155D9" w:rsidP="00DD7E39">
            <w:pPr>
              <w:autoSpaceDE w:val="0"/>
              <w:autoSpaceDN w:val="0"/>
              <w:adjustRightInd w:val="0"/>
              <w:spacing w:after="0" w:line="240" w:lineRule="auto"/>
              <w:jc w:val="center"/>
              <w:rPr>
                <w:rFonts w:eastAsia="MS Mincho" w:cs="Calibri"/>
                <w:b/>
                <w:bCs/>
                <w:spacing w:val="-1"/>
                <w:szCs w:val="22"/>
              </w:rPr>
            </w:pPr>
            <w:r w:rsidRPr="00B12D26">
              <w:rPr>
                <w:rFonts w:eastAsia="MS Mincho" w:cs="Calibri"/>
                <w:b/>
                <w:bCs/>
                <w:spacing w:val="-1"/>
                <w:szCs w:val="22"/>
              </w:rPr>
              <w:t>Even</w:t>
            </w:r>
            <w:r w:rsidRPr="00B12D26">
              <w:rPr>
                <w:rFonts w:eastAsia="MS Mincho" w:cs="Calibri"/>
                <w:b/>
                <w:bCs/>
                <w:szCs w:val="22"/>
              </w:rPr>
              <w:t>t</w:t>
            </w:r>
            <w:r w:rsidRPr="00B12D26">
              <w:rPr>
                <w:rFonts w:eastAsia="MS Mincho" w:cs="Calibri"/>
                <w:b/>
                <w:bCs/>
                <w:spacing w:val="-1"/>
                <w:szCs w:val="22"/>
              </w:rPr>
              <w:t xml:space="preserve"> rate</w:t>
            </w:r>
          </w:p>
          <w:p w14:paraId="2FB3119F"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b/>
                <w:bCs/>
                <w:spacing w:val="-1"/>
                <w:szCs w:val="22"/>
              </w:rPr>
              <w:t>(pe</w:t>
            </w:r>
            <w:r w:rsidRPr="00B12D26">
              <w:rPr>
                <w:rFonts w:eastAsia="MS Mincho" w:cs="Calibri"/>
                <w:b/>
                <w:bCs/>
                <w:szCs w:val="22"/>
              </w:rPr>
              <w:t>r</w:t>
            </w:r>
            <w:r w:rsidRPr="00B12D26">
              <w:rPr>
                <w:rFonts w:eastAsia="MS Mincho" w:cs="Calibri"/>
                <w:b/>
                <w:bCs/>
                <w:spacing w:val="-1"/>
                <w:szCs w:val="22"/>
              </w:rPr>
              <w:t xml:space="preserve"> 1000 </w:t>
            </w:r>
            <w:r w:rsidRPr="00B12D26">
              <w:rPr>
                <w:rFonts w:eastAsia="MS Mincho" w:cs="Calibri"/>
                <w:b/>
                <w:bCs/>
                <w:szCs w:val="22"/>
              </w:rPr>
              <w:t>patient- years)</w:t>
            </w:r>
          </w:p>
        </w:tc>
        <w:tc>
          <w:tcPr>
            <w:tcW w:w="646" w:type="pct"/>
            <w:shd w:val="clear" w:color="auto" w:fill="auto"/>
            <w:vAlign w:val="center"/>
          </w:tcPr>
          <w:p w14:paraId="03B7BE82"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b/>
                <w:bCs/>
                <w:spacing w:val="-1"/>
                <w:szCs w:val="22"/>
              </w:rPr>
              <w:t>Numbe</w:t>
            </w:r>
            <w:r w:rsidRPr="00B12D26">
              <w:rPr>
                <w:rFonts w:eastAsia="MS Mincho" w:cs="Calibri"/>
                <w:b/>
                <w:bCs/>
                <w:szCs w:val="22"/>
              </w:rPr>
              <w:t>r</w:t>
            </w:r>
            <w:r w:rsidRPr="00B12D26">
              <w:rPr>
                <w:rFonts w:eastAsia="MS Mincho" w:cs="Calibri"/>
                <w:b/>
                <w:bCs/>
                <w:spacing w:val="-2"/>
                <w:szCs w:val="22"/>
              </w:rPr>
              <w:t xml:space="preserve"> </w:t>
            </w:r>
            <w:r w:rsidRPr="00B12D26">
              <w:rPr>
                <w:rFonts w:eastAsia="MS Mincho" w:cs="Calibri"/>
                <w:b/>
                <w:bCs/>
                <w:spacing w:val="-1"/>
                <w:szCs w:val="22"/>
              </w:rPr>
              <w:t xml:space="preserve">of </w:t>
            </w:r>
            <w:r w:rsidRPr="00B12D26">
              <w:rPr>
                <w:rFonts w:eastAsia="MS Mincho" w:cs="Calibri"/>
                <w:b/>
                <w:bCs/>
                <w:szCs w:val="22"/>
              </w:rPr>
              <w:t>patients</w:t>
            </w:r>
          </w:p>
          <w:p w14:paraId="3B14281D"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b/>
                <w:bCs/>
                <w:szCs w:val="22"/>
              </w:rPr>
              <w:t>n</w:t>
            </w:r>
            <w:r w:rsidRPr="00B12D26">
              <w:rPr>
                <w:rFonts w:eastAsia="MS Mincho" w:cs="Calibri"/>
                <w:b/>
                <w:bCs/>
                <w:spacing w:val="-1"/>
                <w:szCs w:val="22"/>
              </w:rPr>
              <w:t xml:space="preserve"> (%)</w:t>
            </w:r>
          </w:p>
        </w:tc>
        <w:tc>
          <w:tcPr>
            <w:tcW w:w="726" w:type="pct"/>
            <w:shd w:val="clear" w:color="auto" w:fill="auto"/>
            <w:vAlign w:val="center"/>
          </w:tcPr>
          <w:p w14:paraId="0F53C4CB" w14:textId="77777777" w:rsidR="00C155D9" w:rsidRPr="00B12D26" w:rsidRDefault="00C155D9" w:rsidP="00DD7E39">
            <w:pPr>
              <w:autoSpaceDE w:val="0"/>
              <w:autoSpaceDN w:val="0"/>
              <w:adjustRightInd w:val="0"/>
              <w:spacing w:after="0" w:line="240" w:lineRule="auto"/>
              <w:jc w:val="center"/>
              <w:rPr>
                <w:rFonts w:eastAsia="MS Mincho" w:cs="Calibri"/>
                <w:b/>
                <w:bCs/>
                <w:spacing w:val="-1"/>
                <w:szCs w:val="22"/>
              </w:rPr>
            </w:pPr>
            <w:r w:rsidRPr="00B12D26">
              <w:rPr>
                <w:rFonts w:eastAsia="MS Mincho" w:cs="Calibri"/>
                <w:b/>
                <w:bCs/>
                <w:spacing w:val="-1"/>
                <w:szCs w:val="22"/>
              </w:rPr>
              <w:t>Even</w:t>
            </w:r>
            <w:r w:rsidRPr="00B12D26">
              <w:rPr>
                <w:rFonts w:eastAsia="MS Mincho" w:cs="Calibri"/>
                <w:b/>
                <w:bCs/>
                <w:szCs w:val="22"/>
              </w:rPr>
              <w:t>t</w:t>
            </w:r>
            <w:r w:rsidRPr="00B12D26">
              <w:rPr>
                <w:rFonts w:eastAsia="MS Mincho" w:cs="Calibri"/>
                <w:b/>
                <w:bCs/>
                <w:spacing w:val="-1"/>
                <w:szCs w:val="22"/>
              </w:rPr>
              <w:t xml:space="preserve"> rate</w:t>
            </w:r>
          </w:p>
          <w:p w14:paraId="1BB15493"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b/>
                <w:bCs/>
                <w:spacing w:val="-1"/>
                <w:szCs w:val="22"/>
              </w:rPr>
              <w:t>(pe</w:t>
            </w:r>
            <w:r w:rsidRPr="00B12D26">
              <w:rPr>
                <w:rFonts w:eastAsia="MS Mincho" w:cs="Calibri"/>
                <w:b/>
                <w:bCs/>
                <w:szCs w:val="22"/>
              </w:rPr>
              <w:t>r</w:t>
            </w:r>
            <w:r w:rsidRPr="00B12D26">
              <w:rPr>
                <w:rFonts w:eastAsia="MS Mincho" w:cs="Calibri"/>
                <w:b/>
                <w:bCs/>
                <w:spacing w:val="-1"/>
                <w:szCs w:val="22"/>
              </w:rPr>
              <w:t xml:space="preserve"> 1000 </w:t>
            </w:r>
            <w:r w:rsidRPr="00B12D26">
              <w:rPr>
                <w:rFonts w:eastAsia="MS Mincho" w:cs="Calibri"/>
                <w:b/>
                <w:bCs/>
                <w:szCs w:val="22"/>
              </w:rPr>
              <w:t>patient- years)</w:t>
            </w:r>
          </w:p>
        </w:tc>
      </w:tr>
      <w:tr w:rsidR="00C155D9" w:rsidRPr="00B12D26" w14:paraId="3AF63767" w14:textId="77777777" w:rsidTr="00D30977">
        <w:trPr>
          <w:trHeight w:val="20"/>
        </w:trPr>
        <w:tc>
          <w:tcPr>
            <w:tcW w:w="1693" w:type="pct"/>
            <w:shd w:val="clear" w:color="auto" w:fill="auto"/>
          </w:tcPr>
          <w:p w14:paraId="73FA6BA8" w14:textId="77777777" w:rsidR="00C155D9" w:rsidRPr="00B12D26" w:rsidRDefault="00C155D9" w:rsidP="00DD7E39">
            <w:pPr>
              <w:autoSpaceDE w:val="0"/>
              <w:autoSpaceDN w:val="0"/>
              <w:adjustRightInd w:val="0"/>
              <w:spacing w:after="0" w:line="240" w:lineRule="auto"/>
              <w:ind w:left="109"/>
              <w:rPr>
                <w:rFonts w:eastAsia="MS Mincho" w:cs="Calibri"/>
                <w:spacing w:val="-1"/>
                <w:szCs w:val="22"/>
              </w:rPr>
            </w:pPr>
            <w:r w:rsidRPr="00B12D26">
              <w:rPr>
                <w:rFonts w:eastAsia="MS Mincho" w:cs="Calibri"/>
                <w:spacing w:val="-1"/>
                <w:szCs w:val="22"/>
              </w:rPr>
              <w:t>OlympiAD</w:t>
            </w:r>
          </w:p>
          <w:p w14:paraId="69010770"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zCs w:val="22"/>
              </w:rPr>
              <w:t>N=205 olaparib</w:t>
            </w:r>
          </w:p>
          <w:p w14:paraId="678733D2"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zCs w:val="22"/>
              </w:rPr>
              <w:t>N=91</w:t>
            </w:r>
            <w:r w:rsidRPr="00B12D26">
              <w:rPr>
                <w:rFonts w:eastAsia="MS Mincho" w:cs="Calibri"/>
                <w:spacing w:val="3"/>
                <w:szCs w:val="22"/>
              </w:rPr>
              <w:t xml:space="preserve"> </w:t>
            </w:r>
            <w:r w:rsidRPr="00B12D26">
              <w:rPr>
                <w:rFonts w:eastAsia="MS Mincho" w:cs="Calibri"/>
                <w:spacing w:val="-8"/>
                <w:szCs w:val="22"/>
              </w:rPr>
              <w:t>c</w:t>
            </w:r>
            <w:r w:rsidRPr="00B12D26">
              <w:rPr>
                <w:rFonts w:eastAsia="MS Mincho" w:cs="Calibri"/>
                <w:spacing w:val="5"/>
                <w:szCs w:val="22"/>
              </w:rPr>
              <w:t>h</w:t>
            </w:r>
            <w:r w:rsidRPr="00B12D26">
              <w:rPr>
                <w:rFonts w:eastAsia="MS Mincho" w:cs="Calibri"/>
                <w:spacing w:val="-1"/>
                <w:szCs w:val="22"/>
              </w:rPr>
              <w:t>emotherapy</w:t>
            </w:r>
          </w:p>
        </w:tc>
        <w:tc>
          <w:tcPr>
            <w:tcW w:w="566" w:type="pct"/>
            <w:shd w:val="clear" w:color="auto" w:fill="auto"/>
            <w:vAlign w:val="center"/>
          </w:tcPr>
          <w:p w14:paraId="48DBDADA"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5"/>
                <w:szCs w:val="22"/>
              </w:rPr>
              <w:t>B</w:t>
            </w:r>
            <w:r w:rsidRPr="00B12D26">
              <w:rPr>
                <w:rFonts w:eastAsia="MS Mincho" w:cs="Calibri"/>
                <w:spacing w:val="5"/>
                <w:szCs w:val="22"/>
              </w:rPr>
              <w:t>r</w:t>
            </w:r>
            <w:r w:rsidRPr="00B12D26">
              <w:rPr>
                <w:rFonts w:eastAsia="MS Mincho" w:cs="Calibri"/>
                <w:szCs w:val="22"/>
              </w:rPr>
              <w:t xml:space="preserve">east </w:t>
            </w:r>
            <w:r w:rsidRPr="00B12D26">
              <w:rPr>
                <w:rFonts w:eastAsia="MS Mincho" w:cs="Calibri"/>
                <w:spacing w:val="-1"/>
                <w:szCs w:val="22"/>
              </w:rPr>
              <w:t>cancer</w:t>
            </w:r>
          </w:p>
        </w:tc>
        <w:tc>
          <w:tcPr>
            <w:tcW w:w="644" w:type="pct"/>
            <w:shd w:val="clear" w:color="auto" w:fill="auto"/>
            <w:vAlign w:val="center"/>
          </w:tcPr>
          <w:p w14:paraId="3567B5B0"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2 (1.0)</w:t>
            </w:r>
          </w:p>
        </w:tc>
        <w:tc>
          <w:tcPr>
            <w:tcW w:w="725" w:type="pct"/>
            <w:shd w:val="clear" w:color="auto" w:fill="auto"/>
            <w:vAlign w:val="center"/>
          </w:tcPr>
          <w:p w14:paraId="66B1E844"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1"/>
                <w:szCs w:val="22"/>
              </w:rPr>
              <w:t>10.5</w:t>
            </w:r>
          </w:p>
        </w:tc>
        <w:tc>
          <w:tcPr>
            <w:tcW w:w="646" w:type="pct"/>
            <w:shd w:val="clear" w:color="auto" w:fill="auto"/>
            <w:vAlign w:val="center"/>
          </w:tcPr>
          <w:p w14:paraId="522875E8"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3 (3.3)</w:t>
            </w:r>
          </w:p>
        </w:tc>
        <w:tc>
          <w:tcPr>
            <w:tcW w:w="726" w:type="pct"/>
            <w:shd w:val="clear" w:color="auto" w:fill="auto"/>
            <w:vAlign w:val="center"/>
          </w:tcPr>
          <w:p w14:paraId="75403320" w14:textId="77777777" w:rsidR="00C155D9" w:rsidRPr="00B12D26" w:rsidRDefault="00C155D9" w:rsidP="00DD7E39">
            <w:pPr>
              <w:autoSpaceDE w:val="0"/>
              <w:autoSpaceDN w:val="0"/>
              <w:adjustRightInd w:val="0"/>
              <w:spacing w:after="0" w:line="240" w:lineRule="auto"/>
              <w:ind w:left="367"/>
              <w:jc w:val="center"/>
              <w:rPr>
                <w:rFonts w:eastAsia="MS Mincho" w:cs="Calibri"/>
                <w:szCs w:val="22"/>
              </w:rPr>
            </w:pPr>
            <w:r w:rsidRPr="00B12D26">
              <w:rPr>
                <w:rFonts w:eastAsia="MS Mincho" w:cs="Calibri"/>
                <w:spacing w:val="1"/>
                <w:szCs w:val="22"/>
              </w:rPr>
              <w:t>72.0</w:t>
            </w:r>
          </w:p>
        </w:tc>
      </w:tr>
      <w:tr w:rsidR="00C155D9" w:rsidRPr="00B12D26" w14:paraId="6FCD35FD" w14:textId="77777777" w:rsidTr="00D30977">
        <w:trPr>
          <w:trHeight w:val="20"/>
        </w:trPr>
        <w:tc>
          <w:tcPr>
            <w:tcW w:w="1693" w:type="pct"/>
            <w:shd w:val="clear" w:color="auto" w:fill="auto"/>
          </w:tcPr>
          <w:p w14:paraId="12B85019"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2"/>
                <w:szCs w:val="22"/>
              </w:rPr>
              <w:t>SOLO2</w:t>
            </w:r>
          </w:p>
          <w:p w14:paraId="43E59537"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zCs w:val="22"/>
              </w:rPr>
              <w:t>N=195 olaparib</w:t>
            </w:r>
          </w:p>
          <w:p w14:paraId="599A396B"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1"/>
                <w:szCs w:val="22"/>
              </w:rPr>
              <w:t>N=9</w:t>
            </w:r>
            <w:r w:rsidRPr="00B12D26">
              <w:rPr>
                <w:rFonts w:eastAsia="MS Mincho" w:cs="Calibri"/>
                <w:szCs w:val="22"/>
              </w:rPr>
              <w:t>9</w:t>
            </w:r>
            <w:r w:rsidRPr="00B12D26">
              <w:rPr>
                <w:rFonts w:eastAsia="MS Mincho" w:cs="Calibri"/>
                <w:spacing w:val="49"/>
                <w:szCs w:val="22"/>
              </w:rPr>
              <w:t xml:space="preserve"> </w:t>
            </w:r>
            <w:r w:rsidRPr="00B12D26">
              <w:rPr>
                <w:rFonts w:eastAsia="MS Mincho" w:cs="Calibri"/>
                <w:spacing w:val="-1"/>
                <w:szCs w:val="22"/>
              </w:rPr>
              <w:t>placebo</w:t>
            </w:r>
          </w:p>
        </w:tc>
        <w:tc>
          <w:tcPr>
            <w:tcW w:w="566" w:type="pct"/>
            <w:shd w:val="clear" w:color="auto" w:fill="auto"/>
            <w:vAlign w:val="center"/>
          </w:tcPr>
          <w:p w14:paraId="0C99A0EE"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1"/>
                <w:szCs w:val="22"/>
              </w:rPr>
              <w:t>Ovarian cancer</w:t>
            </w:r>
          </w:p>
        </w:tc>
        <w:tc>
          <w:tcPr>
            <w:tcW w:w="644" w:type="pct"/>
            <w:shd w:val="clear" w:color="auto" w:fill="auto"/>
            <w:vAlign w:val="center"/>
          </w:tcPr>
          <w:p w14:paraId="7CBF82E1"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9 (1.6)</w:t>
            </w:r>
          </w:p>
        </w:tc>
        <w:tc>
          <w:tcPr>
            <w:tcW w:w="725" w:type="pct"/>
            <w:shd w:val="clear" w:color="auto" w:fill="auto"/>
            <w:vAlign w:val="center"/>
          </w:tcPr>
          <w:p w14:paraId="5A0CE953"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1"/>
                <w:szCs w:val="22"/>
              </w:rPr>
              <w:t>19.0</w:t>
            </w:r>
          </w:p>
        </w:tc>
        <w:tc>
          <w:tcPr>
            <w:tcW w:w="646" w:type="pct"/>
            <w:shd w:val="clear" w:color="auto" w:fill="auto"/>
            <w:vAlign w:val="center"/>
          </w:tcPr>
          <w:p w14:paraId="3C5FEB18"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1 (1.0)</w:t>
            </w:r>
          </w:p>
        </w:tc>
        <w:tc>
          <w:tcPr>
            <w:tcW w:w="726" w:type="pct"/>
            <w:shd w:val="clear" w:color="auto" w:fill="auto"/>
            <w:vAlign w:val="center"/>
          </w:tcPr>
          <w:p w14:paraId="46CADEAC" w14:textId="77777777" w:rsidR="00C155D9" w:rsidRPr="00B12D26" w:rsidRDefault="00C155D9" w:rsidP="00DD7E39">
            <w:pPr>
              <w:autoSpaceDE w:val="0"/>
              <w:autoSpaceDN w:val="0"/>
              <w:adjustRightInd w:val="0"/>
              <w:spacing w:after="0" w:line="240" w:lineRule="auto"/>
              <w:ind w:left="425"/>
              <w:jc w:val="center"/>
              <w:rPr>
                <w:rFonts w:eastAsia="MS Mincho" w:cs="Calibri"/>
                <w:szCs w:val="22"/>
              </w:rPr>
            </w:pPr>
            <w:r w:rsidRPr="00B12D26">
              <w:rPr>
                <w:rFonts w:eastAsia="MS Mincho" w:cs="Calibri"/>
                <w:spacing w:val="1"/>
                <w:szCs w:val="22"/>
              </w:rPr>
              <w:t>8.7</w:t>
            </w:r>
          </w:p>
        </w:tc>
      </w:tr>
      <w:tr w:rsidR="00C155D9" w:rsidRPr="00B12D26" w14:paraId="6360AAEE" w14:textId="77777777" w:rsidTr="00D30977">
        <w:trPr>
          <w:trHeight w:val="20"/>
        </w:trPr>
        <w:tc>
          <w:tcPr>
            <w:tcW w:w="1693" w:type="pct"/>
            <w:shd w:val="clear" w:color="auto" w:fill="auto"/>
          </w:tcPr>
          <w:p w14:paraId="2E9D0C05"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2"/>
                <w:szCs w:val="22"/>
              </w:rPr>
              <w:t>SOLO3</w:t>
            </w:r>
          </w:p>
          <w:p w14:paraId="59E2DEE0"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zCs w:val="22"/>
              </w:rPr>
              <w:t>N=178 olaparib</w:t>
            </w:r>
          </w:p>
          <w:p w14:paraId="6F8D2704"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zCs w:val="22"/>
              </w:rPr>
              <w:t>N=76 chemotherapy</w:t>
            </w:r>
          </w:p>
        </w:tc>
        <w:tc>
          <w:tcPr>
            <w:tcW w:w="566" w:type="pct"/>
            <w:shd w:val="clear" w:color="auto" w:fill="auto"/>
            <w:vAlign w:val="center"/>
          </w:tcPr>
          <w:p w14:paraId="151EB705"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1"/>
                <w:szCs w:val="22"/>
              </w:rPr>
              <w:t>Ovarian cancer</w:t>
            </w:r>
          </w:p>
        </w:tc>
        <w:tc>
          <w:tcPr>
            <w:tcW w:w="644" w:type="pct"/>
            <w:shd w:val="clear" w:color="auto" w:fill="auto"/>
            <w:vAlign w:val="center"/>
          </w:tcPr>
          <w:p w14:paraId="56600A50"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13 (7.3)</w:t>
            </w:r>
          </w:p>
        </w:tc>
        <w:tc>
          <w:tcPr>
            <w:tcW w:w="725" w:type="pct"/>
            <w:shd w:val="clear" w:color="auto" w:fill="auto"/>
            <w:vAlign w:val="center"/>
          </w:tcPr>
          <w:p w14:paraId="3D78948D"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1"/>
                <w:szCs w:val="22"/>
              </w:rPr>
              <w:t>53.2</w:t>
            </w:r>
          </w:p>
        </w:tc>
        <w:tc>
          <w:tcPr>
            <w:tcW w:w="646" w:type="pct"/>
            <w:shd w:val="clear" w:color="auto" w:fill="auto"/>
            <w:vAlign w:val="center"/>
          </w:tcPr>
          <w:p w14:paraId="55E7B7DE"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4 (5.3)</w:t>
            </w:r>
          </w:p>
        </w:tc>
        <w:tc>
          <w:tcPr>
            <w:tcW w:w="726" w:type="pct"/>
            <w:shd w:val="clear" w:color="auto" w:fill="auto"/>
            <w:vAlign w:val="center"/>
          </w:tcPr>
          <w:p w14:paraId="3585A6E7" w14:textId="77777777" w:rsidR="00C155D9" w:rsidRPr="00B12D26" w:rsidRDefault="00C155D9" w:rsidP="00DD7E39">
            <w:pPr>
              <w:autoSpaceDE w:val="0"/>
              <w:autoSpaceDN w:val="0"/>
              <w:adjustRightInd w:val="0"/>
              <w:spacing w:after="0" w:line="240" w:lineRule="auto"/>
              <w:ind w:left="377"/>
              <w:jc w:val="center"/>
              <w:rPr>
                <w:rFonts w:eastAsia="MS Mincho" w:cs="Calibri"/>
                <w:szCs w:val="22"/>
              </w:rPr>
            </w:pPr>
            <w:r w:rsidRPr="00B12D26">
              <w:rPr>
                <w:rFonts w:eastAsia="MS Mincho" w:cs="Calibri"/>
                <w:spacing w:val="1"/>
                <w:szCs w:val="22"/>
              </w:rPr>
              <w:t>96.0</w:t>
            </w:r>
          </w:p>
        </w:tc>
      </w:tr>
      <w:tr w:rsidR="00C155D9" w:rsidRPr="00B12D26" w14:paraId="180CA805" w14:textId="77777777" w:rsidTr="00D30977">
        <w:trPr>
          <w:trHeight w:val="20"/>
        </w:trPr>
        <w:tc>
          <w:tcPr>
            <w:tcW w:w="1693" w:type="pct"/>
            <w:shd w:val="clear" w:color="auto" w:fill="auto"/>
          </w:tcPr>
          <w:p w14:paraId="0E8A6373"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2"/>
                <w:szCs w:val="22"/>
              </w:rPr>
              <w:t>SOLO1</w:t>
            </w:r>
          </w:p>
          <w:p w14:paraId="6E15F756"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zCs w:val="22"/>
              </w:rPr>
              <w:t>N=260 olaparib</w:t>
            </w:r>
          </w:p>
          <w:p w14:paraId="5BBE7FCC"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1"/>
                <w:szCs w:val="22"/>
              </w:rPr>
              <w:t>N=13</w:t>
            </w:r>
            <w:r w:rsidRPr="00B12D26">
              <w:rPr>
                <w:rFonts w:eastAsia="MS Mincho" w:cs="Calibri"/>
                <w:szCs w:val="22"/>
              </w:rPr>
              <w:t>0</w:t>
            </w:r>
            <w:r w:rsidRPr="00B12D26">
              <w:rPr>
                <w:rFonts w:eastAsia="MS Mincho" w:cs="Calibri"/>
                <w:spacing w:val="-1"/>
                <w:szCs w:val="22"/>
              </w:rPr>
              <w:t xml:space="preserve"> placebo</w:t>
            </w:r>
          </w:p>
        </w:tc>
        <w:tc>
          <w:tcPr>
            <w:tcW w:w="566" w:type="pct"/>
            <w:shd w:val="clear" w:color="auto" w:fill="auto"/>
            <w:vAlign w:val="center"/>
          </w:tcPr>
          <w:p w14:paraId="3639A222"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1"/>
                <w:szCs w:val="22"/>
              </w:rPr>
              <w:t>Ovarian cancer</w:t>
            </w:r>
          </w:p>
        </w:tc>
        <w:tc>
          <w:tcPr>
            <w:tcW w:w="644" w:type="pct"/>
            <w:shd w:val="clear" w:color="auto" w:fill="auto"/>
            <w:vAlign w:val="center"/>
          </w:tcPr>
          <w:p w14:paraId="5C0DB0D7"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7 (2.7)</w:t>
            </w:r>
          </w:p>
        </w:tc>
        <w:tc>
          <w:tcPr>
            <w:tcW w:w="725" w:type="pct"/>
            <w:shd w:val="clear" w:color="auto" w:fill="auto"/>
            <w:vAlign w:val="center"/>
          </w:tcPr>
          <w:p w14:paraId="144614AE"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1"/>
                <w:szCs w:val="22"/>
              </w:rPr>
              <w:t>15.0</w:t>
            </w:r>
          </w:p>
        </w:tc>
        <w:tc>
          <w:tcPr>
            <w:tcW w:w="646" w:type="pct"/>
            <w:shd w:val="clear" w:color="auto" w:fill="auto"/>
            <w:vAlign w:val="center"/>
          </w:tcPr>
          <w:p w14:paraId="5F941241"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2 (1.5)</w:t>
            </w:r>
          </w:p>
        </w:tc>
        <w:tc>
          <w:tcPr>
            <w:tcW w:w="726" w:type="pct"/>
            <w:shd w:val="clear" w:color="auto" w:fill="auto"/>
            <w:vAlign w:val="center"/>
          </w:tcPr>
          <w:p w14:paraId="4E8D268C" w14:textId="77777777" w:rsidR="00C155D9" w:rsidRPr="00B12D26" w:rsidRDefault="00C155D9" w:rsidP="00DD7E39">
            <w:pPr>
              <w:autoSpaceDE w:val="0"/>
              <w:autoSpaceDN w:val="0"/>
              <w:adjustRightInd w:val="0"/>
              <w:spacing w:after="0" w:line="240" w:lineRule="auto"/>
              <w:ind w:left="367"/>
              <w:jc w:val="center"/>
              <w:rPr>
                <w:rFonts w:eastAsia="MS Mincho" w:cs="Calibri"/>
                <w:szCs w:val="22"/>
              </w:rPr>
            </w:pPr>
            <w:r w:rsidRPr="00B12D26">
              <w:rPr>
                <w:rFonts w:eastAsia="MS Mincho" w:cs="Calibri"/>
                <w:spacing w:val="1"/>
                <w:szCs w:val="22"/>
              </w:rPr>
              <w:t>11.5</w:t>
            </w:r>
          </w:p>
        </w:tc>
      </w:tr>
      <w:tr w:rsidR="00C155D9" w:rsidRPr="00B12D26" w14:paraId="3DCAC3D5" w14:textId="77777777" w:rsidTr="00D30977">
        <w:trPr>
          <w:trHeight w:val="20"/>
        </w:trPr>
        <w:tc>
          <w:tcPr>
            <w:tcW w:w="1693" w:type="pct"/>
            <w:shd w:val="clear" w:color="auto" w:fill="auto"/>
          </w:tcPr>
          <w:p w14:paraId="38969585"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2"/>
                <w:szCs w:val="22"/>
              </w:rPr>
              <w:t>PAOLA</w:t>
            </w:r>
            <w:r w:rsidRPr="00B12D26">
              <w:rPr>
                <w:rFonts w:eastAsia="MS Mincho" w:cs="Calibri"/>
                <w:szCs w:val="22"/>
              </w:rPr>
              <w:t>-1</w:t>
            </w:r>
          </w:p>
          <w:p w14:paraId="03F2D0A8"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zCs w:val="22"/>
              </w:rPr>
              <w:t>N=535</w:t>
            </w:r>
            <w:r w:rsidRPr="00B12D26">
              <w:rPr>
                <w:rFonts w:eastAsia="MS Mincho" w:cs="Calibri"/>
                <w:spacing w:val="-2"/>
                <w:szCs w:val="22"/>
              </w:rPr>
              <w:t xml:space="preserve"> </w:t>
            </w:r>
            <w:r w:rsidRPr="00B12D26">
              <w:rPr>
                <w:rFonts w:eastAsia="MS Mincho" w:cs="Calibri"/>
                <w:szCs w:val="22"/>
              </w:rPr>
              <w:t>olaparib</w:t>
            </w:r>
            <w:r w:rsidRPr="00B12D26">
              <w:rPr>
                <w:rFonts w:eastAsia="MS Mincho" w:cs="Calibri"/>
                <w:spacing w:val="-2"/>
                <w:szCs w:val="22"/>
              </w:rPr>
              <w:t xml:space="preserve"> </w:t>
            </w:r>
            <w:r w:rsidRPr="00B12D26">
              <w:rPr>
                <w:rFonts w:eastAsia="MS Mincho" w:cs="Calibri"/>
                <w:spacing w:val="-1"/>
                <w:szCs w:val="22"/>
              </w:rPr>
              <w:t>an</w:t>
            </w:r>
            <w:r w:rsidRPr="00B12D26">
              <w:rPr>
                <w:rFonts w:eastAsia="MS Mincho" w:cs="Calibri"/>
                <w:szCs w:val="22"/>
              </w:rPr>
              <w:t>d</w:t>
            </w:r>
            <w:r w:rsidRPr="00B12D26">
              <w:rPr>
                <w:rFonts w:eastAsia="MS Mincho" w:cs="Calibri"/>
                <w:spacing w:val="2"/>
                <w:szCs w:val="22"/>
              </w:rPr>
              <w:t xml:space="preserve"> </w:t>
            </w:r>
            <w:r w:rsidRPr="00B12D26">
              <w:rPr>
                <w:rFonts w:eastAsia="MS Mincho" w:cs="Calibri"/>
                <w:spacing w:val="-1"/>
                <w:szCs w:val="22"/>
              </w:rPr>
              <w:t>bevacizumab</w:t>
            </w:r>
          </w:p>
          <w:p w14:paraId="153B7F7F"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zCs w:val="22"/>
              </w:rPr>
              <w:t>N=267</w:t>
            </w:r>
            <w:r w:rsidRPr="00B12D26">
              <w:rPr>
                <w:rFonts w:eastAsia="MS Mincho" w:cs="Calibri"/>
                <w:spacing w:val="-2"/>
                <w:szCs w:val="22"/>
              </w:rPr>
              <w:t xml:space="preserve"> </w:t>
            </w:r>
            <w:r w:rsidRPr="00B12D26">
              <w:rPr>
                <w:rFonts w:eastAsia="MS Mincho" w:cs="Calibri"/>
                <w:spacing w:val="-1"/>
                <w:szCs w:val="22"/>
              </w:rPr>
              <w:t>placeb</w:t>
            </w:r>
            <w:r w:rsidRPr="00B12D26">
              <w:rPr>
                <w:rFonts w:eastAsia="MS Mincho" w:cs="Calibri"/>
                <w:szCs w:val="22"/>
              </w:rPr>
              <w:t>o</w:t>
            </w:r>
            <w:r w:rsidRPr="00B12D26">
              <w:rPr>
                <w:rFonts w:eastAsia="MS Mincho" w:cs="Calibri"/>
                <w:spacing w:val="-2"/>
                <w:szCs w:val="22"/>
              </w:rPr>
              <w:t xml:space="preserve"> </w:t>
            </w:r>
            <w:r w:rsidRPr="00B12D26">
              <w:rPr>
                <w:rFonts w:eastAsia="MS Mincho" w:cs="Calibri"/>
                <w:spacing w:val="1"/>
                <w:szCs w:val="22"/>
              </w:rPr>
              <w:t>an</w:t>
            </w:r>
            <w:r w:rsidRPr="00B12D26">
              <w:rPr>
                <w:rFonts w:eastAsia="MS Mincho" w:cs="Calibri"/>
                <w:szCs w:val="22"/>
              </w:rPr>
              <w:t>d</w:t>
            </w:r>
            <w:r w:rsidRPr="00B12D26">
              <w:rPr>
                <w:rFonts w:eastAsia="MS Mincho" w:cs="Calibri"/>
                <w:spacing w:val="3"/>
                <w:szCs w:val="22"/>
              </w:rPr>
              <w:t xml:space="preserve"> </w:t>
            </w:r>
            <w:r w:rsidRPr="00B12D26">
              <w:rPr>
                <w:rFonts w:eastAsia="MS Mincho" w:cs="Calibri"/>
                <w:spacing w:val="-1"/>
                <w:szCs w:val="22"/>
              </w:rPr>
              <w:t>bevacizumab</w:t>
            </w:r>
          </w:p>
        </w:tc>
        <w:tc>
          <w:tcPr>
            <w:tcW w:w="566" w:type="pct"/>
            <w:shd w:val="clear" w:color="auto" w:fill="auto"/>
            <w:vAlign w:val="center"/>
          </w:tcPr>
          <w:p w14:paraId="2696E309"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1"/>
                <w:szCs w:val="22"/>
              </w:rPr>
              <w:t>Ovarian cancer</w:t>
            </w:r>
          </w:p>
        </w:tc>
        <w:tc>
          <w:tcPr>
            <w:tcW w:w="644" w:type="pct"/>
            <w:shd w:val="clear" w:color="auto" w:fill="auto"/>
            <w:vAlign w:val="center"/>
          </w:tcPr>
          <w:p w14:paraId="05909715"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25 (4.7)</w:t>
            </w:r>
          </w:p>
        </w:tc>
        <w:tc>
          <w:tcPr>
            <w:tcW w:w="725" w:type="pct"/>
            <w:shd w:val="clear" w:color="auto" w:fill="auto"/>
            <w:vAlign w:val="center"/>
          </w:tcPr>
          <w:p w14:paraId="1700A6B2"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1"/>
                <w:szCs w:val="22"/>
              </w:rPr>
              <w:t>35.3</w:t>
            </w:r>
          </w:p>
        </w:tc>
        <w:tc>
          <w:tcPr>
            <w:tcW w:w="646" w:type="pct"/>
            <w:shd w:val="clear" w:color="auto" w:fill="auto"/>
            <w:vAlign w:val="center"/>
          </w:tcPr>
          <w:p w14:paraId="0F07B8A2"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5 (1.9)</w:t>
            </w:r>
          </w:p>
        </w:tc>
        <w:tc>
          <w:tcPr>
            <w:tcW w:w="726" w:type="pct"/>
            <w:shd w:val="clear" w:color="auto" w:fill="auto"/>
            <w:vAlign w:val="center"/>
          </w:tcPr>
          <w:p w14:paraId="3642DAA5" w14:textId="77777777" w:rsidR="00C155D9" w:rsidRPr="00B12D26" w:rsidRDefault="00C155D9" w:rsidP="00DD7E39">
            <w:pPr>
              <w:autoSpaceDE w:val="0"/>
              <w:autoSpaceDN w:val="0"/>
              <w:adjustRightInd w:val="0"/>
              <w:spacing w:after="0" w:line="240" w:lineRule="auto"/>
              <w:ind w:left="367"/>
              <w:jc w:val="center"/>
              <w:rPr>
                <w:rFonts w:eastAsia="MS Mincho" w:cs="Calibri"/>
                <w:szCs w:val="22"/>
              </w:rPr>
            </w:pPr>
            <w:r w:rsidRPr="00B12D26">
              <w:rPr>
                <w:rFonts w:eastAsia="MS Mincho" w:cs="Calibri"/>
                <w:spacing w:val="1"/>
                <w:szCs w:val="22"/>
              </w:rPr>
              <w:t>14.2</w:t>
            </w:r>
          </w:p>
        </w:tc>
      </w:tr>
      <w:tr w:rsidR="00C155D9" w:rsidRPr="00B12D26" w14:paraId="78D4E2F8" w14:textId="77777777" w:rsidTr="00D30977">
        <w:trPr>
          <w:trHeight w:val="20"/>
        </w:trPr>
        <w:tc>
          <w:tcPr>
            <w:tcW w:w="1693" w:type="pct"/>
            <w:shd w:val="clear" w:color="auto" w:fill="auto"/>
          </w:tcPr>
          <w:p w14:paraId="26C79EB1"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2"/>
                <w:szCs w:val="22"/>
              </w:rPr>
              <w:t>POLO</w:t>
            </w:r>
          </w:p>
          <w:p w14:paraId="531FBDBF"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zCs w:val="22"/>
              </w:rPr>
              <w:t>N=90 olaparib</w:t>
            </w:r>
          </w:p>
          <w:p w14:paraId="03BF333D"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1"/>
                <w:szCs w:val="22"/>
              </w:rPr>
              <w:t>N=6</w:t>
            </w:r>
            <w:r w:rsidRPr="00B12D26">
              <w:rPr>
                <w:rFonts w:eastAsia="MS Mincho" w:cs="Calibri"/>
                <w:szCs w:val="22"/>
              </w:rPr>
              <w:t>1</w:t>
            </w:r>
            <w:r w:rsidRPr="00B12D26">
              <w:rPr>
                <w:rFonts w:eastAsia="MS Mincho" w:cs="Calibri"/>
                <w:spacing w:val="-1"/>
                <w:szCs w:val="22"/>
              </w:rPr>
              <w:t xml:space="preserve"> placebo</w:t>
            </w:r>
          </w:p>
        </w:tc>
        <w:tc>
          <w:tcPr>
            <w:tcW w:w="566" w:type="pct"/>
            <w:shd w:val="clear" w:color="auto" w:fill="auto"/>
            <w:vAlign w:val="center"/>
          </w:tcPr>
          <w:p w14:paraId="591D5F62"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Pancreatic</w:t>
            </w:r>
            <w:r w:rsidRPr="00B12D26">
              <w:rPr>
                <w:rFonts w:eastAsia="MS Mincho" w:cs="Calibri"/>
                <w:spacing w:val="-1"/>
                <w:szCs w:val="22"/>
              </w:rPr>
              <w:t xml:space="preserve"> </w:t>
            </w:r>
            <w:r w:rsidRPr="00B12D26">
              <w:rPr>
                <w:rFonts w:eastAsia="MS Mincho" w:cs="Calibri"/>
                <w:szCs w:val="22"/>
              </w:rPr>
              <w:t>cancer</w:t>
            </w:r>
          </w:p>
        </w:tc>
        <w:tc>
          <w:tcPr>
            <w:tcW w:w="644" w:type="pct"/>
            <w:shd w:val="clear" w:color="auto" w:fill="auto"/>
            <w:vAlign w:val="center"/>
          </w:tcPr>
          <w:p w14:paraId="56E12398"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3 (3.3)</w:t>
            </w:r>
          </w:p>
        </w:tc>
        <w:tc>
          <w:tcPr>
            <w:tcW w:w="725" w:type="pct"/>
            <w:shd w:val="clear" w:color="auto" w:fill="auto"/>
            <w:vAlign w:val="center"/>
          </w:tcPr>
          <w:p w14:paraId="161F54C4"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1"/>
                <w:szCs w:val="22"/>
              </w:rPr>
              <w:t>28.0</w:t>
            </w:r>
          </w:p>
        </w:tc>
        <w:tc>
          <w:tcPr>
            <w:tcW w:w="646" w:type="pct"/>
            <w:shd w:val="clear" w:color="auto" w:fill="auto"/>
            <w:vAlign w:val="center"/>
          </w:tcPr>
          <w:p w14:paraId="4B038ED0"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1 (1.6)</w:t>
            </w:r>
          </w:p>
        </w:tc>
        <w:tc>
          <w:tcPr>
            <w:tcW w:w="726" w:type="pct"/>
            <w:shd w:val="clear" w:color="auto" w:fill="auto"/>
            <w:vAlign w:val="center"/>
          </w:tcPr>
          <w:p w14:paraId="628A9076" w14:textId="77777777" w:rsidR="00C155D9" w:rsidRPr="00B12D26" w:rsidRDefault="00C155D9" w:rsidP="00DD7E39">
            <w:pPr>
              <w:autoSpaceDE w:val="0"/>
              <w:autoSpaceDN w:val="0"/>
              <w:adjustRightInd w:val="0"/>
              <w:spacing w:after="0" w:line="240" w:lineRule="auto"/>
              <w:ind w:left="367"/>
              <w:jc w:val="center"/>
              <w:rPr>
                <w:rFonts w:eastAsia="MS Mincho" w:cs="Calibri"/>
                <w:szCs w:val="22"/>
              </w:rPr>
            </w:pPr>
            <w:r w:rsidRPr="00B12D26">
              <w:rPr>
                <w:rFonts w:eastAsia="MS Mincho" w:cs="Calibri"/>
                <w:spacing w:val="1"/>
                <w:szCs w:val="22"/>
              </w:rPr>
              <w:t>27.4</w:t>
            </w:r>
          </w:p>
        </w:tc>
      </w:tr>
      <w:tr w:rsidR="00C155D9" w:rsidRPr="00B12D26" w14:paraId="2EEEB71C" w14:textId="77777777" w:rsidTr="00D30977">
        <w:trPr>
          <w:trHeight w:val="20"/>
        </w:trPr>
        <w:tc>
          <w:tcPr>
            <w:tcW w:w="1693" w:type="pct"/>
            <w:shd w:val="clear" w:color="auto" w:fill="auto"/>
          </w:tcPr>
          <w:p w14:paraId="1A1437B6"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zCs w:val="22"/>
              </w:rPr>
              <w:t>PROfound</w:t>
            </w:r>
          </w:p>
          <w:p w14:paraId="14A9FF16"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zCs w:val="22"/>
              </w:rPr>
              <w:t>N=256 olaparib</w:t>
            </w:r>
          </w:p>
          <w:p w14:paraId="58ABAAC9"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zCs w:val="22"/>
              </w:rPr>
              <w:t>N=130</w:t>
            </w:r>
            <w:r w:rsidRPr="00B12D26">
              <w:rPr>
                <w:rFonts w:eastAsia="MS Mincho" w:cs="Calibri"/>
                <w:spacing w:val="-1"/>
                <w:szCs w:val="22"/>
              </w:rPr>
              <w:t xml:space="preserve"> </w:t>
            </w:r>
            <w:r w:rsidRPr="00B12D26">
              <w:rPr>
                <w:rFonts w:eastAsia="MS Mincho" w:cs="Calibri"/>
                <w:szCs w:val="22"/>
              </w:rPr>
              <w:t>investigators</w:t>
            </w:r>
            <w:r w:rsidRPr="00B12D26">
              <w:rPr>
                <w:rFonts w:eastAsia="MS Mincho" w:cs="Calibri"/>
                <w:spacing w:val="1"/>
                <w:szCs w:val="22"/>
              </w:rPr>
              <w:t xml:space="preserve"> </w:t>
            </w:r>
            <w:r w:rsidRPr="00B12D26">
              <w:rPr>
                <w:rFonts w:eastAsia="MS Mincho" w:cs="Calibri"/>
                <w:spacing w:val="-8"/>
                <w:szCs w:val="22"/>
              </w:rPr>
              <w:t>c</w:t>
            </w:r>
            <w:r w:rsidRPr="00B12D26">
              <w:rPr>
                <w:rFonts w:eastAsia="MS Mincho" w:cs="Calibri"/>
                <w:spacing w:val="5"/>
                <w:szCs w:val="22"/>
              </w:rPr>
              <w:t>h</w:t>
            </w:r>
            <w:r w:rsidRPr="00B12D26">
              <w:rPr>
                <w:rFonts w:eastAsia="MS Mincho" w:cs="Calibri"/>
                <w:spacing w:val="-2"/>
                <w:szCs w:val="22"/>
              </w:rPr>
              <w:t>oic</w:t>
            </w:r>
            <w:r w:rsidRPr="00B12D26">
              <w:rPr>
                <w:rFonts w:eastAsia="MS Mincho" w:cs="Calibri"/>
                <w:szCs w:val="22"/>
              </w:rPr>
              <w:t>e</w:t>
            </w:r>
            <w:r w:rsidRPr="00B12D26">
              <w:rPr>
                <w:rFonts w:eastAsia="MS Mincho" w:cs="Calibri"/>
                <w:spacing w:val="-3"/>
                <w:szCs w:val="22"/>
              </w:rPr>
              <w:t xml:space="preserve"> </w:t>
            </w:r>
            <w:r w:rsidRPr="00B12D26">
              <w:rPr>
                <w:rFonts w:eastAsia="MS Mincho" w:cs="Calibri"/>
                <w:spacing w:val="-2"/>
                <w:szCs w:val="22"/>
              </w:rPr>
              <w:t>o</w:t>
            </w:r>
            <w:r w:rsidRPr="00B12D26">
              <w:rPr>
                <w:rFonts w:eastAsia="MS Mincho" w:cs="Calibri"/>
                <w:szCs w:val="22"/>
              </w:rPr>
              <w:t>f</w:t>
            </w:r>
            <w:r w:rsidRPr="00B12D26">
              <w:rPr>
                <w:rFonts w:eastAsia="MS Mincho" w:cs="Calibri"/>
                <w:spacing w:val="-3"/>
                <w:szCs w:val="22"/>
              </w:rPr>
              <w:t xml:space="preserve"> </w:t>
            </w:r>
            <w:r w:rsidRPr="00B12D26">
              <w:rPr>
                <w:rFonts w:eastAsia="MS Mincho" w:cs="Calibri"/>
                <w:spacing w:val="-2"/>
                <w:szCs w:val="22"/>
              </w:rPr>
              <w:t>NHA</w:t>
            </w:r>
          </w:p>
        </w:tc>
        <w:tc>
          <w:tcPr>
            <w:tcW w:w="566" w:type="pct"/>
            <w:shd w:val="clear" w:color="auto" w:fill="auto"/>
            <w:vAlign w:val="center"/>
          </w:tcPr>
          <w:p w14:paraId="4CC3B8E9"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 xml:space="preserve">Prostate </w:t>
            </w:r>
            <w:r w:rsidRPr="00B12D26">
              <w:rPr>
                <w:rFonts w:eastAsia="MS Mincho" w:cs="Calibri"/>
                <w:spacing w:val="-1"/>
                <w:szCs w:val="22"/>
              </w:rPr>
              <w:t>cancer</w:t>
            </w:r>
          </w:p>
        </w:tc>
        <w:tc>
          <w:tcPr>
            <w:tcW w:w="644" w:type="pct"/>
            <w:shd w:val="clear" w:color="auto" w:fill="auto"/>
            <w:vAlign w:val="center"/>
          </w:tcPr>
          <w:p w14:paraId="0B999EF6"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20 (7.8)</w:t>
            </w:r>
          </w:p>
        </w:tc>
        <w:tc>
          <w:tcPr>
            <w:tcW w:w="725" w:type="pct"/>
            <w:shd w:val="clear" w:color="auto" w:fill="auto"/>
            <w:vAlign w:val="center"/>
          </w:tcPr>
          <w:p w14:paraId="1F73EE74"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1"/>
                <w:szCs w:val="22"/>
              </w:rPr>
              <w:t>101.8</w:t>
            </w:r>
          </w:p>
        </w:tc>
        <w:tc>
          <w:tcPr>
            <w:tcW w:w="646" w:type="pct"/>
            <w:shd w:val="clear" w:color="auto" w:fill="auto"/>
            <w:vAlign w:val="center"/>
          </w:tcPr>
          <w:p w14:paraId="3D8F9CA0"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4 (3.1)</w:t>
            </w:r>
          </w:p>
        </w:tc>
        <w:tc>
          <w:tcPr>
            <w:tcW w:w="726" w:type="pct"/>
            <w:shd w:val="clear" w:color="auto" w:fill="auto"/>
            <w:vAlign w:val="center"/>
          </w:tcPr>
          <w:p w14:paraId="497880B7" w14:textId="77777777" w:rsidR="00C155D9" w:rsidRPr="00B12D26" w:rsidRDefault="00C155D9" w:rsidP="00DD7E39">
            <w:pPr>
              <w:autoSpaceDE w:val="0"/>
              <w:autoSpaceDN w:val="0"/>
              <w:adjustRightInd w:val="0"/>
              <w:spacing w:after="0" w:line="240" w:lineRule="auto"/>
              <w:ind w:left="367"/>
              <w:jc w:val="center"/>
              <w:rPr>
                <w:rFonts w:eastAsia="MS Mincho" w:cs="Calibri"/>
                <w:szCs w:val="22"/>
              </w:rPr>
            </w:pPr>
            <w:r w:rsidRPr="00B12D26">
              <w:rPr>
                <w:rFonts w:eastAsia="MS Mincho" w:cs="Calibri"/>
                <w:spacing w:val="1"/>
                <w:szCs w:val="22"/>
              </w:rPr>
              <w:t>66.0</w:t>
            </w:r>
          </w:p>
        </w:tc>
      </w:tr>
      <w:tr w:rsidR="00C155D9" w:rsidRPr="00B12D26" w14:paraId="7430B634" w14:textId="77777777" w:rsidTr="00D30977">
        <w:trPr>
          <w:trHeight w:val="20"/>
        </w:trPr>
        <w:tc>
          <w:tcPr>
            <w:tcW w:w="1693" w:type="pct"/>
            <w:shd w:val="clear" w:color="auto" w:fill="auto"/>
          </w:tcPr>
          <w:p w14:paraId="16F383B8"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1"/>
                <w:szCs w:val="22"/>
              </w:rPr>
              <w:t>Stud</w:t>
            </w:r>
            <w:r w:rsidRPr="00B12D26">
              <w:rPr>
                <w:rFonts w:eastAsia="MS Mincho" w:cs="Calibri"/>
                <w:szCs w:val="22"/>
              </w:rPr>
              <w:t>y</w:t>
            </w:r>
            <w:r w:rsidRPr="00B12D26">
              <w:rPr>
                <w:rFonts w:eastAsia="MS Mincho" w:cs="Calibri"/>
                <w:spacing w:val="-2"/>
                <w:szCs w:val="22"/>
              </w:rPr>
              <w:t xml:space="preserve"> </w:t>
            </w:r>
            <w:r w:rsidRPr="00B12D26">
              <w:rPr>
                <w:rFonts w:eastAsia="MS Mincho" w:cs="Calibri"/>
                <w:szCs w:val="22"/>
              </w:rPr>
              <w:t>8</w:t>
            </w:r>
          </w:p>
          <w:p w14:paraId="1710D574"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zCs w:val="22"/>
              </w:rPr>
              <w:t>N=71</w:t>
            </w:r>
            <w:r w:rsidRPr="00B12D26">
              <w:rPr>
                <w:rFonts w:eastAsia="MS Mincho" w:cs="Calibri"/>
                <w:spacing w:val="3"/>
                <w:szCs w:val="22"/>
              </w:rPr>
              <w:t xml:space="preserve"> </w:t>
            </w:r>
            <w:r w:rsidRPr="00B12D26">
              <w:rPr>
                <w:rFonts w:eastAsia="MS Mincho" w:cs="Calibri"/>
                <w:spacing w:val="-1"/>
                <w:szCs w:val="22"/>
              </w:rPr>
              <w:t>olapari</w:t>
            </w:r>
            <w:r w:rsidRPr="00B12D26">
              <w:rPr>
                <w:rFonts w:eastAsia="MS Mincho" w:cs="Calibri"/>
                <w:szCs w:val="22"/>
              </w:rPr>
              <w:t>b</w:t>
            </w:r>
            <w:r w:rsidRPr="00B12D26">
              <w:rPr>
                <w:rFonts w:eastAsia="MS Mincho" w:cs="Calibri"/>
                <w:spacing w:val="-1"/>
                <w:szCs w:val="22"/>
              </w:rPr>
              <w:t xml:space="preserve"> </w:t>
            </w:r>
            <w:r w:rsidRPr="00B12D26">
              <w:rPr>
                <w:rFonts w:eastAsia="MS Mincho" w:cs="Calibri"/>
                <w:szCs w:val="22"/>
              </w:rPr>
              <w:t>+</w:t>
            </w:r>
            <w:r w:rsidRPr="00B12D26">
              <w:rPr>
                <w:rFonts w:eastAsia="MS Mincho" w:cs="Calibri"/>
                <w:spacing w:val="-1"/>
                <w:szCs w:val="22"/>
              </w:rPr>
              <w:t xml:space="preserve"> abiraterone</w:t>
            </w:r>
          </w:p>
          <w:p w14:paraId="7BD99209"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1"/>
                <w:szCs w:val="22"/>
              </w:rPr>
              <w:t>N=7</w:t>
            </w:r>
            <w:r w:rsidRPr="00B12D26">
              <w:rPr>
                <w:rFonts w:eastAsia="MS Mincho" w:cs="Calibri"/>
                <w:szCs w:val="22"/>
              </w:rPr>
              <w:t>1</w:t>
            </w:r>
            <w:r w:rsidRPr="00B12D26">
              <w:rPr>
                <w:rFonts w:eastAsia="MS Mincho" w:cs="Calibri"/>
                <w:spacing w:val="-1"/>
                <w:szCs w:val="22"/>
              </w:rPr>
              <w:t xml:space="preserve"> placeb</w:t>
            </w:r>
            <w:r w:rsidRPr="00B12D26">
              <w:rPr>
                <w:rFonts w:eastAsia="MS Mincho" w:cs="Calibri"/>
                <w:szCs w:val="22"/>
              </w:rPr>
              <w:t>o</w:t>
            </w:r>
            <w:r w:rsidRPr="00B12D26">
              <w:rPr>
                <w:rFonts w:eastAsia="MS Mincho" w:cs="Calibri"/>
                <w:spacing w:val="-1"/>
                <w:szCs w:val="22"/>
              </w:rPr>
              <w:t xml:space="preserve"> </w:t>
            </w:r>
            <w:r w:rsidRPr="00B12D26">
              <w:rPr>
                <w:rFonts w:eastAsia="MS Mincho" w:cs="Calibri"/>
                <w:szCs w:val="22"/>
              </w:rPr>
              <w:t>+</w:t>
            </w:r>
            <w:r w:rsidRPr="00B12D26">
              <w:rPr>
                <w:rFonts w:eastAsia="MS Mincho" w:cs="Calibri"/>
                <w:spacing w:val="-1"/>
                <w:szCs w:val="22"/>
              </w:rPr>
              <w:t xml:space="preserve"> abiraterone</w:t>
            </w:r>
          </w:p>
        </w:tc>
        <w:tc>
          <w:tcPr>
            <w:tcW w:w="566" w:type="pct"/>
            <w:shd w:val="clear" w:color="auto" w:fill="auto"/>
            <w:vAlign w:val="center"/>
          </w:tcPr>
          <w:p w14:paraId="64C46DBC"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 xml:space="preserve">Prostate </w:t>
            </w:r>
            <w:r w:rsidRPr="00B12D26">
              <w:rPr>
                <w:rFonts w:eastAsia="MS Mincho" w:cs="Calibri"/>
                <w:spacing w:val="-1"/>
                <w:szCs w:val="22"/>
              </w:rPr>
              <w:t>cancer</w:t>
            </w:r>
          </w:p>
        </w:tc>
        <w:tc>
          <w:tcPr>
            <w:tcW w:w="644" w:type="pct"/>
            <w:shd w:val="clear" w:color="auto" w:fill="auto"/>
            <w:vAlign w:val="center"/>
          </w:tcPr>
          <w:p w14:paraId="5EB2B8E9"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2 (2.8)</w:t>
            </w:r>
          </w:p>
        </w:tc>
        <w:tc>
          <w:tcPr>
            <w:tcW w:w="725" w:type="pct"/>
            <w:shd w:val="clear" w:color="auto" w:fill="auto"/>
            <w:vAlign w:val="center"/>
          </w:tcPr>
          <w:p w14:paraId="096CA6E7"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2"/>
                <w:szCs w:val="22"/>
              </w:rPr>
              <w:t>NC</w:t>
            </w:r>
          </w:p>
        </w:tc>
        <w:tc>
          <w:tcPr>
            <w:tcW w:w="646" w:type="pct"/>
            <w:shd w:val="clear" w:color="auto" w:fill="auto"/>
            <w:vAlign w:val="center"/>
          </w:tcPr>
          <w:p w14:paraId="284BA0BF"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2 (2.8)</w:t>
            </w:r>
          </w:p>
        </w:tc>
        <w:tc>
          <w:tcPr>
            <w:tcW w:w="726" w:type="pct"/>
            <w:shd w:val="clear" w:color="auto" w:fill="auto"/>
            <w:vAlign w:val="center"/>
          </w:tcPr>
          <w:p w14:paraId="78627508" w14:textId="77777777" w:rsidR="00C155D9" w:rsidRPr="00B12D26" w:rsidRDefault="00C155D9" w:rsidP="00DD7E39">
            <w:pPr>
              <w:autoSpaceDE w:val="0"/>
              <w:autoSpaceDN w:val="0"/>
              <w:adjustRightInd w:val="0"/>
              <w:spacing w:after="0" w:line="240" w:lineRule="auto"/>
              <w:ind w:left="400"/>
              <w:jc w:val="center"/>
              <w:rPr>
                <w:rFonts w:eastAsia="MS Mincho" w:cs="Calibri"/>
                <w:szCs w:val="22"/>
              </w:rPr>
            </w:pPr>
            <w:r w:rsidRPr="00B12D26">
              <w:rPr>
                <w:rFonts w:eastAsia="MS Mincho" w:cs="Calibri"/>
                <w:spacing w:val="-2"/>
                <w:szCs w:val="22"/>
              </w:rPr>
              <w:t>NC</w:t>
            </w:r>
          </w:p>
        </w:tc>
      </w:tr>
      <w:tr w:rsidR="00C155D9" w:rsidRPr="00B12D26" w14:paraId="2BEEDE0A" w14:textId="77777777" w:rsidTr="00D30977">
        <w:trPr>
          <w:trHeight w:val="20"/>
        </w:trPr>
        <w:tc>
          <w:tcPr>
            <w:tcW w:w="1693" w:type="pct"/>
            <w:shd w:val="clear" w:color="auto" w:fill="auto"/>
          </w:tcPr>
          <w:p w14:paraId="0BCAE44D"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2"/>
                <w:szCs w:val="22"/>
              </w:rPr>
              <w:t>PROpel</w:t>
            </w:r>
          </w:p>
          <w:p w14:paraId="01A517BF"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2"/>
                <w:szCs w:val="22"/>
              </w:rPr>
              <w:t>N</w:t>
            </w:r>
            <w:r w:rsidRPr="00B12D26">
              <w:rPr>
                <w:rFonts w:eastAsia="MS Mincho" w:cs="Calibri"/>
                <w:spacing w:val="2"/>
                <w:szCs w:val="22"/>
              </w:rPr>
              <w:t>=</w:t>
            </w:r>
            <w:r w:rsidRPr="00B12D26">
              <w:rPr>
                <w:rFonts w:eastAsia="MS Mincho" w:cs="Calibri"/>
                <w:szCs w:val="22"/>
              </w:rPr>
              <w:t>398</w:t>
            </w:r>
            <w:r w:rsidRPr="00B12D26">
              <w:rPr>
                <w:rFonts w:eastAsia="MS Mincho" w:cs="Calibri"/>
                <w:spacing w:val="-2"/>
                <w:szCs w:val="22"/>
              </w:rPr>
              <w:t xml:space="preserve"> </w:t>
            </w:r>
            <w:r w:rsidRPr="00B12D26">
              <w:rPr>
                <w:rFonts w:eastAsia="MS Mincho" w:cs="Calibri"/>
                <w:szCs w:val="22"/>
              </w:rPr>
              <w:t>olaparib</w:t>
            </w:r>
            <w:r w:rsidRPr="00B12D26">
              <w:rPr>
                <w:rFonts w:eastAsia="MS Mincho" w:cs="Calibri"/>
                <w:spacing w:val="-2"/>
                <w:szCs w:val="22"/>
              </w:rPr>
              <w:t xml:space="preserve"> </w:t>
            </w:r>
            <w:r w:rsidRPr="00B12D26">
              <w:rPr>
                <w:rFonts w:eastAsia="MS Mincho" w:cs="Calibri"/>
                <w:szCs w:val="22"/>
              </w:rPr>
              <w:t>and</w:t>
            </w:r>
            <w:r w:rsidRPr="00B12D26">
              <w:rPr>
                <w:rFonts w:eastAsia="MS Mincho" w:cs="Calibri"/>
                <w:spacing w:val="-1"/>
                <w:szCs w:val="22"/>
              </w:rPr>
              <w:t xml:space="preserve"> </w:t>
            </w:r>
            <w:r w:rsidRPr="00B12D26">
              <w:rPr>
                <w:rFonts w:eastAsia="MS Mincho" w:cs="Calibri"/>
                <w:szCs w:val="22"/>
              </w:rPr>
              <w:t>abiraterone</w:t>
            </w:r>
          </w:p>
          <w:p w14:paraId="358CAF96"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1"/>
                <w:szCs w:val="22"/>
              </w:rPr>
              <w:t>N=39</w:t>
            </w:r>
            <w:r w:rsidRPr="00B12D26">
              <w:rPr>
                <w:rFonts w:eastAsia="MS Mincho" w:cs="Calibri"/>
                <w:szCs w:val="22"/>
              </w:rPr>
              <w:t>6</w:t>
            </w:r>
            <w:r w:rsidRPr="00B12D26">
              <w:rPr>
                <w:rFonts w:eastAsia="MS Mincho" w:cs="Calibri"/>
                <w:spacing w:val="-1"/>
                <w:szCs w:val="22"/>
              </w:rPr>
              <w:t xml:space="preserve"> placeb</w:t>
            </w:r>
            <w:r w:rsidRPr="00B12D26">
              <w:rPr>
                <w:rFonts w:eastAsia="MS Mincho" w:cs="Calibri"/>
                <w:szCs w:val="22"/>
              </w:rPr>
              <w:t>o</w:t>
            </w:r>
            <w:r w:rsidRPr="00B12D26">
              <w:rPr>
                <w:rFonts w:eastAsia="MS Mincho" w:cs="Calibri"/>
                <w:spacing w:val="-1"/>
                <w:szCs w:val="22"/>
              </w:rPr>
              <w:t xml:space="preserve"> an</w:t>
            </w:r>
            <w:r w:rsidRPr="00B12D26">
              <w:rPr>
                <w:rFonts w:eastAsia="MS Mincho" w:cs="Calibri"/>
                <w:szCs w:val="22"/>
              </w:rPr>
              <w:t>d</w:t>
            </w:r>
            <w:r w:rsidRPr="00B12D26">
              <w:rPr>
                <w:rFonts w:eastAsia="MS Mincho" w:cs="Calibri"/>
                <w:spacing w:val="-1"/>
                <w:szCs w:val="22"/>
              </w:rPr>
              <w:t xml:space="preserve"> abiraterone</w:t>
            </w:r>
          </w:p>
        </w:tc>
        <w:tc>
          <w:tcPr>
            <w:tcW w:w="566" w:type="pct"/>
            <w:shd w:val="clear" w:color="auto" w:fill="auto"/>
            <w:vAlign w:val="center"/>
          </w:tcPr>
          <w:p w14:paraId="7138E5FB"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 xml:space="preserve">Prostate </w:t>
            </w:r>
            <w:r w:rsidRPr="00B12D26">
              <w:rPr>
                <w:rFonts w:eastAsia="MS Mincho" w:cs="Calibri"/>
                <w:spacing w:val="-1"/>
                <w:szCs w:val="22"/>
              </w:rPr>
              <w:t>cancer</w:t>
            </w:r>
          </w:p>
        </w:tc>
        <w:tc>
          <w:tcPr>
            <w:tcW w:w="644" w:type="pct"/>
            <w:shd w:val="clear" w:color="auto" w:fill="auto"/>
            <w:vAlign w:val="center"/>
          </w:tcPr>
          <w:p w14:paraId="2EDBC758"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29 (7.3)</w:t>
            </w:r>
          </w:p>
        </w:tc>
        <w:tc>
          <w:tcPr>
            <w:tcW w:w="725" w:type="pct"/>
            <w:shd w:val="clear" w:color="auto" w:fill="auto"/>
            <w:vAlign w:val="center"/>
          </w:tcPr>
          <w:p w14:paraId="407B49DE"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1"/>
                <w:szCs w:val="22"/>
              </w:rPr>
              <w:t>55.1</w:t>
            </w:r>
          </w:p>
        </w:tc>
        <w:tc>
          <w:tcPr>
            <w:tcW w:w="646" w:type="pct"/>
            <w:shd w:val="clear" w:color="auto" w:fill="auto"/>
            <w:vAlign w:val="center"/>
          </w:tcPr>
          <w:p w14:paraId="54CDADC0"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13 (3.3)</w:t>
            </w:r>
          </w:p>
        </w:tc>
        <w:tc>
          <w:tcPr>
            <w:tcW w:w="726" w:type="pct"/>
            <w:shd w:val="clear" w:color="auto" w:fill="auto"/>
            <w:vAlign w:val="center"/>
          </w:tcPr>
          <w:p w14:paraId="718F925D" w14:textId="77777777" w:rsidR="00C155D9" w:rsidRPr="00B12D26" w:rsidRDefault="00C155D9" w:rsidP="00DD7E39">
            <w:pPr>
              <w:autoSpaceDE w:val="0"/>
              <w:autoSpaceDN w:val="0"/>
              <w:adjustRightInd w:val="0"/>
              <w:spacing w:after="0" w:line="240" w:lineRule="auto"/>
              <w:ind w:left="375"/>
              <w:jc w:val="center"/>
              <w:rPr>
                <w:rFonts w:eastAsia="MS Mincho" w:cs="Calibri"/>
                <w:szCs w:val="22"/>
              </w:rPr>
            </w:pPr>
            <w:r w:rsidRPr="00B12D26">
              <w:rPr>
                <w:rFonts w:eastAsia="MS Mincho" w:cs="Calibri"/>
                <w:spacing w:val="1"/>
                <w:szCs w:val="22"/>
              </w:rPr>
              <w:t>25.8</w:t>
            </w:r>
          </w:p>
        </w:tc>
      </w:tr>
      <w:tr w:rsidR="00C155D9" w:rsidRPr="00B12D26" w14:paraId="4F852E05" w14:textId="77777777" w:rsidTr="00D30977">
        <w:trPr>
          <w:trHeight w:val="20"/>
        </w:trPr>
        <w:tc>
          <w:tcPr>
            <w:tcW w:w="2259" w:type="pct"/>
            <w:gridSpan w:val="2"/>
            <w:shd w:val="clear" w:color="auto" w:fill="auto"/>
          </w:tcPr>
          <w:p w14:paraId="05C900F9"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1"/>
                <w:szCs w:val="22"/>
              </w:rPr>
              <w:t>Olapari</w:t>
            </w:r>
            <w:r w:rsidRPr="00B12D26">
              <w:rPr>
                <w:rFonts w:eastAsia="MS Mincho" w:cs="Calibri"/>
                <w:szCs w:val="22"/>
              </w:rPr>
              <w:t>b</w:t>
            </w:r>
            <w:r w:rsidRPr="00B12D26">
              <w:rPr>
                <w:rFonts w:eastAsia="MS Mincho" w:cs="Calibri"/>
                <w:spacing w:val="-1"/>
                <w:szCs w:val="22"/>
              </w:rPr>
              <w:t xml:space="preserve"> monotherap</w:t>
            </w:r>
            <w:r w:rsidRPr="00B12D26">
              <w:rPr>
                <w:rFonts w:eastAsia="MS Mincho" w:cs="Calibri"/>
                <w:szCs w:val="22"/>
              </w:rPr>
              <w:t>y</w:t>
            </w:r>
            <w:r w:rsidRPr="00B12D26">
              <w:rPr>
                <w:rFonts w:eastAsia="MS Mincho" w:cs="Calibri"/>
                <w:spacing w:val="-7"/>
                <w:szCs w:val="22"/>
              </w:rPr>
              <w:t xml:space="preserve"> </w:t>
            </w:r>
            <w:r w:rsidRPr="00B12D26">
              <w:rPr>
                <w:rFonts w:eastAsia="MS Mincho" w:cs="Calibri"/>
                <w:szCs w:val="22"/>
              </w:rPr>
              <w:t>300 mg bd</w:t>
            </w:r>
            <w:r w:rsidRPr="00B12D26">
              <w:rPr>
                <w:rFonts w:eastAsia="MS Mincho" w:cs="Calibri"/>
                <w:spacing w:val="3"/>
                <w:szCs w:val="22"/>
              </w:rPr>
              <w:t xml:space="preserve"> </w:t>
            </w:r>
            <w:r w:rsidRPr="00B12D26">
              <w:rPr>
                <w:rFonts w:eastAsia="MS Mincho" w:cs="Calibri"/>
                <w:spacing w:val="-3"/>
                <w:szCs w:val="22"/>
              </w:rPr>
              <w:t>pool</w:t>
            </w:r>
          </w:p>
          <w:p w14:paraId="0B37140C" w14:textId="77777777" w:rsidR="00C155D9" w:rsidRPr="00B12D26" w:rsidRDefault="00C155D9" w:rsidP="00DD7E39">
            <w:pPr>
              <w:autoSpaceDE w:val="0"/>
              <w:autoSpaceDN w:val="0"/>
              <w:adjustRightInd w:val="0"/>
              <w:spacing w:after="0" w:line="240" w:lineRule="auto"/>
              <w:ind w:left="109"/>
              <w:rPr>
                <w:rFonts w:eastAsia="MS Mincho" w:cs="Calibri"/>
                <w:szCs w:val="22"/>
              </w:rPr>
            </w:pPr>
            <w:r w:rsidRPr="00B12D26">
              <w:rPr>
                <w:rFonts w:eastAsia="MS Mincho" w:cs="Calibri"/>
                <w:spacing w:val="-2"/>
                <w:szCs w:val="22"/>
              </w:rPr>
              <w:t>N</w:t>
            </w:r>
            <w:r w:rsidRPr="00B12D26">
              <w:rPr>
                <w:rFonts w:eastAsia="MS Mincho" w:cs="Calibri"/>
                <w:spacing w:val="2"/>
                <w:szCs w:val="22"/>
              </w:rPr>
              <w:t>=</w:t>
            </w:r>
            <w:r w:rsidRPr="00B12D26">
              <w:rPr>
                <w:rFonts w:eastAsia="MS Mincho" w:cs="Calibri"/>
                <w:szCs w:val="22"/>
              </w:rPr>
              <w:t>2134</w:t>
            </w:r>
            <w:r w:rsidRPr="00B12D26">
              <w:rPr>
                <w:rFonts w:eastAsia="MS Mincho" w:cs="Calibri"/>
                <w:spacing w:val="-2"/>
                <w:szCs w:val="22"/>
              </w:rPr>
              <w:t xml:space="preserve"> </w:t>
            </w:r>
            <w:r w:rsidRPr="00B12D26">
              <w:rPr>
                <w:rFonts w:eastAsia="MS Mincho" w:cs="Calibri"/>
                <w:szCs w:val="22"/>
              </w:rPr>
              <w:t>olaparib</w:t>
            </w:r>
          </w:p>
        </w:tc>
        <w:tc>
          <w:tcPr>
            <w:tcW w:w="644" w:type="pct"/>
            <w:shd w:val="clear" w:color="auto" w:fill="auto"/>
            <w:vAlign w:val="center"/>
          </w:tcPr>
          <w:p w14:paraId="5B08BDB1"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zCs w:val="22"/>
              </w:rPr>
              <w:t>87</w:t>
            </w:r>
            <w:r w:rsidRPr="00B12D26">
              <w:rPr>
                <w:rFonts w:eastAsia="MS Mincho" w:cs="Calibri"/>
                <w:spacing w:val="3"/>
                <w:szCs w:val="22"/>
              </w:rPr>
              <w:t xml:space="preserve"> </w:t>
            </w:r>
            <w:r w:rsidRPr="00B12D26">
              <w:rPr>
                <w:rFonts w:eastAsia="MS Mincho" w:cs="Calibri"/>
                <w:spacing w:val="-1"/>
                <w:szCs w:val="22"/>
              </w:rPr>
              <w:t>(4.1)</w:t>
            </w:r>
          </w:p>
        </w:tc>
        <w:tc>
          <w:tcPr>
            <w:tcW w:w="725" w:type="pct"/>
            <w:shd w:val="clear" w:color="auto" w:fill="auto"/>
            <w:vAlign w:val="center"/>
          </w:tcPr>
          <w:p w14:paraId="79620504"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1"/>
                <w:szCs w:val="22"/>
              </w:rPr>
              <w:t>37.8</w:t>
            </w:r>
          </w:p>
        </w:tc>
        <w:tc>
          <w:tcPr>
            <w:tcW w:w="646" w:type="pct"/>
            <w:shd w:val="clear" w:color="auto" w:fill="auto"/>
            <w:vAlign w:val="center"/>
          </w:tcPr>
          <w:p w14:paraId="406762DD" w14:textId="77777777" w:rsidR="00C155D9" w:rsidRPr="00B12D26" w:rsidRDefault="00C155D9" w:rsidP="00DD7E39">
            <w:pPr>
              <w:autoSpaceDE w:val="0"/>
              <w:autoSpaceDN w:val="0"/>
              <w:adjustRightInd w:val="0"/>
              <w:spacing w:after="0" w:line="240" w:lineRule="auto"/>
              <w:jc w:val="center"/>
              <w:rPr>
                <w:rFonts w:eastAsia="MS Mincho" w:cs="Calibri"/>
                <w:szCs w:val="22"/>
              </w:rPr>
            </w:pPr>
            <w:r w:rsidRPr="00B12D26">
              <w:rPr>
                <w:rFonts w:eastAsia="MS Mincho" w:cs="Calibri"/>
                <w:spacing w:val="-2"/>
                <w:szCs w:val="22"/>
              </w:rPr>
              <w:t>NA</w:t>
            </w:r>
          </w:p>
        </w:tc>
        <w:tc>
          <w:tcPr>
            <w:tcW w:w="726" w:type="pct"/>
            <w:shd w:val="clear" w:color="auto" w:fill="auto"/>
            <w:vAlign w:val="center"/>
          </w:tcPr>
          <w:p w14:paraId="59488E3A" w14:textId="77777777" w:rsidR="00C155D9" w:rsidRPr="00B12D26" w:rsidRDefault="00C155D9" w:rsidP="00DD7E39">
            <w:pPr>
              <w:autoSpaceDE w:val="0"/>
              <w:autoSpaceDN w:val="0"/>
              <w:adjustRightInd w:val="0"/>
              <w:spacing w:after="0" w:line="240" w:lineRule="auto"/>
              <w:ind w:left="396"/>
              <w:jc w:val="center"/>
              <w:rPr>
                <w:rFonts w:eastAsia="MS Mincho" w:cs="Calibri"/>
                <w:szCs w:val="22"/>
              </w:rPr>
            </w:pPr>
            <w:r w:rsidRPr="00B12D26">
              <w:rPr>
                <w:rFonts w:eastAsia="MS Mincho" w:cs="Calibri"/>
                <w:spacing w:val="-2"/>
                <w:szCs w:val="22"/>
              </w:rPr>
              <w:t>NA</w:t>
            </w:r>
          </w:p>
        </w:tc>
      </w:tr>
    </w:tbl>
    <w:p w14:paraId="34A4DF67" w14:textId="77777777" w:rsidR="00AD1F7F" w:rsidRDefault="00C155D9" w:rsidP="00AD1F7F">
      <w:pPr>
        <w:pStyle w:val="TableCaption"/>
      </w:pPr>
      <w:proofErr w:type="spellStart"/>
      <w:r w:rsidRPr="008B65F9">
        <w:t>a</w:t>
      </w:r>
      <w:proofErr w:type="spellEnd"/>
      <w:r w:rsidRPr="008B65F9">
        <w:t xml:space="preserve"> The comparator was physician’s choice of chemotherapy in OlympiAD (which consisted of either capecitabine, eribulin or vinorelbine) and SOLO3 (which consisted of either pegylated liposomal doxorubicin, paclitaxel, gemcitabine or topotecan). The comparator was NHA (enzalutamide or abiraterone acetate with prednisone) in PROfound.</w:t>
      </w:r>
      <w:r w:rsidR="00D40AA2">
        <w:br/>
      </w:r>
      <w:r w:rsidRPr="008B65F9">
        <w:t>NC: not calculated</w:t>
      </w:r>
    </w:p>
    <w:p w14:paraId="3B815648" w14:textId="589DB13A" w:rsidR="006A74A2" w:rsidRDefault="006A74A2" w:rsidP="00AD1F7F">
      <w:pPr>
        <w:rPr>
          <w:lang w:eastAsia="ja-JP"/>
        </w:rPr>
      </w:pPr>
      <w:r>
        <w:t xml:space="preserve">The </w:t>
      </w:r>
      <w:r w:rsidR="00CD546E">
        <w:t>sponsor</w:t>
      </w:r>
      <w:r>
        <w:t xml:space="preserve"> also provided details of 423 VTE events (in 405 patients) in their “</w:t>
      </w:r>
      <w:r w:rsidRPr="00AA483E">
        <w:t>Global patient safety database</w:t>
      </w:r>
      <w:r>
        <w:t>” (of spontaneous post-</w:t>
      </w:r>
      <w:r w:rsidRPr="00AA483E">
        <w:t xml:space="preserve">market reports, </w:t>
      </w:r>
      <w:r w:rsidRPr="00AA483E">
        <w:rPr>
          <w:lang w:eastAsia="ja-JP"/>
        </w:rPr>
        <w:t xml:space="preserve">cumulative to 6 October 2021. </w:t>
      </w:r>
      <w:r>
        <w:rPr>
          <w:lang w:eastAsia="ja-JP"/>
        </w:rPr>
        <w:t>Per their report:</w:t>
      </w:r>
    </w:p>
    <w:p w14:paraId="6BD7D854" w14:textId="5D51154B" w:rsidR="006A74A2" w:rsidRPr="006A74A2" w:rsidRDefault="006A74A2" w:rsidP="006A74A2">
      <w:pPr>
        <w:pStyle w:val="Quotation"/>
        <w:rPr>
          <w:color w:val="FF0000"/>
          <w:sz w:val="22"/>
          <w:szCs w:val="24"/>
        </w:rPr>
      </w:pPr>
      <w:r w:rsidRPr="006A74A2">
        <w:rPr>
          <w:sz w:val="22"/>
          <w:szCs w:val="24"/>
        </w:rPr>
        <w:t>The age of patients ranged from 18 to 86 years (median age was 63 years), 35.1% of patients were 65 years or above. The majority of patients were females (325, 80.2%) but most related to patients with ovarian or breast cancer.</w:t>
      </w:r>
      <w:r w:rsidR="006C56CA">
        <w:rPr>
          <w:sz w:val="22"/>
          <w:szCs w:val="24"/>
        </w:rPr>
        <w:t xml:space="preserve"> </w:t>
      </w:r>
      <w:r w:rsidRPr="006A74A2">
        <w:rPr>
          <w:sz w:val="22"/>
          <w:szCs w:val="24"/>
        </w:rPr>
        <w:t xml:space="preserve">Time to onset ranged from less than one day (N=6, 1.4%) to up to one year (N=216, 53.3%), and was missing in 167 cases (39.5%). Thirty-four (8.0%) patients reported a VTE event over a year on treatment. Where </w:t>
      </w:r>
      <w:r w:rsidRPr="006A74A2">
        <w:rPr>
          <w:sz w:val="22"/>
          <w:szCs w:val="24"/>
        </w:rPr>
        <w:lastRenderedPageBreak/>
        <w:t>outcome was reported (259 cases), the majority of events resolved or were resolving (151, 58.3%), 8 (2.0%) recovered with sequelae, 84 (32.4%) had not recovered and 16 (6.2%) were fatal. Outcome was not known in 149 cases.</w:t>
      </w:r>
    </w:p>
    <w:p w14:paraId="5292F5FE" w14:textId="77777777" w:rsidR="006A74A2" w:rsidRDefault="006A74A2" w:rsidP="006A74A2">
      <w:pPr>
        <w:rPr>
          <w:lang w:eastAsia="ja-JP"/>
        </w:rPr>
      </w:pPr>
      <w:r>
        <w:rPr>
          <w:lang w:eastAsia="zh-TW"/>
        </w:rPr>
        <w:t xml:space="preserve">The number of patients exposed to olaparib across its clinical development program as </w:t>
      </w:r>
      <w:proofErr w:type="gramStart"/>
      <w:r>
        <w:rPr>
          <w:lang w:eastAsia="zh-TW"/>
        </w:rPr>
        <w:t>at</w:t>
      </w:r>
      <w:proofErr w:type="gramEnd"/>
      <w:r>
        <w:rPr>
          <w:lang w:eastAsia="zh-TW"/>
        </w:rPr>
        <w:t xml:space="preserve"> 15 JUN 2021 is 17923 </w:t>
      </w:r>
      <w:r>
        <w:rPr>
          <w:lang w:eastAsia="ja-JP"/>
        </w:rPr>
        <w:t>(8536 in clinical trials, 1904 through marketing access programs, and 7483 in investigator initiated studies).</w:t>
      </w:r>
    </w:p>
    <w:p w14:paraId="6AF3E544" w14:textId="747DF47F" w:rsidR="006A74A2" w:rsidRPr="00AA483E" w:rsidRDefault="006A74A2" w:rsidP="006A74A2">
      <w:r>
        <w:rPr>
          <w:lang w:eastAsia="ja-JP"/>
        </w:rPr>
        <w:t xml:space="preserve">Across the pooled safety population presented by the </w:t>
      </w:r>
      <w:r w:rsidR="00CD546E">
        <w:rPr>
          <w:lang w:eastAsia="ja-JP"/>
        </w:rPr>
        <w:t>sponsor</w:t>
      </w:r>
      <w:r>
        <w:rPr>
          <w:lang w:eastAsia="ja-JP"/>
        </w:rPr>
        <w:t xml:space="preserve"> in their company data sheet (and in the Australian PI at present), there have been 135 events (3.3%) of VTE at any grade</w:t>
      </w:r>
      <w:r w:rsidRPr="00AA483E">
        <w:rPr>
          <w:lang w:eastAsia="ja-JP"/>
        </w:rPr>
        <w:t xml:space="preserve"> of</w:t>
      </w:r>
      <w:r>
        <w:rPr>
          <w:lang w:eastAsia="ja-JP"/>
        </w:rPr>
        <w:t xml:space="preserve"> severity, and 67 (1.6%) at CTCAE Grade 3 or higher amongst 4098 patients in the pool. </w:t>
      </w:r>
      <w:r w:rsidRPr="00AA483E">
        <w:rPr>
          <w:lang w:eastAsia="ja-JP"/>
        </w:rPr>
        <w:t xml:space="preserve"> </w:t>
      </w:r>
      <w:r>
        <w:rPr>
          <w:lang w:eastAsia="ja-JP"/>
        </w:rPr>
        <w:t>They therefore propose to include VTE in the pooled table in the PI under the frequency “</w:t>
      </w:r>
      <w:r w:rsidRPr="00AA483E">
        <w:rPr>
          <w:lang w:eastAsia="ja-JP"/>
        </w:rPr>
        <w:t>Common</w:t>
      </w:r>
      <w:r>
        <w:rPr>
          <w:lang w:eastAsia="ja-JP"/>
        </w:rPr>
        <w:t>.”</w:t>
      </w:r>
    </w:p>
    <w:p w14:paraId="5601BEC2" w14:textId="42BCB5AC" w:rsidR="00797FB6" w:rsidRPr="00AA483E" w:rsidRDefault="00797FB6" w:rsidP="00797FB6">
      <w:r w:rsidRPr="00AA483E">
        <w:t xml:space="preserve">Based on their signal analysis, the </w:t>
      </w:r>
      <w:r>
        <w:t>s</w:t>
      </w:r>
      <w:r w:rsidRPr="00AA483E">
        <w:t>ponsor concluded as follows:</w:t>
      </w:r>
    </w:p>
    <w:p w14:paraId="1C000C8B" w14:textId="77777777" w:rsidR="00797FB6" w:rsidRPr="00797FB6" w:rsidRDefault="00797FB6" w:rsidP="00797FB6">
      <w:pPr>
        <w:pStyle w:val="Quotation"/>
        <w:rPr>
          <w:sz w:val="22"/>
          <w:szCs w:val="24"/>
        </w:rPr>
      </w:pPr>
      <w:r w:rsidRPr="00797FB6">
        <w:rPr>
          <w:sz w:val="22"/>
          <w:szCs w:val="24"/>
        </w:rPr>
        <w:t xml:space="preserve">There was a higher incidence of VTEs including PE in the olaparib arm of PROfound, PROpel and PAOLA-1 studies. </w:t>
      </w:r>
    </w:p>
    <w:p w14:paraId="6B636134" w14:textId="77777777" w:rsidR="00797FB6" w:rsidRPr="00797FB6" w:rsidRDefault="00797FB6" w:rsidP="00797FB6">
      <w:pPr>
        <w:pStyle w:val="Quotation"/>
        <w:rPr>
          <w:sz w:val="22"/>
          <w:szCs w:val="24"/>
        </w:rPr>
      </w:pPr>
      <w:r w:rsidRPr="00797FB6">
        <w:rPr>
          <w:sz w:val="22"/>
          <w:szCs w:val="24"/>
        </w:rPr>
        <w:t>Although the observed incidence of VTEs across these phase III studies is similar to the background rate in the respective patient populations, due to the weight of evidence across several well controlled, randomised, phase IIII studies which demonstrate a trend towards an increased incidence of VTEs and the lack of apparent alternative explanation, AstraZeneca considers that that there is a reasonable possibility of a causal relationship between olaparib and VTEs.</w:t>
      </w:r>
    </w:p>
    <w:p w14:paraId="114E2D21" w14:textId="079C7574" w:rsidR="00797FB6" w:rsidRPr="00797FB6" w:rsidRDefault="00797FB6" w:rsidP="00797FB6">
      <w:pPr>
        <w:pStyle w:val="Quotation"/>
        <w:rPr>
          <w:sz w:val="22"/>
          <w:szCs w:val="24"/>
        </w:rPr>
      </w:pPr>
      <w:r w:rsidRPr="00797FB6">
        <w:rPr>
          <w:sz w:val="22"/>
          <w:szCs w:val="24"/>
        </w:rPr>
        <w:t xml:space="preserve">Venous thromboembolism has been identified as a new adverse drug reaction for olaparib as a result of this review. Venous thromboembolism is a </w:t>
      </w:r>
      <w:proofErr w:type="spellStart"/>
      <w:r w:rsidRPr="00797FB6">
        <w:rPr>
          <w:sz w:val="22"/>
          <w:szCs w:val="24"/>
        </w:rPr>
        <w:t>well known</w:t>
      </w:r>
      <w:proofErr w:type="spellEnd"/>
      <w:r w:rsidRPr="00797FB6">
        <w:rPr>
          <w:sz w:val="22"/>
          <w:szCs w:val="24"/>
        </w:rPr>
        <w:t xml:space="preserve"> comorbidity in oncology clinical practice, especially in patients with metastatic disease and can be a potentially </w:t>
      </w:r>
      <w:r w:rsidR="00FD24E8" w:rsidRPr="00797FB6">
        <w:rPr>
          <w:sz w:val="22"/>
          <w:szCs w:val="24"/>
        </w:rPr>
        <w:t>life-threatening</w:t>
      </w:r>
      <w:r w:rsidRPr="00797FB6">
        <w:rPr>
          <w:sz w:val="22"/>
          <w:szCs w:val="24"/>
        </w:rPr>
        <w:t xml:space="preserve"> event. The reviewed data demonstrates that the majority of patients recovered from the event and were able to continue olaparib with the introduction of </w:t>
      </w:r>
      <w:r w:rsidR="00FD24E8" w:rsidRPr="00797FB6">
        <w:rPr>
          <w:sz w:val="22"/>
          <w:szCs w:val="24"/>
        </w:rPr>
        <w:t>anticoagulant</w:t>
      </w:r>
      <w:r w:rsidRPr="00797FB6">
        <w:rPr>
          <w:sz w:val="22"/>
          <w:szCs w:val="24"/>
        </w:rPr>
        <w:t xml:space="preserve"> treatment based on standard medical practice. The evidence from these cases is not sufficient to indicate severe harm and additional patient monitoring or management guidance in the prescribing information, beyond routine medical practice. However, the higher incidence of events in the prostate cancer population is considered to be worth explicitly highlighting in the prescribing information. The benefits of treatment with olaparib, when used in accordance with the revised prescribing information, continue to outweigh the risks.</w:t>
      </w:r>
    </w:p>
    <w:p w14:paraId="6B220C50" w14:textId="1775E726" w:rsidR="00B575C2" w:rsidRPr="00C52108" w:rsidRDefault="00636A55" w:rsidP="000B4549">
      <w:pPr>
        <w:pStyle w:val="Heading5"/>
        <w:rPr>
          <w:lang w:eastAsia="zh-TW"/>
        </w:rPr>
      </w:pPr>
      <w:r>
        <w:rPr>
          <w:lang w:eastAsia="zh-TW"/>
        </w:rPr>
        <w:t>D</w:t>
      </w:r>
      <w:r w:rsidR="00CD546E">
        <w:rPr>
          <w:lang w:eastAsia="zh-TW"/>
        </w:rPr>
        <w:t>elegate</w:t>
      </w:r>
      <w:r w:rsidR="00B575C2" w:rsidRPr="00C52108">
        <w:rPr>
          <w:lang w:eastAsia="zh-TW"/>
        </w:rPr>
        <w:t xml:space="preserve"> </w:t>
      </w:r>
      <w:r w:rsidR="00B575C2" w:rsidRPr="00C52108">
        <w:t>comment</w:t>
      </w:r>
    </w:p>
    <w:p w14:paraId="143F3680" w14:textId="213148A4" w:rsidR="00B575C2" w:rsidRPr="00D52BC1" w:rsidRDefault="00B575C2" w:rsidP="00B575C2">
      <w:pPr>
        <w:rPr>
          <w:lang w:eastAsia="zh-TW"/>
        </w:rPr>
      </w:pPr>
      <w:r w:rsidRPr="00D52BC1">
        <w:rPr>
          <w:lang w:eastAsia="zh-TW"/>
        </w:rPr>
        <w:t xml:space="preserve">I agree with the </w:t>
      </w:r>
      <w:r w:rsidR="00CD546E">
        <w:rPr>
          <w:lang w:eastAsia="zh-TW"/>
        </w:rPr>
        <w:t>sponsor</w:t>
      </w:r>
      <w:r w:rsidRPr="00D52BC1">
        <w:rPr>
          <w:lang w:eastAsia="zh-TW"/>
        </w:rPr>
        <w:t xml:space="preserve">’s analysis in general, particularly that detailed management advice is not helpful, as oncologists are well familiar with management of VTE. </w:t>
      </w:r>
    </w:p>
    <w:p w14:paraId="581A9375" w14:textId="77777777" w:rsidR="00B575C2" w:rsidRPr="00D52BC1" w:rsidRDefault="00B575C2" w:rsidP="00B575C2">
      <w:pPr>
        <w:rPr>
          <w:lang w:eastAsia="zh-TW"/>
        </w:rPr>
      </w:pPr>
      <w:r w:rsidRPr="00D52BC1">
        <w:rPr>
          <w:lang w:eastAsia="zh-TW"/>
        </w:rPr>
        <w:t xml:space="preserve">The purpose of including PI text on this risk is not to give clinicians instructions on management, but to provide data around which clinicians and patients can have adequately informed consent discussions when deciding whether to initiate treatment. </w:t>
      </w:r>
    </w:p>
    <w:p w14:paraId="0E97C9DF" w14:textId="6F537AA7" w:rsidR="00B575C2" w:rsidRDefault="00B575C2" w:rsidP="00B575C2">
      <w:pPr>
        <w:rPr>
          <w:lang w:eastAsia="zh-TW"/>
        </w:rPr>
      </w:pPr>
      <w:r w:rsidRPr="00D52BC1">
        <w:rPr>
          <w:lang w:eastAsia="zh-TW"/>
        </w:rPr>
        <w:t xml:space="preserve">The </w:t>
      </w:r>
      <w:r w:rsidR="00CD546E">
        <w:rPr>
          <w:lang w:eastAsia="zh-TW"/>
        </w:rPr>
        <w:t>sponsor</w:t>
      </w:r>
      <w:r w:rsidRPr="00D52BC1">
        <w:rPr>
          <w:lang w:eastAsia="zh-TW"/>
        </w:rPr>
        <w:t xml:space="preserve"> proposes changes to the Australian PI that </w:t>
      </w:r>
      <w:r w:rsidRPr="00D52BC1">
        <w:rPr>
          <w:i/>
          <w:iCs/>
          <w:lang w:eastAsia="zh-TW"/>
        </w:rPr>
        <w:t>remove</w:t>
      </w:r>
      <w:r w:rsidRPr="00D52BC1">
        <w:rPr>
          <w:lang w:eastAsia="zh-TW"/>
        </w:rPr>
        <w:t xml:space="preserve"> quantitative safety information regarding the incidence of VTE in the PROfound </w:t>
      </w:r>
      <w:r w:rsidR="00636A55" w:rsidRPr="00D52BC1">
        <w:rPr>
          <w:lang w:eastAsia="zh-TW"/>
        </w:rPr>
        <w:t>study and</w:t>
      </w:r>
      <w:r w:rsidRPr="00D52BC1">
        <w:rPr>
          <w:lang w:eastAsia="zh-TW"/>
        </w:rPr>
        <w:t xml:space="preserve"> introducing a cross-reference to section 4.8</w:t>
      </w:r>
      <w:r w:rsidR="00D66090">
        <w:rPr>
          <w:lang w:eastAsia="zh-TW"/>
        </w:rPr>
        <w:t xml:space="preserve"> of the PI</w:t>
      </w:r>
      <w:r>
        <w:rPr>
          <w:lang w:eastAsia="zh-TW"/>
        </w:rPr>
        <w:t>.</w:t>
      </w:r>
    </w:p>
    <w:p w14:paraId="702825BC" w14:textId="77777777" w:rsidR="00B575C2" w:rsidRPr="00D52BC1" w:rsidRDefault="00B575C2" w:rsidP="00B575C2">
      <w:pPr>
        <w:rPr>
          <w:lang w:eastAsia="zh-TW"/>
        </w:rPr>
      </w:pPr>
      <w:r>
        <w:rPr>
          <w:lang w:eastAsia="zh-TW"/>
        </w:rPr>
        <w:t xml:space="preserve">The current section 4.8 content of the Australian PI </w:t>
      </w:r>
      <w:r w:rsidRPr="00D52BC1">
        <w:rPr>
          <w:lang w:eastAsia="zh-TW"/>
        </w:rPr>
        <w:t xml:space="preserve">does not provide study-specific </w:t>
      </w:r>
      <w:r>
        <w:rPr>
          <w:lang w:eastAsia="zh-TW"/>
        </w:rPr>
        <w:t xml:space="preserve">safety </w:t>
      </w:r>
      <w:r w:rsidRPr="00D52BC1">
        <w:rPr>
          <w:lang w:eastAsia="zh-TW"/>
        </w:rPr>
        <w:t>data</w:t>
      </w:r>
      <w:r>
        <w:rPr>
          <w:lang w:eastAsia="zh-TW"/>
        </w:rPr>
        <w:t xml:space="preserve">, and instead provides a summary of events pooled across all studies. Data is also presented </w:t>
      </w:r>
      <w:r w:rsidRPr="00D52BC1">
        <w:rPr>
          <w:lang w:eastAsia="zh-TW"/>
        </w:rPr>
        <w:t>using CIOMS terms</w:t>
      </w:r>
      <w:r>
        <w:rPr>
          <w:lang w:eastAsia="zh-TW"/>
        </w:rPr>
        <w:t>.</w:t>
      </w:r>
      <w:r w:rsidRPr="00D52BC1">
        <w:rPr>
          <w:lang w:eastAsia="zh-TW"/>
        </w:rPr>
        <w:t xml:space="preserve"> </w:t>
      </w:r>
      <w:r>
        <w:rPr>
          <w:lang w:eastAsia="zh-TW"/>
        </w:rPr>
        <w:t>W</w:t>
      </w:r>
      <w:r w:rsidRPr="00D52BC1">
        <w:rPr>
          <w:lang w:eastAsia="zh-TW"/>
        </w:rPr>
        <w:t xml:space="preserve">hilst </w:t>
      </w:r>
      <w:r>
        <w:rPr>
          <w:lang w:eastAsia="zh-TW"/>
        </w:rPr>
        <w:t>such data presentation</w:t>
      </w:r>
      <w:r w:rsidRPr="00D52BC1">
        <w:rPr>
          <w:lang w:eastAsia="zh-TW"/>
        </w:rPr>
        <w:t xml:space="preserve"> </w:t>
      </w:r>
      <w:r>
        <w:rPr>
          <w:lang w:eastAsia="zh-TW"/>
        </w:rPr>
        <w:t>may be logical</w:t>
      </w:r>
      <w:r w:rsidRPr="00D52BC1">
        <w:rPr>
          <w:lang w:eastAsia="zh-TW"/>
        </w:rPr>
        <w:t xml:space="preserve"> for contexts in which pooling may be appropriate due </w:t>
      </w:r>
      <w:r>
        <w:rPr>
          <w:lang w:eastAsia="zh-TW"/>
        </w:rPr>
        <w:t xml:space="preserve">to </w:t>
      </w:r>
      <w:r w:rsidRPr="00D52BC1">
        <w:rPr>
          <w:lang w:eastAsia="zh-TW"/>
        </w:rPr>
        <w:t>low-precision</w:t>
      </w:r>
      <w:r>
        <w:rPr>
          <w:lang w:eastAsia="zh-TW"/>
        </w:rPr>
        <w:t xml:space="preserve"> nature of estimates</w:t>
      </w:r>
      <w:r w:rsidRPr="00D52BC1">
        <w:rPr>
          <w:lang w:eastAsia="zh-TW"/>
        </w:rPr>
        <w:t xml:space="preserve"> (pharmacovigilance data, for example)</w:t>
      </w:r>
      <w:r>
        <w:rPr>
          <w:lang w:eastAsia="zh-TW"/>
        </w:rPr>
        <w:t>, it</w:t>
      </w:r>
      <w:r w:rsidRPr="00D52BC1">
        <w:rPr>
          <w:lang w:eastAsia="zh-TW"/>
        </w:rPr>
        <w:t xml:space="preserve"> does not make sense for clinical study data </w:t>
      </w:r>
      <w:r>
        <w:rPr>
          <w:lang w:eastAsia="zh-TW"/>
        </w:rPr>
        <w:t>to be presented this way.  By</w:t>
      </w:r>
      <w:r w:rsidRPr="00D52BC1">
        <w:rPr>
          <w:lang w:eastAsia="zh-TW"/>
        </w:rPr>
        <w:t xml:space="preserve"> introducing extensive heterogeneity</w:t>
      </w:r>
      <w:r>
        <w:rPr>
          <w:lang w:eastAsia="zh-TW"/>
        </w:rPr>
        <w:t xml:space="preserve"> into the safety population</w:t>
      </w:r>
      <w:r w:rsidRPr="00D52BC1">
        <w:rPr>
          <w:lang w:eastAsia="zh-TW"/>
        </w:rPr>
        <w:t xml:space="preserve"> through pooling data across unrelated studies</w:t>
      </w:r>
      <w:r>
        <w:rPr>
          <w:lang w:eastAsia="zh-TW"/>
        </w:rPr>
        <w:t>, granular indication-specific knowledge may be lost</w:t>
      </w:r>
      <w:r w:rsidRPr="00D52BC1">
        <w:rPr>
          <w:lang w:eastAsia="zh-TW"/>
        </w:rPr>
        <w:t xml:space="preserve">. </w:t>
      </w:r>
    </w:p>
    <w:p w14:paraId="4F3C8034" w14:textId="77777777" w:rsidR="00B575C2" w:rsidRPr="00D52BC1" w:rsidRDefault="00B575C2" w:rsidP="00B575C2">
      <w:pPr>
        <w:rPr>
          <w:lang w:eastAsia="zh-TW"/>
        </w:rPr>
      </w:pPr>
      <w:r w:rsidRPr="00D52BC1">
        <w:rPr>
          <w:lang w:eastAsia="zh-TW"/>
        </w:rPr>
        <w:lastRenderedPageBreak/>
        <w:t>Whilst the pooling of safety data across studies has been accepted for olaparib in the past based on the broadly similar safety profile across indications</w:t>
      </w:r>
      <w:r>
        <w:rPr>
          <w:lang w:eastAsia="zh-TW"/>
        </w:rPr>
        <w:t xml:space="preserve">, and in acceptance of </w:t>
      </w:r>
      <w:r w:rsidRPr="00D52BC1">
        <w:rPr>
          <w:lang w:eastAsia="zh-TW"/>
        </w:rPr>
        <w:t xml:space="preserve">continuing </w:t>
      </w:r>
      <w:r>
        <w:rPr>
          <w:lang w:eastAsia="zh-TW"/>
        </w:rPr>
        <w:t>an approach that was taken</w:t>
      </w:r>
      <w:r w:rsidRPr="00D52BC1">
        <w:rPr>
          <w:lang w:eastAsia="zh-TW"/>
        </w:rPr>
        <w:t xml:space="preserve"> historical</w:t>
      </w:r>
      <w:r>
        <w:rPr>
          <w:lang w:eastAsia="zh-TW"/>
        </w:rPr>
        <w:t>ly/when the product was first registered in Australia, VTE (and MDS/AML – see following section)</w:t>
      </w:r>
      <w:r w:rsidRPr="00D52BC1">
        <w:rPr>
          <w:lang w:eastAsia="zh-TW"/>
        </w:rPr>
        <w:t xml:space="preserve"> </w:t>
      </w:r>
      <w:r>
        <w:rPr>
          <w:lang w:eastAsia="zh-TW"/>
        </w:rPr>
        <w:t>are</w:t>
      </w:r>
      <w:r w:rsidRPr="00D52BC1">
        <w:rPr>
          <w:lang w:eastAsia="zh-TW"/>
        </w:rPr>
        <w:t xml:space="preserve"> good example</w:t>
      </w:r>
      <w:r>
        <w:rPr>
          <w:lang w:eastAsia="zh-TW"/>
        </w:rPr>
        <w:t xml:space="preserve">s </w:t>
      </w:r>
      <w:r w:rsidRPr="00D52BC1">
        <w:rPr>
          <w:lang w:eastAsia="zh-TW"/>
        </w:rPr>
        <w:t xml:space="preserve">of </w:t>
      </w:r>
      <w:r>
        <w:rPr>
          <w:lang w:eastAsia="zh-TW"/>
        </w:rPr>
        <w:t>where</w:t>
      </w:r>
      <w:r w:rsidRPr="00D52BC1">
        <w:rPr>
          <w:lang w:eastAsia="zh-TW"/>
        </w:rPr>
        <w:t xml:space="preserve"> separate presentation of safety data across indications – particularly for monotherapy versus combinations – has clinical merit. </w:t>
      </w:r>
    </w:p>
    <w:p w14:paraId="5F0F1BBD" w14:textId="77777777" w:rsidR="00B575C2" w:rsidRDefault="00B575C2" w:rsidP="00B575C2">
      <w:pPr>
        <w:rPr>
          <w:lang w:eastAsia="zh-TW"/>
        </w:rPr>
      </w:pPr>
      <w:r w:rsidRPr="00D52BC1">
        <w:rPr>
          <w:lang w:eastAsia="zh-TW"/>
        </w:rPr>
        <w:t>PI revision discussions will need to include consideration of this issue. The Warnings and Precautions section will require revision for consistency and clinical utility.</w:t>
      </w:r>
      <w:r>
        <w:rPr>
          <w:lang w:eastAsia="zh-TW"/>
        </w:rPr>
        <w:t xml:space="preserve"> </w:t>
      </w:r>
    </w:p>
    <w:p w14:paraId="1BF7ED55" w14:textId="77777777" w:rsidR="008A611B" w:rsidRDefault="008A611B" w:rsidP="008A611B">
      <w:pPr>
        <w:pStyle w:val="Heading5"/>
      </w:pPr>
      <w:r>
        <w:t>M</w:t>
      </w:r>
      <w:r w:rsidRPr="006C3574">
        <w:t>yelodysplastic syndrome/acute myeloid leukaemia (</w:t>
      </w:r>
      <w:r>
        <w:t>MDS/AML)</w:t>
      </w:r>
    </w:p>
    <w:p w14:paraId="11589C51" w14:textId="2164B5A6" w:rsidR="008A611B" w:rsidRDefault="008A611B" w:rsidP="008A611B">
      <w:r>
        <w:t>A causal link between PARP inhibitors and new</w:t>
      </w:r>
      <w:r w:rsidRPr="006C3574">
        <w:t xml:space="preserve"> myeloid neoplasms</w:t>
      </w:r>
      <w:r>
        <w:t xml:space="preserve"> including m</w:t>
      </w:r>
      <w:r w:rsidRPr="006C3574">
        <w:t>yelodysplastic syndrome</w:t>
      </w:r>
      <w:r>
        <w:t xml:space="preserve">s and </w:t>
      </w:r>
      <w:r w:rsidRPr="006C3574">
        <w:t>acute myeloid leukaemia (</w:t>
      </w:r>
      <w:r>
        <w:t>MDS/AML) is suspected as the rate of MDS/AML has been showed to be higher with PARP inhibitor compared to placebo treatment in a 2021 meta-analysis.</w:t>
      </w:r>
      <w:r w:rsidR="009E60BC">
        <w:rPr>
          <w:rStyle w:val="FootnoteReference"/>
        </w:rPr>
        <w:footnoteReference w:id="45"/>
      </w:r>
      <w:r>
        <w:t xml:space="preserve"> It is not clear from the abstract whether the meta-analysis incorporated an adjustment for differences in duration of observation between arms.</w:t>
      </w:r>
    </w:p>
    <w:p w14:paraId="0F717904" w14:textId="1523EC87" w:rsidR="008A611B" w:rsidRDefault="008A611B" w:rsidP="008A611B">
      <w:r>
        <w:t>The following passage from a review article in the literature outlines the possible pathophysiology of the suspected association:</w:t>
      </w:r>
      <w:r w:rsidR="006F5065">
        <w:rPr>
          <w:rStyle w:val="FootnoteReference"/>
        </w:rPr>
        <w:footnoteReference w:id="46"/>
      </w:r>
    </w:p>
    <w:p w14:paraId="7FAB39E1" w14:textId="1E35B53C" w:rsidR="00002F80" w:rsidRDefault="00002F80" w:rsidP="00002F80">
      <w:pPr>
        <w:pStyle w:val="Quotation"/>
      </w:pPr>
      <w:r>
        <w:t xml:space="preserve">Therapy-related myeloid neoplasms, which include therapy-related AML, MDS, and MDS/MPN overlap, are typically encountered as a late complication of chemotherapy or radiation therapy. Different subtypes of therapy-related myeloid neoplasms have varying latency periods from the time of exposure to chemotherapy or radiation therapy. For instance, alkylating agents and radiation therapy are associated with myeloid neoplasms that often present as MDS with subsequent progression to AML and are characterized by deletions of chromosome five or seven, changes that are associated with an </w:t>
      </w:r>
      <w:r w:rsidR="00636A55">
        <w:t>unfavourable</w:t>
      </w:r>
      <w:r>
        <w:t xml:space="preserve"> response to therapy. Topoisomerase II inhibitors are associated with another subtype of therapy-related myeloid neoplasms that emerge within 1–2 years of exposure, present as acute leukemia without antecedent MDS, are associated with translocations involving MLL or RUNX1 and have higher rates of response to leukemia-directed therapy.</w:t>
      </w:r>
    </w:p>
    <w:p w14:paraId="66D86CDD" w14:textId="0D768F80" w:rsidR="00002F80" w:rsidRPr="00636A55" w:rsidRDefault="00002F80" w:rsidP="00002F80">
      <w:pPr>
        <w:pStyle w:val="Quotation"/>
      </w:pPr>
      <w:r>
        <w:t xml:space="preserve">Several processes might contribute to the development of therapy-related myeloid neoplasms, including therapy-induced increases in genomic instability with subsequent accumulation of aberrations and the selection of a founder population of hematopoietic stem cells with predisposing clonal </w:t>
      </w:r>
      <w:r w:rsidR="00636A55">
        <w:t>haematopoiesis</w:t>
      </w:r>
      <w:r>
        <w:t xml:space="preserve"> (CH) mutations, such as TP53 mutations. In this context, CH refers to the clonal expansion of a subpopulation of hematopoietic stem cells with a preexisting somatic mutation in the absence of overt signs of MDS or AML. While older age is an established risk </w:t>
      </w:r>
      <w:r w:rsidRPr="00636A55">
        <w:t xml:space="preserve">factor for CH, </w:t>
      </w:r>
      <w:r w:rsidRPr="00583A23">
        <w:t>exposure to DNA-damaging modalities</w:t>
      </w:r>
      <w:r w:rsidRPr="00636A55">
        <w:t xml:space="preserve">, including the chemotherapy that often precedes treatment with PARPi, </w:t>
      </w:r>
      <w:r w:rsidRPr="00583A23">
        <w:t>may facilitate the emergence of clones exhibiting improved fitness in the face of DNA damage</w:t>
      </w:r>
      <w:r w:rsidRPr="00636A55">
        <w:t xml:space="preserve">. Moreover, when compared to de novo myeloid malignancies, therapy-related myeloid neoplasms are more likely to harbor mutations in components of the DDR pathway, such as TP53 and PPM1D. Similar to chemotherapy and radiation therapy, </w:t>
      </w:r>
      <w:r w:rsidRPr="00583A23">
        <w:t xml:space="preserve">PARPi therapy may select for and promote the expansion of hematopoietic stem cell clones </w:t>
      </w:r>
      <w:r w:rsidRPr="00636A55">
        <w:t>with mutations in TP53 and PPM1D.</w:t>
      </w:r>
    </w:p>
    <w:p w14:paraId="17D54B81" w14:textId="77777777" w:rsidR="00002F80" w:rsidRPr="00636A55" w:rsidRDefault="00002F80" w:rsidP="00002F80">
      <w:pPr>
        <w:pStyle w:val="Quotation"/>
      </w:pPr>
      <w:r>
        <w:t xml:space="preserve">The association of PARPi therapy with the emergence of myeloid neoplasms, specifically MDS and AML, has been examined since the early clinical studies of PARPi. PARPi therapy-related myeloid neoplasms have been reported to have an incidence of 1–3%. While the individual clinical trials studying PARPi, including SOLO2, did not show a statistically significant difference in the rate of myeloid neoplasms in the PARPi group when compared with the placebo group, those studies were underpowered to examine this particular adverse event. As a result, the relatively higher rates of myeloid neoplasms observed in those trials were initially thought to be related to platinum-based </w:t>
      </w:r>
      <w:r>
        <w:lastRenderedPageBreak/>
        <w:t xml:space="preserve">therapy. A subsequent meta-analysis, however, </w:t>
      </w:r>
      <w:r w:rsidRPr="00636A55">
        <w:t xml:space="preserve">not only confirmed the increased risk of myeloid neoplasms with increased platinum therapy, but also showed that </w:t>
      </w:r>
      <w:r w:rsidRPr="00583A23">
        <w:t>PARPi therapy is associated with a two- to three-fold increased risk of AML and MDS relative to patients with the same diagnoses treated with the same therapy but without the PARPi</w:t>
      </w:r>
      <w:r w:rsidRPr="00636A55">
        <w:t>.</w:t>
      </w:r>
    </w:p>
    <w:p w14:paraId="6CBE58F2" w14:textId="77777777" w:rsidR="00002F80" w:rsidRDefault="00002F80" w:rsidP="00002F80">
      <w:pPr>
        <w:pStyle w:val="Quotation"/>
      </w:pPr>
      <w:r w:rsidRPr="00583A23">
        <w:t>This possible risk of MDS and AML becomes highly relevant as the use of PARPi expands to arenas where cancer is curable</w:t>
      </w:r>
      <w:r w:rsidRPr="00636A55">
        <w:t>. For instance, the growing use of PARPi</w:t>
      </w:r>
      <w:r>
        <w:t xml:space="preserve"> for prolonged maintenance therapy following first-line platinum-based chemotherapy in ovarian cancer highlights the need of better understanding this risk, especially when considering that therapy-related myeloid neoplasms are associated with high morbidity and mortality. In this context, there are several questions regarding the pathogenesis of PARPi-emergent myeloid neoplasms that must be answered to better inform clinical decisions (Box 1).</w:t>
      </w:r>
    </w:p>
    <w:tbl>
      <w:tblPr>
        <w:tblStyle w:val="TableGrid"/>
        <w:tblW w:w="0" w:type="auto"/>
        <w:tblLook w:val="04A0" w:firstRow="1" w:lastRow="0" w:firstColumn="1" w:lastColumn="0" w:noHBand="0" w:noVBand="1"/>
      </w:tblPr>
      <w:tblGrid>
        <w:gridCol w:w="9016"/>
      </w:tblGrid>
      <w:tr w:rsidR="00413A15" w14:paraId="60CBC9C7" w14:textId="77777777" w:rsidTr="00DD7E39">
        <w:tc>
          <w:tcPr>
            <w:tcW w:w="9016" w:type="dxa"/>
          </w:tcPr>
          <w:p w14:paraId="02EE4A27" w14:textId="77777777" w:rsidR="00413A15" w:rsidRPr="006C3574" w:rsidRDefault="00413A15" w:rsidP="00DD7E39">
            <w:pPr>
              <w:pStyle w:val="Quotation"/>
            </w:pPr>
            <w:r w:rsidRPr="006C3574">
              <w:t>Box 1</w:t>
            </w:r>
          </w:p>
          <w:p w14:paraId="0A9F6362" w14:textId="77777777" w:rsidR="00413A15" w:rsidRPr="006C3574" w:rsidRDefault="00413A15" w:rsidP="00DD7E39">
            <w:pPr>
              <w:pStyle w:val="Quotation"/>
            </w:pPr>
            <w:r w:rsidRPr="006C3574">
              <w:t>Outstanding Questions About PARPi-Emergent Myeloid Neoplasms That Need to be Answered.</w:t>
            </w:r>
          </w:p>
          <w:p w14:paraId="1FB46D55" w14:textId="77777777" w:rsidR="00413A15" w:rsidRPr="006C3574" w:rsidRDefault="00413A15" w:rsidP="00413A15">
            <w:pPr>
              <w:pStyle w:val="Quotation"/>
              <w:numPr>
                <w:ilvl w:val="0"/>
                <w:numId w:val="28"/>
              </w:numPr>
            </w:pPr>
            <w:r w:rsidRPr="006C3574">
              <w:t>Is there a subset of patients who are at a particularly high risk of developing therapy-related MDS or AML while receiving treatment with a PARPi?</w:t>
            </w:r>
          </w:p>
          <w:p w14:paraId="67D313B6" w14:textId="77777777" w:rsidR="00413A15" w:rsidRPr="006C3574" w:rsidRDefault="00413A15" w:rsidP="00413A15">
            <w:pPr>
              <w:pStyle w:val="Quotation"/>
              <w:numPr>
                <w:ilvl w:val="0"/>
                <w:numId w:val="28"/>
              </w:numPr>
            </w:pPr>
            <w:r w:rsidRPr="006C3574">
              <w:t>If so, how can we identify this group of high-risk patients to better stratify the risks and benefits of PARPi therapy?</w:t>
            </w:r>
          </w:p>
          <w:p w14:paraId="27A81FD6" w14:textId="77777777" w:rsidR="00413A15" w:rsidRPr="006C3574" w:rsidRDefault="00413A15" w:rsidP="00413A15">
            <w:pPr>
              <w:pStyle w:val="Quotation"/>
              <w:numPr>
                <w:ilvl w:val="0"/>
                <w:numId w:val="28"/>
              </w:numPr>
            </w:pPr>
            <w:r w:rsidRPr="006C3574">
              <w:t>Do germline mutations in </w:t>
            </w:r>
            <w:r w:rsidRPr="006C3574">
              <w:rPr>
                <w:i/>
                <w:iCs/>
              </w:rPr>
              <w:t>BRCA1</w:t>
            </w:r>
            <w:r w:rsidRPr="006C3574">
              <w:t>, </w:t>
            </w:r>
            <w:r w:rsidRPr="006C3574">
              <w:rPr>
                <w:i/>
                <w:iCs/>
              </w:rPr>
              <w:t>BRCA2</w:t>
            </w:r>
            <w:r w:rsidRPr="006C3574">
              <w:t>, </w:t>
            </w:r>
            <w:r w:rsidRPr="006C3574">
              <w:rPr>
                <w:i/>
                <w:iCs/>
              </w:rPr>
              <w:t>BARD1</w:t>
            </w:r>
            <w:r w:rsidRPr="006C3574">
              <w:t>, </w:t>
            </w:r>
            <w:r w:rsidRPr="006C3574">
              <w:rPr>
                <w:i/>
                <w:iCs/>
              </w:rPr>
              <w:t>RAD51</w:t>
            </w:r>
            <w:r w:rsidRPr="006C3574">
              <w:t>, </w:t>
            </w:r>
            <w:r w:rsidRPr="006C3574">
              <w:rPr>
                <w:i/>
                <w:iCs/>
              </w:rPr>
              <w:t>TP53</w:t>
            </w:r>
            <w:r w:rsidRPr="006C3574">
              <w:t>, or </w:t>
            </w:r>
            <w:r w:rsidRPr="006C3574">
              <w:rPr>
                <w:i/>
                <w:iCs/>
              </w:rPr>
              <w:t>PALB2</w:t>
            </w:r>
            <w:r w:rsidRPr="006C3574">
              <w:t>—which are commonly encountered in patients with ovarian or breast cancer—confound the picture by increasing the risk of therapy-related MDS and AML?</w:t>
            </w:r>
          </w:p>
          <w:p w14:paraId="77DA0BBD" w14:textId="77777777" w:rsidR="00413A15" w:rsidRPr="006C3574" w:rsidRDefault="00413A15" w:rsidP="00413A15">
            <w:pPr>
              <w:pStyle w:val="Quotation"/>
              <w:numPr>
                <w:ilvl w:val="0"/>
                <w:numId w:val="28"/>
              </w:numPr>
            </w:pPr>
            <w:r w:rsidRPr="006C3574">
              <w:t>Is the risk of therapy-related myeloid neoplasms cumulative with continued PARPi therapy?</w:t>
            </w:r>
          </w:p>
          <w:p w14:paraId="030137F1" w14:textId="77777777" w:rsidR="00413A15" w:rsidRPr="006C3574" w:rsidRDefault="00413A15" w:rsidP="00413A15">
            <w:pPr>
              <w:pStyle w:val="Quotation"/>
              <w:numPr>
                <w:ilvl w:val="0"/>
                <w:numId w:val="28"/>
              </w:numPr>
            </w:pPr>
            <w:r w:rsidRPr="006C3574">
              <w:t>What is the contribution of other DNA-damaging modalities—including conventional chemotherapy and radiation therapy—to the emergence of therapy-related myeloid neoplasms?</w:t>
            </w:r>
          </w:p>
        </w:tc>
      </w:tr>
    </w:tbl>
    <w:p w14:paraId="29AF534C" w14:textId="77777777" w:rsidR="006A74A2" w:rsidRDefault="006A74A2" w:rsidP="006A74A2">
      <w:pPr>
        <w:jc w:val="both"/>
      </w:pPr>
    </w:p>
    <w:p w14:paraId="665E1581" w14:textId="572C6684" w:rsidR="005C6EC6" w:rsidRDefault="005C6EC6" w:rsidP="005C6EC6">
      <w:r>
        <w:rPr>
          <w:lang w:eastAsia="zh-TW"/>
        </w:rPr>
        <w:t>During a prior submission to TGA</w:t>
      </w:r>
      <w:r w:rsidR="00D66090">
        <w:rPr>
          <w:lang w:eastAsia="zh-TW"/>
        </w:rPr>
        <w:t xml:space="preserve">, </w:t>
      </w:r>
      <w:r>
        <w:rPr>
          <w:lang w:eastAsia="zh-TW"/>
        </w:rPr>
        <w:t>the question of whether a boxed warning was warranted for MDS/AML with olaparib treatment was referred to the Advisory Committee on Medicines (ACM) for consideration.</w:t>
      </w:r>
      <w:r>
        <w:t xml:space="preserve"> The concern was elicited by the doubled rate of MDS/AML seen in SOLO2 with olaparib treatment compared to placebo. In short, the ACM agreed that this was likely a class </w:t>
      </w:r>
      <w:r w:rsidR="00636A55">
        <w:t>effect but</w:t>
      </w:r>
      <w:r>
        <w:t xml:space="preserve"> advised that use of a black box was not appropriate in this instance based on prescriber familiarity with the risk, both associated with the PARP inhibitor class, and also with chemotherapy. They advised that a warning/precaution was adequate to convey this risk. </w:t>
      </w:r>
    </w:p>
    <w:p w14:paraId="426BEC2D" w14:textId="44893027" w:rsidR="005C6EC6" w:rsidRPr="006C3574" w:rsidRDefault="005C6EC6" w:rsidP="005C6EC6">
      <w:pPr>
        <w:rPr>
          <w:lang w:eastAsia="zh-TW"/>
        </w:rPr>
      </w:pPr>
      <w:r>
        <w:rPr>
          <w:lang w:eastAsia="zh-TW"/>
        </w:rPr>
        <w:t xml:space="preserve">For reference, a summary provided by the </w:t>
      </w:r>
      <w:r w:rsidR="00CD546E">
        <w:rPr>
          <w:lang w:eastAsia="zh-TW"/>
        </w:rPr>
        <w:t>sponsor</w:t>
      </w:r>
      <w:r>
        <w:rPr>
          <w:lang w:eastAsia="zh-TW"/>
        </w:rPr>
        <w:t xml:space="preserve"> of incidence of MDS/AML across the olaparib clinical development program (at the time the ACM advice was obtained) is contained in</w:t>
      </w:r>
      <w:r w:rsidR="00FD24E8">
        <w:rPr>
          <w:lang w:eastAsia="zh-TW"/>
        </w:rPr>
        <w:t xml:space="preserve"> </w:t>
      </w:r>
      <w:r w:rsidR="004B2E74">
        <w:rPr>
          <w:lang w:eastAsia="zh-TW"/>
        </w:rPr>
        <w:t>Table 1</w:t>
      </w:r>
      <w:r w:rsidR="00D66090">
        <w:rPr>
          <w:lang w:eastAsia="zh-TW"/>
        </w:rPr>
        <w:t>6</w:t>
      </w:r>
      <w:r>
        <w:rPr>
          <w:lang w:eastAsia="zh-TW"/>
        </w:rPr>
        <w:t>.</w:t>
      </w:r>
    </w:p>
    <w:p w14:paraId="30F9B4DC" w14:textId="46C6827D" w:rsidR="009A2918" w:rsidRDefault="009A2918" w:rsidP="00583A23">
      <w:pPr>
        <w:pStyle w:val="TableTitle"/>
      </w:pPr>
      <w:bookmarkStart w:id="98" w:name="_Ref128037630"/>
      <w:r>
        <w:lastRenderedPageBreak/>
        <w:t xml:space="preserve">Table </w:t>
      </w:r>
      <w:bookmarkEnd w:id="98"/>
      <w:r w:rsidR="00D66090">
        <w:t>16</w:t>
      </w:r>
      <w:r>
        <w:t>. Summary of AEs of MDS/AML across the olaparib clinical development program at the time of referral to ACM for advice on that subject (December 2021)</w:t>
      </w:r>
    </w:p>
    <w:p w14:paraId="067E290E" w14:textId="070EFEB0" w:rsidR="006A74A2" w:rsidRPr="001F6AD7" w:rsidRDefault="009A2918" w:rsidP="00583A23">
      <w:pPr>
        <w:rPr>
          <w:rFonts w:cs="Cambria"/>
          <w:szCs w:val="22"/>
        </w:rPr>
      </w:pPr>
      <w:r>
        <w:rPr>
          <w:noProof/>
          <w:lang w:eastAsia="en-AU"/>
        </w:rPr>
        <w:drawing>
          <wp:inline distT="0" distB="0" distL="0" distR="0" wp14:anchorId="60827A20" wp14:editId="244569F7">
            <wp:extent cx="5738512" cy="6574972"/>
            <wp:effectExtent l="0" t="0" r="0" b="0"/>
            <wp:docPr id="7" name="Picture 7" descr="Summary of AEs of MDS/AML across the olaparib clinical development program at the time of referral to ACM for advice on that subject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mmary of AEs of MDS/AML across the olaparib clinical development program at the time of referral to ACM for advice on that subject (December 2021)"/>
                    <pic:cNvPicPr/>
                  </pic:nvPicPr>
                  <pic:blipFill rotWithShape="1">
                    <a:blip r:embed="rId43">
                      <a:extLst>
                        <a:ext uri="{BEBA8EAE-BF5A-486C-A8C5-ECC9F3942E4B}">
                          <a14:imgProps xmlns:a14="http://schemas.microsoft.com/office/drawing/2010/main">
                            <a14:imgLayer r:embed="rId44">
                              <a14:imgEffect>
                                <a14:sharpenSoften amount="25000"/>
                              </a14:imgEffect>
                            </a14:imgLayer>
                          </a14:imgProps>
                        </a:ext>
                      </a:extLst>
                    </a:blip>
                    <a:srcRect l="2542" t="5389" r="4536" b="11574"/>
                    <a:stretch/>
                  </pic:blipFill>
                  <pic:spPr bwMode="auto">
                    <a:xfrm>
                      <a:off x="0" y="0"/>
                      <a:ext cx="5749097" cy="6587100"/>
                    </a:xfrm>
                    <a:prstGeom prst="rect">
                      <a:avLst/>
                    </a:prstGeom>
                    <a:ln>
                      <a:noFill/>
                    </a:ln>
                    <a:extLst>
                      <a:ext uri="{53640926-AAD7-44D8-BBD7-CCE9431645EC}">
                        <a14:shadowObscured xmlns:a14="http://schemas.microsoft.com/office/drawing/2010/main"/>
                      </a:ext>
                    </a:extLst>
                  </pic:spPr>
                </pic:pic>
              </a:graphicData>
            </a:graphic>
          </wp:inline>
        </w:drawing>
      </w:r>
    </w:p>
    <w:p w14:paraId="3989208C" w14:textId="77777777" w:rsidR="006322DA" w:rsidRDefault="006322DA" w:rsidP="006322DA">
      <w:pPr>
        <w:pStyle w:val="Heading6"/>
        <w:rPr>
          <w:rFonts w:eastAsiaTheme="minorHAnsi"/>
        </w:rPr>
      </w:pPr>
      <w:r>
        <w:rPr>
          <w:rFonts w:eastAsiaTheme="minorHAnsi"/>
        </w:rPr>
        <w:t>OlympiA</w:t>
      </w:r>
    </w:p>
    <w:p w14:paraId="5CB2687C" w14:textId="77777777" w:rsidR="006322DA" w:rsidRPr="0068350C" w:rsidRDefault="006322DA" w:rsidP="006322DA">
      <w:r>
        <w:t>The rate of MDS/AML was lower in the olaparib arm than in the placebo arm.</w:t>
      </w:r>
    </w:p>
    <w:p w14:paraId="435F3DC8" w14:textId="77777777" w:rsidR="006322DA" w:rsidRDefault="006322DA" w:rsidP="006322DA">
      <w:pPr>
        <w:pStyle w:val="Heading6"/>
        <w:rPr>
          <w:rFonts w:eastAsiaTheme="minorHAnsi"/>
        </w:rPr>
      </w:pPr>
      <w:r>
        <w:rPr>
          <w:rFonts w:eastAsiaTheme="minorHAnsi"/>
        </w:rPr>
        <w:t>PROpel</w:t>
      </w:r>
    </w:p>
    <w:p w14:paraId="37D1E83D" w14:textId="77777777" w:rsidR="006322DA" w:rsidRPr="008D4870" w:rsidRDefault="006322DA" w:rsidP="006322DA">
      <w:r>
        <w:t>There was one patient with MDS in the olaparib arm in PROpel, and none in the placebo arm. This patient died from COVID-19 in the setting of MDS-related pancytopenia.</w:t>
      </w:r>
    </w:p>
    <w:p w14:paraId="42913E73" w14:textId="013BD886" w:rsidR="00C52108" w:rsidRPr="00BD533C" w:rsidRDefault="00C52108" w:rsidP="000B4549">
      <w:pPr>
        <w:pStyle w:val="Heading5"/>
      </w:pPr>
      <w:bookmarkStart w:id="99" w:name="_Ref128040593"/>
      <w:r w:rsidRPr="00BD533C">
        <w:lastRenderedPageBreak/>
        <w:t>Companion diagnostics considerations</w:t>
      </w:r>
      <w:bookmarkEnd w:id="99"/>
    </w:p>
    <w:p w14:paraId="59159BD7" w14:textId="77777777" w:rsidR="00C52108" w:rsidRDefault="00C52108" w:rsidP="004D2DB9">
      <w:pPr>
        <w:pStyle w:val="Heading5"/>
      </w:pPr>
      <w:r>
        <w:t>Companion diagnostic testing for the proposed EBC indication</w:t>
      </w:r>
    </w:p>
    <w:p w14:paraId="2D087B8C" w14:textId="77777777" w:rsidR="00C52108" w:rsidRDefault="00C52108" w:rsidP="004D2DB9">
      <w:r w:rsidRPr="00BD533C">
        <w:t xml:space="preserve">Patients were required to have a </w:t>
      </w:r>
      <w:r w:rsidRPr="00BD533C">
        <w:rPr>
          <w:i/>
          <w:iCs/>
        </w:rPr>
        <w:t>gBRCAm</w:t>
      </w:r>
      <w:r w:rsidRPr="00BD533C">
        <w:t xml:space="preserve"> according to local testing to enrol in OlympiA. </w:t>
      </w:r>
    </w:p>
    <w:p w14:paraId="397867AD" w14:textId="76A13C42" w:rsidR="00C52108" w:rsidRPr="00BD533C" w:rsidRDefault="00C52108" w:rsidP="004D2DB9">
      <w:r w:rsidRPr="00BD533C">
        <w:t xml:space="preserve">Central confirmation using the Myriad BRACAnalysis CDx test was intended to be required for all </w:t>
      </w:r>
      <w:r w:rsidR="004B2E74" w:rsidRPr="00BD533C">
        <w:t>patients,</w:t>
      </w:r>
      <w:r w:rsidRPr="00BD533C">
        <w:t xml:space="preserve"> but this could not be </w:t>
      </w:r>
      <w:r>
        <w:t>enacted</w:t>
      </w:r>
      <w:r w:rsidRPr="00BD533C">
        <w:t xml:space="preserve"> for a subset of patients from China, for whom samples were not able to be exported from China for central testing.</w:t>
      </w:r>
    </w:p>
    <w:p w14:paraId="5B2E2C11" w14:textId="77777777" w:rsidR="00C52108" w:rsidRPr="00BD533C" w:rsidRDefault="00C52108" w:rsidP="004D2DB9">
      <w:r w:rsidRPr="00BD533C">
        <w:t xml:space="preserve">An exploratory subgroup analysis of the results of OlympiA was conducted in the subset of patients with confirmed germline BRCA status (1623 patients) based on either prospective or retrospective testing with the BRACAnalysis CDx. Results (IDFS, DDFS and OS) in this subgroup (88% of the study population) were comparable to those seen in the overall population (FAS). </w:t>
      </w:r>
    </w:p>
    <w:p w14:paraId="155D6850" w14:textId="77777777" w:rsidR="00C52108" w:rsidRPr="00BD533C" w:rsidRDefault="00C52108" w:rsidP="004D2DB9">
      <w:r w:rsidRPr="00BD533C">
        <w:t>At the initial DCO of 27 MAR 2020, the HR (9% CI) for IDFS in this subgroup was 0.51 (0.39, 0.66), and was 0.58 (0.41, 0.82) in the FAS.</w:t>
      </w:r>
    </w:p>
    <w:p w14:paraId="3B777A43" w14:textId="77777777" w:rsidR="00C52108" w:rsidRDefault="00C52108" w:rsidP="004D2DB9">
      <w:r w:rsidRPr="00BD533C">
        <w:t>The FDA have approved the BRACAnalysis CDx test as a companion diagnostic for the analogous olaparib indication in the USA.</w:t>
      </w:r>
    </w:p>
    <w:p w14:paraId="719A34D4" w14:textId="77777777" w:rsidR="00C52108" w:rsidRPr="00BD533C" w:rsidRDefault="00C52108" w:rsidP="004D2DB9">
      <w:r>
        <w:t xml:space="preserve">If the Australian indication is limited to patients with </w:t>
      </w:r>
      <w:r w:rsidRPr="00BD533C">
        <w:rPr>
          <w:i/>
          <w:iCs/>
        </w:rPr>
        <w:t>gBRCAm</w:t>
      </w:r>
      <w:r>
        <w:t xml:space="preserve">, a companion diagnostic will be required to select those patients for treatment. If a diagnostic test was seeking Australian registration as a companion diagnostic test, it would need to establish adequate comparability to either the local testing used to enrol patients in OlympiA, or to the </w:t>
      </w:r>
      <w:r w:rsidRPr="00BD533C">
        <w:t>Myriad BRACAnalysis CDx test</w:t>
      </w:r>
      <w:r>
        <w:t>.</w:t>
      </w:r>
    </w:p>
    <w:p w14:paraId="43E996B6" w14:textId="77777777" w:rsidR="00C52108" w:rsidRPr="008015E2" w:rsidRDefault="00C52108" w:rsidP="004D2DB9">
      <w:pPr>
        <w:pStyle w:val="Heading5"/>
      </w:pPr>
      <w:bookmarkStart w:id="100" w:name="_Ref136272781"/>
      <w:r w:rsidRPr="008015E2">
        <w:t>Companion diagnostic testing for the proposed prostate cancer indication</w:t>
      </w:r>
      <w:bookmarkEnd w:id="100"/>
    </w:p>
    <w:p w14:paraId="73479AF5" w14:textId="77777777" w:rsidR="00C52108" w:rsidRDefault="00C52108" w:rsidP="00C52108">
      <w:r>
        <w:t xml:space="preserve">In the pivotal study, PROpel, HRR mutation status was determined for all randomised patients where samples were available through central tumour tissue testing using </w:t>
      </w:r>
      <w:r w:rsidRPr="00583A23">
        <w:t>FoundationOne®CDx</w:t>
      </w:r>
      <w:r w:rsidRPr="00705660">
        <w:t xml:space="preserve"> and plasma ctDNA testing using </w:t>
      </w:r>
      <w:r w:rsidRPr="00583A23">
        <w:t>FoundationOne®Liquid CDx</w:t>
      </w:r>
      <w:r w:rsidRPr="00705660">
        <w:t>, both</w:t>
      </w:r>
      <w:r>
        <w:t xml:space="preserve"> performed centrally by Foundation Medicine Inc. </w:t>
      </w:r>
    </w:p>
    <w:p w14:paraId="2077E7C3" w14:textId="77777777" w:rsidR="00C52108" w:rsidRDefault="00C52108" w:rsidP="00C52108">
      <w:pPr>
        <w:rPr>
          <w:highlight w:val="yellow"/>
        </w:rPr>
      </w:pPr>
      <w:r>
        <w:t xml:space="preserve">These assays test for a large number of genetic abnormalities including </w:t>
      </w:r>
      <w:r w:rsidRPr="008015E2">
        <w:rPr>
          <w:i/>
          <w:iCs/>
        </w:rPr>
        <w:t>BRCA1</w:t>
      </w:r>
      <w:r>
        <w:t xml:space="preserve"> and </w:t>
      </w:r>
      <w:r w:rsidRPr="008015E2">
        <w:rPr>
          <w:i/>
          <w:iCs/>
        </w:rPr>
        <w:t>BRCA2</w:t>
      </w:r>
      <w:r>
        <w:t xml:space="preserve"> (as well as 12 other genes with products involved in recombination repair pathways (</w:t>
      </w:r>
      <w:r w:rsidRPr="008015E2">
        <w:rPr>
          <w:i/>
          <w:iCs/>
        </w:rPr>
        <w:t xml:space="preserve">ATM, BARD1, BRIP1, CDK12, CHEK1, CHEK2, FANCL, PALB2, RAD51B, RAD51C, RAD51D, </w:t>
      </w:r>
      <w:r>
        <w:t>and</w:t>
      </w:r>
      <w:r w:rsidRPr="008015E2">
        <w:rPr>
          <w:i/>
          <w:iCs/>
        </w:rPr>
        <w:t xml:space="preserve"> RAD54L</w:t>
      </w:r>
      <w:r>
        <w:t>).</w:t>
      </w:r>
    </w:p>
    <w:p w14:paraId="3302F104" w14:textId="33074178" w:rsidR="00C52108" w:rsidRDefault="00C52108" w:rsidP="00C52108">
      <w:r w:rsidRPr="008015E2">
        <w:t xml:space="preserve">The </w:t>
      </w:r>
      <w:r w:rsidR="00CD546E">
        <w:t>sponsor</w:t>
      </w:r>
      <w:r w:rsidRPr="008015E2">
        <w:t xml:space="preserve">’s proposed indication is biomarker-agnostic. Efficacy outside patients that had a </w:t>
      </w:r>
      <w:r w:rsidRPr="008015E2">
        <w:rPr>
          <w:i/>
          <w:iCs/>
        </w:rPr>
        <w:t>BRCA</w:t>
      </w:r>
      <w:r w:rsidRPr="008015E2">
        <w:t xml:space="preserve"> mutation (whether according to circulating tumour DNA [ctDNA] or tissue-based testing) is of concern based on a large volume and strength of contextual information, and this concern has not been adequately addressed by the data from the pivotal study PROpel due to design limitations. Therefore, an indication limited to patients with a </w:t>
      </w:r>
      <w:r w:rsidRPr="008015E2">
        <w:rPr>
          <w:i/>
          <w:iCs/>
        </w:rPr>
        <w:t>BRCA</w:t>
      </w:r>
      <w:r w:rsidRPr="008015E2">
        <w:t xml:space="preserve"> mutation (according to either test) is proposed.</w:t>
      </w:r>
    </w:p>
    <w:p w14:paraId="12E503BE" w14:textId="77777777" w:rsidR="00C52108" w:rsidRPr="008015E2" w:rsidRDefault="00C52108" w:rsidP="00C52108">
      <w:r>
        <w:t xml:space="preserve">If an Australian indication is approved for first-line prostate cancer that is limited to patients with a </w:t>
      </w:r>
      <w:r w:rsidRPr="00BD533C">
        <w:rPr>
          <w:i/>
          <w:iCs/>
        </w:rPr>
        <w:t>BRCAm</w:t>
      </w:r>
      <w:r>
        <w:t>, a companion diagnostic will be required to select those patients for treatment. If a diagnostic test was seeking Australian registration as a companion diagnostic test, it would need to establish adequate comparability to either FoundationOne CDx or FoundationOne Liquid CDx.</w:t>
      </w:r>
    </w:p>
    <w:p w14:paraId="2858B006" w14:textId="77777777" w:rsidR="00C22214" w:rsidRDefault="00C22214" w:rsidP="00C22214">
      <w:pPr>
        <w:pStyle w:val="Heading3"/>
        <w:rPr>
          <w:lang w:eastAsia="en-AU"/>
        </w:rPr>
      </w:pPr>
      <w:bookmarkStart w:id="101" w:name="_Toc103679298"/>
      <w:bookmarkStart w:id="102" w:name="_Toc171942669"/>
      <w:r>
        <w:rPr>
          <w:lang w:eastAsia="en-AU"/>
        </w:rPr>
        <w:t>Risk management plan</w:t>
      </w:r>
      <w:bookmarkEnd w:id="48"/>
      <w:bookmarkEnd w:id="101"/>
      <w:bookmarkEnd w:id="102"/>
    </w:p>
    <w:p w14:paraId="0908AE06" w14:textId="697913D1" w:rsidR="00FA1BC9" w:rsidRPr="00BD5DBD" w:rsidRDefault="00FA1BC9" w:rsidP="00FA1BC9">
      <w:pPr>
        <w:rPr>
          <w:szCs w:val="22"/>
        </w:rPr>
      </w:pPr>
      <w:bookmarkStart w:id="103" w:name="_Toc247691531"/>
      <w:bookmarkStart w:id="104" w:name="_Toc314842515"/>
      <w:bookmarkStart w:id="105" w:name="_Toc103679299"/>
      <w:r w:rsidRPr="00BD5DBD">
        <w:rPr>
          <w:szCs w:val="22"/>
        </w:rPr>
        <w:t>The sponsor is required to comply with product vigilance and risk minimisation requirements.</w:t>
      </w:r>
    </w:p>
    <w:p w14:paraId="1AFAFCD5" w14:textId="230C5225" w:rsidR="0017005C" w:rsidRDefault="00FA1BC9" w:rsidP="00FA1BC9">
      <w:pPr>
        <w:rPr>
          <w:szCs w:val="22"/>
        </w:rPr>
      </w:pPr>
      <w:r w:rsidRPr="00BD5DBD">
        <w:rPr>
          <w:szCs w:val="22"/>
        </w:rPr>
        <w:t xml:space="preserve">The TGA decided a RMP was not required </w:t>
      </w:r>
      <w:r w:rsidR="00EE5644">
        <w:rPr>
          <w:szCs w:val="22"/>
        </w:rPr>
        <w:t>as</w:t>
      </w:r>
      <w:r w:rsidR="0017005C">
        <w:rPr>
          <w:szCs w:val="22"/>
        </w:rPr>
        <w:t xml:space="preserve">: </w:t>
      </w:r>
    </w:p>
    <w:p w14:paraId="2E96C73F" w14:textId="695F57FF" w:rsidR="00B365D6" w:rsidRDefault="00EE5644" w:rsidP="00EE5644">
      <w:pPr>
        <w:ind w:left="720"/>
        <w:rPr>
          <w:szCs w:val="22"/>
        </w:rPr>
      </w:pPr>
      <w:r>
        <w:lastRenderedPageBreak/>
        <w:t>The proposed EOI did not constitute a materially different population to the already approved patient population from an RMP perspective as olaparib is already approved for use in adult patients with breast cancer and prostate cancer. Furthermore, abiraterone and prednisone or prednisolone are currently used for the treatment of patients with metastatic castration-resistant prostate cancer and the updated RMP submitted did not suggest any changes to the summary of safety concerns as a result of the combination treatment.</w:t>
      </w:r>
    </w:p>
    <w:p w14:paraId="2D08CB50" w14:textId="714992EF" w:rsidR="00FA1BC9" w:rsidRPr="00BD5DBD" w:rsidRDefault="0017005C" w:rsidP="00FA1BC9">
      <w:pPr>
        <w:rPr>
          <w:szCs w:val="22"/>
        </w:rPr>
      </w:pPr>
      <w:r>
        <w:rPr>
          <w:szCs w:val="22"/>
        </w:rPr>
        <w:t>S</w:t>
      </w:r>
      <w:r w:rsidR="00FA1BC9" w:rsidRPr="00BD5DBD">
        <w:rPr>
          <w:szCs w:val="22"/>
        </w:rPr>
        <w:t xml:space="preserve">ee </w:t>
      </w:r>
      <w:hyperlink r:id="rId45" w:history="1">
        <w:r w:rsidR="00FA1BC9" w:rsidRPr="00BD5DBD">
          <w:rPr>
            <w:rStyle w:val="Hyperlink"/>
            <w:szCs w:val="22"/>
          </w:rPr>
          <w:t>TGA’s guidance</w:t>
        </w:r>
      </w:hyperlink>
      <w:r w:rsidR="00FA1BC9" w:rsidRPr="00BD5DBD">
        <w:rPr>
          <w:szCs w:val="22"/>
        </w:rPr>
        <w:t xml:space="preserve"> on ‘when an RMP is required’</w:t>
      </w:r>
      <w:r w:rsidR="0061217D">
        <w:rPr>
          <w:szCs w:val="22"/>
        </w:rPr>
        <w:t>.</w:t>
      </w:r>
    </w:p>
    <w:p w14:paraId="456C7934" w14:textId="16855C3B" w:rsidR="00FA1BC9" w:rsidRDefault="00FA1BC9" w:rsidP="00FA1BC9">
      <w:pPr>
        <w:rPr>
          <w:szCs w:val="22"/>
        </w:rPr>
      </w:pPr>
      <w:r w:rsidRPr="00BD5DBD">
        <w:rPr>
          <w:szCs w:val="22"/>
        </w:rPr>
        <w:t xml:space="preserve">The TGA may request an updated RMP at any stage of a product's life-cycle, during both the pre-approval and post-approval phases. Further information regarding the TGA’s risk management approach can be found in </w:t>
      </w:r>
      <w:hyperlink r:id="rId46" w:history="1">
        <w:r w:rsidRPr="00BD5DBD">
          <w:rPr>
            <w:rStyle w:val="Hyperlink"/>
            <w:szCs w:val="22"/>
          </w:rPr>
          <w:t>risk management plans for medicines and biologicals</w:t>
        </w:r>
      </w:hyperlink>
      <w:r w:rsidRPr="00BD5DBD">
        <w:rPr>
          <w:szCs w:val="22"/>
        </w:rPr>
        <w:t xml:space="preserve"> and </w:t>
      </w:r>
      <w:hyperlink r:id="rId47" w:history="1">
        <w:r w:rsidRPr="00BD5DBD">
          <w:rPr>
            <w:rStyle w:val="Hyperlink"/>
            <w:szCs w:val="22"/>
          </w:rPr>
          <w:t>the TGA's risk management approach</w:t>
        </w:r>
      </w:hyperlink>
      <w:r w:rsidRPr="00BD5DBD">
        <w:rPr>
          <w:szCs w:val="22"/>
        </w:rPr>
        <w:t xml:space="preserve">. Information on the </w:t>
      </w:r>
      <w:hyperlink r:id="rId48"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49" w:history="1">
        <w:r w:rsidRPr="00BD5DBD">
          <w:rPr>
            <w:rStyle w:val="Hyperlink"/>
            <w:szCs w:val="22"/>
          </w:rPr>
          <w:t>ASA</w:t>
        </w:r>
      </w:hyperlink>
      <w:r w:rsidRPr="00BD5DBD">
        <w:rPr>
          <w:szCs w:val="22"/>
        </w:rPr>
        <w:t>) can be found on the TGA website.</w:t>
      </w:r>
    </w:p>
    <w:p w14:paraId="74A4F87F" w14:textId="77777777" w:rsidR="00C22214" w:rsidRDefault="00C22214" w:rsidP="00C22214">
      <w:pPr>
        <w:pStyle w:val="Heading3"/>
      </w:pPr>
      <w:bookmarkStart w:id="106" w:name="_Toc171942670"/>
      <w:r>
        <w:t>Risk-benefit analysis</w:t>
      </w:r>
      <w:bookmarkEnd w:id="103"/>
      <w:bookmarkEnd w:id="104"/>
      <w:bookmarkEnd w:id="105"/>
      <w:bookmarkEnd w:id="106"/>
    </w:p>
    <w:p w14:paraId="77DE2655" w14:textId="0E883759" w:rsidR="00C22214" w:rsidRDefault="00636A55" w:rsidP="00C22214">
      <w:pPr>
        <w:pStyle w:val="Heading4"/>
      </w:pPr>
      <w:bookmarkStart w:id="107" w:name="_Toc98931932"/>
      <w:bookmarkStart w:id="108" w:name="_Toc171942671"/>
      <w:r>
        <w:t>D</w:t>
      </w:r>
      <w:r w:rsidR="00CD546E">
        <w:t>elegate</w:t>
      </w:r>
      <w:r w:rsidR="00C22214">
        <w:t>’s considerations</w:t>
      </w:r>
      <w:bookmarkEnd w:id="107"/>
      <w:bookmarkEnd w:id="108"/>
    </w:p>
    <w:p w14:paraId="3F4432EF" w14:textId="77777777" w:rsidR="00747F6D" w:rsidRDefault="00747F6D" w:rsidP="0093413E">
      <w:pPr>
        <w:pStyle w:val="Heading5"/>
      </w:pPr>
      <w:bookmarkStart w:id="109" w:name="_Toc98931933"/>
      <w:r>
        <w:t>Breast cancer indication</w:t>
      </w:r>
    </w:p>
    <w:p w14:paraId="3662CADA" w14:textId="77777777" w:rsidR="00747F6D" w:rsidRDefault="00747F6D" w:rsidP="00B52642">
      <w:pPr>
        <w:pStyle w:val="Heading6"/>
      </w:pPr>
      <w:bookmarkStart w:id="110" w:name="_Ref127183950"/>
      <w:r>
        <w:t>Comparator in pivotal study</w:t>
      </w:r>
      <w:bookmarkEnd w:id="110"/>
      <w:r>
        <w:t xml:space="preserve"> (OlympiA)</w:t>
      </w:r>
    </w:p>
    <w:p w14:paraId="070CCBD7" w14:textId="1ABFF7C6" w:rsidR="00747F6D" w:rsidRDefault="00747F6D" w:rsidP="0093413E">
      <w:r>
        <w:t xml:space="preserve">The comparator arm with placebo (+ endocrine therapy for patients with hormone receptor positive disease) is considered acceptable. Adjuvant capecitabine is now considered for patients with high-risk TNBC patients not achieving pCR after standard neoadjuvant chemotherapy (a population similar to that enrolled in the OlympiA trial), though this treatment is off-label in Australia. Data supporting adjuvant capecitabine post-neoadjuvant chemotherapy in non pCR TNBC patients was not published until 2017 (3 years after the OlympiA study was initiated) and therefore adjuvant capecitabine was not permitted in OlympiA. From 2017-2019, some patients with high-risk TNBC patients not achieving pCR after standard neoadjuvant chemotherapy may have chosen to access adjuvant capecitabine over enrolling in OlympiA, but there is no reason this would be expected to impact the clinical relevance of the OlympiA study finding, generated by the patients who did choose to enrol in OlympiA. </w:t>
      </w:r>
    </w:p>
    <w:p w14:paraId="10F4A4E4" w14:textId="20A3CA4E" w:rsidR="00747F6D" w:rsidRPr="00162881" w:rsidRDefault="00747F6D" w:rsidP="0093413E">
      <w:r>
        <w:t xml:space="preserve">Neo/adjuvant pembrolizumab </w:t>
      </w:r>
      <w:r w:rsidRPr="00162881">
        <w:t>(reported 2020)</w:t>
      </w:r>
      <w:r>
        <w:t xml:space="preserve"> for patients with high risk TNBC patients and adjuvant </w:t>
      </w:r>
      <w:r w:rsidRPr="00162881">
        <w:t xml:space="preserve">abemaciclib (reported 2020) </w:t>
      </w:r>
      <w:r>
        <w:t xml:space="preserve">for patients with </w:t>
      </w:r>
      <w:r w:rsidR="00D66090">
        <w:t>high-risk</w:t>
      </w:r>
      <w:r>
        <w:t xml:space="preserve"> early stage hormone receptor breast cancer were not approved until after the OlympiA trial had completed enrolment.</w:t>
      </w:r>
    </w:p>
    <w:p w14:paraId="146671A2" w14:textId="77777777" w:rsidR="00747F6D" w:rsidRDefault="00747F6D" w:rsidP="00B52642">
      <w:pPr>
        <w:pStyle w:val="Heading6"/>
      </w:pPr>
      <w:r>
        <w:t>Efficacy</w:t>
      </w:r>
    </w:p>
    <w:p w14:paraId="39220D2C" w14:textId="77777777" w:rsidR="00747F6D" w:rsidRPr="0084764E" w:rsidRDefault="00747F6D" w:rsidP="0093413E">
      <w:r>
        <w:t xml:space="preserve">The data from OlympiA indicate that adjuvant treatment with olaparib for patients with high-risk EBC with a </w:t>
      </w:r>
      <w:r w:rsidRPr="00A06F4D">
        <w:rPr>
          <w:i/>
          <w:iCs/>
        </w:rPr>
        <w:t>gBRCAm</w:t>
      </w:r>
      <w:r>
        <w:t xml:space="preserve"> is associated with a PFS and OS benefit compared to placebo. This data provides evidence against which toxicity can be weighed by patients and prescribers when making treatment decisions.</w:t>
      </w:r>
    </w:p>
    <w:p w14:paraId="6A602919" w14:textId="77777777" w:rsidR="00747F6D" w:rsidRPr="0087545A" w:rsidRDefault="00747F6D" w:rsidP="00B52642">
      <w:pPr>
        <w:pStyle w:val="Heading6"/>
      </w:pPr>
      <w:r>
        <w:t>Safety</w:t>
      </w:r>
    </w:p>
    <w:p w14:paraId="0615954D" w14:textId="4C6D885C" w:rsidR="00747F6D" w:rsidRDefault="00747F6D" w:rsidP="0093413E">
      <w:r>
        <w:t xml:space="preserve">The data from OlympiA are adequate to characterise the safety profile of olaparib for the treatment of </w:t>
      </w:r>
      <w:r w:rsidR="00636A55">
        <w:t>high-risk</w:t>
      </w:r>
      <w:r>
        <w:t xml:space="preserve"> early breast cancer. Overall, the safety profile is acceptable for the intended usage, in context of the high risk of recurrence of a serious and life-threatening condition. Toxicities appear to be manageable with the use of temporary treatment </w:t>
      </w:r>
      <w:r>
        <w:lastRenderedPageBreak/>
        <w:t xml:space="preserve">discontinuations, supportive therapies or standard medical care. </w:t>
      </w:r>
      <w:r w:rsidRPr="0087545A">
        <w:t>The proposed dose modification scheme is consistent with previously approved indications.</w:t>
      </w:r>
    </w:p>
    <w:p w14:paraId="050D700F" w14:textId="77777777" w:rsidR="00747F6D" w:rsidRDefault="00747F6D" w:rsidP="0093413E">
      <w:r>
        <w:t>New toxicities were not observed.</w:t>
      </w:r>
    </w:p>
    <w:p w14:paraId="6F90B50E" w14:textId="77777777" w:rsidR="00747F6D" w:rsidRDefault="00747F6D" w:rsidP="0093413E">
      <w:r>
        <w:t xml:space="preserve">The majority of patients (87%) experienced a treatment-emergent adverse event (TEAE) and the overall incidence of TEAEs was higher in the olaparib arm than the placebo arm. In the olaparib arm, the most common adverse events (occurring in ≥20% patients) were nausea, fatigue, anaemia, and vomiting. These events were generally low grade and led to permanent discontinuation of study treatment in a small proportion of patients. </w:t>
      </w:r>
    </w:p>
    <w:p w14:paraId="1D7ED07A" w14:textId="77777777" w:rsidR="00747F6D" w:rsidRPr="00636A55" w:rsidRDefault="00747F6D" w:rsidP="0093413E">
      <w:pPr>
        <w:rPr>
          <w:szCs w:val="22"/>
        </w:rPr>
      </w:pPr>
      <w:r w:rsidRPr="00636A55">
        <w:rPr>
          <w:szCs w:val="22"/>
        </w:rPr>
        <w:t>Rates of significant AEs were higher in the olaparib arm compared with the placebo arm:</w:t>
      </w:r>
    </w:p>
    <w:p w14:paraId="25108B80" w14:textId="77777777" w:rsidR="00747F6D" w:rsidRPr="00583A23" w:rsidRDefault="00747F6D" w:rsidP="00AD1F7F">
      <w:pPr>
        <w:pStyle w:val="ListBullet"/>
      </w:pPr>
      <w:r w:rsidRPr="00583A23">
        <w:t>Severe AEs i.e. CTCAE Grade ≥3 (24% vs 11%, respectively)</w:t>
      </w:r>
    </w:p>
    <w:p w14:paraId="06C4634D" w14:textId="77777777" w:rsidR="00747F6D" w:rsidRPr="00583A23" w:rsidRDefault="00747F6D" w:rsidP="00AD1F7F">
      <w:pPr>
        <w:pStyle w:val="ListBullet2"/>
      </w:pPr>
      <w:r w:rsidRPr="00583A23">
        <w:t>The most common severe AEs in the olaparib arm of OlympiA were anaemia, neutropenia, leukopenia, lymphopenia and fatigue.</w:t>
      </w:r>
    </w:p>
    <w:p w14:paraId="3722447C" w14:textId="77777777" w:rsidR="00747F6D" w:rsidRPr="00583A23" w:rsidRDefault="00747F6D" w:rsidP="00AD1F7F">
      <w:pPr>
        <w:pStyle w:val="ListBullet"/>
      </w:pPr>
      <w:r w:rsidRPr="00583A23">
        <w:t>AEs leading to discontinuation (10% vs 4%, respectively)</w:t>
      </w:r>
    </w:p>
    <w:p w14:paraId="38AA15C6" w14:textId="77777777" w:rsidR="00747F6D" w:rsidRPr="00583A23" w:rsidRDefault="00747F6D" w:rsidP="00AD1F7F">
      <w:pPr>
        <w:pStyle w:val="ListBullet"/>
      </w:pPr>
      <w:r w:rsidRPr="00583A23">
        <w:t>AEs leading to dose interruption (31% vs 11%, respectively)</w:t>
      </w:r>
    </w:p>
    <w:p w14:paraId="701226C4" w14:textId="77777777" w:rsidR="00747F6D" w:rsidRPr="00583A23" w:rsidRDefault="00747F6D" w:rsidP="00AD1F7F">
      <w:pPr>
        <w:pStyle w:val="ListBullet"/>
      </w:pPr>
      <w:r w:rsidRPr="00583A23">
        <w:t>AEs leading to dose reduction (23% vs 4%, respectively)</w:t>
      </w:r>
    </w:p>
    <w:p w14:paraId="0366253E" w14:textId="77777777" w:rsidR="00747F6D" w:rsidRPr="00583A23" w:rsidRDefault="00747F6D" w:rsidP="00AD1F7F">
      <w:pPr>
        <w:pStyle w:val="ListBullet"/>
      </w:pPr>
      <w:r w:rsidRPr="00583A23">
        <w:t>Serious AEs (9% vs 8%, respectively)</w:t>
      </w:r>
    </w:p>
    <w:p w14:paraId="00AF6EB4" w14:textId="77777777" w:rsidR="00747F6D" w:rsidRPr="00583A23" w:rsidRDefault="00747F6D" w:rsidP="00AD1F7F">
      <w:pPr>
        <w:pStyle w:val="ListBullet2"/>
      </w:pPr>
      <w:r w:rsidRPr="00583A23">
        <w:t>The most common serious AEs in the olaparib arm of OlympiA were nausea, fatigue and anaemia.</w:t>
      </w:r>
    </w:p>
    <w:p w14:paraId="6536A530" w14:textId="77777777" w:rsidR="00747F6D" w:rsidRDefault="00747F6D" w:rsidP="0093413E">
      <w:r>
        <w:t>The most common AE in the olaparib arm of all these categories was anaemia, except for those leading to discontinuation, where nausea was the most common (2% incidence).</w:t>
      </w:r>
    </w:p>
    <w:p w14:paraId="7C6C0C4F" w14:textId="77777777" w:rsidR="00747F6D" w:rsidRDefault="00747F6D" w:rsidP="0093413E">
      <w:r>
        <w:t>Adverse events of special interest for olaparib include MDS/AML and pneumonitis, which are already included in the Warnings/Precautions section of the Australian PI. In OlympiA:</w:t>
      </w:r>
    </w:p>
    <w:p w14:paraId="58213141" w14:textId="77777777" w:rsidR="00747F6D" w:rsidRPr="00583A23" w:rsidRDefault="00747F6D" w:rsidP="00AD1F7F">
      <w:pPr>
        <w:pStyle w:val="ListBullet"/>
      </w:pPr>
      <w:r w:rsidRPr="00583A23">
        <w:t xml:space="preserve">MDS/AML occurred in 5 patients (2 patients [0.2%] in the olaparib arm and 3 patients [0.3%] in the placebo arm) </w:t>
      </w:r>
    </w:p>
    <w:p w14:paraId="0C6B5C83" w14:textId="77777777" w:rsidR="00747F6D" w:rsidRPr="00583A23" w:rsidRDefault="00747F6D" w:rsidP="00AD1F7F">
      <w:pPr>
        <w:pStyle w:val="ListBullet"/>
      </w:pPr>
      <w:r w:rsidRPr="00583A23">
        <w:t xml:space="preserve">Pneumonitis occurred in 20 patients (9 patients [1.0%] in the olaparib arm and 11 patients [1.2%] in the placebo arm). </w:t>
      </w:r>
    </w:p>
    <w:p w14:paraId="0DC8D586" w14:textId="77777777" w:rsidR="00747F6D" w:rsidRDefault="00747F6D" w:rsidP="0093413E">
      <w:r>
        <w:t>Few deaths occurred in the OlympiA, consistent with the adjuvant indication under study (one in the olaparib arm, four in the placebo arm). The death in the olaparib arm occurred in the setting of H1N1 influenza infection. An association with treatment is not considered likely based on the available information.</w:t>
      </w:r>
    </w:p>
    <w:p w14:paraId="6CB4378A" w14:textId="77777777" w:rsidR="00747F6D" w:rsidRDefault="00747F6D" w:rsidP="0093413E">
      <w:r>
        <w:t>The safety profile for olaparib is acceptable in this EBC patient population with a high-risk of recurrence of life-threatening disease.</w:t>
      </w:r>
    </w:p>
    <w:p w14:paraId="6352D06F" w14:textId="77777777" w:rsidR="00747F6D" w:rsidRDefault="00747F6D" w:rsidP="00B52642">
      <w:pPr>
        <w:pStyle w:val="Heading6"/>
      </w:pPr>
      <w:r>
        <w:t>Proposed extrapolation to patients with sBRCAm EBC</w:t>
      </w:r>
    </w:p>
    <w:p w14:paraId="7B13300D" w14:textId="77777777" w:rsidR="00747F6D" w:rsidRDefault="00747F6D" w:rsidP="00747F6D">
      <w:r>
        <w:t xml:space="preserve">There is no direct data to support adjuvant treatment with olaparib for patients with high-risk EBC and a </w:t>
      </w:r>
      <w:r w:rsidRPr="00A06F4D">
        <w:rPr>
          <w:i/>
          <w:iCs/>
        </w:rPr>
        <w:t>sBRCAm</w:t>
      </w:r>
      <w:r>
        <w:t xml:space="preserve">. </w:t>
      </w:r>
    </w:p>
    <w:p w14:paraId="2A275AFC" w14:textId="77777777" w:rsidR="00747F6D" w:rsidRDefault="00747F6D" w:rsidP="00747F6D">
      <w:pPr>
        <w:rPr>
          <w:lang w:eastAsia="ja-JP"/>
        </w:rPr>
      </w:pPr>
      <w:r>
        <w:t xml:space="preserve">Very limited data is available from the metastatic </w:t>
      </w:r>
      <w:r w:rsidRPr="00A06F4D">
        <w:rPr>
          <w:i/>
          <w:iCs/>
        </w:rPr>
        <w:t>sBRCAm</w:t>
      </w:r>
      <w:r>
        <w:t xml:space="preserve"> breast cancer setting, consisting of two single-arm cohorts. The data from VIOLETTE are affected by significant missing data regarding somatic versus germline status of the mutation and therefore can only be interpreted to show that olaparib can have anti-tumour activity against an sBRCAm breast tumour – nothing about the expected magnitude of response rate. The publication from TBCRC 048 provides data for 16 patients with sBRCAm metastatic breast cancer, amongst whom the response rate was 50% (objective tumour responses per RECIST v1.1 were seen in</w:t>
      </w:r>
      <w:r>
        <w:rPr>
          <w:lang w:eastAsia="ja-JP"/>
        </w:rPr>
        <w:t xml:space="preserve"> </w:t>
      </w:r>
      <w:r w:rsidRPr="00663C38">
        <w:rPr>
          <w:lang w:eastAsia="ja-JP"/>
        </w:rPr>
        <w:t xml:space="preserve">4 </w:t>
      </w:r>
      <w:r w:rsidRPr="00663C38">
        <w:rPr>
          <w:i/>
          <w:lang w:eastAsia="ja-JP"/>
        </w:rPr>
        <w:t>BRCA1m</w:t>
      </w:r>
      <w:r w:rsidRPr="00663C38">
        <w:rPr>
          <w:lang w:eastAsia="ja-JP"/>
        </w:rPr>
        <w:t xml:space="preserve"> and 4 </w:t>
      </w:r>
      <w:r w:rsidRPr="00663C38">
        <w:rPr>
          <w:i/>
          <w:lang w:eastAsia="ja-JP"/>
        </w:rPr>
        <w:t>BRCA2</w:t>
      </w:r>
      <w:r w:rsidRPr="00663C38">
        <w:rPr>
          <w:lang w:eastAsia="ja-JP"/>
        </w:rPr>
        <w:t xml:space="preserve">m </w:t>
      </w:r>
      <w:r w:rsidRPr="00663C38">
        <w:rPr>
          <w:lang w:eastAsia="ja-JP"/>
        </w:rPr>
        <w:lastRenderedPageBreak/>
        <w:t>patients, 4 ER+/HER2-negative and 4 TNBC)</w:t>
      </w:r>
      <w:r>
        <w:rPr>
          <w:lang w:eastAsia="ja-JP"/>
        </w:rPr>
        <w:t xml:space="preserve">. This data supports that olaparib has activity against </w:t>
      </w:r>
      <w:r w:rsidRPr="00A06F4D">
        <w:rPr>
          <w:i/>
          <w:iCs/>
          <w:lang w:eastAsia="ja-JP"/>
        </w:rPr>
        <w:t>sBRCAm</w:t>
      </w:r>
      <w:r>
        <w:rPr>
          <w:lang w:eastAsia="ja-JP"/>
        </w:rPr>
        <w:t xml:space="preserve"> breast cancer. Response rates appear to be similar to those seen in </w:t>
      </w:r>
      <w:r w:rsidRPr="005C1E85">
        <w:rPr>
          <w:i/>
          <w:iCs/>
          <w:lang w:eastAsia="ja-JP"/>
        </w:rPr>
        <w:t>gBRCAm</w:t>
      </w:r>
      <w:r>
        <w:rPr>
          <w:lang w:eastAsia="ja-JP"/>
        </w:rPr>
        <w:t xml:space="preserve"> breast cancer. PFS data were provided comparing gBRCAm and sBRCAm cohorts across studies, and these did not indicate large differences between the cohorts, however, time-to-event endpoints can’t be relied on without a randomised comparison. The available data are not able to directly inform whether activity should be expected to translate to a survival benefit if the same treatment was given to similar patients at an earlier stage of disease.</w:t>
      </w:r>
    </w:p>
    <w:p w14:paraId="42DA3D8E" w14:textId="77777777" w:rsidR="00747F6D" w:rsidRDefault="00747F6D" w:rsidP="00747F6D">
      <w:pPr>
        <w:rPr>
          <w:lang w:eastAsia="ja-JP"/>
        </w:rPr>
      </w:pPr>
      <w:r>
        <w:rPr>
          <w:lang w:eastAsia="ja-JP"/>
        </w:rPr>
        <w:t xml:space="preserve">In the absence of direct data or randomised comparisons providing interpretable survival data for </w:t>
      </w:r>
      <w:r w:rsidRPr="005F7EBF">
        <w:rPr>
          <w:i/>
          <w:iCs/>
          <w:lang w:eastAsia="ja-JP"/>
        </w:rPr>
        <w:t>sBRCAm</w:t>
      </w:r>
      <w:r>
        <w:rPr>
          <w:lang w:eastAsia="ja-JP"/>
        </w:rPr>
        <w:t xml:space="preserve"> breast cancer patients, the rationale for a broadened indication relies on extrapolation from translational science data, paired with clinical data in the ovarian cancer setting. The rationale incorporates the following:</w:t>
      </w:r>
    </w:p>
    <w:p w14:paraId="4978396A" w14:textId="77777777" w:rsidR="00747F6D" w:rsidRPr="00583A23" w:rsidRDefault="00747F6D" w:rsidP="00BF6098">
      <w:pPr>
        <w:pStyle w:val="ListParagraph"/>
        <w:numPr>
          <w:ilvl w:val="0"/>
          <w:numId w:val="39"/>
        </w:numPr>
        <w:adjustRightInd w:val="0"/>
        <w:snapToGrid w:val="0"/>
        <w:spacing w:before="180" w:after="180" w:line="240" w:lineRule="atLeast"/>
        <w:rPr>
          <w:rFonts w:ascii="Cambria" w:hAnsi="Cambria"/>
          <w:sz w:val="22"/>
          <w:szCs w:val="22"/>
        </w:rPr>
      </w:pPr>
      <w:r w:rsidRPr="00583A23">
        <w:rPr>
          <w:rFonts w:ascii="Cambria" w:hAnsi="Cambria"/>
          <w:i/>
          <w:iCs/>
          <w:sz w:val="22"/>
          <w:szCs w:val="22"/>
        </w:rPr>
        <w:t>BRCA</w:t>
      </w:r>
      <w:r w:rsidRPr="00583A23">
        <w:rPr>
          <w:rFonts w:ascii="Cambria" w:hAnsi="Cambria"/>
          <w:sz w:val="22"/>
          <w:szCs w:val="22"/>
        </w:rPr>
        <w:t xml:space="preserve"> mutations were discovered through the study of familial syndromes that involve an increased lifetime risk of cancer – particularly breast and ovarian cancer. The mechanism of pathogenesis is considered to be the same for this syndrome in both tissue types. The rational for efficacy of PARP inhibitors in </w:t>
      </w:r>
      <w:r w:rsidRPr="00583A23">
        <w:rPr>
          <w:rFonts w:ascii="Cambria" w:hAnsi="Cambria"/>
          <w:i/>
          <w:iCs/>
          <w:sz w:val="22"/>
          <w:szCs w:val="22"/>
        </w:rPr>
        <w:t>BRCAm</w:t>
      </w:r>
      <w:r w:rsidRPr="00583A23">
        <w:rPr>
          <w:rFonts w:ascii="Cambria" w:hAnsi="Cambria"/>
          <w:sz w:val="22"/>
          <w:szCs w:val="22"/>
        </w:rPr>
        <w:t xml:space="preserve"> cancer is linked to the same proposed mechanism of pathogenesis.</w:t>
      </w:r>
    </w:p>
    <w:p w14:paraId="243F86A1" w14:textId="77777777" w:rsidR="00747F6D" w:rsidRPr="00583A23" w:rsidRDefault="00747F6D" w:rsidP="00BF6098">
      <w:pPr>
        <w:pStyle w:val="ListParagraph"/>
        <w:numPr>
          <w:ilvl w:val="0"/>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 xml:space="preserve">By definition, the difference between germline and somatic mutations of </w:t>
      </w:r>
      <w:r w:rsidRPr="00583A23">
        <w:rPr>
          <w:rFonts w:ascii="Cambria" w:hAnsi="Cambria"/>
          <w:i/>
          <w:iCs/>
          <w:sz w:val="22"/>
          <w:szCs w:val="22"/>
        </w:rPr>
        <w:t>BRCA</w:t>
      </w:r>
      <w:r w:rsidRPr="00583A23">
        <w:rPr>
          <w:rFonts w:ascii="Cambria" w:hAnsi="Cambria"/>
          <w:sz w:val="22"/>
          <w:szCs w:val="22"/>
        </w:rPr>
        <w:t xml:space="preserve"> is the timing in the life of the organism at which the mutation occurs. Germline </w:t>
      </w:r>
      <w:r w:rsidRPr="00583A23">
        <w:rPr>
          <w:rFonts w:ascii="Cambria" w:hAnsi="Cambria"/>
          <w:i/>
          <w:iCs/>
          <w:sz w:val="22"/>
          <w:szCs w:val="22"/>
        </w:rPr>
        <w:t xml:space="preserve">BRCm </w:t>
      </w:r>
      <w:r w:rsidRPr="00583A23">
        <w:rPr>
          <w:rFonts w:ascii="Cambria" w:hAnsi="Cambria"/>
          <w:sz w:val="22"/>
          <w:szCs w:val="22"/>
        </w:rPr>
        <w:t xml:space="preserve">are present from the moment of conception, having initially been present in one of the two germ cells that has then formed the embryo. Somatic mutations may occur at any timepoint after. Therefore, if monoallelic, it is possible that an </w:t>
      </w:r>
      <w:r w:rsidRPr="00583A23">
        <w:rPr>
          <w:rFonts w:ascii="Cambria" w:hAnsi="Cambria"/>
          <w:i/>
          <w:iCs/>
          <w:sz w:val="22"/>
          <w:szCs w:val="22"/>
        </w:rPr>
        <w:t>sBRCAm</w:t>
      </w:r>
      <w:r w:rsidRPr="00583A23">
        <w:rPr>
          <w:rFonts w:ascii="Cambria" w:hAnsi="Cambria"/>
          <w:sz w:val="22"/>
          <w:szCs w:val="22"/>
        </w:rPr>
        <w:t xml:space="preserve"> could be an incidental finding in a breast or ovarian tumour. Where biallelic, an </w:t>
      </w:r>
      <w:r w:rsidRPr="00583A23">
        <w:rPr>
          <w:rFonts w:ascii="Cambria" w:hAnsi="Cambria"/>
          <w:i/>
          <w:iCs/>
          <w:sz w:val="22"/>
          <w:szCs w:val="22"/>
        </w:rPr>
        <w:t>sBRCAm</w:t>
      </w:r>
      <w:r w:rsidRPr="00583A23">
        <w:rPr>
          <w:rFonts w:ascii="Cambria" w:hAnsi="Cambria"/>
          <w:sz w:val="22"/>
          <w:szCs w:val="22"/>
        </w:rPr>
        <w:t xml:space="preserve"> in a breast or ovarian tumour is very unlikely to be incidental and matches the proposed rationale for efficacy of PARP inhibition and mechanism of proposed pathogenesis of </w:t>
      </w:r>
      <w:r w:rsidRPr="00583A23">
        <w:rPr>
          <w:rFonts w:ascii="Cambria" w:hAnsi="Cambria"/>
          <w:i/>
          <w:iCs/>
          <w:sz w:val="22"/>
          <w:szCs w:val="22"/>
        </w:rPr>
        <w:t>BRCA</w:t>
      </w:r>
      <w:r w:rsidRPr="00583A23">
        <w:rPr>
          <w:rFonts w:ascii="Cambria" w:hAnsi="Cambria"/>
          <w:sz w:val="22"/>
          <w:szCs w:val="22"/>
        </w:rPr>
        <w:t xml:space="preserve"> as a tumour suppressor gene.</w:t>
      </w:r>
    </w:p>
    <w:p w14:paraId="341C9047" w14:textId="598687BF" w:rsidR="00747F6D" w:rsidRPr="00583A23" w:rsidRDefault="00747F6D" w:rsidP="00BF6098">
      <w:pPr>
        <w:pStyle w:val="ListParagraph"/>
        <w:numPr>
          <w:ilvl w:val="0"/>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Mutation of BRCA1 or BRCA2, whether germline or somatic, is strongly associated with a cellular phenotype of impaired HRR and genomic instability</w:t>
      </w:r>
      <w:r w:rsidR="00B52642" w:rsidRPr="00583A23">
        <w:rPr>
          <w:rFonts w:ascii="Cambria" w:hAnsi="Cambria"/>
          <w:sz w:val="22"/>
          <w:szCs w:val="22"/>
        </w:rPr>
        <w:t>.</w:t>
      </w:r>
    </w:p>
    <w:p w14:paraId="46D7B9B3" w14:textId="77777777" w:rsidR="00747F6D" w:rsidRPr="00583A23" w:rsidRDefault="00747F6D" w:rsidP="00BF6098">
      <w:pPr>
        <w:pStyle w:val="ListParagraph"/>
        <w:numPr>
          <w:ilvl w:val="0"/>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 xml:space="preserve">Across the class, pre-clinical and clinical data has consistently suggested </w:t>
      </w:r>
      <w:r w:rsidRPr="00583A23">
        <w:rPr>
          <w:rFonts w:ascii="Cambria" w:hAnsi="Cambria"/>
          <w:i/>
          <w:iCs/>
          <w:sz w:val="22"/>
          <w:szCs w:val="22"/>
        </w:rPr>
        <w:t>BRCA</w:t>
      </w:r>
      <w:r w:rsidRPr="00583A23">
        <w:rPr>
          <w:rFonts w:ascii="Cambria" w:hAnsi="Cambria"/>
          <w:sz w:val="22"/>
          <w:szCs w:val="22"/>
        </w:rPr>
        <w:t xml:space="preserve"> deficiency to predict for greater efficacy of treatment with PARP inhibitors (where assessed).</w:t>
      </w:r>
    </w:p>
    <w:p w14:paraId="5CFBF3EC" w14:textId="77777777" w:rsidR="00747F6D" w:rsidRPr="00583A23" w:rsidRDefault="00747F6D" w:rsidP="00BF6098">
      <w:pPr>
        <w:pStyle w:val="ListParagraph"/>
        <w:numPr>
          <w:ilvl w:val="0"/>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 xml:space="preserve">Based on SOLO-1, SOLO-2, Study-19 and OlympiAD, treatment of </w:t>
      </w:r>
      <w:r w:rsidRPr="00583A23">
        <w:rPr>
          <w:rFonts w:ascii="Cambria" w:hAnsi="Cambria"/>
          <w:i/>
          <w:iCs/>
          <w:sz w:val="22"/>
          <w:szCs w:val="22"/>
        </w:rPr>
        <w:t>gBRCAm</w:t>
      </w:r>
      <w:r w:rsidRPr="00583A23">
        <w:rPr>
          <w:rFonts w:ascii="Cambria" w:hAnsi="Cambria"/>
          <w:sz w:val="22"/>
          <w:szCs w:val="22"/>
        </w:rPr>
        <w:t xml:space="preserve"> breast and ovarian cancer with olaparib monotherapy in the metastatic setting is associated with increased PFS. </w:t>
      </w:r>
    </w:p>
    <w:p w14:paraId="48C99427" w14:textId="77777777" w:rsidR="00747F6D" w:rsidRPr="00583A23" w:rsidRDefault="00747F6D" w:rsidP="00BF6098">
      <w:pPr>
        <w:pStyle w:val="ListParagraph"/>
        <w:numPr>
          <w:ilvl w:val="1"/>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The magnitude of PFS benefit seen (hazard ratios around 0.3) was so large that it is very likely to have driven post-study use of PARP inhibitors by patients in the comparator arms after trial discontinuation, such that OS findings are very likely to have been confounded by this and the absolute effect of treatment on OS remains unproven. PFS in this clinical setting is expected to translate to OS, and the lack of demonstrated OS benefit is not surprising in the circumstances.</w:t>
      </w:r>
    </w:p>
    <w:p w14:paraId="784579D3" w14:textId="77777777" w:rsidR="00747F6D" w:rsidRPr="00583A23" w:rsidRDefault="00747F6D" w:rsidP="00BF6098">
      <w:pPr>
        <w:pStyle w:val="ListParagraph"/>
        <w:numPr>
          <w:ilvl w:val="1"/>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Based on the findings of Study 19, PFS benefit was seen outside of patients with gBRCAm. This was further explored in OPINION, in which the PFS was far longer in patients with a sBRCAm than patients with no HRR mutation.</w:t>
      </w:r>
    </w:p>
    <w:p w14:paraId="1C5F95CE" w14:textId="5F999286" w:rsidR="00747F6D" w:rsidRPr="00583A23" w:rsidRDefault="00747F6D" w:rsidP="00BF6098">
      <w:pPr>
        <w:pStyle w:val="ListParagraph"/>
        <w:numPr>
          <w:ilvl w:val="0"/>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 xml:space="preserve">Treatment of </w:t>
      </w:r>
      <w:r w:rsidRPr="00583A23">
        <w:rPr>
          <w:rFonts w:ascii="Cambria" w:hAnsi="Cambria"/>
          <w:i/>
          <w:iCs/>
          <w:sz w:val="22"/>
          <w:szCs w:val="22"/>
        </w:rPr>
        <w:t>sBRCAm</w:t>
      </w:r>
      <w:r w:rsidRPr="00583A23">
        <w:rPr>
          <w:rFonts w:ascii="Cambria" w:hAnsi="Cambria"/>
          <w:sz w:val="22"/>
          <w:szCs w:val="22"/>
        </w:rPr>
        <w:t xml:space="preserve"> ovarian cancer with olaparib monotherapy in the metastatic setting is strongly suspected to be associated with increased PFS, based on scientific rationale and the totality of data. The main pieces of information are:</w:t>
      </w:r>
    </w:p>
    <w:p w14:paraId="1A02C6F2" w14:textId="77777777" w:rsidR="00747F6D" w:rsidRPr="00583A23" w:rsidRDefault="00747F6D" w:rsidP="00BF6098">
      <w:pPr>
        <w:pStyle w:val="ListParagraph"/>
        <w:numPr>
          <w:ilvl w:val="1"/>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 xml:space="preserve">There is no biochemical rationale or evidence to support different pathophysiology of </w:t>
      </w:r>
      <w:r w:rsidRPr="00583A23">
        <w:rPr>
          <w:rFonts w:ascii="Cambria" w:hAnsi="Cambria"/>
          <w:i/>
          <w:iCs/>
          <w:sz w:val="22"/>
          <w:szCs w:val="22"/>
        </w:rPr>
        <w:t>sBRCAm</w:t>
      </w:r>
      <w:r w:rsidRPr="00583A23">
        <w:rPr>
          <w:rFonts w:ascii="Cambria" w:hAnsi="Cambria"/>
          <w:sz w:val="22"/>
          <w:szCs w:val="22"/>
        </w:rPr>
        <w:t xml:space="preserve"> compared to </w:t>
      </w:r>
      <w:r w:rsidRPr="00583A23">
        <w:rPr>
          <w:rFonts w:ascii="Cambria" w:hAnsi="Cambria"/>
          <w:i/>
          <w:iCs/>
          <w:sz w:val="22"/>
          <w:szCs w:val="22"/>
        </w:rPr>
        <w:t xml:space="preserve">gBRCAm. </w:t>
      </w:r>
      <w:r w:rsidRPr="00583A23">
        <w:rPr>
          <w:rFonts w:ascii="Cambria" w:hAnsi="Cambria"/>
          <w:sz w:val="22"/>
          <w:szCs w:val="22"/>
        </w:rPr>
        <w:t xml:space="preserve">The main question is the likelihood of a </w:t>
      </w:r>
      <w:r w:rsidRPr="00583A23">
        <w:rPr>
          <w:rFonts w:ascii="Cambria" w:hAnsi="Cambria"/>
          <w:i/>
          <w:iCs/>
          <w:sz w:val="22"/>
          <w:szCs w:val="22"/>
        </w:rPr>
        <w:t>sBRCAm</w:t>
      </w:r>
      <w:r w:rsidRPr="00583A23">
        <w:rPr>
          <w:rFonts w:ascii="Cambria" w:hAnsi="Cambria"/>
          <w:sz w:val="22"/>
          <w:szCs w:val="22"/>
        </w:rPr>
        <w:t xml:space="preserve"> being an incidental finding, which seems low, and particularly so in the setting of biallelic </w:t>
      </w:r>
      <w:r w:rsidRPr="00583A23">
        <w:rPr>
          <w:rFonts w:ascii="Cambria" w:hAnsi="Cambria"/>
          <w:i/>
          <w:iCs/>
          <w:sz w:val="22"/>
          <w:szCs w:val="22"/>
        </w:rPr>
        <w:t>BRCA</w:t>
      </w:r>
      <w:r w:rsidRPr="00583A23">
        <w:rPr>
          <w:rFonts w:ascii="Cambria" w:hAnsi="Cambria"/>
          <w:sz w:val="22"/>
          <w:szCs w:val="22"/>
        </w:rPr>
        <w:t xml:space="preserve"> loss.</w:t>
      </w:r>
    </w:p>
    <w:p w14:paraId="7796F3D9" w14:textId="77777777" w:rsidR="00747F6D" w:rsidRPr="00583A23" w:rsidRDefault="00747F6D" w:rsidP="00BF6098">
      <w:pPr>
        <w:pStyle w:val="ListParagraph"/>
        <w:numPr>
          <w:ilvl w:val="1"/>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 xml:space="preserve">The combined findings of Study 19 and OPINION strongly suggest a PFS benefit in maintenance treatment of metastatic </w:t>
      </w:r>
      <w:r w:rsidRPr="00583A23">
        <w:rPr>
          <w:rFonts w:ascii="Cambria" w:hAnsi="Cambria"/>
          <w:i/>
          <w:iCs/>
          <w:sz w:val="22"/>
          <w:szCs w:val="22"/>
        </w:rPr>
        <w:t>sBRCAm</w:t>
      </w:r>
      <w:r w:rsidRPr="00583A23">
        <w:rPr>
          <w:rFonts w:ascii="Cambria" w:hAnsi="Cambria"/>
          <w:sz w:val="22"/>
          <w:szCs w:val="22"/>
        </w:rPr>
        <w:t xml:space="preserve"> ovarian cancer.</w:t>
      </w:r>
    </w:p>
    <w:p w14:paraId="7515C60A" w14:textId="77777777" w:rsidR="00747F6D" w:rsidRPr="00583A23" w:rsidRDefault="00747F6D" w:rsidP="00BF6098">
      <w:pPr>
        <w:pStyle w:val="ListParagraph"/>
        <w:numPr>
          <w:ilvl w:val="1"/>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 xml:space="preserve">Exploratory cross study analyses submitted to the Pharmaceutical Benefits Advisory Committee strongly suggest that PARP inhibitors confer a PFS </w:t>
      </w:r>
      <w:r w:rsidRPr="00583A23">
        <w:rPr>
          <w:rFonts w:ascii="Cambria" w:hAnsi="Cambria"/>
          <w:sz w:val="22"/>
          <w:szCs w:val="22"/>
        </w:rPr>
        <w:lastRenderedPageBreak/>
        <w:t xml:space="preserve">advantage over placebo in the treatment of metastatic </w:t>
      </w:r>
      <w:r w:rsidRPr="00583A23">
        <w:rPr>
          <w:rFonts w:ascii="Cambria" w:hAnsi="Cambria"/>
          <w:i/>
          <w:iCs/>
          <w:sz w:val="22"/>
          <w:szCs w:val="22"/>
        </w:rPr>
        <w:t>sBRCAm</w:t>
      </w:r>
      <w:r w:rsidRPr="00583A23">
        <w:rPr>
          <w:rFonts w:ascii="Cambria" w:hAnsi="Cambria"/>
          <w:sz w:val="22"/>
          <w:szCs w:val="22"/>
        </w:rPr>
        <w:t xml:space="preserve"> ovarian cancer, which did not appear to be different from that associated with </w:t>
      </w:r>
      <w:r w:rsidRPr="00583A23">
        <w:rPr>
          <w:rFonts w:ascii="Cambria" w:hAnsi="Cambria"/>
          <w:i/>
          <w:iCs/>
          <w:sz w:val="22"/>
          <w:szCs w:val="22"/>
        </w:rPr>
        <w:t>gBRCAm</w:t>
      </w:r>
      <w:r w:rsidRPr="00583A23">
        <w:rPr>
          <w:rFonts w:ascii="Cambria" w:hAnsi="Cambria"/>
          <w:sz w:val="22"/>
          <w:szCs w:val="22"/>
        </w:rPr>
        <w:t xml:space="preserve">.  </w:t>
      </w:r>
    </w:p>
    <w:p w14:paraId="5F5B515C" w14:textId="77777777" w:rsidR="00747F6D" w:rsidRPr="00583A23" w:rsidRDefault="00747F6D" w:rsidP="00BF6098">
      <w:pPr>
        <w:pStyle w:val="ListParagraph"/>
        <w:numPr>
          <w:ilvl w:val="0"/>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 xml:space="preserve">Based on OlympiA, treatment of </w:t>
      </w:r>
      <w:r w:rsidRPr="00583A23">
        <w:rPr>
          <w:rFonts w:ascii="Cambria" w:hAnsi="Cambria"/>
          <w:i/>
          <w:iCs/>
          <w:sz w:val="22"/>
          <w:szCs w:val="22"/>
        </w:rPr>
        <w:t>gBRCAm</w:t>
      </w:r>
      <w:r w:rsidRPr="00583A23">
        <w:rPr>
          <w:rFonts w:ascii="Cambria" w:hAnsi="Cambria"/>
          <w:sz w:val="22"/>
          <w:szCs w:val="22"/>
        </w:rPr>
        <w:t xml:space="preserve"> breast cancer with olaparib monotherapy in the adjuvant setting is associated with increased IDFS and OS at a population level.</w:t>
      </w:r>
    </w:p>
    <w:p w14:paraId="4D4D2DA2" w14:textId="77777777" w:rsidR="00747F6D" w:rsidRPr="00583A23" w:rsidRDefault="00747F6D" w:rsidP="00BF6098">
      <w:pPr>
        <w:pStyle w:val="ListParagraph"/>
        <w:numPr>
          <w:ilvl w:val="1"/>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 xml:space="preserve">As the HRs for IDFS and OS are not of such striking magnitude as the HR for PFS seen in the metastatic setting, this adds some uncertainty about extrapolation of a meaningful benefit to the </w:t>
      </w:r>
      <w:r w:rsidRPr="00583A23">
        <w:rPr>
          <w:rFonts w:ascii="Cambria" w:hAnsi="Cambria"/>
          <w:i/>
          <w:iCs/>
          <w:sz w:val="22"/>
          <w:szCs w:val="22"/>
        </w:rPr>
        <w:t>sBRCAm</w:t>
      </w:r>
      <w:r w:rsidRPr="00583A23">
        <w:rPr>
          <w:rFonts w:ascii="Cambria" w:hAnsi="Cambria"/>
          <w:sz w:val="22"/>
          <w:szCs w:val="22"/>
        </w:rPr>
        <w:t xml:space="preserve"> population.</w:t>
      </w:r>
    </w:p>
    <w:p w14:paraId="24DC7951" w14:textId="77777777" w:rsidR="00747F6D" w:rsidRPr="00583A23" w:rsidRDefault="00747F6D" w:rsidP="00BF6098">
      <w:pPr>
        <w:pStyle w:val="ListParagraph"/>
        <w:numPr>
          <w:ilvl w:val="0"/>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Single arm data in the metastatic setting indicates that olaparib monotherapy is associated with objective tumour responses in sBRCAm metastatic breast cancer.</w:t>
      </w:r>
    </w:p>
    <w:p w14:paraId="3926ED9F" w14:textId="2115227E" w:rsidR="00747F6D" w:rsidRPr="00583A23" w:rsidRDefault="00747F6D" w:rsidP="00BF6098">
      <w:pPr>
        <w:pStyle w:val="ListParagraph"/>
        <w:numPr>
          <w:ilvl w:val="0"/>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 xml:space="preserve">The </w:t>
      </w:r>
      <w:r w:rsidR="00CD546E" w:rsidRPr="00583A23">
        <w:rPr>
          <w:rFonts w:ascii="Cambria" w:hAnsi="Cambria"/>
          <w:sz w:val="22"/>
          <w:szCs w:val="22"/>
        </w:rPr>
        <w:t>sponsor</w:t>
      </w:r>
      <w:r w:rsidRPr="00583A23">
        <w:rPr>
          <w:rFonts w:ascii="Cambria" w:hAnsi="Cambria"/>
          <w:sz w:val="22"/>
          <w:szCs w:val="22"/>
        </w:rPr>
        <w:t xml:space="preserve"> has indicated that they do not intend to proceed with randomised study of olaparib versus placebo in the adjuvant treatment of </w:t>
      </w:r>
      <w:r w:rsidRPr="00583A23">
        <w:rPr>
          <w:rFonts w:ascii="Cambria" w:hAnsi="Cambria"/>
          <w:i/>
          <w:iCs/>
          <w:sz w:val="22"/>
          <w:szCs w:val="22"/>
        </w:rPr>
        <w:t>sBRCAm</w:t>
      </w:r>
      <w:r w:rsidRPr="00583A23">
        <w:rPr>
          <w:rFonts w:ascii="Cambria" w:hAnsi="Cambria"/>
          <w:sz w:val="22"/>
          <w:szCs w:val="22"/>
        </w:rPr>
        <w:t xml:space="preserve"> breast cancer. </w:t>
      </w:r>
    </w:p>
    <w:p w14:paraId="2576B465" w14:textId="77777777" w:rsidR="00747F6D" w:rsidRPr="00583A23" w:rsidRDefault="00747F6D" w:rsidP="00BF6098">
      <w:pPr>
        <w:pStyle w:val="ListParagraph"/>
        <w:numPr>
          <w:ilvl w:val="1"/>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The main barrier to feasibility appears to be the anticipated required duration of study: adequate time for follow-up (3-4 years) on top of likely very slow recruitment due to the testing paradigm in breast cancer on top of the existing uncommon incidence (an estimated 2-3% of breast tumours at maximum)</w:t>
      </w:r>
    </w:p>
    <w:p w14:paraId="55F3530B" w14:textId="42D8F2EC" w:rsidR="00747F6D" w:rsidRPr="00583A23" w:rsidRDefault="00747F6D" w:rsidP="00BF6098">
      <w:pPr>
        <w:pStyle w:val="ListParagraph"/>
        <w:numPr>
          <w:ilvl w:val="1"/>
          <w:numId w:val="39"/>
        </w:numPr>
        <w:adjustRightInd w:val="0"/>
        <w:snapToGrid w:val="0"/>
        <w:spacing w:before="180" w:after="180" w:line="240" w:lineRule="atLeast"/>
        <w:rPr>
          <w:rFonts w:ascii="Cambria" w:hAnsi="Cambria"/>
          <w:sz w:val="22"/>
          <w:szCs w:val="22"/>
        </w:rPr>
      </w:pPr>
      <w:r w:rsidRPr="00583A23">
        <w:rPr>
          <w:rFonts w:ascii="Cambria" w:hAnsi="Cambria"/>
          <w:sz w:val="22"/>
          <w:szCs w:val="22"/>
        </w:rPr>
        <w:t xml:space="preserve">The </w:t>
      </w:r>
      <w:r w:rsidR="00CD546E" w:rsidRPr="00583A23">
        <w:rPr>
          <w:rFonts w:ascii="Cambria" w:hAnsi="Cambria"/>
          <w:sz w:val="22"/>
          <w:szCs w:val="22"/>
        </w:rPr>
        <w:t>sponsor</w:t>
      </w:r>
      <w:r w:rsidRPr="00583A23">
        <w:rPr>
          <w:rFonts w:ascii="Cambria" w:hAnsi="Cambria"/>
          <w:sz w:val="22"/>
          <w:szCs w:val="22"/>
        </w:rPr>
        <w:t xml:space="preserve"> alluded to a possibility that </w:t>
      </w:r>
      <w:r w:rsidRPr="00583A23">
        <w:rPr>
          <w:rFonts w:ascii="Cambria" w:hAnsi="Cambria"/>
          <w:i/>
          <w:iCs/>
          <w:sz w:val="22"/>
          <w:szCs w:val="22"/>
        </w:rPr>
        <w:t>sBRCAm</w:t>
      </w:r>
      <w:r w:rsidRPr="00583A23">
        <w:rPr>
          <w:rFonts w:ascii="Cambria" w:hAnsi="Cambria"/>
          <w:sz w:val="22"/>
          <w:szCs w:val="22"/>
        </w:rPr>
        <w:t xml:space="preserve"> data from the metastatic breast cancer setting might be considered to translate into the EBC setting, however, it is not clear the nature of the further expected data – if it is more single arm data, as it appears, then I am not sure this data will be of much additional assistance in answering the question of whether there is a benefit at population level to adjuvant treatment.</w:t>
      </w:r>
    </w:p>
    <w:p w14:paraId="72C5AA5B" w14:textId="77777777" w:rsidR="00747F6D" w:rsidRPr="00636A55" w:rsidRDefault="00747F6D" w:rsidP="00747F6D">
      <w:pPr>
        <w:rPr>
          <w:szCs w:val="22"/>
        </w:rPr>
      </w:pPr>
      <w:r w:rsidRPr="00636A55">
        <w:rPr>
          <w:szCs w:val="22"/>
        </w:rPr>
        <w:t xml:space="preserve">To summarise, the rationale is strongly dependent on preclinical/translational evidence and clinical evidence from the ovarian cancer setting, in light of the known association between breast and ovarian cancer in being linked to a genetic syndrome that involves loss of this exact gene. Whilst the lack of direct clinical data is not ideal, I am unsure what further data can realistically be expected to become available in future. </w:t>
      </w:r>
    </w:p>
    <w:p w14:paraId="24254B56" w14:textId="72AF41C8" w:rsidR="00747F6D" w:rsidRPr="00636A55" w:rsidRDefault="00747F6D" w:rsidP="00747F6D">
      <w:pPr>
        <w:rPr>
          <w:szCs w:val="22"/>
        </w:rPr>
      </w:pPr>
      <w:r w:rsidRPr="00636A55">
        <w:rPr>
          <w:szCs w:val="22"/>
        </w:rPr>
        <w:t xml:space="preserve">This uncertain benefit must be weighed against the risks of treatment. As the proposed indication is for adjuvant use, the toxicities can’t be weighed against efficacy on an individual basis, as there is no known tumour mass to assess for response. Of note – whilst usually in the metastatic setting there is a tumour response that can be used as a measure of whether an individual patient is benefitting, for olaparib in metastatic ovarian cancer, the treatment is maintenance. That is: it is only given if the tumour is </w:t>
      </w:r>
      <w:r w:rsidRPr="00636A55">
        <w:rPr>
          <w:i/>
          <w:iCs/>
          <w:szCs w:val="22"/>
        </w:rPr>
        <w:t>already</w:t>
      </w:r>
      <w:r w:rsidRPr="00636A55">
        <w:rPr>
          <w:szCs w:val="22"/>
        </w:rPr>
        <w:t xml:space="preserve"> in response to platinum. </w:t>
      </w:r>
      <w:proofErr w:type="gramStart"/>
      <w:r w:rsidRPr="00636A55">
        <w:rPr>
          <w:szCs w:val="22"/>
        </w:rPr>
        <w:t>So</w:t>
      </w:r>
      <w:proofErr w:type="gramEnd"/>
      <w:r w:rsidRPr="00636A55">
        <w:rPr>
          <w:szCs w:val="22"/>
        </w:rPr>
        <w:t xml:space="preserve"> the only thing you really can know is if a patient’s tumour progresses, that there is probably a </w:t>
      </w:r>
      <w:r w:rsidRPr="00636A55">
        <w:rPr>
          <w:i/>
          <w:iCs/>
          <w:szCs w:val="22"/>
        </w:rPr>
        <w:t>lack</w:t>
      </w:r>
      <w:r w:rsidRPr="00636A55">
        <w:rPr>
          <w:szCs w:val="22"/>
        </w:rPr>
        <w:t xml:space="preserve"> of benefit in terms of tumour size. And this was the setting in which extrapolation from gBRCAm to sBRCAm was undertaken previously. </w:t>
      </w:r>
    </w:p>
    <w:p w14:paraId="45C7F9D5" w14:textId="6288CAE3" w:rsidR="00747F6D" w:rsidRPr="00636A55" w:rsidRDefault="00747F6D" w:rsidP="00747F6D">
      <w:pPr>
        <w:rPr>
          <w:szCs w:val="22"/>
          <w:lang w:eastAsia="ja-JP"/>
        </w:rPr>
      </w:pPr>
      <w:r w:rsidRPr="00636A55">
        <w:rPr>
          <w:szCs w:val="22"/>
        </w:rPr>
        <w:t xml:space="preserve">There appears to be an increased chance of developing MDS/AML (which are usually fatal) with PARP inhibitor treatment. The incidence was approximately 2.6 times higher with PARP inhibitor </w:t>
      </w:r>
      <w:r w:rsidRPr="00636A55">
        <w:rPr>
          <w:szCs w:val="22"/>
          <w:lang w:eastAsia="ja-JP"/>
        </w:rPr>
        <w:t>treatment in the metastatic setting, based on a recent meta-analysis.</w:t>
      </w:r>
      <w:r w:rsidRPr="00636A55">
        <w:rPr>
          <w:szCs w:val="22"/>
          <w:lang w:eastAsia="ja-JP"/>
        </w:rPr>
        <w:fldChar w:fldCharType="begin"/>
      </w:r>
      <w:r w:rsidRPr="00636A55">
        <w:rPr>
          <w:szCs w:val="22"/>
          <w:lang w:eastAsia="ja-JP"/>
        </w:rPr>
        <w:instrText xml:space="preserve"> NOTEREF _Ref128140286 \f \h </w:instrText>
      </w:r>
      <w:r w:rsidR="00636A55">
        <w:rPr>
          <w:szCs w:val="22"/>
          <w:lang w:eastAsia="ja-JP"/>
        </w:rPr>
        <w:instrText xml:space="preserve"> \* MERGEFORMAT </w:instrText>
      </w:r>
      <w:r w:rsidRPr="00636A55">
        <w:rPr>
          <w:szCs w:val="22"/>
          <w:lang w:eastAsia="ja-JP"/>
        </w:rPr>
      </w:r>
      <w:r w:rsidRPr="00636A55">
        <w:rPr>
          <w:szCs w:val="22"/>
          <w:lang w:eastAsia="ja-JP"/>
        </w:rPr>
        <w:fldChar w:fldCharType="separate"/>
      </w:r>
      <w:r w:rsidRPr="00636A55">
        <w:rPr>
          <w:rStyle w:val="EndnoteReference"/>
          <w:szCs w:val="22"/>
        </w:rPr>
        <w:t>126</w:t>
      </w:r>
      <w:r w:rsidRPr="00636A55">
        <w:rPr>
          <w:szCs w:val="22"/>
          <w:lang w:eastAsia="ja-JP"/>
        </w:rPr>
        <w:fldChar w:fldCharType="end"/>
      </w:r>
      <w:r w:rsidRPr="00636A55">
        <w:rPr>
          <w:szCs w:val="22"/>
          <w:lang w:eastAsia="ja-JP"/>
        </w:rPr>
        <w:t xml:space="preserve"> In OlympiA, however, there was one more such case in the placebo arm than the olaparib arm, and thus the incidence was very similar between the two arms (0.3% with placebo; 0.2% with olaparib). It is possible that the magnitude of risk (if present) is different for patients in the adjuvant setting compared to the metastatic platinum-sensitive setting, based on cumulative exposure to other DNA-damaging treatments including radiation and chemotherapies.</w:t>
      </w:r>
    </w:p>
    <w:p w14:paraId="23C8472F" w14:textId="77777777" w:rsidR="00747F6D" w:rsidRPr="00636A55" w:rsidRDefault="00747F6D" w:rsidP="00747F6D">
      <w:pPr>
        <w:rPr>
          <w:szCs w:val="22"/>
        </w:rPr>
      </w:pPr>
      <w:r w:rsidRPr="00636A55">
        <w:rPr>
          <w:szCs w:val="22"/>
        </w:rPr>
        <w:t>The remainder of the toxicities associated with olaparib treatment are essentially chemotherapy-like. There were no deaths that occurred during OlympiA that were clearly attributable to treatment. There is no reason to expect toxicities to be significantly different in sBRCAm compared to gBRCAm patients, with the possible exception that the difference in median age may also translate to differences in frailty, concurrent medication use and co-morbidities, which could be hypothesised to entail an overall increase in toxicities.</w:t>
      </w:r>
    </w:p>
    <w:p w14:paraId="4E6329ED" w14:textId="77777777" w:rsidR="00747F6D" w:rsidRDefault="00747F6D" w:rsidP="0093413E">
      <w:pPr>
        <w:pStyle w:val="Heading5"/>
      </w:pPr>
      <w:bookmarkStart w:id="111" w:name="_Ref136270396"/>
      <w:r>
        <w:lastRenderedPageBreak/>
        <w:t>Prostate cancer indication</w:t>
      </w:r>
      <w:bookmarkEnd w:id="111"/>
    </w:p>
    <w:p w14:paraId="4D4C51C6" w14:textId="77777777" w:rsidR="00747F6D" w:rsidRPr="00353A14" w:rsidRDefault="00747F6D" w:rsidP="0093413E">
      <w:pPr>
        <w:pStyle w:val="Heading6"/>
      </w:pPr>
      <w:bookmarkStart w:id="112" w:name="_Ref136269617"/>
      <w:r>
        <w:t>Study 8 was hypothesis-generating with regard to efficacy in the absence of BRCA or other HRR mutation</w:t>
      </w:r>
      <w:bookmarkEnd w:id="112"/>
    </w:p>
    <w:p w14:paraId="03E9E942" w14:textId="487B9B07" w:rsidR="00747F6D" w:rsidRDefault="00747F6D" w:rsidP="0093413E">
      <w:r w:rsidRPr="00353A14">
        <w:rPr>
          <w:i/>
          <w:iCs/>
        </w:rPr>
        <w:t>BRCA</w:t>
      </w:r>
      <w:r w:rsidRPr="00353A14">
        <w:t xml:space="preserve"> status is critical as a predictive marker of PARP inhibitor efficacy </w:t>
      </w:r>
      <w:r>
        <w:t>across multiple tumour</w:t>
      </w:r>
      <w:r w:rsidRPr="00353A14">
        <w:t xml:space="preserve"> settings. In the setting of </w:t>
      </w:r>
      <w:r>
        <w:t xml:space="preserve">prostate cancer and </w:t>
      </w:r>
      <w:r w:rsidRPr="00353A14">
        <w:t xml:space="preserve">co-administered NHA, the </w:t>
      </w:r>
      <w:r w:rsidR="00CD546E">
        <w:t>sponsor</w:t>
      </w:r>
      <w:r w:rsidRPr="00353A14">
        <w:t xml:space="preserve"> postulates </w:t>
      </w:r>
      <w:r>
        <w:t>a different mechanism of action</w:t>
      </w:r>
      <w:r w:rsidRPr="00353A14">
        <w:t xml:space="preserve"> </w:t>
      </w:r>
      <w:r>
        <w:t>to sensitise</w:t>
      </w:r>
      <w:r w:rsidRPr="00353A14">
        <w:t xml:space="preserve"> the overall population to PARP inhibitor treatment</w:t>
      </w:r>
      <w:r>
        <w:t xml:space="preserve"> - including patients without </w:t>
      </w:r>
      <w:r w:rsidRPr="009176C3">
        <w:rPr>
          <w:i/>
          <w:iCs/>
        </w:rPr>
        <w:t>BRCA</w:t>
      </w:r>
      <w:r>
        <w:t xml:space="preserve"> mutations</w:t>
      </w:r>
      <w:r w:rsidRPr="00353A14">
        <w:t xml:space="preserve">. Whilst this is a reasonable hypothesis and the phase 2 clinical data was supportive, Study 8 was not of adequate design to </w:t>
      </w:r>
      <w:r w:rsidRPr="00855A4D">
        <w:t>confirm</w:t>
      </w:r>
      <w:r w:rsidRPr="00353A14">
        <w:t xml:space="preserve"> this hypothesis</w:t>
      </w:r>
      <w:r>
        <w:t xml:space="preserve"> or to </w:t>
      </w:r>
      <w:r w:rsidRPr="00855A4D">
        <w:t>reasonably exclude</w:t>
      </w:r>
      <w:r>
        <w:t xml:space="preserve"> a differential effect: </w:t>
      </w:r>
    </w:p>
    <w:p w14:paraId="3FA631AA" w14:textId="77777777" w:rsidR="00747F6D" w:rsidRPr="00583A23" w:rsidRDefault="00747F6D" w:rsidP="00AD1F7F">
      <w:pPr>
        <w:pStyle w:val="Numberbullet0"/>
      </w:pPr>
      <w:r w:rsidRPr="00583A23">
        <w:t xml:space="preserve">Study 8 was underpowered for evaluation of differential effects based on </w:t>
      </w:r>
      <w:r w:rsidRPr="00583A23">
        <w:rPr>
          <w:i/>
          <w:iCs/>
        </w:rPr>
        <w:t>BRCA</w:t>
      </w:r>
      <w:r w:rsidRPr="00583A23">
        <w:t xml:space="preserve"> mutation status or HRR mutation status. The lack of precision is reflected in very wide confidence intervals (such as 0.26 to 2.12 for the HRRm subgroup).</w:t>
      </w:r>
    </w:p>
    <w:p w14:paraId="65CC126F" w14:textId="77777777" w:rsidR="00747F6D" w:rsidRPr="00583A23" w:rsidRDefault="00747F6D" w:rsidP="00AD1F7F">
      <w:pPr>
        <w:pStyle w:val="Numberbullet0"/>
      </w:pPr>
      <w:r w:rsidRPr="00583A23">
        <w:t xml:space="preserve">HRR status was </w:t>
      </w:r>
      <w:r w:rsidRPr="00D66090">
        <w:t>missing for 60%</w:t>
      </w:r>
      <w:r w:rsidRPr="00583A23">
        <w:t xml:space="preserve"> of patients in an already very small group.</w:t>
      </w:r>
    </w:p>
    <w:p w14:paraId="60EC17B2" w14:textId="77777777" w:rsidR="00747F6D" w:rsidRPr="00583A23" w:rsidRDefault="00747F6D" w:rsidP="00AD1F7F">
      <w:pPr>
        <w:pStyle w:val="Numberbullet0"/>
      </w:pPr>
      <w:r w:rsidRPr="00583A23">
        <w:t xml:space="preserve">HRR mutations were considered all together as a group. There is vast heterogeneity amongst the HRR gene group with highly variable levels of support for inclusion of each gene in terms of data to support predictiveness of PARP inhibitor sensitivity – preclinical and clinical. This has been analysed in depth in a prior review of a submission based on PROfound which similarly relied on grouping of HRR mutations. Whilst overall, HRR mutations vary widely in their predictiveness of effect for PARP inhibitors across clinical settings, </w:t>
      </w:r>
      <w:r w:rsidRPr="00583A23">
        <w:rPr>
          <w:i/>
          <w:iCs/>
        </w:rPr>
        <w:t>BRCAm</w:t>
      </w:r>
      <w:r w:rsidRPr="00583A23">
        <w:t xml:space="preserve"> has predicted for effect across settings with a high level of consistency.  </w:t>
      </w:r>
    </w:p>
    <w:p w14:paraId="5C55ECAA" w14:textId="77777777" w:rsidR="00747F6D" w:rsidRPr="00583A23" w:rsidRDefault="00747F6D" w:rsidP="00AD1F7F">
      <w:pPr>
        <w:pStyle w:val="Numberbullet0"/>
      </w:pPr>
      <w:r w:rsidRPr="00583A23">
        <w:t xml:space="preserve">Despite all of the above, the difference between median PFS for patients who did versus did not receive olaparib was 11.3 months for patients with HRRm and around 5 months in both the overall population and the non-HRRm subgroup. </w:t>
      </w:r>
    </w:p>
    <w:p w14:paraId="67653043" w14:textId="77777777" w:rsidR="00747F6D" w:rsidRDefault="00747F6D" w:rsidP="0093413E">
      <w:r>
        <w:t>On the basis of the above, I do not agree with the conclusion that “</w:t>
      </w:r>
      <w:r w:rsidRPr="00C70F27">
        <w:t>there was no clear evidence of the predictive value of HRRm for the treatment effect of the olaparib + abiraterone combination”</w:t>
      </w:r>
      <w:r>
        <w:t xml:space="preserve"> based on Study 8. With the benefit of hindsight, the promising results in the non-HRRm group should have been treated as hypothesis-generating, tempered by the strong biological plausibility for a potential difference between </w:t>
      </w:r>
      <w:r w:rsidRPr="009176C3">
        <w:rPr>
          <w:i/>
          <w:iCs/>
        </w:rPr>
        <w:t>BRCA</w:t>
      </w:r>
      <w:r>
        <w:t xml:space="preserve"> and non-</w:t>
      </w:r>
      <w:r w:rsidRPr="009176C3">
        <w:rPr>
          <w:i/>
          <w:iCs/>
        </w:rPr>
        <w:t>BRCA</w:t>
      </w:r>
      <w:r>
        <w:t xml:space="preserve"> or HRR and non-HRR patients, and the high level of uncertainty in the phase 2 data. The hypothesis could have been tested rigorously in the subsequent phase 3 study, PROpel. </w:t>
      </w:r>
    </w:p>
    <w:p w14:paraId="2FF979DE" w14:textId="77777777" w:rsidR="00747F6D" w:rsidRPr="00353A14" w:rsidRDefault="00747F6D" w:rsidP="0093413E">
      <w:pPr>
        <w:pStyle w:val="Heading6"/>
      </w:pPr>
      <w:r>
        <w:t xml:space="preserve">PROpel does not support statistically robust assessment of efficacy in patients without a </w:t>
      </w:r>
      <w:r w:rsidRPr="00855A4D">
        <w:t>BRCA</w:t>
      </w:r>
      <w:r>
        <w:t xml:space="preserve"> mutation</w:t>
      </w:r>
    </w:p>
    <w:p w14:paraId="10C51956" w14:textId="77777777" w:rsidR="00747F6D" w:rsidRDefault="00747F6D" w:rsidP="0093413E">
      <w:r w:rsidRPr="00C70F27">
        <w:t xml:space="preserve">Subgroup analyses </w:t>
      </w:r>
      <w:r>
        <w:t>of the data from PROpel based on BRCA status according to ctDNA and tissue testing are summarised in</w:t>
      </w:r>
      <w:r w:rsidRPr="00C70F27">
        <w:t xml:space="preserve"> </w:t>
      </w:r>
      <w:r w:rsidRPr="00C70F27">
        <w:fldChar w:fldCharType="begin"/>
      </w:r>
      <w:r w:rsidRPr="00C70F27">
        <w:instrText xml:space="preserve"> REF _Ref135405038 \h  \* MERGEFORMAT </w:instrText>
      </w:r>
      <w:r w:rsidRPr="00C70F27">
        <w:fldChar w:fldCharType="separate"/>
      </w:r>
      <w:r>
        <w:t xml:space="preserve">Table </w:t>
      </w:r>
      <w:r>
        <w:rPr>
          <w:noProof/>
        </w:rPr>
        <w:t>23</w:t>
      </w:r>
      <w:r w:rsidRPr="00C70F27">
        <w:fldChar w:fldCharType="end"/>
      </w:r>
      <w:r w:rsidRPr="00C70F27">
        <w:t xml:space="preserve"> (page </w:t>
      </w:r>
      <w:r w:rsidRPr="00C70F27">
        <w:fldChar w:fldCharType="begin"/>
      </w:r>
      <w:r w:rsidRPr="00C70F27">
        <w:instrText xml:space="preserve"> PAGEREF _Ref135405054 \h </w:instrText>
      </w:r>
      <w:r w:rsidRPr="00C70F27">
        <w:fldChar w:fldCharType="separate"/>
      </w:r>
      <w:r>
        <w:rPr>
          <w:noProof/>
        </w:rPr>
        <w:t>109</w:t>
      </w:r>
      <w:r w:rsidRPr="00C70F27">
        <w:fldChar w:fldCharType="end"/>
      </w:r>
      <w:r w:rsidRPr="00C70F27">
        <w:t xml:space="preserve">) and </w:t>
      </w:r>
      <w:r w:rsidRPr="00C70F27">
        <w:fldChar w:fldCharType="begin"/>
      </w:r>
      <w:r w:rsidRPr="00C70F27">
        <w:instrText xml:space="preserve"> REF _Ref135405042 \h  \* MERGEFORMAT </w:instrText>
      </w:r>
      <w:r w:rsidRPr="00C70F27">
        <w:fldChar w:fldCharType="separate"/>
      </w:r>
      <w:r>
        <w:t xml:space="preserve">Table </w:t>
      </w:r>
      <w:r>
        <w:rPr>
          <w:noProof/>
        </w:rPr>
        <w:t>24</w:t>
      </w:r>
      <w:r w:rsidRPr="00C70F27">
        <w:fldChar w:fldCharType="end"/>
      </w:r>
      <w:r w:rsidRPr="00C70F27">
        <w:t xml:space="preserve"> (page </w:t>
      </w:r>
      <w:r w:rsidRPr="00C70F27">
        <w:fldChar w:fldCharType="begin"/>
      </w:r>
      <w:r w:rsidRPr="00C70F27">
        <w:instrText xml:space="preserve"> PAGEREF _Ref135405047 \h </w:instrText>
      </w:r>
      <w:r w:rsidRPr="00C70F27">
        <w:fldChar w:fldCharType="separate"/>
      </w:r>
      <w:r>
        <w:rPr>
          <w:noProof/>
        </w:rPr>
        <w:t>110</w:t>
      </w:r>
      <w:r w:rsidRPr="00C70F27">
        <w:fldChar w:fldCharType="end"/>
      </w:r>
      <w:r w:rsidRPr="00C70F27">
        <w:t>)</w:t>
      </w:r>
      <w:r>
        <w:t xml:space="preserve">. There were higher levels of missing data for tissue testing than for ctDNA testing. Results are considered most robust for the group of patients who were </w:t>
      </w:r>
      <w:r w:rsidRPr="00211646">
        <w:rPr>
          <w:i/>
          <w:iCs/>
        </w:rPr>
        <w:t>BRCAm</w:t>
      </w:r>
      <w:r>
        <w:t xml:space="preserve"> according to any test, versus who were </w:t>
      </w:r>
      <w:r w:rsidRPr="00211646">
        <w:rPr>
          <w:i/>
          <w:iCs/>
        </w:rPr>
        <w:t>BRCA</w:t>
      </w:r>
      <w:r>
        <w:t xml:space="preserve">-wild type according to both tests. Whilst this group does not reflect real-world testing (i.e. ‘double’ testing for mutation status), the question arising is not real-world usage but clinical validity. </w:t>
      </w:r>
    </w:p>
    <w:p w14:paraId="7469A9FE" w14:textId="77777777" w:rsidR="00747F6D" w:rsidRDefault="00747F6D" w:rsidP="0093413E">
      <w:r>
        <w:t>The subgroup results raise a concern</w:t>
      </w:r>
      <w:r w:rsidRPr="00C70F27">
        <w:t xml:space="preserve"> that there is no detectable survival benefit and </w:t>
      </w:r>
      <w:proofErr w:type="gramStart"/>
      <w:r w:rsidRPr="00C70F27">
        <w:t>no</w:t>
      </w:r>
      <w:proofErr w:type="gramEnd"/>
      <w:r w:rsidRPr="00C70F27">
        <w:t xml:space="preserve"> </w:t>
      </w:r>
      <w:r>
        <w:t xml:space="preserve">clinically </w:t>
      </w:r>
      <w:r w:rsidRPr="00C70F27">
        <w:t>meaning</w:t>
      </w:r>
      <w:r>
        <w:t>f</w:t>
      </w:r>
      <w:r w:rsidRPr="00C70F27">
        <w:t xml:space="preserve">ul </w:t>
      </w:r>
      <w:r>
        <w:t xml:space="preserve">(if any real) </w:t>
      </w:r>
      <w:r w:rsidRPr="00C70F27">
        <w:t xml:space="preserve">difference in rPFS </w:t>
      </w:r>
      <w:r>
        <w:t xml:space="preserve">associated with the addition of olaparib to first-line NHA therapy </w:t>
      </w:r>
      <w:r w:rsidRPr="00C70F27">
        <w:t xml:space="preserve">for patients </w:t>
      </w:r>
      <w:r>
        <w:t xml:space="preserve">with prostate cancer </w:t>
      </w:r>
      <w:r w:rsidRPr="00C70F27">
        <w:t xml:space="preserve">who </w:t>
      </w:r>
      <w:r>
        <w:t>are known with a high level of certainty to not have a BRCA mutation (no BRCA mutation on either ctDNA or tissue testing):</w:t>
      </w:r>
    </w:p>
    <w:p w14:paraId="14AB667E" w14:textId="77777777" w:rsidR="00747F6D" w:rsidRPr="00583A23" w:rsidRDefault="00747F6D" w:rsidP="00AD1F7F">
      <w:pPr>
        <w:pStyle w:val="ListBullet"/>
      </w:pPr>
      <w:r w:rsidRPr="00583A23">
        <w:t>The OS HR was 1.06 (0.81, 1.39)</w:t>
      </w:r>
    </w:p>
    <w:p w14:paraId="0E87B4F0" w14:textId="77777777" w:rsidR="00747F6D" w:rsidRPr="00583A23" w:rsidRDefault="00747F6D" w:rsidP="00AD1F7F">
      <w:pPr>
        <w:pStyle w:val="ListBullet"/>
      </w:pPr>
      <w:r w:rsidRPr="00583A23">
        <w:t xml:space="preserve">The rPFS HR was 0.81 (0.63, 1.05), with 3 months’ difference between medians </w:t>
      </w:r>
    </w:p>
    <w:p w14:paraId="07350168" w14:textId="77777777" w:rsidR="00747F6D" w:rsidRDefault="00747F6D" w:rsidP="0093413E">
      <w:r>
        <w:lastRenderedPageBreak/>
        <w:t>In many scenarios, regulatory approval is granted on the basis of data from an ITT population despite non-reassuring subgroup results. Interpretation of subgroup results must be cautious, due to statistical limitations and uncertainty. In PROpel, r</w:t>
      </w:r>
      <w:r w:rsidRPr="00353A14">
        <w:t xml:space="preserve">andomisation was not stratified using </w:t>
      </w:r>
      <w:r w:rsidRPr="00353A14">
        <w:rPr>
          <w:i/>
          <w:iCs/>
        </w:rPr>
        <w:t>BRCA</w:t>
      </w:r>
      <w:r w:rsidRPr="00353A14">
        <w:t xml:space="preserve"> or HRR status, so subgroups based on presence or absence of </w:t>
      </w:r>
      <w:r w:rsidRPr="00353A14">
        <w:rPr>
          <w:i/>
          <w:iCs/>
        </w:rPr>
        <w:t>BRCA</w:t>
      </w:r>
      <w:r w:rsidRPr="00353A14">
        <w:t xml:space="preserve">/HRR may </w:t>
      </w:r>
      <w:r>
        <w:t>be</w:t>
      </w:r>
      <w:r w:rsidRPr="00353A14">
        <w:t xml:space="preserve"> imbalanced </w:t>
      </w:r>
      <w:r>
        <w:t xml:space="preserve">with regard to </w:t>
      </w:r>
      <w:r w:rsidRPr="00353A14">
        <w:t>prognostic factors, confounding comparison between a</w:t>
      </w:r>
      <w:r w:rsidRPr="00C70F27">
        <w:t>rms</w:t>
      </w:r>
      <w:r>
        <w:t>. In the current scenario, the following factors increase the potential relevance of the subgroup findings based on BRCA status:</w:t>
      </w:r>
    </w:p>
    <w:p w14:paraId="17839853" w14:textId="48F741AC" w:rsidR="00747F6D" w:rsidRPr="00583A23" w:rsidRDefault="00747F6D" w:rsidP="00AD1F7F">
      <w:pPr>
        <w:pStyle w:val="ListBullet"/>
      </w:pPr>
      <w:r w:rsidRPr="00583A23">
        <w:t xml:space="preserve">There is very strong preclinical and clinical evidence of the importance of </w:t>
      </w:r>
      <w:r w:rsidRPr="00583A23">
        <w:rPr>
          <w:i/>
          <w:iCs/>
        </w:rPr>
        <w:t>BRCA</w:t>
      </w:r>
      <w:r w:rsidRPr="00583A23">
        <w:t xml:space="preserve"> as a biomarker, further than HRR more generally, and the PROpel findings are consistent with findings in other settings.</w:t>
      </w:r>
    </w:p>
    <w:p w14:paraId="2E775BB4" w14:textId="509F2D10" w:rsidR="00747F6D" w:rsidRPr="00583A23" w:rsidRDefault="00747F6D" w:rsidP="00AD1F7F">
      <w:pPr>
        <w:pStyle w:val="ListBullet"/>
      </w:pPr>
      <w:r w:rsidRPr="00583A23">
        <w:t xml:space="preserve">Relevant contextual information is available from the MAGNITUDE study: a large, randomised phase 3 study of very similar design to PROpel except that it was essentially stratified by HRR status. MAGNITUDE showed no benefit of adding a PARP inhibitor (niraparib) to abiraterone plus steroid in mCRPC for patients without a HRR mutation, and enrolment into this cohort was ceased early based on a planned futility analysis. In agreement with the data from PROpel, significant toxicity was associated with the addition of the PARP inhibitor to treatment in MAGNITUDE. </w:t>
      </w:r>
    </w:p>
    <w:p w14:paraId="3405E108" w14:textId="77777777" w:rsidR="00747F6D" w:rsidRDefault="00747F6D" w:rsidP="0093413E">
      <w:r>
        <w:t xml:space="preserve">Overall, the lack of stratification of randomisation in PROpel by </w:t>
      </w:r>
      <w:r w:rsidRPr="009176C3">
        <w:rPr>
          <w:i/>
          <w:iCs/>
        </w:rPr>
        <w:t>BRCA</w:t>
      </w:r>
      <w:r>
        <w:t xml:space="preserve"> (or HRR) status is a critical design flaw and prevents PROpel data from robustly supporting a conclusion of meaningful efficacy in patients without</w:t>
      </w:r>
      <w:r w:rsidRPr="00211646">
        <w:t xml:space="preserve"> such</w:t>
      </w:r>
      <w:r>
        <w:t xml:space="preserve"> mutations. The subgroup results (in context of pre-clinical and clinical data for this drug and for PARP inhibitors as a class) are unable to address serious concerns that this drug may have negligible efficacy</w:t>
      </w:r>
      <w:r w:rsidRPr="00211646">
        <w:t xml:space="preserve"> </w:t>
      </w:r>
      <w:r>
        <w:t xml:space="preserve">for patients without a </w:t>
      </w:r>
      <w:r w:rsidRPr="00211646">
        <w:rPr>
          <w:i/>
          <w:iCs/>
        </w:rPr>
        <w:t>BRCA</w:t>
      </w:r>
      <w:r>
        <w:t xml:space="preserve"> (or HRR) mutation.</w:t>
      </w:r>
      <w:r w:rsidRPr="00211646">
        <w:t xml:space="preserve"> </w:t>
      </w:r>
      <w:r>
        <w:t xml:space="preserve">The toxicity of PARP inhibitors, however, is not negligible. As an add-on treatment to an existing, very effective first line regimen (i.e. new hormonal agents), for a very common condition, such a level of uncertainty is not consistent with satisfactory establishment of efficacy of the product for the intended usage. There is an onus of proof which has not been met by the submitted data. </w:t>
      </w:r>
    </w:p>
    <w:p w14:paraId="6096C52C" w14:textId="77777777" w:rsidR="00747F6D" w:rsidRDefault="00747F6D" w:rsidP="0093413E">
      <w:r>
        <w:t>I therefore am unable to support approval of a biomarker-agnostic population despite the overall results of the PROpel study.</w:t>
      </w:r>
    </w:p>
    <w:p w14:paraId="13171DF3" w14:textId="77777777" w:rsidR="00747F6D" w:rsidRPr="00353A14" w:rsidRDefault="00747F6D" w:rsidP="0093413E">
      <w:pPr>
        <w:pStyle w:val="Heading6"/>
      </w:pPr>
      <w:r>
        <w:t>A BRCA-limited indication could be considered</w:t>
      </w:r>
    </w:p>
    <w:p w14:paraId="78E4BB81" w14:textId="0590A6E4" w:rsidR="00747F6D" w:rsidRPr="00C70F27" w:rsidRDefault="00747F6D" w:rsidP="0093413E">
      <w:r w:rsidRPr="00C70F27">
        <w:t xml:space="preserve">Approval of a </w:t>
      </w:r>
      <w:r w:rsidRPr="00C70F27">
        <w:rPr>
          <w:i/>
          <w:iCs/>
        </w:rPr>
        <w:t>BRCA</w:t>
      </w:r>
      <w:r w:rsidRPr="00C70F27">
        <w:t xml:space="preserve">-specific indication could be considered, </w:t>
      </w:r>
      <w:r>
        <w:t>based</w:t>
      </w:r>
      <w:r w:rsidRPr="00C70F27">
        <w:t xml:space="preserve"> on exploratory interpretation of data from </w:t>
      </w:r>
      <w:r>
        <w:t xml:space="preserve">this </w:t>
      </w:r>
      <w:r w:rsidRPr="00C70F27">
        <w:t xml:space="preserve">small subgroup </w:t>
      </w:r>
      <w:r>
        <w:t xml:space="preserve">(around 10% of the study) </w:t>
      </w:r>
      <w:r w:rsidRPr="00C70F27">
        <w:t xml:space="preserve">that is not congruent with a randomisation stratum. </w:t>
      </w:r>
      <w:r>
        <w:t>Whilst this may not</w:t>
      </w:r>
      <w:r w:rsidRPr="00C70F27">
        <w:t xml:space="preserve"> </w:t>
      </w:r>
      <w:r>
        <w:t>be</w:t>
      </w:r>
      <w:r w:rsidRPr="00C70F27">
        <w:t xml:space="preserve"> a statistically </w:t>
      </w:r>
      <w:r>
        <w:t>pure</w:t>
      </w:r>
      <w:r w:rsidRPr="00C70F27">
        <w:t xml:space="preserve"> </w:t>
      </w:r>
      <w:r>
        <w:t xml:space="preserve">frequentist </w:t>
      </w:r>
      <w:r w:rsidRPr="00C70F27">
        <w:t>approach</w:t>
      </w:r>
      <w:r>
        <w:t xml:space="preserve">, it </w:t>
      </w:r>
      <w:r w:rsidRPr="00C70F27">
        <w:t xml:space="preserve">would rely on </w:t>
      </w:r>
      <w:r>
        <w:t>a totality-of-evidence approach</w:t>
      </w:r>
      <w:r w:rsidRPr="00C70F27">
        <w:t xml:space="preserve"> in a </w:t>
      </w:r>
      <w:r>
        <w:t xml:space="preserve">more </w:t>
      </w:r>
      <w:r w:rsidRPr="00C70F27">
        <w:t xml:space="preserve">Bayesian </w:t>
      </w:r>
      <w:r>
        <w:t>fashion. There is extensive supporting evidence in terms of mechanism of action, and pre-clinical and clinical data in prostate cancer and other settings, and with other PARP inhibitors. This approach is in keeping with the recent outcomes of an expert Oncology Drugs Advisory Committee (ODAC) meeting, convened by FDA, at which 11 experts voted that approval of a BRCA-limited indication, based on PROpel as pivotal data,</w:t>
      </w:r>
      <w:r w:rsidRPr="003F7057">
        <w:t xml:space="preserve"> </w:t>
      </w:r>
      <w:r>
        <w:t xml:space="preserve">was warranted. One expert voted no, believing </w:t>
      </w:r>
      <w:proofErr w:type="gramStart"/>
      <w:r>
        <w:t>a</w:t>
      </w:r>
      <w:proofErr w:type="gramEnd"/>
      <w:r>
        <w:t xml:space="preserve"> HRR-limited indication would be more appropriate, and one expert abstained from voting, believing that no approval of any indication could be robustly justified, due to the study design limitations hampering its interpretation.</w:t>
      </w:r>
    </w:p>
    <w:p w14:paraId="79FA47F5" w14:textId="77777777" w:rsidR="00747F6D" w:rsidRDefault="00747F6D" w:rsidP="0093413E">
      <w:pPr>
        <w:pStyle w:val="Heading6"/>
      </w:pPr>
      <w:r>
        <w:t>Contribution of components</w:t>
      </w:r>
    </w:p>
    <w:p w14:paraId="11A78B33" w14:textId="212351D5" w:rsidR="00747F6D" w:rsidRDefault="00747F6D" w:rsidP="0093413E">
      <w:r w:rsidRPr="00C70F27">
        <w:t xml:space="preserve">For patients with </w:t>
      </w:r>
      <w:r w:rsidRPr="00C70F27">
        <w:rPr>
          <w:i/>
          <w:iCs/>
        </w:rPr>
        <w:t>BRCA</w:t>
      </w:r>
      <w:r>
        <w:t xml:space="preserve"> mutations</w:t>
      </w:r>
      <w:r w:rsidRPr="00C70F27">
        <w:t xml:space="preserve">, </w:t>
      </w:r>
      <w:r>
        <w:t xml:space="preserve">the relative </w:t>
      </w:r>
      <w:r w:rsidRPr="00C70F27">
        <w:t>contribution of abiraterone</w:t>
      </w:r>
      <w:r>
        <w:t xml:space="preserve"> to the efficacy of the combination has not been fully described. However, in </w:t>
      </w:r>
      <w:r w:rsidRPr="00C70F27">
        <w:t>a randomised phase 2 study</w:t>
      </w:r>
      <w:r>
        <w:t>,</w:t>
      </w:r>
      <w:r w:rsidRPr="00C70F27">
        <w:t xml:space="preserve"> patients with BRCA1, BRCA2 or ATM mutation </w:t>
      </w:r>
      <w:r>
        <w:t xml:space="preserve">who were </w:t>
      </w:r>
      <w:r w:rsidRPr="00C70F27">
        <w:t xml:space="preserve">randomised to abiraterone plus prednisone (n=17) or to olaparib monotherapy (n=17) had a shorter PFS than those randomised to a </w:t>
      </w:r>
      <w:r w:rsidRPr="00C70F27">
        <w:lastRenderedPageBreak/>
        <w:t>combination of all three (n=19).</w:t>
      </w:r>
      <w:r>
        <w:t xml:space="preserve"> </w:t>
      </w:r>
      <w:r w:rsidRPr="00C70F27">
        <w:t xml:space="preserve">The rationale around NHA treatment inducing </w:t>
      </w:r>
      <w:r w:rsidRPr="00C70F27">
        <w:rPr>
          <w:i/>
          <w:iCs/>
        </w:rPr>
        <w:t>BRCA</w:t>
      </w:r>
      <w:r w:rsidRPr="00C70F27">
        <w:t xml:space="preserve">-ness is </w:t>
      </w:r>
      <w:r>
        <w:t xml:space="preserve">also </w:t>
      </w:r>
      <w:r w:rsidRPr="00C70F27">
        <w:t>supportive</w:t>
      </w:r>
      <w:r>
        <w:t xml:space="preserve"> of the combination.</w:t>
      </w:r>
    </w:p>
    <w:p w14:paraId="6393ED7B" w14:textId="77777777" w:rsidR="00747F6D" w:rsidRPr="0092211B" w:rsidRDefault="00747F6D" w:rsidP="0093413E">
      <w:pPr>
        <w:pStyle w:val="Heading6"/>
      </w:pPr>
      <w:r w:rsidRPr="0092211B">
        <w:t>Histology</w:t>
      </w:r>
    </w:p>
    <w:p w14:paraId="3D0A6C3D" w14:textId="77777777" w:rsidR="00747F6D" w:rsidRDefault="00747F6D" w:rsidP="00747F6D">
      <w:r w:rsidRPr="0092211B">
        <w:t xml:space="preserve">Only patients with adenocarcinoma were enrolled. </w:t>
      </w:r>
      <w:r>
        <w:t xml:space="preserve">The clinical trial description should note this if the indication is approved. </w:t>
      </w:r>
    </w:p>
    <w:p w14:paraId="53E730DB" w14:textId="77777777" w:rsidR="00747F6D" w:rsidRPr="00F74570" w:rsidRDefault="00747F6D" w:rsidP="00747F6D">
      <w:r>
        <w:t>As the vast majority of</w:t>
      </w:r>
      <w:r w:rsidRPr="0092211B">
        <w:t xml:space="preserve"> mCRPC </w:t>
      </w:r>
      <w:r>
        <w:t>is adenocarcinoma, and other histologies tend to be specified as they are the exception, I do not consider specification of adenocarcinoma histology in the indication to be necessary.</w:t>
      </w:r>
      <w:r w:rsidRPr="00F74570">
        <w:t xml:space="preserve"> </w:t>
      </w:r>
    </w:p>
    <w:p w14:paraId="3916F296" w14:textId="77777777" w:rsidR="00C22214" w:rsidRDefault="00C22214" w:rsidP="00C22214">
      <w:pPr>
        <w:pStyle w:val="Heading4"/>
      </w:pPr>
      <w:bookmarkStart w:id="113" w:name="_Toc171942672"/>
      <w:r w:rsidRPr="00D23139">
        <w:t>Proposed action</w:t>
      </w:r>
      <w:bookmarkEnd w:id="109"/>
      <w:bookmarkEnd w:id="113"/>
    </w:p>
    <w:p w14:paraId="7C492659" w14:textId="77777777" w:rsidR="00792058" w:rsidRDefault="00792058" w:rsidP="00792058">
      <w:pPr>
        <w:pStyle w:val="Heading5"/>
      </w:pPr>
      <w:bookmarkStart w:id="114" w:name="_Toc98931934"/>
      <w:r>
        <w:t>Breast cancer indication</w:t>
      </w:r>
    </w:p>
    <w:p w14:paraId="1D511EFE" w14:textId="68A35FF8" w:rsidR="00792058" w:rsidRPr="00A94465" w:rsidRDefault="00792058" w:rsidP="00792058">
      <w:r w:rsidRPr="007276CB">
        <w:t>The benefit-risk balance of approval</w:t>
      </w:r>
      <w:r>
        <w:t xml:space="preserve"> of an EBC indication was considered positive. </w:t>
      </w:r>
    </w:p>
    <w:p w14:paraId="4C1EB716" w14:textId="77777777" w:rsidR="00792058" w:rsidRDefault="00792058" w:rsidP="00792058">
      <w:pPr>
        <w:pStyle w:val="Heading5"/>
      </w:pPr>
      <w:bookmarkStart w:id="115" w:name="_Ref136272856"/>
      <w:r>
        <w:t>Prostate cancer indication</w:t>
      </w:r>
      <w:bookmarkEnd w:id="115"/>
    </w:p>
    <w:p w14:paraId="5162A567" w14:textId="5EA59983" w:rsidR="00792058" w:rsidRDefault="00792058" w:rsidP="00792058">
      <w:r w:rsidRPr="007276CB">
        <w:t>The benefit-risk balance of approval</w:t>
      </w:r>
      <w:r>
        <w:t xml:space="preserve"> of the proposed first line prostate cancer indication is considered unsupported, </w:t>
      </w:r>
      <w:r w:rsidRPr="003F7057">
        <w:t xml:space="preserve">due to inadequate characterisation of efficacy </w:t>
      </w:r>
      <w:r>
        <w:t>in</w:t>
      </w:r>
      <w:r w:rsidRPr="003F7057">
        <w:t xml:space="preserve"> </w:t>
      </w:r>
      <w:r>
        <w:t>a majority subgroup of the ‘all-comers’ population</w:t>
      </w:r>
      <w:r w:rsidRPr="003F7057">
        <w:t xml:space="preserve">, </w:t>
      </w:r>
      <w:r>
        <w:t xml:space="preserve">defined by absence of a </w:t>
      </w:r>
      <w:r w:rsidRPr="003F7057">
        <w:t xml:space="preserve">critically important </w:t>
      </w:r>
      <w:r>
        <w:t>biomarker</w:t>
      </w:r>
      <w:r w:rsidRPr="003F7057">
        <w:t xml:space="preserve">. </w:t>
      </w:r>
    </w:p>
    <w:p w14:paraId="50703529" w14:textId="77777777" w:rsidR="00792058" w:rsidRDefault="00792058" w:rsidP="00792058">
      <w:pPr>
        <w:pStyle w:val="Heading5"/>
      </w:pPr>
      <w:bookmarkStart w:id="116" w:name="_Ref125558040"/>
      <w:r>
        <w:t>SOLO3 final OS results</w:t>
      </w:r>
      <w:bookmarkEnd w:id="116"/>
    </w:p>
    <w:p w14:paraId="7BB45070" w14:textId="77777777" w:rsidR="00792058" w:rsidRDefault="00792058" w:rsidP="00792058">
      <w:r w:rsidRPr="00A65F5E">
        <w:t>No changes to the existing ovarian cancer indication are warranted based on the final OS from SOLO3.</w:t>
      </w:r>
      <w:r>
        <w:t xml:space="preserve"> </w:t>
      </w:r>
    </w:p>
    <w:p w14:paraId="4F7EE421" w14:textId="77777777" w:rsidR="00792058" w:rsidRDefault="00792058" w:rsidP="00792058">
      <w:pPr>
        <w:pStyle w:val="Heading5"/>
      </w:pPr>
      <w:r>
        <w:t>VTE precaution</w:t>
      </w:r>
    </w:p>
    <w:p w14:paraId="5202A12D" w14:textId="195F37C5" w:rsidR="00792058" w:rsidRPr="003F7057" w:rsidRDefault="00792058" w:rsidP="00792058">
      <w:r>
        <w:t xml:space="preserve">The </w:t>
      </w:r>
      <w:r w:rsidR="00CD546E">
        <w:t>sponsor</w:t>
      </w:r>
      <w:r>
        <w:t>’s review suggests VTE may be a risk associated with olaparib treatment. The wording in the PI was planned to be reviewed.</w:t>
      </w:r>
    </w:p>
    <w:p w14:paraId="49EE175C" w14:textId="77777777" w:rsidR="00792058" w:rsidRPr="00F357D2" w:rsidRDefault="00792058" w:rsidP="00792058">
      <w:pPr>
        <w:pStyle w:val="Heading5"/>
      </w:pPr>
      <w:r>
        <w:t>Metabolite PK analysis report from PROfound</w:t>
      </w:r>
    </w:p>
    <w:p w14:paraId="4E03005C" w14:textId="74EB4A38" w:rsidR="00792058" w:rsidRPr="00F74570" w:rsidRDefault="00792058" w:rsidP="00792058">
      <w:r>
        <w:t xml:space="preserve">Olaparib is the major circulating drug species in plasma at steady state. Metabolite M18 exhibited exposure above the regulatory threshold of 10% of total drug related circulating AUCss. The </w:t>
      </w:r>
      <w:r w:rsidR="00CD546E">
        <w:t>sponsor</w:t>
      </w:r>
      <w:r>
        <w:t xml:space="preserve"> has not indicated any intention for further specific study of M18, which is considered acceptable.  </w:t>
      </w:r>
    </w:p>
    <w:p w14:paraId="64319E64" w14:textId="77777777" w:rsidR="00792058" w:rsidRDefault="00792058" w:rsidP="00792058">
      <w:pPr>
        <w:pStyle w:val="Heading5"/>
      </w:pPr>
      <w:r>
        <w:t>Mutagenic impurities risk assessment</w:t>
      </w:r>
    </w:p>
    <w:p w14:paraId="5E963B6B" w14:textId="30CDCA4D" w:rsidR="00792058" w:rsidRDefault="00792058" w:rsidP="00792058">
      <w:pPr>
        <w:rPr>
          <w:lang w:val="en-US"/>
        </w:rPr>
      </w:pPr>
      <w:r>
        <w:t>The updated assessment was acceptable. No changes are required to existing drug control strategies</w:t>
      </w:r>
      <w:r w:rsidRPr="00F74570">
        <w:rPr>
          <w:lang w:val="en-US"/>
        </w:rPr>
        <w:t xml:space="preserve"> </w:t>
      </w:r>
      <w:r>
        <w:rPr>
          <w:lang w:val="en-US"/>
        </w:rPr>
        <w:t>or existing text in the Product Information.</w:t>
      </w:r>
    </w:p>
    <w:p w14:paraId="07994E9B" w14:textId="77777777" w:rsidR="00C22214" w:rsidRDefault="00C22214" w:rsidP="00C22214">
      <w:pPr>
        <w:pStyle w:val="Heading4"/>
      </w:pPr>
      <w:bookmarkStart w:id="117" w:name="_Toc171942673"/>
      <w:r>
        <w:t>Questions for the sponsor</w:t>
      </w:r>
      <w:bookmarkEnd w:id="114"/>
      <w:bookmarkEnd w:id="117"/>
    </w:p>
    <w:p w14:paraId="1EC61EE0" w14:textId="4694D087" w:rsidR="007C4428" w:rsidRDefault="00C22214" w:rsidP="00583A23">
      <w:pPr>
        <w:autoSpaceDE w:val="0"/>
        <w:autoSpaceDN w:val="0"/>
        <w:adjustRightInd w:val="0"/>
        <w:rPr>
          <w:rFonts w:ascii="TimesNewRoman,Bold" w:hAnsi="TimesNewRoman,Bold" w:cs="TimesNewRoman,Bold"/>
          <w:b/>
          <w:bCs/>
          <w:sz w:val="24"/>
          <w:szCs w:val="24"/>
        </w:rPr>
      </w:pPr>
      <w:r w:rsidRPr="00BD5DBD">
        <w:rPr>
          <w:szCs w:val="22"/>
        </w:rPr>
        <w:t xml:space="preserve">The sponsor provided the following response to questions from the </w:t>
      </w:r>
      <w:r w:rsidR="00CD546E">
        <w:rPr>
          <w:szCs w:val="22"/>
        </w:rPr>
        <w:t>delegate</w:t>
      </w:r>
      <w:r w:rsidRPr="00BD5DBD">
        <w:rPr>
          <w:szCs w:val="22"/>
        </w:rPr>
        <w:t>.</w:t>
      </w:r>
      <w:r w:rsidR="007C4428" w:rsidRPr="007C4428">
        <w:rPr>
          <w:rFonts w:ascii="TimesNewRoman,Bold" w:hAnsi="TimesNewRoman,Bold" w:cs="TimesNewRoman,Bold"/>
          <w:b/>
          <w:bCs/>
          <w:sz w:val="24"/>
          <w:szCs w:val="24"/>
        </w:rPr>
        <w:t xml:space="preserve"> </w:t>
      </w:r>
    </w:p>
    <w:p w14:paraId="22EB24FC" w14:textId="548BF84C" w:rsidR="00F22309" w:rsidRPr="004B2E74" w:rsidRDefault="007C4428" w:rsidP="00583A23">
      <w:pPr>
        <w:pStyle w:val="DelegatesQuestions"/>
        <w:spacing w:before="0" w:after="120" w:line="259" w:lineRule="auto"/>
        <w:rPr>
          <w:rFonts w:cs="TimesNewRoman,Bold"/>
        </w:rPr>
      </w:pPr>
      <w:r w:rsidRPr="007C4428">
        <w:t xml:space="preserve">Could the </w:t>
      </w:r>
      <w:r w:rsidR="00CD546E">
        <w:t>sponsor</w:t>
      </w:r>
      <w:r w:rsidRPr="007C4428">
        <w:t xml:space="preserve"> please provide </w:t>
      </w:r>
      <w:r w:rsidR="00DE7C6A">
        <w:t xml:space="preserve">a </w:t>
      </w:r>
      <w:r w:rsidRPr="007C4428">
        <w:t>rationale as to why it was decided to exclude</w:t>
      </w:r>
      <w:r>
        <w:t xml:space="preserve"> </w:t>
      </w:r>
      <w:r w:rsidRPr="004B2E74">
        <w:rPr>
          <w:rFonts w:cs="TimesNewRoman,Bold"/>
        </w:rPr>
        <w:t xml:space="preserve">enrolment of patients with </w:t>
      </w:r>
      <w:r w:rsidRPr="004B2E74">
        <w:rPr>
          <w:rFonts w:cs="TimesNewRoman,BoldItalic"/>
        </w:rPr>
        <w:t xml:space="preserve">sBRCAm </w:t>
      </w:r>
      <w:r w:rsidRPr="004B2E74">
        <w:rPr>
          <w:rFonts w:cs="TimesNewRoman,Bold"/>
        </w:rPr>
        <w:t>EBC from OlympiA?</w:t>
      </w:r>
      <w:r w:rsidR="00F22309" w:rsidRPr="004B2E74">
        <w:rPr>
          <w:rFonts w:cs="TimesNewRoman,Bold"/>
        </w:rPr>
        <w:t xml:space="preserve"> </w:t>
      </w:r>
    </w:p>
    <w:p w14:paraId="1F694596" w14:textId="4EA01062" w:rsidR="00F47431" w:rsidRDefault="00F22309" w:rsidP="00DE7C6A">
      <w:r w:rsidRPr="00F22309">
        <w:t xml:space="preserve">The OlympiA study was the first study to investigate the effectiveness of PARP inhibitor treatment in patients with </w:t>
      </w:r>
      <w:r w:rsidRPr="00F22309">
        <w:rPr>
          <w:rFonts w:eastAsia="TimesNewRoman,Italic" w:cs="TimesNewRoman,Italic"/>
          <w:i/>
          <w:iCs/>
        </w:rPr>
        <w:t xml:space="preserve">BRCAm </w:t>
      </w:r>
      <w:r w:rsidRPr="00F22309">
        <w:t>early breast cancer. At the time of study initiation, in</w:t>
      </w:r>
      <w:r w:rsidR="004B2E74">
        <w:t xml:space="preserve"> </w:t>
      </w:r>
      <w:r w:rsidRPr="00F22309">
        <w:t xml:space="preserve">2014, a </w:t>
      </w:r>
      <w:r w:rsidR="00FD24E8" w:rsidRPr="00F22309">
        <w:t>tumour</w:t>
      </w:r>
      <w:r w:rsidRPr="00F22309">
        <w:t xml:space="preserve"> </w:t>
      </w:r>
      <w:r w:rsidRPr="00F22309">
        <w:rPr>
          <w:rFonts w:eastAsia="TimesNewRoman,Italic" w:cs="TimesNewRoman,Italic"/>
          <w:i/>
          <w:iCs/>
        </w:rPr>
        <w:t xml:space="preserve">BRCA </w:t>
      </w:r>
      <w:r w:rsidRPr="00F22309">
        <w:t>mutation diagnostic test to detect both germline and somatic variants of</w:t>
      </w:r>
      <w:r w:rsidR="004B2E74">
        <w:t xml:space="preserve"> </w:t>
      </w:r>
      <w:r w:rsidRPr="00F22309">
        <w:rPr>
          <w:rFonts w:eastAsia="TimesNewRoman,Italic" w:cs="TimesNewRoman,Italic"/>
          <w:i/>
          <w:iCs/>
        </w:rPr>
        <w:t xml:space="preserve">BRCA </w:t>
      </w:r>
      <w:r w:rsidRPr="00F22309">
        <w:t>was not available to support prospective testing and guide enrolment onto the study; the</w:t>
      </w:r>
      <w:r w:rsidR="004B2E74">
        <w:t xml:space="preserve"> </w:t>
      </w:r>
      <w:r w:rsidRPr="00F22309">
        <w:t xml:space="preserve">only central </w:t>
      </w:r>
      <w:r w:rsidRPr="00F22309">
        <w:lastRenderedPageBreak/>
        <w:t>diagnostic test suitable for prospective testing in a registrational trial was</w:t>
      </w:r>
      <w:r w:rsidR="004B2E74">
        <w:t xml:space="preserve"> M</w:t>
      </w:r>
      <w:r w:rsidRPr="00F22309">
        <w:t xml:space="preserve">yriad’s BRACAnalysis CDx® blood-based germline </w:t>
      </w:r>
      <w:r w:rsidRPr="00F22309">
        <w:rPr>
          <w:rFonts w:eastAsia="TimesNewRoman,Italic" w:cs="TimesNewRoman,Italic"/>
          <w:i/>
          <w:iCs/>
        </w:rPr>
        <w:t xml:space="preserve">BRCA1/2 </w:t>
      </w:r>
      <w:r w:rsidRPr="00F22309">
        <w:t>assay. Furthermore, there</w:t>
      </w:r>
      <w:r w:rsidR="004B2E74">
        <w:t xml:space="preserve"> </w:t>
      </w:r>
      <w:r w:rsidRPr="00F22309">
        <w:t xml:space="preserve">was very limited knowledge around </w:t>
      </w:r>
      <w:r w:rsidRPr="00F22309">
        <w:rPr>
          <w:rFonts w:eastAsia="TimesNewRoman,Italic" w:cs="TimesNewRoman,Italic"/>
          <w:i/>
          <w:iCs/>
        </w:rPr>
        <w:t>sBRCAm</w:t>
      </w:r>
      <w:r w:rsidR="004B2E74">
        <w:rPr>
          <w:rFonts w:eastAsia="TimesNewRoman,Italic" w:cs="TimesNewRoman,Italic"/>
          <w:i/>
          <w:iCs/>
        </w:rPr>
        <w:t xml:space="preserve"> </w:t>
      </w:r>
      <w:r w:rsidRPr="00F22309">
        <w:t>disease biology, and there</w:t>
      </w:r>
      <w:r w:rsidR="004B2E74">
        <w:t xml:space="preserve"> </w:t>
      </w:r>
      <w:r w:rsidRPr="00F22309">
        <w:t>was no robust evidence for the use of PARP inhibitors in this population, since the olaparib</w:t>
      </w:r>
      <w:r w:rsidR="004B2E74">
        <w:t xml:space="preserve"> s</w:t>
      </w:r>
      <w:r w:rsidRPr="00F22309">
        <w:t xml:space="preserve">tudies at that time had only included germline </w:t>
      </w:r>
      <w:r w:rsidRPr="00F22309">
        <w:rPr>
          <w:rFonts w:eastAsia="TimesNewRoman,Italic" w:cs="TimesNewRoman,Italic"/>
          <w:i/>
          <w:iCs/>
        </w:rPr>
        <w:t xml:space="preserve">BRCAm </w:t>
      </w:r>
      <w:r w:rsidRPr="00F22309">
        <w:t>(</w:t>
      </w:r>
      <w:r w:rsidRPr="00F22309">
        <w:rPr>
          <w:rFonts w:eastAsia="TimesNewRoman,Italic" w:cs="TimesNewRoman,Italic"/>
          <w:i/>
          <w:iCs/>
        </w:rPr>
        <w:t>gBRCAm</w:t>
      </w:r>
      <w:r w:rsidRPr="00F22309">
        <w:t>) participants. Thus, the</w:t>
      </w:r>
      <w:r w:rsidR="004B2E74">
        <w:t xml:space="preserve"> </w:t>
      </w:r>
      <w:r w:rsidRPr="00F22309">
        <w:t xml:space="preserve">OlympiA study only included patients with </w:t>
      </w:r>
      <w:r w:rsidRPr="00F22309">
        <w:rPr>
          <w:rFonts w:eastAsia="TimesNewRoman,Italic" w:cs="TimesNewRoman,Italic"/>
          <w:i/>
          <w:iCs/>
        </w:rPr>
        <w:t xml:space="preserve">gBRCAm </w:t>
      </w:r>
      <w:r w:rsidRPr="00F22309">
        <w:t>breast cancer. Given the high unmet need to assess the potential benefit of</w:t>
      </w:r>
      <w:r w:rsidR="004B2E74">
        <w:t xml:space="preserve"> </w:t>
      </w:r>
      <w:r w:rsidRPr="00F22309">
        <w:t xml:space="preserve">PARP inhibitor treatment in patients with </w:t>
      </w:r>
      <w:r w:rsidRPr="00F22309">
        <w:rPr>
          <w:rFonts w:eastAsia="TimesNewRoman,Italic" w:cs="TimesNewRoman,Italic"/>
          <w:i/>
          <w:iCs/>
        </w:rPr>
        <w:t xml:space="preserve">BRCA </w:t>
      </w:r>
      <w:r w:rsidRPr="00F22309">
        <w:t>mutations in the early breast cancer setting,</w:t>
      </w:r>
      <w:r w:rsidR="004B2E74">
        <w:t xml:space="preserve"> </w:t>
      </w:r>
      <w:r w:rsidRPr="00F22309">
        <w:t>this approach was the most feasible option at the time of study start.</w:t>
      </w:r>
    </w:p>
    <w:p w14:paraId="0F4C1CDF" w14:textId="09EB4D08" w:rsidR="00EA0ACE" w:rsidRPr="004B2E74" w:rsidRDefault="00B43430" w:rsidP="00FD24E8">
      <w:pPr>
        <w:pStyle w:val="DelegatesQuestions"/>
        <w:numPr>
          <w:ilvl w:val="0"/>
          <w:numId w:val="0"/>
        </w:numPr>
        <w:rPr>
          <w:szCs w:val="22"/>
        </w:rPr>
      </w:pPr>
      <w:r w:rsidRPr="00EA0ACE">
        <w:t xml:space="preserve">There is currently no direct data to support a survival benefit with adjuvant </w:t>
      </w:r>
      <w:r w:rsidR="00EA0ACE">
        <w:t>Olaparib</w:t>
      </w:r>
      <w:r w:rsidR="00FD24E8">
        <w:t xml:space="preserve"> </w:t>
      </w:r>
      <w:r w:rsidRPr="00EA0ACE">
        <w:t xml:space="preserve">treatment for </w:t>
      </w:r>
      <w:r w:rsidRPr="00EA0ACE">
        <w:rPr>
          <w:rFonts w:ascii="TimesNewRoman,BoldItalic" w:hAnsi="TimesNewRoman,BoldItalic" w:cs="TimesNewRoman,BoldItalic"/>
        </w:rPr>
        <w:t xml:space="preserve">sBRCAm </w:t>
      </w:r>
      <w:r w:rsidRPr="00EA0ACE">
        <w:t>EBC. No specific studies are planned to obtain such.</w:t>
      </w:r>
      <w:r w:rsidR="00FD24E8">
        <w:t xml:space="preserve"> </w:t>
      </w:r>
      <w:r w:rsidRPr="004B2E74">
        <w:rPr>
          <w:szCs w:val="22"/>
        </w:rPr>
        <w:t xml:space="preserve">Could the </w:t>
      </w:r>
      <w:r w:rsidR="00CD546E" w:rsidRPr="004B2E74">
        <w:rPr>
          <w:szCs w:val="22"/>
        </w:rPr>
        <w:t>sponsor</w:t>
      </w:r>
      <w:r w:rsidRPr="004B2E74">
        <w:rPr>
          <w:szCs w:val="22"/>
        </w:rPr>
        <w:t xml:space="preserve"> please provide:</w:t>
      </w:r>
    </w:p>
    <w:p w14:paraId="728EB4FE" w14:textId="6B82BD31" w:rsidR="00B43430" w:rsidRPr="004B2E74" w:rsidRDefault="00B43430" w:rsidP="00EA0ACE">
      <w:pPr>
        <w:pStyle w:val="Numberbullet2"/>
        <w:rPr>
          <w:rFonts w:cs="TimesNewRoman,Bold"/>
          <w:b/>
          <w:bCs/>
          <w:i/>
          <w:iCs/>
          <w:szCs w:val="22"/>
        </w:rPr>
      </w:pPr>
      <w:r w:rsidRPr="004B2E74">
        <w:rPr>
          <w:b/>
          <w:bCs/>
          <w:i/>
          <w:iCs/>
          <w:szCs w:val="22"/>
        </w:rPr>
        <w:t>A summary of what further data they expect will be available in future from</w:t>
      </w:r>
      <w:r w:rsidR="00EA0ACE" w:rsidRPr="004B2E74">
        <w:rPr>
          <w:b/>
          <w:bCs/>
          <w:i/>
          <w:iCs/>
          <w:szCs w:val="22"/>
        </w:rPr>
        <w:t xml:space="preserve"> </w:t>
      </w:r>
      <w:r w:rsidRPr="004B2E74">
        <w:rPr>
          <w:rFonts w:cs="TimesNewRoman,Bold"/>
          <w:b/>
          <w:bCs/>
          <w:i/>
          <w:iCs/>
          <w:szCs w:val="22"/>
        </w:rPr>
        <w:t xml:space="preserve">studies of PARP inhibitors in </w:t>
      </w:r>
      <w:r w:rsidRPr="004B2E74">
        <w:rPr>
          <w:rFonts w:cs="TimesNewRoman,BoldItalic"/>
          <w:b/>
          <w:bCs/>
          <w:i/>
          <w:iCs/>
          <w:szCs w:val="22"/>
        </w:rPr>
        <w:t xml:space="preserve">sBRCAm </w:t>
      </w:r>
      <w:r w:rsidRPr="004B2E74">
        <w:rPr>
          <w:rFonts w:cs="TimesNewRoman,Bold"/>
          <w:b/>
          <w:bCs/>
          <w:i/>
          <w:iCs/>
          <w:szCs w:val="22"/>
        </w:rPr>
        <w:t>metastatic breast cancer.</w:t>
      </w:r>
    </w:p>
    <w:p w14:paraId="7797E6DC" w14:textId="04C10090" w:rsidR="00B43430" w:rsidRDefault="00843874" w:rsidP="00DE7C6A">
      <w:pPr>
        <w:spacing w:line="240" w:lineRule="auto"/>
        <w:rPr>
          <w:color w:val="0000FF"/>
        </w:rPr>
      </w:pPr>
      <w:r>
        <w:t>The sponsor confirmed that</w:t>
      </w:r>
      <w:r w:rsidR="00B43430" w:rsidRPr="00B43430">
        <w:t xml:space="preserve"> there are no ongoing adjuvant studies with olaparib for </w:t>
      </w:r>
      <w:r w:rsidR="00B43430" w:rsidRPr="00B43430">
        <w:rPr>
          <w:rFonts w:eastAsia="TimesNewRoman,Italic" w:cs="TimesNewRoman,Italic"/>
          <w:i/>
          <w:iCs/>
        </w:rPr>
        <w:t>sBRCAm</w:t>
      </w:r>
      <w:r w:rsidR="004B2E74">
        <w:rPr>
          <w:rFonts w:eastAsia="TimesNewRoman,Italic" w:cs="TimesNewRoman,Italic"/>
          <w:i/>
          <w:iCs/>
        </w:rPr>
        <w:t xml:space="preserve"> </w:t>
      </w:r>
      <w:r w:rsidR="00B43430" w:rsidRPr="00B43430">
        <w:t xml:space="preserve">breast cancer patients. Somatic </w:t>
      </w:r>
      <w:r w:rsidR="00B43430" w:rsidRPr="00B43430">
        <w:rPr>
          <w:rFonts w:eastAsia="TimesNewRoman,Italic" w:cs="TimesNewRoman,Italic"/>
          <w:i/>
          <w:iCs/>
        </w:rPr>
        <w:t xml:space="preserve">BRCA </w:t>
      </w:r>
      <w:r w:rsidR="00B43430" w:rsidRPr="00B43430">
        <w:t>mutations are relatively rare at around 2% to 3% of</w:t>
      </w:r>
      <w:r w:rsidR="004B2E74">
        <w:t xml:space="preserve"> </w:t>
      </w:r>
      <w:r w:rsidR="00B43430" w:rsidRPr="00B43430">
        <w:t>breast cancers; therefore, it is challenging to recruit these patients to clinical studies. Somatic</w:t>
      </w:r>
      <w:r w:rsidR="004B2E74">
        <w:t xml:space="preserve"> </w:t>
      </w:r>
      <w:r w:rsidR="00B43430" w:rsidRPr="00B43430">
        <w:rPr>
          <w:rFonts w:eastAsia="TimesNewRoman,Italic" w:cs="TimesNewRoman,Italic"/>
          <w:i/>
          <w:iCs/>
        </w:rPr>
        <w:t xml:space="preserve">BRCA </w:t>
      </w:r>
      <w:r w:rsidR="00B43430" w:rsidRPr="00B43430">
        <w:t xml:space="preserve">patients are included in several studies as part of selection for </w:t>
      </w:r>
      <w:r w:rsidR="00FD24E8" w:rsidRPr="00B43430">
        <w:t>tumour</w:t>
      </w:r>
      <w:r w:rsidR="00B43430" w:rsidRPr="00B43430">
        <w:t xml:space="preserve"> </w:t>
      </w:r>
      <w:r w:rsidR="00B43430" w:rsidRPr="00B43430">
        <w:rPr>
          <w:rFonts w:eastAsia="TimesNewRoman,Italic" w:cs="TimesNewRoman,Italic"/>
          <w:i/>
          <w:iCs/>
        </w:rPr>
        <w:t xml:space="preserve">BRCA </w:t>
      </w:r>
      <w:r w:rsidR="00B43430" w:rsidRPr="00B43430">
        <w:t>mutations,</w:t>
      </w:r>
      <w:r w:rsidR="004B2E74">
        <w:t xml:space="preserve"> </w:t>
      </w:r>
      <w:r w:rsidR="00B43430" w:rsidRPr="00B43430">
        <w:t xml:space="preserve">with 2 olaparib studies (TBCRC 048 and LYNK-002) recruiting </w:t>
      </w:r>
      <w:r w:rsidR="00B43430" w:rsidRPr="00B43430">
        <w:rPr>
          <w:rFonts w:eastAsia="TimesNewRoman,Italic" w:cs="TimesNewRoman,Italic"/>
          <w:i/>
          <w:iCs/>
        </w:rPr>
        <w:t xml:space="preserve">sBRCAm </w:t>
      </w:r>
      <w:r w:rsidR="00B43430" w:rsidRPr="00B43430">
        <w:t>breast cancer</w:t>
      </w:r>
      <w:r w:rsidR="004B2E74">
        <w:t xml:space="preserve"> </w:t>
      </w:r>
      <w:r w:rsidR="00B43430" w:rsidRPr="00B43430">
        <w:t xml:space="preserve">patients. </w:t>
      </w:r>
      <w:r w:rsidR="00FD24E8">
        <w:t>T</w:t>
      </w:r>
      <w:r w:rsidR="00B43430" w:rsidRPr="00B43430">
        <w:t>he expected</w:t>
      </w:r>
      <w:r w:rsidR="004A675C">
        <w:t xml:space="preserve"> </w:t>
      </w:r>
      <w:r w:rsidR="00B43430" w:rsidRPr="00B43430">
        <w:t xml:space="preserve">future data in the metastatic </w:t>
      </w:r>
      <w:r w:rsidR="004B2E74">
        <w:t>s</w:t>
      </w:r>
      <w:r w:rsidR="00B43430" w:rsidRPr="00B43430">
        <w:t>etting is limited to the studies summari</w:t>
      </w:r>
      <w:r w:rsidR="004B2E74">
        <w:t>s</w:t>
      </w:r>
      <w:r w:rsidR="00B43430" w:rsidRPr="00B43430">
        <w:t>ed in</w:t>
      </w:r>
      <w:r w:rsidR="004A675C">
        <w:rPr>
          <w:color w:val="0000FF"/>
        </w:rPr>
        <w:t xml:space="preserve"> </w:t>
      </w:r>
      <w:r w:rsidR="00677BF2">
        <w:rPr>
          <w:color w:val="0000FF"/>
        </w:rPr>
        <w:fldChar w:fldCharType="begin"/>
      </w:r>
      <w:r w:rsidR="00677BF2">
        <w:rPr>
          <w:color w:val="0000FF"/>
        </w:rPr>
        <w:instrText xml:space="preserve"> REF _Ref163571636 \h </w:instrText>
      </w:r>
      <w:r w:rsidR="00677BF2">
        <w:rPr>
          <w:color w:val="0000FF"/>
        </w:rPr>
      </w:r>
      <w:r w:rsidR="00677BF2">
        <w:rPr>
          <w:color w:val="0000FF"/>
        </w:rPr>
        <w:fldChar w:fldCharType="separate"/>
      </w:r>
      <w:r w:rsidR="00DC0818">
        <w:t xml:space="preserve">Table </w:t>
      </w:r>
      <w:r w:rsidR="00DC0818">
        <w:rPr>
          <w:noProof/>
        </w:rPr>
        <w:t>20</w:t>
      </w:r>
      <w:r w:rsidR="00677BF2">
        <w:rPr>
          <w:color w:val="0000FF"/>
        </w:rPr>
        <w:fldChar w:fldCharType="end"/>
      </w:r>
      <w:r w:rsidR="00B43430" w:rsidRPr="00B43430">
        <w:rPr>
          <w:color w:val="0000FF"/>
        </w:rPr>
        <w:t>.</w:t>
      </w:r>
    </w:p>
    <w:p w14:paraId="64A376EB" w14:textId="5310936B" w:rsidR="00011EBB" w:rsidRDefault="00011EBB" w:rsidP="004B2E74">
      <w:pPr>
        <w:pStyle w:val="TableTitle"/>
      </w:pPr>
      <w:bookmarkStart w:id="118" w:name="_Ref163571636"/>
      <w:r>
        <w:lastRenderedPageBreak/>
        <w:t xml:space="preserve">Table </w:t>
      </w:r>
      <w:r>
        <w:fldChar w:fldCharType="begin"/>
      </w:r>
      <w:r>
        <w:instrText xml:space="preserve"> SEQ Table \* ARABIC </w:instrText>
      </w:r>
      <w:r>
        <w:fldChar w:fldCharType="separate"/>
      </w:r>
      <w:r w:rsidR="00E042C2">
        <w:rPr>
          <w:noProof/>
        </w:rPr>
        <w:t>20</w:t>
      </w:r>
      <w:r>
        <w:rPr>
          <w:noProof/>
        </w:rPr>
        <w:fldChar w:fldCharType="end"/>
      </w:r>
      <w:bookmarkEnd w:id="118"/>
      <w:r>
        <w:t xml:space="preserve"> Ongoing PARP Inhibitor Studies including sBRCA Mutated Breast Cancer</w:t>
      </w:r>
    </w:p>
    <w:p w14:paraId="01D5134F" w14:textId="15C4C396" w:rsidR="00011EBB" w:rsidRDefault="006D5289" w:rsidP="00B43430">
      <w:pPr>
        <w:rPr>
          <w:rFonts w:ascii="TimesNewRoman,Bold" w:hAnsi="TimesNewRoman,Bold" w:cs="TimesNewRoman,Bold"/>
          <w:b/>
          <w:bCs/>
          <w:sz w:val="24"/>
          <w:szCs w:val="24"/>
        </w:rPr>
      </w:pPr>
      <w:r w:rsidRPr="006D5289">
        <w:rPr>
          <w:noProof/>
          <w:color w:val="0000FF"/>
        </w:rPr>
        <w:drawing>
          <wp:inline distT="0" distB="0" distL="0" distR="0" wp14:anchorId="02AEDAA3" wp14:editId="25727AC8">
            <wp:extent cx="5759450" cy="2544445"/>
            <wp:effectExtent l="0" t="0" r="0" b="8255"/>
            <wp:docPr id="19" name="Picture 19" descr="Ongoing PARP Inhibitor Studies including sBRCA Mutated Breas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ngoing PARP Inhibitor Studies including sBRCA Mutated Breast Cancer"/>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5759450" cy="2544445"/>
                    </a:xfrm>
                    <a:prstGeom prst="rect">
                      <a:avLst/>
                    </a:prstGeom>
                  </pic:spPr>
                </pic:pic>
              </a:graphicData>
            </a:graphic>
          </wp:inline>
        </w:drawing>
      </w:r>
      <w:r w:rsidRPr="006D5289">
        <w:rPr>
          <w:rFonts w:ascii="TimesNewRoman,Bold" w:hAnsi="TimesNewRoman,Bold" w:cs="TimesNewRoman,Bold"/>
          <w:b/>
          <w:bCs/>
          <w:noProof/>
          <w:sz w:val="24"/>
          <w:szCs w:val="24"/>
        </w:rPr>
        <w:drawing>
          <wp:inline distT="0" distB="0" distL="0" distR="0" wp14:anchorId="347FF165" wp14:editId="3167DB45">
            <wp:extent cx="5759450" cy="3046730"/>
            <wp:effectExtent l="0" t="0" r="0" b="1270"/>
            <wp:docPr id="22" name="Picture 22" descr="Ongoing PARP Inhibitor Studies including sBRCA Mutated Breas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ngoing PARP Inhibitor Studies including sBRCA Mutated Breast Cancer"/>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5759450" cy="3046730"/>
                    </a:xfrm>
                    <a:prstGeom prst="rect">
                      <a:avLst/>
                    </a:prstGeom>
                  </pic:spPr>
                </pic:pic>
              </a:graphicData>
            </a:graphic>
          </wp:inline>
        </w:drawing>
      </w:r>
      <w:r w:rsidR="00011EBB" w:rsidRPr="00011EBB">
        <w:rPr>
          <w:rFonts w:ascii="TimesNewRoman,Bold" w:hAnsi="TimesNewRoman,Bold" w:cs="TimesNewRoman,Bold"/>
          <w:b/>
          <w:bCs/>
          <w:noProof/>
          <w:sz w:val="24"/>
          <w:szCs w:val="24"/>
        </w:rPr>
        <w:drawing>
          <wp:inline distT="0" distB="0" distL="0" distR="0" wp14:anchorId="21221B23" wp14:editId="18F6CD89">
            <wp:extent cx="5759450" cy="2671445"/>
            <wp:effectExtent l="0" t="0" r="0" b="0"/>
            <wp:docPr id="24" name="Picture 24" descr="Ongoing PARP Inhibitor Studies including sBRCA Mutated Breas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ngoing PARP Inhibitor Studies including sBRCA Mutated Breast Cancer"/>
                    <pic:cNvPicPr/>
                  </pic:nvPicPr>
                  <pic:blipFill>
                    <a:blip r:embed="rId54"/>
                    <a:stretch>
                      <a:fillRect/>
                    </a:stretch>
                  </pic:blipFill>
                  <pic:spPr>
                    <a:xfrm>
                      <a:off x="0" y="0"/>
                      <a:ext cx="5759450" cy="2671445"/>
                    </a:xfrm>
                    <a:prstGeom prst="rect">
                      <a:avLst/>
                    </a:prstGeom>
                  </pic:spPr>
                </pic:pic>
              </a:graphicData>
            </a:graphic>
          </wp:inline>
        </w:drawing>
      </w:r>
    </w:p>
    <w:p w14:paraId="54954EEF" w14:textId="3C3CBB49" w:rsidR="00B43430" w:rsidRPr="00583A23" w:rsidRDefault="004B2E74" w:rsidP="004B2E74">
      <w:pPr>
        <w:pStyle w:val="Numberbullet2"/>
        <w:rPr>
          <w:b/>
          <w:bCs/>
          <w:i/>
          <w:iCs/>
        </w:rPr>
      </w:pPr>
      <w:r w:rsidRPr="004B2E74">
        <w:rPr>
          <w:b/>
          <w:bCs/>
          <w:i/>
          <w:iCs/>
        </w:rPr>
        <w:t xml:space="preserve"> </w:t>
      </w:r>
      <w:r w:rsidR="00B43430" w:rsidRPr="00583A23">
        <w:rPr>
          <w:b/>
          <w:bCs/>
          <w:i/>
          <w:iCs/>
        </w:rPr>
        <w:t>How the expected data from the metastatic setting might inform adjuvant usage.</w:t>
      </w:r>
    </w:p>
    <w:p w14:paraId="5A742BEB" w14:textId="77777777" w:rsidR="0060141B" w:rsidRPr="00BE3DE1" w:rsidRDefault="0060141B" w:rsidP="0060141B">
      <w:pPr>
        <w:autoSpaceDE w:val="0"/>
        <w:autoSpaceDN w:val="0"/>
        <w:adjustRightInd w:val="0"/>
        <w:spacing w:after="0" w:line="240" w:lineRule="auto"/>
        <w:rPr>
          <w:rFonts w:eastAsia="TimesNewRoman" w:cs="TimesNewRoman"/>
          <w:color w:val="000000"/>
          <w:szCs w:val="22"/>
        </w:rPr>
      </w:pPr>
      <w:r w:rsidRPr="00BE3DE1">
        <w:rPr>
          <w:rFonts w:eastAsia="TimesNewRoman" w:cs="TimesNewRoman"/>
          <w:color w:val="000000"/>
          <w:szCs w:val="22"/>
        </w:rPr>
        <w:t>Data from both the OlympiA (adjuvant setting) and OlympiAD (metastatic setting) studies</w:t>
      </w:r>
    </w:p>
    <w:p w14:paraId="35C5B2C2" w14:textId="77777777" w:rsidR="0060141B" w:rsidRPr="00BE3DE1" w:rsidRDefault="0060141B" w:rsidP="0060141B">
      <w:pPr>
        <w:autoSpaceDE w:val="0"/>
        <w:autoSpaceDN w:val="0"/>
        <w:adjustRightInd w:val="0"/>
        <w:spacing w:after="0" w:line="240" w:lineRule="auto"/>
        <w:rPr>
          <w:rFonts w:eastAsia="TimesNewRoman" w:cs="TimesNewRoman"/>
          <w:color w:val="000000"/>
          <w:szCs w:val="22"/>
        </w:rPr>
      </w:pPr>
      <w:r w:rsidRPr="00BE3DE1">
        <w:rPr>
          <w:rFonts w:eastAsia="TimesNewRoman" w:cs="TimesNewRoman"/>
          <w:color w:val="000000"/>
          <w:szCs w:val="22"/>
        </w:rPr>
        <w:lastRenderedPageBreak/>
        <w:t xml:space="preserve">support that </w:t>
      </w:r>
      <w:r w:rsidRPr="00BE3DE1">
        <w:rPr>
          <w:rFonts w:eastAsia="TimesNewRoman,Italic" w:cs="TimesNewRoman,Italic"/>
          <w:i/>
          <w:iCs/>
          <w:color w:val="000000"/>
          <w:szCs w:val="22"/>
        </w:rPr>
        <w:t xml:space="preserve">BRCA </w:t>
      </w:r>
      <w:r w:rsidRPr="00BE3DE1">
        <w:rPr>
          <w:rFonts w:eastAsia="TimesNewRoman" w:cs="TimesNewRoman"/>
          <w:color w:val="000000"/>
          <w:szCs w:val="22"/>
        </w:rPr>
        <w:t>mutations are the main driver for treatment benefit from olaparib/PARP</w:t>
      </w:r>
    </w:p>
    <w:p w14:paraId="7C6794E3" w14:textId="77777777" w:rsidR="0060141B" w:rsidRPr="00BE3DE1" w:rsidRDefault="0060141B" w:rsidP="0060141B">
      <w:pPr>
        <w:autoSpaceDE w:val="0"/>
        <w:autoSpaceDN w:val="0"/>
        <w:adjustRightInd w:val="0"/>
        <w:spacing w:after="0" w:line="240" w:lineRule="auto"/>
        <w:rPr>
          <w:rFonts w:eastAsia="TimesNewRoman" w:cs="TimesNewRoman"/>
          <w:color w:val="000000"/>
          <w:szCs w:val="22"/>
        </w:rPr>
      </w:pPr>
      <w:r w:rsidRPr="00BE3DE1">
        <w:rPr>
          <w:rFonts w:eastAsia="TimesNewRoman" w:cs="TimesNewRoman"/>
          <w:color w:val="000000"/>
          <w:szCs w:val="22"/>
        </w:rPr>
        <w:t>inhibitors in breast cancer patients regardless of hormone receptor status or treatment setting.</w:t>
      </w:r>
    </w:p>
    <w:p w14:paraId="2CC7D58E" w14:textId="77777777" w:rsidR="0060141B" w:rsidRPr="00BE3DE1" w:rsidRDefault="0060141B" w:rsidP="0060141B">
      <w:pPr>
        <w:autoSpaceDE w:val="0"/>
        <w:autoSpaceDN w:val="0"/>
        <w:adjustRightInd w:val="0"/>
        <w:spacing w:after="0" w:line="240" w:lineRule="auto"/>
        <w:rPr>
          <w:rFonts w:eastAsia="TimesNewRoman,Italic" w:cs="TimesNewRoman,Italic"/>
          <w:i/>
          <w:iCs/>
          <w:color w:val="000000"/>
          <w:szCs w:val="22"/>
        </w:rPr>
      </w:pPr>
      <w:r w:rsidRPr="00BE3DE1">
        <w:rPr>
          <w:rFonts w:eastAsia="TimesNewRoman" w:cs="TimesNewRoman"/>
          <w:color w:val="000000"/>
          <w:szCs w:val="22"/>
        </w:rPr>
        <w:t xml:space="preserve">In the metastatic setting, the OlympiAD data show that olaparib treatment in </w:t>
      </w:r>
      <w:r w:rsidRPr="00BE3DE1">
        <w:rPr>
          <w:rFonts w:eastAsia="TimesNewRoman,Italic" w:cs="TimesNewRoman,Italic"/>
          <w:i/>
          <w:iCs/>
          <w:color w:val="000000"/>
          <w:szCs w:val="22"/>
        </w:rPr>
        <w:t>gBRCAm</w:t>
      </w:r>
    </w:p>
    <w:p w14:paraId="095883A1" w14:textId="77777777" w:rsidR="0060141B" w:rsidRPr="00BE3DE1" w:rsidRDefault="0060141B" w:rsidP="0060141B">
      <w:pPr>
        <w:autoSpaceDE w:val="0"/>
        <w:autoSpaceDN w:val="0"/>
        <w:adjustRightInd w:val="0"/>
        <w:spacing w:after="0" w:line="240" w:lineRule="auto"/>
        <w:rPr>
          <w:rFonts w:eastAsia="TimesNewRoman" w:cs="TimesNewRoman"/>
          <w:color w:val="000000"/>
          <w:szCs w:val="22"/>
        </w:rPr>
      </w:pPr>
      <w:r w:rsidRPr="00BE3DE1">
        <w:rPr>
          <w:rFonts w:eastAsia="TimesNewRoman" w:cs="TimesNewRoman"/>
          <w:color w:val="000000"/>
          <w:szCs w:val="22"/>
        </w:rPr>
        <w:t>patients provides a significant benefit over standard chemotherapy and led to the approval of</w:t>
      </w:r>
    </w:p>
    <w:p w14:paraId="23BE5F34" w14:textId="77777777" w:rsidR="0060141B" w:rsidRPr="00BE3DE1" w:rsidRDefault="0060141B" w:rsidP="0060141B">
      <w:pPr>
        <w:autoSpaceDE w:val="0"/>
        <w:autoSpaceDN w:val="0"/>
        <w:adjustRightInd w:val="0"/>
        <w:spacing w:after="0" w:line="240" w:lineRule="auto"/>
        <w:rPr>
          <w:rFonts w:eastAsia="TimesNewRoman" w:cs="TimesNewRoman"/>
          <w:color w:val="000000"/>
          <w:szCs w:val="22"/>
        </w:rPr>
      </w:pPr>
      <w:r w:rsidRPr="00BE3DE1">
        <w:rPr>
          <w:rFonts w:eastAsia="TimesNewRoman" w:cs="TimesNewRoman"/>
          <w:color w:val="000000"/>
          <w:szCs w:val="22"/>
        </w:rPr>
        <w:t xml:space="preserve">olaparib in Australia for the treatment of </w:t>
      </w:r>
      <w:r w:rsidRPr="00BE3DE1">
        <w:rPr>
          <w:rFonts w:eastAsia="TimesNewRoman,Italic" w:cs="TimesNewRoman,Italic"/>
          <w:i/>
          <w:iCs/>
          <w:color w:val="000000"/>
          <w:szCs w:val="22"/>
        </w:rPr>
        <w:t xml:space="preserve">gBRCAm </w:t>
      </w:r>
      <w:r w:rsidRPr="00BE3DE1">
        <w:rPr>
          <w:rFonts w:eastAsia="TimesNewRoman" w:cs="TimesNewRoman"/>
          <w:color w:val="000000"/>
          <w:szCs w:val="22"/>
        </w:rPr>
        <w:t>patients who have HER2-negative,</w:t>
      </w:r>
    </w:p>
    <w:p w14:paraId="4F60373B" w14:textId="74638FAB" w:rsidR="0060141B" w:rsidRPr="00BE3DE1" w:rsidRDefault="0060141B" w:rsidP="0060141B">
      <w:pPr>
        <w:autoSpaceDE w:val="0"/>
        <w:autoSpaceDN w:val="0"/>
        <w:adjustRightInd w:val="0"/>
        <w:spacing w:after="0" w:line="240" w:lineRule="auto"/>
        <w:rPr>
          <w:rFonts w:eastAsia="TimesNewRoman" w:cs="TimesNewRoman"/>
          <w:color w:val="000000"/>
          <w:szCs w:val="22"/>
        </w:rPr>
      </w:pPr>
      <w:r w:rsidRPr="00BE3DE1">
        <w:rPr>
          <w:rFonts w:eastAsia="TimesNewRoman" w:cs="TimesNewRoman"/>
          <w:color w:val="000000"/>
          <w:szCs w:val="22"/>
        </w:rPr>
        <w:t>metastatic breast cancer</w:t>
      </w:r>
      <w:r w:rsidR="002C5219" w:rsidRPr="00BE3DE1">
        <w:rPr>
          <w:rStyle w:val="FootnoteReference"/>
          <w:rFonts w:eastAsia="TimesNewRoman" w:cs="TimesNewRoman"/>
          <w:color w:val="000000"/>
          <w:szCs w:val="22"/>
        </w:rPr>
        <w:footnoteReference w:id="47"/>
      </w:r>
      <w:r w:rsidR="002C5219" w:rsidRPr="00BE3DE1">
        <w:rPr>
          <w:rFonts w:eastAsia="TimesNewRoman" w:cs="TimesNewRoman"/>
          <w:color w:val="000000"/>
          <w:szCs w:val="22"/>
        </w:rPr>
        <w:t xml:space="preserve">. </w:t>
      </w:r>
      <w:r w:rsidRPr="00BE3DE1">
        <w:rPr>
          <w:rFonts w:eastAsia="TimesNewRoman" w:cs="TimesNewRoman"/>
          <w:color w:val="000000"/>
          <w:szCs w:val="22"/>
        </w:rPr>
        <w:t>In the adjuvant setting, the OlympiA data</w:t>
      </w:r>
      <w:r w:rsidR="002C5219" w:rsidRPr="00BE3DE1">
        <w:rPr>
          <w:rFonts w:eastAsia="TimesNewRoman" w:cs="TimesNewRoman"/>
          <w:color w:val="000000"/>
          <w:szCs w:val="22"/>
        </w:rPr>
        <w:t xml:space="preserve"> </w:t>
      </w:r>
      <w:r w:rsidRPr="00BE3DE1">
        <w:rPr>
          <w:rFonts w:eastAsia="TimesNewRoman" w:cs="TimesNewRoman"/>
          <w:color w:val="000000"/>
          <w:szCs w:val="22"/>
        </w:rPr>
        <w:t>provide robust evidence of clinically meaningful and statistically significant treatment benefit</w:t>
      </w:r>
      <w:r w:rsidR="002C5219" w:rsidRPr="00BE3DE1">
        <w:rPr>
          <w:rFonts w:eastAsia="TimesNewRoman" w:cs="TimesNewRoman"/>
          <w:color w:val="000000"/>
          <w:szCs w:val="22"/>
        </w:rPr>
        <w:t xml:space="preserve"> </w:t>
      </w:r>
      <w:r w:rsidRPr="00BE3DE1">
        <w:rPr>
          <w:rFonts w:eastAsia="TimesNewRoman" w:cs="TimesNewRoman"/>
          <w:color w:val="000000"/>
          <w:szCs w:val="22"/>
        </w:rPr>
        <w:t>from one year of adjuvant olaparib in a patient population where there is high unmet medical</w:t>
      </w:r>
      <w:r w:rsidR="002C5219" w:rsidRPr="00BE3DE1">
        <w:rPr>
          <w:rFonts w:eastAsia="TimesNewRoman" w:cs="TimesNewRoman"/>
          <w:color w:val="000000"/>
          <w:szCs w:val="22"/>
        </w:rPr>
        <w:t xml:space="preserve"> </w:t>
      </w:r>
      <w:r w:rsidRPr="00BE3DE1">
        <w:rPr>
          <w:rFonts w:eastAsia="TimesNewRoman" w:cs="TimesNewRoman"/>
          <w:color w:val="000000"/>
          <w:szCs w:val="22"/>
        </w:rPr>
        <w:t>need and limited adjuvant treatment options, meaningfully reducing the risk of invasive and</w:t>
      </w:r>
      <w:r w:rsidR="002C5219" w:rsidRPr="00BE3DE1">
        <w:rPr>
          <w:rFonts w:eastAsia="TimesNewRoman" w:cs="TimesNewRoman"/>
          <w:color w:val="000000"/>
          <w:szCs w:val="22"/>
        </w:rPr>
        <w:t xml:space="preserve"> </w:t>
      </w:r>
      <w:r w:rsidRPr="00BE3DE1">
        <w:rPr>
          <w:rFonts w:eastAsia="TimesNewRoman" w:cs="TimesNewRoman"/>
          <w:color w:val="000000"/>
          <w:szCs w:val="22"/>
        </w:rPr>
        <w:t>distant disease recurrence and death.</w:t>
      </w:r>
    </w:p>
    <w:p w14:paraId="3933BC02" w14:textId="77777777" w:rsidR="0060141B" w:rsidRPr="00BE3DE1" w:rsidRDefault="0060141B" w:rsidP="0060141B">
      <w:pPr>
        <w:autoSpaceDE w:val="0"/>
        <w:autoSpaceDN w:val="0"/>
        <w:adjustRightInd w:val="0"/>
        <w:spacing w:after="0" w:line="240" w:lineRule="auto"/>
        <w:rPr>
          <w:rFonts w:eastAsia="TimesNewRoman" w:cs="TimesNewRoman"/>
          <w:color w:val="000000"/>
          <w:szCs w:val="22"/>
        </w:rPr>
      </w:pPr>
      <w:r w:rsidRPr="00BE3DE1">
        <w:rPr>
          <w:rFonts w:eastAsia="TimesNewRoman" w:cs="TimesNewRoman"/>
          <w:color w:val="000000"/>
          <w:szCs w:val="22"/>
        </w:rPr>
        <w:t>There is currently no direct data to support a survival benefit with adjuvant olaparib treatment</w:t>
      </w:r>
    </w:p>
    <w:p w14:paraId="10C06FF2" w14:textId="77777777" w:rsidR="0060141B" w:rsidRPr="00BE3DE1" w:rsidRDefault="0060141B" w:rsidP="0060141B">
      <w:pPr>
        <w:autoSpaceDE w:val="0"/>
        <w:autoSpaceDN w:val="0"/>
        <w:adjustRightInd w:val="0"/>
        <w:spacing w:after="0" w:line="240" w:lineRule="auto"/>
        <w:rPr>
          <w:rFonts w:eastAsia="TimesNewRoman" w:cs="TimesNewRoman"/>
          <w:color w:val="000000"/>
          <w:szCs w:val="22"/>
        </w:rPr>
      </w:pPr>
      <w:r w:rsidRPr="00BE3DE1">
        <w:rPr>
          <w:rFonts w:eastAsia="TimesNewRoman" w:cs="TimesNewRoman"/>
          <w:color w:val="000000"/>
          <w:szCs w:val="22"/>
        </w:rPr>
        <w:t xml:space="preserve">for </w:t>
      </w:r>
      <w:r w:rsidRPr="00BE3DE1">
        <w:rPr>
          <w:rFonts w:eastAsia="TimesNewRoman,Italic" w:cs="TimesNewRoman,Italic"/>
          <w:i/>
          <w:iCs/>
          <w:color w:val="000000"/>
          <w:szCs w:val="22"/>
        </w:rPr>
        <w:t xml:space="preserve">sBRCAm </w:t>
      </w:r>
      <w:r w:rsidRPr="00BE3DE1">
        <w:rPr>
          <w:rFonts w:eastAsia="TimesNewRoman" w:cs="TimesNewRoman"/>
          <w:color w:val="000000"/>
          <w:szCs w:val="22"/>
        </w:rPr>
        <w:t>in early breast cancer. Data support high biallelic inactivation of both germline</w:t>
      </w:r>
    </w:p>
    <w:p w14:paraId="41935AE0" w14:textId="77777777" w:rsidR="0060141B" w:rsidRPr="00BE3DE1" w:rsidRDefault="0060141B" w:rsidP="0060141B">
      <w:pPr>
        <w:autoSpaceDE w:val="0"/>
        <w:autoSpaceDN w:val="0"/>
        <w:adjustRightInd w:val="0"/>
        <w:spacing w:after="0" w:line="240" w:lineRule="auto"/>
        <w:rPr>
          <w:rFonts w:eastAsia="TimesNewRoman" w:cs="TimesNewRoman"/>
          <w:color w:val="000000"/>
          <w:szCs w:val="22"/>
        </w:rPr>
      </w:pPr>
      <w:r w:rsidRPr="00BE3DE1">
        <w:rPr>
          <w:rFonts w:eastAsia="TimesNewRoman" w:cs="TimesNewRoman"/>
          <w:color w:val="000000"/>
          <w:szCs w:val="22"/>
        </w:rPr>
        <w:t xml:space="preserve">and somatic </w:t>
      </w:r>
      <w:r w:rsidRPr="00BE3DE1">
        <w:rPr>
          <w:rFonts w:eastAsia="TimesNewRoman,Italic" w:cs="TimesNewRoman,Italic"/>
          <w:i/>
          <w:iCs/>
          <w:color w:val="000000"/>
          <w:szCs w:val="22"/>
        </w:rPr>
        <w:t>BRCA1</w:t>
      </w:r>
      <w:r w:rsidRPr="00BE3DE1">
        <w:rPr>
          <w:rFonts w:eastAsia="TimesNewRoman" w:cs="TimesNewRoman"/>
          <w:color w:val="000000"/>
          <w:szCs w:val="22"/>
        </w:rPr>
        <w:t xml:space="preserve">/2 in early breast cancer, which suggest that somatic </w:t>
      </w:r>
      <w:r w:rsidRPr="00BE3DE1">
        <w:rPr>
          <w:rFonts w:eastAsia="TimesNewRoman,Italic" w:cs="TimesNewRoman,Italic"/>
          <w:i/>
          <w:iCs/>
          <w:color w:val="000000"/>
          <w:szCs w:val="22"/>
        </w:rPr>
        <w:t xml:space="preserve">BRCA </w:t>
      </w:r>
      <w:r w:rsidRPr="00BE3DE1">
        <w:rPr>
          <w:rFonts w:eastAsia="TimesNewRoman" w:cs="TimesNewRoman"/>
          <w:color w:val="000000"/>
          <w:szCs w:val="22"/>
        </w:rPr>
        <w:t>mutation is an</w:t>
      </w:r>
    </w:p>
    <w:p w14:paraId="4D12138C" w14:textId="77777777" w:rsidR="0060141B" w:rsidRPr="0060141B" w:rsidRDefault="0060141B" w:rsidP="0060141B">
      <w:pPr>
        <w:autoSpaceDE w:val="0"/>
        <w:autoSpaceDN w:val="0"/>
        <w:adjustRightInd w:val="0"/>
        <w:spacing w:after="0" w:line="240" w:lineRule="auto"/>
        <w:rPr>
          <w:rFonts w:eastAsia="TimesNewRoman" w:cs="TimesNewRoman"/>
          <w:color w:val="000000"/>
          <w:szCs w:val="22"/>
        </w:rPr>
      </w:pPr>
      <w:r w:rsidRPr="0060141B">
        <w:rPr>
          <w:rFonts w:eastAsia="TimesNewRoman" w:cs="TimesNewRoman"/>
          <w:color w:val="000000"/>
          <w:szCs w:val="22"/>
        </w:rPr>
        <w:t>early event in breast cancer tumorigenesis, in line with its driving role. High biallelic</w:t>
      </w:r>
    </w:p>
    <w:p w14:paraId="4984C956" w14:textId="77777777" w:rsidR="0060141B" w:rsidRPr="0060141B" w:rsidRDefault="0060141B" w:rsidP="0060141B">
      <w:pPr>
        <w:autoSpaceDE w:val="0"/>
        <w:autoSpaceDN w:val="0"/>
        <w:adjustRightInd w:val="0"/>
        <w:spacing w:after="0" w:line="240" w:lineRule="auto"/>
        <w:rPr>
          <w:rFonts w:eastAsia="TimesNewRoman" w:cs="TimesNewRoman"/>
          <w:color w:val="000000"/>
          <w:szCs w:val="22"/>
        </w:rPr>
      </w:pPr>
      <w:r w:rsidRPr="0060141B">
        <w:rPr>
          <w:rFonts w:eastAsia="TimesNewRoman" w:cs="TimesNewRoman"/>
          <w:color w:val="000000"/>
          <w:szCs w:val="22"/>
        </w:rPr>
        <w:t xml:space="preserve">inactivation of </w:t>
      </w:r>
      <w:r w:rsidRPr="0060141B">
        <w:rPr>
          <w:rFonts w:eastAsia="TimesNewRoman,Italic" w:cs="TimesNewRoman,Italic"/>
          <w:i/>
          <w:iCs/>
          <w:color w:val="000000"/>
          <w:szCs w:val="22"/>
        </w:rPr>
        <w:t xml:space="preserve">BRCA </w:t>
      </w:r>
      <w:r w:rsidRPr="0060141B">
        <w:rPr>
          <w:rFonts w:eastAsia="TimesNewRoman" w:cs="TimesNewRoman"/>
          <w:color w:val="000000"/>
          <w:szCs w:val="22"/>
        </w:rPr>
        <w:t>genes suggests that they are inactivated regardless of germline or</w:t>
      </w:r>
    </w:p>
    <w:p w14:paraId="062CBC2A" w14:textId="77777777" w:rsidR="0060141B" w:rsidRPr="0060141B" w:rsidRDefault="0060141B" w:rsidP="0060141B">
      <w:pPr>
        <w:autoSpaceDE w:val="0"/>
        <w:autoSpaceDN w:val="0"/>
        <w:adjustRightInd w:val="0"/>
        <w:spacing w:after="0" w:line="240" w:lineRule="auto"/>
        <w:rPr>
          <w:rFonts w:eastAsia="TimesNewRoman" w:cs="TimesNewRoman"/>
          <w:color w:val="000000"/>
          <w:szCs w:val="22"/>
        </w:rPr>
      </w:pPr>
      <w:r w:rsidRPr="0060141B">
        <w:rPr>
          <w:rFonts w:eastAsia="TimesNewRoman" w:cs="TimesNewRoman"/>
          <w:color w:val="000000"/>
          <w:szCs w:val="22"/>
        </w:rPr>
        <w:t xml:space="preserve">somatic origin of </w:t>
      </w:r>
      <w:r w:rsidRPr="0060141B">
        <w:rPr>
          <w:rFonts w:eastAsia="TimesNewRoman,Italic" w:cs="TimesNewRoman,Italic"/>
          <w:i/>
          <w:iCs/>
          <w:color w:val="000000"/>
          <w:szCs w:val="22"/>
        </w:rPr>
        <w:t xml:space="preserve">BRCAm </w:t>
      </w:r>
      <w:r w:rsidRPr="0060141B">
        <w:rPr>
          <w:rFonts w:eastAsia="TimesNewRoman" w:cs="TimesNewRoman"/>
          <w:color w:val="000000"/>
          <w:szCs w:val="22"/>
        </w:rPr>
        <w:t>in both early and metastatic breast cancer samples, and would</w:t>
      </w:r>
    </w:p>
    <w:p w14:paraId="7D3B5B84" w14:textId="77777777" w:rsidR="0060141B" w:rsidRPr="0060141B" w:rsidRDefault="0060141B" w:rsidP="0060141B">
      <w:pPr>
        <w:autoSpaceDE w:val="0"/>
        <w:autoSpaceDN w:val="0"/>
        <w:adjustRightInd w:val="0"/>
        <w:spacing w:after="0" w:line="240" w:lineRule="auto"/>
        <w:rPr>
          <w:rFonts w:eastAsia="TimesNewRoman" w:cs="TimesNewRoman"/>
          <w:color w:val="000000"/>
          <w:szCs w:val="22"/>
        </w:rPr>
      </w:pPr>
      <w:proofErr w:type="gramStart"/>
      <w:r w:rsidRPr="0060141B">
        <w:rPr>
          <w:rFonts w:eastAsia="TimesNewRoman" w:cs="TimesNewRoman"/>
          <w:color w:val="000000"/>
          <w:szCs w:val="22"/>
        </w:rPr>
        <w:t>therefore</w:t>
      </w:r>
      <w:proofErr w:type="gramEnd"/>
      <w:r w:rsidRPr="0060141B">
        <w:rPr>
          <w:rFonts w:eastAsia="TimesNewRoman" w:cs="TimesNewRoman"/>
          <w:color w:val="000000"/>
          <w:szCs w:val="22"/>
        </w:rPr>
        <w:t xml:space="preserve"> be predicted to confer sensitivity to PARP inhibition similarly. Additional clinical</w:t>
      </w:r>
    </w:p>
    <w:p w14:paraId="5B6FAE24" w14:textId="5A03BAA2" w:rsidR="0060141B" w:rsidRPr="0060141B" w:rsidRDefault="0060141B" w:rsidP="0060141B">
      <w:pPr>
        <w:autoSpaceDE w:val="0"/>
        <w:autoSpaceDN w:val="0"/>
        <w:adjustRightInd w:val="0"/>
        <w:spacing w:after="0" w:line="240" w:lineRule="auto"/>
        <w:rPr>
          <w:rFonts w:eastAsia="TimesNewRoman,Italic" w:cs="TimesNewRoman,Italic"/>
          <w:i/>
          <w:iCs/>
          <w:color w:val="000000"/>
          <w:szCs w:val="22"/>
        </w:rPr>
      </w:pPr>
      <w:r w:rsidRPr="0060141B">
        <w:rPr>
          <w:rFonts w:eastAsia="TimesNewRoman" w:cs="TimesNewRoman"/>
          <w:color w:val="000000"/>
          <w:szCs w:val="22"/>
        </w:rPr>
        <w:t>evidence</w:t>
      </w:r>
      <w:r w:rsidR="002C5219">
        <w:rPr>
          <w:rFonts w:eastAsia="TimesNewRoman" w:cs="TimesNewRoman"/>
          <w:color w:val="000000"/>
          <w:szCs w:val="22"/>
        </w:rPr>
        <w:t xml:space="preserve">, </w:t>
      </w:r>
      <w:r w:rsidRPr="0060141B">
        <w:rPr>
          <w:rFonts w:eastAsia="TimesNewRoman" w:cs="TimesNewRoman"/>
          <w:color w:val="000000"/>
          <w:szCs w:val="22"/>
        </w:rPr>
        <w:t xml:space="preserve">along with a strong biological rationale, indicate that </w:t>
      </w:r>
      <w:r w:rsidR="00FD24E8" w:rsidRPr="0060141B">
        <w:rPr>
          <w:rFonts w:eastAsia="TimesNewRoman" w:cs="TimesNewRoman"/>
          <w:color w:val="000000"/>
          <w:szCs w:val="22"/>
        </w:rPr>
        <w:t>tumours</w:t>
      </w:r>
      <w:r w:rsidRPr="0060141B">
        <w:rPr>
          <w:rFonts w:eastAsia="TimesNewRoman" w:cs="TimesNewRoman"/>
          <w:color w:val="000000"/>
          <w:szCs w:val="22"/>
        </w:rPr>
        <w:t xml:space="preserve"> with somatic </w:t>
      </w:r>
      <w:r w:rsidRPr="0060141B">
        <w:rPr>
          <w:rFonts w:eastAsia="TimesNewRoman,Italic" w:cs="TimesNewRoman,Italic"/>
          <w:i/>
          <w:iCs/>
          <w:color w:val="000000"/>
          <w:szCs w:val="22"/>
        </w:rPr>
        <w:t>BRCA</w:t>
      </w:r>
    </w:p>
    <w:p w14:paraId="66787E6E" w14:textId="77777777" w:rsidR="0060141B" w:rsidRDefault="0060141B" w:rsidP="0060141B">
      <w:pPr>
        <w:autoSpaceDE w:val="0"/>
        <w:autoSpaceDN w:val="0"/>
        <w:adjustRightInd w:val="0"/>
        <w:spacing w:after="0" w:line="240" w:lineRule="auto"/>
        <w:rPr>
          <w:rFonts w:eastAsia="TimesNewRoman" w:cs="TimesNewRoman"/>
          <w:color w:val="000000"/>
          <w:szCs w:val="22"/>
        </w:rPr>
      </w:pPr>
      <w:r w:rsidRPr="0060141B">
        <w:rPr>
          <w:rFonts w:eastAsia="TimesNewRoman" w:cs="TimesNewRoman"/>
          <w:color w:val="000000"/>
          <w:szCs w:val="22"/>
        </w:rPr>
        <w:t>mutations are phenotypically indistinguishable from those of germline origin.</w:t>
      </w:r>
    </w:p>
    <w:p w14:paraId="41BD9DEF" w14:textId="77777777" w:rsidR="002C5219" w:rsidRPr="0060141B" w:rsidRDefault="002C5219" w:rsidP="0060141B">
      <w:pPr>
        <w:autoSpaceDE w:val="0"/>
        <w:autoSpaceDN w:val="0"/>
        <w:adjustRightInd w:val="0"/>
        <w:spacing w:after="0" w:line="240" w:lineRule="auto"/>
        <w:rPr>
          <w:rFonts w:eastAsia="TimesNewRoman" w:cs="TimesNewRoman"/>
          <w:color w:val="000000"/>
          <w:szCs w:val="22"/>
        </w:rPr>
      </w:pPr>
    </w:p>
    <w:p w14:paraId="39D434F3" w14:textId="6A3DDF36" w:rsidR="0060141B" w:rsidRDefault="00DC0818" w:rsidP="0060141B">
      <w:pPr>
        <w:autoSpaceDE w:val="0"/>
        <w:autoSpaceDN w:val="0"/>
        <w:adjustRightInd w:val="0"/>
        <w:spacing w:after="0" w:line="240" w:lineRule="auto"/>
        <w:rPr>
          <w:rFonts w:eastAsia="TimesNewRoman" w:cs="TimesNewRoman"/>
          <w:color w:val="000000"/>
          <w:szCs w:val="22"/>
        </w:rPr>
      </w:pPr>
      <w:r>
        <w:rPr>
          <w:rFonts w:eastAsia="TimesNewRoman" w:cs="TimesNewRoman"/>
          <w:color w:val="000000"/>
          <w:szCs w:val="22"/>
        </w:rPr>
        <w:t xml:space="preserve">Table 19 </w:t>
      </w:r>
      <w:r w:rsidR="0060141B" w:rsidRPr="0060141B">
        <w:rPr>
          <w:rFonts w:eastAsia="TimesNewRoman" w:cs="TimesNewRoman"/>
          <w:color w:val="000000"/>
          <w:szCs w:val="22"/>
        </w:rPr>
        <w:t>summarises efficacy data for olaparib and</w:t>
      </w:r>
      <w:r>
        <w:rPr>
          <w:rFonts w:eastAsia="TimesNewRoman" w:cs="TimesNewRoman"/>
          <w:color w:val="000000"/>
          <w:szCs w:val="22"/>
        </w:rPr>
        <w:t xml:space="preserve"> </w:t>
      </w:r>
      <w:r w:rsidR="0060141B" w:rsidRPr="0060141B">
        <w:rPr>
          <w:rFonts w:eastAsia="TimesNewRoman" w:cs="TimesNewRoman"/>
          <w:color w:val="000000"/>
          <w:szCs w:val="22"/>
        </w:rPr>
        <w:t xml:space="preserve">other PARP inhibitor treatments in </w:t>
      </w:r>
      <w:r w:rsidR="0060141B" w:rsidRPr="0060141B">
        <w:rPr>
          <w:rFonts w:eastAsia="TimesNewRoman,Italic" w:cs="TimesNewRoman,Italic"/>
          <w:i/>
          <w:iCs/>
          <w:color w:val="000000"/>
          <w:szCs w:val="22"/>
        </w:rPr>
        <w:t>gBRCAm</w:t>
      </w:r>
      <w:r w:rsidR="0060141B" w:rsidRPr="0060141B">
        <w:rPr>
          <w:rFonts w:eastAsia="TimesNewRoman" w:cs="TimesNewRoman"/>
          <w:color w:val="000000"/>
          <w:szCs w:val="22"/>
        </w:rPr>
        <w:t xml:space="preserve">, </w:t>
      </w:r>
      <w:r w:rsidR="00FD24E8" w:rsidRPr="0060141B">
        <w:rPr>
          <w:rFonts w:eastAsia="TimesNewRoman" w:cs="TimesNewRoman"/>
          <w:color w:val="000000"/>
          <w:szCs w:val="22"/>
        </w:rPr>
        <w:t>tumour</w:t>
      </w:r>
      <w:r w:rsidR="0060141B" w:rsidRPr="0060141B">
        <w:rPr>
          <w:rFonts w:eastAsia="TimesNewRoman" w:cs="TimesNewRoman"/>
          <w:color w:val="000000"/>
          <w:szCs w:val="22"/>
        </w:rPr>
        <w:t xml:space="preserve"> </w:t>
      </w:r>
      <w:r w:rsidR="0060141B" w:rsidRPr="0060141B">
        <w:rPr>
          <w:rFonts w:eastAsia="TimesNewRoman,Italic" w:cs="TimesNewRoman,Italic"/>
          <w:i/>
          <w:iCs/>
          <w:color w:val="000000"/>
          <w:szCs w:val="22"/>
        </w:rPr>
        <w:t xml:space="preserve">BRCAm </w:t>
      </w:r>
      <w:r w:rsidR="0060141B" w:rsidRPr="0060141B">
        <w:rPr>
          <w:rFonts w:eastAsia="TimesNewRoman" w:cs="TimesNewRoman"/>
          <w:color w:val="000000"/>
          <w:szCs w:val="22"/>
        </w:rPr>
        <w:t>(</w:t>
      </w:r>
      <w:r w:rsidR="0060141B" w:rsidRPr="0060141B">
        <w:rPr>
          <w:rFonts w:eastAsia="TimesNewRoman,Italic" w:cs="TimesNewRoman,Italic"/>
          <w:i/>
          <w:iCs/>
          <w:color w:val="000000"/>
          <w:szCs w:val="22"/>
        </w:rPr>
        <w:t>tBRCAm</w:t>
      </w:r>
      <w:r w:rsidR="0060141B" w:rsidRPr="0060141B">
        <w:rPr>
          <w:rFonts w:eastAsia="TimesNewRoman" w:cs="TimesNewRoman"/>
          <w:color w:val="000000"/>
          <w:szCs w:val="22"/>
        </w:rPr>
        <w:t xml:space="preserve">), and </w:t>
      </w:r>
      <w:r w:rsidR="0060141B" w:rsidRPr="0060141B">
        <w:rPr>
          <w:rFonts w:eastAsia="TimesNewRoman,Italic" w:cs="TimesNewRoman,Italic"/>
          <w:i/>
          <w:iCs/>
          <w:color w:val="000000"/>
          <w:szCs w:val="22"/>
        </w:rPr>
        <w:t>sBRCAm</w:t>
      </w:r>
      <w:r>
        <w:rPr>
          <w:rFonts w:eastAsia="TimesNewRoman,Italic" w:cs="TimesNewRoman,Italic"/>
          <w:i/>
          <w:iCs/>
          <w:color w:val="000000"/>
          <w:szCs w:val="22"/>
        </w:rPr>
        <w:t xml:space="preserve"> </w:t>
      </w:r>
      <w:r w:rsidR="0060141B" w:rsidRPr="0060141B">
        <w:rPr>
          <w:rFonts w:eastAsia="TimesNewRoman" w:cs="TimesNewRoman"/>
          <w:color w:val="000000"/>
          <w:szCs w:val="22"/>
        </w:rPr>
        <w:t>metastatic breast cancer patients and allows a comparison of the treatment benefits relative to</w:t>
      </w:r>
      <w:r>
        <w:rPr>
          <w:rFonts w:eastAsia="TimesNewRoman" w:cs="TimesNewRoman"/>
          <w:color w:val="000000"/>
          <w:szCs w:val="22"/>
        </w:rPr>
        <w:t xml:space="preserve"> </w:t>
      </w:r>
      <w:r w:rsidR="0060141B" w:rsidRPr="0060141B">
        <w:rPr>
          <w:rFonts w:eastAsia="TimesNewRoman" w:cs="TimesNewRoman"/>
          <w:color w:val="000000"/>
          <w:szCs w:val="22"/>
        </w:rPr>
        <w:t>that reported in the OlympiAD Phase III Study. Collectively, the treatment benefit reported</w:t>
      </w:r>
      <w:r>
        <w:rPr>
          <w:rFonts w:eastAsia="TimesNewRoman" w:cs="TimesNewRoman"/>
          <w:color w:val="000000"/>
          <w:szCs w:val="22"/>
        </w:rPr>
        <w:t xml:space="preserve"> </w:t>
      </w:r>
      <w:r w:rsidR="0060141B" w:rsidRPr="0060141B">
        <w:rPr>
          <w:rFonts w:eastAsia="TimesNewRoman" w:cs="TimesNewRoman"/>
          <w:color w:val="000000"/>
          <w:szCs w:val="22"/>
        </w:rPr>
        <w:t xml:space="preserve">with olaparib and other PARP inhibitors for patients with </w:t>
      </w:r>
      <w:r w:rsidR="0060141B" w:rsidRPr="0060141B">
        <w:rPr>
          <w:rFonts w:eastAsia="TimesNewRoman,Italic" w:cs="TimesNewRoman,Italic"/>
          <w:i/>
          <w:iCs/>
          <w:color w:val="000000"/>
          <w:szCs w:val="22"/>
        </w:rPr>
        <w:t xml:space="preserve">sBRCAm </w:t>
      </w:r>
      <w:r w:rsidR="0060141B" w:rsidRPr="0060141B">
        <w:rPr>
          <w:rFonts w:eastAsia="TimesNewRoman" w:cs="TimesNewRoman"/>
          <w:color w:val="000000"/>
          <w:szCs w:val="22"/>
        </w:rPr>
        <w:t>metastatic breast cancer is</w:t>
      </w:r>
      <w:r>
        <w:rPr>
          <w:rFonts w:eastAsia="TimesNewRoman" w:cs="TimesNewRoman"/>
          <w:color w:val="000000"/>
          <w:szCs w:val="22"/>
        </w:rPr>
        <w:t xml:space="preserve"> </w:t>
      </w:r>
      <w:r w:rsidR="0060141B" w:rsidRPr="0060141B">
        <w:rPr>
          <w:rFonts w:eastAsia="TimesNewRoman" w:cs="TimesNewRoman"/>
          <w:color w:val="000000"/>
          <w:szCs w:val="22"/>
        </w:rPr>
        <w:t xml:space="preserve">comparable to and consistent with that for patients with </w:t>
      </w:r>
      <w:r w:rsidR="0060141B" w:rsidRPr="0060141B">
        <w:rPr>
          <w:rFonts w:eastAsia="TimesNewRoman,Italic" w:cs="TimesNewRoman,Italic"/>
          <w:i/>
          <w:iCs/>
          <w:color w:val="000000"/>
          <w:szCs w:val="22"/>
        </w:rPr>
        <w:t xml:space="preserve">gBRCAm </w:t>
      </w:r>
      <w:r w:rsidR="0060141B" w:rsidRPr="0060141B">
        <w:rPr>
          <w:rFonts w:eastAsia="TimesNewRoman" w:cs="TimesNewRoman"/>
          <w:color w:val="000000"/>
          <w:szCs w:val="22"/>
        </w:rPr>
        <w:t>metastatic breast cancer in</w:t>
      </w:r>
      <w:r>
        <w:rPr>
          <w:rFonts w:eastAsia="TimesNewRoman" w:cs="TimesNewRoman"/>
          <w:color w:val="000000"/>
          <w:szCs w:val="22"/>
        </w:rPr>
        <w:t xml:space="preserve"> </w:t>
      </w:r>
      <w:r w:rsidR="0060141B" w:rsidRPr="0060141B">
        <w:rPr>
          <w:rFonts w:eastAsia="TimesNewRoman" w:cs="TimesNewRoman"/>
          <w:color w:val="000000"/>
          <w:szCs w:val="22"/>
        </w:rPr>
        <w:t xml:space="preserve">OlympiAD, LUCY and Phase III studies with other PARP inhibitors in patients with </w:t>
      </w:r>
      <w:r w:rsidR="0060141B" w:rsidRPr="0060141B">
        <w:rPr>
          <w:rFonts w:eastAsia="TimesNewRoman,Italic" w:cs="TimesNewRoman,Italic"/>
          <w:i/>
          <w:iCs/>
          <w:color w:val="000000"/>
          <w:szCs w:val="22"/>
        </w:rPr>
        <w:t>gBRCAm</w:t>
      </w:r>
      <w:r>
        <w:rPr>
          <w:rFonts w:eastAsia="TimesNewRoman,Italic" w:cs="TimesNewRoman,Italic"/>
          <w:i/>
          <w:iCs/>
          <w:color w:val="000000"/>
          <w:szCs w:val="22"/>
        </w:rPr>
        <w:t xml:space="preserve"> </w:t>
      </w:r>
      <w:r w:rsidR="0060141B" w:rsidRPr="0060141B">
        <w:rPr>
          <w:rFonts w:eastAsia="TimesNewRoman" w:cs="TimesNewRoman"/>
          <w:color w:val="000000"/>
          <w:szCs w:val="22"/>
        </w:rPr>
        <w:t>metastatic breast cancer.</w:t>
      </w:r>
    </w:p>
    <w:p w14:paraId="70BA0ADF" w14:textId="77777777" w:rsidR="002C5219" w:rsidRPr="0060141B" w:rsidRDefault="002C5219" w:rsidP="0060141B">
      <w:pPr>
        <w:autoSpaceDE w:val="0"/>
        <w:autoSpaceDN w:val="0"/>
        <w:adjustRightInd w:val="0"/>
        <w:spacing w:after="0" w:line="240" w:lineRule="auto"/>
        <w:rPr>
          <w:rFonts w:eastAsia="TimesNewRoman" w:cs="TimesNewRoman"/>
          <w:color w:val="000000"/>
          <w:szCs w:val="22"/>
        </w:rPr>
      </w:pPr>
    </w:p>
    <w:p w14:paraId="1D00128A" w14:textId="3A0359D4" w:rsidR="0060141B" w:rsidRPr="0060141B" w:rsidRDefault="0060141B" w:rsidP="0060141B">
      <w:pPr>
        <w:autoSpaceDE w:val="0"/>
        <w:autoSpaceDN w:val="0"/>
        <w:adjustRightInd w:val="0"/>
        <w:spacing w:after="0" w:line="240" w:lineRule="auto"/>
        <w:rPr>
          <w:rFonts w:eastAsia="TimesNewRoman" w:cs="TimesNewRoman"/>
          <w:color w:val="000000"/>
          <w:szCs w:val="22"/>
        </w:rPr>
      </w:pPr>
      <w:r w:rsidRPr="0060141B">
        <w:rPr>
          <w:rFonts w:eastAsia="TimesNewRoman" w:cs="TimesNewRoman"/>
          <w:color w:val="000000"/>
          <w:szCs w:val="22"/>
        </w:rPr>
        <w:t xml:space="preserve">Based on the above evidence, </w:t>
      </w:r>
      <w:r w:rsidR="002126D9">
        <w:rPr>
          <w:rFonts w:eastAsia="TimesNewRoman" w:cs="TimesNewRoman"/>
          <w:color w:val="000000"/>
          <w:szCs w:val="22"/>
        </w:rPr>
        <w:t>the sponsor</w:t>
      </w:r>
      <w:r w:rsidRPr="0060141B">
        <w:rPr>
          <w:rFonts w:eastAsia="TimesNewRoman" w:cs="TimesNewRoman"/>
          <w:color w:val="000000"/>
          <w:szCs w:val="22"/>
        </w:rPr>
        <w:t xml:space="preserve"> believe</w:t>
      </w:r>
      <w:r w:rsidR="002126D9">
        <w:rPr>
          <w:rFonts w:eastAsia="TimesNewRoman" w:cs="TimesNewRoman"/>
          <w:color w:val="000000"/>
          <w:szCs w:val="22"/>
        </w:rPr>
        <w:t>d</w:t>
      </w:r>
      <w:r w:rsidRPr="0060141B">
        <w:rPr>
          <w:rFonts w:eastAsia="TimesNewRoman" w:cs="TimesNewRoman"/>
          <w:color w:val="000000"/>
          <w:szCs w:val="22"/>
        </w:rPr>
        <w:t xml:space="preserve"> that patients with either germline or</w:t>
      </w:r>
    </w:p>
    <w:p w14:paraId="26D3FDD1" w14:textId="77777777" w:rsidR="0060141B" w:rsidRPr="0060141B" w:rsidRDefault="0060141B" w:rsidP="0060141B">
      <w:pPr>
        <w:autoSpaceDE w:val="0"/>
        <w:autoSpaceDN w:val="0"/>
        <w:adjustRightInd w:val="0"/>
        <w:spacing w:after="0" w:line="240" w:lineRule="auto"/>
        <w:rPr>
          <w:rFonts w:eastAsia="TimesNewRoman" w:cs="TimesNewRoman"/>
          <w:color w:val="000000"/>
          <w:szCs w:val="22"/>
        </w:rPr>
      </w:pPr>
      <w:r w:rsidRPr="0060141B">
        <w:rPr>
          <w:rFonts w:eastAsia="TimesNewRoman" w:cs="TimesNewRoman"/>
          <w:color w:val="000000"/>
          <w:szCs w:val="22"/>
        </w:rPr>
        <w:t xml:space="preserve">somatic </w:t>
      </w:r>
      <w:r w:rsidRPr="0060141B">
        <w:rPr>
          <w:rFonts w:eastAsia="TimesNewRoman,Italic" w:cs="TimesNewRoman,Italic"/>
          <w:i/>
          <w:iCs/>
          <w:color w:val="000000"/>
          <w:szCs w:val="22"/>
        </w:rPr>
        <w:t xml:space="preserve">BRCAm </w:t>
      </w:r>
      <w:r w:rsidRPr="0060141B">
        <w:rPr>
          <w:rFonts w:eastAsia="TimesNewRoman" w:cs="TimesNewRoman"/>
          <w:color w:val="000000"/>
          <w:szCs w:val="22"/>
        </w:rPr>
        <w:t>tumours, identified using either a blood or tumour test, are expected to</w:t>
      </w:r>
    </w:p>
    <w:p w14:paraId="2DBD11EB" w14:textId="77777777" w:rsidR="0060141B" w:rsidRPr="0060141B" w:rsidRDefault="0060141B" w:rsidP="0060141B">
      <w:pPr>
        <w:autoSpaceDE w:val="0"/>
        <w:autoSpaceDN w:val="0"/>
        <w:adjustRightInd w:val="0"/>
        <w:spacing w:after="0" w:line="240" w:lineRule="auto"/>
        <w:rPr>
          <w:rFonts w:eastAsia="TimesNewRoman" w:cs="TimesNewRoman"/>
          <w:color w:val="000000"/>
          <w:szCs w:val="22"/>
        </w:rPr>
      </w:pPr>
      <w:r w:rsidRPr="0060141B">
        <w:rPr>
          <w:rFonts w:eastAsia="TimesNewRoman" w:cs="TimesNewRoman"/>
          <w:color w:val="000000"/>
          <w:szCs w:val="22"/>
        </w:rPr>
        <w:t>benefit equally from Olaparib in the metastatic disease setting. Given the clinical benefit of</w:t>
      </w:r>
    </w:p>
    <w:p w14:paraId="496539CA" w14:textId="77777777" w:rsidR="0060141B" w:rsidRPr="0060141B" w:rsidRDefault="0060141B" w:rsidP="0060141B">
      <w:pPr>
        <w:autoSpaceDE w:val="0"/>
        <w:autoSpaceDN w:val="0"/>
        <w:adjustRightInd w:val="0"/>
        <w:spacing w:after="0" w:line="240" w:lineRule="auto"/>
        <w:rPr>
          <w:rFonts w:eastAsia="TimesNewRoman" w:cs="TimesNewRoman"/>
          <w:color w:val="000000"/>
          <w:szCs w:val="22"/>
        </w:rPr>
      </w:pPr>
      <w:r w:rsidRPr="0060141B">
        <w:rPr>
          <w:rFonts w:eastAsia="TimesNewRoman" w:cs="TimesNewRoman"/>
          <w:color w:val="000000"/>
          <w:szCs w:val="22"/>
        </w:rPr>
        <w:t xml:space="preserve">olaparib in </w:t>
      </w:r>
      <w:r w:rsidRPr="0060141B">
        <w:rPr>
          <w:rFonts w:eastAsia="TimesNewRoman,Italic" w:cs="TimesNewRoman,Italic"/>
          <w:i/>
          <w:iCs/>
          <w:color w:val="000000"/>
          <w:szCs w:val="22"/>
        </w:rPr>
        <w:t xml:space="preserve">gBRCAm </w:t>
      </w:r>
      <w:r w:rsidRPr="0060141B">
        <w:rPr>
          <w:rFonts w:eastAsia="TimesNewRoman" w:cs="TimesNewRoman"/>
          <w:color w:val="000000"/>
          <w:szCs w:val="22"/>
        </w:rPr>
        <w:t xml:space="preserve">patients in OlympiA, the available data supporting </w:t>
      </w:r>
      <w:r w:rsidRPr="0060141B">
        <w:rPr>
          <w:rFonts w:eastAsia="TimesNewRoman,Italic" w:cs="TimesNewRoman,Italic"/>
          <w:i/>
          <w:iCs/>
          <w:color w:val="000000"/>
          <w:szCs w:val="22"/>
        </w:rPr>
        <w:t xml:space="preserve">gBRCAm </w:t>
      </w:r>
      <w:r w:rsidRPr="0060141B">
        <w:rPr>
          <w:rFonts w:eastAsia="TimesNewRoman" w:cs="TimesNewRoman"/>
          <w:color w:val="000000"/>
          <w:szCs w:val="22"/>
        </w:rPr>
        <w:t>and</w:t>
      </w:r>
    </w:p>
    <w:p w14:paraId="4B66D6EB" w14:textId="77777777" w:rsidR="0060141B" w:rsidRPr="0060141B" w:rsidRDefault="0060141B" w:rsidP="0060141B">
      <w:pPr>
        <w:autoSpaceDE w:val="0"/>
        <w:autoSpaceDN w:val="0"/>
        <w:adjustRightInd w:val="0"/>
        <w:spacing w:after="0" w:line="240" w:lineRule="auto"/>
        <w:rPr>
          <w:rFonts w:eastAsia="TimesNewRoman" w:cs="TimesNewRoman"/>
          <w:color w:val="000000"/>
          <w:szCs w:val="22"/>
        </w:rPr>
      </w:pPr>
      <w:r w:rsidRPr="0060141B">
        <w:rPr>
          <w:rFonts w:eastAsia="TimesNewRoman,Italic" w:cs="TimesNewRoman,Italic"/>
          <w:i/>
          <w:iCs/>
          <w:color w:val="000000"/>
          <w:szCs w:val="22"/>
        </w:rPr>
        <w:t xml:space="preserve">sBRCAm </w:t>
      </w:r>
      <w:r w:rsidRPr="0060141B">
        <w:rPr>
          <w:rFonts w:eastAsia="TimesNewRoman" w:cs="TimesNewRoman"/>
          <w:color w:val="000000"/>
          <w:szCs w:val="22"/>
        </w:rPr>
        <w:t>breast cancer similarities with respect to biological and clinical characteristics,</w:t>
      </w:r>
    </w:p>
    <w:p w14:paraId="434FDBB9" w14:textId="77777777" w:rsidR="0060141B" w:rsidRPr="0060141B" w:rsidRDefault="0060141B" w:rsidP="0060141B">
      <w:pPr>
        <w:autoSpaceDE w:val="0"/>
        <w:autoSpaceDN w:val="0"/>
        <w:adjustRightInd w:val="0"/>
        <w:spacing w:after="0" w:line="240" w:lineRule="auto"/>
        <w:rPr>
          <w:rFonts w:eastAsia="TimesNewRoman" w:cs="TimesNewRoman"/>
          <w:color w:val="000000"/>
          <w:szCs w:val="22"/>
        </w:rPr>
      </w:pPr>
      <w:r w:rsidRPr="0060141B">
        <w:rPr>
          <w:rFonts w:eastAsia="TimesNewRoman" w:cs="TimesNewRoman"/>
          <w:color w:val="000000"/>
          <w:szCs w:val="22"/>
        </w:rPr>
        <w:t>natural history, unmet need, the targeted mechanism of action of Olaparib, and clinical benefit</w:t>
      </w:r>
    </w:p>
    <w:p w14:paraId="50D761C9" w14:textId="66CEF8D6" w:rsidR="0060141B" w:rsidRPr="00900ED6" w:rsidRDefault="0060141B" w:rsidP="00900ED6">
      <w:pPr>
        <w:rPr>
          <w:rFonts w:eastAsia="TimesNewRoman" w:cs="TimesNewRoman"/>
          <w:color w:val="000000"/>
          <w:szCs w:val="22"/>
        </w:rPr>
      </w:pPr>
      <w:r w:rsidRPr="0060141B">
        <w:rPr>
          <w:rFonts w:eastAsia="TimesNewRoman" w:cs="TimesNewRoman"/>
          <w:color w:val="000000"/>
          <w:szCs w:val="22"/>
        </w:rPr>
        <w:t>in the metastatic setting, it is therefore expected that the data provided in the metastatic setting</w:t>
      </w:r>
      <w:r w:rsidR="00900ED6">
        <w:rPr>
          <w:rFonts w:eastAsia="TimesNewRoman" w:cs="TimesNewRoman"/>
          <w:color w:val="000000"/>
          <w:szCs w:val="22"/>
        </w:rPr>
        <w:t xml:space="preserve"> </w:t>
      </w:r>
      <w:r w:rsidR="00900ED6" w:rsidRPr="00900ED6">
        <w:rPr>
          <w:rFonts w:eastAsia="TimesNewRoman" w:cs="TimesNewRoman"/>
          <w:color w:val="000000"/>
          <w:szCs w:val="22"/>
        </w:rPr>
        <w:t>on somatic BRCA mutations will also inform adjuvant usage - support that patients with high</w:t>
      </w:r>
      <w:r w:rsidR="00900ED6">
        <w:rPr>
          <w:rFonts w:eastAsia="TimesNewRoman" w:cs="TimesNewRoman"/>
          <w:color w:val="000000"/>
          <w:szCs w:val="22"/>
        </w:rPr>
        <w:t xml:space="preserve"> </w:t>
      </w:r>
      <w:r w:rsidR="00900ED6" w:rsidRPr="00900ED6">
        <w:rPr>
          <w:rFonts w:eastAsia="TimesNewRoman" w:cs="TimesNewRoman"/>
          <w:color w:val="000000"/>
          <w:szCs w:val="22"/>
        </w:rPr>
        <w:t>risk early breast cancer and sBRCAm should not be excluded from the potential to benefit</w:t>
      </w:r>
      <w:r w:rsidR="00900ED6">
        <w:rPr>
          <w:rFonts w:eastAsia="TimesNewRoman" w:cs="TimesNewRoman"/>
          <w:color w:val="000000"/>
          <w:szCs w:val="22"/>
        </w:rPr>
        <w:t xml:space="preserve"> </w:t>
      </w:r>
      <w:r w:rsidR="00900ED6" w:rsidRPr="00900ED6">
        <w:rPr>
          <w:rFonts w:eastAsia="TimesNewRoman" w:cs="TimesNewRoman"/>
          <w:color w:val="000000"/>
          <w:szCs w:val="22"/>
        </w:rPr>
        <w:t>from adjuvant Olaparib.</w:t>
      </w:r>
    </w:p>
    <w:p w14:paraId="318CFABC" w14:textId="77777777" w:rsidR="00C22214" w:rsidRPr="00F73346" w:rsidRDefault="00C22214" w:rsidP="00C22214">
      <w:pPr>
        <w:pStyle w:val="Heading4"/>
      </w:pPr>
      <w:bookmarkStart w:id="119" w:name="_Toc98931936"/>
      <w:bookmarkStart w:id="120" w:name="_Toc171942674"/>
      <w:bookmarkStart w:id="121" w:name="_Toc247691532"/>
      <w:bookmarkStart w:id="122" w:name="_Toc314842516"/>
      <w:r w:rsidRPr="00F73346">
        <w:t>Advisory Committee considerations</w:t>
      </w:r>
      <w:bookmarkEnd w:id="119"/>
      <w:bookmarkEnd w:id="120"/>
    </w:p>
    <w:p w14:paraId="087BB9CB" w14:textId="5633938D" w:rsidR="00C22214" w:rsidRDefault="00C22214" w:rsidP="00C22214">
      <w:pPr>
        <w:rPr>
          <w:bCs/>
          <w:szCs w:val="22"/>
        </w:rPr>
      </w:pPr>
      <w:r w:rsidRPr="00BD5DBD">
        <w:rPr>
          <w:bCs/>
          <w:szCs w:val="22"/>
        </w:rPr>
        <w:t xml:space="preserve">The </w:t>
      </w:r>
      <w:hyperlink r:id="rId55"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w:t>
      </w:r>
      <w:r w:rsidR="00CD546E">
        <w:rPr>
          <w:bCs/>
          <w:szCs w:val="22"/>
        </w:rPr>
        <w:t>delegate</w:t>
      </w:r>
      <w:r w:rsidRPr="00BD5DBD">
        <w:rPr>
          <w:bCs/>
          <w:szCs w:val="22"/>
        </w:rPr>
        <w:t>’s overview, as well as the sponsor’s response to these documents, advised the following</w:t>
      </w:r>
      <w:r w:rsidR="00D66090">
        <w:rPr>
          <w:bCs/>
          <w:szCs w:val="22"/>
        </w:rPr>
        <w:t>:</w:t>
      </w:r>
    </w:p>
    <w:p w14:paraId="0D935CC4" w14:textId="48C8C2BE" w:rsidR="00C22214" w:rsidRPr="00F73346" w:rsidRDefault="00C22214" w:rsidP="00C22214">
      <w:pPr>
        <w:pStyle w:val="Heading5"/>
      </w:pPr>
      <w:r w:rsidRPr="00F73346">
        <w:t xml:space="preserve">Specific advice to the </w:t>
      </w:r>
      <w:r w:rsidR="00CD546E">
        <w:t>delegate</w:t>
      </w:r>
    </w:p>
    <w:p w14:paraId="7A5DED1A" w14:textId="58E3D8ED" w:rsidR="00DB53DF" w:rsidRPr="00DB53DF" w:rsidRDefault="009B3FCE" w:rsidP="00DB53DF">
      <w:pPr>
        <w:pStyle w:val="Numberbullet0"/>
        <w:numPr>
          <w:ilvl w:val="0"/>
          <w:numId w:val="38"/>
        </w:numPr>
        <w:rPr>
          <w:b/>
          <w:bCs/>
          <w:i/>
          <w:iCs/>
        </w:rPr>
      </w:pPr>
      <w:r w:rsidRPr="009B3FCE">
        <w:rPr>
          <w:b/>
          <w:bCs/>
          <w:i/>
          <w:iCs/>
        </w:rPr>
        <w:t xml:space="preserve">Should the </w:t>
      </w:r>
      <w:r w:rsidR="00CD546E">
        <w:rPr>
          <w:b/>
          <w:bCs/>
          <w:i/>
          <w:iCs/>
        </w:rPr>
        <w:t>sponsor</w:t>
      </w:r>
      <w:r w:rsidRPr="009B3FCE">
        <w:rPr>
          <w:b/>
          <w:bCs/>
          <w:i/>
          <w:iCs/>
        </w:rPr>
        <w:t xml:space="preserve">’s proposed Australian indication be accepted – that is, indicating olaparib monotherapy as adjuvant treatment of high-risk BRCAm EBC, agnostic of whether the BRCAm is germline or somatic? </w:t>
      </w:r>
    </w:p>
    <w:p w14:paraId="2A008986" w14:textId="22547FA4" w:rsidR="00DB53DF" w:rsidRPr="00DB53DF" w:rsidRDefault="00DB53DF" w:rsidP="00DB53DF">
      <w:r w:rsidRPr="00DB53DF">
        <w:lastRenderedPageBreak/>
        <w:t xml:space="preserve">The ACM discussed the study design, noting that only subjects with a germline BRCA mutation were enrolled in the study. </w:t>
      </w:r>
    </w:p>
    <w:p w14:paraId="6D836370" w14:textId="02DF2FB1" w:rsidR="00DB53DF" w:rsidRPr="00DB53DF" w:rsidRDefault="00DB53DF" w:rsidP="00DB53DF">
      <w:r w:rsidRPr="00DB53DF">
        <w:t xml:space="preserve">The ACM was of the view that </w:t>
      </w:r>
      <w:r w:rsidR="001A10EC">
        <w:t>Lynparza</w:t>
      </w:r>
      <w:r w:rsidRPr="00DB53DF">
        <w:t xml:space="preserve"> showed significant benefit of treatment for patients with germline BRCA. The invasive and distant disease-free and overall survival outcomes were generally very good with stratified hazard ratios versus placebo of 0.58, 0.57 and 0.68, respectively and were maintained over 3.5 years. There were no new safety concerns and olaparib was generally well tolerated in this population. In particular, the ACM noted that MDS or AML incidences were less for treatment with </w:t>
      </w:r>
      <w:r w:rsidR="001A10EC">
        <w:t>Lynparza</w:t>
      </w:r>
      <w:r w:rsidRPr="00DB53DF">
        <w:t xml:space="preserve"> that for placebo. The ACM agreed that the proposed indication for patients with high-risk germline BRCAm HER2-negative early breast cancer was acceptable. </w:t>
      </w:r>
    </w:p>
    <w:p w14:paraId="2B624597" w14:textId="77777777" w:rsidR="00DB53DF" w:rsidRPr="00DB53DF" w:rsidRDefault="00DB53DF" w:rsidP="00DB53DF">
      <w:r w:rsidRPr="00DB53DF">
        <w:t xml:space="preserve">The ACM noted that the study excluded patients with somatic BRCAm HER2-negative early breast cancer and acknowledged the proposed alternative strategy to support the inclusion of somatic BRCAm within the indication via translational evidence. However, the ACM expressed concern that the limited clinical data available was based on unrandomised studies involving a very low number of patients with metastatic breast cancer only. The ACM acknowledged that the infrequent testing for somatic BRCAm makes the data unlikely to be generated. The ACM noted that such testing is unlikely to occur for patients with early breast cancer and currently is more likely to be conducted for patients with metastatic breast cancer. </w:t>
      </w:r>
    </w:p>
    <w:p w14:paraId="16BA8BD9" w14:textId="312525D1" w:rsidR="00DB53DF" w:rsidRPr="008B7257" w:rsidRDefault="00DB53DF" w:rsidP="00DB53DF">
      <w:proofErr w:type="gramStart"/>
      <w:r w:rsidRPr="00DB53DF">
        <w:t>Overall</w:t>
      </w:r>
      <w:proofErr w:type="gramEnd"/>
      <w:r w:rsidRPr="00DB53DF">
        <w:t xml:space="preserve"> on balance, the ACM advised that there was insufficient data to support the inclusion of patients with somatic BRCA HER2-negative high risk early breast cancer in the indications at this time.</w:t>
      </w:r>
    </w:p>
    <w:p w14:paraId="5291EA2A" w14:textId="1FB47999" w:rsidR="00C22214" w:rsidRDefault="004269F3" w:rsidP="00C22214">
      <w:pPr>
        <w:pStyle w:val="Heading5"/>
      </w:pPr>
      <w:r>
        <w:t xml:space="preserve">ACM </w:t>
      </w:r>
      <w:r w:rsidR="00C22214" w:rsidRPr="00F73346">
        <w:t>Conclusion</w:t>
      </w:r>
    </w:p>
    <w:p w14:paraId="354905EC" w14:textId="77777777" w:rsidR="008B7257" w:rsidRPr="008B7257" w:rsidRDefault="008B7257" w:rsidP="008B7257">
      <w:r w:rsidRPr="008B7257">
        <w:t xml:space="preserve">The ACM considered this product to have an overall positive benefit-risk profile for the indication: </w:t>
      </w:r>
    </w:p>
    <w:p w14:paraId="4A3A6A3B" w14:textId="610BF445" w:rsidR="008B7257" w:rsidRPr="008B7257" w:rsidRDefault="001A10EC" w:rsidP="008B7257">
      <w:pPr>
        <w:pStyle w:val="Indication"/>
      </w:pPr>
      <w:r>
        <w:t>Lynparza</w:t>
      </w:r>
      <w:r w:rsidR="008B7257" w:rsidRPr="008B7257">
        <w:t xml:space="preserve"> is indicated as monotherapy for the</w:t>
      </w:r>
      <w:r w:rsidR="004B2E74">
        <w:t xml:space="preserve"> </w:t>
      </w:r>
      <w:r w:rsidR="008B7257" w:rsidRPr="008B7257">
        <w:t>adjuvant treatment of adult patients with germline BRCA-mutated HER2-negative high risk early breast cancer who have previously been treated with neoadjuvant or adjuvant chemotherapy</w:t>
      </w:r>
      <w:r w:rsidR="004B2E74">
        <w:t>.</w:t>
      </w:r>
    </w:p>
    <w:p w14:paraId="6C3B9F6C" w14:textId="29FB2377" w:rsidR="004F1F91" w:rsidRDefault="00D6036F" w:rsidP="004F1F91">
      <w:pPr>
        <w:pStyle w:val="Heading4"/>
      </w:pPr>
      <w:bookmarkStart w:id="123" w:name="_Toc171942675"/>
      <w:r w:rsidRPr="000349EF">
        <w:t>Risk/benefit assessment (post-Advisory Committee Meeting)</w:t>
      </w:r>
      <w:bookmarkEnd w:id="123"/>
    </w:p>
    <w:p w14:paraId="7B0FE1EE" w14:textId="47D4737F" w:rsidR="004F1F91" w:rsidRPr="004F1F91" w:rsidRDefault="0094624E" w:rsidP="0094624E">
      <w:pPr>
        <w:pStyle w:val="Heading5"/>
      </w:pPr>
      <w:r>
        <w:t>Breast cancer indication</w:t>
      </w:r>
    </w:p>
    <w:p w14:paraId="62EF61B2" w14:textId="7F7FA425" w:rsidR="00712441" w:rsidRDefault="00712441" w:rsidP="00712441">
      <w:r>
        <w:t xml:space="preserve">Advisory committee input was requested as to whether extension of the indication to </w:t>
      </w:r>
      <w:r w:rsidRPr="007276CB">
        <w:rPr>
          <w:i/>
          <w:iCs/>
        </w:rPr>
        <w:t>sBRCAm</w:t>
      </w:r>
      <w:r>
        <w:t xml:space="preserve"> is appropriate. In short, the ACM advised that the indication should be restricted to </w:t>
      </w:r>
      <w:r w:rsidRPr="009C1286">
        <w:rPr>
          <w:i/>
          <w:iCs/>
        </w:rPr>
        <w:t>gBRCAm</w:t>
      </w:r>
      <w:r>
        <w:t xml:space="preserve"> </w:t>
      </w:r>
      <w:r w:rsidR="00DC0818">
        <w:t>based on</w:t>
      </w:r>
      <w:r>
        <w:t xml:space="preserve"> a lack of direct clinical data for use in neoadjuvant treatment of </w:t>
      </w:r>
      <w:r w:rsidRPr="009C1286">
        <w:rPr>
          <w:i/>
          <w:iCs/>
        </w:rPr>
        <w:t>sBRCAm</w:t>
      </w:r>
      <w:r>
        <w:t xml:space="preserve"> breast cancer.</w:t>
      </w:r>
    </w:p>
    <w:p w14:paraId="2D0D821C" w14:textId="1F4D9934" w:rsidR="0094624E" w:rsidRDefault="0094624E" w:rsidP="0094624E">
      <w:pPr>
        <w:pStyle w:val="Heading5"/>
      </w:pPr>
      <w:r>
        <w:t>Prostate cancer indication</w:t>
      </w:r>
    </w:p>
    <w:p w14:paraId="454DE764" w14:textId="069E76AB" w:rsidR="0094624E" w:rsidRPr="00A94465" w:rsidRDefault="0094624E" w:rsidP="00712441">
      <w:r w:rsidRPr="003F7057">
        <w:t xml:space="preserve">Advisory committee input is requested as to whether approval of a </w:t>
      </w:r>
      <w:r w:rsidRPr="003F7057">
        <w:rPr>
          <w:i/>
          <w:iCs/>
        </w:rPr>
        <w:t>BRCA</w:t>
      </w:r>
      <w:r w:rsidRPr="003F7057">
        <w:t>-limited indication is supported.</w:t>
      </w:r>
    </w:p>
    <w:p w14:paraId="43DFDCA2" w14:textId="17606308" w:rsidR="00D6036F" w:rsidRDefault="000917AE" w:rsidP="000917AE">
      <w:pPr>
        <w:pStyle w:val="Heading4"/>
      </w:pPr>
      <w:bookmarkStart w:id="124" w:name="_Toc171942676"/>
      <w:r w:rsidRPr="000349EF">
        <w:t>Advisory Committee considerations (on additional questions)</w:t>
      </w:r>
      <w:bookmarkEnd w:id="124"/>
    </w:p>
    <w:p w14:paraId="2C5BF129" w14:textId="4702EC88" w:rsidR="004F18EC" w:rsidRPr="000349EF" w:rsidRDefault="004F18EC" w:rsidP="004F18EC">
      <w:pPr>
        <w:rPr>
          <w:bCs/>
        </w:rPr>
      </w:pPr>
      <w:r w:rsidRPr="000349EF">
        <w:t xml:space="preserve">Based on the </w:t>
      </w:r>
      <w:r w:rsidR="00E34D66">
        <w:t>above</w:t>
      </w:r>
      <w:r w:rsidRPr="000349EF">
        <w:t xml:space="preserve"> information and analysis, the </w:t>
      </w:r>
      <w:r w:rsidR="00AD4C72">
        <w:t>ACM</w:t>
      </w:r>
      <w:r w:rsidRPr="000349EF">
        <w:t xml:space="preserve"> has been requested to provide advice on additional questions. The </w:t>
      </w:r>
      <w:r w:rsidR="00AD4C72">
        <w:t>ACM</w:t>
      </w:r>
      <w:r w:rsidRPr="000349EF">
        <w:t xml:space="preserve"> </w:t>
      </w:r>
      <w:r w:rsidRPr="000349EF">
        <w:rPr>
          <w:bCs/>
        </w:rPr>
        <w:t xml:space="preserve">have considered the evaluations and the </w:t>
      </w:r>
      <w:r w:rsidR="00CD546E">
        <w:rPr>
          <w:bCs/>
        </w:rPr>
        <w:t>delegate</w:t>
      </w:r>
      <w:r w:rsidRPr="000349EF">
        <w:rPr>
          <w:bCs/>
        </w:rPr>
        <w:t>’s second overview, as well as the sponsor’s response to these documents, and provided advice given below.</w:t>
      </w:r>
    </w:p>
    <w:p w14:paraId="0A652E54" w14:textId="5638FD8A" w:rsidR="00470A52" w:rsidRPr="00F73346" w:rsidRDefault="00470A52" w:rsidP="00470A52">
      <w:pPr>
        <w:pStyle w:val="Heading5"/>
      </w:pPr>
      <w:r w:rsidRPr="00F73346">
        <w:lastRenderedPageBreak/>
        <w:t xml:space="preserve">Specific advice to the </w:t>
      </w:r>
      <w:r w:rsidR="00CD546E">
        <w:t>delegate</w:t>
      </w:r>
    </w:p>
    <w:p w14:paraId="7856C59E" w14:textId="77777777" w:rsidR="000D084D" w:rsidRPr="000D084D" w:rsidRDefault="000D084D" w:rsidP="000D084D">
      <w:pPr>
        <w:pStyle w:val="Numberbullet0"/>
        <w:numPr>
          <w:ilvl w:val="0"/>
          <w:numId w:val="43"/>
        </w:numPr>
        <w:rPr>
          <w:b/>
          <w:bCs/>
          <w:i/>
          <w:iCs/>
        </w:rPr>
      </w:pPr>
      <w:r w:rsidRPr="000D084D">
        <w:rPr>
          <w:b/>
          <w:bCs/>
          <w:i/>
          <w:iCs/>
        </w:rPr>
        <w:t xml:space="preserve">Can the ACM please comment on whether the submitted data are adequate to support usage of this medicine in a biomarker-agnostic manner? </w:t>
      </w:r>
    </w:p>
    <w:p w14:paraId="33E84280" w14:textId="77777777" w:rsidR="000D084D" w:rsidRDefault="000D084D" w:rsidP="000D084D">
      <w:r>
        <w:t xml:space="preserve">The ACM advised that while there is the appearance of benefit to all groups in the PROpel study, the post hoc analysis shows the driver for benefit is </w:t>
      </w:r>
      <w:r>
        <w:rPr>
          <w:i/>
          <w:iCs/>
        </w:rPr>
        <w:t xml:space="preserve">BRCA </w:t>
      </w:r>
      <w:r>
        <w:t xml:space="preserve">status. Among 85 patients with </w:t>
      </w:r>
      <w:r>
        <w:rPr>
          <w:i/>
          <w:iCs/>
        </w:rPr>
        <w:t xml:space="preserve">BRCAm </w:t>
      </w:r>
      <w:r>
        <w:t xml:space="preserve">(10.7% of the randomised population) the HR for rPFS was 0.20 (0.10, 0.36) at data cut-off 2 (14 March 2022), and for OS was 0.29 (0.14, 0.56) at data cut-off 3 (12 October 2022). Among 427 patients who did not have a </w:t>
      </w:r>
      <w:r>
        <w:rPr>
          <w:i/>
          <w:iCs/>
        </w:rPr>
        <w:t xml:space="preserve">BRCA </w:t>
      </w:r>
      <w:r>
        <w:t xml:space="preserve">mutation, the rPFS HR was 0.81 (0.63, 1.05) and the OS HR was 1.06 (0.81, 1.39) at these time points. </w:t>
      </w:r>
    </w:p>
    <w:p w14:paraId="704BE4F7" w14:textId="77777777" w:rsidR="000D084D" w:rsidRDefault="000D084D" w:rsidP="000D084D">
      <w:r>
        <w:t xml:space="preserve">The ACM advised that the submitted data are not adequate to support a biomarker-agnostic indication and the new indication should be limited to patients with </w:t>
      </w:r>
      <w:r>
        <w:rPr>
          <w:i/>
          <w:iCs/>
        </w:rPr>
        <w:t xml:space="preserve">BRCA </w:t>
      </w:r>
      <w:r>
        <w:t xml:space="preserve">mutation. </w:t>
      </w:r>
    </w:p>
    <w:p w14:paraId="2A9BC7FA" w14:textId="77777777" w:rsidR="000D084D" w:rsidRDefault="000D084D" w:rsidP="000D084D">
      <w:r>
        <w:t xml:space="preserve">The ACM noted that the data are not yet sufficiently mature to demonstrate benefit in overall survival in the ITT population. </w:t>
      </w:r>
    </w:p>
    <w:p w14:paraId="35537931" w14:textId="77777777" w:rsidR="000D084D" w:rsidRDefault="000D084D" w:rsidP="000D084D">
      <w:r>
        <w:t xml:space="preserve">The ACM noted that patient selection by </w:t>
      </w:r>
      <w:r>
        <w:rPr>
          <w:i/>
          <w:iCs/>
        </w:rPr>
        <w:t xml:space="preserve">BRCA </w:t>
      </w:r>
      <w:r>
        <w:t xml:space="preserve">status is already part of the approved indications for olaparib for prostate cancer as monotherapy, as well as ovarian cancer, breast cancer and adenocarcinoma of the pancreas. </w:t>
      </w:r>
    </w:p>
    <w:p w14:paraId="54CEDFF5" w14:textId="77777777" w:rsidR="00DF57BE" w:rsidRPr="00583A23" w:rsidRDefault="000D084D" w:rsidP="00DF57BE">
      <w:pPr>
        <w:pStyle w:val="Default"/>
        <w:rPr>
          <w:rFonts w:ascii="Cambria" w:hAnsi="Cambria"/>
          <w:sz w:val="22"/>
          <w:szCs w:val="22"/>
        </w:rPr>
      </w:pPr>
      <w:r w:rsidRPr="00583A23">
        <w:rPr>
          <w:rFonts w:ascii="Cambria" w:hAnsi="Cambria"/>
          <w:sz w:val="22"/>
          <w:szCs w:val="22"/>
        </w:rPr>
        <w:t xml:space="preserve">The ACM noted that the mCRPC population in Australia is likely to be similar to the randomised population in PROpel with about 10% of patients having </w:t>
      </w:r>
      <w:r w:rsidRPr="00583A23">
        <w:rPr>
          <w:rFonts w:ascii="Cambria" w:hAnsi="Cambria"/>
          <w:i/>
          <w:iCs/>
          <w:sz w:val="22"/>
          <w:szCs w:val="22"/>
        </w:rPr>
        <w:t xml:space="preserve">BRCA </w:t>
      </w:r>
      <w:r w:rsidRPr="00583A23">
        <w:rPr>
          <w:rFonts w:ascii="Cambria" w:hAnsi="Cambria"/>
          <w:sz w:val="22"/>
          <w:szCs w:val="22"/>
        </w:rPr>
        <w:t xml:space="preserve">mutation. </w:t>
      </w:r>
    </w:p>
    <w:p w14:paraId="604F2AAB" w14:textId="77777777" w:rsidR="00DF57BE" w:rsidRPr="00583A23" w:rsidRDefault="00DF57BE" w:rsidP="00DF57BE">
      <w:pPr>
        <w:pStyle w:val="Default"/>
        <w:rPr>
          <w:rFonts w:ascii="Cambria" w:eastAsiaTheme="minorHAnsi" w:hAnsi="Cambria" w:cs="Calibri"/>
          <w:sz w:val="22"/>
          <w:szCs w:val="22"/>
        </w:rPr>
      </w:pPr>
    </w:p>
    <w:p w14:paraId="1F7296D8" w14:textId="77777777" w:rsidR="00DF57BE" w:rsidRPr="00DF57BE" w:rsidRDefault="00DF57BE" w:rsidP="00DF57BE">
      <w:pPr>
        <w:pStyle w:val="DelegatesQuestions"/>
      </w:pPr>
      <w:r w:rsidRPr="00DF57BE">
        <w:t xml:space="preserve">Can the ACM please comment on whether a totality-of-evidence approach is supported, such that an indication similar to the following could be approved: </w:t>
      </w:r>
    </w:p>
    <w:p w14:paraId="0A1191F9" w14:textId="77DD7BF2" w:rsidR="00DF57BE" w:rsidRPr="00DF57BE" w:rsidRDefault="001A10EC" w:rsidP="00DF57BE">
      <w:pPr>
        <w:pStyle w:val="Indication"/>
        <w:rPr>
          <w:b/>
          <w:bCs/>
        </w:rPr>
      </w:pPr>
      <w:r>
        <w:rPr>
          <w:b/>
          <w:bCs/>
        </w:rPr>
        <w:t>Lynparza</w:t>
      </w:r>
      <w:r w:rsidR="00DF57BE" w:rsidRPr="00DF57BE">
        <w:rPr>
          <w:b/>
          <w:bCs/>
        </w:rPr>
        <w:t>, in combination with abiraterone and either prednisone or prednisolone, is indicated for the treatment of patients who have metastatic castration-resistant prostate cancer with a deleterious or suspected deleterious BRCA mutation</w:t>
      </w:r>
      <w:r w:rsidR="004B2E74">
        <w:rPr>
          <w:b/>
          <w:bCs/>
        </w:rPr>
        <w:t>.</w:t>
      </w:r>
    </w:p>
    <w:p w14:paraId="5F19A518" w14:textId="7933EF27" w:rsidR="00DF57BE" w:rsidRPr="00DF57BE" w:rsidRDefault="00DF57BE" w:rsidP="00DF57BE">
      <w:r w:rsidRPr="00DF57BE">
        <w:t xml:space="preserve">The ACM supported the totality of evidence approach and advised that the indication proposed by the </w:t>
      </w:r>
      <w:r w:rsidR="00CD546E">
        <w:t>delegate</w:t>
      </w:r>
      <w:r w:rsidRPr="00DF57BE">
        <w:t xml:space="preserve"> is appropriate. There is benefit in progression-free survival and overall survival in patients with </w:t>
      </w:r>
      <w:r w:rsidRPr="00DF57BE">
        <w:rPr>
          <w:i/>
          <w:iCs/>
        </w:rPr>
        <w:t xml:space="preserve">BRCA </w:t>
      </w:r>
      <w:r w:rsidRPr="00DF57BE">
        <w:t xml:space="preserve">mutations. In patients without </w:t>
      </w:r>
      <w:r w:rsidRPr="00DF57BE">
        <w:rPr>
          <w:i/>
          <w:iCs/>
        </w:rPr>
        <w:t xml:space="preserve">BRCA </w:t>
      </w:r>
      <w:r w:rsidRPr="00DF57BE">
        <w:t xml:space="preserve">mutations there is no evidence of survival benefit. </w:t>
      </w:r>
    </w:p>
    <w:p w14:paraId="553B1F59" w14:textId="75DF66ED" w:rsidR="000D084D" w:rsidRDefault="00DF57BE" w:rsidP="00DF57BE">
      <w:r w:rsidRPr="00DF57BE">
        <w:t xml:space="preserve">mCRPC can progress rapidly. The wording allows for commencement of therapy pending test results on </w:t>
      </w:r>
      <w:r w:rsidRPr="00DF57BE">
        <w:rPr>
          <w:i/>
          <w:iCs/>
        </w:rPr>
        <w:t xml:space="preserve">BRCA </w:t>
      </w:r>
      <w:r w:rsidRPr="00DF57BE">
        <w:t>status.</w:t>
      </w:r>
    </w:p>
    <w:p w14:paraId="5CC2CA2A" w14:textId="38207715" w:rsidR="0075476A" w:rsidRPr="0075476A" w:rsidRDefault="0075476A" w:rsidP="0075476A">
      <w:pPr>
        <w:pStyle w:val="DelegatesQuestions"/>
      </w:pPr>
      <w:r>
        <w:t xml:space="preserve">Can </w:t>
      </w:r>
      <w:r w:rsidRPr="0075476A">
        <w:t xml:space="preserve">the ACM please comment on the clinical implications of the testing requirements? </w:t>
      </w:r>
    </w:p>
    <w:p w14:paraId="0B8AD560" w14:textId="434587E9" w:rsidR="0075476A" w:rsidRPr="0075476A" w:rsidRDefault="0075476A" w:rsidP="0075476A">
      <w:r w:rsidRPr="0075476A">
        <w:t xml:space="preserve">The ACM noted that the Medicare Benefits Schedule includes testing of tumour tissue for </w:t>
      </w:r>
      <w:r w:rsidRPr="0075476A">
        <w:rPr>
          <w:i/>
          <w:iCs/>
        </w:rPr>
        <w:t xml:space="preserve">BRCA </w:t>
      </w:r>
      <w:r w:rsidRPr="0075476A">
        <w:t>status in patients with mCRPC, to determine eligibility for PBS access to olaparib under the currently approved (second-line) indication. The ACM commented that gene sequencing has become</w:t>
      </w:r>
      <w:r>
        <w:t xml:space="preserve"> </w:t>
      </w:r>
      <w:r w:rsidRPr="0075476A">
        <w:t xml:space="preserve">increasingly common for all patients to guide treatment and predict prognosis. Testing for circulating tumour DNA is not routinely available at present. </w:t>
      </w:r>
    </w:p>
    <w:p w14:paraId="179FE574" w14:textId="0D1B1001" w:rsidR="0075476A" w:rsidRDefault="0075476A" w:rsidP="0075476A">
      <w:r w:rsidRPr="0075476A">
        <w:t>The ACM advised that no particular barrier to testing was expected, other than those related to obtaining the biopsy sample. Test results may take several weeks.</w:t>
      </w:r>
    </w:p>
    <w:p w14:paraId="64181400" w14:textId="05539F66" w:rsidR="00470A52" w:rsidRPr="00F73346" w:rsidRDefault="004269F3" w:rsidP="000D084D">
      <w:pPr>
        <w:pStyle w:val="Heading5"/>
      </w:pPr>
      <w:r>
        <w:t xml:space="preserve">ACM </w:t>
      </w:r>
      <w:r w:rsidR="00470A52" w:rsidRPr="00F73346">
        <w:t>Conclusion</w:t>
      </w:r>
    </w:p>
    <w:p w14:paraId="7F596792" w14:textId="77777777" w:rsidR="005438DA" w:rsidRDefault="005438DA" w:rsidP="005438DA">
      <w:bookmarkStart w:id="125" w:name="_Toc103679300"/>
      <w:r>
        <w:t xml:space="preserve">The ACM considered this product to have an overall positive benefit-risk profile for the indication: </w:t>
      </w:r>
    </w:p>
    <w:p w14:paraId="42A4605E" w14:textId="32255340" w:rsidR="005438DA" w:rsidRDefault="001A10EC" w:rsidP="005438DA">
      <w:pPr>
        <w:pStyle w:val="Indication"/>
      </w:pPr>
      <w:r>
        <w:t>Lynparza</w:t>
      </w:r>
      <w:r w:rsidR="005438DA">
        <w:t xml:space="preserve">, in combination with abiraterone and either prednisone or prednisolone, is indicated for the treatment of patients who have metastatic castration-resistant prostate cancer with a deleterious or suspected deleterious BRCA mutation </w:t>
      </w:r>
    </w:p>
    <w:p w14:paraId="307F236C" w14:textId="0A90F372" w:rsidR="00C22214" w:rsidRPr="002E238E" w:rsidRDefault="00B12D26" w:rsidP="005438DA">
      <w:pPr>
        <w:pStyle w:val="Heading2"/>
      </w:pPr>
      <w:bookmarkStart w:id="126" w:name="_Toc171942677"/>
      <w:r>
        <w:lastRenderedPageBreak/>
        <w:t xml:space="preserve">Decision </w:t>
      </w:r>
      <w:r w:rsidR="00AD1F7F">
        <w:t>o</w:t>
      </w:r>
      <w:r w:rsidR="00C22214">
        <w:t>utcome</w:t>
      </w:r>
      <w:bookmarkEnd w:id="121"/>
      <w:bookmarkEnd w:id="122"/>
      <w:bookmarkEnd w:id="125"/>
      <w:bookmarkEnd w:id="126"/>
    </w:p>
    <w:p w14:paraId="4EF22939" w14:textId="5C30997B"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1A10EC">
        <w:t>Lynparza</w:t>
      </w:r>
      <w:r w:rsidR="005438DA">
        <w:t xml:space="preserve"> (olaparib) </w:t>
      </w:r>
      <w:r w:rsidRPr="0017005C">
        <w:t>for the following extension of indications</w:t>
      </w:r>
      <w:r w:rsidR="004269F3">
        <w:t>:</w:t>
      </w:r>
    </w:p>
    <w:p w14:paraId="6E33DF20" w14:textId="3388F958" w:rsidR="000446C0" w:rsidRPr="000446C0" w:rsidRDefault="000446C0" w:rsidP="000446C0">
      <w:pPr>
        <w:autoSpaceDE w:val="0"/>
        <w:autoSpaceDN w:val="0"/>
        <w:adjustRightInd w:val="0"/>
        <w:spacing w:after="0" w:line="240" w:lineRule="auto"/>
        <w:ind w:left="720"/>
        <w:rPr>
          <w:rFonts w:ascii="Cambria-Italic" w:hAnsi="Cambria-Italic" w:cs="Cambria-Italic"/>
          <w:b/>
          <w:bCs/>
          <w:i/>
          <w:iCs/>
          <w:szCs w:val="22"/>
        </w:rPr>
      </w:pPr>
      <w:r>
        <w:rPr>
          <w:rFonts w:ascii="Cambria-Italic" w:hAnsi="Cambria-Italic" w:cs="Cambria-Italic"/>
          <w:b/>
          <w:bCs/>
          <w:i/>
          <w:iCs/>
          <w:szCs w:val="22"/>
        </w:rPr>
        <w:t xml:space="preserve">Breast cancer </w:t>
      </w:r>
    </w:p>
    <w:p w14:paraId="21ACDA62" w14:textId="09014206" w:rsidR="000446C0" w:rsidRDefault="001A10EC" w:rsidP="000446C0">
      <w:pPr>
        <w:autoSpaceDE w:val="0"/>
        <w:autoSpaceDN w:val="0"/>
        <w:adjustRightInd w:val="0"/>
        <w:spacing w:after="0" w:line="240" w:lineRule="auto"/>
        <w:ind w:left="720"/>
        <w:rPr>
          <w:rFonts w:ascii="Cambria-Italic" w:hAnsi="Cambria-Italic" w:cs="Cambria-Italic"/>
          <w:i/>
          <w:iCs/>
          <w:szCs w:val="22"/>
        </w:rPr>
      </w:pPr>
      <w:r>
        <w:rPr>
          <w:rFonts w:ascii="Cambria-Italic" w:hAnsi="Cambria-Italic" w:cs="Cambria-Italic"/>
          <w:i/>
          <w:iCs/>
          <w:szCs w:val="22"/>
        </w:rPr>
        <w:t>Lynparza</w:t>
      </w:r>
      <w:r w:rsidR="000446C0">
        <w:rPr>
          <w:rFonts w:ascii="Cambria-Italic" w:hAnsi="Cambria-Italic" w:cs="Cambria-Italic"/>
          <w:i/>
          <w:iCs/>
          <w:szCs w:val="22"/>
        </w:rPr>
        <w:t xml:space="preserve"> is indicated as monotherapy for the:</w:t>
      </w:r>
    </w:p>
    <w:p w14:paraId="4EEB85EA" w14:textId="1B3D6EB6" w:rsidR="000446C0" w:rsidRDefault="000446C0" w:rsidP="000446C0">
      <w:pPr>
        <w:autoSpaceDE w:val="0"/>
        <w:autoSpaceDN w:val="0"/>
        <w:adjustRightInd w:val="0"/>
        <w:spacing w:after="0" w:line="240" w:lineRule="auto"/>
        <w:ind w:left="720"/>
        <w:rPr>
          <w:rFonts w:ascii="Cambria-Italic" w:hAnsi="Cambria-Italic" w:cs="Cambria-Italic"/>
          <w:i/>
          <w:iCs/>
          <w:szCs w:val="22"/>
        </w:rPr>
      </w:pPr>
      <w:r>
        <w:rPr>
          <w:rFonts w:ascii="SymbolMT" w:hAnsi="SymbolMT" w:cs="SymbolMT"/>
          <w:szCs w:val="22"/>
        </w:rPr>
        <w:t xml:space="preserve">• </w:t>
      </w:r>
      <w:r>
        <w:rPr>
          <w:rFonts w:ascii="Cambria-Italic" w:hAnsi="Cambria-Italic" w:cs="Cambria-Italic"/>
          <w:i/>
          <w:iCs/>
          <w:szCs w:val="22"/>
        </w:rPr>
        <w:t>adjuvant treatment of adult patients who have HER2-negative, high-risk early breast cancer with a deleterious or suspected deleterious germline BRCA mutation (gBRCAm), for which they have previously been treated with neoadjuvant or adjuvant chemotherapy.</w:t>
      </w:r>
    </w:p>
    <w:p w14:paraId="3C7D328E" w14:textId="28D26AE1" w:rsidR="000446C0" w:rsidRDefault="000446C0" w:rsidP="000446C0">
      <w:pPr>
        <w:autoSpaceDE w:val="0"/>
        <w:autoSpaceDN w:val="0"/>
        <w:adjustRightInd w:val="0"/>
        <w:spacing w:after="0" w:line="240" w:lineRule="auto"/>
        <w:ind w:left="720"/>
        <w:rPr>
          <w:rFonts w:ascii="Cambria-BoldItalic" w:hAnsi="Cambria-BoldItalic" w:cs="Cambria-BoldItalic"/>
          <w:b/>
          <w:bCs/>
          <w:i/>
          <w:iCs/>
          <w:szCs w:val="22"/>
        </w:rPr>
      </w:pPr>
      <w:r>
        <w:rPr>
          <w:rFonts w:ascii="Cambria-BoldItalic" w:hAnsi="Cambria-BoldItalic" w:cs="Cambria-BoldItalic"/>
          <w:b/>
          <w:bCs/>
          <w:i/>
          <w:iCs/>
          <w:szCs w:val="22"/>
        </w:rPr>
        <w:br/>
        <w:t>Prostate cancer</w:t>
      </w:r>
    </w:p>
    <w:p w14:paraId="432374D0" w14:textId="329D1908" w:rsidR="000446C0" w:rsidRDefault="001A10EC" w:rsidP="000446C0">
      <w:pPr>
        <w:autoSpaceDE w:val="0"/>
        <w:autoSpaceDN w:val="0"/>
        <w:adjustRightInd w:val="0"/>
        <w:spacing w:after="0" w:line="240" w:lineRule="auto"/>
        <w:ind w:left="720"/>
        <w:rPr>
          <w:rFonts w:ascii="Cambria-Italic" w:hAnsi="Cambria-Italic" w:cs="Cambria-Italic"/>
          <w:i/>
          <w:iCs/>
          <w:szCs w:val="22"/>
        </w:rPr>
      </w:pPr>
      <w:r>
        <w:rPr>
          <w:rFonts w:ascii="Cambria-Italic" w:hAnsi="Cambria-Italic" w:cs="Cambria-Italic"/>
          <w:i/>
          <w:iCs/>
          <w:szCs w:val="22"/>
        </w:rPr>
        <w:t>Lynparza</w:t>
      </w:r>
      <w:r w:rsidR="000446C0">
        <w:rPr>
          <w:rFonts w:ascii="Cambria-Italic" w:hAnsi="Cambria-Italic" w:cs="Cambria-Italic"/>
          <w:i/>
          <w:iCs/>
          <w:szCs w:val="22"/>
        </w:rPr>
        <w:t xml:space="preserve"> in combination with abiraterone and either prednisone or prednisolone is indicated for the:</w:t>
      </w:r>
    </w:p>
    <w:p w14:paraId="3393C0C4" w14:textId="654C9ECC" w:rsidR="005438DA" w:rsidRDefault="000446C0" w:rsidP="000446C0">
      <w:pPr>
        <w:autoSpaceDE w:val="0"/>
        <w:autoSpaceDN w:val="0"/>
        <w:adjustRightInd w:val="0"/>
        <w:spacing w:after="0" w:line="240" w:lineRule="auto"/>
        <w:ind w:left="720"/>
        <w:rPr>
          <w:rFonts w:ascii="Cambria-Italic" w:hAnsi="Cambria-Italic" w:cs="Cambria-Italic"/>
          <w:i/>
          <w:iCs/>
          <w:szCs w:val="22"/>
        </w:rPr>
      </w:pPr>
      <w:r>
        <w:rPr>
          <w:rFonts w:ascii="SymbolMT" w:hAnsi="SymbolMT" w:cs="SymbolMT"/>
          <w:szCs w:val="22"/>
        </w:rPr>
        <w:t xml:space="preserve">• </w:t>
      </w:r>
      <w:r>
        <w:rPr>
          <w:rFonts w:ascii="Cambria-Italic" w:hAnsi="Cambria-Italic" w:cs="Cambria-Italic"/>
          <w:i/>
          <w:iCs/>
          <w:szCs w:val="22"/>
        </w:rPr>
        <w:t>treatment of adult patients who have mCRPC with a deleterious or suspected deleterious BRCA mutation (germline or somatic).</w:t>
      </w:r>
    </w:p>
    <w:p w14:paraId="6956558C" w14:textId="77777777" w:rsidR="000446C0" w:rsidRPr="000446C0" w:rsidRDefault="000446C0" w:rsidP="000446C0">
      <w:pPr>
        <w:autoSpaceDE w:val="0"/>
        <w:autoSpaceDN w:val="0"/>
        <w:adjustRightInd w:val="0"/>
        <w:spacing w:after="0" w:line="240" w:lineRule="auto"/>
        <w:ind w:left="720"/>
        <w:rPr>
          <w:rFonts w:ascii="Cambria-Italic" w:hAnsi="Cambria-Italic" w:cs="Cambria-Italic"/>
          <w:i/>
          <w:iCs/>
          <w:szCs w:val="22"/>
        </w:rPr>
      </w:pPr>
    </w:p>
    <w:p w14:paraId="500F60C2" w14:textId="4CDDD210" w:rsidR="00C22214" w:rsidRPr="00BD5DBD" w:rsidRDefault="00C22214" w:rsidP="00C22214">
      <w:pPr>
        <w:rPr>
          <w:szCs w:val="22"/>
        </w:rPr>
      </w:pPr>
      <w:r w:rsidRPr="00BD5DBD">
        <w:rPr>
          <w:szCs w:val="22"/>
        </w:rPr>
        <w:t xml:space="preserve">As such, the full indications at this time </w:t>
      </w:r>
      <w:r w:rsidR="004269F3">
        <w:rPr>
          <w:szCs w:val="22"/>
        </w:rPr>
        <w:t>are</w:t>
      </w:r>
      <w:r w:rsidRPr="00BD5DBD">
        <w:rPr>
          <w:szCs w:val="22"/>
        </w:rPr>
        <w:t>:</w:t>
      </w:r>
    </w:p>
    <w:p w14:paraId="095EC15C" w14:textId="77777777" w:rsidR="001E30C1" w:rsidRDefault="001E30C1" w:rsidP="001E30C1">
      <w:pPr>
        <w:autoSpaceDE w:val="0"/>
        <w:autoSpaceDN w:val="0"/>
        <w:adjustRightInd w:val="0"/>
        <w:spacing w:after="0" w:line="240" w:lineRule="auto"/>
        <w:ind w:left="720"/>
        <w:rPr>
          <w:rFonts w:ascii="Cambria-BoldItalic" w:hAnsi="Cambria-BoldItalic" w:cs="Cambria-BoldItalic"/>
          <w:b/>
          <w:bCs/>
          <w:i/>
          <w:iCs/>
          <w:szCs w:val="22"/>
        </w:rPr>
      </w:pPr>
      <w:r>
        <w:rPr>
          <w:rFonts w:ascii="Cambria-BoldItalic" w:hAnsi="Cambria-BoldItalic" w:cs="Cambria-BoldItalic"/>
          <w:b/>
          <w:bCs/>
          <w:i/>
          <w:iCs/>
          <w:szCs w:val="22"/>
        </w:rPr>
        <w:t>Ovarian cancer</w:t>
      </w:r>
    </w:p>
    <w:p w14:paraId="132CAA16" w14:textId="61C011C0" w:rsidR="001E30C1" w:rsidRDefault="001A10EC" w:rsidP="001E30C1">
      <w:pPr>
        <w:autoSpaceDE w:val="0"/>
        <w:autoSpaceDN w:val="0"/>
        <w:adjustRightInd w:val="0"/>
        <w:spacing w:after="0" w:line="240" w:lineRule="auto"/>
        <w:ind w:left="720"/>
        <w:rPr>
          <w:rFonts w:ascii="Cambria-Italic" w:hAnsi="Cambria-Italic" w:cs="Cambria-Italic"/>
          <w:i/>
          <w:iCs/>
          <w:szCs w:val="22"/>
        </w:rPr>
      </w:pPr>
      <w:r>
        <w:rPr>
          <w:rFonts w:ascii="Cambria-Italic" w:hAnsi="Cambria-Italic" w:cs="Cambria-Italic"/>
          <w:i/>
          <w:iCs/>
          <w:szCs w:val="22"/>
        </w:rPr>
        <w:t>Lynparza</w:t>
      </w:r>
      <w:r w:rsidR="001E30C1">
        <w:rPr>
          <w:rFonts w:ascii="Cambria-Italic" w:hAnsi="Cambria-Italic" w:cs="Cambria-Italic"/>
          <w:i/>
          <w:iCs/>
          <w:szCs w:val="22"/>
        </w:rPr>
        <w:t xml:space="preserve"> is indicated as monotherapy for the:</w:t>
      </w:r>
    </w:p>
    <w:p w14:paraId="7547CACC" w14:textId="0546ECCC" w:rsidR="001E30C1" w:rsidRDefault="001E30C1" w:rsidP="001E30C1">
      <w:pPr>
        <w:autoSpaceDE w:val="0"/>
        <w:autoSpaceDN w:val="0"/>
        <w:adjustRightInd w:val="0"/>
        <w:spacing w:after="0" w:line="240" w:lineRule="auto"/>
        <w:ind w:left="720"/>
        <w:rPr>
          <w:rFonts w:ascii="Cambria-Italic" w:hAnsi="Cambria-Italic" w:cs="Cambria-Italic"/>
          <w:i/>
          <w:iCs/>
          <w:szCs w:val="22"/>
        </w:rPr>
      </w:pPr>
      <w:r>
        <w:rPr>
          <w:rFonts w:ascii="SymbolMT" w:hAnsi="SymbolMT" w:cs="SymbolMT"/>
          <w:szCs w:val="22"/>
        </w:rPr>
        <w:t xml:space="preserve">• </w:t>
      </w:r>
      <w:r>
        <w:rPr>
          <w:rFonts w:ascii="Cambria-Italic" w:hAnsi="Cambria-Italic" w:cs="Cambria-Italic"/>
          <w:i/>
          <w:iCs/>
          <w:szCs w:val="22"/>
        </w:rPr>
        <w:t>maintenance treatment of adult patients who have advanced, high-grade, epithelial ovarian, fallopian tube or primary peritoneal cancer with a deleterious or suspected deleterious, breast cancer susceptibility gene (BRCA) mutation (germline or somatic), which is in response (complete or partial) to first-line platinum-based chemotherapy.</w:t>
      </w:r>
    </w:p>
    <w:p w14:paraId="3CE5B8D0" w14:textId="6F113D95" w:rsidR="001E30C1" w:rsidRDefault="001E30C1" w:rsidP="001E30C1">
      <w:pPr>
        <w:autoSpaceDE w:val="0"/>
        <w:autoSpaceDN w:val="0"/>
        <w:adjustRightInd w:val="0"/>
        <w:spacing w:after="0" w:line="240" w:lineRule="auto"/>
        <w:ind w:left="720"/>
        <w:rPr>
          <w:rFonts w:ascii="Cambria-Italic" w:hAnsi="Cambria-Italic" w:cs="Cambria-Italic"/>
          <w:i/>
          <w:iCs/>
          <w:szCs w:val="22"/>
        </w:rPr>
      </w:pPr>
      <w:r>
        <w:rPr>
          <w:rFonts w:ascii="SymbolMT" w:hAnsi="SymbolMT" w:cs="SymbolMT"/>
          <w:szCs w:val="22"/>
        </w:rPr>
        <w:t xml:space="preserve">• </w:t>
      </w:r>
      <w:r>
        <w:rPr>
          <w:rFonts w:ascii="Cambria-Italic" w:hAnsi="Cambria-Italic" w:cs="Cambria-Italic"/>
          <w:i/>
          <w:iCs/>
          <w:szCs w:val="22"/>
        </w:rPr>
        <w:t>maintenance treatment of adult patients who have platinum-sensitive relapsed,</w:t>
      </w:r>
      <w:r w:rsidR="00C42360">
        <w:rPr>
          <w:rFonts w:ascii="Cambria-Italic" w:hAnsi="Cambria-Italic" w:cs="Cambria-Italic"/>
          <w:i/>
          <w:iCs/>
          <w:szCs w:val="22"/>
        </w:rPr>
        <w:t xml:space="preserve"> </w:t>
      </w:r>
      <w:r>
        <w:rPr>
          <w:rFonts w:ascii="Cambria-Italic" w:hAnsi="Cambria-Italic" w:cs="Cambria-Italic"/>
          <w:i/>
          <w:iCs/>
          <w:szCs w:val="22"/>
        </w:rPr>
        <w:t>high-grade epithelial ovarian, fallopian tube or primary peritoneal cancer</w:t>
      </w:r>
      <w:r w:rsidR="00C42360">
        <w:rPr>
          <w:rFonts w:ascii="Cambria-Italic" w:hAnsi="Cambria-Italic" w:cs="Cambria-Italic"/>
          <w:i/>
          <w:iCs/>
          <w:szCs w:val="22"/>
        </w:rPr>
        <w:t xml:space="preserve"> </w:t>
      </w:r>
      <w:r>
        <w:rPr>
          <w:rFonts w:ascii="Cambria-Italic" w:hAnsi="Cambria-Italic" w:cs="Cambria-Italic"/>
          <w:i/>
          <w:iCs/>
          <w:szCs w:val="22"/>
        </w:rPr>
        <w:t>which is in response (complete or partial) after platinum-based chemotherapy.</w:t>
      </w:r>
      <w:r w:rsidR="00C42360">
        <w:rPr>
          <w:rFonts w:ascii="Cambria-Italic" w:hAnsi="Cambria-Italic" w:cs="Cambria-Italic"/>
          <w:i/>
          <w:iCs/>
          <w:szCs w:val="22"/>
        </w:rPr>
        <w:t xml:space="preserve"> </w:t>
      </w:r>
      <w:r>
        <w:rPr>
          <w:rFonts w:ascii="Cambria-Italic" w:hAnsi="Cambria-Italic" w:cs="Cambria-Italic"/>
          <w:i/>
          <w:iCs/>
          <w:szCs w:val="22"/>
        </w:rPr>
        <w:t>Prior treatment must have included at least 2 courses of platinum-based</w:t>
      </w:r>
      <w:r w:rsidR="00C42360">
        <w:rPr>
          <w:rFonts w:ascii="Cambria-Italic" w:hAnsi="Cambria-Italic" w:cs="Cambria-Italic"/>
          <w:i/>
          <w:iCs/>
          <w:szCs w:val="22"/>
        </w:rPr>
        <w:t xml:space="preserve"> </w:t>
      </w:r>
      <w:r>
        <w:rPr>
          <w:rFonts w:ascii="Cambria-Italic" w:hAnsi="Cambria-Italic" w:cs="Cambria-Italic"/>
          <w:i/>
          <w:iCs/>
          <w:szCs w:val="22"/>
        </w:rPr>
        <w:t>regimens.</w:t>
      </w:r>
    </w:p>
    <w:p w14:paraId="23867F41" w14:textId="77777777" w:rsidR="00C42360" w:rsidRDefault="00C42360" w:rsidP="001E30C1">
      <w:pPr>
        <w:autoSpaceDE w:val="0"/>
        <w:autoSpaceDN w:val="0"/>
        <w:adjustRightInd w:val="0"/>
        <w:spacing w:after="0" w:line="240" w:lineRule="auto"/>
        <w:ind w:left="720"/>
        <w:rPr>
          <w:rFonts w:ascii="Cambria-Italic" w:hAnsi="Cambria-Italic" w:cs="Cambria-Italic"/>
          <w:i/>
          <w:iCs/>
          <w:szCs w:val="22"/>
        </w:rPr>
      </w:pPr>
    </w:p>
    <w:p w14:paraId="53EFCF04" w14:textId="65DFA45D" w:rsidR="001E30C1" w:rsidRDefault="001A10EC" w:rsidP="001E30C1">
      <w:pPr>
        <w:autoSpaceDE w:val="0"/>
        <w:autoSpaceDN w:val="0"/>
        <w:adjustRightInd w:val="0"/>
        <w:spacing w:after="0" w:line="240" w:lineRule="auto"/>
        <w:ind w:left="720"/>
        <w:rPr>
          <w:rFonts w:ascii="Cambria-Italic" w:hAnsi="Cambria-Italic" w:cs="Cambria-Italic"/>
          <w:i/>
          <w:iCs/>
          <w:szCs w:val="22"/>
        </w:rPr>
      </w:pPr>
      <w:r>
        <w:rPr>
          <w:rFonts w:ascii="Cambria-Italic" w:hAnsi="Cambria-Italic" w:cs="Cambria-Italic"/>
          <w:i/>
          <w:iCs/>
          <w:szCs w:val="22"/>
        </w:rPr>
        <w:t>Lynparza</w:t>
      </w:r>
      <w:r w:rsidR="001E30C1">
        <w:rPr>
          <w:rFonts w:ascii="Cambria-Italic" w:hAnsi="Cambria-Italic" w:cs="Cambria-Italic"/>
          <w:i/>
          <w:iCs/>
          <w:szCs w:val="22"/>
        </w:rPr>
        <w:t xml:space="preserve"> in combination with bevacizumab is indicated for the:</w:t>
      </w:r>
    </w:p>
    <w:p w14:paraId="0F536354" w14:textId="653E31DE" w:rsidR="001E30C1" w:rsidRDefault="001E30C1" w:rsidP="001E30C1">
      <w:pPr>
        <w:autoSpaceDE w:val="0"/>
        <w:autoSpaceDN w:val="0"/>
        <w:adjustRightInd w:val="0"/>
        <w:spacing w:after="0" w:line="240" w:lineRule="auto"/>
        <w:ind w:left="720"/>
        <w:rPr>
          <w:rFonts w:ascii="Cambria-Italic" w:hAnsi="Cambria-Italic" w:cs="Cambria-Italic"/>
          <w:i/>
          <w:iCs/>
          <w:szCs w:val="22"/>
        </w:rPr>
      </w:pPr>
      <w:r>
        <w:rPr>
          <w:rFonts w:ascii="SymbolMT" w:hAnsi="SymbolMT" w:cs="SymbolMT"/>
          <w:szCs w:val="22"/>
        </w:rPr>
        <w:t xml:space="preserve">• </w:t>
      </w:r>
      <w:r>
        <w:rPr>
          <w:rFonts w:ascii="Cambria-Italic" w:hAnsi="Cambria-Italic" w:cs="Cambria-Italic"/>
          <w:i/>
          <w:iCs/>
          <w:szCs w:val="22"/>
        </w:rPr>
        <w:t>maintenance treatment of adult patients who have advanced, epithelial ovarian,</w:t>
      </w:r>
      <w:r w:rsidR="00C42360">
        <w:rPr>
          <w:rFonts w:ascii="Cambria-Italic" w:hAnsi="Cambria-Italic" w:cs="Cambria-Italic"/>
          <w:i/>
          <w:iCs/>
          <w:szCs w:val="22"/>
        </w:rPr>
        <w:t xml:space="preserve"> </w:t>
      </w:r>
      <w:r>
        <w:rPr>
          <w:rFonts w:ascii="Cambria-Italic" w:hAnsi="Cambria-Italic" w:cs="Cambria-Italic"/>
          <w:i/>
          <w:iCs/>
          <w:szCs w:val="22"/>
        </w:rPr>
        <w:t>fallopian tube or primary peritoneal cancer which is in response (complete or</w:t>
      </w:r>
      <w:r w:rsidR="00C42360">
        <w:rPr>
          <w:rFonts w:ascii="Cambria-Italic" w:hAnsi="Cambria-Italic" w:cs="Cambria-Italic"/>
          <w:i/>
          <w:iCs/>
          <w:szCs w:val="22"/>
        </w:rPr>
        <w:t xml:space="preserve"> </w:t>
      </w:r>
      <w:r>
        <w:rPr>
          <w:rFonts w:ascii="Cambria-Italic" w:hAnsi="Cambria-Italic" w:cs="Cambria-Italic"/>
          <w:i/>
          <w:iCs/>
          <w:szCs w:val="22"/>
        </w:rPr>
        <w:t xml:space="preserve">partial) to first-line </w:t>
      </w:r>
      <w:r w:rsidR="00FD24E8">
        <w:rPr>
          <w:rFonts w:ascii="Cambria-Italic" w:hAnsi="Cambria-Italic" w:cs="Cambria-Italic"/>
          <w:i/>
          <w:iCs/>
          <w:szCs w:val="22"/>
        </w:rPr>
        <w:t>platinum based</w:t>
      </w:r>
      <w:r>
        <w:rPr>
          <w:rFonts w:ascii="Cambria-Italic" w:hAnsi="Cambria-Italic" w:cs="Cambria-Italic"/>
          <w:i/>
          <w:iCs/>
          <w:szCs w:val="22"/>
        </w:rPr>
        <w:t xml:space="preserve"> chemotherapy and whose cancer is</w:t>
      </w:r>
      <w:r w:rsidR="00C42360">
        <w:rPr>
          <w:rFonts w:ascii="Cambria-Italic" w:hAnsi="Cambria-Italic" w:cs="Cambria-Italic"/>
          <w:i/>
          <w:iCs/>
          <w:szCs w:val="22"/>
        </w:rPr>
        <w:t xml:space="preserve"> </w:t>
      </w:r>
      <w:r>
        <w:rPr>
          <w:rFonts w:ascii="Cambria-Italic" w:hAnsi="Cambria-Italic" w:cs="Cambria-Italic"/>
          <w:i/>
          <w:iCs/>
          <w:szCs w:val="22"/>
        </w:rPr>
        <w:t>associated with homologous recombination deficiency (HRD)-positive status</w:t>
      </w:r>
      <w:r w:rsidR="00C42360">
        <w:rPr>
          <w:rFonts w:ascii="Cambria-Italic" w:hAnsi="Cambria-Italic" w:cs="Cambria-Italic"/>
          <w:i/>
          <w:iCs/>
          <w:szCs w:val="22"/>
        </w:rPr>
        <w:t xml:space="preserve"> </w:t>
      </w:r>
      <w:r>
        <w:rPr>
          <w:rFonts w:ascii="Cambria-Italic" w:hAnsi="Cambria-Italic" w:cs="Cambria-Italic"/>
          <w:i/>
          <w:iCs/>
          <w:szCs w:val="22"/>
        </w:rPr>
        <w:t>defined by either:</w:t>
      </w:r>
    </w:p>
    <w:p w14:paraId="28AE6E9F" w14:textId="203F22E1" w:rsidR="001E30C1" w:rsidRDefault="001E30C1" w:rsidP="001E30C1">
      <w:pPr>
        <w:autoSpaceDE w:val="0"/>
        <w:autoSpaceDN w:val="0"/>
        <w:adjustRightInd w:val="0"/>
        <w:spacing w:after="0" w:line="240" w:lineRule="auto"/>
        <w:ind w:left="720"/>
        <w:rPr>
          <w:rFonts w:ascii="Cambria-Italic" w:hAnsi="Cambria-Italic" w:cs="Cambria-Italic"/>
          <w:i/>
          <w:iCs/>
          <w:szCs w:val="22"/>
        </w:rPr>
      </w:pPr>
      <w:r>
        <w:rPr>
          <w:rFonts w:cs="Cambria"/>
          <w:szCs w:val="22"/>
        </w:rPr>
        <w:t xml:space="preserve">- </w:t>
      </w:r>
      <w:r>
        <w:rPr>
          <w:rFonts w:ascii="Cambria-Italic" w:hAnsi="Cambria-Italic" w:cs="Cambria-Italic"/>
          <w:i/>
          <w:iCs/>
          <w:szCs w:val="22"/>
        </w:rPr>
        <w:t>a deleterious or suspected deleterious BRCA mutation (germline or</w:t>
      </w:r>
      <w:r w:rsidR="00C42360">
        <w:rPr>
          <w:rFonts w:ascii="Cambria-Italic" w:hAnsi="Cambria-Italic" w:cs="Cambria-Italic"/>
          <w:i/>
          <w:iCs/>
          <w:szCs w:val="22"/>
        </w:rPr>
        <w:t xml:space="preserve"> </w:t>
      </w:r>
      <w:r>
        <w:rPr>
          <w:rFonts w:ascii="Cambria-Italic" w:hAnsi="Cambria-Italic" w:cs="Cambria-Italic"/>
          <w:i/>
          <w:iCs/>
          <w:szCs w:val="22"/>
        </w:rPr>
        <w:t>somatic), and/or</w:t>
      </w:r>
    </w:p>
    <w:p w14:paraId="46D69105" w14:textId="77777777" w:rsidR="001E30C1" w:rsidRDefault="001E30C1" w:rsidP="001E30C1">
      <w:pPr>
        <w:autoSpaceDE w:val="0"/>
        <w:autoSpaceDN w:val="0"/>
        <w:adjustRightInd w:val="0"/>
        <w:spacing w:after="0" w:line="240" w:lineRule="auto"/>
        <w:ind w:left="720"/>
        <w:rPr>
          <w:rFonts w:ascii="Cambria-Italic" w:hAnsi="Cambria-Italic" w:cs="Cambria-Italic"/>
          <w:i/>
          <w:iCs/>
          <w:szCs w:val="22"/>
        </w:rPr>
      </w:pPr>
      <w:r>
        <w:rPr>
          <w:rFonts w:cs="Cambria"/>
          <w:szCs w:val="22"/>
        </w:rPr>
        <w:t xml:space="preserve">- </w:t>
      </w:r>
      <w:r>
        <w:rPr>
          <w:rFonts w:ascii="Cambria-Italic" w:hAnsi="Cambria-Italic" w:cs="Cambria-Italic"/>
          <w:i/>
          <w:iCs/>
          <w:szCs w:val="22"/>
        </w:rPr>
        <w:t>genomic instability</w:t>
      </w:r>
    </w:p>
    <w:p w14:paraId="2F53A90B" w14:textId="77777777" w:rsidR="00C42360" w:rsidRDefault="00C42360" w:rsidP="001E30C1">
      <w:pPr>
        <w:autoSpaceDE w:val="0"/>
        <w:autoSpaceDN w:val="0"/>
        <w:adjustRightInd w:val="0"/>
        <w:spacing w:after="0" w:line="240" w:lineRule="auto"/>
        <w:ind w:left="720"/>
        <w:rPr>
          <w:rFonts w:ascii="Cambria-Italic" w:hAnsi="Cambria-Italic" w:cs="Cambria-Italic"/>
          <w:i/>
          <w:iCs/>
          <w:szCs w:val="22"/>
        </w:rPr>
      </w:pPr>
    </w:p>
    <w:p w14:paraId="30863CB1" w14:textId="77777777" w:rsidR="001E30C1" w:rsidRDefault="001E30C1" w:rsidP="001E30C1">
      <w:pPr>
        <w:autoSpaceDE w:val="0"/>
        <w:autoSpaceDN w:val="0"/>
        <w:adjustRightInd w:val="0"/>
        <w:spacing w:after="0" w:line="240" w:lineRule="auto"/>
        <w:ind w:left="720"/>
        <w:rPr>
          <w:rFonts w:ascii="Cambria-BoldItalic" w:hAnsi="Cambria-BoldItalic" w:cs="Cambria-BoldItalic"/>
          <w:b/>
          <w:bCs/>
          <w:i/>
          <w:iCs/>
          <w:szCs w:val="22"/>
        </w:rPr>
      </w:pPr>
      <w:r>
        <w:rPr>
          <w:rFonts w:ascii="Cambria-BoldItalic" w:hAnsi="Cambria-BoldItalic" w:cs="Cambria-BoldItalic"/>
          <w:b/>
          <w:bCs/>
          <w:i/>
          <w:iCs/>
          <w:szCs w:val="22"/>
        </w:rPr>
        <w:t>Breast cancer</w:t>
      </w:r>
    </w:p>
    <w:p w14:paraId="28D31DE8" w14:textId="67F354A6" w:rsidR="001E30C1" w:rsidRDefault="001A10EC" w:rsidP="001E30C1">
      <w:pPr>
        <w:autoSpaceDE w:val="0"/>
        <w:autoSpaceDN w:val="0"/>
        <w:adjustRightInd w:val="0"/>
        <w:spacing w:after="0" w:line="240" w:lineRule="auto"/>
        <w:ind w:left="720"/>
        <w:rPr>
          <w:rFonts w:ascii="Cambria-Italic" w:hAnsi="Cambria-Italic" w:cs="Cambria-Italic"/>
          <w:i/>
          <w:iCs/>
          <w:szCs w:val="22"/>
        </w:rPr>
      </w:pPr>
      <w:r>
        <w:rPr>
          <w:rFonts w:ascii="Cambria-Italic" w:hAnsi="Cambria-Italic" w:cs="Cambria-Italic"/>
          <w:i/>
          <w:iCs/>
          <w:szCs w:val="22"/>
        </w:rPr>
        <w:t>Lynparza</w:t>
      </w:r>
      <w:r w:rsidR="001E30C1">
        <w:rPr>
          <w:rFonts w:ascii="Cambria-Italic" w:hAnsi="Cambria-Italic" w:cs="Cambria-Italic"/>
          <w:i/>
          <w:iCs/>
          <w:szCs w:val="22"/>
        </w:rPr>
        <w:t xml:space="preserve"> is indicated as monotherapy for the:</w:t>
      </w:r>
    </w:p>
    <w:p w14:paraId="769DFBFA" w14:textId="5887E519" w:rsidR="001E30C1" w:rsidRDefault="001E30C1" w:rsidP="001E30C1">
      <w:pPr>
        <w:autoSpaceDE w:val="0"/>
        <w:autoSpaceDN w:val="0"/>
        <w:adjustRightInd w:val="0"/>
        <w:spacing w:after="0" w:line="240" w:lineRule="auto"/>
        <w:ind w:left="720"/>
        <w:rPr>
          <w:rFonts w:ascii="Cambria-Italic" w:hAnsi="Cambria-Italic" w:cs="Cambria-Italic"/>
          <w:i/>
          <w:iCs/>
          <w:szCs w:val="22"/>
        </w:rPr>
      </w:pPr>
      <w:r>
        <w:rPr>
          <w:rFonts w:ascii="SymbolMT" w:hAnsi="SymbolMT" w:cs="SymbolMT"/>
          <w:szCs w:val="22"/>
        </w:rPr>
        <w:t xml:space="preserve">• </w:t>
      </w:r>
      <w:r>
        <w:rPr>
          <w:rFonts w:ascii="Cambria-Italic" w:hAnsi="Cambria-Italic" w:cs="Cambria-Italic"/>
          <w:i/>
          <w:iCs/>
          <w:szCs w:val="22"/>
        </w:rPr>
        <w:t>adjuvant treatment of adult patients who have HER2-negative, high-risk early</w:t>
      </w:r>
      <w:r w:rsidR="00C42360">
        <w:rPr>
          <w:rFonts w:ascii="Cambria-Italic" w:hAnsi="Cambria-Italic" w:cs="Cambria-Italic"/>
          <w:i/>
          <w:iCs/>
          <w:szCs w:val="22"/>
        </w:rPr>
        <w:t xml:space="preserve"> </w:t>
      </w:r>
      <w:r>
        <w:rPr>
          <w:rFonts w:ascii="Cambria-Italic" w:hAnsi="Cambria-Italic" w:cs="Cambria-Italic"/>
          <w:i/>
          <w:iCs/>
          <w:szCs w:val="22"/>
        </w:rPr>
        <w:t>breast cancer with a deleterious or suspected deleterious germline BRCA</w:t>
      </w:r>
      <w:r w:rsidR="00C42360">
        <w:rPr>
          <w:rFonts w:ascii="Cambria-Italic" w:hAnsi="Cambria-Italic" w:cs="Cambria-Italic"/>
          <w:i/>
          <w:iCs/>
          <w:szCs w:val="22"/>
        </w:rPr>
        <w:t xml:space="preserve"> </w:t>
      </w:r>
      <w:r>
        <w:rPr>
          <w:rFonts w:ascii="Cambria-Italic" w:hAnsi="Cambria-Italic" w:cs="Cambria-Italic"/>
          <w:i/>
          <w:iCs/>
          <w:szCs w:val="22"/>
        </w:rPr>
        <w:t>mutation (gBRCAm), for which they have previously been treated with</w:t>
      </w:r>
      <w:r w:rsidR="00C42360">
        <w:rPr>
          <w:rFonts w:ascii="Cambria-Italic" w:hAnsi="Cambria-Italic" w:cs="Cambria-Italic"/>
          <w:i/>
          <w:iCs/>
          <w:szCs w:val="22"/>
        </w:rPr>
        <w:t xml:space="preserve"> </w:t>
      </w:r>
      <w:r>
        <w:rPr>
          <w:rFonts w:ascii="Cambria-Italic" w:hAnsi="Cambria-Italic" w:cs="Cambria-Italic"/>
          <w:i/>
          <w:iCs/>
          <w:szCs w:val="22"/>
        </w:rPr>
        <w:t>neoadjuvant or adjuvant chemotherapy.</w:t>
      </w:r>
    </w:p>
    <w:p w14:paraId="67A9597A" w14:textId="7ACAF244" w:rsidR="001E30C1" w:rsidRDefault="001E30C1" w:rsidP="001E30C1">
      <w:pPr>
        <w:autoSpaceDE w:val="0"/>
        <w:autoSpaceDN w:val="0"/>
        <w:adjustRightInd w:val="0"/>
        <w:spacing w:after="0" w:line="240" w:lineRule="auto"/>
        <w:ind w:left="720"/>
        <w:rPr>
          <w:rFonts w:ascii="Cambria-Italic" w:hAnsi="Cambria-Italic" w:cs="Cambria-Italic"/>
          <w:i/>
          <w:iCs/>
          <w:szCs w:val="22"/>
        </w:rPr>
      </w:pPr>
      <w:r>
        <w:rPr>
          <w:rFonts w:ascii="SymbolMT" w:hAnsi="SymbolMT" w:cs="SymbolMT"/>
          <w:szCs w:val="22"/>
        </w:rPr>
        <w:t xml:space="preserve">• </w:t>
      </w:r>
      <w:r>
        <w:rPr>
          <w:rFonts w:ascii="Cambria-Italic" w:hAnsi="Cambria-Italic" w:cs="Cambria-Italic"/>
          <w:i/>
          <w:iCs/>
          <w:szCs w:val="22"/>
        </w:rPr>
        <w:t>treatment of adult patients who have HER2-negative metastatic breast cancer</w:t>
      </w:r>
      <w:r w:rsidR="00C42360">
        <w:rPr>
          <w:rFonts w:ascii="Cambria-Italic" w:hAnsi="Cambria-Italic" w:cs="Cambria-Italic"/>
          <w:i/>
          <w:iCs/>
          <w:szCs w:val="22"/>
        </w:rPr>
        <w:t xml:space="preserve"> </w:t>
      </w:r>
      <w:r>
        <w:rPr>
          <w:rFonts w:ascii="Cambria-Italic" w:hAnsi="Cambria-Italic" w:cs="Cambria-Italic"/>
          <w:i/>
          <w:iCs/>
          <w:szCs w:val="22"/>
        </w:rPr>
        <w:t>with a deleterious or suspected deleterious gBRCAm, for which they have</w:t>
      </w:r>
      <w:r w:rsidR="00C42360">
        <w:rPr>
          <w:rFonts w:ascii="Cambria-Italic" w:hAnsi="Cambria-Italic" w:cs="Cambria-Italic"/>
          <w:i/>
          <w:iCs/>
          <w:szCs w:val="22"/>
        </w:rPr>
        <w:t xml:space="preserve"> </w:t>
      </w:r>
      <w:r>
        <w:rPr>
          <w:rFonts w:ascii="Cambria-Italic" w:hAnsi="Cambria-Italic" w:cs="Cambria-Italic"/>
          <w:i/>
          <w:iCs/>
          <w:szCs w:val="22"/>
        </w:rPr>
        <w:t>previously been treated with chemotherapy in the neoadjuvant, adjuvant or</w:t>
      </w:r>
      <w:r w:rsidR="00C42360">
        <w:rPr>
          <w:rFonts w:ascii="Cambria-Italic" w:hAnsi="Cambria-Italic" w:cs="Cambria-Italic"/>
          <w:i/>
          <w:iCs/>
          <w:szCs w:val="22"/>
        </w:rPr>
        <w:t xml:space="preserve"> </w:t>
      </w:r>
      <w:r>
        <w:rPr>
          <w:rFonts w:ascii="Cambria-Italic" w:hAnsi="Cambria-Italic" w:cs="Cambria-Italic"/>
          <w:i/>
          <w:iCs/>
          <w:szCs w:val="22"/>
        </w:rPr>
        <w:t>metastatic setting.</w:t>
      </w:r>
    </w:p>
    <w:p w14:paraId="315355B8" w14:textId="77777777" w:rsidR="00C42360" w:rsidRDefault="00C42360" w:rsidP="001E30C1">
      <w:pPr>
        <w:autoSpaceDE w:val="0"/>
        <w:autoSpaceDN w:val="0"/>
        <w:adjustRightInd w:val="0"/>
        <w:spacing w:after="0" w:line="240" w:lineRule="auto"/>
        <w:ind w:left="720"/>
        <w:rPr>
          <w:rFonts w:ascii="Cambria-Italic" w:hAnsi="Cambria-Italic" w:cs="Cambria-Italic"/>
          <w:i/>
          <w:iCs/>
          <w:szCs w:val="22"/>
        </w:rPr>
      </w:pPr>
    </w:p>
    <w:p w14:paraId="66DA8B8A" w14:textId="77777777" w:rsidR="001E30C1" w:rsidRDefault="001E30C1" w:rsidP="001E30C1">
      <w:pPr>
        <w:autoSpaceDE w:val="0"/>
        <w:autoSpaceDN w:val="0"/>
        <w:adjustRightInd w:val="0"/>
        <w:spacing w:after="0" w:line="240" w:lineRule="auto"/>
        <w:ind w:left="720"/>
        <w:rPr>
          <w:rFonts w:ascii="Cambria-BoldItalic" w:hAnsi="Cambria-BoldItalic" w:cs="Cambria-BoldItalic"/>
          <w:b/>
          <w:bCs/>
          <w:i/>
          <w:iCs/>
          <w:szCs w:val="22"/>
        </w:rPr>
      </w:pPr>
      <w:r>
        <w:rPr>
          <w:rFonts w:ascii="Cambria-BoldItalic" w:hAnsi="Cambria-BoldItalic" w:cs="Cambria-BoldItalic"/>
          <w:b/>
          <w:bCs/>
          <w:i/>
          <w:iCs/>
          <w:szCs w:val="22"/>
        </w:rPr>
        <w:t>Adenocarcinoma of the pancreas</w:t>
      </w:r>
    </w:p>
    <w:p w14:paraId="69280E63" w14:textId="0484744D" w:rsidR="001E30C1" w:rsidRDefault="001A10EC" w:rsidP="001E30C1">
      <w:pPr>
        <w:autoSpaceDE w:val="0"/>
        <w:autoSpaceDN w:val="0"/>
        <w:adjustRightInd w:val="0"/>
        <w:spacing w:after="0" w:line="240" w:lineRule="auto"/>
        <w:ind w:left="720"/>
        <w:rPr>
          <w:rFonts w:ascii="Cambria-Italic" w:hAnsi="Cambria-Italic" w:cs="Cambria-Italic"/>
          <w:i/>
          <w:iCs/>
          <w:szCs w:val="22"/>
        </w:rPr>
      </w:pPr>
      <w:r>
        <w:rPr>
          <w:rFonts w:ascii="Cambria-Italic" w:hAnsi="Cambria-Italic" w:cs="Cambria-Italic"/>
          <w:i/>
          <w:iCs/>
          <w:szCs w:val="22"/>
        </w:rPr>
        <w:t>Lynparza</w:t>
      </w:r>
      <w:r w:rsidR="001E30C1">
        <w:rPr>
          <w:rFonts w:ascii="Cambria-Italic" w:hAnsi="Cambria-Italic" w:cs="Cambria-Italic"/>
          <w:i/>
          <w:iCs/>
          <w:szCs w:val="22"/>
        </w:rPr>
        <w:t xml:space="preserve"> is indicated as monotherapy for the:</w:t>
      </w:r>
    </w:p>
    <w:p w14:paraId="58A37883" w14:textId="0DEFF191" w:rsidR="001E30C1" w:rsidRDefault="001E30C1" w:rsidP="001E30C1">
      <w:pPr>
        <w:autoSpaceDE w:val="0"/>
        <w:autoSpaceDN w:val="0"/>
        <w:adjustRightInd w:val="0"/>
        <w:spacing w:after="0" w:line="240" w:lineRule="auto"/>
        <w:ind w:left="720"/>
        <w:rPr>
          <w:rFonts w:ascii="Cambria-Italic" w:hAnsi="Cambria-Italic" w:cs="Cambria-Italic"/>
          <w:i/>
          <w:iCs/>
          <w:szCs w:val="22"/>
        </w:rPr>
      </w:pPr>
      <w:r>
        <w:rPr>
          <w:rFonts w:ascii="SymbolMT" w:hAnsi="SymbolMT" w:cs="SymbolMT"/>
          <w:szCs w:val="22"/>
        </w:rPr>
        <w:t xml:space="preserve">• </w:t>
      </w:r>
      <w:r>
        <w:rPr>
          <w:rFonts w:ascii="Cambria-Italic" w:hAnsi="Cambria-Italic" w:cs="Cambria-Italic"/>
          <w:i/>
          <w:iCs/>
          <w:szCs w:val="22"/>
        </w:rPr>
        <w:t>maintenance treatment of adult patients who have metastatic pancreatic</w:t>
      </w:r>
      <w:r w:rsidR="00C42360">
        <w:rPr>
          <w:rFonts w:ascii="Cambria-Italic" w:hAnsi="Cambria-Italic" w:cs="Cambria-Italic"/>
          <w:i/>
          <w:iCs/>
          <w:szCs w:val="22"/>
        </w:rPr>
        <w:t xml:space="preserve"> </w:t>
      </w:r>
      <w:r>
        <w:rPr>
          <w:rFonts w:ascii="Cambria-Italic" w:hAnsi="Cambria-Italic" w:cs="Cambria-Italic"/>
          <w:i/>
          <w:iCs/>
          <w:szCs w:val="22"/>
        </w:rPr>
        <w:t>adenocarcinoma with a deleterious or suspected deleterious gBRCAm, which has</w:t>
      </w:r>
      <w:r w:rsidR="00C42360">
        <w:rPr>
          <w:rFonts w:ascii="Cambria-Italic" w:hAnsi="Cambria-Italic" w:cs="Cambria-Italic"/>
          <w:i/>
          <w:iCs/>
          <w:szCs w:val="22"/>
        </w:rPr>
        <w:t xml:space="preserve"> </w:t>
      </w:r>
      <w:r>
        <w:rPr>
          <w:rFonts w:ascii="Cambria-Italic" w:hAnsi="Cambria-Italic" w:cs="Cambria-Italic"/>
          <w:i/>
          <w:iCs/>
          <w:szCs w:val="22"/>
        </w:rPr>
        <w:t>not progressed on at least 16 weeks of a first-line platinum-based chemotherapy</w:t>
      </w:r>
      <w:r w:rsidR="00C42360">
        <w:rPr>
          <w:rFonts w:ascii="Cambria-Italic" w:hAnsi="Cambria-Italic" w:cs="Cambria-Italic"/>
          <w:i/>
          <w:iCs/>
          <w:szCs w:val="22"/>
        </w:rPr>
        <w:t xml:space="preserve"> </w:t>
      </w:r>
      <w:r>
        <w:rPr>
          <w:rFonts w:ascii="Cambria-Italic" w:hAnsi="Cambria-Italic" w:cs="Cambria-Italic"/>
          <w:i/>
          <w:iCs/>
          <w:szCs w:val="22"/>
        </w:rPr>
        <w:t>regimen.</w:t>
      </w:r>
    </w:p>
    <w:p w14:paraId="12532544" w14:textId="77777777" w:rsidR="001E30C1" w:rsidRDefault="001E30C1" w:rsidP="001E30C1">
      <w:pPr>
        <w:autoSpaceDE w:val="0"/>
        <w:autoSpaceDN w:val="0"/>
        <w:adjustRightInd w:val="0"/>
        <w:spacing w:after="0" w:line="240" w:lineRule="auto"/>
        <w:ind w:left="720"/>
        <w:rPr>
          <w:rFonts w:ascii="Cambria-BoldItalic" w:hAnsi="Cambria-BoldItalic" w:cs="Cambria-BoldItalic"/>
          <w:b/>
          <w:bCs/>
          <w:i/>
          <w:iCs/>
          <w:szCs w:val="22"/>
        </w:rPr>
      </w:pPr>
      <w:r>
        <w:rPr>
          <w:rFonts w:ascii="Cambria-BoldItalic" w:hAnsi="Cambria-BoldItalic" w:cs="Cambria-BoldItalic"/>
          <w:b/>
          <w:bCs/>
          <w:i/>
          <w:iCs/>
          <w:szCs w:val="22"/>
        </w:rPr>
        <w:t>Prostate cancer</w:t>
      </w:r>
    </w:p>
    <w:p w14:paraId="1AC955DB" w14:textId="6E32C3B9" w:rsidR="001E30C1" w:rsidRDefault="001A10EC" w:rsidP="001E30C1">
      <w:pPr>
        <w:autoSpaceDE w:val="0"/>
        <w:autoSpaceDN w:val="0"/>
        <w:adjustRightInd w:val="0"/>
        <w:spacing w:after="0" w:line="240" w:lineRule="auto"/>
        <w:ind w:left="720"/>
        <w:rPr>
          <w:rFonts w:ascii="Cambria-Italic" w:hAnsi="Cambria-Italic" w:cs="Cambria-Italic"/>
          <w:i/>
          <w:iCs/>
          <w:szCs w:val="22"/>
        </w:rPr>
      </w:pPr>
      <w:r>
        <w:rPr>
          <w:rFonts w:ascii="Cambria-Italic" w:hAnsi="Cambria-Italic" w:cs="Cambria-Italic"/>
          <w:i/>
          <w:iCs/>
          <w:szCs w:val="22"/>
        </w:rPr>
        <w:t>Lynparza</w:t>
      </w:r>
      <w:r w:rsidR="001E30C1">
        <w:rPr>
          <w:rFonts w:ascii="Cambria-Italic" w:hAnsi="Cambria-Italic" w:cs="Cambria-Italic"/>
          <w:i/>
          <w:iCs/>
          <w:szCs w:val="22"/>
        </w:rPr>
        <w:t xml:space="preserve"> is indicated as monotherapy for the:</w:t>
      </w:r>
    </w:p>
    <w:p w14:paraId="78FFC9EA" w14:textId="7C8E6209" w:rsidR="00C22214" w:rsidRDefault="001E30C1" w:rsidP="00C42360">
      <w:pPr>
        <w:autoSpaceDE w:val="0"/>
        <w:autoSpaceDN w:val="0"/>
        <w:adjustRightInd w:val="0"/>
        <w:spacing w:after="0" w:line="240" w:lineRule="auto"/>
        <w:ind w:left="720"/>
        <w:rPr>
          <w:rFonts w:ascii="Cambria-Italic" w:hAnsi="Cambria-Italic" w:cs="Cambria-Italic"/>
          <w:i/>
          <w:iCs/>
          <w:szCs w:val="22"/>
        </w:rPr>
      </w:pPr>
      <w:r>
        <w:rPr>
          <w:rFonts w:ascii="SymbolMT" w:hAnsi="SymbolMT" w:cs="SymbolMT"/>
          <w:szCs w:val="22"/>
        </w:rPr>
        <w:lastRenderedPageBreak/>
        <w:t xml:space="preserve">• </w:t>
      </w:r>
      <w:r>
        <w:rPr>
          <w:rFonts w:ascii="Cambria-Italic" w:hAnsi="Cambria-Italic" w:cs="Cambria-Italic"/>
          <w:i/>
          <w:iCs/>
          <w:szCs w:val="22"/>
        </w:rPr>
        <w:t>treatment of adult patients who have metastatic castration-resistant prostate</w:t>
      </w:r>
      <w:r w:rsidR="00C42360">
        <w:rPr>
          <w:rFonts w:ascii="Cambria-Italic" w:hAnsi="Cambria-Italic" w:cs="Cambria-Italic"/>
          <w:i/>
          <w:iCs/>
          <w:szCs w:val="22"/>
        </w:rPr>
        <w:t xml:space="preserve"> </w:t>
      </w:r>
      <w:r>
        <w:rPr>
          <w:rFonts w:ascii="Cambria-Italic" w:hAnsi="Cambria-Italic" w:cs="Cambria-Italic"/>
          <w:i/>
          <w:iCs/>
          <w:szCs w:val="22"/>
        </w:rPr>
        <w:t>cancer (mCRPC) with a deleterious or suspected deleterious BRCA mutation</w:t>
      </w:r>
      <w:r w:rsidR="00C42360">
        <w:rPr>
          <w:rFonts w:ascii="Cambria-Italic" w:hAnsi="Cambria-Italic" w:cs="Cambria-Italic"/>
          <w:i/>
          <w:iCs/>
          <w:szCs w:val="22"/>
        </w:rPr>
        <w:t xml:space="preserve"> </w:t>
      </w:r>
      <w:r>
        <w:rPr>
          <w:rFonts w:ascii="Cambria-Italic" w:hAnsi="Cambria-Italic" w:cs="Cambria-Italic"/>
          <w:i/>
          <w:iCs/>
          <w:szCs w:val="22"/>
        </w:rPr>
        <w:t>(germline or somatic), which has progressed following prior therapy that</w:t>
      </w:r>
      <w:r w:rsidR="00C42360">
        <w:rPr>
          <w:rFonts w:ascii="Cambria-Italic" w:hAnsi="Cambria-Italic" w:cs="Cambria-Italic"/>
          <w:i/>
          <w:iCs/>
          <w:szCs w:val="22"/>
        </w:rPr>
        <w:t xml:space="preserve"> </w:t>
      </w:r>
      <w:r>
        <w:rPr>
          <w:rFonts w:ascii="Cambria-Italic" w:hAnsi="Cambria-Italic" w:cs="Cambria-Italic"/>
          <w:i/>
          <w:iCs/>
          <w:szCs w:val="22"/>
        </w:rPr>
        <w:t>included a new hormonal agent.</w:t>
      </w:r>
    </w:p>
    <w:p w14:paraId="07F2153D" w14:textId="555ABE63" w:rsidR="00C22214" w:rsidRPr="00BD5DBD" w:rsidRDefault="00C22214" w:rsidP="00C22214">
      <w:pPr>
        <w:rPr>
          <w:szCs w:val="22"/>
        </w:rPr>
      </w:pPr>
      <w:r w:rsidRPr="00BD5DBD">
        <w:rPr>
          <w:szCs w:val="22"/>
        </w:rPr>
        <w:t xml:space="preserve">The above extension of indications </w:t>
      </w:r>
      <w:r w:rsidR="00C42360" w:rsidRPr="00BD5DBD">
        <w:rPr>
          <w:szCs w:val="22"/>
        </w:rPr>
        <w:t>is</w:t>
      </w:r>
      <w:r w:rsidRPr="00BD5DBD">
        <w:rPr>
          <w:szCs w:val="22"/>
        </w:rPr>
        <w:t xml:space="preserve"> inclusive of the previous approved indications. </w:t>
      </w:r>
    </w:p>
    <w:p w14:paraId="451DC3FC" w14:textId="06743F57" w:rsidR="00C22214" w:rsidRDefault="00C22214" w:rsidP="00B12D26">
      <w:pPr>
        <w:pStyle w:val="Heading4"/>
      </w:pPr>
      <w:bookmarkStart w:id="127" w:name="_Toc103679303"/>
      <w:bookmarkStart w:id="128" w:name="_Toc171942678"/>
      <w:r>
        <w:t>Product Information</w:t>
      </w:r>
      <w:bookmarkEnd w:id="127"/>
      <w:bookmarkEnd w:id="128"/>
    </w:p>
    <w:p w14:paraId="7A47256A" w14:textId="6AB52C22" w:rsidR="00B12D26" w:rsidRPr="00B12D26" w:rsidRDefault="00B12D26" w:rsidP="00B12D26">
      <w:pPr>
        <w:rPr>
          <w:szCs w:val="22"/>
        </w:rPr>
      </w:pPr>
      <w:r w:rsidRPr="00B12D26">
        <w:rPr>
          <w:szCs w:val="22"/>
        </w:rPr>
        <w:t xml:space="preserve">The </w:t>
      </w:r>
      <w:hyperlink r:id="rId56" w:history="1">
        <w:r w:rsidRPr="00B12D26">
          <w:rPr>
            <w:rStyle w:val="Hyperlink"/>
            <w:szCs w:val="22"/>
          </w:rPr>
          <w:t>Product Information</w:t>
        </w:r>
      </w:hyperlink>
      <w:r w:rsidRPr="00B12D26">
        <w:rPr>
          <w:szCs w:val="22"/>
        </w:rPr>
        <w:t xml:space="preserve"> (</w:t>
      </w:r>
      <w:hyperlink r:id="rId57" w:history="1">
        <w:r w:rsidRPr="00B12D26">
          <w:rPr>
            <w:rStyle w:val="Hyperlink"/>
            <w:szCs w:val="22"/>
          </w:rPr>
          <w:t>PI</w:t>
        </w:r>
      </w:hyperlink>
      <w:r w:rsidRPr="00B12D26">
        <w:rPr>
          <w:szCs w:val="22"/>
        </w:rPr>
        <w:t xml:space="preserve">) approved with this submission for Lynparza which is referred to in this AusPAR (and can be accessed on this AusPAR’s webpage) may have been superseded. For the most recent PI and </w:t>
      </w:r>
      <w:hyperlink r:id="rId58" w:history="1">
        <w:r w:rsidRPr="00B12D26">
          <w:rPr>
            <w:rStyle w:val="Hyperlink"/>
            <w:szCs w:val="22"/>
          </w:rPr>
          <w:t>Consumer Medicines Information</w:t>
        </w:r>
      </w:hyperlink>
      <w:r w:rsidRPr="00B12D26">
        <w:rPr>
          <w:szCs w:val="22"/>
        </w:rPr>
        <w:t xml:space="preserve"> (CMI), please refer to the TGA </w:t>
      </w:r>
      <w:hyperlink r:id="rId59" w:history="1">
        <w:r w:rsidRPr="00B12D26">
          <w:rPr>
            <w:rStyle w:val="Hyperlink"/>
            <w:szCs w:val="22"/>
          </w:rPr>
          <w:t>PI/CMI search facility.</w:t>
        </w:r>
      </w:hyperlink>
    </w:p>
    <w:p w14:paraId="28EB5805" w14:textId="77777777" w:rsidR="00B12D26" w:rsidRDefault="00B12D26" w:rsidP="00675F81">
      <w:pPr>
        <w:rPr>
          <w:szCs w:val="22"/>
        </w:rPr>
      </w:pPr>
    </w:p>
    <w:p w14:paraId="74F59983" w14:textId="570EE004" w:rsidR="00675F81" w:rsidRPr="00BD5DBD" w:rsidRDefault="00675F81" w:rsidP="00675F81">
      <w:pPr>
        <w:rPr>
          <w:szCs w:val="22"/>
        </w:rPr>
      </w:pPr>
    </w:p>
    <w:p w14:paraId="53357BF3" w14:textId="276457B5" w:rsidR="00C22214" w:rsidRDefault="00C22214" w:rsidP="00C22214">
      <w:pPr>
        <w:rPr>
          <w:lang w:eastAsia="ja-JP"/>
        </w:rPr>
        <w:sectPr w:rsidR="00C22214" w:rsidSect="007452E8">
          <w:headerReference w:type="default" r:id="rId60"/>
          <w:footerReference w:type="default" r:id="rId6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62"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5F4CCC">
            <w:pPr>
              <w:pStyle w:val="Address"/>
              <w:jc w:val="center"/>
              <w:rPr>
                <w:rStyle w:val="Hyperlink"/>
                <w:b/>
                <w:color w:val="auto"/>
                <w:sz w:val="22"/>
              </w:rPr>
            </w:pPr>
            <w:hyperlink r:id="rId63"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2839960" w:rsidR="00F02AEC" w:rsidRPr="00215D48" w:rsidRDefault="00F02AEC" w:rsidP="007452E8">
            <w:pPr>
              <w:pStyle w:val="Address"/>
              <w:jc w:val="center"/>
            </w:pPr>
          </w:p>
        </w:tc>
      </w:tr>
    </w:tbl>
    <w:p w14:paraId="788B80FD" w14:textId="7F8FB0D9" w:rsidR="007452E8" w:rsidRDefault="007452E8" w:rsidP="00AD1F7F"/>
    <w:sectPr w:rsidR="007452E8" w:rsidSect="007452E8">
      <w:headerReference w:type="first" r:id="rId64"/>
      <w:footerReference w:type="first" r:id="rId6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6D1F4" w14:textId="77777777" w:rsidR="002325E4" w:rsidRDefault="002325E4" w:rsidP="00F02AEC">
      <w:pPr>
        <w:spacing w:after="0" w:line="240" w:lineRule="auto"/>
      </w:pPr>
      <w:r>
        <w:separator/>
      </w:r>
    </w:p>
  </w:endnote>
  <w:endnote w:type="continuationSeparator" w:id="0">
    <w:p w14:paraId="16D0A266" w14:textId="77777777" w:rsidR="002325E4" w:rsidRDefault="002325E4"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mbria-BoldItalic">
    <w:altName w:val="Cambria"/>
    <w:panose1 w:val="00000000000000000000"/>
    <w:charset w:val="00"/>
    <w:family w:val="roman"/>
    <w:notTrueType/>
    <w:pitch w:val="default"/>
    <w:sig w:usb0="00000003" w:usb1="00000000" w:usb2="00000000" w:usb3="00000000" w:csb0="00000001" w:csb1="00000000"/>
  </w:font>
  <w:font w:name="Cambria-Italic">
    <w:altName w:val="Cambria"/>
    <w:panose1 w:val="00000000000000000000"/>
    <w:charset w:val="00"/>
    <w:family w:val="roman"/>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80"/>
    <w:family w:val="auto"/>
    <w:notTrueType/>
    <w:pitch w:val="default"/>
    <w:sig w:usb0="00000003" w:usb1="08070000" w:usb2="00000010" w:usb3="00000000" w:csb0="00020009" w:csb1="00000000"/>
  </w:font>
  <w:font w:name="TimesNewRoman,Italic">
    <w:altName w:val="Klee One"/>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Bold">
    <w:altName w:val="Times New Roman"/>
    <w:panose1 w:val="00000000000000000000"/>
    <w:charset w:val="00"/>
    <w:family w:val="auto"/>
    <w:notTrueType/>
    <w:pitch w:val="default"/>
    <w:sig w:usb0="00000083" w:usb1="08070000" w:usb2="00000010" w:usb3="00000000" w:csb0="00020009"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394D315C" w:rsidR="007452E8" w:rsidRPr="004A3084" w:rsidRDefault="007452E8" w:rsidP="007452E8">
          <w:pPr>
            <w:pStyle w:val="Footer"/>
          </w:pPr>
          <w:r w:rsidRPr="00487162">
            <w:t>AusPA</w:t>
          </w:r>
          <w:r>
            <w:t xml:space="preserve">R - </w:t>
          </w:r>
          <w:r w:rsidR="001A10EC">
            <w:t>Lynparza</w:t>
          </w:r>
          <w:r>
            <w:t xml:space="preserve"> -</w:t>
          </w:r>
          <w:r w:rsidRPr="00460036">
            <w:t xml:space="preserve"> </w:t>
          </w:r>
          <w:r w:rsidR="00575A5A">
            <w:t>olaparib</w:t>
          </w:r>
          <w:r w:rsidRPr="00460036">
            <w:t xml:space="preserve"> </w:t>
          </w:r>
          <w:r w:rsidR="00575A5A">
            <w:t>–</w:t>
          </w:r>
          <w:r>
            <w:t xml:space="preserve"> </w:t>
          </w:r>
          <w:r w:rsidR="00575A5A">
            <w:t>Astra</w:t>
          </w:r>
          <w:r w:rsidR="00142254">
            <w:t>Z</w:t>
          </w:r>
          <w:r w:rsidR="00575A5A">
            <w:t>eneca</w:t>
          </w:r>
          <w:r w:rsidR="00142254">
            <w:t xml:space="preserve"> Pty Ltd</w:t>
          </w:r>
          <w:r>
            <w:t xml:space="preserve"> - PM-202</w:t>
          </w:r>
          <w:r w:rsidR="00142254">
            <w:t>2-00987-1-4</w:t>
          </w:r>
          <w:r>
            <w:br/>
          </w:r>
          <w:r w:rsidR="001A10EC">
            <w:t>Da</w:t>
          </w:r>
          <w:r w:rsidRPr="00487162">
            <w:t>te of Finalisation</w:t>
          </w:r>
          <w:r w:rsidR="001A10EC">
            <w:t>: 15 July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 xml:space="preserve"> NUMPAGES  </w:instrText>
              </w:r>
              <w:r>
                <w:fldChar w:fldCharType="separate"/>
              </w:r>
              <w:r w:rsidR="006D6B44">
                <w:rPr>
                  <w:noProof/>
                </w:rPr>
                <w:t>17</w:t>
              </w:r>
              <w:r>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F7027F" w14:textId="77777777" w:rsidR="002325E4" w:rsidRDefault="002325E4" w:rsidP="00F02AEC">
      <w:pPr>
        <w:spacing w:after="0" w:line="240" w:lineRule="auto"/>
      </w:pPr>
      <w:r>
        <w:separator/>
      </w:r>
    </w:p>
  </w:footnote>
  <w:footnote w:type="continuationSeparator" w:id="0">
    <w:p w14:paraId="7CD3723E" w14:textId="77777777" w:rsidR="002325E4" w:rsidRDefault="002325E4"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216A7F48" w14:textId="222DDF45" w:rsidR="003A6D17" w:rsidRDefault="003A6D17">
      <w:pPr>
        <w:pStyle w:val="FootnoteText"/>
      </w:pPr>
      <w:r>
        <w:rPr>
          <w:rStyle w:val="FootnoteReference"/>
        </w:rPr>
        <w:footnoteRef/>
      </w:r>
      <w:r>
        <w:t xml:space="preserve"> </w:t>
      </w:r>
      <w:r w:rsidRPr="003A6D17">
        <w:t xml:space="preserve">  Globocan 2020. World Health Organization. Breast cancer fact sheet. Accessed 21 OCT 2022 at: https://gco.iarc.fr/today/data/factsheets/cancers/20-Breast-fact-sheet.pdf</w:t>
      </w:r>
    </w:p>
  </w:footnote>
  <w:footnote w:id="3">
    <w:p w14:paraId="54E63422" w14:textId="5EE0B0CC" w:rsidR="00943C95" w:rsidRDefault="00943C95" w:rsidP="00943C95">
      <w:pPr>
        <w:pStyle w:val="FootnoteText"/>
      </w:pPr>
      <w:r>
        <w:rPr>
          <w:rStyle w:val="FootnoteReference"/>
        </w:rPr>
        <w:footnoteRef/>
      </w:r>
      <w:r>
        <w:t xml:space="preserve"> O'Shaughnessy J. Extending survival with chemotherapy in metastatic breast cancer. Oncologist. 2005;10 Suppl 3:20-9.</w:t>
      </w:r>
    </w:p>
  </w:footnote>
  <w:footnote w:id="4">
    <w:p w14:paraId="57BEADD1" w14:textId="4972258B" w:rsidR="00943C95" w:rsidRDefault="00943C95" w:rsidP="00943C95">
      <w:pPr>
        <w:pStyle w:val="FootnoteText"/>
      </w:pPr>
      <w:r>
        <w:rPr>
          <w:rStyle w:val="FootnoteReference"/>
        </w:rPr>
        <w:footnoteRef/>
      </w:r>
      <w:r>
        <w:t xml:space="preserve"> Siegel RL, Miller KD, Fuchs H, Jemal A.  Cancer Statistics, 2021. CA Cancer J Clin. 2021: 71:7‐33.</w:t>
      </w:r>
    </w:p>
  </w:footnote>
  <w:footnote w:id="5">
    <w:p w14:paraId="6454B515" w14:textId="7242535A" w:rsidR="00943C95" w:rsidRDefault="00943C95" w:rsidP="00943C95">
      <w:pPr>
        <w:pStyle w:val="FootnoteText"/>
      </w:pPr>
      <w:r>
        <w:rPr>
          <w:rStyle w:val="FootnoteReference"/>
        </w:rPr>
        <w:footnoteRef/>
      </w:r>
      <w:r>
        <w:t xml:space="preserve"> Kuchenbaecker KB, Hopper JL, Barnes DR, Phillips K-A, Mooij TM, Roos-Blom M-J, et al. Risks of breast, ovarian, and contralateral breast cancer for BRCA1 and BRCA2 mutation carriers. JAMA 2017;317(23):2402-16.</w:t>
      </w:r>
    </w:p>
  </w:footnote>
  <w:footnote w:id="6">
    <w:p w14:paraId="41DCB524" w14:textId="75C707DC" w:rsidR="00943C95" w:rsidRDefault="00943C95" w:rsidP="00943C95">
      <w:pPr>
        <w:pStyle w:val="FootnoteText"/>
      </w:pPr>
      <w:r>
        <w:rPr>
          <w:rStyle w:val="FootnoteReference"/>
        </w:rPr>
        <w:footnoteRef/>
      </w:r>
      <w:r>
        <w:t xml:space="preserve"> Mavaddat N, Barrowdale D, Andrulis IL, Domchek SM, Eccles D, Nevanlinna H, et al. Pathology of breast and ovarian cancers among BRCA1 and BRCA2 mutation carriers: results from the Consortium of Investigators of Modifiers of BRCA1/2 (CIMBA) Cancer Epidemiol Biomarkers Prev. 2012 January; 21(1): 134–147</w:t>
      </w:r>
    </w:p>
  </w:footnote>
  <w:footnote w:id="7">
    <w:p w14:paraId="6DDE6A35" w14:textId="5201EE22" w:rsidR="00943C95" w:rsidRDefault="00943C95" w:rsidP="00943C95">
      <w:pPr>
        <w:pStyle w:val="FootnoteText"/>
      </w:pPr>
      <w:r>
        <w:rPr>
          <w:rStyle w:val="FootnoteReference"/>
        </w:rPr>
        <w:footnoteRef/>
      </w:r>
      <w:r>
        <w:t xml:space="preserve"> Evans DG, Lalloo F, Howell S, Verhoef S, Woodward ER, and Howell A. Low prevalence of HER2 positivity amongst BRCA1 and BRCA2 mutation carriers and in primary BRCA screens. Breast Cancer Res Treat 2016;155:597–601.</w:t>
      </w:r>
    </w:p>
  </w:footnote>
  <w:footnote w:id="8">
    <w:p w14:paraId="105F988C" w14:textId="3A46DF7B" w:rsidR="00943C95" w:rsidRDefault="00943C95" w:rsidP="00943C95">
      <w:pPr>
        <w:pStyle w:val="FootnoteText"/>
      </w:pPr>
      <w:r>
        <w:rPr>
          <w:rStyle w:val="FootnoteReference"/>
        </w:rPr>
        <w:footnoteRef/>
      </w:r>
      <w:r>
        <w:t xml:space="preserve"> Winter C, Nilsson MP, Olsson E, George AM, Chen Y, Kvist A, et al. Targeted sequencing of BRCA1 and BRCA2 across a large unselected breast cancer cohort suggests that one-third of mutations are somatic. Ann Oncol. 2016 Aug;27(8):1532-8.</w:t>
      </w:r>
    </w:p>
  </w:footnote>
  <w:footnote w:id="9">
    <w:p w14:paraId="482E9BD5" w14:textId="7496DA47" w:rsidR="00943C95" w:rsidRDefault="00943C95" w:rsidP="00943C95">
      <w:pPr>
        <w:pStyle w:val="FootnoteText"/>
      </w:pPr>
      <w:r>
        <w:rPr>
          <w:rStyle w:val="FootnoteReference"/>
        </w:rPr>
        <w:footnoteRef/>
      </w:r>
      <w:r>
        <w:t xml:space="preserve"> Dorling C, et al. Breast Cancer Risk Genes – Association Analysis in More than 113,000 Women. N Engl J Med 2021;384:428-39.</w:t>
      </w:r>
    </w:p>
  </w:footnote>
  <w:footnote w:id="10">
    <w:p w14:paraId="577BF666" w14:textId="3AAF1ABA" w:rsidR="00943C95" w:rsidRDefault="00943C95" w:rsidP="00943C95">
      <w:pPr>
        <w:pStyle w:val="FootnoteText"/>
      </w:pPr>
      <w:r>
        <w:rPr>
          <w:rStyle w:val="FootnoteReference"/>
        </w:rPr>
        <w:footnoteRef/>
      </w:r>
      <w:r>
        <w:t xml:space="preserve"> Malone KE, Daling JR, Doody DR, Hsu L, Bernstein L, Coates RJ, et al. Prevalence and predictors of BRCA1 and BRCA2 mutations in a population-based study of breast cancer in white and black American women ages 35 to 64 years. Cancer Res 2006;66:8297-308.</w:t>
      </w:r>
    </w:p>
  </w:footnote>
  <w:footnote w:id="11">
    <w:p w14:paraId="038078B8" w14:textId="7098D163" w:rsidR="00943C95" w:rsidRDefault="00943C95" w:rsidP="00943C95">
      <w:pPr>
        <w:pStyle w:val="FootnoteText"/>
      </w:pPr>
      <w:r>
        <w:rPr>
          <w:rStyle w:val="FootnoteReference"/>
        </w:rPr>
        <w:footnoteRef/>
      </w:r>
      <w:r>
        <w:t xml:space="preserve"> Song Y, Barry WT, Seah DS, Tung NM, Garber JE, Lin NU. (2020) Patterns of Recurrence and Metastasis in BRCA1/BRCA2-Associated Breast Cancers. Cancer 2020;271-80</w:t>
      </w:r>
    </w:p>
  </w:footnote>
  <w:footnote w:id="12">
    <w:p w14:paraId="70268F2D" w14:textId="34263766" w:rsidR="008C0067" w:rsidRDefault="008C0067" w:rsidP="008C0067">
      <w:pPr>
        <w:pStyle w:val="FootnoteText"/>
      </w:pPr>
      <w:r>
        <w:rPr>
          <w:rStyle w:val="FootnoteReference"/>
        </w:rPr>
        <w:footnoteRef/>
      </w:r>
      <w:r>
        <w:t xml:space="preserve"> Turner N, Tutt A, and Ashworth A. (2004) Hallmarks of BRCAness in Sporadic Cancers. Nature Reviews 2004;4:1-6.</w:t>
      </w:r>
    </w:p>
  </w:footnote>
  <w:footnote w:id="13">
    <w:p w14:paraId="2A095DCF" w14:textId="5F84C707" w:rsidR="008C0067" w:rsidRDefault="008C0067" w:rsidP="008C0067">
      <w:pPr>
        <w:pStyle w:val="FootnoteText"/>
      </w:pPr>
      <w:r>
        <w:rPr>
          <w:rStyle w:val="FootnoteReference"/>
        </w:rPr>
        <w:footnoteRef/>
      </w:r>
      <w:r>
        <w:t xml:space="preserve"> Metzger-Filho O, Tutt A, de Azambuja E, Saini KS, Viale G, Loi S, et al. (2012) Dissecting the heterogeneity of triple negative breast cancer. J Clin Oncol. 2012 May 20;30 915:1879-87.</w:t>
      </w:r>
    </w:p>
  </w:footnote>
  <w:footnote w:id="14">
    <w:p w14:paraId="097FDDE6" w14:textId="633A2365" w:rsidR="008C0067" w:rsidRDefault="008C0067" w:rsidP="008C0067">
      <w:pPr>
        <w:pStyle w:val="FootnoteText"/>
      </w:pPr>
      <w:r>
        <w:rPr>
          <w:rStyle w:val="FootnoteReference"/>
        </w:rPr>
        <w:footnoteRef/>
      </w:r>
      <w:r>
        <w:t xml:space="preserve"> Dent R, Trudeau M, Pritchard KI, Hanna WM, Kahn HK, Sawka CA, et al. (2007) Triple-negative breast cancer: clinical features and patterns of recurrence. Clin Cancer Res. 2007;13:4429-34.</w:t>
      </w:r>
    </w:p>
  </w:footnote>
  <w:footnote w:id="15">
    <w:p w14:paraId="5DD5338A" w14:textId="56436F8E" w:rsidR="00DA6944" w:rsidRDefault="00DA6944" w:rsidP="00DA6944">
      <w:pPr>
        <w:pStyle w:val="FootnoteText"/>
      </w:pPr>
      <w:r>
        <w:rPr>
          <w:rStyle w:val="FootnoteReference"/>
        </w:rPr>
        <w:footnoteRef/>
      </w:r>
      <w:r>
        <w:t xml:space="preserve"> Shah PD, Patil S, Dickler MN, Offit K, Hudis CA, Robson ME. Twenty-One-Gene Recurrence Score Assay in BRCA-Associated Versus Sporadic Breast Cancers: Differences Based on Germline Mutation Status. Cancer 2016;122:1178-84.</w:t>
      </w:r>
    </w:p>
  </w:footnote>
  <w:footnote w:id="16">
    <w:p w14:paraId="2D686DCC" w14:textId="4414A598" w:rsidR="00A420CF" w:rsidRDefault="00A420CF" w:rsidP="00A420CF">
      <w:pPr>
        <w:pStyle w:val="FootnoteText"/>
      </w:pPr>
      <w:r>
        <w:rPr>
          <w:rStyle w:val="FootnoteReference"/>
        </w:rPr>
        <w:footnoteRef/>
      </w:r>
      <w:r>
        <w:t xml:space="preserve"> Kirby M, Hirst C, Crawford ED. Characterising the castration-resistant prostate cancer population: a systematic review.</w:t>
      </w:r>
    </w:p>
    <w:p w14:paraId="7E28CFEE" w14:textId="1A48E94D" w:rsidR="00A420CF" w:rsidRDefault="00A420CF" w:rsidP="00A420CF">
      <w:pPr>
        <w:pStyle w:val="FootnoteText"/>
      </w:pPr>
      <w:r>
        <w:t>Int J Clin Pract. 2011;65(11):1180–92.</w:t>
      </w:r>
    </w:p>
  </w:footnote>
  <w:footnote w:id="17">
    <w:p w14:paraId="41BB5BF7" w14:textId="77777777" w:rsidR="00A420CF" w:rsidRDefault="00A420CF" w:rsidP="00A420CF">
      <w:pPr>
        <w:pStyle w:val="FootnoteText"/>
      </w:pPr>
      <w:r>
        <w:rPr>
          <w:rStyle w:val="FootnoteReference"/>
        </w:rPr>
        <w:footnoteRef/>
      </w:r>
      <w:r>
        <w:t xml:space="preserve"> Scher HI, Solo K, Valant J, Todd MB, Mehra M. (2015)</w:t>
      </w:r>
    </w:p>
    <w:p w14:paraId="4BC3EAEC" w14:textId="77777777" w:rsidR="00A420CF" w:rsidRDefault="00A420CF" w:rsidP="00A420CF">
      <w:pPr>
        <w:pStyle w:val="FootnoteText"/>
      </w:pPr>
      <w:r>
        <w:t>Prevalence of prostate cancer clinical states and mortality in the United States: estimates using a dynamic progression model.</w:t>
      </w:r>
    </w:p>
    <w:p w14:paraId="5C185CEB" w14:textId="3618318F" w:rsidR="00A420CF" w:rsidRDefault="00A420CF" w:rsidP="00A420CF">
      <w:pPr>
        <w:pStyle w:val="FootnoteText"/>
      </w:pPr>
      <w:r>
        <w:t>PLoS One. 2015;10(10):e0139440.</w:t>
      </w:r>
    </w:p>
  </w:footnote>
  <w:footnote w:id="18">
    <w:p w14:paraId="41175BEC" w14:textId="1983CB62" w:rsidR="00A420CF" w:rsidRDefault="00A420CF" w:rsidP="00A420CF">
      <w:pPr>
        <w:pStyle w:val="FootnoteText"/>
      </w:pPr>
      <w:r>
        <w:rPr>
          <w:rStyle w:val="FootnoteReference"/>
        </w:rPr>
        <w:footnoteRef/>
      </w:r>
      <w:r>
        <w:t xml:space="preserve"> Eton DT and Lepore SJ. Prostate cancer and health-related quality of life: a review of the literature. Psychooncology. 2002;11(4):307-26.</w:t>
      </w:r>
    </w:p>
  </w:footnote>
  <w:footnote w:id="19">
    <w:p w14:paraId="0517F7F3" w14:textId="5434F5CF" w:rsidR="00CA0674" w:rsidRDefault="00CA0674" w:rsidP="00CA0674">
      <w:pPr>
        <w:pStyle w:val="FootnoteText"/>
      </w:pPr>
      <w:r>
        <w:rPr>
          <w:rStyle w:val="FootnoteReference"/>
        </w:rPr>
        <w:footnoteRef/>
      </w:r>
      <w:r>
        <w:t xml:space="preserve"> Rosen PR, Groshen S, Saigo PE, Kinne DW, Hillman S. A long-term follow-up study of survival in stage I (T1N0M0) and stage II (T1N1M0) breast carcinoma.J Clin Oncol 1989;7:355-66.</w:t>
      </w:r>
    </w:p>
  </w:footnote>
  <w:footnote w:id="20">
    <w:p w14:paraId="6E34D486" w14:textId="737BF728" w:rsidR="00A420CF" w:rsidRDefault="00A420CF">
      <w:pPr>
        <w:pStyle w:val="FootnoteText"/>
      </w:pPr>
      <w:r>
        <w:rPr>
          <w:rStyle w:val="FootnoteReference"/>
        </w:rPr>
        <w:footnoteRef/>
      </w:r>
      <w:r>
        <w:t xml:space="preserve"> </w:t>
      </w:r>
      <w:r w:rsidRPr="00A420CF">
        <w:t>NCCN Prostate Cancer Guidelines 2021</w:t>
      </w:r>
    </w:p>
  </w:footnote>
  <w:footnote w:id="21">
    <w:p w14:paraId="29C9DD06" w14:textId="1D089402" w:rsidR="00A420CF" w:rsidRDefault="00A420CF" w:rsidP="00A420CF">
      <w:pPr>
        <w:pStyle w:val="FootnoteText"/>
      </w:pPr>
      <w:r>
        <w:rPr>
          <w:rStyle w:val="FootnoteReference"/>
        </w:rPr>
        <w:footnoteRef/>
      </w:r>
      <w:r>
        <w:t xml:space="preserve"> Parker C, Castro E, Fizazi K, Heidenreich A, Ost P, Procopio G, et al. Prostate cancer: ESMO clinical practice guidelines for diagnosis, treatment and follow-up. Ann Oncol. 2020;31(9):1119-34.</w:t>
      </w:r>
    </w:p>
  </w:footnote>
  <w:footnote w:id="22">
    <w:p w14:paraId="3C30515F" w14:textId="45F67427" w:rsidR="00A420CF" w:rsidRDefault="00A420CF" w:rsidP="00A420CF">
      <w:pPr>
        <w:pStyle w:val="FootnoteText"/>
      </w:pPr>
      <w:r>
        <w:rPr>
          <w:rStyle w:val="FootnoteReference"/>
        </w:rPr>
        <w:footnoteRef/>
      </w:r>
      <w:r>
        <w:t xml:space="preserve"> Flaig TW, Potluri RC, Ng Y, Todd MB, Mehra M. Treatment evolution for metastatic castration-resistant prostate cancer with recent introduction of novel agents: retrospective analysis of real-world data. Cancer Med. 2016;5(2):182-91</w:t>
      </w:r>
    </w:p>
  </w:footnote>
  <w:footnote w:id="23">
    <w:p w14:paraId="6AF931B7" w14:textId="2E3039D7" w:rsidR="00A420CF" w:rsidRDefault="00A420CF" w:rsidP="00A420CF">
      <w:pPr>
        <w:pStyle w:val="FootnoteText"/>
      </w:pPr>
      <w:r>
        <w:rPr>
          <w:rStyle w:val="FootnoteReference"/>
        </w:rPr>
        <w:footnoteRef/>
      </w:r>
      <w:r>
        <w:t xml:space="preserve"> Murai J, Huang SN, Das BB, Renaud A, Zhang Y, Doroshaw JH, et al. Trapping of PARP1 and PARP2 by Clinical PARP Inhibitors. AACR 2012; 72(21); 5588–99.</w:t>
      </w:r>
    </w:p>
  </w:footnote>
  <w:footnote w:id="24">
    <w:p w14:paraId="49B4BE01" w14:textId="1169B86D" w:rsidR="00A420CF" w:rsidRDefault="00A420CF" w:rsidP="00A420CF">
      <w:pPr>
        <w:pStyle w:val="FootnoteText"/>
      </w:pPr>
      <w:r>
        <w:rPr>
          <w:rStyle w:val="FootnoteReference"/>
        </w:rPr>
        <w:footnoteRef/>
      </w:r>
      <w:r>
        <w:t xml:space="preserve"> Ryan CJ, Smith MR, de Bono JS, Molina A, Logothetis CJ, de Souza P, et al. Abiraterone in metastatic prostate cancer without previous chemotherapy. N Engl J Med. 2013;368(2):138-48.</w:t>
      </w:r>
    </w:p>
  </w:footnote>
  <w:footnote w:id="25">
    <w:p w14:paraId="0662F7A7" w14:textId="5AC2A593" w:rsidR="00A420CF" w:rsidRDefault="00A420CF" w:rsidP="00A420CF">
      <w:pPr>
        <w:pStyle w:val="FootnoteText"/>
      </w:pPr>
      <w:r>
        <w:rPr>
          <w:rStyle w:val="FootnoteReference"/>
        </w:rPr>
        <w:footnoteRef/>
      </w:r>
      <w:r>
        <w:t xml:space="preserve"> Beer TM, Armstrong AJ, Rathkopf D, Loriot Y, Sternberg CN, Higano CS, et al. Enzalutamide in men with chemotherapy-naïve metastatic castration-resistant prostate cancer: extended analysis of the phase 3 PREVAIL study. Eur Urol. 2017;71(2):151-54.</w:t>
      </w:r>
    </w:p>
  </w:footnote>
  <w:footnote w:id="26">
    <w:p w14:paraId="5D2CF85F" w14:textId="77777777" w:rsidR="004533C8" w:rsidRDefault="004533C8" w:rsidP="004533C8">
      <w:pPr>
        <w:pStyle w:val="FootnoteText"/>
      </w:pPr>
      <w:r>
        <w:rPr>
          <w:rStyle w:val="FootnoteReference"/>
        </w:rPr>
        <w:footnoteRef/>
      </w:r>
      <w:r>
        <w:t xml:space="preserve"> Castro E, Romero-Laorden N, del Pozo A, Lozano R, Medina A, Puente J, et al. (2019)</w:t>
      </w:r>
    </w:p>
    <w:p w14:paraId="21414DF9" w14:textId="77777777" w:rsidR="004533C8" w:rsidRDefault="004533C8" w:rsidP="004533C8">
      <w:pPr>
        <w:pStyle w:val="FootnoteText"/>
      </w:pPr>
      <w:r>
        <w:t>PROREPAIR-B: A prospective cohort study of the impact of germline DNA repair mutations on the outcomes of patients with metastatic castration-resistant prostate cancer.</w:t>
      </w:r>
    </w:p>
    <w:p w14:paraId="3697AAAE" w14:textId="61590DCA" w:rsidR="004533C8" w:rsidRDefault="004533C8" w:rsidP="004533C8">
      <w:pPr>
        <w:pStyle w:val="FootnoteText"/>
      </w:pPr>
      <w:r>
        <w:t>J Clin Oncol. 2019; 37(6):490-503.</w:t>
      </w:r>
    </w:p>
  </w:footnote>
  <w:footnote w:id="27">
    <w:p w14:paraId="494B9799" w14:textId="3C2A7656" w:rsidR="004533C8" w:rsidRDefault="004533C8" w:rsidP="002462B2">
      <w:pPr>
        <w:pStyle w:val="FootnoteText"/>
      </w:pPr>
      <w:r>
        <w:rPr>
          <w:rStyle w:val="FootnoteReference"/>
        </w:rPr>
        <w:footnoteRef/>
      </w:r>
      <w:r w:rsidR="002462B2">
        <w:t xml:space="preserve"> Swami U, Sinnott JA, Haaland B, Maughan BJ, Rathi N, McFarland TR, et al. Overall survival with docetaxel vs novel hormonal therapy with abiraterone or enzalutamide after prior NHT in patients with metastatic prostate cancer (mPC): Results from a real-world dataset. J Clin Oncol. 2020;38(suppl 15):5537.</w:t>
      </w:r>
      <w:r>
        <w:t xml:space="preserve"> </w:t>
      </w:r>
    </w:p>
  </w:footnote>
  <w:footnote w:id="28">
    <w:p w14:paraId="2F94A223" w14:textId="3229C2A3" w:rsidR="006C6615" w:rsidRDefault="006C6615">
      <w:pPr>
        <w:pStyle w:val="FootnoteText"/>
      </w:pPr>
      <w:r>
        <w:rPr>
          <w:rStyle w:val="FootnoteReference"/>
        </w:rPr>
        <w:footnoteRef/>
      </w:r>
      <w:r>
        <w:t xml:space="preserve"> AusPAR for PM</w:t>
      </w:r>
      <w:r w:rsidR="00C07B07">
        <w:t>-</w:t>
      </w:r>
      <w:r>
        <w:t>2014-</w:t>
      </w:r>
      <w:r w:rsidR="005C096A">
        <w:t xml:space="preserve">04684-1-4 at </w:t>
      </w:r>
      <w:r w:rsidR="005C096A" w:rsidRPr="005C096A">
        <w:t>https://www.tga.gov.au/sites/default/files/auspar-olaparib-190211.pdf</w:t>
      </w:r>
    </w:p>
  </w:footnote>
  <w:footnote w:id="29">
    <w:p w14:paraId="16BE401A" w14:textId="19CDB140" w:rsidR="000C51F0" w:rsidRDefault="000C51F0">
      <w:pPr>
        <w:pStyle w:val="FootnoteText"/>
      </w:pPr>
      <w:r>
        <w:rPr>
          <w:rStyle w:val="FootnoteReference"/>
        </w:rPr>
        <w:footnoteRef/>
      </w:r>
      <w:r>
        <w:t xml:space="preserve">AusPAR for </w:t>
      </w:r>
      <w:r w:rsidR="00B47AB3">
        <w:t xml:space="preserve">PM-2017-01451-1-4 at </w:t>
      </w:r>
      <w:r w:rsidR="00B47AB3" w:rsidRPr="00B47AB3">
        <w:t>https://www.tga.gov.au/sites/default/files/auspar-olaparib-191016.pdf</w:t>
      </w:r>
    </w:p>
  </w:footnote>
  <w:footnote w:id="30">
    <w:p w14:paraId="7374FB48" w14:textId="57514394" w:rsidR="00C07B07" w:rsidRDefault="00C07B07">
      <w:pPr>
        <w:pStyle w:val="FootnoteText"/>
      </w:pPr>
      <w:r>
        <w:rPr>
          <w:rStyle w:val="FootnoteReference"/>
        </w:rPr>
        <w:footnoteRef/>
      </w:r>
      <w:r>
        <w:t xml:space="preserve"> AusPAR for </w:t>
      </w:r>
      <w:r w:rsidR="00FF5A8A">
        <w:t xml:space="preserve">PM-2020-00161-1-4 is at </w:t>
      </w:r>
      <w:r w:rsidR="00FF5A8A" w:rsidRPr="00FF5A8A">
        <w:t>https://www.tga.gov.au/sites/default/files/auspar-olaparib-190211.pdf</w:t>
      </w:r>
    </w:p>
  </w:footnote>
  <w:footnote w:id="31">
    <w:p w14:paraId="224CD836" w14:textId="320335C8" w:rsidR="00500D68" w:rsidRDefault="00500D68">
      <w:pPr>
        <w:pStyle w:val="FootnoteText"/>
      </w:pPr>
      <w:r>
        <w:rPr>
          <w:rStyle w:val="FootnoteReference"/>
        </w:rPr>
        <w:footnoteRef/>
      </w:r>
      <w:r>
        <w:t xml:space="preserve"> </w:t>
      </w:r>
      <w:r w:rsidR="00AD0111" w:rsidRPr="00AD0111">
        <w:t xml:space="preserve"> </w:t>
      </w:r>
      <w:r w:rsidR="00AD0111">
        <w:t>In this report the ‘</w:t>
      </w:r>
      <w:r w:rsidR="00CD546E">
        <w:t>delegate</w:t>
      </w:r>
      <w:r w:rsidR="00AD0111">
        <w:t>’</w:t>
      </w:r>
      <w:r w:rsidR="00AD0111" w:rsidRPr="00C133A3">
        <w:t xml:space="preserve"> </w:t>
      </w:r>
      <w:r w:rsidR="00AD0111">
        <w:t xml:space="preserve">is the </w:t>
      </w:r>
      <w:r w:rsidR="00CD546E">
        <w:t>delegate</w:t>
      </w:r>
      <w:r w:rsidR="00AD0111" w:rsidRPr="00C133A3">
        <w:t xml:space="preserve"> of the Secretary of the Department of Health and Aged Care who </w:t>
      </w:r>
      <w:r w:rsidR="00AD0111">
        <w:t>decided the submission</w:t>
      </w:r>
      <w:r w:rsidR="00AD0111" w:rsidRPr="00C133A3">
        <w:t xml:space="preserve"> under section 25 of the Act.</w:t>
      </w:r>
    </w:p>
  </w:footnote>
  <w:footnote w:id="32">
    <w:p w14:paraId="67BFD4AE" w14:textId="0335AE2F" w:rsidR="00301D9A" w:rsidRDefault="00301D9A">
      <w:pPr>
        <w:pStyle w:val="FootnoteText"/>
      </w:pPr>
      <w:r>
        <w:rPr>
          <w:rStyle w:val="FootnoteReference"/>
        </w:rPr>
        <w:footnoteRef/>
      </w:r>
      <w:r>
        <w:t xml:space="preserve"> AusPAR </w:t>
      </w:r>
      <w:r w:rsidR="00F430DF">
        <w:t xml:space="preserve">for PM-2014-04684-1-4 at </w:t>
      </w:r>
      <w:r w:rsidR="00F430DF" w:rsidRPr="005C096A">
        <w:t>https://www.tga.gov.au/sites/default/files/auspar-olaparib-190211.pdf</w:t>
      </w:r>
    </w:p>
  </w:footnote>
  <w:footnote w:id="33">
    <w:p w14:paraId="23EBED02" w14:textId="7BA6E6B6" w:rsidR="00F430DF" w:rsidRDefault="00F430DF">
      <w:pPr>
        <w:pStyle w:val="FootnoteText"/>
      </w:pPr>
      <w:r>
        <w:rPr>
          <w:rStyle w:val="FootnoteReference"/>
        </w:rPr>
        <w:footnoteRef/>
      </w:r>
      <w:r>
        <w:t xml:space="preserve"> Schiewer M.J., Goodwin J.F., Han S., Brenner J.C., Augello M.A., Dean J.L. et al. (2012) Dual roles of PARP-1 promote cancer growth and progression. Cancer Discov. 2: 1134–1149.</w:t>
      </w:r>
    </w:p>
  </w:footnote>
  <w:footnote w:id="34">
    <w:p w14:paraId="424FA964" w14:textId="6DFAA953" w:rsidR="003B587E" w:rsidRDefault="003B587E">
      <w:pPr>
        <w:pStyle w:val="FootnoteText"/>
      </w:pPr>
      <w:r>
        <w:rPr>
          <w:rStyle w:val="FootnoteReference"/>
        </w:rPr>
        <w:footnoteRef/>
      </w:r>
      <w:r>
        <w:t xml:space="preserve"> Schiewer M.J. and Knudsen K.E. (2014) Transcriptional roles of PARP1 in cancer. Mol. Cancer Res. 12: 1069–1080.</w:t>
      </w:r>
    </w:p>
  </w:footnote>
  <w:footnote w:id="35">
    <w:p w14:paraId="77F522E5" w14:textId="1A507539" w:rsidR="003B587E" w:rsidRPr="00C757AE" w:rsidRDefault="003B587E">
      <w:pPr>
        <w:pStyle w:val="FootnoteText"/>
        <w:rPr>
          <w:lang w:val="sv-SE"/>
        </w:rPr>
      </w:pPr>
      <w:r>
        <w:rPr>
          <w:rStyle w:val="FootnoteReference"/>
        </w:rPr>
        <w:footnoteRef/>
      </w:r>
      <w:r>
        <w:t xml:space="preserve"> </w:t>
      </w:r>
      <w:r w:rsidRPr="003B587E">
        <w:t xml:space="preserve">Asim M., Tarish F., Zecchini H.I., et al. (2017) Synthetic lethality between androgen receptor signalling and the PARP pathway in prostate cancer. </w:t>
      </w:r>
      <w:r w:rsidRPr="00C757AE">
        <w:rPr>
          <w:lang w:val="sv-SE"/>
        </w:rPr>
        <w:t>Nat. Commun. 8: 374.</w:t>
      </w:r>
    </w:p>
  </w:footnote>
  <w:footnote w:id="36">
    <w:p w14:paraId="37F36567" w14:textId="2040A09E" w:rsidR="003B587E" w:rsidRDefault="003B587E">
      <w:pPr>
        <w:pStyle w:val="FootnoteText"/>
      </w:pPr>
      <w:r>
        <w:rPr>
          <w:rStyle w:val="FootnoteReference"/>
        </w:rPr>
        <w:footnoteRef/>
      </w:r>
      <w:r w:rsidRPr="00C757AE">
        <w:rPr>
          <w:lang w:val="sv-SE"/>
        </w:rPr>
        <w:t xml:space="preserve"> Li L, Karanika S, Yang G, et al. </w:t>
      </w:r>
      <w:r w:rsidRPr="00D924CC">
        <w:t>Androgen receptor inhibitor-induced "BRCAness" and PARP inhibition are synthetically lethal for castration-resistant prostate cancer. Sci Signal. 2017 May 23;10(480):eaam7479. doi: 10.1126/scisignal.aam7479. PMID: 28536297; PMCID: PMC5855082.</w:t>
      </w:r>
    </w:p>
  </w:footnote>
  <w:footnote w:id="37">
    <w:p w14:paraId="12AE3D28" w14:textId="021DA421" w:rsidR="00C5308E" w:rsidRDefault="00C5308E">
      <w:pPr>
        <w:pStyle w:val="FootnoteText"/>
      </w:pPr>
      <w:r>
        <w:rPr>
          <w:rStyle w:val="FootnoteReference"/>
        </w:rPr>
        <w:footnoteRef/>
      </w:r>
      <w:r w:rsidRPr="00C757AE">
        <w:rPr>
          <w:lang w:val="sv-SE"/>
        </w:rPr>
        <w:t xml:space="preserve"> Polkinghorn WR, Parker JS, Lee MX, et al. </w:t>
      </w:r>
      <w:r w:rsidRPr="0094510D">
        <w:t>Androgen receptor signaling regulates DNA repair in prostate cancers. Cancer Discov. 2013 Nov;3(11):1245-53. doi: 10.1158/2159-8290.CD-13-0172. Epub 2013 Sep 11. PMID: 24027196; PMCID: PMC3888815.</w:t>
      </w:r>
    </w:p>
  </w:footnote>
  <w:footnote w:id="38">
    <w:p w14:paraId="366F5A07" w14:textId="7C08ED91" w:rsidR="00807907" w:rsidRDefault="00807907">
      <w:pPr>
        <w:pStyle w:val="FootnoteText"/>
      </w:pPr>
      <w:r>
        <w:rPr>
          <w:rStyle w:val="FootnoteReference"/>
        </w:rPr>
        <w:footnoteRef/>
      </w:r>
      <w:r>
        <w:t xml:space="preserve"> </w:t>
      </w:r>
      <w:r w:rsidRPr="0082249D">
        <w:t>Maxwell, K. N. et al. BRCA locus-specific loss of heterozygosity in germline BRCA1 and BRCA2 carriers. </w:t>
      </w:r>
      <w:r w:rsidRPr="0082249D">
        <w:rPr>
          <w:i/>
          <w:iCs/>
        </w:rPr>
        <w:t>Nat. Commun</w:t>
      </w:r>
      <w:r w:rsidRPr="0082249D">
        <w:t> </w:t>
      </w:r>
      <w:r w:rsidRPr="0082249D">
        <w:rPr>
          <w:b/>
          <w:bCs/>
        </w:rPr>
        <w:t>8</w:t>
      </w:r>
      <w:r w:rsidRPr="0082249D">
        <w:t>, 319 (2017).</w:t>
      </w:r>
    </w:p>
  </w:footnote>
  <w:footnote w:id="39">
    <w:p w14:paraId="13FF4AAD" w14:textId="65861C8F" w:rsidR="00106A6F" w:rsidRDefault="00106A6F">
      <w:pPr>
        <w:pStyle w:val="FootnoteText"/>
      </w:pPr>
      <w:r>
        <w:rPr>
          <w:rStyle w:val="FootnoteReference"/>
        </w:rPr>
        <w:footnoteRef/>
      </w:r>
      <w:r>
        <w:t xml:space="preserve"> </w:t>
      </w:r>
      <w:r w:rsidRPr="008B325E">
        <w:t xml:space="preserve">Goodwin JF, Schiewer MJ, Dean JL, </w:t>
      </w:r>
      <w:r>
        <w:t>et al</w:t>
      </w:r>
      <w:r w:rsidRPr="008B325E">
        <w:t>. A hormone-DNA repair circuit governs the response to genotoxic insult. Cancer Discov. 2013 Nov;3(11):1254-71. doi: 10.1158/2159-8290.CD-13-0108. Epub 2013 Sep 11. PMID: 24027197; PMCID: PMC3823813.</w:t>
      </w:r>
    </w:p>
  </w:footnote>
  <w:footnote w:id="40">
    <w:p w14:paraId="4A5D6FF0" w14:textId="6D91F94D" w:rsidR="00BD032F" w:rsidRDefault="00BD032F">
      <w:pPr>
        <w:pStyle w:val="FootnoteText"/>
      </w:pPr>
      <w:r>
        <w:rPr>
          <w:rStyle w:val="FootnoteReference"/>
        </w:rPr>
        <w:footnoteRef/>
      </w:r>
      <w:r>
        <w:t xml:space="preserve"> FDA guidance on safety testing of drug metabolites. Rev 2 (MAR 2020). Accessed 21 FEB 2023 at:  </w:t>
      </w:r>
      <w:hyperlink r:id="rId1" w:history="1">
        <w:r w:rsidRPr="00AC63DB">
          <w:rPr>
            <w:rStyle w:val="Hyperlink"/>
          </w:rPr>
          <w:t>https://www.fda.gov/media/72279/download</w:t>
        </w:r>
      </w:hyperlink>
    </w:p>
  </w:footnote>
  <w:footnote w:id="41">
    <w:p w14:paraId="739CC994" w14:textId="2BE100EA" w:rsidR="000463F9" w:rsidRDefault="000463F9">
      <w:pPr>
        <w:pStyle w:val="FootnoteText"/>
      </w:pPr>
      <w:r>
        <w:rPr>
          <w:rStyle w:val="FootnoteReference"/>
        </w:rPr>
        <w:footnoteRef/>
      </w:r>
      <w:r w:rsidRPr="00C757AE">
        <w:rPr>
          <w:lang w:val="sv-SE"/>
        </w:rPr>
        <w:t xml:space="preserve"> Polkinghorn WR, Parker JS, Lee MX, et al. </w:t>
      </w:r>
      <w:r w:rsidRPr="0094510D">
        <w:t>Androgen receptor signaling regulates DNA repair in prostate cancers. Cancer Discov. 2013 Nov;3(11):1245-53. doi: 10.1158/2159-8290.CD-13-0172. Epub 2013 Sep 11. PMID: 24027196; PMCID: PMC3888815.</w:t>
      </w:r>
    </w:p>
  </w:footnote>
  <w:footnote w:id="42">
    <w:p w14:paraId="2CB6ED92" w14:textId="4690D259" w:rsidR="00061181" w:rsidRDefault="00061181">
      <w:pPr>
        <w:pStyle w:val="FootnoteText"/>
      </w:pPr>
      <w:r>
        <w:rPr>
          <w:rStyle w:val="FootnoteReference"/>
        </w:rPr>
        <w:footnoteRef/>
      </w:r>
      <w:r>
        <w:t xml:space="preserve"> FDA guidance on safety testing of drug metabolites. Rev 2 (MAR 2020). Accessed 21 FEB 2023 at:  </w:t>
      </w:r>
      <w:hyperlink r:id="rId2" w:history="1">
        <w:r w:rsidRPr="00AC63DB">
          <w:rPr>
            <w:rStyle w:val="Hyperlink"/>
          </w:rPr>
          <w:t>https://www.fda.gov/media/72279/download</w:t>
        </w:r>
      </w:hyperlink>
    </w:p>
  </w:footnote>
  <w:footnote w:id="43">
    <w:p w14:paraId="33D93DB4" w14:textId="2171FBD9" w:rsidR="00DE44FD" w:rsidRDefault="00DE44FD" w:rsidP="00DE44FD">
      <w:pPr>
        <w:pStyle w:val="EndnoteText"/>
      </w:pPr>
      <w:r>
        <w:rPr>
          <w:rStyle w:val="FootnoteReference"/>
        </w:rPr>
        <w:footnoteRef/>
      </w:r>
      <w:r>
        <w:t xml:space="preserve"> </w:t>
      </w:r>
      <w:r w:rsidRPr="00583A23">
        <w:rPr>
          <w:sz w:val="17"/>
          <w:szCs w:val="17"/>
        </w:rPr>
        <w:t>Desai PB, Nallani SC, Sane RS, et al. Induction of cytochrome P450 3A4 in primary human hepatocytes and activation of the human pregnane X receptor by tamoxifen and 4-hydroxytamoxifen. Drug Metab Dispos 2002;(5):608-12.</w:t>
      </w:r>
    </w:p>
  </w:footnote>
  <w:footnote w:id="44">
    <w:p w14:paraId="3C557640" w14:textId="179A7966" w:rsidR="00061181" w:rsidRDefault="00061181">
      <w:pPr>
        <w:pStyle w:val="FootnoteText"/>
      </w:pPr>
      <w:r>
        <w:rPr>
          <w:rStyle w:val="FootnoteReference"/>
        </w:rPr>
        <w:footnoteRef/>
      </w:r>
      <w:r>
        <w:t xml:space="preserve"> </w:t>
      </w:r>
      <w:r w:rsidRPr="00E9653E">
        <w:t>Tung N, Garber JE. PARP inhibition in breast cancer: progress made and future hopes. NPJ Breast Cancer. 2022 Apr 8;8(1):47. doi: 10.1038/s41523-022-00411-3. PMID: 35396508; PMCID: PMC8993852.</w:t>
      </w:r>
    </w:p>
  </w:footnote>
  <w:footnote w:id="45">
    <w:p w14:paraId="2F995BD3" w14:textId="33D84316" w:rsidR="009E60BC" w:rsidRDefault="009E60BC" w:rsidP="006F5065">
      <w:pPr>
        <w:pStyle w:val="FootnoteText"/>
      </w:pPr>
      <w:r>
        <w:rPr>
          <w:rStyle w:val="FootnoteReference"/>
        </w:rPr>
        <w:footnoteRef/>
      </w:r>
      <w:r>
        <w:t xml:space="preserve"> </w:t>
      </w:r>
      <w:r w:rsidRPr="006C3574">
        <w:t xml:space="preserve">Morice PM, Leary A, Dolladille C, </w:t>
      </w:r>
      <w:r>
        <w:t>et al</w:t>
      </w:r>
      <w:r w:rsidRPr="006C3574">
        <w:t>. Myelodysplastic syndrome and acute myeloid leukaemia in patients treated with PARP inhibitors: a safety meta-analysis of randomised controlled trials and a retrospective study of the WHO pharmacovigilance database. Lancet Haematol. 2021 Feb;8(2):e122-e134. doi: 10.1016/S2352-3026(20)30360-4. Epub 2020 Dec 18. Erratum in: Lancet Haematol. 2021 Feb;8(2):e105. PMID: 33347814.</w:t>
      </w:r>
    </w:p>
  </w:footnote>
  <w:footnote w:id="46">
    <w:p w14:paraId="757F8FDF" w14:textId="47CA341E" w:rsidR="006F5065" w:rsidRDefault="006F5065" w:rsidP="006F5065">
      <w:pPr>
        <w:pStyle w:val="FootnoteText"/>
      </w:pPr>
      <w:r>
        <w:rPr>
          <w:rStyle w:val="FootnoteReference"/>
        </w:rPr>
        <w:footnoteRef/>
      </w:r>
      <w:r>
        <w:t xml:space="preserve"> </w:t>
      </w:r>
      <w:r w:rsidRPr="006C3574">
        <w:t>Csizmar CM, Saliba AN, Swisher EM, Kaufmann SH. PARP Inhibitors and Myeloid Neoplasms: A Double-Edged Sword. Cancers (Basel). 2021 Dec 20;13(24):6385. doi: 10.3390/cancers13246385. PMID: 34945003; PMCID: PMC8699275.</w:t>
      </w:r>
    </w:p>
  </w:footnote>
  <w:footnote w:id="47">
    <w:p w14:paraId="05C2306D" w14:textId="77777777" w:rsidR="002C5219" w:rsidRDefault="002C5219" w:rsidP="002C5219">
      <w:pPr>
        <w:pStyle w:val="FootnoteText"/>
      </w:pPr>
      <w:r>
        <w:rPr>
          <w:rStyle w:val="FootnoteReference"/>
        </w:rPr>
        <w:footnoteRef/>
      </w:r>
      <w:r>
        <w:t xml:space="preserve"> Robson M, Im SA, Senkus E, Xu B, Domchek SM, Masuda N, et al. Olaparib for metastatic</w:t>
      </w:r>
    </w:p>
    <w:p w14:paraId="63B9C698" w14:textId="05C87615" w:rsidR="002C5219" w:rsidRDefault="002C5219" w:rsidP="002C5219">
      <w:pPr>
        <w:pStyle w:val="FootnoteText"/>
      </w:pPr>
      <w:r>
        <w:t xml:space="preserve">breast cancer in patients with a germline </w:t>
      </w:r>
      <w:r>
        <w:rPr>
          <w:rFonts w:ascii="TimesNewRoman,Italic" w:eastAsia="TimesNewRoman,Italic" w:cs="TimesNewRoman,Italic"/>
          <w:i/>
          <w:iCs/>
        </w:rPr>
        <w:t xml:space="preserve">BRCA </w:t>
      </w:r>
      <w:r>
        <w:t>mutation. N Engl J Med 2017;377:523-33.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5F4CCC"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535668210" name="Picture 153566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299590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493241131" name="Picture 49324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D2FB5"/>
    <w:multiLevelType w:val="hybridMultilevel"/>
    <w:tmpl w:val="F2BA5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385F04"/>
    <w:multiLevelType w:val="hybridMultilevel"/>
    <w:tmpl w:val="B3B24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0833231"/>
    <w:multiLevelType w:val="hybridMultilevel"/>
    <w:tmpl w:val="995E57A4"/>
    <w:lvl w:ilvl="0" w:tplc="38627BA0">
      <w:numFmt w:val="bullet"/>
      <w:lvlText w:val="•"/>
      <w:lvlJc w:val="left"/>
      <w:pPr>
        <w:ind w:left="1145" w:hanging="360"/>
      </w:pPr>
      <w:rPr>
        <w:rFonts w:ascii="Cambria" w:eastAsia="Cambria" w:hAnsi="Cambria" w:cs="Times New Roman" w:hint="default"/>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8" w15:restartNumberingAfterBreak="0">
    <w:nsid w:val="21DF1F61"/>
    <w:multiLevelType w:val="hybridMultilevel"/>
    <w:tmpl w:val="F94C7B04"/>
    <w:lvl w:ilvl="0" w:tplc="38627BA0">
      <w:numFmt w:val="bullet"/>
      <w:lvlText w:val="•"/>
      <w:lvlJc w:val="left"/>
      <w:pPr>
        <w:ind w:left="1190" w:hanging="360"/>
      </w:pPr>
      <w:rPr>
        <w:rFonts w:ascii="Cambria" w:eastAsia="Cambria" w:hAnsi="Cambria" w:cs="Times New Roman"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26245CB0"/>
    <w:multiLevelType w:val="hybridMultilevel"/>
    <w:tmpl w:val="249E0B0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AC7955"/>
    <w:multiLevelType w:val="hybridMultilevel"/>
    <w:tmpl w:val="63287146"/>
    <w:lvl w:ilvl="0" w:tplc="F63285FA">
      <w:start w:val="1"/>
      <w:numFmt w:val="lowerLetter"/>
      <w:lvlText w:val="%1"/>
      <w:lvlJc w:val="left"/>
      <w:pPr>
        <w:ind w:left="720" w:hanging="360"/>
      </w:pPr>
      <w:rPr>
        <w:rFonts w:hint="default"/>
        <w:color w:val="auto"/>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C00A31"/>
    <w:multiLevelType w:val="hybridMultilevel"/>
    <w:tmpl w:val="45FE8110"/>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3" w15:restartNumberingAfterBreak="0">
    <w:nsid w:val="290F4D54"/>
    <w:multiLevelType w:val="hybridMultilevel"/>
    <w:tmpl w:val="11DC6B54"/>
    <w:lvl w:ilvl="0" w:tplc="74C6687A">
      <w:start w:val="1"/>
      <w:numFmt w:val="decimal"/>
      <w:lvlText w:val="%1"/>
      <w:lvlJc w:val="left"/>
      <w:pPr>
        <w:ind w:left="1145" w:hanging="360"/>
      </w:pPr>
      <w:rPr>
        <w:rFonts w:hint="default"/>
        <w:vertAlign w:val="baseli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4" w15:restartNumberingAfterBreak="0">
    <w:nsid w:val="2AFB094B"/>
    <w:multiLevelType w:val="multilevel"/>
    <w:tmpl w:val="6074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AA372C"/>
    <w:multiLevelType w:val="hybridMultilevel"/>
    <w:tmpl w:val="F74EEF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153680"/>
    <w:multiLevelType w:val="hybridMultilevel"/>
    <w:tmpl w:val="AAD8A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997110"/>
    <w:multiLevelType w:val="hybridMultilevel"/>
    <w:tmpl w:val="F89E4E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6A01C2"/>
    <w:multiLevelType w:val="hybridMultilevel"/>
    <w:tmpl w:val="63287146"/>
    <w:lvl w:ilvl="0" w:tplc="F63285FA">
      <w:start w:val="1"/>
      <w:numFmt w:val="lowerLetter"/>
      <w:lvlText w:val="%1"/>
      <w:lvlJc w:val="left"/>
      <w:pPr>
        <w:ind w:left="720" w:hanging="360"/>
      </w:pPr>
      <w:rPr>
        <w:rFonts w:hint="default"/>
        <w:color w:val="auto"/>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4358A1"/>
    <w:multiLevelType w:val="hybridMultilevel"/>
    <w:tmpl w:val="9D80C438"/>
    <w:lvl w:ilvl="0" w:tplc="0C090001">
      <w:start w:val="1"/>
      <w:numFmt w:val="bullet"/>
      <w:lvlText w:val=""/>
      <w:lvlJc w:val="left"/>
      <w:pPr>
        <w:ind w:left="776" w:hanging="360"/>
      </w:pPr>
      <w:rPr>
        <w:rFonts w:ascii="Symbol" w:hAnsi="Symbol" w:hint="default"/>
      </w:rPr>
    </w:lvl>
    <w:lvl w:ilvl="1" w:tplc="0C090003">
      <w:start w:val="1"/>
      <w:numFmt w:val="bullet"/>
      <w:lvlText w:val="o"/>
      <w:lvlJc w:val="left"/>
      <w:pPr>
        <w:ind w:left="1496" w:hanging="360"/>
      </w:pPr>
      <w:rPr>
        <w:rFonts w:ascii="Courier New" w:hAnsi="Courier New" w:cs="Courier New" w:hint="default"/>
      </w:rPr>
    </w:lvl>
    <w:lvl w:ilvl="2" w:tplc="0C090005">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0" w15:restartNumberingAfterBreak="0">
    <w:nsid w:val="42922BBF"/>
    <w:multiLevelType w:val="hybridMultilevel"/>
    <w:tmpl w:val="C3C4D07A"/>
    <w:lvl w:ilvl="0" w:tplc="0C090011">
      <w:start w:val="1"/>
      <w:numFmt w:val="decimal"/>
      <w:lvlText w:val="%1)"/>
      <w:lvlJc w:val="left"/>
      <w:pPr>
        <w:ind w:left="720" w:hanging="360"/>
      </w:pPr>
    </w:lvl>
    <w:lvl w:ilvl="1" w:tplc="98CC3314">
      <w:start w:val="1"/>
      <w:numFmt w:val="lowerLetter"/>
      <w:lvlText w:val="%2)"/>
      <w:lvlJc w:val="left"/>
      <w:pPr>
        <w:ind w:left="1440" w:hanging="360"/>
      </w:pPr>
      <w:rPr>
        <w:rFonts w:hint="default"/>
        <w:vertAlign w:val="baseline"/>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22" w15:restartNumberingAfterBreak="0">
    <w:nsid w:val="4795725A"/>
    <w:multiLevelType w:val="hybridMultilevel"/>
    <w:tmpl w:val="C4A48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BE41D51"/>
    <w:multiLevelType w:val="hybridMultilevel"/>
    <w:tmpl w:val="1E0E65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5"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6" w15:restartNumberingAfterBreak="0">
    <w:nsid w:val="50284AD1"/>
    <w:multiLevelType w:val="multilevel"/>
    <w:tmpl w:val="0D84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9D17321"/>
    <w:multiLevelType w:val="hybridMultilevel"/>
    <w:tmpl w:val="05C6F0DC"/>
    <w:lvl w:ilvl="0" w:tplc="0C090001">
      <w:start w:val="1"/>
      <w:numFmt w:val="bullet"/>
      <w:lvlText w:val=""/>
      <w:lvlJc w:val="left"/>
      <w:pPr>
        <w:ind w:left="840" w:hanging="360"/>
      </w:pPr>
      <w:rPr>
        <w:rFonts w:ascii="Symbol" w:hAnsi="Symbol" w:hint="default"/>
      </w:rPr>
    </w:lvl>
    <w:lvl w:ilvl="1" w:tplc="0C090003">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30" w15:restartNumberingAfterBreak="0">
    <w:nsid w:val="62E1248D"/>
    <w:multiLevelType w:val="hybridMultilevel"/>
    <w:tmpl w:val="C680B1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C75FEB"/>
    <w:multiLevelType w:val="hybridMultilevel"/>
    <w:tmpl w:val="24624B0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2" w15:restartNumberingAfterBreak="0">
    <w:nsid w:val="6AA92E3B"/>
    <w:multiLevelType w:val="hybridMultilevel"/>
    <w:tmpl w:val="86C6E792"/>
    <w:lvl w:ilvl="0" w:tplc="74C668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765D21"/>
    <w:multiLevelType w:val="hybridMultilevel"/>
    <w:tmpl w:val="1B169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7821DB"/>
    <w:multiLevelType w:val="hybridMultilevel"/>
    <w:tmpl w:val="0240A2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5186FF0"/>
    <w:multiLevelType w:val="multilevel"/>
    <w:tmpl w:val="37FA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81345F"/>
    <w:multiLevelType w:val="multilevel"/>
    <w:tmpl w:val="D8A6E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38" w15:restartNumberingAfterBreak="0">
    <w:nsid w:val="7D614C70"/>
    <w:multiLevelType w:val="multilevel"/>
    <w:tmpl w:val="36303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767662"/>
    <w:multiLevelType w:val="hybridMultilevel"/>
    <w:tmpl w:val="98C2C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0C5F31"/>
    <w:multiLevelType w:val="hybridMultilevel"/>
    <w:tmpl w:val="39CCCB9C"/>
    <w:lvl w:ilvl="0" w:tplc="38627BA0">
      <w:numFmt w:val="bullet"/>
      <w:lvlText w:val="•"/>
      <w:lvlJc w:val="left"/>
      <w:pPr>
        <w:ind w:left="1145" w:hanging="360"/>
      </w:pPr>
      <w:rPr>
        <w:rFonts w:ascii="Cambria" w:eastAsia="Cambria"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997172">
    <w:abstractNumId w:val="6"/>
  </w:num>
  <w:num w:numId="2" w16cid:durableId="1856573705">
    <w:abstractNumId w:val="2"/>
  </w:num>
  <w:num w:numId="3" w16cid:durableId="357703499">
    <w:abstractNumId w:val="5"/>
  </w:num>
  <w:num w:numId="4" w16cid:durableId="1869176708">
    <w:abstractNumId w:val="27"/>
  </w:num>
  <w:num w:numId="5" w16cid:durableId="1652950129">
    <w:abstractNumId w:val="9"/>
  </w:num>
  <w:num w:numId="6" w16cid:durableId="1053193207">
    <w:abstractNumId w:val="24"/>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5"/>
  </w:num>
  <w:num w:numId="9" w16cid:durableId="173421270">
    <w:abstractNumId w:val="4"/>
  </w:num>
  <w:num w:numId="10" w16cid:durableId="2108043357">
    <w:abstractNumId w:val="7"/>
  </w:num>
  <w:num w:numId="11" w16cid:durableId="1725904230">
    <w:abstractNumId w:val="21"/>
  </w:num>
  <w:num w:numId="12" w16cid:durableId="141579354">
    <w:abstractNumId w:val="29"/>
  </w:num>
  <w:num w:numId="13" w16cid:durableId="283735081">
    <w:abstractNumId w:val="37"/>
  </w:num>
  <w:num w:numId="14" w16cid:durableId="223376443">
    <w:abstractNumId w:val="23"/>
  </w:num>
  <w:num w:numId="15" w16cid:durableId="69083633">
    <w:abstractNumId w:val="26"/>
  </w:num>
  <w:num w:numId="16" w16cid:durableId="1360668369">
    <w:abstractNumId w:val="36"/>
  </w:num>
  <w:num w:numId="17" w16cid:durableId="1683624436">
    <w:abstractNumId w:val="14"/>
  </w:num>
  <w:num w:numId="18" w16cid:durableId="1654286487">
    <w:abstractNumId w:val="35"/>
  </w:num>
  <w:num w:numId="19" w16cid:durableId="1698264468">
    <w:abstractNumId w:val="17"/>
  </w:num>
  <w:num w:numId="20" w16cid:durableId="1967881497">
    <w:abstractNumId w:val="22"/>
  </w:num>
  <w:num w:numId="21" w16cid:durableId="168764182">
    <w:abstractNumId w:val="19"/>
  </w:num>
  <w:num w:numId="22" w16cid:durableId="1114328439">
    <w:abstractNumId w:val="16"/>
  </w:num>
  <w:num w:numId="23" w16cid:durableId="389423118">
    <w:abstractNumId w:val="11"/>
  </w:num>
  <w:num w:numId="24" w16cid:durableId="114906647">
    <w:abstractNumId w:val="34"/>
  </w:num>
  <w:num w:numId="25" w16cid:durableId="873814683">
    <w:abstractNumId w:val="0"/>
  </w:num>
  <w:num w:numId="26" w16cid:durableId="376512940">
    <w:abstractNumId w:val="3"/>
  </w:num>
  <w:num w:numId="27" w16cid:durableId="1875575618">
    <w:abstractNumId w:val="32"/>
  </w:num>
  <w:num w:numId="28" w16cid:durableId="1309700075">
    <w:abstractNumId w:val="38"/>
  </w:num>
  <w:num w:numId="29" w16cid:durableId="2105420316">
    <w:abstractNumId w:val="18"/>
  </w:num>
  <w:num w:numId="30" w16cid:durableId="683170558">
    <w:abstractNumId w:val="13"/>
  </w:num>
  <w:num w:numId="31" w16cid:durableId="1338532151">
    <w:abstractNumId w:val="30"/>
  </w:num>
  <w:num w:numId="32" w16cid:durableId="1126654038">
    <w:abstractNumId w:val="12"/>
  </w:num>
  <w:num w:numId="33" w16cid:durableId="1463622268">
    <w:abstractNumId w:val="40"/>
  </w:num>
  <w:num w:numId="34" w16cid:durableId="1340699437">
    <w:abstractNumId w:val="8"/>
  </w:num>
  <w:num w:numId="35" w16cid:durableId="1594821195">
    <w:abstractNumId w:val="20"/>
  </w:num>
  <w:num w:numId="36" w16cid:durableId="407381958">
    <w:abstractNumId w:val="15"/>
  </w:num>
  <w:num w:numId="37" w16cid:durableId="422726701">
    <w:abstractNumId w:val="10"/>
  </w:num>
  <w:num w:numId="38" w16cid:durableId="17572826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03667843">
    <w:abstractNumId w:val="28"/>
  </w:num>
  <w:num w:numId="40" w16cid:durableId="1966308370">
    <w:abstractNumId w:val="1"/>
  </w:num>
  <w:num w:numId="41" w16cid:durableId="1108547237">
    <w:abstractNumId w:val="39"/>
  </w:num>
  <w:num w:numId="42" w16cid:durableId="1969774180">
    <w:abstractNumId w:val="33"/>
  </w:num>
  <w:num w:numId="43" w16cid:durableId="15804043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262050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2083"/>
    <w:rsid w:val="00002F80"/>
    <w:rsid w:val="00004431"/>
    <w:rsid w:val="00005062"/>
    <w:rsid w:val="0001053E"/>
    <w:rsid w:val="0001064C"/>
    <w:rsid w:val="00011EBB"/>
    <w:rsid w:val="0001384A"/>
    <w:rsid w:val="00015286"/>
    <w:rsid w:val="00020FF2"/>
    <w:rsid w:val="000237FF"/>
    <w:rsid w:val="00031F86"/>
    <w:rsid w:val="00032A0F"/>
    <w:rsid w:val="00040D8D"/>
    <w:rsid w:val="000414E7"/>
    <w:rsid w:val="00043CA0"/>
    <w:rsid w:val="000446C0"/>
    <w:rsid w:val="000463F9"/>
    <w:rsid w:val="00046423"/>
    <w:rsid w:val="0006104E"/>
    <w:rsid w:val="00061181"/>
    <w:rsid w:val="000640BD"/>
    <w:rsid w:val="00065839"/>
    <w:rsid w:val="00065FDF"/>
    <w:rsid w:val="00077844"/>
    <w:rsid w:val="00086065"/>
    <w:rsid w:val="00090510"/>
    <w:rsid w:val="000917AE"/>
    <w:rsid w:val="00092150"/>
    <w:rsid w:val="00094B81"/>
    <w:rsid w:val="000975AA"/>
    <w:rsid w:val="000A156D"/>
    <w:rsid w:val="000A3C7D"/>
    <w:rsid w:val="000B2E8A"/>
    <w:rsid w:val="000B4549"/>
    <w:rsid w:val="000B6B15"/>
    <w:rsid w:val="000C25A7"/>
    <w:rsid w:val="000C51F0"/>
    <w:rsid w:val="000D084D"/>
    <w:rsid w:val="000D4BC5"/>
    <w:rsid w:val="000D6101"/>
    <w:rsid w:val="000D78EC"/>
    <w:rsid w:val="000D7934"/>
    <w:rsid w:val="000E1869"/>
    <w:rsid w:val="000E2597"/>
    <w:rsid w:val="000E6746"/>
    <w:rsid w:val="000F40B7"/>
    <w:rsid w:val="000F7B51"/>
    <w:rsid w:val="00101BEE"/>
    <w:rsid w:val="00101CE6"/>
    <w:rsid w:val="00101FB1"/>
    <w:rsid w:val="0010558A"/>
    <w:rsid w:val="00106A6F"/>
    <w:rsid w:val="001101FF"/>
    <w:rsid w:val="0012473C"/>
    <w:rsid w:val="00127A74"/>
    <w:rsid w:val="0013132F"/>
    <w:rsid w:val="0013306D"/>
    <w:rsid w:val="0013528C"/>
    <w:rsid w:val="0014067B"/>
    <w:rsid w:val="00142254"/>
    <w:rsid w:val="001442A2"/>
    <w:rsid w:val="001468CA"/>
    <w:rsid w:val="001500A8"/>
    <w:rsid w:val="00153C1F"/>
    <w:rsid w:val="00155D85"/>
    <w:rsid w:val="00165D28"/>
    <w:rsid w:val="0017005C"/>
    <w:rsid w:val="00170BA9"/>
    <w:rsid w:val="00175CD8"/>
    <w:rsid w:val="00181F66"/>
    <w:rsid w:val="00182BD8"/>
    <w:rsid w:val="00187FCA"/>
    <w:rsid w:val="001A10EC"/>
    <w:rsid w:val="001A37F8"/>
    <w:rsid w:val="001A76F9"/>
    <w:rsid w:val="001B06FF"/>
    <w:rsid w:val="001B0D65"/>
    <w:rsid w:val="001B1637"/>
    <w:rsid w:val="001B1703"/>
    <w:rsid w:val="001C1C2E"/>
    <w:rsid w:val="001C2986"/>
    <w:rsid w:val="001C31A1"/>
    <w:rsid w:val="001C3FA2"/>
    <w:rsid w:val="001C5EE2"/>
    <w:rsid w:val="001C737B"/>
    <w:rsid w:val="001D0077"/>
    <w:rsid w:val="001E1A9C"/>
    <w:rsid w:val="001E30C1"/>
    <w:rsid w:val="001E407B"/>
    <w:rsid w:val="001E5491"/>
    <w:rsid w:val="001E5D7C"/>
    <w:rsid w:val="001E7FC6"/>
    <w:rsid w:val="001F2502"/>
    <w:rsid w:val="001F6AD7"/>
    <w:rsid w:val="001F70A5"/>
    <w:rsid w:val="0020235D"/>
    <w:rsid w:val="0020369B"/>
    <w:rsid w:val="00206D4B"/>
    <w:rsid w:val="00207B4D"/>
    <w:rsid w:val="002117B1"/>
    <w:rsid w:val="002126D9"/>
    <w:rsid w:val="00217CCE"/>
    <w:rsid w:val="002203B1"/>
    <w:rsid w:val="002223C6"/>
    <w:rsid w:val="00226F39"/>
    <w:rsid w:val="002325E4"/>
    <w:rsid w:val="002334AD"/>
    <w:rsid w:val="00241B60"/>
    <w:rsid w:val="002462B2"/>
    <w:rsid w:val="00253971"/>
    <w:rsid w:val="002552AC"/>
    <w:rsid w:val="0025785B"/>
    <w:rsid w:val="00257969"/>
    <w:rsid w:val="00272039"/>
    <w:rsid w:val="00274E35"/>
    <w:rsid w:val="00280048"/>
    <w:rsid w:val="00282FFC"/>
    <w:rsid w:val="0028489E"/>
    <w:rsid w:val="002848DE"/>
    <w:rsid w:val="0028794E"/>
    <w:rsid w:val="00295E3C"/>
    <w:rsid w:val="002A5841"/>
    <w:rsid w:val="002B1EDF"/>
    <w:rsid w:val="002B2061"/>
    <w:rsid w:val="002B3248"/>
    <w:rsid w:val="002C1232"/>
    <w:rsid w:val="002C1E44"/>
    <w:rsid w:val="002C5219"/>
    <w:rsid w:val="002C54FE"/>
    <w:rsid w:val="002C5C26"/>
    <w:rsid w:val="002C5C92"/>
    <w:rsid w:val="002C5E29"/>
    <w:rsid w:val="002D0478"/>
    <w:rsid w:val="002D7127"/>
    <w:rsid w:val="002E558B"/>
    <w:rsid w:val="002E7618"/>
    <w:rsid w:val="002F599E"/>
    <w:rsid w:val="003008D8"/>
    <w:rsid w:val="00301D9A"/>
    <w:rsid w:val="00303959"/>
    <w:rsid w:val="00303E6D"/>
    <w:rsid w:val="00306E72"/>
    <w:rsid w:val="00312AC3"/>
    <w:rsid w:val="00314430"/>
    <w:rsid w:val="003163BC"/>
    <w:rsid w:val="00321750"/>
    <w:rsid w:val="0032351A"/>
    <w:rsid w:val="00324B33"/>
    <w:rsid w:val="00327488"/>
    <w:rsid w:val="00334C7D"/>
    <w:rsid w:val="00336FE1"/>
    <w:rsid w:val="0034028C"/>
    <w:rsid w:val="0034236C"/>
    <w:rsid w:val="00342D56"/>
    <w:rsid w:val="003456E7"/>
    <w:rsid w:val="00346EC2"/>
    <w:rsid w:val="003477F9"/>
    <w:rsid w:val="0035444D"/>
    <w:rsid w:val="003560A5"/>
    <w:rsid w:val="00356D62"/>
    <w:rsid w:val="00363EE3"/>
    <w:rsid w:val="003725FB"/>
    <w:rsid w:val="003735F3"/>
    <w:rsid w:val="00374729"/>
    <w:rsid w:val="00387298"/>
    <w:rsid w:val="00387984"/>
    <w:rsid w:val="00395140"/>
    <w:rsid w:val="003A2422"/>
    <w:rsid w:val="003A50DF"/>
    <w:rsid w:val="003A6B64"/>
    <w:rsid w:val="003A6D17"/>
    <w:rsid w:val="003B149C"/>
    <w:rsid w:val="003B56CC"/>
    <w:rsid w:val="003B587E"/>
    <w:rsid w:val="003C0FDB"/>
    <w:rsid w:val="003C1192"/>
    <w:rsid w:val="003C55E2"/>
    <w:rsid w:val="003C63D5"/>
    <w:rsid w:val="003C7AA8"/>
    <w:rsid w:val="003D02A1"/>
    <w:rsid w:val="003D2F18"/>
    <w:rsid w:val="003D71A1"/>
    <w:rsid w:val="003E07B9"/>
    <w:rsid w:val="003E4AA2"/>
    <w:rsid w:val="003E599D"/>
    <w:rsid w:val="00405DC8"/>
    <w:rsid w:val="00413A15"/>
    <w:rsid w:val="0041688F"/>
    <w:rsid w:val="0042376F"/>
    <w:rsid w:val="004246B8"/>
    <w:rsid w:val="004248F1"/>
    <w:rsid w:val="004269F3"/>
    <w:rsid w:val="00433318"/>
    <w:rsid w:val="00436763"/>
    <w:rsid w:val="00442A56"/>
    <w:rsid w:val="004444B0"/>
    <w:rsid w:val="00444C9E"/>
    <w:rsid w:val="0044757A"/>
    <w:rsid w:val="0045060B"/>
    <w:rsid w:val="004533C8"/>
    <w:rsid w:val="004626FF"/>
    <w:rsid w:val="0046798A"/>
    <w:rsid w:val="00470A52"/>
    <w:rsid w:val="00471BD5"/>
    <w:rsid w:val="00477C4E"/>
    <w:rsid w:val="00477F07"/>
    <w:rsid w:val="00481503"/>
    <w:rsid w:val="00481D12"/>
    <w:rsid w:val="00482333"/>
    <w:rsid w:val="004854A6"/>
    <w:rsid w:val="00487E48"/>
    <w:rsid w:val="00491A55"/>
    <w:rsid w:val="00494C3E"/>
    <w:rsid w:val="00497DF1"/>
    <w:rsid w:val="004A1238"/>
    <w:rsid w:val="004A318E"/>
    <w:rsid w:val="004A57E8"/>
    <w:rsid w:val="004A675C"/>
    <w:rsid w:val="004B2E74"/>
    <w:rsid w:val="004B3081"/>
    <w:rsid w:val="004B4A09"/>
    <w:rsid w:val="004B6F9A"/>
    <w:rsid w:val="004C41CE"/>
    <w:rsid w:val="004C631B"/>
    <w:rsid w:val="004D14EB"/>
    <w:rsid w:val="004D2DB9"/>
    <w:rsid w:val="004D2F00"/>
    <w:rsid w:val="004D31D8"/>
    <w:rsid w:val="004D5388"/>
    <w:rsid w:val="004D7FF6"/>
    <w:rsid w:val="004E7F16"/>
    <w:rsid w:val="004F18EC"/>
    <w:rsid w:val="004F1F91"/>
    <w:rsid w:val="00500D68"/>
    <w:rsid w:val="0050320D"/>
    <w:rsid w:val="00511677"/>
    <w:rsid w:val="00527599"/>
    <w:rsid w:val="00531174"/>
    <w:rsid w:val="0053377D"/>
    <w:rsid w:val="00535DFE"/>
    <w:rsid w:val="005373B5"/>
    <w:rsid w:val="00537AB7"/>
    <w:rsid w:val="00541F46"/>
    <w:rsid w:val="005438DA"/>
    <w:rsid w:val="0054669B"/>
    <w:rsid w:val="005479F1"/>
    <w:rsid w:val="00551029"/>
    <w:rsid w:val="005610D1"/>
    <w:rsid w:val="00562F42"/>
    <w:rsid w:val="00565739"/>
    <w:rsid w:val="0056766D"/>
    <w:rsid w:val="00575215"/>
    <w:rsid w:val="005753A5"/>
    <w:rsid w:val="00575A5A"/>
    <w:rsid w:val="00583A23"/>
    <w:rsid w:val="0058575E"/>
    <w:rsid w:val="0058783C"/>
    <w:rsid w:val="00587DEE"/>
    <w:rsid w:val="00590A66"/>
    <w:rsid w:val="005911AE"/>
    <w:rsid w:val="005926E2"/>
    <w:rsid w:val="0059282E"/>
    <w:rsid w:val="0059313A"/>
    <w:rsid w:val="005A0AF2"/>
    <w:rsid w:val="005A54EA"/>
    <w:rsid w:val="005B023F"/>
    <w:rsid w:val="005B02A2"/>
    <w:rsid w:val="005B1417"/>
    <w:rsid w:val="005B2B5E"/>
    <w:rsid w:val="005B69CF"/>
    <w:rsid w:val="005C096A"/>
    <w:rsid w:val="005C3F07"/>
    <w:rsid w:val="005C4B46"/>
    <w:rsid w:val="005C5DC5"/>
    <w:rsid w:val="005C6EC6"/>
    <w:rsid w:val="005C796B"/>
    <w:rsid w:val="005D2089"/>
    <w:rsid w:val="005D7514"/>
    <w:rsid w:val="005E0FC6"/>
    <w:rsid w:val="005E1A7B"/>
    <w:rsid w:val="005E231F"/>
    <w:rsid w:val="005E68E1"/>
    <w:rsid w:val="005F4CCC"/>
    <w:rsid w:val="0060141B"/>
    <w:rsid w:val="0060242C"/>
    <w:rsid w:val="00602911"/>
    <w:rsid w:val="00602D6E"/>
    <w:rsid w:val="00605C05"/>
    <w:rsid w:val="00611351"/>
    <w:rsid w:val="0061217D"/>
    <w:rsid w:val="00612A59"/>
    <w:rsid w:val="00615394"/>
    <w:rsid w:val="00615C00"/>
    <w:rsid w:val="00622D9A"/>
    <w:rsid w:val="006277A1"/>
    <w:rsid w:val="006322DA"/>
    <w:rsid w:val="00633BD7"/>
    <w:rsid w:val="00634143"/>
    <w:rsid w:val="00634580"/>
    <w:rsid w:val="00634884"/>
    <w:rsid w:val="006351D9"/>
    <w:rsid w:val="00636A55"/>
    <w:rsid w:val="00637130"/>
    <w:rsid w:val="00637F0E"/>
    <w:rsid w:val="006423F2"/>
    <w:rsid w:val="00650234"/>
    <w:rsid w:val="0066044B"/>
    <w:rsid w:val="006630AA"/>
    <w:rsid w:val="00663544"/>
    <w:rsid w:val="0066570B"/>
    <w:rsid w:val="00666539"/>
    <w:rsid w:val="00666911"/>
    <w:rsid w:val="00670C4F"/>
    <w:rsid w:val="00674317"/>
    <w:rsid w:val="00675F81"/>
    <w:rsid w:val="00677BF2"/>
    <w:rsid w:val="0068143E"/>
    <w:rsid w:val="00684530"/>
    <w:rsid w:val="0068507D"/>
    <w:rsid w:val="00686303"/>
    <w:rsid w:val="00687053"/>
    <w:rsid w:val="0069170D"/>
    <w:rsid w:val="00691AF2"/>
    <w:rsid w:val="00692B80"/>
    <w:rsid w:val="00692CCD"/>
    <w:rsid w:val="00692D51"/>
    <w:rsid w:val="006939F5"/>
    <w:rsid w:val="00694DD7"/>
    <w:rsid w:val="0069508E"/>
    <w:rsid w:val="00695ACC"/>
    <w:rsid w:val="00695BBA"/>
    <w:rsid w:val="0069636B"/>
    <w:rsid w:val="006A0948"/>
    <w:rsid w:val="006A1762"/>
    <w:rsid w:val="006A1F0B"/>
    <w:rsid w:val="006A277A"/>
    <w:rsid w:val="006A5973"/>
    <w:rsid w:val="006A74A2"/>
    <w:rsid w:val="006B7126"/>
    <w:rsid w:val="006C085A"/>
    <w:rsid w:val="006C4A96"/>
    <w:rsid w:val="006C56CA"/>
    <w:rsid w:val="006C6615"/>
    <w:rsid w:val="006C6716"/>
    <w:rsid w:val="006C6B86"/>
    <w:rsid w:val="006D10D3"/>
    <w:rsid w:val="006D4553"/>
    <w:rsid w:val="006D4A35"/>
    <w:rsid w:val="006D5289"/>
    <w:rsid w:val="006D6966"/>
    <w:rsid w:val="006D6B44"/>
    <w:rsid w:val="006E27FE"/>
    <w:rsid w:val="006F26C6"/>
    <w:rsid w:val="006F5065"/>
    <w:rsid w:val="00701110"/>
    <w:rsid w:val="00702E91"/>
    <w:rsid w:val="0070330F"/>
    <w:rsid w:val="00703624"/>
    <w:rsid w:val="007046ED"/>
    <w:rsid w:val="00705660"/>
    <w:rsid w:val="007072A1"/>
    <w:rsid w:val="00710BC5"/>
    <w:rsid w:val="007121CA"/>
    <w:rsid w:val="00712441"/>
    <w:rsid w:val="0072003B"/>
    <w:rsid w:val="00721059"/>
    <w:rsid w:val="007211E6"/>
    <w:rsid w:val="007220C4"/>
    <w:rsid w:val="00731FBB"/>
    <w:rsid w:val="00732361"/>
    <w:rsid w:val="007357B9"/>
    <w:rsid w:val="00736A6D"/>
    <w:rsid w:val="00740391"/>
    <w:rsid w:val="00741AB9"/>
    <w:rsid w:val="00742D03"/>
    <w:rsid w:val="00743F9F"/>
    <w:rsid w:val="00744216"/>
    <w:rsid w:val="007452E8"/>
    <w:rsid w:val="00746990"/>
    <w:rsid w:val="00747093"/>
    <w:rsid w:val="00747F6D"/>
    <w:rsid w:val="00750D70"/>
    <w:rsid w:val="0075476A"/>
    <w:rsid w:val="007575D0"/>
    <w:rsid w:val="007662E0"/>
    <w:rsid w:val="00776D01"/>
    <w:rsid w:val="00776E9C"/>
    <w:rsid w:val="007816D8"/>
    <w:rsid w:val="007828CA"/>
    <w:rsid w:val="00784150"/>
    <w:rsid w:val="00786BF2"/>
    <w:rsid w:val="00792058"/>
    <w:rsid w:val="00793272"/>
    <w:rsid w:val="00794B64"/>
    <w:rsid w:val="007967C3"/>
    <w:rsid w:val="00797FB6"/>
    <w:rsid w:val="007A0A33"/>
    <w:rsid w:val="007A13FF"/>
    <w:rsid w:val="007A3E09"/>
    <w:rsid w:val="007A687C"/>
    <w:rsid w:val="007B04DE"/>
    <w:rsid w:val="007B0AE6"/>
    <w:rsid w:val="007B37E7"/>
    <w:rsid w:val="007B5CDC"/>
    <w:rsid w:val="007B5DD8"/>
    <w:rsid w:val="007B7C33"/>
    <w:rsid w:val="007C0F0B"/>
    <w:rsid w:val="007C4428"/>
    <w:rsid w:val="007C57BC"/>
    <w:rsid w:val="007C5C7E"/>
    <w:rsid w:val="007C6BBE"/>
    <w:rsid w:val="007D04CA"/>
    <w:rsid w:val="007D0A2B"/>
    <w:rsid w:val="007D12A1"/>
    <w:rsid w:val="007D40E5"/>
    <w:rsid w:val="007D4138"/>
    <w:rsid w:val="007E4178"/>
    <w:rsid w:val="007F0A77"/>
    <w:rsid w:val="007F29D8"/>
    <w:rsid w:val="007F50D3"/>
    <w:rsid w:val="007F6B1F"/>
    <w:rsid w:val="00804897"/>
    <w:rsid w:val="00807907"/>
    <w:rsid w:val="00820DAA"/>
    <w:rsid w:val="008228DE"/>
    <w:rsid w:val="008277BA"/>
    <w:rsid w:val="008329DB"/>
    <w:rsid w:val="008361C5"/>
    <w:rsid w:val="0083628F"/>
    <w:rsid w:val="00837AB9"/>
    <w:rsid w:val="00843874"/>
    <w:rsid w:val="00843964"/>
    <w:rsid w:val="00850637"/>
    <w:rsid w:val="00854D98"/>
    <w:rsid w:val="0085751E"/>
    <w:rsid w:val="00860B29"/>
    <w:rsid w:val="008622E8"/>
    <w:rsid w:val="008645EE"/>
    <w:rsid w:val="008664D0"/>
    <w:rsid w:val="00870144"/>
    <w:rsid w:val="0087091C"/>
    <w:rsid w:val="0087222F"/>
    <w:rsid w:val="00873D7A"/>
    <w:rsid w:val="00875F00"/>
    <w:rsid w:val="00877CB3"/>
    <w:rsid w:val="008804CF"/>
    <w:rsid w:val="00882A4F"/>
    <w:rsid w:val="00882D58"/>
    <w:rsid w:val="00882F19"/>
    <w:rsid w:val="00883D35"/>
    <w:rsid w:val="00884569"/>
    <w:rsid w:val="0088715B"/>
    <w:rsid w:val="00887A51"/>
    <w:rsid w:val="00890D9B"/>
    <w:rsid w:val="00891C6C"/>
    <w:rsid w:val="00893CCD"/>
    <w:rsid w:val="008964B3"/>
    <w:rsid w:val="008A1D19"/>
    <w:rsid w:val="008A611B"/>
    <w:rsid w:val="008B0321"/>
    <w:rsid w:val="008B1CB5"/>
    <w:rsid w:val="008B3873"/>
    <w:rsid w:val="008B7257"/>
    <w:rsid w:val="008C0067"/>
    <w:rsid w:val="008C2C66"/>
    <w:rsid w:val="008C2D69"/>
    <w:rsid w:val="008C49C6"/>
    <w:rsid w:val="008C630D"/>
    <w:rsid w:val="008C754C"/>
    <w:rsid w:val="008D56C9"/>
    <w:rsid w:val="008D6A54"/>
    <w:rsid w:val="008E1295"/>
    <w:rsid w:val="008E2585"/>
    <w:rsid w:val="008E2D7A"/>
    <w:rsid w:val="008F3215"/>
    <w:rsid w:val="008F4A62"/>
    <w:rsid w:val="008F7256"/>
    <w:rsid w:val="00900675"/>
    <w:rsid w:val="00900ED6"/>
    <w:rsid w:val="009031BD"/>
    <w:rsid w:val="0090424C"/>
    <w:rsid w:val="0090605E"/>
    <w:rsid w:val="009108CE"/>
    <w:rsid w:val="009121D7"/>
    <w:rsid w:val="00913800"/>
    <w:rsid w:val="00915A9F"/>
    <w:rsid w:val="009163B2"/>
    <w:rsid w:val="00930D58"/>
    <w:rsid w:val="0093119F"/>
    <w:rsid w:val="0093413E"/>
    <w:rsid w:val="00935AAA"/>
    <w:rsid w:val="00943C95"/>
    <w:rsid w:val="0094624E"/>
    <w:rsid w:val="009478AA"/>
    <w:rsid w:val="0095031E"/>
    <w:rsid w:val="009539DF"/>
    <w:rsid w:val="00954297"/>
    <w:rsid w:val="00960A56"/>
    <w:rsid w:val="00966EF1"/>
    <w:rsid w:val="00967223"/>
    <w:rsid w:val="009751F7"/>
    <w:rsid w:val="00975919"/>
    <w:rsid w:val="009759C6"/>
    <w:rsid w:val="0098350E"/>
    <w:rsid w:val="00983DD1"/>
    <w:rsid w:val="009902A2"/>
    <w:rsid w:val="0099404F"/>
    <w:rsid w:val="00996FA5"/>
    <w:rsid w:val="009A2918"/>
    <w:rsid w:val="009A7CC4"/>
    <w:rsid w:val="009B27CD"/>
    <w:rsid w:val="009B3FCE"/>
    <w:rsid w:val="009B460E"/>
    <w:rsid w:val="009B5381"/>
    <w:rsid w:val="009B5662"/>
    <w:rsid w:val="009C2211"/>
    <w:rsid w:val="009C40E8"/>
    <w:rsid w:val="009C45C5"/>
    <w:rsid w:val="009D1D28"/>
    <w:rsid w:val="009D41E2"/>
    <w:rsid w:val="009D6777"/>
    <w:rsid w:val="009D7B4A"/>
    <w:rsid w:val="009E60BC"/>
    <w:rsid w:val="009E6858"/>
    <w:rsid w:val="009E6F8C"/>
    <w:rsid w:val="009F335B"/>
    <w:rsid w:val="009F405F"/>
    <w:rsid w:val="00A01C56"/>
    <w:rsid w:val="00A16EE9"/>
    <w:rsid w:val="00A32C50"/>
    <w:rsid w:val="00A358E7"/>
    <w:rsid w:val="00A420CF"/>
    <w:rsid w:val="00A425C7"/>
    <w:rsid w:val="00A42BC3"/>
    <w:rsid w:val="00A4380B"/>
    <w:rsid w:val="00A51A2D"/>
    <w:rsid w:val="00A555D1"/>
    <w:rsid w:val="00A5596B"/>
    <w:rsid w:val="00A57229"/>
    <w:rsid w:val="00A601C4"/>
    <w:rsid w:val="00A63C07"/>
    <w:rsid w:val="00A63D9B"/>
    <w:rsid w:val="00A6542F"/>
    <w:rsid w:val="00A704DC"/>
    <w:rsid w:val="00A93DC6"/>
    <w:rsid w:val="00A9411A"/>
    <w:rsid w:val="00A94DFB"/>
    <w:rsid w:val="00AA0FF6"/>
    <w:rsid w:val="00AA4A4B"/>
    <w:rsid w:val="00AA6682"/>
    <w:rsid w:val="00AB2FB8"/>
    <w:rsid w:val="00AB7C5C"/>
    <w:rsid w:val="00AB7CBF"/>
    <w:rsid w:val="00AD0111"/>
    <w:rsid w:val="00AD1F7F"/>
    <w:rsid w:val="00AD4C72"/>
    <w:rsid w:val="00AD5451"/>
    <w:rsid w:val="00AE1947"/>
    <w:rsid w:val="00AF0908"/>
    <w:rsid w:val="00AF1C8B"/>
    <w:rsid w:val="00AF299B"/>
    <w:rsid w:val="00AF2F76"/>
    <w:rsid w:val="00AF7E43"/>
    <w:rsid w:val="00B02AE0"/>
    <w:rsid w:val="00B05326"/>
    <w:rsid w:val="00B07A88"/>
    <w:rsid w:val="00B10748"/>
    <w:rsid w:val="00B12D26"/>
    <w:rsid w:val="00B14545"/>
    <w:rsid w:val="00B146F3"/>
    <w:rsid w:val="00B14E60"/>
    <w:rsid w:val="00B17BA2"/>
    <w:rsid w:val="00B26DC3"/>
    <w:rsid w:val="00B30B9D"/>
    <w:rsid w:val="00B365D6"/>
    <w:rsid w:val="00B378A9"/>
    <w:rsid w:val="00B4154C"/>
    <w:rsid w:val="00B43430"/>
    <w:rsid w:val="00B4574D"/>
    <w:rsid w:val="00B4605D"/>
    <w:rsid w:val="00B468E1"/>
    <w:rsid w:val="00B46BC0"/>
    <w:rsid w:val="00B46DFB"/>
    <w:rsid w:val="00B47AB3"/>
    <w:rsid w:val="00B47FEC"/>
    <w:rsid w:val="00B5141B"/>
    <w:rsid w:val="00B52642"/>
    <w:rsid w:val="00B55320"/>
    <w:rsid w:val="00B55681"/>
    <w:rsid w:val="00B575C2"/>
    <w:rsid w:val="00B575C3"/>
    <w:rsid w:val="00B57AAD"/>
    <w:rsid w:val="00B64FAF"/>
    <w:rsid w:val="00B72B16"/>
    <w:rsid w:val="00B74CC3"/>
    <w:rsid w:val="00B751AE"/>
    <w:rsid w:val="00B80408"/>
    <w:rsid w:val="00B81397"/>
    <w:rsid w:val="00B81E54"/>
    <w:rsid w:val="00B925DB"/>
    <w:rsid w:val="00B967FF"/>
    <w:rsid w:val="00B974B9"/>
    <w:rsid w:val="00BA3F6D"/>
    <w:rsid w:val="00BA4BE6"/>
    <w:rsid w:val="00BA4FC0"/>
    <w:rsid w:val="00BA61E0"/>
    <w:rsid w:val="00BA7F7D"/>
    <w:rsid w:val="00BB1C14"/>
    <w:rsid w:val="00BB6847"/>
    <w:rsid w:val="00BB7F8F"/>
    <w:rsid w:val="00BC36B1"/>
    <w:rsid w:val="00BC5045"/>
    <w:rsid w:val="00BC716A"/>
    <w:rsid w:val="00BD032F"/>
    <w:rsid w:val="00BD045A"/>
    <w:rsid w:val="00BD07DF"/>
    <w:rsid w:val="00BD26F4"/>
    <w:rsid w:val="00BD5DBD"/>
    <w:rsid w:val="00BD5DF6"/>
    <w:rsid w:val="00BE0041"/>
    <w:rsid w:val="00BE3DE1"/>
    <w:rsid w:val="00BE640F"/>
    <w:rsid w:val="00BF400F"/>
    <w:rsid w:val="00BF4638"/>
    <w:rsid w:val="00BF6098"/>
    <w:rsid w:val="00C018DE"/>
    <w:rsid w:val="00C059D0"/>
    <w:rsid w:val="00C07551"/>
    <w:rsid w:val="00C07B07"/>
    <w:rsid w:val="00C1109F"/>
    <w:rsid w:val="00C12D65"/>
    <w:rsid w:val="00C133AB"/>
    <w:rsid w:val="00C14932"/>
    <w:rsid w:val="00C155D9"/>
    <w:rsid w:val="00C171C9"/>
    <w:rsid w:val="00C20025"/>
    <w:rsid w:val="00C20B56"/>
    <w:rsid w:val="00C22214"/>
    <w:rsid w:val="00C22F49"/>
    <w:rsid w:val="00C2646E"/>
    <w:rsid w:val="00C2689A"/>
    <w:rsid w:val="00C26F72"/>
    <w:rsid w:val="00C309A7"/>
    <w:rsid w:val="00C335AB"/>
    <w:rsid w:val="00C36F16"/>
    <w:rsid w:val="00C407AB"/>
    <w:rsid w:val="00C42360"/>
    <w:rsid w:val="00C5014D"/>
    <w:rsid w:val="00C52108"/>
    <w:rsid w:val="00C52B7B"/>
    <w:rsid w:val="00C5308E"/>
    <w:rsid w:val="00C547CD"/>
    <w:rsid w:val="00C570FF"/>
    <w:rsid w:val="00C57CEA"/>
    <w:rsid w:val="00C60FEC"/>
    <w:rsid w:val="00C6574E"/>
    <w:rsid w:val="00C658F4"/>
    <w:rsid w:val="00C66F60"/>
    <w:rsid w:val="00C707FD"/>
    <w:rsid w:val="00C757AE"/>
    <w:rsid w:val="00C76DEB"/>
    <w:rsid w:val="00C816C6"/>
    <w:rsid w:val="00C83DC3"/>
    <w:rsid w:val="00C863A7"/>
    <w:rsid w:val="00C90965"/>
    <w:rsid w:val="00C912F4"/>
    <w:rsid w:val="00C9156F"/>
    <w:rsid w:val="00C95725"/>
    <w:rsid w:val="00C9581A"/>
    <w:rsid w:val="00C97D29"/>
    <w:rsid w:val="00CA0674"/>
    <w:rsid w:val="00CA08F9"/>
    <w:rsid w:val="00CA1C09"/>
    <w:rsid w:val="00CB0550"/>
    <w:rsid w:val="00CB5EF8"/>
    <w:rsid w:val="00CB6813"/>
    <w:rsid w:val="00CC2335"/>
    <w:rsid w:val="00CC4BE0"/>
    <w:rsid w:val="00CD546E"/>
    <w:rsid w:val="00CE1F1A"/>
    <w:rsid w:val="00CF6A55"/>
    <w:rsid w:val="00CF6DC6"/>
    <w:rsid w:val="00CF6DCF"/>
    <w:rsid w:val="00D005D1"/>
    <w:rsid w:val="00D01DDB"/>
    <w:rsid w:val="00D054A5"/>
    <w:rsid w:val="00D078BE"/>
    <w:rsid w:val="00D13F8A"/>
    <w:rsid w:val="00D16F60"/>
    <w:rsid w:val="00D22981"/>
    <w:rsid w:val="00D24E83"/>
    <w:rsid w:val="00D30977"/>
    <w:rsid w:val="00D31F68"/>
    <w:rsid w:val="00D3349B"/>
    <w:rsid w:val="00D40AA2"/>
    <w:rsid w:val="00D40DB4"/>
    <w:rsid w:val="00D424A8"/>
    <w:rsid w:val="00D44ED6"/>
    <w:rsid w:val="00D6036F"/>
    <w:rsid w:val="00D60ECA"/>
    <w:rsid w:val="00D619A6"/>
    <w:rsid w:val="00D62877"/>
    <w:rsid w:val="00D63760"/>
    <w:rsid w:val="00D64B13"/>
    <w:rsid w:val="00D66090"/>
    <w:rsid w:val="00D6703F"/>
    <w:rsid w:val="00D734EB"/>
    <w:rsid w:val="00D82713"/>
    <w:rsid w:val="00D86F00"/>
    <w:rsid w:val="00D87460"/>
    <w:rsid w:val="00D918D5"/>
    <w:rsid w:val="00D92C81"/>
    <w:rsid w:val="00D94C8E"/>
    <w:rsid w:val="00DA0C2B"/>
    <w:rsid w:val="00DA3AFE"/>
    <w:rsid w:val="00DA682D"/>
    <w:rsid w:val="00DA6944"/>
    <w:rsid w:val="00DB1372"/>
    <w:rsid w:val="00DB192C"/>
    <w:rsid w:val="00DB1CF3"/>
    <w:rsid w:val="00DB53DF"/>
    <w:rsid w:val="00DB5425"/>
    <w:rsid w:val="00DB72A6"/>
    <w:rsid w:val="00DC0818"/>
    <w:rsid w:val="00DC0E0E"/>
    <w:rsid w:val="00DC206E"/>
    <w:rsid w:val="00DC6611"/>
    <w:rsid w:val="00DD1B67"/>
    <w:rsid w:val="00DD566C"/>
    <w:rsid w:val="00DD6D0A"/>
    <w:rsid w:val="00DE1344"/>
    <w:rsid w:val="00DE44FD"/>
    <w:rsid w:val="00DE7C6A"/>
    <w:rsid w:val="00DF57BE"/>
    <w:rsid w:val="00DF5BFE"/>
    <w:rsid w:val="00E01E1E"/>
    <w:rsid w:val="00E042C2"/>
    <w:rsid w:val="00E0523F"/>
    <w:rsid w:val="00E07E82"/>
    <w:rsid w:val="00E156A3"/>
    <w:rsid w:val="00E23E50"/>
    <w:rsid w:val="00E26213"/>
    <w:rsid w:val="00E274DF"/>
    <w:rsid w:val="00E3158E"/>
    <w:rsid w:val="00E34D66"/>
    <w:rsid w:val="00E362C4"/>
    <w:rsid w:val="00E42339"/>
    <w:rsid w:val="00E436D9"/>
    <w:rsid w:val="00E46CC2"/>
    <w:rsid w:val="00E46DB0"/>
    <w:rsid w:val="00E47E0C"/>
    <w:rsid w:val="00E51813"/>
    <w:rsid w:val="00E52C0B"/>
    <w:rsid w:val="00E53D3F"/>
    <w:rsid w:val="00E5579B"/>
    <w:rsid w:val="00E57FF4"/>
    <w:rsid w:val="00E679D1"/>
    <w:rsid w:val="00E67C1C"/>
    <w:rsid w:val="00E8296F"/>
    <w:rsid w:val="00E85FFF"/>
    <w:rsid w:val="00E91F11"/>
    <w:rsid w:val="00E9706D"/>
    <w:rsid w:val="00EA0ACE"/>
    <w:rsid w:val="00EA3AF4"/>
    <w:rsid w:val="00EC139A"/>
    <w:rsid w:val="00EC2FCF"/>
    <w:rsid w:val="00EC5460"/>
    <w:rsid w:val="00ED3947"/>
    <w:rsid w:val="00ED3FD1"/>
    <w:rsid w:val="00EE12E9"/>
    <w:rsid w:val="00EE5644"/>
    <w:rsid w:val="00EF3F0B"/>
    <w:rsid w:val="00EF5583"/>
    <w:rsid w:val="00EF7CE6"/>
    <w:rsid w:val="00F0289D"/>
    <w:rsid w:val="00F02AEC"/>
    <w:rsid w:val="00F03C1E"/>
    <w:rsid w:val="00F07572"/>
    <w:rsid w:val="00F1000D"/>
    <w:rsid w:val="00F157FC"/>
    <w:rsid w:val="00F22309"/>
    <w:rsid w:val="00F2726D"/>
    <w:rsid w:val="00F30AF3"/>
    <w:rsid w:val="00F34B03"/>
    <w:rsid w:val="00F430DF"/>
    <w:rsid w:val="00F43CD1"/>
    <w:rsid w:val="00F443CD"/>
    <w:rsid w:val="00F45AE0"/>
    <w:rsid w:val="00F47431"/>
    <w:rsid w:val="00F51E65"/>
    <w:rsid w:val="00F53F0E"/>
    <w:rsid w:val="00F60CF2"/>
    <w:rsid w:val="00F657B4"/>
    <w:rsid w:val="00F66D60"/>
    <w:rsid w:val="00F744CB"/>
    <w:rsid w:val="00F7649F"/>
    <w:rsid w:val="00F8083B"/>
    <w:rsid w:val="00F84F7A"/>
    <w:rsid w:val="00F865A7"/>
    <w:rsid w:val="00F90AB2"/>
    <w:rsid w:val="00FA0754"/>
    <w:rsid w:val="00FA1BC9"/>
    <w:rsid w:val="00FA49C3"/>
    <w:rsid w:val="00FA7976"/>
    <w:rsid w:val="00FB236E"/>
    <w:rsid w:val="00FB3F7B"/>
    <w:rsid w:val="00FB4C2A"/>
    <w:rsid w:val="00FC2107"/>
    <w:rsid w:val="00FC48FE"/>
    <w:rsid w:val="00FC6D11"/>
    <w:rsid w:val="00FC6F56"/>
    <w:rsid w:val="00FD0C14"/>
    <w:rsid w:val="00FD0C76"/>
    <w:rsid w:val="00FD24E8"/>
    <w:rsid w:val="00FE087C"/>
    <w:rsid w:val="00FE79A0"/>
    <w:rsid w:val="00FF0939"/>
    <w:rsid w:val="00FF0CC7"/>
    <w:rsid w:val="00FF5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Heading2"/>
    <w:next w:val="Normal"/>
    <w:link w:val="Heading1Char"/>
    <w:qFormat/>
    <w:rsid w:val="00DA6944"/>
    <w:pPr>
      <w:tabs>
        <w:tab w:val="num" w:pos="567"/>
      </w:tabs>
      <w:adjustRightInd w:val="0"/>
      <w:snapToGrid w:val="0"/>
      <w:spacing w:before="120" w:after="360"/>
      <w:ind w:left="567" w:hanging="567"/>
      <w:outlineLvl w:val="0"/>
    </w:pPr>
    <w:rPr>
      <w:rFonts w:asciiTheme="majorHAnsi" w:hAnsiTheme="majorHAnsi" w:cstheme="majorHAnsi"/>
      <w:color w:val="auto"/>
      <w:sz w:val="64"/>
      <w:szCs w:val="64"/>
      <w:lang w:eastAsia="ja-JP"/>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EC2FC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68453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552A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87091C"/>
    <w:pPr>
      <w:keepNext/>
    </w:pPr>
    <w:rPr>
      <w:b/>
    </w:rPr>
  </w:style>
  <w:style w:type="paragraph" w:styleId="Caption">
    <w:name w:val="caption"/>
    <w:basedOn w:val="FigureTitle"/>
    <w:next w:val="Normal"/>
    <w:uiPriority w:val="35"/>
    <w:unhideWhenUsed/>
    <w:qFormat/>
    <w:rsid w:val="00BC5045"/>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1"/>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styleId="NormalWeb">
    <w:name w:val="Normal (Web)"/>
    <w:basedOn w:val="Normal"/>
    <w:uiPriority w:val="99"/>
    <w:semiHidden/>
    <w:unhideWhenUsed/>
    <w:rsid w:val="009D1D2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atin">
    <w:name w:val="latin"/>
    <w:basedOn w:val="DefaultParagraphFont"/>
    <w:rsid w:val="009D1D28"/>
  </w:style>
  <w:style w:type="paragraph" w:styleId="EndnoteText">
    <w:name w:val="endnote text"/>
    <w:basedOn w:val="Normal"/>
    <w:link w:val="EndnoteTextChar"/>
    <w:uiPriority w:val="99"/>
    <w:unhideWhenUsed/>
    <w:rsid w:val="00A555D1"/>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rsid w:val="00A555D1"/>
    <w:rPr>
      <w:rFonts w:ascii="Cambria" w:eastAsia="Cambria" w:hAnsi="Cambria" w:cs="Times New Roman"/>
    </w:rPr>
  </w:style>
  <w:style w:type="character" w:customStyle="1" w:styleId="Heading8Char">
    <w:name w:val="Heading 8 Char"/>
    <w:basedOn w:val="DefaultParagraphFont"/>
    <w:link w:val="Heading8"/>
    <w:uiPriority w:val="9"/>
    <w:rsid w:val="00684530"/>
    <w:rPr>
      <w:rFonts w:asciiTheme="majorHAnsi" w:eastAsiaTheme="majorEastAsia" w:hAnsiTheme="majorHAnsi" w:cstheme="majorBidi"/>
      <w:color w:val="272727" w:themeColor="text1" w:themeTint="D8"/>
      <w:sz w:val="21"/>
      <w:szCs w:val="21"/>
    </w:rPr>
  </w:style>
  <w:style w:type="paragraph" w:customStyle="1" w:styleId="Quotation">
    <w:name w:val="Quotation"/>
    <w:basedOn w:val="Normal"/>
    <w:next w:val="Normal"/>
    <w:uiPriority w:val="4"/>
    <w:qFormat/>
    <w:rsid w:val="00684530"/>
    <w:pPr>
      <w:spacing w:before="120" w:after="180" w:line="240" w:lineRule="atLeast"/>
      <w:ind w:left="425"/>
    </w:pPr>
    <w:rPr>
      <w:rFonts w:eastAsiaTheme="minorEastAsia"/>
      <w:sz w:val="20"/>
      <w:szCs w:val="22"/>
      <w:lang w:eastAsia="zh-TW"/>
    </w:rPr>
  </w:style>
  <w:style w:type="character" w:styleId="EndnoteReference">
    <w:name w:val="endnote reference"/>
    <w:basedOn w:val="DefaultParagraphFont"/>
    <w:uiPriority w:val="99"/>
    <w:unhideWhenUsed/>
    <w:rsid w:val="00684530"/>
    <w:rPr>
      <w:vertAlign w:val="superscript"/>
    </w:rPr>
  </w:style>
  <w:style w:type="character" w:customStyle="1" w:styleId="Heading7Char">
    <w:name w:val="Heading 7 Char"/>
    <w:basedOn w:val="DefaultParagraphFont"/>
    <w:link w:val="Heading7"/>
    <w:uiPriority w:val="9"/>
    <w:rsid w:val="00EC2FCF"/>
    <w:rPr>
      <w:rFonts w:asciiTheme="majorHAnsi" w:eastAsiaTheme="majorEastAsia" w:hAnsiTheme="majorHAnsi" w:cstheme="majorBidi"/>
      <w:i/>
      <w:iCs/>
      <w:color w:val="1F3763" w:themeColor="accent1" w:themeShade="7F"/>
      <w:sz w:val="22"/>
    </w:rPr>
  </w:style>
  <w:style w:type="paragraph" w:styleId="BodyText">
    <w:name w:val="Body Text"/>
    <w:basedOn w:val="Normal"/>
    <w:link w:val="BodyTextChar"/>
    <w:uiPriority w:val="1"/>
    <w:unhideWhenUsed/>
    <w:qFormat/>
    <w:rsid w:val="00A6542F"/>
    <w:pPr>
      <w:spacing w:before="120" w:line="240" w:lineRule="atLeast"/>
    </w:pPr>
    <w:rPr>
      <w:rFonts w:eastAsia="Cambria" w:cs="Times New Roman"/>
      <w:szCs w:val="22"/>
    </w:rPr>
  </w:style>
  <w:style w:type="character" w:customStyle="1" w:styleId="BodyTextChar">
    <w:name w:val="Body Text Char"/>
    <w:basedOn w:val="DefaultParagraphFont"/>
    <w:link w:val="BodyText"/>
    <w:uiPriority w:val="99"/>
    <w:rsid w:val="00A6542F"/>
    <w:rPr>
      <w:rFonts w:ascii="Cambria" w:eastAsia="Cambria" w:hAnsi="Cambria" w:cs="Times New Roman"/>
      <w:sz w:val="22"/>
      <w:szCs w:val="22"/>
    </w:rPr>
  </w:style>
  <w:style w:type="paragraph" w:customStyle="1" w:styleId="Tabletext0">
    <w:name w:val="Table text"/>
    <w:basedOn w:val="Normal"/>
    <w:link w:val="TabletextChar"/>
    <w:qFormat/>
    <w:rsid w:val="000D6101"/>
    <w:pPr>
      <w:spacing w:after="0" w:line="240" w:lineRule="auto"/>
    </w:pPr>
    <w:rPr>
      <w:rFonts w:eastAsia="Cambria" w:cs="Times New Roman"/>
      <w:color w:val="000000" w:themeColor="text1"/>
      <w:sz w:val="19"/>
      <w:szCs w:val="19"/>
      <w:lang w:val="en-US" w:eastAsia="en-AU"/>
    </w:rPr>
  </w:style>
  <w:style w:type="paragraph" w:customStyle="1" w:styleId="TableCaption">
    <w:name w:val="Table Caption"/>
    <w:basedOn w:val="Normal"/>
    <w:qFormat/>
    <w:rsid w:val="000D6101"/>
    <w:pPr>
      <w:adjustRightInd w:val="0"/>
      <w:snapToGrid w:val="0"/>
      <w:spacing w:before="180" w:after="240" w:line="240" w:lineRule="atLeast"/>
    </w:pPr>
    <w:rPr>
      <w:rFonts w:eastAsia="MS Mincho" w:cs="Times New Roman"/>
      <w:sz w:val="17"/>
      <w:lang w:eastAsia="ja-JP"/>
    </w:rPr>
  </w:style>
  <w:style w:type="character" w:customStyle="1" w:styleId="TabletextChar">
    <w:name w:val="Table text Char"/>
    <w:basedOn w:val="DefaultParagraphFont"/>
    <w:link w:val="Tabletext0"/>
    <w:rsid w:val="000D6101"/>
    <w:rPr>
      <w:rFonts w:ascii="Cambria" w:eastAsia="Cambria" w:hAnsi="Cambria" w:cs="Times New Roman"/>
      <w:color w:val="000000" w:themeColor="text1"/>
      <w:sz w:val="19"/>
      <w:szCs w:val="19"/>
      <w:lang w:val="en-US" w:eastAsia="en-AU"/>
    </w:rPr>
  </w:style>
  <w:style w:type="paragraph" w:customStyle="1" w:styleId="TableParagraph">
    <w:name w:val="Table Paragraph"/>
    <w:basedOn w:val="Normal"/>
    <w:uiPriority w:val="1"/>
    <w:qFormat/>
    <w:rsid w:val="00615394"/>
    <w:pPr>
      <w:widowControl w:val="0"/>
      <w:autoSpaceDE w:val="0"/>
      <w:autoSpaceDN w:val="0"/>
      <w:spacing w:after="0" w:line="240" w:lineRule="auto"/>
    </w:pPr>
    <w:rPr>
      <w:rFonts w:ascii="Calibri" w:eastAsia="Calibri" w:hAnsi="Calibri" w:cs="Calibri"/>
      <w:szCs w:val="22"/>
      <w:lang w:val="en-US"/>
    </w:rPr>
  </w:style>
  <w:style w:type="paragraph" w:customStyle="1" w:styleId="Default">
    <w:name w:val="Default"/>
    <w:rsid w:val="009A2918"/>
    <w:pPr>
      <w:autoSpaceDE w:val="0"/>
      <w:autoSpaceDN w:val="0"/>
      <w:adjustRightInd w:val="0"/>
      <w:spacing w:after="0" w:line="240" w:lineRule="auto"/>
    </w:pPr>
    <w:rPr>
      <w:rFonts w:ascii="Times New Roman" w:eastAsia="MS Mincho" w:hAnsi="Times New Roman" w:cs="Times New Roman"/>
      <w:color w:val="000000"/>
      <w:sz w:val="24"/>
      <w:szCs w:val="24"/>
    </w:rPr>
  </w:style>
  <w:style w:type="character" w:customStyle="1" w:styleId="Heading9Char">
    <w:name w:val="Heading 9 Char"/>
    <w:basedOn w:val="DefaultParagraphFont"/>
    <w:link w:val="Heading9"/>
    <w:uiPriority w:val="9"/>
    <w:rsid w:val="002552AC"/>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rsid w:val="00DA6944"/>
    <w:rPr>
      <w:rFonts w:asciiTheme="majorHAnsi" w:eastAsia="Times New Roman" w:hAnsiTheme="majorHAnsi" w:cstheme="majorHAnsi"/>
      <w:b/>
      <w:bCs/>
      <w:sz w:val="64"/>
      <w:szCs w:val="64"/>
      <w:lang w:eastAsia="ja-JP"/>
    </w:rPr>
  </w:style>
  <w:style w:type="table" w:customStyle="1" w:styleId="TableTGAblue1">
    <w:name w:val="Table TGA blue1"/>
    <w:basedOn w:val="TableNormal"/>
    <w:uiPriority w:val="99"/>
    <w:qFormat/>
    <w:rsid w:val="00DA6944"/>
    <w:pPr>
      <w:spacing w:after="0" w:line="240" w:lineRule="auto"/>
      <w:ind w:left="170" w:right="170"/>
    </w:pPr>
    <w:rPr>
      <w:rFonts w:ascii="Cambria" w:eastAsia="MS Mincho" w:hAnsi="Cambria" w:cs="Times New Roman"/>
      <w:color w:val="000000"/>
      <w:sz w:val="22"/>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145669">
      <w:bodyDiv w:val="1"/>
      <w:marLeft w:val="0"/>
      <w:marRight w:val="0"/>
      <w:marTop w:val="0"/>
      <w:marBottom w:val="0"/>
      <w:divBdr>
        <w:top w:val="none" w:sz="0" w:space="0" w:color="auto"/>
        <w:left w:val="none" w:sz="0" w:space="0" w:color="auto"/>
        <w:bottom w:val="none" w:sz="0" w:space="0" w:color="auto"/>
        <w:right w:val="none" w:sz="0" w:space="0" w:color="auto"/>
      </w:divBdr>
    </w:div>
    <w:div w:id="576094177">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8710688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4896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obstetric-drug-information-services" TargetMode="External"/><Relationship Id="rId26" Type="http://schemas.openxmlformats.org/officeDocument/2006/relationships/image" Target="media/image6.png"/><Relationship Id="rId39" Type="http://schemas.openxmlformats.org/officeDocument/2006/relationships/image" Target="media/image13.jpeg"/><Relationship Id="rId21" Type="http://schemas.openxmlformats.org/officeDocument/2006/relationships/hyperlink" Target="https://www.tga.gov.au/project-orbis" TargetMode="External"/><Relationship Id="rId34" Type="http://schemas.microsoft.com/office/2007/relationships/hdphoto" Target="media/hdphoto5.wdp"/><Relationship Id="rId42" Type="http://schemas.openxmlformats.org/officeDocument/2006/relationships/image" Target="media/image15.png"/><Relationship Id="rId47" Type="http://schemas.openxmlformats.org/officeDocument/2006/relationships/hyperlink" Target="https://www.tga.gov.au/tgas-risk-management-approach" TargetMode="External"/><Relationship Id="rId50" Type="http://schemas.openxmlformats.org/officeDocument/2006/relationships/image" Target="media/image17.png"/><Relationship Id="rId55" Type="http://schemas.openxmlformats.org/officeDocument/2006/relationships/hyperlink" Target="https://www.tga.gov.au/committee/advisory-committee-medicines-acm" TargetMode="External"/><Relationship Id="rId63" Type="http://schemas.openxmlformats.org/officeDocument/2006/relationships/hyperlink" Target="https://www.tg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bs.tga.gov.au/ebs/picmi/picmirepository.nsf/PICMI?OpenForm&amp;t=pi&amp;q=lynparza" TargetMode="External"/><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microsoft.com/office/2007/relationships/hdphoto" Target="media/hdphoto4.wdp"/><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hyperlink" Target="https://www.tga.gov.au/resources/resource/guidance/risk-management-plans-medicines-and-biologicals/when-rmp-required" TargetMode="External"/><Relationship Id="rId53" Type="http://schemas.microsoft.com/office/2007/relationships/hdphoto" Target="media/hdphoto11.wdp"/><Relationship Id="rId58" Type="http://schemas.openxmlformats.org/officeDocument/2006/relationships/hyperlink" Target="https://www.tga.gov.au/products/australian-register-therapeutic-goods-artg/consumer-medicines-information-cmi"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4.emf"/><Relationship Id="rId28" Type="http://schemas.openxmlformats.org/officeDocument/2006/relationships/image" Target="media/image7.png"/><Relationship Id="rId36" Type="http://schemas.microsoft.com/office/2007/relationships/hdphoto" Target="media/hdphoto6.wdp"/><Relationship Id="rId49" Type="http://schemas.openxmlformats.org/officeDocument/2006/relationships/hyperlink" Target="https://www.tga.gov.au/resources/resource/guidance/risk-management-plans-medicines-and-biologicals/australia-specific-annex-eu-rmp" TargetMode="External"/><Relationship Id="rId57" Type="http://schemas.openxmlformats.org/officeDocument/2006/relationships/hyperlink" Target="https://www.tga.gov.au/products/australian-register-therapeutic-goods-artg/product-information-one" TargetMode="External"/><Relationship Id="rId61"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www.tga.gov.au/products/australian-register-therapeutic-goods-artg" TargetMode="External"/><Relationship Id="rId31" Type="http://schemas.openxmlformats.org/officeDocument/2006/relationships/image" Target="media/image9.png"/><Relationship Id="rId44" Type="http://schemas.microsoft.com/office/2007/relationships/hdphoto" Target="media/hdphoto9.wdp"/><Relationship Id="rId52" Type="http://schemas.openxmlformats.org/officeDocument/2006/relationships/image" Target="media/image18.png"/><Relationship Id="rId60" Type="http://schemas.openxmlformats.org/officeDocument/2006/relationships/header" Target="header3.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microsoft.com/office/2007/relationships/hdphoto" Target="media/hdphoto2.wdp"/><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hyperlink" Target="https://www.tga.gov.au/resources/resource/guidance/risk-management-plans-medicines-and-biologicals/australia-specific-annex-eu-rmp" TargetMode="External"/><Relationship Id="rId56" Type="http://schemas.openxmlformats.org/officeDocument/2006/relationships/hyperlink" Target="https://www.tga.gov.au/products/australian-register-therapeutic-goods-artg/product-information-one" TargetMode="External"/><Relationship Id="rId64" Type="http://schemas.openxmlformats.org/officeDocument/2006/relationships/header" Target="header4.xml"/><Relationship Id="rId8" Type="http://schemas.openxmlformats.org/officeDocument/2006/relationships/header" Target="header1.xml"/><Relationship Id="rId51" Type="http://schemas.microsoft.com/office/2007/relationships/hdphoto" Target="media/hdphoto10.wdp"/><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products/medicines/find-information-about-medicine/prescribing-medicines-pregnancy-database" TargetMode="External"/><Relationship Id="rId25" Type="http://schemas.microsoft.com/office/2007/relationships/hdphoto" Target="media/hdphoto1.wdp"/><Relationship Id="rId33" Type="http://schemas.openxmlformats.org/officeDocument/2006/relationships/image" Target="media/image10.png"/><Relationship Id="rId38" Type="http://schemas.microsoft.com/office/2007/relationships/hdphoto" Target="media/hdphoto7.wdp"/><Relationship Id="rId46" Type="http://schemas.openxmlformats.org/officeDocument/2006/relationships/hyperlink" Target="https://www.tga.gov.au/publication/risk-management-plans-medicines-and-biologicals" TargetMode="External"/><Relationship Id="rId59" Type="http://schemas.openxmlformats.org/officeDocument/2006/relationships/hyperlink" Target="https://www.ebs.tga.gov.au/" TargetMode="External"/><Relationship Id="rId67" Type="http://schemas.openxmlformats.org/officeDocument/2006/relationships/theme" Target="theme/theme1.xml"/><Relationship Id="rId20" Type="http://schemas.openxmlformats.org/officeDocument/2006/relationships/hyperlink" Target="https://www.tga.gov.au/products/australian-register-therapeutic-goods-artg" TargetMode="External"/><Relationship Id="rId41" Type="http://schemas.microsoft.com/office/2007/relationships/hdphoto" Target="media/hdphoto8.wdp"/><Relationship Id="rId54" Type="http://schemas.openxmlformats.org/officeDocument/2006/relationships/image" Target="media/image19.png"/><Relationship Id="rId62"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da.gov/media/72279/download" TargetMode="External"/><Relationship Id="rId1" Type="http://schemas.openxmlformats.org/officeDocument/2006/relationships/hyperlink" Target="https://www.fda.gov/media/72279/download"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21581</Words>
  <Characters>123016</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144309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Lynparza</dc:title>
  <dc:subject>Prescription medicines</dc:subject>
  <dc:creator>Therapeutic Goods Administration</dc:creator>
  <cp:keywords/>
  <dc:description/>
  <cp:lastModifiedBy>THEODORATOS, Angelo</cp:lastModifiedBy>
  <cp:revision>2</cp:revision>
  <dcterms:created xsi:type="dcterms:W3CDTF">2024-08-01T00:18:00Z</dcterms:created>
  <dcterms:modified xsi:type="dcterms:W3CDTF">2024-08-01T00:18:00Z</dcterms:modified>
</cp:coreProperties>
</file>