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65B5EDC" w:rsidR="00F02AEC" w:rsidRPr="00215D48" w:rsidRDefault="00346EC2" w:rsidP="007452E8">
            <w:pPr>
              <w:pStyle w:val="Title"/>
            </w:pPr>
            <w:r w:rsidRPr="00346EC2">
              <w:t xml:space="preserve">Australian Public Assessment Report for </w:t>
            </w:r>
            <w:bookmarkStart w:id="0" w:name="_Hlk173847210"/>
            <w:proofErr w:type="spellStart"/>
            <w:r w:rsidR="00744965" w:rsidRPr="00F23C50">
              <w:t>Cibinqo</w:t>
            </w:r>
            <w:bookmarkEnd w:id="0"/>
            <w:proofErr w:type="spellEnd"/>
          </w:p>
        </w:tc>
      </w:tr>
      <w:tr w:rsidR="00F02AEC" w:rsidRPr="00215D48" w14:paraId="318A40A3" w14:textId="77777777" w:rsidTr="00346EC2">
        <w:trPr>
          <w:trHeight w:val="995"/>
        </w:trPr>
        <w:tc>
          <w:tcPr>
            <w:tcW w:w="8720" w:type="dxa"/>
          </w:tcPr>
          <w:p w14:paraId="1AA7C701" w14:textId="337E5F60" w:rsidR="00F02AEC" w:rsidRPr="00215D48" w:rsidRDefault="00346EC2" w:rsidP="007452E8">
            <w:pPr>
              <w:pStyle w:val="Subtitle"/>
              <w:ind w:left="0"/>
            </w:pPr>
            <w:r w:rsidRPr="00346EC2">
              <w:t>Active ingredient/s:</w:t>
            </w:r>
            <w:bookmarkStart w:id="1" w:name="_Hlk173847217"/>
            <w:r w:rsidR="00744965" w:rsidRPr="00F23C50">
              <w:t xml:space="preserve"> </w:t>
            </w:r>
            <w:proofErr w:type="spellStart"/>
            <w:r w:rsidR="00744965" w:rsidRPr="00F23C50">
              <w:t>Abrocitinib</w:t>
            </w:r>
            <w:bookmarkEnd w:id="1"/>
            <w:proofErr w:type="spellEnd"/>
          </w:p>
        </w:tc>
      </w:tr>
      <w:tr w:rsidR="00346EC2" w:rsidRPr="00215D48" w14:paraId="362CCAE4" w14:textId="77777777" w:rsidTr="007452E8">
        <w:trPr>
          <w:trHeight w:val="1916"/>
        </w:trPr>
        <w:tc>
          <w:tcPr>
            <w:tcW w:w="8720" w:type="dxa"/>
          </w:tcPr>
          <w:p w14:paraId="709C45C0" w14:textId="25578CB3" w:rsidR="00346EC2" w:rsidRPr="00215D48" w:rsidRDefault="00346EC2" w:rsidP="007452E8">
            <w:pPr>
              <w:pStyle w:val="Subtitle"/>
              <w:ind w:left="0"/>
            </w:pPr>
            <w:r w:rsidRPr="00346EC2">
              <w:t>Sponsor:</w:t>
            </w:r>
            <w:bookmarkStart w:id="2" w:name="_Hlk173847234"/>
            <w:r w:rsidR="00744965" w:rsidRPr="00F23C50">
              <w:t xml:space="preserve"> Pfizer</w:t>
            </w:r>
            <w:r w:rsidR="00744965" w:rsidRPr="00A34E2C">
              <w:t xml:space="preserve"> Australia Pty Ltd</w:t>
            </w:r>
            <w:bookmarkEnd w:id="2"/>
          </w:p>
        </w:tc>
      </w:tr>
      <w:tr w:rsidR="00F02AEC" w:rsidRPr="00215D48" w14:paraId="37F2AA1F" w14:textId="77777777" w:rsidTr="007452E8">
        <w:tc>
          <w:tcPr>
            <w:tcW w:w="8720" w:type="dxa"/>
          </w:tcPr>
          <w:p w14:paraId="1FDE8DCD" w14:textId="1EFB73FC" w:rsidR="00F02AEC" w:rsidRPr="00215D48" w:rsidRDefault="00744965" w:rsidP="007452E8">
            <w:pPr>
              <w:pStyle w:val="Date"/>
            </w:pPr>
            <w:r>
              <w:t>July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484F4E">
      <w:pPr>
        <w:pStyle w:val="NonTOCHeading20"/>
      </w:pPr>
      <w:r w:rsidRPr="001F6CBA">
        <w:lastRenderedPageBreak/>
        <w:t xml:space="preserve">About the </w:t>
      </w:r>
      <w:r w:rsidRPr="00484F4E">
        <w:t>Therapeutic</w:t>
      </w:r>
      <w:r w:rsidRPr="001F6CBA">
        <w:t xml:space="preserve">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484F4E">
      <w:pPr>
        <w:pStyle w:val="NonTOCHeading20"/>
      </w:pPr>
      <w:r>
        <w:t xml:space="preserve">About </w:t>
      </w:r>
      <w:proofErr w:type="spellStart"/>
      <w:r w:rsidRPr="00484F4E">
        <w:t>AusPARs</w:t>
      </w:r>
      <w:proofErr w:type="spellEnd"/>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ECE78F0" w:rsidR="00175CD8" w:rsidRPr="00346EC2" w:rsidRDefault="00F02AEC" w:rsidP="00346EC2">
      <w:pPr>
        <w:pStyle w:val="LegalCopy"/>
        <w:rPr>
          <w:rFonts w:cs="Arial"/>
        </w:rPr>
      </w:pPr>
      <w:r w:rsidRPr="00215D48">
        <w:rPr>
          <w:rFonts w:cs="Arial"/>
        </w:rPr>
        <w:t>© Commonwealth of Australia 20</w:t>
      </w:r>
      <w:r>
        <w:rPr>
          <w:rFonts w:cs="Arial"/>
        </w:rPr>
        <w:t>2</w:t>
      </w:r>
      <w:r w:rsidR="00744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484F4E">
          <w:pPr>
            <w:pStyle w:val="NonTOCheading2"/>
          </w:pPr>
          <w:r w:rsidRPr="00484F4E">
            <w:t>Contents</w:t>
          </w:r>
        </w:p>
        <w:p w14:paraId="5E506385" w14:textId="48499587" w:rsidR="000D2AA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3925419" w:history="1">
            <w:r w:rsidR="000D2AA9" w:rsidRPr="00253C05">
              <w:rPr>
                <w:rStyle w:val="Hyperlink"/>
                <w:noProof/>
              </w:rPr>
              <w:t>List of abbreviations</w:t>
            </w:r>
            <w:r w:rsidR="000D2AA9">
              <w:rPr>
                <w:noProof/>
                <w:webHidden/>
              </w:rPr>
              <w:tab/>
            </w:r>
            <w:r w:rsidR="000D2AA9">
              <w:rPr>
                <w:noProof/>
                <w:webHidden/>
              </w:rPr>
              <w:fldChar w:fldCharType="begin"/>
            </w:r>
            <w:r w:rsidR="000D2AA9">
              <w:rPr>
                <w:noProof/>
                <w:webHidden/>
              </w:rPr>
              <w:instrText xml:space="preserve"> PAGEREF _Toc173925419 \h </w:instrText>
            </w:r>
            <w:r w:rsidR="000D2AA9">
              <w:rPr>
                <w:noProof/>
                <w:webHidden/>
              </w:rPr>
            </w:r>
            <w:r w:rsidR="000D2AA9">
              <w:rPr>
                <w:noProof/>
                <w:webHidden/>
              </w:rPr>
              <w:fldChar w:fldCharType="separate"/>
            </w:r>
            <w:r w:rsidR="000D2AA9">
              <w:rPr>
                <w:noProof/>
                <w:webHidden/>
              </w:rPr>
              <w:t>5</w:t>
            </w:r>
            <w:r w:rsidR="000D2AA9">
              <w:rPr>
                <w:noProof/>
                <w:webHidden/>
              </w:rPr>
              <w:fldChar w:fldCharType="end"/>
            </w:r>
          </w:hyperlink>
        </w:p>
        <w:p w14:paraId="4D06D9FB" w14:textId="22EA3420"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20" w:history="1">
            <w:r w:rsidR="000D2AA9" w:rsidRPr="00253C05">
              <w:rPr>
                <w:rStyle w:val="Hyperlink"/>
                <w:noProof/>
              </w:rPr>
              <w:t>Background and proposed indications</w:t>
            </w:r>
            <w:r w:rsidR="000D2AA9">
              <w:rPr>
                <w:noProof/>
                <w:webHidden/>
              </w:rPr>
              <w:tab/>
            </w:r>
            <w:r w:rsidR="000D2AA9">
              <w:rPr>
                <w:noProof/>
                <w:webHidden/>
              </w:rPr>
              <w:fldChar w:fldCharType="begin"/>
            </w:r>
            <w:r w:rsidR="000D2AA9">
              <w:rPr>
                <w:noProof/>
                <w:webHidden/>
              </w:rPr>
              <w:instrText xml:space="preserve"> PAGEREF _Toc173925420 \h </w:instrText>
            </w:r>
            <w:r w:rsidR="000D2AA9">
              <w:rPr>
                <w:noProof/>
                <w:webHidden/>
              </w:rPr>
            </w:r>
            <w:r w:rsidR="000D2AA9">
              <w:rPr>
                <w:noProof/>
                <w:webHidden/>
              </w:rPr>
              <w:fldChar w:fldCharType="separate"/>
            </w:r>
            <w:r w:rsidR="000D2AA9">
              <w:rPr>
                <w:noProof/>
                <w:webHidden/>
              </w:rPr>
              <w:t>6</w:t>
            </w:r>
            <w:r w:rsidR="000D2AA9">
              <w:rPr>
                <w:noProof/>
                <w:webHidden/>
              </w:rPr>
              <w:fldChar w:fldCharType="end"/>
            </w:r>
          </w:hyperlink>
        </w:p>
        <w:p w14:paraId="1AE544E8" w14:textId="6AB42339"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21" w:history="1">
            <w:r w:rsidR="000D2AA9" w:rsidRPr="00253C05">
              <w:rPr>
                <w:rStyle w:val="Hyperlink"/>
                <w:noProof/>
              </w:rPr>
              <w:t>Registration decision</w:t>
            </w:r>
            <w:r w:rsidR="000D2AA9">
              <w:rPr>
                <w:noProof/>
                <w:webHidden/>
              </w:rPr>
              <w:tab/>
            </w:r>
            <w:r w:rsidR="000D2AA9">
              <w:rPr>
                <w:noProof/>
                <w:webHidden/>
              </w:rPr>
              <w:fldChar w:fldCharType="begin"/>
            </w:r>
            <w:r w:rsidR="000D2AA9">
              <w:rPr>
                <w:noProof/>
                <w:webHidden/>
              </w:rPr>
              <w:instrText xml:space="preserve"> PAGEREF _Toc173925421 \h </w:instrText>
            </w:r>
            <w:r w:rsidR="000D2AA9">
              <w:rPr>
                <w:noProof/>
                <w:webHidden/>
              </w:rPr>
            </w:r>
            <w:r w:rsidR="000D2AA9">
              <w:rPr>
                <w:noProof/>
                <w:webHidden/>
              </w:rPr>
              <w:fldChar w:fldCharType="separate"/>
            </w:r>
            <w:r w:rsidR="000D2AA9">
              <w:rPr>
                <w:noProof/>
                <w:webHidden/>
              </w:rPr>
              <w:t>6</w:t>
            </w:r>
            <w:r w:rsidR="000D2AA9">
              <w:rPr>
                <w:noProof/>
                <w:webHidden/>
              </w:rPr>
              <w:fldChar w:fldCharType="end"/>
            </w:r>
          </w:hyperlink>
        </w:p>
        <w:p w14:paraId="68914023" w14:textId="65E01D74"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22" w:history="1">
            <w:r w:rsidR="000D2AA9" w:rsidRPr="00253C05">
              <w:rPr>
                <w:rStyle w:val="Hyperlink"/>
                <w:noProof/>
              </w:rPr>
              <w:t>Atopic dermatitis</w:t>
            </w:r>
            <w:r w:rsidR="000D2AA9">
              <w:rPr>
                <w:noProof/>
                <w:webHidden/>
              </w:rPr>
              <w:tab/>
            </w:r>
            <w:r w:rsidR="000D2AA9">
              <w:rPr>
                <w:noProof/>
                <w:webHidden/>
              </w:rPr>
              <w:fldChar w:fldCharType="begin"/>
            </w:r>
            <w:r w:rsidR="000D2AA9">
              <w:rPr>
                <w:noProof/>
                <w:webHidden/>
              </w:rPr>
              <w:instrText xml:space="preserve"> PAGEREF _Toc173925422 \h </w:instrText>
            </w:r>
            <w:r w:rsidR="000D2AA9">
              <w:rPr>
                <w:noProof/>
                <w:webHidden/>
              </w:rPr>
            </w:r>
            <w:r w:rsidR="000D2AA9">
              <w:rPr>
                <w:noProof/>
                <w:webHidden/>
              </w:rPr>
              <w:fldChar w:fldCharType="separate"/>
            </w:r>
            <w:r w:rsidR="000D2AA9">
              <w:rPr>
                <w:noProof/>
                <w:webHidden/>
              </w:rPr>
              <w:t>6</w:t>
            </w:r>
            <w:r w:rsidR="000D2AA9">
              <w:rPr>
                <w:noProof/>
                <w:webHidden/>
              </w:rPr>
              <w:fldChar w:fldCharType="end"/>
            </w:r>
          </w:hyperlink>
        </w:p>
        <w:p w14:paraId="27565FF9" w14:textId="0EB82A1E"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23" w:history="1">
            <w:r w:rsidR="000D2AA9" w:rsidRPr="00253C05">
              <w:rPr>
                <w:rStyle w:val="Hyperlink"/>
                <w:noProof/>
              </w:rPr>
              <w:t>Current treatment options</w:t>
            </w:r>
            <w:r w:rsidR="000D2AA9">
              <w:rPr>
                <w:noProof/>
                <w:webHidden/>
              </w:rPr>
              <w:tab/>
            </w:r>
            <w:r w:rsidR="000D2AA9">
              <w:rPr>
                <w:noProof/>
                <w:webHidden/>
              </w:rPr>
              <w:fldChar w:fldCharType="begin"/>
            </w:r>
            <w:r w:rsidR="000D2AA9">
              <w:rPr>
                <w:noProof/>
                <w:webHidden/>
              </w:rPr>
              <w:instrText xml:space="preserve"> PAGEREF _Toc173925423 \h </w:instrText>
            </w:r>
            <w:r w:rsidR="000D2AA9">
              <w:rPr>
                <w:noProof/>
                <w:webHidden/>
              </w:rPr>
            </w:r>
            <w:r w:rsidR="000D2AA9">
              <w:rPr>
                <w:noProof/>
                <w:webHidden/>
              </w:rPr>
              <w:fldChar w:fldCharType="separate"/>
            </w:r>
            <w:r w:rsidR="000D2AA9">
              <w:rPr>
                <w:noProof/>
                <w:webHidden/>
              </w:rPr>
              <w:t>8</w:t>
            </w:r>
            <w:r w:rsidR="000D2AA9">
              <w:rPr>
                <w:noProof/>
                <w:webHidden/>
              </w:rPr>
              <w:fldChar w:fldCharType="end"/>
            </w:r>
          </w:hyperlink>
        </w:p>
        <w:p w14:paraId="37ACA475" w14:textId="081858FF"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24" w:history="1">
            <w:r w:rsidR="000D2AA9" w:rsidRPr="00253C05">
              <w:rPr>
                <w:rStyle w:val="Hyperlink"/>
                <w:noProof/>
              </w:rPr>
              <w:t>Clinical rationale</w:t>
            </w:r>
            <w:r w:rsidR="000D2AA9">
              <w:rPr>
                <w:noProof/>
                <w:webHidden/>
              </w:rPr>
              <w:tab/>
            </w:r>
            <w:r w:rsidR="000D2AA9">
              <w:rPr>
                <w:noProof/>
                <w:webHidden/>
              </w:rPr>
              <w:fldChar w:fldCharType="begin"/>
            </w:r>
            <w:r w:rsidR="000D2AA9">
              <w:rPr>
                <w:noProof/>
                <w:webHidden/>
              </w:rPr>
              <w:instrText xml:space="preserve"> PAGEREF _Toc173925424 \h </w:instrText>
            </w:r>
            <w:r w:rsidR="000D2AA9">
              <w:rPr>
                <w:noProof/>
                <w:webHidden/>
              </w:rPr>
            </w:r>
            <w:r w:rsidR="000D2AA9">
              <w:rPr>
                <w:noProof/>
                <w:webHidden/>
              </w:rPr>
              <w:fldChar w:fldCharType="separate"/>
            </w:r>
            <w:r w:rsidR="000D2AA9">
              <w:rPr>
                <w:noProof/>
                <w:webHidden/>
              </w:rPr>
              <w:t>9</w:t>
            </w:r>
            <w:r w:rsidR="000D2AA9">
              <w:rPr>
                <w:noProof/>
                <w:webHidden/>
              </w:rPr>
              <w:fldChar w:fldCharType="end"/>
            </w:r>
          </w:hyperlink>
        </w:p>
        <w:p w14:paraId="752DDD8A" w14:textId="62E89144"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25" w:history="1">
            <w:r w:rsidR="000D2AA9" w:rsidRPr="00253C05">
              <w:rPr>
                <w:rStyle w:val="Hyperlink"/>
                <w:noProof/>
              </w:rPr>
              <w:t>Evaluation overview</w:t>
            </w:r>
            <w:r w:rsidR="000D2AA9">
              <w:rPr>
                <w:noProof/>
                <w:webHidden/>
              </w:rPr>
              <w:tab/>
            </w:r>
            <w:r w:rsidR="000D2AA9">
              <w:rPr>
                <w:noProof/>
                <w:webHidden/>
              </w:rPr>
              <w:fldChar w:fldCharType="begin"/>
            </w:r>
            <w:r w:rsidR="000D2AA9">
              <w:rPr>
                <w:noProof/>
                <w:webHidden/>
              </w:rPr>
              <w:instrText xml:space="preserve"> PAGEREF _Toc173925425 \h </w:instrText>
            </w:r>
            <w:r w:rsidR="000D2AA9">
              <w:rPr>
                <w:noProof/>
                <w:webHidden/>
              </w:rPr>
            </w:r>
            <w:r w:rsidR="000D2AA9">
              <w:rPr>
                <w:noProof/>
                <w:webHidden/>
              </w:rPr>
              <w:fldChar w:fldCharType="separate"/>
            </w:r>
            <w:r w:rsidR="000D2AA9">
              <w:rPr>
                <w:noProof/>
                <w:webHidden/>
              </w:rPr>
              <w:t>10</w:t>
            </w:r>
            <w:r w:rsidR="000D2AA9">
              <w:rPr>
                <w:noProof/>
                <w:webHidden/>
              </w:rPr>
              <w:fldChar w:fldCharType="end"/>
            </w:r>
          </w:hyperlink>
        </w:p>
        <w:p w14:paraId="7B98EA72" w14:textId="6C6C5018"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26" w:history="1">
            <w:r w:rsidR="000D2AA9" w:rsidRPr="00253C05">
              <w:rPr>
                <w:rStyle w:val="Hyperlink"/>
                <w:noProof/>
              </w:rPr>
              <w:t>Quality evaluation summary</w:t>
            </w:r>
            <w:r w:rsidR="000D2AA9">
              <w:rPr>
                <w:noProof/>
                <w:webHidden/>
              </w:rPr>
              <w:tab/>
            </w:r>
            <w:r w:rsidR="000D2AA9">
              <w:rPr>
                <w:noProof/>
                <w:webHidden/>
              </w:rPr>
              <w:fldChar w:fldCharType="begin"/>
            </w:r>
            <w:r w:rsidR="000D2AA9">
              <w:rPr>
                <w:noProof/>
                <w:webHidden/>
              </w:rPr>
              <w:instrText xml:space="preserve"> PAGEREF _Toc173925426 \h </w:instrText>
            </w:r>
            <w:r w:rsidR="000D2AA9">
              <w:rPr>
                <w:noProof/>
                <w:webHidden/>
              </w:rPr>
            </w:r>
            <w:r w:rsidR="000D2AA9">
              <w:rPr>
                <w:noProof/>
                <w:webHidden/>
              </w:rPr>
              <w:fldChar w:fldCharType="separate"/>
            </w:r>
            <w:r w:rsidR="000D2AA9">
              <w:rPr>
                <w:noProof/>
                <w:webHidden/>
              </w:rPr>
              <w:t>10</w:t>
            </w:r>
            <w:r w:rsidR="000D2AA9">
              <w:rPr>
                <w:noProof/>
                <w:webHidden/>
              </w:rPr>
              <w:fldChar w:fldCharType="end"/>
            </w:r>
          </w:hyperlink>
        </w:p>
        <w:p w14:paraId="3467063C" w14:textId="29AA992B"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27" w:history="1">
            <w:r w:rsidR="000D2AA9" w:rsidRPr="00253C05">
              <w:rPr>
                <w:rStyle w:val="Hyperlink"/>
                <w:noProof/>
              </w:rPr>
              <w:t>Nonclinical (toxicology) evaluation summary</w:t>
            </w:r>
            <w:r w:rsidR="000D2AA9">
              <w:rPr>
                <w:noProof/>
                <w:webHidden/>
              </w:rPr>
              <w:tab/>
            </w:r>
            <w:r w:rsidR="000D2AA9">
              <w:rPr>
                <w:noProof/>
                <w:webHidden/>
              </w:rPr>
              <w:fldChar w:fldCharType="begin"/>
            </w:r>
            <w:r w:rsidR="000D2AA9">
              <w:rPr>
                <w:noProof/>
                <w:webHidden/>
              </w:rPr>
              <w:instrText xml:space="preserve"> PAGEREF _Toc173925427 \h </w:instrText>
            </w:r>
            <w:r w:rsidR="000D2AA9">
              <w:rPr>
                <w:noProof/>
                <w:webHidden/>
              </w:rPr>
            </w:r>
            <w:r w:rsidR="000D2AA9">
              <w:rPr>
                <w:noProof/>
                <w:webHidden/>
              </w:rPr>
              <w:fldChar w:fldCharType="separate"/>
            </w:r>
            <w:r w:rsidR="000D2AA9">
              <w:rPr>
                <w:noProof/>
                <w:webHidden/>
              </w:rPr>
              <w:t>10</w:t>
            </w:r>
            <w:r w:rsidR="000D2AA9">
              <w:rPr>
                <w:noProof/>
                <w:webHidden/>
              </w:rPr>
              <w:fldChar w:fldCharType="end"/>
            </w:r>
          </w:hyperlink>
        </w:p>
        <w:p w14:paraId="6F66F825" w14:textId="69D5961B"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28" w:history="1">
            <w:r w:rsidR="000D2AA9" w:rsidRPr="00253C05">
              <w:rPr>
                <w:rStyle w:val="Hyperlink"/>
                <w:noProof/>
              </w:rPr>
              <w:t>Lack of characterisation of the M1 metabolite of abrocitinib</w:t>
            </w:r>
            <w:r w:rsidR="000D2AA9">
              <w:rPr>
                <w:noProof/>
                <w:webHidden/>
              </w:rPr>
              <w:tab/>
            </w:r>
            <w:r w:rsidR="000D2AA9">
              <w:rPr>
                <w:noProof/>
                <w:webHidden/>
              </w:rPr>
              <w:fldChar w:fldCharType="begin"/>
            </w:r>
            <w:r w:rsidR="000D2AA9">
              <w:rPr>
                <w:noProof/>
                <w:webHidden/>
              </w:rPr>
              <w:instrText xml:space="preserve"> PAGEREF _Toc173925428 \h </w:instrText>
            </w:r>
            <w:r w:rsidR="000D2AA9">
              <w:rPr>
                <w:noProof/>
                <w:webHidden/>
              </w:rPr>
            </w:r>
            <w:r w:rsidR="000D2AA9">
              <w:rPr>
                <w:noProof/>
                <w:webHidden/>
              </w:rPr>
              <w:fldChar w:fldCharType="separate"/>
            </w:r>
            <w:r w:rsidR="000D2AA9">
              <w:rPr>
                <w:noProof/>
                <w:webHidden/>
              </w:rPr>
              <w:t>11</w:t>
            </w:r>
            <w:r w:rsidR="000D2AA9">
              <w:rPr>
                <w:noProof/>
                <w:webHidden/>
              </w:rPr>
              <w:fldChar w:fldCharType="end"/>
            </w:r>
          </w:hyperlink>
        </w:p>
        <w:p w14:paraId="5C4AA72A" w14:textId="70E7FC26"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29" w:history="1">
            <w:r w:rsidR="000D2AA9" w:rsidRPr="00253C05">
              <w:rPr>
                <w:rStyle w:val="Hyperlink"/>
                <w:noProof/>
              </w:rPr>
              <w:t>Bone dystrophy</w:t>
            </w:r>
            <w:r w:rsidR="000D2AA9">
              <w:rPr>
                <w:noProof/>
                <w:webHidden/>
              </w:rPr>
              <w:tab/>
            </w:r>
            <w:r w:rsidR="000D2AA9">
              <w:rPr>
                <w:noProof/>
                <w:webHidden/>
              </w:rPr>
              <w:fldChar w:fldCharType="begin"/>
            </w:r>
            <w:r w:rsidR="000D2AA9">
              <w:rPr>
                <w:noProof/>
                <w:webHidden/>
              </w:rPr>
              <w:instrText xml:space="preserve"> PAGEREF _Toc173925429 \h </w:instrText>
            </w:r>
            <w:r w:rsidR="000D2AA9">
              <w:rPr>
                <w:noProof/>
                <w:webHidden/>
              </w:rPr>
            </w:r>
            <w:r w:rsidR="000D2AA9">
              <w:rPr>
                <w:noProof/>
                <w:webHidden/>
              </w:rPr>
              <w:fldChar w:fldCharType="separate"/>
            </w:r>
            <w:r w:rsidR="000D2AA9">
              <w:rPr>
                <w:noProof/>
                <w:webHidden/>
              </w:rPr>
              <w:t>11</w:t>
            </w:r>
            <w:r w:rsidR="000D2AA9">
              <w:rPr>
                <w:noProof/>
                <w:webHidden/>
              </w:rPr>
              <w:fldChar w:fldCharType="end"/>
            </w:r>
          </w:hyperlink>
        </w:p>
        <w:p w14:paraId="36FBDCB0" w14:textId="0B55C4E1"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30" w:history="1">
            <w:r w:rsidR="000D2AA9" w:rsidRPr="00253C05">
              <w:rPr>
                <w:rStyle w:val="Hyperlink"/>
                <w:noProof/>
              </w:rPr>
              <w:t>Carcinogenicity</w:t>
            </w:r>
            <w:r w:rsidR="000D2AA9">
              <w:rPr>
                <w:noProof/>
                <w:webHidden/>
              </w:rPr>
              <w:tab/>
            </w:r>
            <w:r w:rsidR="000D2AA9">
              <w:rPr>
                <w:noProof/>
                <w:webHidden/>
              </w:rPr>
              <w:fldChar w:fldCharType="begin"/>
            </w:r>
            <w:r w:rsidR="000D2AA9">
              <w:rPr>
                <w:noProof/>
                <w:webHidden/>
              </w:rPr>
              <w:instrText xml:space="preserve"> PAGEREF _Toc173925430 \h </w:instrText>
            </w:r>
            <w:r w:rsidR="000D2AA9">
              <w:rPr>
                <w:noProof/>
                <w:webHidden/>
              </w:rPr>
            </w:r>
            <w:r w:rsidR="000D2AA9">
              <w:rPr>
                <w:noProof/>
                <w:webHidden/>
              </w:rPr>
              <w:fldChar w:fldCharType="separate"/>
            </w:r>
            <w:r w:rsidR="000D2AA9">
              <w:rPr>
                <w:noProof/>
                <w:webHidden/>
              </w:rPr>
              <w:t>12</w:t>
            </w:r>
            <w:r w:rsidR="000D2AA9">
              <w:rPr>
                <w:noProof/>
                <w:webHidden/>
              </w:rPr>
              <w:fldChar w:fldCharType="end"/>
            </w:r>
          </w:hyperlink>
        </w:p>
        <w:p w14:paraId="774E0B06" w14:textId="25D0FDD7"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31" w:history="1">
            <w:r w:rsidR="000D2AA9" w:rsidRPr="00253C05">
              <w:rPr>
                <w:rStyle w:val="Hyperlink"/>
                <w:noProof/>
              </w:rPr>
              <w:t>Clinical evaluation summary</w:t>
            </w:r>
            <w:r w:rsidR="000D2AA9">
              <w:rPr>
                <w:noProof/>
                <w:webHidden/>
              </w:rPr>
              <w:tab/>
            </w:r>
            <w:r w:rsidR="000D2AA9">
              <w:rPr>
                <w:noProof/>
                <w:webHidden/>
              </w:rPr>
              <w:fldChar w:fldCharType="begin"/>
            </w:r>
            <w:r w:rsidR="000D2AA9">
              <w:rPr>
                <w:noProof/>
                <w:webHidden/>
              </w:rPr>
              <w:instrText xml:space="preserve"> PAGEREF _Toc173925431 \h </w:instrText>
            </w:r>
            <w:r w:rsidR="000D2AA9">
              <w:rPr>
                <w:noProof/>
                <w:webHidden/>
              </w:rPr>
            </w:r>
            <w:r w:rsidR="000D2AA9">
              <w:rPr>
                <w:noProof/>
                <w:webHidden/>
              </w:rPr>
              <w:fldChar w:fldCharType="separate"/>
            </w:r>
            <w:r w:rsidR="000D2AA9">
              <w:rPr>
                <w:noProof/>
                <w:webHidden/>
              </w:rPr>
              <w:t>12</w:t>
            </w:r>
            <w:r w:rsidR="000D2AA9">
              <w:rPr>
                <w:noProof/>
                <w:webHidden/>
              </w:rPr>
              <w:fldChar w:fldCharType="end"/>
            </w:r>
          </w:hyperlink>
        </w:p>
        <w:p w14:paraId="0809E323" w14:textId="23E044BD"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32" w:history="1">
            <w:r w:rsidR="000D2AA9" w:rsidRPr="00253C05">
              <w:rPr>
                <w:rStyle w:val="Hyperlink"/>
                <w:noProof/>
              </w:rPr>
              <w:t>Pharmacology</w:t>
            </w:r>
            <w:r w:rsidR="000D2AA9">
              <w:rPr>
                <w:noProof/>
                <w:webHidden/>
              </w:rPr>
              <w:tab/>
            </w:r>
            <w:r w:rsidR="000D2AA9">
              <w:rPr>
                <w:noProof/>
                <w:webHidden/>
              </w:rPr>
              <w:fldChar w:fldCharType="begin"/>
            </w:r>
            <w:r w:rsidR="000D2AA9">
              <w:rPr>
                <w:noProof/>
                <w:webHidden/>
              </w:rPr>
              <w:instrText xml:space="preserve"> PAGEREF _Toc173925432 \h </w:instrText>
            </w:r>
            <w:r w:rsidR="000D2AA9">
              <w:rPr>
                <w:noProof/>
                <w:webHidden/>
              </w:rPr>
            </w:r>
            <w:r w:rsidR="000D2AA9">
              <w:rPr>
                <w:noProof/>
                <w:webHidden/>
              </w:rPr>
              <w:fldChar w:fldCharType="separate"/>
            </w:r>
            <w:r w:rsidR="000D2AA9">
              <w:rPr>
                <w:noProof/>
                <w:webHidden/>
              </w:rPr>
              <w:t>12</w:t>
            </w:r>
            <w:r w:rsidR="000D2AA9">
              <w:rPr>
                <w:noProof/>
                <w:webHidden/>
              </w:rPr>
              <w:fldChar w:fldCharType="end"/>
            </w:r>
          </w:hyperlink>
        </w:p>
        <w:p w14:paraId="7E5B763A" w14:textId="31CC19C3"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33" w:history="1">
            <w:r w:rsidR="000D2AA9" w:rsidRPr="00253C05">
              <w:rPr>
                <w:rStyle w:val="Hyperlink"/>
                <w:noProof/>
              </w:rPr>
              <w:t>Pharmacodynamics</w:t>
            </w:r>
            <w:r w:rsidR="000D2AA9">
              <w:rPr>
                <w:noProof/>
                <w:webHidden/>
              </w:rPr>
              <w:tab/>
            </w:r>
            <w:r w:rsidR="000D2AA9">
              <w:rPr>
                <w:noProof/>
                <w:webHidden/>
              </w:rPr>
              <w:fldChar w:fldCharType="begin"/>
            </w:r>
            <w:r w:rsidR="000D2AA9">
              <w:rPr>
                <w:noProof/>
                <w:webHidden/>
              </w:rPr>
              <w:instrText xml:space="preserve"> PAGEREF _Toc173925433 \h </w:instrText>
            </w:r>
            <w:r w:rsidR="000D2AA9">
              <w:rPr>
                <w:noProof/>
                <w:webHidden/>
              </w:rPr>
            </w:r>
            <w:r w:rsidR="000D2AA9">
              <w:rPr>
                <w:noProof/>
                <w:webHidden/>
              </w:rPr>
              <w:fldChar w:fldCharType="separate"/>
            </w:r>
            <w:r w:rsidR="000D2AA9">
              <w:rPr>
                <w:noProof/>
                <w:webHidden/>
              </w:rPr>
              <w:t>14</w:t>
            </w:r>
            <w:r w:rsidR="000D2AA9">
              <w:rPr>
                <w:noProof/>
                <w:webHidden/>
              </w:rPr>
              <w:fldChar w:fldCharType="end"/>
            </w:r>
          </w:hyperlink>
        </w:p>
        <w:p w14:paraId="15D377F9" w14:textId="7DE73E69"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34" w:history="1">
            <w:r w:rsidR="000D2AA9" w:rsidRPr="00253C05">
              <w:rPr>
                <w:rStyle w:val="Hyperlink"/>
                <w:noProof/>
              </w:rPr>
              <w:t>Efficacy</w:t>
            </w:r>
            <w:r w:rsidR="000D2AA9">
              <w:rPr>
                <w:noProof/>
                <w:webHidden/>
              </w:rPr>
              <w:tab/>
            </w:r>
            <w:r w:rsidR="000D2AA9">
              <w:rPr>
                <w:noProof/>
                <w:webHidden/>
              </w:rPr>
              <w:fldChar w:fldCharType="begin"/>
            </w:r>
            <w:r w:rsidR="000D2AA9">
              <w:rPr>
                <w:noProof/>
                <w:webHidden/>
              </w:rPr>
              <w:instrText xml:space="preserve"> PAGEREF _Toc173925434 \h </w:instrText>
            </w:r>
            <w:r w:rsidR="000D2AA9">
              <w:rPr>
                <w:noProof/>
                <w:webHidden/>
              </w:rPr>
            </w:r>
            <w:r w:rsidR="000D2AA9">
              <w:rPr>
                <w:noProof/>
                <w:webHidden/>
              </w:rPr>
              <w:fldChar w:fldCharType="separate"/>
            </w:r>
            <w:r w:rsidR="000D2AA9">
              <w:rPr>
                <w:noProof/>
                <w:webHidden/>
              </w:rPr>
              <w:t>14</w:t>
            </w:r>
            <w:r w:rsidR="000D2AA9">
              <w:rPr>
                <w:noProof/>
                <w:webHidden/>
              </w:rPr>
              <w:fldChar w:fldCharType="end"/>
            </w:r>
          </w:hyperlink>
        </w:p>
        <w:p w14:paraId="6CAE4A52" w14:textId="45C86FD6"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35" w:history="1">
            <w:r w:rsidR="000D2AA9" w:rsidRPr="00253C05">
              <w:rPr>
                <w:rStyle w:val="Hyperlink"/>
                <w:noProof/>
              </w:rPr>
              <w:t>Phase II dose finding study B7451006</w:t>
            </w:r>
            <w:r w:rsidR="000D2AA9">
              <w:rPr>
                <w:noProof/>
                <w:webHidden/>
              </w:rPr>
              <w:tab/>
            </w:r>
            <w:r w:rsidR="000D2AA9">
              <w:rPr>
                <w:noProof/>
                <w:webHidden/>
              </w:rPr>
              <w:fldChar w:fldCharType="begin"/>
            </w:r>
            <w:r w:rsidR="000D2AA9">
              <w:rPr>
                <w:noProof/>
                <w:webHidden/>
              </w:rPr>
              <w:instrText xml:space="preserve"> PAGEREF _Toc173925435 \h </w:instrText>
            </w:r>
            <w:r w:rsidR="000D2AA9">
              <w:rPr>
                <w:noProof/>
                <w:webHidden/>
              </w:rPr>
            </w:r>
            <w:r w:rsidR="000D2AA9">
              <w:rPr>
                <w:noProof/>
                <w:webHidden/>
              </w:rPr>
              <w:fldChar w:fldCharType="separate"/>
            </w:r>
            <w:r w:rsidR="000D2AA9">
              <w:rPr>
                <w:noProof/>
                <w:webHidden/>
              </w:rPr>
              <w:t>14</w:t>
            </w:r>
            <w:r w:rsidR="000D2AA9">
              <w:rPr>
                <w:noProof/>
                <w:webHidden/>
              </w:rPr>
              <w:fldChar w:fldCharType="end"/>
            </w:r>
          </w:hyperlink>
        </w:p>
        <w:p w14:paraId="756614D6" w14:textId="66453A33"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36" w:history="1">
            <w:r w:rsidR="000D2AA9" w:rsidRPr="00253C05">
              <w:rPr>
                <w:rStyle w:val="Hyperlink"/>
                <w:noProof/>
              </w:rPr>
              <w:t>Study B7451012 (pivotal study)</w:t>
            </w:r>
            <w:r w:rsidR="000D2AA9">
              <w:rPr>
                <w:noProof/>
                <w:webHidden/>
              </w:rPr>
              <w:tab/>
            </w:r>
            <w:r w:rsidR="000D2AA9">
              <w:rPr>
                <w:noProof/>
                <w:webHidden/>
              </w:rPr>
              <w:fldChar w:fldCharType="begin"/>
            </w:r>
            <w:r w:rsidR="000D2AA9">
              <w:rPr>
                <w:noProof/>
                <w:webHidden/>
              </w:rPr>
              <w:instrText xml:space="preserve"> PAGEREF _Toc173925436 \h </w:instrText>
            </w:r>
            <w:r w:rsidR="000D2AA9">
              <w:rPr>
                <w:noProof/>
                <w:webHidden/>
              </w:rPr>
            </w:r>
            <w:r w:rsidR="000D2AA9">
              <w:rPr>
                <w:noProof/>
                <w:webHidden/>
              </w:rPr>
              <w:fldChar w:fldCharType="separate"/>
            </w:r>
            <w:r w:rsidR="000D2AA9">
              <w:rPr>
                <w:noProof/>
                <w:webHidden/>
              </w:rPr>
              <w:t>14</w:t>
            </w:r>
            <w:r w:rsidR="000D2AA9">
              <w:rPr>
                <w:noProof/>
                <w:webHidden/>
              </w:rPr>
              <w:fldChar w:fldCharType="end"/>
            </w:r>
          </w:hyperlink>
        </w:p>
        <w:p w14:paraId="683A490E" w14:textId="4C406E5C"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37" w:history="1">
            <w:r w:rsidR="000D2AA9" w:rsidRPr="00253C05">
              <w:rPr>
                <w:rStyle w:val="Hyperlink"/>
                <w:noProof/>
              </w:rPr>
              <w:t>Study B7451013 (pivotal study)</w:t>
            </w:r>
            <w:r w:rsidR="000D2AA9">
              <w:rPr>
                <w:noProof/>
                <w:webHidden/>
              </w:rPr>
              <w:tab/>
            </w:r>
            <w:r w:rsidR="000D2AA9">
              <w:rPr>
                <w:noProof/>
                <w:webHidden/>
              </w:rPr>
              <w:fldChar w:fldCharType="begin"/>
            </w:r>
            <w:r w:rsidR="000D2AA9">
              <w:rPr>
                <w:noProof/>
                <w:webHidden/>
              </w:rPr>
              <w:instrText xml:space="preserve"> PAGEREF _Toc173925437 \h </w:instrText>
            </w:r>
            <w:r w:rsidR="000D2AA9">
              <w:rPr>
                <w:noProof/>
                <w:webHidden/>
              </w:rPr>
            </w:r>
            <w:r w:rsidR="000D2AA9">
              <w:rPr>
                <w:noProof/>
                <w:webHidden/>
              </w:rPr>
              <w:fldChar w:fldCharType="separate"/>
            </w:r>
            <w:r w:rsidR="000D2AA9">
              <w:rPr>
                <w:noProof/>
                <w:webHidden/>
              </w:rPr>
              <w:t>17</w:t>
            </w:r>
            <w:r w:rsidR="000D2AA9">
              <w:rPr>
                <w:noProof/>
                <w:webHidden/>
              </w:rPr>
              <w:fldChar w:fldCharType="end"/>
            </w:r>
          </w:hyperlink>
        </w:p>
        <w:p w14:paraId="1F118CE8" w14:textId="5B5E54CB"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38" w:history="1">
            <w:r w:rsidR="000D2AA9" w:rsidRPr="00253C05">
              <w:rPr>
                <w:rStyle w:val="Hyperlink"/>
                <w:noProof/>
              </w:rPr>
              <w:t>Study B7451029</w:t>
            </w:r>
            <w:r w:rsidR="000D2AA9">
              <w:rPr>
                <w:noProof/>
                <w:webHidden/>
              </w:rPr>
              <w:tab/>
            </w:r>
            <w:r w:rsidR="000D2AA9">
              <w:rPr>
                <w:noProof/>
                <w:webHidden/>
              </w:rPr>
              <w:fldChar w:fldCharType="begin"/>
            </w:r>
            <w:r w:rsidR="000D2AA9">
              <w:rPr>
                <w:noProof/>
                <w:webHidden/>
              </w:rPr>
              <w:instrText xml:space="preserve"> PAGEREF _Toc173925438 \h </w:instrText>
            </w:r>
            <w:r w:rsidR="000D2AA9">
              <w:rPr>
                <w:noProof/>
                <w:webHidden/>
              </w:rPr>
            </w:r>
            <w:r w:rsidR="000D2AA9">
              <w:rPr>
                <w:noProof/>
                <w:webHidden/>
              </w:rPr>
              <w:fldChar w:fldCharType="separate"/>
            </w:r>
            <w:r w:rsidR="000D2AA9">
              <w:rPr>
                <w:noProof/>
                <w:webHidden/>
              </w:rPr>
              <w:t>18</w:t>
            </w:r>
            <w:r w:rsidR="000D2AA9">
              <w:rPr>
                <w:noProof/>
                <w:webHidden/>
              </w:rPr>
              <w:fldChar w:fldCharType="end"/>
            </w:r>
          </w:hyperlink>
        </w:p>
        <w:p w14:paraId="7F576C8E" w14:textId="2DBBC712"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39" w:history="1">
            <w:r w:rsidR="000D2AA9" w:rsidRPr="00253C05">
              <w:rPr>
                <w:rStyle w:val="Hyperlink"/>
                <w:noProof/>
              </w:rPr>
              <w:t>Study B7451015</w:t>
            </w:r>
            <w:r w:rsidR="000D2AA9">
              <w:rPr>
                <w:noProof/>
                <w:webHidden/>
              </w:rPr>
              <w:tab/>
            </w:r>
            <w:r w:rsidR="000D2AA9">
              <w:rPr>
                <w:noProof/>
                <w:webHidden/>
              </w:rPr>
              <w:fldChar w:fldCharType="begin"/>
            </w:r>
            <w:r w:rsidR="000D2AA9">
              <w:rPr>
                <w:noProof/>
                <w:webHidden/>
              </w:rPr>
              <w:instrText xml:space="preserve"> PAGEREF _Toc173925439 \h </w:instrText>
            </w:r>
            <w:r w:rsidR="000D2AA9">
              <w:rPr>
                <w:noProof/>
                <w:webHidden/>
              </w:rPr>
            </w:r>
            <w:r w:rsidR="000D2AA9">
              <w:rPr>
                <w:noProof/>
                <w:webHidden/>
              </w:rPr>
              <w:fldChar w:fldCharType="separate"/>
            </w:r>
            <w:r w:rsidR="000D2AA9">
              <w:rPr>
                <w:noProof/>
                <w:webHidden/>
              </w:rPr>
              <w:t>23</w:t>
            </w:r>
            <w:r w:rsidR="000D2AA9">
              <w:rPr>
                <w:noProof/>
                <w:webHidden/>
              </w:rPr>
              <w:fldChar w:fldCharType="end"/>
            </w:r>
          </w:hyperlink>
        </w:p>
        <w:p w14:paraId="57EC8057" w14:textId="4A617CE8"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40" w:history="1">
            <w:r w:rsidR="000D2AA9" w:rsidRPr="00253C05">
              <w:rPr>
                <w:rStyle w:val="Hyperlink"/>
                <w:noProof/>
              </w:rPr>
              <w:t>Study B7451036</w:t>
            </w:r>
            <w:r w:rsidR="000D2AA9">
              <w:rPr>
                <w:noProof/>
                <w:webHidden/>
              </w:rPr>
              <w:tab/>
            </w:r>
            <w:r w:rsidR="000D2AA9">
              <w:rPr>
                <w:noProof/>
                <w:webHidden/>
              </w:rPr>
              <w:fldChar w:fldCharType="begin"/>
            </w:r>
            <w:r w:rsidR="000D2AA9">
              <w:rPr>
                <w:noProof/>
                <w:webHidden/>
              </w:rPr>
              <w:instrText xml:space="preserve"> PAGEREF _Toc173925440 \h </w:instrText>
            </w:r>
            <w:r w:rsidR="000D2AA9">
              <w:rPr>
                <w:noProof/>
                <w:webHidden/>
              </w:rPr>
            </w:r>
            <w:r w:rsidR="000D2AA9">
              <w:rPr>
                <w:noProof/>
                <w:webHidden/>
              </w:rPr>
              <w:fldChar w:fldCharType="separate"/>
            </w:r>
            <w:r w:rsidR="000D2AA9">
              <w:rPr>
                <w:noProof/>
                <w:webHidden/>
              </w:rPr>
              <w:t>25</w:t>
            </w:r>
            <w:r w:rsidR="000D2AA9">
              <w:rPr>
                <w:noProof/>
                <w:webHidden/>
              </w:rPr>
              <w:fldChar w:fldCharType="end"/>
            </w:r>
          </w:hyperlink>
        </w:p>
        <w:p w14:paraId="27047415" w14:textId="7009C48A"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41" w:history="1">
            <w:r w:rsidR="000D2AA9" w:rsidRPr="00253C05">
              <w:rPr>
                <w:rStyle w:val="Hyperlink"/>
                <w:noProof/>
              </w:rPr>
              <w:t>Safety</w:t>
            </w:r>
            <w:r w:rsidR="000D2AA9">
              <w:rPr>
                <w:noProof/>
                <w:webHidden/>
              </w:rPr>
              <w:tab/>
            </w:r>
            <w:r w:rsidR="000D2AA9">
              <w:rPr>
                <w:noProof/>
                <w:webHidden/>
              </w:rPr>
              <w:fldChar w:fldCharType="begin"/>
            </w:r>
            <w:r w:rsidR="000D2AA9">
              <w:rPr>
                <w:noProof/>
                <w:webHidden/>
              </w:rPr>
              <w:instrText xml:space="preserve"> PAGEREF _Toc173925441 \h </w:instrText>
            </w:r>
            <w:r w:rsidR="000D2AA9">
              <w:rPr>
                <w:noProof/>
                <w:webHidden/>
              </w:rPr>
            </w:r>
            <w:r w:rsidR="000D2AA9">
              <w:rPr>
                <w:noProof/>
                <w:webHidden/>
              </w:rPr>
              <w:fldChar w:fldCharType="separate"/>
            </w:r>
            <w:r w:rsidR="000D2AA9">
              <w:rPr>
                <w:noProof/>
                <w:webHidden/>
              </w:rPr>
              <w:t>26</w:t>
            </w:r>
            <w:r w:rsidR="000D2AA9">
              <w:rPr>
                <w:noProof/>
                <w:webHidden/>
              </w:rPr>
              <w:fldChar w:fldCharType="end"/>
            </w:r>
          </w:hyperlink>
        </w:p>
        <w:p w14:paraId="70E6015F" w14:textId="404422A3"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42" w:history="1">
            <w:r w:rsidR="000D2AA9" w:rsidRPr="00253C05">
              <w:rPr>
                <w:rStyle w:val="Hyperlink"/>
                <w:noProof/>
              </w:rPr>
              <w:t>Cohort studies</w:t>
            </w:r>
            <w:r w:rsidR="000D2AA9">
              <w:rPr>
                <w:noProof/>
                <w:webHidden/>
              </w:rPr>
              <w:tab/>
            </w:r>
            <w:r w:rsidR="000D2AA9">
              <w:rPr>
                <w:noProof/>
                <w:webHidden/>
              </w:rPr>
              <w:fldChar w:fldCharType="begin"/>
            </w:r>
            <w:r w:rsidR="000D2AA9">
              <w:rPr>
                <w:noProof/>
                <w:webHidden/>
              </w:rPr>
              <w:instrText xml:space="preserve"> PAGEREF _Toc173925442 \h </w:instrText>
            </w:r>
            <w:r w:rsidR="000D2AA9">
              <w:rPr>
                <w:noProof/>
                <w:webHidden/>
              </w:rPr>
            </w:r>
            <w:r w:rsidR="000D2AA9">
              <w:rPr>
                <w:noProof/>
                <w:webHidden/>
              </w:rPr>
              <w:fldChar w:fldCharType="separate"/>
            </w:r>
            <w:r w:rsidR="000D2AA9">
              <w:rPr>
                <w:noProof/>
                <w:webHidden/>
              </w:rPr>
              <w:t>32</w:t>
            </w:r>
            <w:r w:rsidR="000D2AA9">
              <w:rPr>
                <w:noProof/>
                <w:webHidden/>
              </w:rPr>
              <w:fldChar w:fldCharType="end"/>
            </w:r>
          </w:hyperlink>
        </w:p>
        <w:p w14:paraId="42CF9F1C" w14:textId="43BE95B5"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43" w:history="1">
            <w:r w:rsidR="000D2AA9" w:rsidRPr="00253C05">
              <w:rPr>
                <w:rStyle w:val="Hyperlink"/>
                <w:noProof/>
              </w:rPr>
              <w:t>Study B7451044</w:t>
            </w:r>
            <w:r w:rsidR="000D2AA9">
              <w:rPr>
                <w:noProof/>
                <w:webHidden/>
              </w:rPr>
              <w:tab/>
            </w:r>
            <w:r w:rsidR="000D2AA9">
              <w:rPr>
                <w:noProof/>
                <w:webHidden/>
              </w:rPr>
              <w:fldChar w:fldCharType="begin"/>
            </w:r>
            <w:r w:rsidR="000D2AA9">
              <w:rPr>
                <w:noProof/>
                <w:webHidden/>
              </w:rPr>
              <w:instrText xml:space="preserve"> PAGEREF _Toc173925443 \h </w:instrText>
            </w:r>
            <w:r w:rsidR="000D2AA9">
              <w:rPr>
                <w:noProof/>
                <w:webHidden/>
              </w:rPr>
            </w:r>
            <w:r w:rsidR="000D2AA9">
              <w:rPr>
                <w:noProof/>
                <w:webHidden/>
              </w:rPr>
              <w:fldChar w:fldCharType="separate"/>
            </w:r>
            <w:r w:rsidR="000D2AA9">
              <w:rPr>
                <w:noProof/>
                <w:webHidden/>
              </w:rPr>
              <w:t>32</w:t>
            </w:r>
            <w:r w:rsidR="000D2AA9">
              <w:rPr>
                <w:noProof/>
                <w:webHidden/>
              </w:rPr>
              <w:fldChar w:fldCharType="end"/>
            </w:r>
          </w:hyperlink>
        </w:p>
        <w:p w14:paraId="3217C9EB" w14:textId="2A758B67"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44" w:history="1">
            <w:r w:rsidR="000D2AA9" w:rsidRPr="00253C05">
              <w:rPr>
                <w:rStyle w:val="Hyperlink"/>
                <w:noProof/>
              </w:rPr>
              <w:t>The Health Improvement Network (THIN) study</w:t>
            </w:r>
            <w:r w:rsidR="000D2AA9">
              <w:rPr>
                <w:noProof/>
                <w:webHidden/>
              </w:rPr>
              <w:tab/>
            </w:r>
            <w:r w:rsidR="000D2AA9">
              <w:rPr>
                <w:noProof/>
                <w:webHidden/>
              </w:rPr>
              <w:fldChar w:fldCharType="begin"/>
            </w:r>
            <w:r w:rsidR="000D2AA9">
              <w:rPr>
                <w:noProof/>
                <w:webHidden/>
              </w:rPr>
              <w:instrText xml:space="preserve"> PAGEREF _Toc173925444 \h </w:instrText>
            </w:r>
            <w:r w:rsidR="000D2AA9">
              <w:rPr>
                <w:noProof/>
                <w:webHidden/>
              </w:rPr>
            </w:r>
            <w:r w:rsidR="000D2AA9">
              <w:rPr>
                <w:noProof/>
                <w:webHidden/>
              </w:rPr>
              <w:fldChar w:fldCharType="separate"/>
            </w:r>
            <w:r w:rsidR="000D2AA9">
              <w:rPr>
                <w:noProof/>
                <w:webHidden/>
              </w:rPr>
              <w:t>35</w:t>
            </w:r>
            <w:r w:rsidR="000D2AA9">
              <w:rPr>
                <w:noProof/>
                <w:webHidden/>
              </w:rPr>
              <w:fldChar w:fldCharType="end"/>
            </w:r>
          </w:hyperlink>
        </w:p>
        <w:p w14:paraId="55AA008E" w14:textId="02AF3AA7" w:rsidR="000D2AA9" w:rsidRDefault="00CA0205">
          <w:pPr>
            <w:pStyle w:val="TOC3"/>
            <w:rPr>
              <w:rFonts w:asciiTheme="minorHAnsi" w:eastAsiaTheme="minorEastAsia" w:hAnsiTheme="minorHAnsi" w:cstheme="minorBidi"/>
              <w:b w:val="0"/>
              <w:noProof/>
              <w:color w:val="auto"/>
              <w:kern w:val="2"/>
              <w:szCs w:val="22"/>
              <w:lang w:eastAsia="en-AU"/>
              <w14:ligatures w14:val="standardContextual"/>
            </w:rPr>
          </w:pPr>
          <w:hyperlink w:anchor="_Toc173925445" w:history="1">
            <w:r w:rsidR="000D2AA9" w:rsidRPr="00253C05">
              <w:rPr>
                <w:rStyle w:val="Hyperlink"/>
                <w:noProof/>
              </w:rPr>
              <w:t>Incidence of venous thromboembolic events in patients with atopic dermatitis cohort study</w:t>
            </w:r>
            <w:r w:rsidR="000D2AA9">
              <w:rPr>
                <w:noProof/>
                <w:webHidden/>
              </w:rPr>
              <w:tab/>
            </w:r>
            <w:r w:rsidR="000D2AA9">
              <w:rPr>
                <w:noProof/>
                <w:webHidden/>
              </w:rPr>
              <w:fldChar w:fldCharType="begin"/>
            </w:r>
            <w:r w:rsidR="000D2AA9">
              <w:rPr>
                <w:noProof/>
                <w:webHidden/>
              </w:rPr>
              <w:instrText xml:space="preserve"> PAGEREF _Toc173925445 \h </w:instrText>
            </w:r>
            <w:r w:rsidR="000D2AA9">
              <w:rPr>
                <w:noProof/>
                <w:webHidden/>
              </w:rPr>
            </w:r>
            <w:r w:rsidR="000D2AA9">
              <w:rPr>
                <w:noProof/>
                <w:webHidden/>
              </w:rPr>
              <w:fldChar w:fldCharType="separate"/>
            </w:r>
            <w:r w:rsidR="000D2AA9">
              <w:rPr>
                <w:noProof/>
                <w:webHidden/>
              </w:rPr>
              <w:t>36</w:t>
            </w:r>
            <w:r w:rsidR="000D2AA9">
              <w:rPr>
                <w:noProof/>
                <w:webHidden/>
              </w:rPr>
              <w:fldChar w:fldCharType="end"/>
            </w:r>
          </w:hyperlink>
        </w:p>
        <w:p w14:paraId="75E42CA9" w14:textId="6450429C"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46" w:history="1">
            <w:r w:rsidR="000D2AA9" w:rsidRPr="00253C05">
              <w:rPr>
                <w:rStyle w:val="Hyperlink"/>
                <w:noProof/>
                <w:lang w:eastAsia="en-AU"/>
              </w:rPr>
              <w:t>Risk management plan evaluation</w:t>
            </w:r>
            <w:r w:rsidR="000D2AA9">
              <w:rPr>
                <w:noProof/>
                <w:webHidden/>
              </w:rPr>
              <w:tab/>
            </w:r>
            <w:r w:rsidR="000D2AA9">
              <w:rPr>
                <w:noProof/>
                <w:webHidden/>
              </w:rPr>
              <w:fldChar w:fldCharType="begin"/>
            </w:r>
            <w:r w:rsidR="000D2AA9">
              <w:rPr>
                <w:noProof/>
                <w:webHidden/>
              </w:rPr>
              <w:instrText xml:space="preserve"> PAGEREF _Toc173925446 \h </w:instrText>
            </w:r>
            <w:r w:rsidR="000D2AA9">
              <w:rPr>
                <w:noProof/>
                <w:webHidden/>
              </w:rPr>
            </w:r>
            <w:r w:rsidR="000D2AA9">
              <w:rPr>
                <w:noProof/>
                <w:webHidden/>
              </w:rPr>
              <w:fldChar w:fldCharType="separate"/>
            </w:r>
            <w:r w:rsidR="000D2AA9">
              <w:rPr>
                <w:noProof/>
                <w:webHidden/>
              </w:rPr>
              <w:t>37</w:t>
            </w:r>
            <w:r w:rsidR="000D2AA9">
              <w:rPr>
                <w:noProof/>
                <w:webHidden/>
              </w:rPr>
              <w:fldChar w:fldCharType="end"/>
            </w:r>
          </w:hyperlink>
        </w:p>
        <w:p w14:paraId="4D9250DF" w14:textId="088CFC84"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47" w:history="1">
            <w:r w:rsidR="000D2AA9" w:rsidRPr="00253C05">
              <w:rPr>
                <w:rStyle w:val="Hyperlink"/>
                <w:noProof/>
              </w:rPr>
              <w:t>Risk-benefit assessment</w:t>
            </w:r>
            <w:r w:rsidR="000D2AA9">
              <w:rPr>
                <w:noProof/>
                <w:webHidden/>
              </w:rPr>
              <w:tab/>
            </w:r>
            <w:r w:rsidR="000D2AA9">
              <w:rPr>
                <w:noProof/>
                <w:webHidden/>
              </w:rPr>
              <w:fldChar w:fldCharType="begin"/>
            </w:r>
            <w:r w:rsidR="000D2AA9">
              <w:rPr>
                <w:noProof/>
                <w:webHidden/>
              </w:rPr>
              <w:instrText xml:space="preserve"> PAGEREF _Toc173925447 \h </w:instrText>
            </w:r>
            <w:r w:rsidR="000D2AA9">
              <w:rPr>
                <w:noProof/>
                <w:webHidden/>
              </w:rPr>
            </w:r>
            <w:r w:rsidR="000D2AA9">
              <w:rPr>
                <w:noProof/>
                <w:webHidden/>
              </w:rPr>
              <w:fldChar w:fldCharType="separate"/>
            </w:r>
            <w:r w:rsidR="000D2AA9">
              <w:rPr>
                <w:noProof/>
                <w:webHidden/>
              </w:rPr>
              <w:t>39</w:t>
            </w:r>
            <w:r w:rsidR="000D2AA9">
              <w:rPr>
                <w:noProof/>
                <w:webHidden/>
              </w:rPr>
              <w:fldChar w:fldCharType="end"/>
            </w:r>
          </w:hyperlink>
        </w:p>
        <w:p w14:paraId="0135500F" w14:textId="76134EF7"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48" w:history="1">
            <w:r w:rsidR="000D2AA9" w:rsidRPr="00253C05">
              <w:rPr>
                <w:rStyle w:val="Hyperlink"/>
                <w:noProof/>
              </w:rPr>
              <w:t>Advisory committee considerations – December 2021</w:t>
            </w:r>
            <w:r w:rsidR="000D2AA9">
              <w:rPr>
                <w:noProof/>
                <w:webHidden/>
              </w:rPr>
              <w:tab/>
            </w:r>
            <w:r w:rsidR="000D2AA9">
              <w:rPr>
                <w:noProof/>
                <w:webHidden/>
              </w:rPr>
              <w:fldChar w:fldCharType="begin"/>
            </w:r>
            <w:r w:rsidR="000D2AA9">
              <w:rPr>
                <w:noProof/>
                <w:webHidden/>
              </w:rPr>
              <w:instrText xml:space="preserve"> PAGEREF _Toc173925448 \h </w:instrText>
            </w:r>
            <w:r w:rsidR="000D2AA9">
              <w:rPr>
                <w:noProof/>
                <w:webHidden/>
              </w:rPr>
            </w:r>
            <w:r w:rsidR="000D2AA9">
              <w:rPr>
                <w:noProof/>
                <w:webHidden/>
              </w:rPr>
              <w:fldChar w:fldCharType="separate"/>
            </w:r>
            <w:r w:rsidR="000D2AA9">
              <w:rPr>
                <w:noProof/>
                <w:webHidden/>
              </w:rPr>
              <w:t>42</w:t>
            </w:r>
            <w:r w:rsidR="000D2AA9">
              <w:rPr>
                <w:noProof/>
                <w:webHidden/>
              </w:rPr>
              <w:fldChar w:fldCharType="end"/>
            </w:r>
          </w:hyperlink>
        </w:p>
        <w:p w14:paraId="754D0924" w14:textId="31408107"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49" w:history="1">
            <w:r w:rsidR="000D2AA9" w:rsidRPr="00253C05">
              <w:rPr>
                <w:rStyle w:val="Hyperlink"/>
                <w:noProof/>
              </w:rPr>
              <w:t>Risk/benefit assessment post-ACM December 2021</w:t>
            </w:r>
            <w:r w:rsidR="000D2AA9">
              <w:rPr>
                <w:noProof/>
                <w:webHidden/>
              </w:rPr>
              <w:tab/>
            </w:r>
            <w:r w:rsidR="000D2AA9">
              <w:rPr>
                <w:noProof/>
                <w:webHidden/>
              </w:rPr>
              <w:fldChar w:fldCharType="begin"/>
            </w:r>
            <w:r w:rsidR="000D2AA9">
              <w:rPr>
                <w:noProof/>
                <w:webHidden/>
              </w:rPr>
              <w:instrText xml:space="preserve"> PAGEREF _Toc173925449 \h </w:instrText>
            </w:r>
            <w:r w:rsidR="000D2AA9">
              <w:rPr>
                <w:noProof/>
                <w:webHidden/>
              </w:rPr>
            </w:r>
            <w:r w:rsidR="000D2AA9">
              <w:rPr>
                <w:noProof/>
                <w:webHidden/>
              </w:rPr>
              <w:fldChar w:fldCharType="separate"/>
            </w:r>
            <w:r w:rsidR="000D2AA9">
              <w:rPr>
                <w:noProof/>
                <w:webHidden/>
              </w:rPr>
              <w:t>44</w:t>
            </w:r>
            <w:r w:rsidR="000D2AA9">
              <w:rPr>
                <w:noProof/>
                <w:webHidden/>
              </w:rPr>
              <w:fldChar w:fldCharType="end"/>
            </w:r>
          </w:hyperlink>
        </w:p>
        <w:p w14:paraId="2764A50A" w14:textId="4E6DC0E8"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50" w:history="1">
            <w:r w:rsidR="000D2AA9" w:rsidRPr="00253C05">
              <w:rPr>
                <w:rStyle w:val="Hyperlink"/>
                <w:noProof/>
              </w:rPr>
              <w:t>Advisory Committee considerations – April 2022</w:t>
            </w:r>
            <w:r w:rsidR="000D2AA9">
              <w:rPr>
                <w:noProof/>
                <w:webHidden/>
              </w:rPr>
              <w:tab/>
            </w:r>
            <w:r w:rsidR="000D2AA9">
              <w:rPr>
                <w:noProof/>
                <w:webHidden/>
              </w:rPr>
              <w:fldChar w:fldCharType="begin"/>
            </w:r>
            <w:r w:rsidR="000D2AA9">
              <w:rPr>
                <w:noProof/>
                <w:webHidden/>
              </w:rPr>
              <w:instrText xml:space="preserve"> PAGEREF _Toc173925450 \h </w:instrText>
            </w:r>
            <w:r w:rsidR="000D2AA9">
              <w:rPr>
                <w:noProof/>
                <w:webHidden/>
              </w:rPr>
            </w:r>
            <w:r w:rsidR="000D2AA9">
              <w:rPr>
                <w:noProof/>
                <w:webHidden/>
              </w:rPr>
              <w:fldChar w:fldCharType="separate"/>
            </w:r>
            <w:r w:rsidR="000D2AA9">
              <w:rPr>
                <w:noProof/>
                <w:webHidden/>
              </w:rPr>
              <w:t>46</w:t>
            </w:r>
            <w:r w:rsidR="000D2AA9">
              <w:rPr>
                <w:noProof/>
                <w:webHidden/>
              </w:rPr>
              <w:fldChar w:fldCharType="end"/>
            </w:r>
          </w:hyperlink>
        </w:p>
        <w:p w14:paraId="5B1C327E" w14:textId="337203A2"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51" w:history="1">
            <w:r w:rsidR="000D2AA9" w:rsidRPr="00253C05">
              <w:rPr>
                <w:rStyle w:val="Hyperlink"/>
                <w:noProof/>
              </w:rPr>
              <w:t>Risk/benefit assessment post-ACM April 2022</w:t>
            </w:r>
            <w:r w:rsidR="000D2AA9">
              <w:rPr>
                <w:noProof/>
                <w:webHidden/>
              </w:rPr>
              <w:tab/>
            </w:r>
            <w:r w:rsidR="000D2AA9">
              <w:rPr>
                <w:noProof/>
                <w:webHidden/>
              </w:rPr>
              <w:fldChar w:fldCharType="begin"/>
            </w:r>
            <w:r w:rsidR="000D2AA9">
              <w:rPr>
                <w:noProof/>
                <w:webHidden/>
              </w:rPr>
              <w:instrText xml:space="preserve"> PAGEREF _Toc173925451 \h </w:instrText>
            </w:r>
            <w:r w:rsidR="000D2AA9">
              <w:rPr>
                <w:noProof/>
                <w:webHidden/>
              </w:rPr>
            </w:r>
            <w:r w:rsidR="000D2AA9">
              <w:rPr>
                <w:noProof/>
                <w:webHidden/>
              </w:rPr>
              <w:fldChar w:fldCharType="separate"/>
            </w:r>
            <w:r w:rsidR="000D2AA9">
              <w:rPr>
                <w:noProof/>
                <w:webHidden/>
              </w:rPr>
              <w:t>49</w:t>
            </w:r>
            <w:r w:rsidR="000D2AA9">
              <w:rPr>
                <w:noProof/>
                <w:webHidden/>
              </w:rPr>
              <w:fldChar w:fldCharType="end"/>
            </w:r>
          </w:hyperlink>
        </w:p>
        <w:p w14:paraId="63C9FF03" w14:textId="0D0701E6"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52" w:history="1">
            <w:r w:rsidR="000D2AA9" w:rsidRPr="00253C05">
              <w:rPr>
                <w:rStyle w:val="Hyperlink"/>
                <w:noProof/>
              </w:rPr>
              <w:t>Section 60 review</w:t>
            </w:r>
            <w:r w:rsidR="000D2AA9">
              <w:rPr>
                <w:noProof/>
                <w:webHidden/>
              </w:rPr>
              <w:tab/>
            </w:r>
            <w:r w:rsidR="000D2AA9">
              <w:rPr>
                <w:noProof/>
                <w:webHidden/>
              </w:rPr>
              <w:fldChar w:fldCharType="begin"/>
            </w:r>
            <w:r w:rsidR="000D2AA9">
              <w:rPr>
                <w:noProof/>
                <w:webHidden/>
              </w:rPr>
              <w:instrText xml:space="preserve"> PAGEREF _Toc173925452 \h </w:instrText>
            </w:r>
            <w:r w:rsidR="000D2AA9">
              <w:rPr>
                <w:noProof/>
                <w:webHidden/>
              </w:rPr>
            </w:r>
            <w:r w:rsidR="000D2AA9">
              <w:rPr>
                <w:noProof/>
                <w:webHidden/>
              </w:rPr>
              <w:fldChar w:fldCharType="separate"/>
            </w:r>
            <w:r w:rsidR="000D2AA9">
              <w:rPr>
                <w:noProof/>
                <w:webHidden/>
              </w:rPr>
              <w:t>49</w:t>
            </w:r>
            <w:r w:rsidR="000D2AA9">
              <w:rPr>
                <w:noProof/>
                <w:webHidden/>
              </w:rPr>
              <w:fldChar w:fldCharType="end"/>
            </w:r>
          </w:hyperlink>
        </w:p>
        <w:p w14:paraId="5748FDDD" w14:textId="389A8C6D"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53" w:history="1">
            <w:r w:rsidR="000D2AA9" w:rsidRPr="00253C05">
              <w:rPr>
                <w:rStyle w:val="Hyperlink"/>
                <w:noProof/>
              </w:rPr>
              <w:t>Appeal to the Administrative Appeals Tribunal</w:t>
            </w:r>
            <w:r w:rsidR="000D2AA9">
              <w:rPr>
                <w:noProof/>
                <w:webHidden/>
              </w:rPr>
              <w:tab/>
            </w:r>
            <w:r w:rsidR="000D2AA9">
              <w:rPr>
                <w:noProof/>
                <w:webHidden/>
              </w:rPr>
              <w:fldChar w:fldCharType="begin"/>
            </w:r>
            <w:r w:rsidR="000D2AA9">
              <w:rPr>
                <w:noProof/>
                <w:webHidden/>
              </w:rPr>
              <w:instrText xml:space="preserve"> PAGEREF _Toc173925453 \h </w:instrText>
            </w:r>
            <w:r w:rsidR="000D2AA9">
              <w:rPr>
                <w:noProof/>
                <w:webHidden/>
              </w:rPr>
            </w:r>
            <w:r w:rsidR="000D2AA9">
              <w:rPr>
                <w:noProof/>
                <w:webHidden/>
              </w:rPr>
              <w:fldChar w:fldCharType="separate"/>
            </w:r>
            <w:r w:rsidR="000D2AA9">
              <w:rPr>
                <w:noProof/>
                <w:webHidden/>
              </w:rPr>
              <w:t>49</w:t>
            </w:r>
            <w:r w:rsidR="000D2AA9">
              <w:rPr>
                <w:noProof/>
                <w:webHidden/>
              </w:rPr>
              <w:fldChar w:fldCharType="end"/>
            </w:r>
          </w:hyperlink>
        </w:p>
        <w:p w14:paraId="263FF714" w14:textId="33ADC119"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54" w:history="1">
            <w:r w:rsidR="000D2AA9" w:rsidRPr="00253C05">
              <w:rPr>
                <w:rStyle w:val="Hyperlink"/>
                <w:noProof/>
              </w:rPr>
              <w:t>Registration decision</w:t>
            </w:r>
            <w:r w:rsidR="000D2AA9">
              <w:rPr>
                <w:noProof/>
                <w:webHidden/>
              </w:rPr>
              <w:tab/>
            </w:r>
            <w:r w:rsidR="000D2AA9">
              <w:rPr>
                <w:noProof/>
                <w:webHidden/>
              </w:rPr>
              <w:fldChar w:fldCharType="begin"/>
            </w:r>
            <w:r w:rsidR="000D2AA9">
              <w:rPr>
                <w:noProof/>
                <w:webHidden/>
              </w:rPr>
              <w:instrText xml:space="preserve"> PAGEREF _Toc173925454 \h </w:instrText>
            </w:r>
            <w:r w:rsidR="000D2AA9">
              <w:rPr>
                <w:noProof/>
                <w:webHidden/>
              </w:rPr>
            </w:r>
            <w:r w:rsidR="000D2AA9">
              <w:rPr>
                <w:noProof/>
                <w:webHidden/>
              </w:rPr>
              <w:fldChar w:fldCharType="separate"/>
            </w:r>
            <w:r w:rsidR="000D2AA9">
              <w:rPr>
                <w:noProof/>
                <w:webHidden/>
              </w:rPr>
              <w:t>50</w:t>
            </w:r>
            <w:r w:rsidR="000D2AA9">
              <w:rPr>
                <w:noProof/>
                <w:webHidden/>
              </w:rPr>
              <w:fldChar w:fldCharType="end"/>
            </w:r>
          </w:hyperlink>
        </w:p>
        <w:p w14:paraId="7EF69467" w14:textId="20546887"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55" w:history="1">
            <w:r w:rsidR="000D2AA9" w:rsidRPr="00253C05">
              <w:rPr>
                <w:rStyle w:val="Hyperlink"/>
                <w:noProof/>
              </w:rPr>
              <w:t>Submission</w:t>
            </w:r>
            <w:r w:rsidR="000D2AA9" w:rsidRPr="00253C05">
              <w:rPr>
                <w:rStyle w:val="Hyperlink"/>
                <w:noProof/>
                <w:lang w:eastAsia="en-AU"/>
              </w:rPr>
              <w:t xml:space="preserve"> details</w:t>
            </w:r>
            <w:r w:rsidR="000D2AA9">
              <w:rPr>
                <w:noProof/>
                <w:webHidden/>
              </w:rPr>
              <w:tab/>
            </w:r>
            <w:r w:rsidR="000D2AA9">
              <w:rPr>
                <w:noProof/>
                <w:webHidden/>
              </w:rPr>
              <w:fldChar w:fldCharType="begin"/>
            </w:r>
            <w:r w:rsidR="000D2AA9">
              <w:rPr>
                <w:noProof/>
                <w:webHidden/>
              </w:rPr>
              <w:instrText xml:space="preserve"> PAGEREF _Toc173925455 \h </w:instrText>
            </w:r>
            <w:r w:rsidR="000D2AA9">
              <w:rPr>
                <w:noProof/>
                <w:webHidden/>
              </w:rPr>
            </w:r>
            <w:r w:rsidR="000D2AA9">
              <w:rPr>
                <w:noProof/>
                <w:webHidden/>
              </w:rPr>
              <w:fldChar w:fldCharType="separate"/>
            </w:r>
            <w:r w:rsidR="000D2AA9">
              <w:rPr>
                <w:noProof/>
                <w:webHidden/>
              </w:rPr>
              <w:t>50</w:t>
            </w:r>
            <w:r w:rsidR="000D2AA9">
              <w:rPr>
                <w:noProof/>
                <w:webHidden/>
              </w:rPr>
              <w:fldChar w:fldCharType="end"/>
            </w:r>
          </w:hyperlink>
        </w:p>
        <w:p w14:paraId="54A820F6" w14:textId="67826E0C"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56" w:history="1">
            <w:r w:rsidR="000D2AA9" w:rsidRPr="00253C05">
              <w:rPr>
                <w:rStyle w:val="Hyperlink"/>
                <w:noProof/>
              </w:rPr>
              <w:t>Specific conditions of registration applying to these goods</w:t>
            </w:r>
            <w:r w:rsidR="000D2AA9">
              <w:rPr>
                <w:noProof/>
                <w:webHidden/>
              </w:rPr>
              <w:tab/>
            </w:r>
            <w:r w:rsidR="000D2AA9">
              <w:rPr>
                <w:noProof/>
                <w:webHidden/>
              </w:rPr>
              <w:fldChar w:fldCharType="begin"/>
            </w:r>
            <w:r w:rsidR="000D2AA9">
              <w:rPr>
                <w:noProof/>
                <w:webHidden/>
              </w:rPr>
              <w:instrText xml:space="preserve"> PAGEREF _Toc173925456 \h </w:instrText>
            </w:r>
            <w:r w:rsidR="000D2AA9">
              <w:rPr>
                <w:noProof/>
                <w:webHidden/>
              </w:rPr>
            </w:r>
            <w:r w:rsidR="000D2AA9">
              <w:rPr>
                <w:noProof/>
                <w:webHidden/>
              </w:rPr>
              <w:fldChar w:fldCharType="separate"/>
            </w:r>
            <w:r w:rsidR="000D2AA9">
              <w:rPr>
                <w:noProof/>
                <w:webHidden/>
              </w:rPr>
              <w:t>51</w:t>
            </w:r>
            <w:r w:rsidR="000D2AA9">
              <w:rPr>
                <w:noProof/>
                <w:webHidden/>
              </w:rPr>
              <w:fldChar w:fldCharType="end"/>
            </w:r>
          </w:hyperlink>
        </w:p>
        <w:p w14:paraId="51056CC9" w14:textId="4BC26BA1"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57" w:history="1">
            <w:r w:rsidR="000D2AA9" w:rsidRPr="00253C05">
              <w:rPr>
                <w:rStyle w:val="Hyperlink"/>
                <w:noProof/>
              </w:rPr>
              <w:t>Product Information (PI) and Consumer Medicine Information (CMI)</w:t>
            </w:r>
            <w:r w:rsidR="000D2AA9">
              <w:rPr>
                <w:noProof/>
                <w:webHidden/>
              </w:rPr>
              <w:tab/>
            </w:r>
            <w:r w:rsidR="000D2AA9">
              <w:rPr>
                <w:noProof/>
                <w:webHidden/>
              </w:rPr>
              <w:fldChar w:fldCharType="begin"/>
            </w:r>
            <w:r w:rsidR="000D2AA9">
              <w:rPr>
                <w:noProof/>
                <w:webHidden/>
              </w:rPr>
              <w:instrText xml:space="preserve"> PAGEREF _Toc173925457 \h </w:instrText>
            </w:r>
            <w:r w:rsidR="000D2AA9">
              <w:rPr>
                <w:noProof/>
                <w:webHidden/>
              </w:rPr>
            </w:r>
            <w:r w:rsidR="000D2AA9">
              <w:rPr>
                <w:noProof/>
                <w:webHidden/>
              </w:rPr>
              <w:fldChar w:fldCharType="separate"/>
            </w:r>
            <w:r w:rsidR="000D2AA9">
              <w:rPr>
                <w:noProof/>
                <w:webHidden/>
              </w:rPr>
              <w:t>52</w:t>
            </w:r>
            <w:r w:rsidR="000D2AA9">
              <w:rPr>
                <w:noProof/>
                <w:webHidden/>
              </w:rPr>
              <w:fldChar w:fldCharType="end"/>
            </w:r>
          </w:hyperlink>
        </w:p>
        <w:p w14:paraId="582B38AE" w14:textId="2766694E"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58" w:history="1">
            <w:r w:rsidR="000D2AA9" w:rsidRPr="00253C05">
              <w:rPr>
                <w:rStyle w:val="Hyperlink"/>
                <w:noProof/>
              </w:rPr>
              <w:t>Regulatory status</w:t>
            </w:r>
            <w:r w:rsidR="000D2AA9">
              <w:rPr>
                <w:noProof/>
                <w:webHidden/>
              </w:rPr>
              <w:tab/>
            </w:r>
            <w:r w:rsidR="000D2AA9">
              <w:rPr>
                <w:noProof/>
                <w:webHidden/>
              </w:rPr>
              <w:fldChar w:fldCharType="begin"/>
            </w:r>
            <w:r w:rsidR="000D2AA9">
              <w:rPr>
                <w:noProof/>
                <w:webHidden/>
              </w:rPr>
              <w:instrText xml:space="preserve"> PAGEREF _Toc173925458 \h </w:instrText>
            </w:r>
            <w:r w:rsidR="000D2AA9">
              <w:rPr>
                <w:noProof/>
                <w:webHidden/>
              </w:rPr>
            </w:r>
            <w:r w:rsidR="000D2AA9">
              <w:rPr>
                <w:noProof/>
                <w:webHidden/>
              </w:rPr>
              <w:fldChar w:fldCharType="separate"/>
            </w:r>
            <w:r w:rsidR="000D2AA9">
              <w:rPr>
                <w:noProof/>
                <w:webHidden/>
              </w:rPr>
              <w:t>52</w:t>
            </w:r>
            <w:r w:rsidR="000D2AA9">
              <w:rPr>
                <w:noProof/>
                <w:webHidden/>
              </w:rPr>
              <w:fldChar w:fldCharType="end"/>
            </w:r>
          </w:hyperlink>
        </w:p>
        <w:p w14:paraId="0D2A4700" w14:textId="55BBAE7F"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59" w:history="1">
            <w:r w:rsidR="000D2AA9" w:rsidRPr="00253C05">
              <w:rPr>
                <w:rStyle w:val="Hyperlink"/>
                <w:noProof/>
              </w:rPr>
              <w:t>Australian regulatory status</w:t>
            </w:r>
            <w:r w:rsidR="000D2AA9">
              <w:rPr>
                <w:noProof/>
                <w:webHidden/>
              </w:rPr>
              <w:tab/>
            </w:r>
            <w:r w:rsidR="000D2AA9">
              <w:rPr>
                <w:noProof/>
                <w:webHidden/>
              </w:rPr>
              <w:fldChar w:fldCharType="begin"/>
            </w:r>
            <w:r w:rsidR="000D2AA9">
              <w:rPr>
                <w:noProof/>
                <w:webHidden/>
              </w:rPr>
              <w:instrText xml:space="preserve"> PAGEREF _Toc173925459 \h </w:instrText>
            </w:r>
            <w:r w:rsidR="000D2AA9">
              <w:rPr>
                <w:noProof/>
                <w:webHidden/>
              </w:rPr>
            </w:r>
            <w:r w:rsidR="000D2AA9">
              <w:rPr>
                <w:noProof/>
                <w:webHidden/>
              </w:rPr>
              <w:fldChar w:fldCharType="separate"/>
            </w:r>
            <w:r w:rsidR="000D2AA9">
              <w:rPr>
                <w:noProof/>
                <w:webHidden/>
              </w:rPr>
              <w:t>52</w:t>
            </w:r>
            <w:r w:rsidR="000D2AA9">
              <w:rPr>
                <w:noProof/>
                <w:webHidden/>
              </w:rPr>
              <w:fldChar w:fldCharType="end"/>
            </w:r>
          </w:hyperlink>
        </w:p>
        <w:p w14:paraId="29F29209" w14:textId="47EE3C9B"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60" w:history="1">
            <w:r w:rsidR="000D2AA9" w:rsidRPr="00253C05">
              <w:rPr>
                <w:rStyle w:val="Hyperlink"/>
                <w:noProof/>
              </w:rPr>
              <w:t>International regulatory status</w:t>
            </w:r>
            <w:r w:rsidR="000D2AA9">
              <w:rPr>
                <w:noProof/>
                <w:webHidden/>
              </w:rPr>
              <w:tab/>
            </w:r>
            <w:r w:rsidR="000D2AA9">
              <w:rPr>
                <w:noProof/>
                <w:webHidden/>
              </w:rPr>
              <w:fldChar w:fldCharType="begin"/>
            </w:r>
            <w:r w:rsidR="000D2AA9">
              <w:rPr>
                <w:noProof/>
                <w:webHidden/>
              </w:rPr>
              <w:instrText xml:space="preserve"> PAGEREF _Toc173925460 \h </w:instrText>
            </w:r>
            <w:r w:rsidR="000D2AA9">
              <w:rPr>
                <w:noProof/>
                <w:webHidden/>
              </w:rPr>
            </w:r>
            <w:r w:rsidR="000D2AA9">
              <w:rPr>
                <w:noProof/>
                <w:webHidden/>
              </w:rPr>
              <w:fldChar w:fldCharType="separate"/>
            </w:r>
            <w:r w:rsidR="000D2AA9">
              <w:rPr>
                <w:noProof/>
                <w:webHidden/>
              </w:rPr>
              <w:t>52</w:t>
            </w:r>
            <w:r w:rsidR="000D2AA9">
              <w:rPr>
                <w:noProof/>
                <w:webHidden/>
              </w:rPr>
              <w:fldChar w:fldCharType="end"/>
            </w:r>
          </w:hyperlink>
        </w:p>
        <w:p w14:paraId="59D91E3D" w14:textId="49FC27D9" w:rsidR="000D2AA9" w:rsidRDefault="00CA020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25461" w:history="1">
            <w:r w:rsidR="000D2AA9" w:rsidRPr="00253C05">
              <w:rPr>
                <w:rStyle w:val="Hyperlink"/>
                <w:noProof/>
              </w:rPr>
              <w:t>Assessment and registration timeline</w:t>
            </w:r>
            <w:r w:rsidR="000D2AA9">
              <w:rPr>
                <w:noProof/>
                <w:webHidden/>
              </w:rPr>
              <w:tab/>
            </w:r>
            <w:r w:rsidR="000D2AA9">
              <w:rPr>
                <w:noProof/>
                <w:webHidden/>
              </w:rPr>
              <w:fldChar w:fldCharType="begin"/>
            </w:r>
            <w:r w:rsidR="000D2AA9">
              <w:rPr>
                <w:noProof/>
                <w:webHidden/>
              </w:rPr>
              <w:instrText xml:space="preserve"> PAGEREF _Toc173925461 \h </w:instrText>
            </w:r>
            <w:r w:rsidR="000D2AA9">
              <w:rPr>
                <w:noProof/>
                <w:webHidden/>
              </w:rPr>
            </w:r>
            <w:r w:rsidR="000D2AA9">
              <w:rPr>
                <w:noProof/>
                <w:webHidden/>
              </w:rPr>
              <w:fldChar w:fldCharType="separate"/>
            </w:r>
            <w:r w:rsidR="000D2AA9">
              <w:rPr>
                <w:noProof/>
                <w:webHidden/>
              </w:rPr>
              <w:t>54</w:t>
            </w:r>
            <w:r w:rsidR="000D2AA9">
              <w:rPr>
                <w:noProof/>
                <w:webHidden/>
              </w:rPr>
              <w:fldChar w:fldCharType="end"/>
            </w:r>
          </w:hyperlink>
        </w:p>
        <w:p w14:paraId="7969E21F" w14:textId="292CEB5D" w:rsidR="000D2AA9" w:rsidRDefault="00CA020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25462" w:history="1">
            <w:r w:rsidR="000D2AA9" w:rsidRPr="00253C05">
              <w:rPr>
                <w:rStyle w:val="Hyperlink"/>
                <w:noProof/>
              </w:rPr>
              <w:t>Attachment 1. Product Information</w:t>
            </w:r>
            <w:r w:rsidR="000D2AA9">
              <w:rPr>
                <w:noProof/>
                <w:webHidden/>
              </w:rPr>
              <w:tab/>
            </w:r>
            <w:r w:rsidR="000D2AA9">
              <w:rPr>
                <w:noProof/>
                <w:webHidden/>
              </w:rPr>
              <w:fldChar w:fldCharType="begin"/>
            </w:r>
            <w:r w:rsidR="000D2AA9">
              <w:rPr>
                <w:noProof/>
                <w:webHidden/>
              </w:rPr>
              <w:instrText xml:space="preserve"> PAGEREF _Toc173925462 \h </w:instrText>
            </w:r>
            <w:r w:rsidR="000D2AA9">
              <w:rPr>
                <w:noProof/>
                <w:webHidden/>
              </w:rPr>
            </w:r>
            <w:r w:rsidR="000D2AA9">
              <w:rPr>
                <w:noProof/>
                <w:webHidden/>
              </w:rPr>
              <w:fldChar w:fldCharType="separate"/>
            </w:r>
            <w:r w:rsidR="000D2AA9">
              <w:rPr>
                <w:noProof/>
                <w:webHidden/>
              </w:rPr>
              <w:t>54</w:t>
            </w:r>
            <w:r w:rsidR="000D2AA9">
              <w:rPr>
                <w:noProof/>
                <w:webHidden/>
              </w:rPr>
              <w:fldChar w:fldCharType="end"/>
            </w:r>
          </w:hyperlink>
        </w:p>
        <w:p w14:paraId="77659F2D" w14:textId="6E14C8E7"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484F4E">
      <w:pPr>
        <w:pStyle w:val="Heading2"/>
      </w:pPr>
      <w:bookmarkStart w:id="3" w:name="_Toc98931917"/>
      <w:bookmarkStart w:id="4" w:name="_Toc103679287"/>
      <w:bookmarkStart w:id="5" w:name="_Toc173925419"/>
      <w:bookmarkStart w:id="6" w:name="_Toc323739589"/>
      <w:bookmarkStart w:id="7" w:name="_Toc356305216"/>
      <w:r>
        <w:lastRenderedPageBreak/>
        <w:t xml:space="preserve">List of </w:t>
      </w:r>
      <w:r w:rsidRPr="00484F4E">
        <w:t>abbreviations</w:t>
      </w:r>
      <w:bookmarkEnd w:id="3"/>
      <w:bookmarkEnd w:id="4"/>
      <w:bookmarkEnd w:id="5"/>
    </w:p>
    <w:tbl>
      <w:tblPr>
        <w:tblStyle w:val="TableTGAblue20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74"/>
        <w:gridCol w:w="6886"/>
      </w:tblGrid>
      <w:tr w:rsidR="00744965" w:rsidRPr="0054745A" w14:paraId="5A5AD1D8" w14:textId="77777777" w:rsidTr="00F842C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048120F" w14:textId="77777777" w:rsidR="00744965" w:rsidRPr="0054745A" w:rsidRDefault="00744965" w:rsidP="00F842C8">
            <w:pPr>
              <w:rPr>
                <w:color w:val="auto"/>
                <w:szCs w:val="22"/>
              </w:rPr>
            </w:pPr>
            <w:r w:rsidRPr="0054745A">
              <w:rPr>
                <w:color w:val="auto"/>
                <w:szCs w:val="22"/>
              </w:rPr>
              <w:t>Abbreviation</w:t>
            </w:r>
          </w:p>
        </w:tc>
        <w:tc>
          <w:tcPr>
            <w:tcW w:w="3800" w:type="pct"/>
          </w:tcPr>
          <w:p w14:paraId="77E9AB3A" w14:textId="77777777" w:rsidR="00744965" w:rsidRPr="0054745A" w:rsidRDefault="00744965" w:rsidP="00F842C8">
            <w:pPr>
              <w:cnfStyle w:val="100000000000" w:firstRow="1" w:lastRow="0" w:firstColumn="0" w:lastColumn="0" w:oddVBand="0" w:evenVBand="0" w:oddHBand="0" w:evenHBand="0" w:firstRowFirstColumn="0" w:firstRowLastColumn="0" w:lastRowFirstColumn="0" w:lastRowLastColumn="0"/>
              <w:rPr>
                <w:color w:val="auto"/>
                <w:szCs w:val="22"/>
              </w:rPr>
            </w:pPr>
            <w:r w:rsidRPr="0054745A">
              <w:rPr>
                <w:color w:val="auto"/>
                <w:szCs w:val="22"/>
              </w:rPr>
              <w:t>Meaning</w:t>
            </w:r>
          </w:p>
        </w:tc>
      </w:tr>
      <w:tr w:rsidR="00744965" w:rsidRPr="0054745A" w14:paraId="439E913A"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313C62" w14:textId="77777777" w:rsidR="00744965" w:rsidRPr="0054745A" w:rsidRDefault="00744965" w:rsidP="00F842C8">
            <w:pPr>
              <w:rPr>
                <w:color w:val="auto"/>
                <w:szCs w:val="22"/>
              </w:rPr>
            </w:pPr>
            <w:r w:rsidRPr="0054745A">
              <w:rPr>
                <w:color w:val="auto"/>
                <w:szCs w:val="22"/>
              </w:rPr>
              <w:t>ACM</w:t>
            </w:r>
          </w:p>
        </w:tc>
        <w:tc>
          <w:tcPr>
            <w:tcW w:w="3800" w:type="pct"/>
          </w:tcPr>
          <w:p w14:paraId="20E6718A"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Advisory Committee on Medicines</w:t>
            </w:r>
          </w:p>
        </w:tc>
      </w:tr>
      <w:tr w:rsidR="00744965" w:rsidRPr="0054745A" w14:paraId="5CFC0253"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362C99" w14:textId="77777777" w:rsidR="00744965" w:rsidRPr="0054745A" w:rsidRDefault="00744965" w:rsidP="00F842C8">
            <w:pPr>
              <w:rPr>
                <w:color w:val="auto"/>
                <w:szCs w:val="22"/>
              </w:rPr>
            </w:pPr>
            <w:r w:rsidRPr="0054745A">
              <w:rPr>
                <w:color w:val="auto"/>
                <w:szCs w:val="22"/>
              </w:rPr>
              <w:t>AD</w:t>
            </w:r>
          </w:p>
        </w:tc>
        <w:tc>
          <w:tcPr>
            <w:tcW w:w="3800" w:type="pct"/>
          </w:tcPr>
          <w:p w14:paraId="7A59AAD7"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Atopic dermatitis</w:t>
            </w:r>
          </w:p>
        </w:tc>
      </w:tr>
      <w:tr w:rsidR="00744965" w:rsidRPr="0054745A" w14:paraId="4336309F"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F20CAF" w14:textId="77777777" w:rsidR="00744965" w:rsidRPr="0054745A" w:rsidRDefault="00744965" w:rsidP="00F842C8">
            <w:pPr>
              <w:rPr>
                <w:color w:val="auto"/>
                <w:szCs w:val="22"/>
              </w:rPr>
            </w:pPr>
            <w:r w:rsidRPr="0054745A">
              <w:rPr>
                <w:color w:val="auto"/>
                <w:szCs w:val="22"/>
              </w:rPr>
              <w:t>ARTG</w:t>
            </w:r>
          </w:p>
        </w:tc>
        <w:tc>
          <w:tcPr>
            <w:tcW w:w="3800" w:type="pct"/>
          </w:tcPr>
          <w:p w14:paraId="42DD69F2"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Australian Register of Therapeutic Goods</w:t>
            </w:r>
          </w:p>
        </w:tc>
      </w:tr>
      <w:tr w:rsidR="00744965" w:rsidRPr="0054745A" w14:paraId="7D52804C"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F41716" w14:textId="77777777" w:rsidR="00744965" w:rsidRPr="0054745A" w:rsidRDefault="00744965" w:rsidP="00F842C8">
            <w:pPr>
              <w:rPr>
                <w:color w:val="auto"/>
                <w:szCs w:val="22"/>
              </w:rPr>
            </w:pPr>
            <w:r w:rsidRPr="0054745A">
              <w:rPr>
                <w:color w:val="auto"/>
                <w:szCs w:val="22"/>
              </w:rPr>
              <w:t>ASA</w:t>
            </w:r>
          </w:p>
        </w:tc>
        <w:tc>
          <w:tcPr>
            <w:tcW w:w="3800" w:type="pct"/>
          </w:tcPr>
          <w:p w14:paraId="7F2659DD"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Australia</w:t>
            </w:r>
            <w:r w:rsidRPr="0054745A">
              <w:rPr>
                <w:color w:val="auto"/>
                <w:szCs w:val="22"/>
              </w:rPr>
              <w:noBreakHyphen/>
              <w:t>specific annex</w:t>
            </w:r>
          </w:p>
        </w:tc>
      </w:tr>
      <w:tr w:rsidR="00744965" w:rsidRPr="0054745A" w14:paraId="4F936B5E"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10DE1E" w14:textId="77777777" w:rsidR="00744965" w:rsidRPr="0054745A" w:rsidRDefault="00744965" w:rsidP="00F842C8">
            <w:pPr>
              <w:rPr>
                <w:color w:val="auto"/>
                <w:szCs w:val="22"/>
              </w:rPr>
            </w:pPr>
            <w:r w:rsidRPr="0054745A">
              <w:rPr>
                <w:color w:val="auto"/>
                <w:szCs w:val="22"/>
              </w:rPr>
              <w:t>AUC</w:t>
            </w:r>
            <w:r w:rsidRPr="0054745A">
              <w:rPr>
                <w:color w:val="auto"/>
                <w:szCs w:val="22"/>
                <w:vertAlign w:val="subscript"/>
              </w:rPr>
              <w:t>inf</w:t>
            </w:r>
          </w:p>
        </w:tc>
        <w:tc>
          <w:tcPr>
            <w:tcW w:w="3800" w:type="pct"/>
          </w:tcPr>
          <w:p w14:paraId="5F25FE23"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Area under the curve from time 0 extrapolated to infinite time</w:t>
            </w:r>
          </w:p>
        </w:tc>
      </w:tr>
      <w:tr w:rsidR="00744965" w:rsidRPr="0054745A" w14:paraId="50F0970C"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8AC924" w14:textId="77777777" w:rsidR="00744965" w:rsidRPr="0054745A" w:rsidRDefault="00744965" w:rsidP="00F842C8">
            <w:pPr>
              <w:rPr>
                <w:color w:val="auto"/>
                <w:szCs w:val="22"/>
              </w:rPr>
            </w:pPr>
            <w:r w:rsidRPr="0054745A">
              <w:rPr>
                <w:color w:val="auto"/>
                <w:szCs w:val="22"/>
              </w:rPr>
              <w:t>AUC</w:t>
            </w:r>
            <w:r w:rsidRPr="0054745A">
              <w:rPr>
                <w:color w:val="auto"/>
                <w:szCs w:val="22"/>
                <w:vertAlign w:val="subscript"/>
              </w:rPr>
              <w:t>inf, u</w:t>
            </w:r>
          </w:p>
        </w:tc>
        <w:tc>
          <w:tcPr>
            <w:tcW w:w="3800" w:type="pct"/>
          </w:tcPr>
          <w:p w14:paraId="18535BAC"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Area under the curve from time 0 extrapolated to infinite time for unbound drug</w:t>
            </w:r>
          </w:p>
        </w:tc>
      </w:tr>
      <w:tr w:rsidR="00744965" w:rsidRPr="0054745A" w14:paraId="2CACFE87"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DF7EBA" w14:textId="77777777" w:rsidR="00744965" w:rsidRPr="0054745A" w:rsidRDefault="00744965" w:rsidP="00F842C8">
            <w:pPr>
              <w:rPr>
                <w:color w:val="auto"/>
                <w:szCs w:val="22"/>
              </w:rPr>
            </w:pPr>
            <w:proofErr w:type="spellStart"/>
            <w:r w:rsidRPr="0054745A">
              <w:rPr>
                <w:color w:val="auto"/>
                <w:szCs w:val="22"/>
              </w:rPr>
              <w:t>C</w:t>
            </w:r>
            <w:r w:rsidRPr="0054745A">
              <w:rPr>
                <w:color w:val="auto"/>
                <w:szCs w:val="22"/>
                <w:vertAlign w:val="subscript"/>
              </w:rPr>
              <w:t>max</w:t>
            </w:r>
            <w:proofErr w:type="spellEnd"/>
          </w:p>
        </w:tc>
        <w:tc>
          <w:tcPr>
            <w:tcW w:w="3800" w:type="pct"/>
          </w:tcPr>
          <w:p w14:paraId="710D7777"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The maximum concentration that a drug attains in a specified compartment</w:t>
            </w:r>
          </w:p>
        </w:tc>
      </w:tr>
      <w:tr w:rsidR="00744965" w:rsidRPr="0054745A" w14:paraId="15A3654F"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AD42E9" w14:textId="77777777" w:rsidR="00744965" w:rsidRPr="0054745A" w:rsidRDefault="00744965" w:rsidP="00F842C8">
            <w:pPr>
              <w:rPr>
                <w:color w:val="auto"/>
                <w:szCs w:val="22"/>
              </w:rPr>
            </w:pPr>
            <w:r w:rsidRPr="0054745A">
              <w:rPr>
                <w:color w:val="auto"/>
                <w:szCs w:val="22"/>
              </w:rPr>
              <w:t>CMI</w:t>
            </w:r>
          </w:p>
        </w:tc>
        <w:tc>
          <w:tcPr>
            <w:tcW w:w="3800" w:type="pct"/>
          </w:tcPr>
          <w:p w14:paraId="28EC8B29"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Consumer Medicines Information</w:t>
            </w:r>
          </w:p>
        </w:tc>
      </w:tr>
      <w:tr w:rsidR="00744965" w:rsidRPr="0054745A" w14:paraId="3B5F6E2C"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725121" w14:textId="77777777" w:rsidR="00744965" w:rsidRPr="0054745A" w:rsidRDefault="00744965" w:rsidP="00F842C8">
            <w:pPr>
              <w:rPr>
                <w:color w:val="auto"/>
                <w:szCs w:val="22"/>
              </w:rPr>
            </w:pPr>
            <w:r w:rsidRPr="0054745A">
              <w:rPr>
                <w:color w:val="auto"/>
                <w:szCs w:val="22"/>
              </w:rPr>
              <w:t>EASI</w:t>
            </w:r>
          </w:p>
        </w:tc>
        <w:tc>
          <w:tcPr>
            <w:tcW w:w="3800" w:type="pct"/>
          </w:tcPr>
          <w:p w14:paraId="149F3921" w14:textId="578B79E9" w:rsidR="00744965" w:rsidRPr="0054745A" w:rsidRDefault="00744965" w:rsidP="00F842C8">
            <w:pPr>
              <w:tabs>
                <w:tab w:val="left" w:pos="4559"/>
              </w:tabs>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Eczema Area and Severity Index</w:t>
            </w:r>
          </w:p>
        </w:tc>
      </w:tr>
      <w:tr w:rsidR="00744965" w:rsidRPr="0054745A" w14:paraId="05325D41"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1256E3" w14:textId="77777777" w:rsidR="00744965" w:rsidRPr="0054745A" w:rsidRDefault="00744965" w:rsidP="00F842C8">
            <w:pPr>
              <w:rPr>
                <w:color w:val="auto"/>
                <w:szCs w:val="22"/>
              </w:rPr>
            </w:pPr>
            <w:r w:rsidRPr="0054745A">
              <w:rPr>
                <w:color w:val="auto"/>
                <w:szCs w:val="22"/>
              </w:rPr>
              <w:t>HR</w:t>
            </w:r>
          </w:p>
        </w:tc>
        <w:tc>
          <w:tcPr>
            <w:tcW w:w="3800" w:type="pct"/>
          </w:tcPr>
          <w:p w14:paraId="759C388D" w14:textId="77777777" w:rsidR="00744965" w:rsidRPr="0054745A" w:rsidRDefault="00744965" w:rsidP="00F842C8">
            <w:pPr>
              <w:tabs>
                <w:tab w:val="left" w:pos="4559"/>
              </w:tabs>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Hazard ratio</w:t>
            </w:r>
          </w:p>
        </w:tc>
      </w:tr>
      <w:tr w:rsidR="00744965" w:rsidRPr="0054745A" w14:paraId="260E6088"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304CF8" w14:textId="77777777" w:rsidR="00744965" w:rsidRPr="0054745A" w:rsidRDefault="00744965" w:rsidP="00F842C8">
            <w:pPr>
              <w:rPr>
                <w:color w:val="auto"/>
                <w:szCs w:val="22"/>
              </w:rPr>
            </w:pPr>
            <w:r w:rsidRPr="0054745A">
              <w:rPr>
                <w:color w:val="auto"/>
                <w:szCs w:val="22"/>
              </w:rPr>
              <w:t>IGA</w:t>
            </w:r>
          </w:p>
        </w:tc>
        <w:tc>
          <w:tcPr>
            <w:tcW w:w="3800" w:type="pct"/>
          </w:tcPr>
          <w:p w14:paraId="7005B56F" w14:textId="1CD0CD1E" w:rsidR="00744965" w:rsidRPr="0054745A" w:rsidRDefault="00744965" w:rsidP="00F842C8">
            <w:pPr>
              <w:tabs>
                <w:tab w:val="left" w:pos="4435"/>
              </w:tabs>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Investigator Global Assessment</w:t>
            </w:r>
          </w:p>
        </w:tc>
      </w:tr>
      <w:tr w:rsidR="00744965" w:rsidRPr="0054745A" w14:paraId="18D58705"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9A08F7" w14:textId="77777777" w:rsidR="00744965" w:rsidRPr="0054745A" w:rsidRDefault="00744965" w:rsidP="00F842C8">
            <w:pPr>
              <w:rPr>
                <w:color w:val="auto"/>
                <w:szCs w:val="22"/>
              </w:rPr>
            </w:pPr>
            <w:r w:rsidRPr="0054745A">
              <w:rPr>
                <w:color w:val="auto"/>
                <w:szCs w:val="22"/>
              </w:rPr>
              <w:t>IR</w:t>
            </w:r>
          </w:p>
        </w:tc>
        <w:tc>
          <w:tcPr>
            <w:tcW w:w="3800" w:type="pct"/>
          </w:tcPr>
          <w:p w14:paraId="0056B11E" w14:textId="77777777" w:rsidR="00744965" w:rsidRPr="0054745A" w:rsidRDefault="00744965" w:rsidP="00F842C8">
            <w:pPr>
              <w:tabs>
                <w:tab w:val="left" w:pos="4435"/>
              </w:tabs>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Incidence ratio</w:t>
            </w:r>
          </w:p>
        </w:tc>
      </w:tr>
      <w:tr w:rsidR="00744965" w:rsidRPr="0054745A" w14:paraId="6C8ADC60"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A98A5B" w14:textId="77777777" w:rsidR="00744965" w:rsidRPr="0054745A" w:rsidRDefault="00744965" w:rsidP="00F842C8">
            <w:pPr>
              <w:rPr>
                <w:color w:val="auto"/>
                <w:szCs w:val="22"/>
              </w:rPr>
            </w:pPr>
            <w:r w:rsidRPr="0054745A">
              <w:rPr>
                <w:color w:val="auto"/>
                <w:szCs w:val="22"/>
              </w:rPr>
              <w:t>MACE</w:t>
            </w:r>
          </w:p>
        </w:tc>
        <w:tc>
          <w:tcPr>
            <w:tcW w:w="3800" w:type="pct"/>
          </w:tcPr>
          <w:p w14:paraId="4D2DAE77"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Major adverse cardiovascular event</w:t>
            </w:r>
          </w:p>
        </w:tc>
      </w:tr>
      <w:tr w:rsidR="00744965" w:rsidRPr="0054745A" w14:paraId="1F212D2D"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354437" w14:textId="77777777" w:rsidR="00744965" w:rsidRPr="0054745A" w:rsidRDefault="00744965" w:rsidP="00F842C8">
            <w:pPr>
              <w:rPr>
                <w:szCs w:val="22"/>
              </w:rPr>
            </w:pPr>
            <w:r w:rsidRPr="00EA3B0D">
              <w:rPr>
                <w:szCs w:val="22"/>
              </w:rPr>
              <w:t>NMSC</w:t>
            </w:r>
          </w:p>
        </w:tc>
        <w:tc>
          <w:tcPr>
            <w:tcW w:w="3800" w:type="pct"/>
          </w:tcPr>
          <w:p w14:paraId="6486B6D6"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EA3B0D">
              <w:rPr>
                <w:szCs w:val="22"/>
              </w:rPr>
              <w:t>on-melanoma skin cancer</w:t>
            </w:r>
          </w:p>
        </w:tc>
      </w:tr>
      <w:tr w:rsidR="00744965" w:rsidRPr="0054745A" w14:paraId="41B6A3D3"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CECD5F" w14:textId="77777777" w:rsidR="00744965" w:rsidRPr="0054745A" w:rsidRDefault="00744965" w:rsidP="00F842C8">
            <w:pPr>
              <w:rPr>
                <w:color w:val="auto"/>
                <w:szCs w:val="22"/>
              </w:rPr>
            </w:pPr>
            <w:r w:rsidRPr="0054745A">
              <w:rPr>
                <w:color w:val="auto"/>
                <w:szCs w:val="22"/>
              </w:rPr>
              <w:t>PE</w:t>
            </w:r>
          </w:p>
        </w:tc>
        <w:tc>
          <w:tcPr>
            <w:tcW w:w="3800" w:type="pct"/>
          </w:tcPr>
          <w:p w14:paraId="56A98DED"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Pulmonary embolism</w:t>
            </w:r>
          </w:p>
        </w:tc>
      </w:tr>
      <w:tr w:rsidR="00744965" w:rsidRPr="0054745A" w14:paraId="23BF912A"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B7B09E" w14:textId="77777777" w:rsidR="00744965" w:rsidRPr="0054745A" w:rsidRDefault="00744965" w:rsidP="00F842C8">
            <w:pPr>
              <w:rPr>
                <w:color w:val="auto"/>
                <w:szCs w:val="22"/>
              </w:rPr>
            </w:pPr>
            <w:r w:rsidRPr="0054745A">
              <w:rPr>
                <w:color w:val="auto"/>
                <w:szCs w:val="22"/>
              </w:rPr>
              <w:t>PI</w:t>
            </w:r>
          </w:p>
        </w:tc>
        <w:tc>
          <w:tcPr>
            <w:tcW w:w="3800" w:type="pct"/>
          </w:tcPr>
          <w:p w14:paraId="1FFF6482"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Product Information</w:t>
            </w:r>
          </w:p>
        </w:tc>
      </w:tr>
      <w:tr w:rsidR="00744965" w:rsidRPr="0054745A" w14:paraId="4DEBE040"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30CC1B" w14:textId="77777777" w:rsidR="00744965" w:rsidRPr="0054745A" w:rsidRDefault="00744965" w:rsidP="00F842C8">
            <w:pPr>
              <w:rPr>
                <w:color w:val="auto"/>
                <w:szCs w:val="22"/>
              </w:rPr>
            </w:pPr>
            <w:r w:rsidRPr="0054745A">
              <w:rPr>
                <w:color w:val="auto"/>
                <w:szCs w:val="22"/>
              </w:rPr>
              <w:t>Pop-PK</w:t>
            </w:r>
          </w:p>
        </w:tc>
        <w:tc>
          <w:tcPr>
            <w:tcW w:w="3800" w:type="pct"/>
          </w:tcPr>
          <w:p w14:paraId="7612E519"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Population pharmacokinetics</w:t>
            </w:r>
          </w:p>
        </w:tc>
      </w:tr>
      <w:tr w:rsidR="00744965" w:rsidRPr="0054745A" w14:paraId="54285386"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06CDF1" w14:textId="77777777" w:rsidR="00744965" w:rsidRPr="0054745A" w:rsidRDefault="00744965" w:rsidP="00F842C8">
            <w:pPr>
              <w:rPr>
                <w:color w:val="auto"/>
                <w:szCs w:val="22"/>
              </w:rPr>
            </w:pPr>
            <w:r w:rsidRPr="0054745A">
              <w:rPr>
                <w:color w:val="auto"/>
                <w:szCs w:val="22"/>
              </w:rPr>
              <w:t>PP-NRS</w:t>
            </w:r>
          </w:p>
        </w:tc>
        <w:tc>
          <w:tcPr>
            <w:tcW w:w="3800" w:type="pct"/>
          </w:tcPr>
          <w:p w14:paraId="39177676"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 xml:space="preserve">Peak Pruritus Numerical Rating Scale </w:t>
            </w:r>
          </w:p>
        </w:tc>
      </w:tr>
      <w:tr w:rsidR="00744965" w:rsidRPr="0054745A" w14:paraId="6213713A"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192089" w14:textId="77777777" w:rsidR="00744965" w:rsidRPr="0054745A" w:rsidRDefault="00744965" w:rsidP="00F842C8">
            <w:pPr>
              <w:rPr>
                <w:color w:val="auto"/>
                <w:szCs w:val="22"/>
              </w:rPr>
            </w:pPr>
            <w:r w:rsidRPr="0054745A">
              <w:rPr>
                <w:color w:val="auto"/>
                <w:szCs w:val="22"/>
              </w:rPr>
              <w:t>PSAAD</w:t>
            </w:r>
          </w:p>
        </w:tc>
        <w:tc>
          <w:tcPr>
            <w:tcW w:w="3800" w:type="pct"/>
          </w:tcPr>
          <w:p w14:paraId="2101EDFB"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Pruritus and Symptoms Assessment for Atopic Dermatitis</w:t>
            </w:r>
          </w:p>
        </w:tc>
      </w:tr>
      <w:tr w:rsidR="00744965" w:rsidRPr="0054745A" w14:paraId="3A80F862"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EB9D02" w14:textId="77777777" w:rsidR="00744965" w:rsidRPr="0054745A" w:rsidRDefault="00744965" w:rsidP="00F842C8">
            <w:pPr>
              <w:rPr>
                <w:color w:val="auto"/>
                <w:szCs w:val="22"/>
              </w:rPr>
            </w:pPr>
            <w:r w:rsidRPr="0054745A">
              <w:rPr>
                <w:color w:val="auto"/>
                <w:szCs w:val="22"/>
              </w:rPr>
              <w:t>PSUR</w:t>
            </w:r>
          </w:p>
        </w:tc>
        <w:tc>
          <w:tcPr>
            <w:tcW w:w="3800" w:type="pct"/>
          </w:tcPr>
          <w:p w14:paraId="4FF30E86"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Periodic safety update report</w:t>
            </w:r>
          </w:p>
        </w:tc>
      </w:tr>
      <w:tr w:rsidR="00744965" w:rsidRPr="0054745A" w14:paraId="258E795A"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C588F1" w14:textId="77777777" w:rsidR="00744965" w:rsidRPr="0054745A" w:rsidRDefault="00744965" w:rsidP="00F842C8">
            <w:pPr>
              <w:rPr>
                <w:color w:val="auto"/>
                <w:szCs w:val="22"/>
              </w:rPr>
            </w:pPr>
            <w:r w:rsidRPr="0054745A">
              <w:rPr>
                <w:color w:val="auto"/>
                <w:szCs w:val="22"/>
              </w:rPr>
              <w:t>Q.D.</w:t>
            </w:r>
          </w:p>
        </w:tc>
        <w:tc>
          <w:tcPr>
            <w:tcW w:w="3800" w:type="pct"/>
          </w:tcPr>
          <w:p w14:paraId="35234803"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Once daily dosing</w:t>
            </w:r>
          </w:p>
        </w:tc>
      </w:tr>
      <w:tr w:rsidR="00744965" w:rsidRPr="0054745A" w14:paraId="47486E64"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D24401" w14:textId="77777777" w:rsidR="00744965" w:rsidRPr="0054745A" w:rsidRDefault="00744965" w:rsidP="00F842C8">
            <w:pPr>
              <w:rPr>
                <w:color w:val="auto"/>
                <w:szCs w:val="22"/>
              </w:rPr>
            </w:pPr>
            <w:r w:rsidRPr="0054745A">
              <w:rPr>
                <w:color w:val="auto"/>
                <w:szCs w:val="22"/>
              </w:rPr>
              <w:t>RMP</w:t>
            </w:r>
          </w:p>
        </w:tc>
        <w:tc>
          <w:tcPr>
            <w:tcW w:w="3800" w:type="pct"/>
          </w:tcPr>
          <w:p w14:paraId="4E87B570"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Risk management plan</w:t>
            </w:r>
          </w:p>
        </w:tc>
      </w:tr>
      <w:tr w:rsidR="00744965" w:rsidRPr="0054745A" w14:paraId="02D712A4"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BFD0F6" w14:textId="77777777" w:rsidR="00744965" w:rsidRPr="0054745A" w:rsidRDefault="00744965" w:rsidP="00F842C8">
            <w:pPr>
              <w:rPr>
                <w:color w:val="auto"/>
                <w:szCs w:val="22"/>
              </w:rPr>
            </w:pPr>
            <w:r w:rsidRPr="0054745A">
              <w:rPr>
                <w:color w:val="auto"/>
                <w:szCs w:val="22"/>
              </w:rPr>
              <w:t>SAE</w:t>
            </w:r>
          </w:p>
        </w:tc>
        <w:tc>
          <w:tcPr>
            <w:tcW w:w="3800" w:type="pct"/>
          </w:tcPr>
          <w:p w14:paraId="19C05705"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Serious adverse events</w:t>
            </w:r>
          </w:p>
        </w:tc>
      </w:tr>
      <w:tr w:rsidR="00744965" w:rsidRPr="0054745A" w14:paraId="72A65DD3"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F2DD6C" w14:textId="77777777" w:rsidR="00744965" w:rsidRPr="0054745A" w:rsidRDefault="00744965" w:rsidP="00F842C8">
            <w:pPr>
              <w:rPr>
                <w:color w:val="auto"/>
                <w:szCs w:val="22"/>
              </w:rPr>
            </w:pPr>
            <w:r w:rsidRPr="0054745A">
              <w:rPr>
                <w:color w:val="auto"/>
                <w:szCs w:val="22"/>
              </w:rPr>
              <w:t>TEAE</w:t>
            </w:r>
          </w:p>
        </w:tc>
        <w:tc>
          <w:tcPr>
            <w:tcW w:w="3800" w:type="pct"/>
          </w:tcPr>
          <w:p w14:paraId="7325226B"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Treatment-emergent Adverse Events</w:t>
            </w:r>
          </w:p>
        </w:tc>
      </w:tr>
      <w:tr w:rsidR="00744965" w:rsidRPr="0054745A" w14:paraId="24E85E9E"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6A6AB3" w14:textId="77777777" w:rsidR="00744965" w:rsidRPr="0054745A" w:rsidRDefault="00744965" w:rsidP="00F842C8">
            <w:pPr>
              <w:rPr>
                <w:color w:val="auto"/>
                <w:szCs w:val="22"/>
              </w:rPr>
            </w:pPr>
            <w:r w:rsidRPr="0054745A">
              <w:rPr>
                <w:color w:val="auto"/>
                <w:szCs w:val="22"/>
              </w:rPr>
              <w:t>TGA</w:t>
            </w:r>
          </w:p>
        </w:tc>
        <w:tc>
          <w:tcPr>
            <w:tcW w:w="3800" w:type="pct"/>
          </w:tcPr>
          <w:p w14:paraId="548C4964"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Therapeutic Goods Administration</w:t>
            </w:r>
          </w:p>
        </w:tc>
      </w:tr>
      <w:tr w:rsidR="00744965" w:rsidRPr="0054745A" w14:paraId="561804C4"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828C59" w14:textId="77777777" w:rsidR="00744965" w:rsidRPr="0054745A" w:rsidRDefault="00744965" w:rsidP="00F842C8">
            <w:pPr>
              <w:rPr>
                <w:color w:val="auto"/>
                <w:szCs w:val="22"/>
              </w:rPr>
            </w:pPr>
            <w:proofErr w:type="spellStart"/>
            <w:r w:rsidRPr="0054745A">
              <w:rPr>
                <w:color w:val="auto"/>
                <w:szCs w:val="22"/>
              </w:rPr>
              <w:t>T</w:t>
            </w:r>
            <w:r w:rsidRPr="0054745A">
              <w:rPr>
                <w:color w:val="auto"/>
                <w:szCs w:val="22"/>
                <w:vertAlign w:val="subscript"/>
              </w:rPr>
              <w:t>max</w:t>
            </w:r>
            <w:proofErr w:type="spellEnd"/>
          </w:p>
        </w:tc>
        <w:tc>
          <w:tcPr>
            <w:tcW w:w="3800" w:type="pct"/>
          </w:tcPr>
          <w:p w14:paraId="084EE79C"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Time to maximum concentration</w:t>
            </w:r>
          </w:p>
        </w:tc>
      </w:tr>
      <w:tr w:rsidR="00744965" w:rsidRPr="0054745A" w14:paraId="6EE254B3"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7BC847" w14:textId="77777777" w:rsidR="00744965" w:rsidRPr="0054745A" w:rsidRDefault="00744965" w:rsidP="00F842C8">
            <w:pPr>
              <w:rPr>
                <w:color w:val="auto"/>
                <w:szCs w:val="22"/>
              </w:rPr>
            </w:pPr>
            <w:r w:rsidRPr="0054745A">
              <w:rPr>
                <w:color w:val="auto"/>
                <w:szCs w:val="22"/>
              </w:rPr>
              <w:t>ULN</w:t>
            </w:r>
          </w:p>
        </w:tc>
        <w:tc>
          <w:tcPr>
            <w:tcW w:w="3800" w:type="pct"/>
          </w:tcPr>
          <w:p w14:paraId="11BF31B3" w14:textId="77777777" w:rsidR="00744965" w:rsidRPr="0054745A" w:rsidRDefault="00744965" w:rsidP="00F842C8">
            <w:pPr>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Upper limit of normal</w:t>
            </w:r>
          </w:p>
        </w:tc>
      </w:tr>
      <w:tr w:rsidR="00744965" w:rsidRPr="0054745A" w14:paraId="65F3682E" w14:textId="77777777" w:rsidTr="00F842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D84B76" w14:textId="77777777" w:rsidR="00744965" w:rsidRPr="0054745A" w:rsidRDefault="00744965" w:rsidP="00F842C8">
            <w:pPr>
              <w:rPr>
                <w:color w:val="auto"/>
                <w:szCs w:val="22"/>
              </w:rPr>
            </w:pPr>
            <w:r w:rsidRPr="0054745A">
              <w:rPr>
                <w:color w:val="auto"/>
                <w:szCs w:val="22"/>
              </w:rPr>
              <w:t>VTE</w:t>
            </w:r>
          </w:p>
        </w:tc>
        <w:tc>
          <w:tcPr>
            <w:tcW w:w="3800" w:type="pct"/>
          </w:tcPr>
          <w:p w14:paraId="33D3F88F" w14:textId="3A3B1A96" w:rsidR="00744965" w:rsidRPr="0054745A" w:rsidRDefault="00744965" w:rsidP="00F842C8">
            <w:pPr>
              <w:ind w:left="0"/>
              <w:cnfStyle w:val="000000000000" w:firstRow="0" w:lastRow="0" w:firstColumn="0" w:lastColumn="0" w:oddVBand="0" w:evenVBand="0" w:oddHBand="0" w:evenHBand="0" w:firstRowFirstColumn="0" w:firstRowLastColumn="0" w:lastRowFirstColumn="0" w:lastRowLastColumn="0"/>
              <w:rPr>
                <w:color w:val="auto"/>
                <w:szCs w:val="22"/>
              </w:rPr>
            </w:pPr>
            <w:r w:rsidRPr="0054745A">
              <w:rPr>
                <w:color w:val="auto"/>
                <w:szCs w:val="22"/>
              </w:rPr>
              <w:t>Venous thromboembolism</w:t>
            </w:r>
          </w:p>
        </w:tc>
      </w:tr>
    </w:tbl>
    <w:p w14:paraId="7378F926" w14:textId="77777777" w:rsidR="00324B33" w:rsidRDefault="00324B33" w:rsidP="00324B33"/>
    <w:p w14:paraId="02FB1F38" w14:textId="77777777" w:rsidR="00324B33" w:rsidRPr="00FD119B" w:rsidRDefault="00324B33" w:rsidP="00484F4E">
      <w:r w:rsidRPr="00FD119B">
        <w:br w:type="page"/>
      </w:r>
    </w:p>
    <w:p w14:paraId="50C9A0F8" w14:textId="7EF22C89" w:rsidR="00744965" w:rsidRPr="00744965" w:rsidRDefault="00FB3459" w:rsidP="001B624F">
      <w:pPr>
        <w:pStyle w:val="Heading2"/>
      </w:pPr>
      <w:bookmarkStart w:id="8" w:name="_Toc173925420"/>
      <w:bookmarkStart w:id="9" w:name="_Toc103679303"/>
      <w:r>
        <w:lastRenderedPageBreak/>
        <w:t>B</w:t>
      </w:r>
      <w:r w:rsidR="00744965" w:rsidRPr="00484F4E">
        <w:t>ackground</w:t>
      </w:r>
      <w:r w:rsidR="00744965" w:rsidRPr="00744965">
        <w:t xml:space="preserve"> </w:t>
      </w:r>
      <w:r w:rsidR="000D2AA9">
        <w:t>and</w:t>
      </w:r>
      <w:r w:rsidR="00744965" w:rsidRPr="00744965">
        <w:t xml:space="preserve"> </w:t>
      </w:r>
      <w:r w:rsidR="00744965" w:rsidRPr="001B624F">
        <w:t>proposed</w:t>
      </w:r>
      <w:r w:rsidR="00744965" w:rsidRPr="00744965">
        <w:t xml:space="preserve"> indications</w:t>
      </w:r>
      <w:bookmarkEnd w:id="8"/>
    </w:p>
    <w:p w14:paraId="62312594" w14:textId="57A02F5B" w:rsidR="00744965" w:rsidRPr="00744965" w:rsidRDefault="00744965" w:rsidP="001B624F">
      <w:proofErr w:type="spellStart"/>
      <w:r w:rsidRPr="00744965">
        <w:t>Cibinqo</w:t>
      </w:r>
      <w:proofErr w:type="spellEnd"/>
      <w:r w:rsidRPr="00744965">
        <w:t xml:space="preserve"> (</w:t>
      </w:r>
      <w:proofErr w:type="spellStart"/>
      <w:r w:rsidRPr="00744965">
        <w:t>abrocitinib</w:t>
      </w:r>
      <w:proofErr w:type="spellEnd"/>
      <w:r w:rsidRPr="00744965">
        <w:t>) is a Janus Kinase (JAK) 1 inhibitor. There is evidence that JAK1 mediates inflammatory signals that exacerbate atopic dermatitis (AD).</w:t>
      </w:r>
    </w:p>
    <w:p w14:paraId="127B96A7" w14:textId="65B91AEB" w:rsidR="00744965" w:rsidRPr="00744965" w:rsidRDefault="00744965" w:rsidP="001B624F">
      <w:r w:rsidRPr="00744965">
        <w:t xml:space="preserve">This </w:t>
      </w:r>
      <w:proofErr w:type="spellStart"/>
      <w:r w:rsidRPr="00744965">
        <w:t>AusPAR</w:t>
      </w:r>
      <w:proofErr w:type="spellEnd"/>
      <w:r w:rsidRPr="00744965">
        <w:t xml:space="preserve"> summarises the assessment of </w:t>
      </w:r>
      <w:proofErr w:type="spellStart"/>
      <w:r w:rsidRPr="00744965">
        <w:t>Cibinqo</w:t>
      </w:r>
      <w:proofErr w:type="spellEnd"/>
      <w:r w:rsidRPr="00744965">
        <w:t xml:space="preserve"> (</w:t>
      </w:r>
      <w:proofErr w:type="spellStart"/>
      <w:r w:rsidRPr="00744965">
        <w:t>abrocitinib</w:t>
      </w:r>
      <w:proofErr w:type="spellEnd"/>
      <w:r w:rsidRPr="00744965">
        <w:t>) for the following proposed indication</w:t>
      </w:r>
      <w:r w:rsidRPr="00744965">
        <w:rPr>
          <w:vertAlign w:val="superscript"/>
        </w:rPr>
        <w:footnoteReference w:id="1"/>
      </w:r>
      <w:r w:rsidRPr="00744965">
        <w:t>:</w:t>
      </w:r>
    </w:p>
    <w:p w14:paraId="2F797D36" w14:textId="4A1E3A69" w:rsidR="00744965" w:rsidRDefault="00744965" w:rsidP="001B624F">
      <w:pPr>
        <w:ind w:left="720"/>
        <w:rPr>
          <w:i/>
          <w:iCs/>
        </w:rPr>
      </w:pPr>
      <w:proofErr w:type="spellStart"/>
      <w:r w:rsidRPr="001B624F">
        <w:rPr>
          <w:i/>
          <w:iCs/>
        </w:rPr>
        <w:t>Cibinqo</w:t>
      </w:r>
      <w:proofErr w:type="spellEnd"/>
      <w:r w:rsidRPr="001B624F">
        <w:rPr>
          <w:i/>
          <w:iCs/>
        </w:rPr>
        <w:t xml:space="preserve"> (</w:t>
      </w:r>
      <w:proofErr w:type="spellStart"/>
      <w:r w:rsidRPr="001B624F">
        <w:rPr>
          <w:i/>
          <w:iCs/>
        </w:rPr>
        <w:t>abrocitinib</w:t>
      </w:r>
      <w:proofErr w:type="spellEnd"/>
      <w:r w:rsidRPr="001B624F">
        <w:rPr>
          <w:i/>
          <w:iCs/>
        </w:rPr>
        <w:t>) is indicated for the treatment of patients 12 years and older</w:t>
      </w:r>
      <w:r w:rsidR="001B624F" w:rsidRPr="001B624F">
        <w:rPr>
          <w:i/>
          <w:iCs/>
        </w:rPr>
        <w:t xml:space="preserve"> </w:t>
      </w:r>
      <w:r w:rsidRPr="001B624F">
        <w:rPr>
          <w:i/>
          <w:iCs/>
        </w:rPr>
        <w:t>with moderate-to-severe atopic dermatitis, including the relief of pruritus, who have had</w:t>
      </w:r>
      <w:r w:rsidR="001B624F" w:rsidRPr="001B624F">
        <w:rPr>
          <w:i/>
          <w:iCs/>
        </w:rPr>
        <w:t xml:space="preserve"> </w:t>
      </w:r>
      <w:r w:rsidRPr="001B624F">
        <w:rPr>
          <w:i/>
          <w:iCs/>
        </w:rPr>
        <w:t>an inadequate response to prescribed topical therapy or for whom these treatments are not</w:t>
      </w:r>
      <w:r w:rsidR="001B624F" w:rsidRPr="001B624F">
        <w:rPr>
          <w:i/>
          <w:iCs/>
        </w:rPr>
        <w:t xml:space="preserve"> </w:t>
      </w:r>
      <w:r w:rsidRPr="001B624F">
        <w:rPr>
          <w:i/>
          <w:iCs/>
        </w:rPr>
        <w:t xml:space="preserve">advisable. </w:t>
      </w:r>
      <w:proofErr w:type="spellStart"/>
      <w:r w:rsidRPr="001B624F">
        <w:rPr>
          <w:i/>
          <w:iCs/>
        </w:rPr>
        <w:t>Cibinqo</w:t>
      </w:r>
      <w:proofErr w:type="spellEnd"/>
      <w:r w:rsidRPr="001B624F">
        <w:rPr>
          <w:i/>
          <w:iCs/>
        </w:rPr>
        <w:t xml:space="preserve"> (</w:t>
      </w:r>
      <w:proofErr w:type="spellStart"/>
      <w:r w:rsidRPr="001B624F">
        <w:rPr>
          <w:i/>
          <w:iCs/>
        </w:rPr>
        <w:t>abrocitinib</w:t>
      </w:r>
      <w:proofErr w:type="spellEnd"/>
      <w:r w:rsidRPr="001B624F">
        <w:rPr>
          <w:i/>
          <w:iCs/>
        </w:rPr>
        <w:t>) can be used with or without topical therapies.</w:t>
      </w:r>
    </w:p>
    <w:p w14:paraId="210F6F8A" w14:textId="56DF1B15" w:rsidR="001B624F" w:rsidRPr="001B624F" w:rsidRDefault="001B624F" w:rsidP="001B624F">
      <w:pPr>
        <w:pStyle w:val="Heading2"/>
      </w:pPr>
      <w:bookmarkStart w:id="10" w:name="_Toc173925421"/>
      <w:r w:rsidRPr="001B624F">
        <w:t>Registration decision</w:t>
      </w:r>
      <w:bookmarkEnd w:id="10"/>
    </w:p>
    <w:p w14:paraId="43E7BD52" w14:textId="77777777" w:rsidR="00744965" w:rsidRPr="00744965" w:rsidRDefault="00744965" w:rsidP="001B624F">
      <w:pPr>
        <w:pBdr>
          <w:top w:val="single" w:sz="12" w:space="1" w:color="auto"/>
          <w:left w:val="single" w:sz="12" w:space="4" w:color="auto"/>
          <w:bottom w:val="single" w:sz="12" w:space="1" w:color="auto"/>
          <w:right w:val="single" w:sz="12" w:space="4" w:color="auto"/>
        </w:pBdr>
      </w:pPr>
      <w:r w:rsidRPr="00744965">
        <w:t xml:space="preserve">The </w:t>
      </w:r>
      <w:r w:rsidRPr="00744965">
        <w:rPr>
          <w:b/>
          <w:bCs/>
        </w:rPr>
        <w:t>Administrative Appeals Tribunal</w:t>
      </w:r>
      <w:r w:rsidRPr="00744965">
        <w:t xml:space="preserve"> decided to </w:t>
      </w:r>
      <w:r w:rsidRPr="00744965">
        <w:rPr>
          <w:b/>
          <w:bCs/>
        </w:rPr>
        <w:t>approve</w:t>
      </w:r>
      <w:r w:rsidRPr="00744965">
        <w:t xml:space="preserve"> the registration of </w:t>
      </w:r>
      <w:proofErr w:type="spellStart"/>
      <w:r w:rsidRPr="00744965">
        <w:rPr>
          <w:b/>
          <w:bCs/>
        </w:rPr>
        <w:t>Cibinqo</w:t>
      </w:r>
      <w:proofErr w:type="spellEnd"/>
      <w:r w:rsidRPr="00744965">
        <w:rPr>
          <w:b/>
          <w:bCs/>
        </w:rPr>
        <w:t xml:space="preserve"> (</w:t>
      </w:r>
      <w:proofErr w:type="spellStart"/>
      <w:r w:rsidRPr="00744965">
        <w:rPr>
          <w:b/>
          <w:bCs/>
        </w:rPr>
        <w:t>abrocitinib</w:t>
      </w:r>
      <w:proofErr w:type="spellEnd"/>
      <w:r w:rsidRPr="00744965">
        <w:rPr>
          <w:b/>
          <w:bCs/>
        </w:rPr>
        <w:t xml:space="preserve">) </w:t>
      </w:r>
      <w:r w:rsidRPr="00744965">
        <w:t>on the ARTG for the following indication:</w:t>
      </w:r>
    </w:p>
    <w:p w14:paraId="2C56C549" w14:textId="77777777" w:rsidR="00744965" w:rsidRPr="001B624F" w:rsidRDefault="00744965" w:rsidP="001B624F">
      <w:pPr>
        <w:pBdr>
          <w:top w:val="single" w:sz="12" w:space="1" w:color="auto"/>
          <w:left w:val="single" w:sz="12" w:space="4" w:color="auto"/>
          <w:bottom w:val="single" w:sz="12" w:space="1" w:color="auto"/>
          <w:right w:val="single" w:sz="12" w:space="4" w:color="auto"/>
        </w:pBdr>
        <w:rPr>
          <w:i/>
          <w:iCs/>
        </w:rPr>
      </w:pPr>
      <w:r w:rsidRPr="001B624F">
        <w:rPr>
          <w:i/>
          <w:iCs/>
        </w:rPr>
        <w:t>“</w:t>
      </w:r>
      <w:proofErr w:type="spellStart"/>
      <w:r w:rsidRPr="001B624F">
        <w:rPr>
          <w:i/>
          <w:iCs/>
        </w:rPr>
        <w:t>Cibinqo</w:t>
      </w:r>
      <w:proofErr w:type="spellEnd"/>
      <w:r w:rsidRPr="001B624F">
        <w:rPr>
          <w:i/>
          <w:iCs/>
        </w:rPr>
        <w:t xml:space="preserve"> is indicated for the treatment of moderate-to-severe atopic dermatitis in adults who are candidates for systemic therapy. </w:t>
      </w:r>
      <w:proofErr w:type="spellStart"/>
      <w:r w:rsidRPr="001B624F">
        <w:rPr>
          <w:i/>
          <w:iCs/>
        </w:rPr>
        <w:t>Cibinqo</w:t>
      </w:r>
      <w:proofErr w:type="spellEnd"/>
      <w:r w:rsidRPr="001B624F">
        <w:rPr>
          <w:i/>
          <w:iCs/>
        </w:rPr>
        <w:t xml:space="preserve"> can be used with or without medicated topical therapies for atopic dermatitis.”</w:t>
      </w:r>
    </w:p>
    <w:p w14:paraId="17DB5AD6" w14:textId="77777777" w:rsidR="00744965" w:rsidRPr="00744965" w:rsidRDefault="00744965" w:rsidP="001B624F">
      <w:pPr>
        <w:pStyle w:val="Heading3"/>
      </w:pPr>
      <w:bookmarkStart w:id="11" w:name="_Toc172967090"/>
      <w:bookmarkStart w:id="12" w:name="_Toc173925422"/>
      <w:r w:rsidRPr="00744965">
        <w:t xml:space="preserve">Atopic </w:t>
      </w:r>
      <w:r w:rsidRPr="001B624F">
        <w:t>dermatitis</w:t>
      </w:r>
      <w:bookmarkEnd w:id="11"/>
      <w:bookmarkEnd w:id="12"/>
    </w:p>
    <w:p w14:paraId="55388AFF" w14:textId="169A20BE" w:rsidR="00744965" w:rsidRPr="00744965" w:rsidRDefault="00744965" w:rsidP="001B624F">
      <w:bookmarkStart w:id="13" w:name="_Hlk165457748"/>
      <w:r w:rsidRPr="00744965">
        <w:t xml:space="preserve">Atopic dermatitis (AD), </w:t>
      </w:r>
      <w:bookmarkEnd w:id="13"/>
      <w:r w:rsidRPr="00744965">
        <w:t>also called eczema, is a chronic, relapsing, pruritic, inflammatory skin disease that occurs more frequently in children than adults</w:t>
      </w:r>
      <w:r w:rsidRPr="00744965">
        <w:rPr>
          <w:iCs/>
          <w:vertAlign w:val="superscript"/>
        </w:rPr>
        <w:footnoteReference w:id="2"/>
      </w:r>
      <w:r w:rsidRPr="00744965">
        <w:t xml:space="preserve">. The diagnosis of AD is made clinically and is based on history, </w:t>
      </w:r>
      <w:proofErr w:type="gramStart"/>
      <w:r w:rsidRPr="00744965">
        <w:t>morphology</w:t>
      </w:r>
      <w:proofErr w:type="gramEnd"/>
      <w:r w:rsidRPr="00744965">
        <w:t xml:space="preserve"> and distribution of skin lesions, and associated clinical signs and symptoms. Because of the broad differential diagnosis, it is important to exclude other conditions when diagnosing AD, such as other forms of eczema, psoriasis, and scabies; biopsy may be necessary in these cases. Various criteria have been developed to aid in classification. The most widely used diagnostic criteria are those developed by </w:t>
      </w:r>
      <w:proofErr w:type="spellStart"/>
      <w:r w:rsidRPr="00744965">
        <w:t>Hanifin</w:t>
      </w:r>
      <w:proofErr w:type="spellEnd"/>
      <w:r w:rsidRPr="00744965">
        <w:t xml:space="preserve"> and </w:t>
      </w:r>
      <w:proofErr w:type="spellStart"/>
      <w:r w:rsidRPr="00744965">
        <w:t>Rajka</w:t>
      </w:r>
      <w:proofErr w:type="spellEnd"/>
      <w:r w:rsidRPr="00744965">
        <w:t>, which require that 3 of 4 major criteria and 3 of 23 minor criteria be met (Table 1).</w:t>
      </w:r>
      <w:bookmarkStart w:id="14" w:name="_Ref164091178"/>
    </w:p>
    <w:p w14:paraId="75394EDF" w14:textId="77777777" w:rsidR="00744965" w:rsidRPr="00744965" w:rsidRDefault="00744965" w:rsidP="001B624F">
      <w:pPr>
        <w:pStyle w:val="TableTitle"/>
      </w:pPr>
      <w:r w:rsidRPr="00744965">
        <w:lastRenderedPageBreak/>
        <w:t xml:space="preserve">Table </w:t>
      </w:r>
      <w:r w:rsidRPr="00744965">
        <w:fldChar w:fldCharType="begin"/>
      </w:r>
      <w:r w:rsidRPr="00744965">
        <w:instrText xml:space="preserve"> SEQ Table \* ARABIC </w:instrText>
      </w:r>
      <w:r w:rsidRPr="00744965">
        <w:fldChar w:fldCharType="separate"/>
      </w:r>
      <w:r w:rsidRPr="00744965">
        <w:t>1</w:t>
      </w:r>
      <w:r w:rsidRPr="00744965">
        <w:fldChar w:fldCharType="end"/>
      </w:r>
      <w:bookmarkEnd w:id="14"/>
      <w:r w:rsidRPr="00744965">
        <w:t xml:space="preserve">. </w:t>
      </w:r>
      <w:proofErr w:type="spellStart"/>
      <w:r w:rsidRPr="00744965">
        <w:t>Hanifin</w:t>
      </w:r>
      <w:proofErr w:type="spellEnd"/>
      <w:r w:rsidRPr="00744965">
        <w:t xml:space="preserve"> and </w:t>
      </w:r>
      <w:proofErr w:type="spellStart"/>
      <w:r w:rsidRPr="00744965">
        <w:t>Rajka</w:t>
      </w:r>
      <w:proofErr w:type="spellEnd"/>
      <w:r w:rsidRPr="00744965">
        <w:t xml:space="preserve"> </w:t>
      </w:r>
      <w:r w:rsidRPr="001B624F">
        <w:t>Diagnostic</w:t>
      </w:r>
      <w:r w:rsidRPr="00744965">
        <w:t xml:space="preserve"> Criteria for Atopic </w:t>
      </w:r>
      <w:r w:rsidRPr="001B624F">
        <w:t>Dermatitis</w:t>
      </w:r>
      <w:r w:rsidRPr="00744965">
        <w:t xml:space="preserve"> in Adults and Children</w:t>
      </w:r>
    </w:p>
    <w:p w14:paraId="3293B2FB" w14:textId="77777777" w:rsidR="00744965" w:rsidRPr="00744965" w:rsidRDefault="00744965" w:rsidP="001B624F">
      <w:r w:rsidRPr="00744965">
        <w:rPr>
          <w:noProof/>
        </w:rPr>
        <w:drawing>
          <wp:inline distT="0" distB="0" distL="0" distR="0" wp14:anchorId="6959664C" wp14:editId="20C05E5B">
            <wp:extent cx="5730616" cy="5644055"/>
            <wp:effectExtent l="0" t="0" r="3810" b="0"/>
            <wp:docPr id="1118710178" name="Picture 1" descr="Hanifin and Rajka Diagnostic Criteria for Atopic Dermatitis in Adul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10178" name="Picture 1" descr="Hanifin and Rajka Diagnostic Criteria for Atopic Dermatitis in Adults and Children"/>
                    <pic:cNvPicPr>
                      <a:picLocks noChangeAspect="1" noChangeArrowheads="1"/>
                    </pic:cNvPicPr>
                  </pic:nvPicPr>
                  <pic:blipFill rotWithShape="1">
                    <a:blip r:embed="rId15">
                      <a:extLst>
                        <a:ext uri="{28A0092B-C50C-407E-A947-70E740481C1C}">
                          <a14:useLocalDpi xmlns:a14="http://schemas.microsoft.com/office/drawing/2010/main" val="0"/>
                        </a:ext>
                      </a:extLst>
                    </a:blip>
                    <a:srcRect l="829"/>
                    <a:stretch/>
                  </pic:blipFill>
                  <pic:spPr bwMode="auto">
                    <a:xfrm>
                      <a:off x="0" y="0"/>
                      <a:ext cx="5768136" cy="5681009"/>
                    </a:xfrm>
                    <a:prstGeom prst="rect">
                      <a:avLst/>
                    </a:prstGeom>
                    <a:noFill/>
                    <a:ln>
                      <a:noFill/>
                    </a:ln>
                    <a:extLst>
                      <a:ext uri="{53640926-AAD7-44D8-BBD7-CCE9431645EC}">
                        <a14:shadowObscured xmlns:a14="http://schemas.microsoft.com/office/drawing/2010/main"/>
                      </a:ext>
                    </a:extLst>
                  </pic:spPr>
                </pic:pic>
              </a:graphicData>
            </a:graphic>
          </wp:inline>
        </w:drawing>
      </w:r>
    </w:p>
    <w:p w14:paraId="044624B5" w14:textId="77777777" w:rsidR="00744965" w:rsidRPr="00744965" w:rsidRDefault="00744965" w:rsidP="001B624F">
      <w:r w:rsidRPr="00744965">
        <w:t>The severity of AD is usually determined based on clinician assessment, including estimation of the proportion of body surface area involved and subjective assessment of signs and symptoms. One-third of AD patients have moderate to severe disease, which manifests as an itchy skin eruption, that is often accompanied by negative impact on health-related quality of life, including increased incidence of attention deficit disorders in children, depression, suicidal ideation, sleep disturbance, consequent fatigue, work productivity, and everyday activities</w:t>
      </w:r>
      <w:r w:rsidRPr="00744965">
        <w:rPr>
          <w:vertAlign w:val="superscript"/>
        </w:rPr>
        <w:footnoteReference w:id="3"/>
      </w:r>
      <w:r w:rsidRPr="00744965">
        <w:rPr>
          <w:vertAlign w:val="superscript"/>
        </w:rPr>
        <w:t>,</w:t>
      </w:r>
      <w:r w:rsidRPr="00744965">
        <w:rPr>
          <w:vertAlign w:val="superscript"/>
        </w:rPr>
        <w:footnoteReference w:id="4"/>
      </w:r>
      <w:r w:rsidRPr="00744965">
        <w:rPr>
          <w:vertAlign w:val="superscript"/>
        </w:rPr>
        <w:t>,</w:t>
      </w:r>
      <w:r w:rsidRPr="00744965">
        <w:rPr>
          <w:vertAlign w:val="superscript"/>
        </w:rPr>
        <w:footnoteReference w:id="5"/>
      </w:r>
      <w:r w:rsidRPr="00744965">
        <w:t>. Approximately 8% – 14% of patients with moderate to severe AD are estimated to be adolescents</w:t>
      </w:r>
      <w:r w:rsidRPr="00744965">
        <w:rPr>
          <w:vertAlign w:val="superscript"/>
        </w:rPr>
        <w:footnoteReference w:id="6"/>
      </w:r>
      <w:r w:rsidRPr="00744965">
        <w:t>.</w:t>
      </w:r>
    </w:p>
    <w:p w14:paraId="11FADD0B" w14:textId="77777777" w:rsidR="00744965" w:rsidRPr="00744965" w:rsidRDefault="00744965" w:rsidP="001B624F">
      <w:r w:rsidRPr="00744965">
        <w:t xml:space="preserve">Certain age-related variations in disease presentation are characteristic of AD. Infants generally experience highly pruritic erythematous lesions on the face and scalp, whereas older children </w:t>
      </w:r>
      <w:r w:rsidRPr="00744965">
        <w:lastRenderedPageBreak/>
        <w:t>exhibit more lichenified lesions typical of chronic disease involving the extremities</w:t>
      </w:r>
      <w:r w:rsidRPr="00744965">
        <w:rPr>
          <w:vertAlign w:val="superscript"/>
        </w:rPr>
        <w:footnoteReference w:id="7"/>
      </w:r>
      <w:r w:rsidRPr="00744965">
        <w:t>. In adolescents and adults, disease typically involves flexural folds, face, neck, upper arms and back, and dorsal surfaces of the hands and feet. Generally, severe lesions are more frequent in adults than in children</w:t>
      </w:r>
      <w:r w:rsidRPr="00744965">
        <w:rPr>
          <w:vertAlign w:val="superscript"/>
        </w:rPr>
        <w:footnoteReference w:id="8"/>
      </w:r>
      <w:r w:rsidRPr="00744965">
        <w:rPr>
          <w:vertAlign w:val="superscript"/>
        </w:rPr>
        <w:t>,</w:t>
      </w:r>
      <w:r w:rsidRPr="00744965">
        <w:rPr>
          <w:vertAlign w:val="superscript"/>
        </w:rPr>
        <w:footnoteReference w:id="9"/>
      </w:r>
      <w:r w:rsidRPr="00744965">
        <w:t>.</w:t>
      </w:r>
    </w:p>
    <w:p w14:paraId="5FFEA5B1" w14:textId="77777777" w:rsidR="00744965" w:rsidRPr="00744965" w:rsidRDefault="00744965" w:rsidP="008A27AD">
      <w:r w:rsidRPr="00744965">
        <w:t>Atopic dermatitis generally begins in childhood as indicated by its higher prevalence rate among children (6% – 14%) relative to adults (3.2% – 10.2%)</w:t>
      </w:r>
      <w:r w:rsidRPr="00744965">
        <w:rPr>
          <w:vertAlign w:val="superscript"/>
        </w:rPr>
        <w:footnoteReference w:id="10"/>
      </w:r>
      <w:r w:rsidRPr="00744965">
        <w:rPr>
          <w:vertAlign w:val="superscript"/>
        </w:rPr>
        <w:t>,</w:t>
      </w:r>
      <w:r w:rsidRPr="00744965">
        <w:rPr>
          <w:vertAlign w:val="superscript"/>
        </w:rPr>
        <w:footnoteReference w:id="11"/>
      </w:r>
      <w:r w:rsidRPr="00744965">
        <w:t>. The prevalence of eczema varies widely between populations and countries and is said to have doubled or tripled in industrialised countries in recent decades</w:t>
      </w:r>
      <w:r w:rsidRPr="00744965">
        <w:rPr>
          <w:vertAlign w:val="superscript"/>
        </w:rPr>
        <w:footnoteReference w:id="12"/>
      </w:r>
      <w:r w:rsidRPr="00744965">
        <w:t xml:space="preserve">. The population prevalence of eczema in Australia was estimated to be 16% in </w:t>
      </w:r>
      <w:proofErr w:type="gramStart"/>
      <w:r w:rsidRPr="00744965">
        <w:t>4‐year olds</w:t>
      </w:r>
      <w:proofErr w:type="gramEnd"/>
      <w:r w:rsidRPr="00744965">
        <w:t xml:space="preserve"> and 20.3% in 1‐year‐olds</w:t>
      </w:r>
      <w:r w:rsidRPr="00744965">
        <w:rPr>
          <w:vertAlign w:val="superscript"/>
        </w:rPr>
        <w:footnoteReference w:id="13"/>
      </w:r>
      <w:r w:rsidRPr="00744965">
        <w:t>.</w:t>
      </w:r>
    </w:p>
    <w:p w14:paraId="47276811" w14:textId="77777777" w:rsidR="00744965" w:rsidRPr="00744965" w:rsidRDefault="00744965" w:rsidP="008A27AD">
      <w:r w:rsidRPr="00744965">
        <w:t>Activation of T lymphocytes, dendritic cells, macrophages, keratinocytes, mast cells, and eosinophils results in a release of numerous proinflammatory cytokines and chemokines. This amplification cycle sustains the inflammatory responses characteristic of AD lesions</w:t>
      </w:r>
      <w:r w:rsidRPr="00744965">
        <w:rPr>
          <w:vertAlign w:val="superscript"/>
        </w:rPr>
        <w:footnoteReference w:id="14"/>
      </w:r>
      <w:r w:rsidRPr="00744965">
        <w:t xml:space="preserve">. This influx of proinflammatory cytokines triggers release of IL-31, which is strongly associated with the non-histamine-related itch that develops in AD. The intense and unrelenting pruritus of AD </w:t>
      </w:r>
      <w:proofErr w:type="gramStart"/>
      <w:r w:rsidRPr="00744965">
        <w:t>is considered to be</w:t>
      </w:r>
      <w:proofErr w:type="gramEnd"/>
      <w:r w:rsidRPr="00744965">
        <w:t xml:space="preserve"> the most unbearable symptom of AD by many patients</w:t>
      </w:r>
      <w:r w:rsidRPr="00744965">
        <w:rPr>
          <w:vertAlign w:val="superscript"/>
        </w:rPr>
        <w:footnoteReference w:id="15"/>
      </w:r>
      <w:r w:rsidRPr="00744965">
        <w:t>, which results in extensive scratching and compromises the skin’s barrier function. The mechanical trauma and skin barrier disruption induced by the patient scratching pruritic skin therefore has the potential to introduce viral or bacterial skin infections</w:t>
      </w:r>
      <w:r w:rsidRPr="00744965">
        <w:rPr>
          <w:vertAlign w:val="superscript"/>
        </w:rPr>
        <w:footnoteReference w:id="16"/>
      </w:r>
      <w:r w:rsidRPr="00744965">
        <w:t>, which may progress to extracutaneous infections if left un- or under-treated.</w:t>
      </w:r>
    </w:p>
    <w:p w14:paraId="4DD03C2D" w14:textId="77777777" w:rsidR="00744965" w:rsidRPr="00744965" w:rsidRDefault="00744965" w:rsidP="008A27AD">
      <w:pPr>
        <w:pStyle w:val="Heading3"/>
      </w:pPr>
      <w:bookmarkStart w:id="15" w:name="_Toc172967091"/>
      <w:bookmarkStart w:id="16" w:name="_Toc173925423"/>
      <w:r w:rsidRPr="00744965">
        <w:t>Current treatment options</w:t>
      </w:r>
      <w:bookmarkEnd w:id="15"/>
      <w:bookmarkEnd w:id="16"/>
    </w:p>
    <w:p w14:paraId="48A168AF" w14:textId="77777777" w:rsidR="00744965" w:rsidRPr="00744965" w:rsidRDefault="00744965" w:rsidP="008A27AD">
      <w:r w:rsidRPr="00744965">
        <w:t xml:space="preserve">Management of AD in adults and children primarily consists of trigger avoidance, careful attention to skin care, and both pharmacologic and nonpharmacologic treatment. The goal of treatment is control of symptoms and reduction of disease flares, not cure of the disease. In </w:t>
      </w:r>
      <w:proofErr w:type="gramStart"/>
      <w:r w:rsidRPr="00744965">
        <w:t>the majority of</w:t>
      </w:r>
      <w:proofErr w:type="gramEnd"/>
      <w:r w:rsidRPr="00744965">
        <w:t xml:space="preserve"> cases, disease flares will occur despite appropriate nonpharmacologic skin care and trigger avoidance. </w:t>
      </w:r>
    </w:p>
    <w:p w14:paraId="7339CF59" w14:textId="77777777" w:rsidR="00744965" w:rsidRPr="00744965" w:rsidRDefault="00744965" w:rsidP="008A27AD">
      <w:r w:rsidRPr="00744965">
        <w:t xml:space="preserve">Treatment of AD in adolescent and adult patients depends on the extent and severity of disease. The </w:t>
      </w:r>
      <w:proofErr w:type="gramStart"/>
      <w:r w:rsidRPr="00744965">
        <w:t>most commonly used</w:t>
      </w:r>
      <w:proofErr w:type="gramEnd"/>
      <w:r w:rsidRPr="00744965">
        <w:t xml:space="preserve"> topical agents are corticosteroids, calcineurin inhibitors, and moisturisers (emollients). Pimecrolimus is the only topical calcineurin inhibitor registered in </w:t>
      </w:r>
      <w:r w:rsidRPr="00744965">
        <w:lastRenderedPageBreak/>
        <w:t>Australia for AD</w:t>
      </w:r>
      <w:r w:rsidRPr="00744965">
        <w:rPr>
          <w:vertAlign w:val="superscript"/>
        </w:rPr>
        <w:footnoteReference w:id="17"/>
      </w:r>
      <w:r w:rsidRPr="00744965">
        <w:t xml:space="preserve">. Tacrolimus is used off label in Australia for treatment of AD. </w:t>
      </w:r>
      <w:proofErr w:type="spellStart"/>
      <w:r w:rsidRPr="00744965">
        <w:t>Crisaborole</w:t>
      </w:r>
      <w:proofErr w:type="spellEnd"/>
      <w:r w:rsidRPr="00744965">
        <w:t xml:space="preserve"> 2% ointment</w:t>
      </w:r>
      <w:r w:rsidRPr="00744965">
        <w:rPr>
          <w:vertAlign w:val="superscript"/>
        </w:rPr>
        <w:footnoteReference w:id="18"/>
      </w:r>
      <w:r w:rsidRPr="00744965">
        <w:t>, a topical phosphodiesterase-4 inhibitor has been approved for the topical treatment of mild to moderate AD in patients 2 years and older.</w:t>
      </w:r>
    </w:p>
    <w:p w14:paraId="0BD47801" w14:textId="7FB5A516" w:rsidR="00744965" w:rsidRPr="00744965" w:rsidRDefault="00744965" w:rsidP="008A27AD">
      <w:r w:rsidRPr="00744965">
        <w:t xml:space="preserve">When topical therapies are insufficient for treating AD, phototherapy or systemic therapy are generally added to topical agents. While systemic corticosteroids lead to rapid clearing of AD, their side-effect </w:t>
      </w:r>
      <w:proofErr w:type="gramStart"/>
      <w:r w:rsidRPr="00744965">
        <w:t>profile</w:t>
      </w:r>
      <w:proofErr w:type="gramEnd"/>
      <w:r w:rsidRPr="00744965">
        <w:t xml:space="preserve"> and the risk of severe rebound flares after discontinuation limit their use to short-course therapy only. Their use should be restricted to bridging, rescue of flares, anticipation of a major life event or in patients with severe AD. The use of systemic corticosteroids is generally discouraged in most international and local clinical practice guidelines. Systemic immunomodulatory drugs used to treat AD include the older medications cyclosporine, methotrexate, </w:t>
      </w:r>
      <w:proofErr w:type="gramStart"/>
      <w:r w:rsidRPr="00744965">
        <w:t>azathioprine</w:t>
      </w:r>
      <w:proofErr w:type="gramEnd"/>
      <w:r w:rsidRPr="00744965">
        <w:t xml:space="preserve"> and mycophenolate which are not suitable for long-term use.  Only cyclosporine is indicated for treatment of AD. These drugs carry significant risks of immunosuppression, hepatotoxicity, nephrotoxicity, hypertension, and the risk of rebound and tachyphylaxis.</w:t>
      </w:r>
    </w:p>
    <w:p w14:paraId="710C7CC7" w14:textId="77777777" w:rsidR="00744965" w:rsidRPr="00744965" w:rsidRDefault="00744965" w:rsidP="008A27AD">
      <w:r w:rsidRPr="00744965">
        <w:t>Dupilumab, a monoclonal antibody that inhibits IL-4 and IL-13 signalling, has been approved in the US, EU, Japan, Canada, and in Australia for the treatment of moderate to severe AD in adults and paediatric patients &gt; 6 years of age. Recent Australian consensus recommendations based on the safety profiles of systemic therapies and currently available data recommended that dupilumab could be considered prior to other systemic treatment options in adults with moderate-to-severe AD who are uncontrolled with topical therapies</w:t>
      </w:r>
      <w:r w:rsidRPr="00744965">
        <w:rPr>
          <w:vertAlign w:val="superscript"/>
        </w:rPr>
        <w:footnoteReference w:id="19"/>
      </w:r>
      <w:r w:rsidRPr="00744965">
        <w:t xml:space="preserve">. Although dupilumab has shown efficacy in terms of reduction in pruritus it is also associated with risks of ocular AEs (including conjunctivitis), protracted onset of action and need for subcutaneous administration. Hence, there is a need for oral treatments which provide rapid itch relief, clearance of skin lesions and have a safety profile suitable for long-term use.  </w:t>
      </w:r>
    </w:p>
    <w:p w14:paraId="071BC3E6" w14:textId="77777777" w:rsidR="00744965" w:rsidRPr="00744965" w:rsidRDefault="00744965" w:rsidP="008A27AD">
      <w:pPr>
        <w:pStyle w:val="Heading3"/>
      </w:pPr>
      <w:bookmarkStart w:id="17" w:name="_Toc172967092"/>
      <w:bookmarkStart w:id="18" w:name="_Toc173925424"/>
      <w:r w:rsidRPr="00744965">
        <w:t xml:space="preserve">Clinical </w:t>
      </w:r>
      <w:r w:rsidRPr="008A27AD">
        <w:t>rationale</w:t>
      </w:r>
      <w:bookmarkEnd w:id="17"/>
      <w:bookmarkEnd w:id="18"/>
    </w:p>
    <w:p w14:paraId="4F370DB8" w14:textId="77777777" w:rsidR="00744965" w:rsidRPr="00744965" w:rsidRDefault="00744965" w:rsidP="008A27AD">
      <w:proofErr w:type="spellStart"/>
      <w:r w:rsidRPr="00744965">
        <w:t>Abrocitinib</w:t>
      </w:r>
      <w:proofErr w:type="spellEnd"/>
      <w:r w:rsidRPr="00744965">
        <w:t xml:space="preserve"> is orally bioavailable small molecule (Figure 1) that reversibly and selectively inhibits the enzyme Janus kinase 1 (JAK1) by blocking the ATP binding site.</w:t>
      </w:r>
    </w:p>
    <w:p w14:paraId="0E162A68" w14:textId="77777777" w:rsidR="00744965" w:rsidRPr="00744965" w:rsidRDefault="00744965" w:rsidP="008A27AD">
      <w:pPr>
        <w:pStyle w:val="FigureTitle"/>
      </w:pPr>
      <w:r w:rsidRPr="00744965">
        <w:t xml:space="preserve">Figure 1. Chemical structure of </w:t>
      </w:r>
      <w:proofErr w:type="spellStart"/>
      <w:r w:rsidRPr="00744965">
        <w:t>abrocitinib</w:t>
      </w:r>
      <w:proofErr w:type="spellEnd"/>
    </w:p>
    <w:p w14:paraId="0365941A" w14:textId="77777777" w:rsidR="00744965" w:rsidRPr="00744965" w:rsidRDefault="00744965" w:rsidP="008A27AD">
      <w:r w:rsidRPr="00744965">
        <w:rPr>
          <w:noProof/>
        </w:rPr>
        <w:drawing>
          <wp:inline distT="0" distB="0" distL="0" distR="0" wp14:anchorId="60CC262B" wp14:editId="656EA89E">
            <wp:extent cx="2465070" cy="2321560"/>
            <wp:effectExtent l="0" t="0" r="0" b="2540"/>
            <wp:docPr id="773274086" name="Picture 1" descr="Chemical structure of abroc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74086" name="Picture 1" descr="Chemical structure of abrocitini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070" cy="2321560"/>
                    </a:xfrm>
                    <a:prstGeom prst="rect">
                      <a:avLst/>
                    </a:prstGeom>
                    <a:noFill/>
                    <a:ln>
                      <a:noFill/>
                    </a:ln>
                  </pic:spPr>
                </pic:pic>
              </a:graphicData>
            </a:graphic>
          </wp:inline>
        </w:drawing>
      </w:r>
    </w:p>
    <w:p w14:paraId="6AEF6563" w14:textId="2CEC59FD" w:rsidR="00744965" w:rsidRPr="00744965" w:rsidRDefault="00744965" w:rsidP="008A27AD">
      <w:r w:rsidRPr="00744965">
        <w:lastRenderedPageBreak/>
        <w:t xml:space="preserve">The relative specificity of JAK1 inhibition by </w:t>
      </w:r>
      <w:proofErr w:type="spellStart"/>
      <w:r w:rsidRPr="00744965">
        <w:t>abrocitinib</w:t>
      </w:r>
      <w:proofErr w:type="spellEnd"/>
      <w:r w:rsidRPr="00744965">
        <w:t xml:space="preserve"> was demonstrated in </w:t>
      </w:r>
      <w:r w:rsidRPr="00744965">
        <w:rPr>
          <w:i/>
          <w:iCs/>
        </w:rPr>
        <w:t>in vitro</w:t>
      </w:r>
      <w:r w:rsidRPr="00744965">
        <w:t xml:space="preserve"> experiments. In a cell-free isolated enzyme assay, </w:t>
      </w:r>
      <w:proofErr w:type="spellStart"/>
      <w:r w:rsidRPr="00744965">
        <w:t>abrocitinib</w:t>
      </w:r>
      <w:proofErr w:type="spellEnd"/>
      <w:r w:rsidRPr="00744965">
        <w:t xml:space="preserve"> had biochemical selectivity for JAK1 over the other three JAK isoforms JAK2 (28-fold), JAK3 (&gt;340-fold) and TYK2 (43-fold). In cellular settings, where JAK kinases signal in pairs, </w:t>
      </w:r>
      <w:proofErr w:type="spellStart"/>
      <w:r w:rsidRPr="00744965">
        <w:t>abrocitinib</w:t>
      </w:r>
      <w:proofErr w:type="spellEnd"/>
      <w:r w:rsidRPr="00744965">
        <w:t xml:space="preserve"> preferentially inhibited cytokine-induced STAT phosphorylation mediated by receptors utilising JAK1 relative to receptors utilising JAK2 only or JAK2/TYK2 pairs.</w:t>
      </w:r>
    </w:p>
    <w:p w14:paraId="7D116CCA" w14:textId="77777777" w:rsidR="00744965" w:rsidRPr="00744965" w:rsidRDefault="00744965" w:rsidP="008A27AD">
      <w:r w:rsidRPr="00744965">
        <w:t xml:space="preserve">The JAK-STAT signalling pathway is the common transduction pathway for Type 1 and Type 2 cytokine receptors in response to inflammatory and proliferative signals. </w:t>
      </w:r>
      <w:r w:rsidRPr="00744965">
        <w:rPr>
          <w:iCs/>
        </w:rPr>
        <w:t xml:space="preserve">AD is driven by pro-inflammatory cytokines including IL-4, IL-13, IL- 22, TSLP, IL-31 and IFN-Υ via the JAK1 pathway </w:t>
      </w:r>
      <w:r w:rsidRPr="00744965">
        <w:rPr>
          <w:iCs/>
          <w:vertAlign w:val="superscript"/>
        </w:rPr>
        <w:footnoteReference w:id="20"/>
      </w:r>
      <w:r w:rsidRPr="00744965">
        <w:rPr>
          <w:iCs/>
          <w:vertAlign w:val="superscript"/>
        </w:rPr>
        <w:t>,</w:t>
      </w:r>
      <w:r w:rsidRPr="00744965">
        <w:rPr>
          <w:iCs/>
          <w:vertAlign w:val="superscript"/>
        </w:rPr>
        <w:footnoteReference w:id="21"/>
      </w:r>
      <w:r w:rsidRPr="00744965">
        <w:rPr>
          <w:iCs/>
          <w:vertAlign w:val="superscript"/>
        </w:rPr>
        <w:t>,</w:t>
      </w:r>
      <w:r w:rsidRPr="00744965">
        <w:rPr>
          <w:iCs/>
          <w:vertAlign w:val="superscript"/>
        </w:rPr>
        <w:footnoteReference w:id="22"/>
      </w:r>
      <w:r w:rsidRPr="00744965">
        <w:rPr>
          <w:iCs/>
        </w:rPr>
        <w:t xml:space="preserve"> and inhibiting JAK1 with </w:t>
      </w:r>
      <w:proofErr w:type="spellStart"/>
      <w:r w:rsidRPr="00744965">
        <w:rPr>
          <w:iCs/>
        </w:rPr>
        <w:t>upadacitinib</w:t>
      </w:r>
      <w:proofErr w:type="spellEnd"/>
      <w:r w:rsidRPr="00744965">
        <w:rPr>
          <w:iCs/>
        </w:rPr>
        <w:t xml:space="preserve"> reduces the </w:t>
      </w:r>
      <w:proofErr w:type="spellStart"/>
      <w:r w:rsidRPr="00744965">
        <w:rPr>
          <w:iCs/>
        </w:rPr>
        <w:t>signaling</w:t>
      </w:r>
      <w:proofErr w:type="spellEnd"/>
      <w:r w:rsidRPr="00744965">
        <w:rPr>
          <w:iCs/>
        </w:rPr>
        <w:t xml:space="preserve"> of many mediators which drive the signs and symptoms of AD.  Nonclinical data have reported the importance of the JAK/STAT pathway in inflammatory conditions like AD.</w:t>
      </w:r>
    </w:p>
    <w:p w14:paraId="20877BE5" w14:textId="77777777" w:rsidR="00744965" w:rsidRPr="00744965" w:rsidRDefault="00744965" w:rsidP="008A27AD">
      <w:pPr>
        <w:pStyle w:val="Heading2"/>
      </w:pPr>
      <w:bookmarkStart w:id="19" w:name="_Toc196046504"/>
      <w:bookmarkStart w:id="20" w:name="_Toc247691527"/>
      <w:bookmarkStart w:id="21" w:name="_Toc314842510"/>
      <w:bookmarkStart w:id="22" w:name="_Toc103679294"/>
      <w:bookmarkStart w:id="23" w:name="_Toc172967093"/>
      <w:bookmarkStart w:id="24" w:name="_Toc173925425"/>
      <w:r w:rsidRPr="00744965">
        <w:t>Evaluation overview</w:t>
      </w:r>
      <w:bookmarkEnd w:id="19"/>
      <w:bookmarkEnd w:id="20"/>
      <w:bookmarkEnd w:id="21"/>
      <w:bookmarkEnd w:id="22"/>
      <w:bookmarkEnd w:id="23"/>
      <w:bookmarkEnd w:id="24"/>
    </w:p>
    <w:p w14:paraId="08A8B312" w14:textId="32F58E98" w:rsidR="00744965" w:rsidRPr="00744965" w:rsidRDefault="00744965" w:rsidP="008A27AD">
      <w:pPr>
        <w:pStyle w:val="Heading3"/>
      </w:pPr>
      <w:bookmarkStart w:id="25" w:name="_Toc172967094"/>
      <w:bookmarkStart w:id="26" w:name="_Toc173925426"/>
      <w:r w:rsidRPr="00744965">
        <w:t xml:space="preserve">Quality </w:t>
      </w:r>
      <w:r w:rsidR="008A27AD">
        <w:t>e</w:t>
      </w:r>
      <w:r w:rsidRPr="00744965">
        <w:t xml:space="preserve">valuation </w:t>
      </w:r>
      <w:r w:rsidR="008A27AD" w:rsidRPr="008A27AD">
        <w:t>s</w:t>
      </w:r>
      <w:r w:rsidRPr="008A27AD">
        <w:t>ummary</w:t>
      </w:r>
      <w:bookmarkEnd w:id="25"/>
      <w:bookmarkEnd w:id="26"/>
    </w:p>
    <w:p w14:paraId="4AEA79D4" w14:textId="77777777" w:rsidR="00744965" w:rsidRPr="00744965" w:rsidRDefault="00744965" w:rsidP="008A27AD">
      <w:r w:rsidRPr="00744965">
        <w:t xml:space="preserve">The application and the supporting data relating to the composition, development, manufacture, quality control, stability and bioavailability of the product were assessed and checked for compliance, as applicable, with Australian legislation and requirements for new medicines and in accordance with </w:t>
      </w:r>
      <w:proofErr w:type="spellStart"/>
      <w:r w:rsidRPr="00744965">
        <w:t>pharmacopoeial</w:t>
      </w:r>
      <w:proofErr w:type="spellEnd"/>
      <w:r w:rsidRPr="00744965">
        <w:t xml:space="preserve"> standards and the technical guidelines adopted by the TGA.</w:t>
      </w:r>
    </w:p>
    <w:p w14:paraId="20508E03" w14:textId="4972854C" w:rsidR="00744965" w:rsidRPr="00744965" w:rsidRDefault="00744965" w:rsidP="008A27AD">
      <w:r w:rsidRPr="00744965">
        <w:t xml:space="preserve">The overall high quality of the active substance and drug product was demonstrated via adequate control of the starting material, control of critical steps and intermediates, process validation, extensive physicochemical characterisation, control of impurities and contaminants, batch analyses that covered multiple manufacturing campaigns, generation of robust reference materials, release and </w:t>
      </w:r>
      <w:proofErr w:type="gramStart"/>
      <w:r w:rsidRPr="00744965">
        <w:t>shelf life</w:t>
      </w:r>
      <w:proofErr w:type="gramEnd"/>
      <w:r w:rsidRPr="00744965">
        <w:t xml:space="preserve"> specifications and appropriate container closure systems.</w:t>
      </w:r>
    </w:p>
    <w:p w14:paraId="4D64D451" w14:textId="77777777" w:rsidR="00744965" w:rsidRPr="00744965" w:rsidRDefault="00744965" w:rsidP="00744965">
      <w:r w:rsidRPr="00744965">
        <w:t>The Product Information (PI) document is finalised from a quality perspective.</w:t>
      </w:r>
    </w:p>
    <w:p w14:paraId="30320F5A" w14:textId="77777777" w:rsidR="00744965" w:rsidRPr="00744965" w:rsidRDefault="00744965" w:rsidP="008A27AD">
      <w:r w:rsidRPr="00744965">
        <w:t>The product labelling has been finalised and complies with the applicable requirements of Therapeutic Goods Order 91.</w:t>
      </w:r>
    </w:p>
    <w:p w14:paraId="0B83C711" w14:textId="77777777" w:rsidR="00744965" w:rsidRPr="00744965" w:rsidRDefault="00744965" w:rsidP="008A27AD">
      <w:r w:rsidRPr="00744965">
        <w:t>The quality Evaluator recommended approval.</w:t>
      </w:r>
    </w:p>
    <w:p w14:paraId="597882B5" w14:textId="21FA81D4" w:rsidR="00744965" w:rsidRPr="00744965" w:rsidRDefault="00744965" w:rsidP="008A27AD">
      <w:pPr>
        <w:pStyle w:val="Heading3"/>
      </w:pPr>
      <w:bookmarkStart w:id="27" w:name="_Toc172967095"/>
      <w:bookmarkStart w:id="28" w:name="_Toc173925427"/>
      <w:r w:rsidRPr="00744965">
        <w:t>Nonclinical (</w:t>
      </w:r>
      <w:r w:rsidR="008A27AD">
        <w:t>t</w:t>
      </w:r>
      <w:r w:rsidRPr="00744965">
        <w:t xml:space="preserve">oxicology) </w:t>
      </w:r>
      <w:r w:rsidR="008A27AD">
        <w:t>e</w:t>
      </w:r>
      <w:r w:rsidRPr="00744965">
        <w:t xml:space="preserve">valuation </w:t>
      </w:r>
      <w:r w:rsidR="008A27AD" w:rsidRPr="008A27AD">
        <w:t>s</w:t>
      </w:r>
      <w:r w:rsidRPr="008A27AD">
        <w:t>ummary</w:t>
      </w:r>
      <w:bookmarkEnd w:id="27"/>
      <w:bookmarkEnd w:id="28"/>
    </w:p>
    <w:p w14:paraId="7F3B480B" w14:textId="08745FEC" w:rsidR="00744965" w:rsidRPr="00744965" w:rsidRDefault="00744965" w:rsidP="008A27AD">
      <w:r w:rsidRPr="00744965">
        <w:t xml:space="preserve">The non-clinical Evaluator’s recommendation: </w:t>
      </w:r>
      <w:r w:rsidRPr="008A27AD">
        <w:rPr>
          <w:i/>
          <w:iCs/>
        </w:rPr>
        <w:t xml:space="preserve">“Due to the major deficiencies (uncertainties regarding safety) and the identified safety signals (risks), registration of </w:t>
      </w:r>
      <w:proofErr w:type="spellStart"/>
      <w:r w:rsidRPr="008A27AD">
        <w:rPr>
          <w:i/>
          <w:iCs/>
        </w:rPr>
        <w:t>abrocitinib</w:t>
      </w:r>
      <w:proofErr w:type="spellEnd"/>
      <w:r w:rsidRPr="008A27AD">
        <w:rPr>
          <w:i/>
          <w:iCs/>
        </w:rPr>
        <w:t xml:space="preserve"> is not supported from a nonclinical perspective for the proposed indication in the proposed patient group; the benefit-risk balance is unfavourable when considering the uncertainties and identified risks.”</w:t>
      </w:r>
    </w:p>
    <w:p w14:paraId="2047DC96" w14:textId="0FF00F85" w:rsidR="00744965" w:rsidRPr="00744965" w:rsidRDefault="00744965" w:rsidP="008A27AD">
      <w:r w:rsidRPr="00744965">
        <w:t>Critical issues</w:t>
      </w:r>
      <w:r w:rsidR="00862104">
        <w:t>:</w:t>
      </w:r>
    </w:p>
    <w:p w14:paraId="7FE63371" w14:textId="4C227C13" w:rsidR="00744965" w:rsidRPr="00744965" w:rsidRDefault="00744965" w:rsidP="008A27AD">
      <w:pPr>
        <w:pStyle w:val="ListBullet"/>
      </w:pPr>
      <w:r w:rsidRPr="00744965">
        <w:t xml:space="preserve">Safety of M1 metabolite has not been </w:t>
      </w:r>
      <w:proofErr w:type="gramStart"/>
      <w:r w:rsidRPr="00744965">
        <w:t>assessed</w:t>
      </w:r>
      <w:proofErr w:type="gramEnd"/>
    </w:p>
    <w:p w14:paraId="3D5064CC" w14:textId="4337FC4C" w:rsidR="00744965" w:rsidRPr="00744965" w:rsidRDefault="00744965" w:rsidP="008A27AD">
      <w:pPr>
        <w:pStyle w:val="ListBullet"/>
      </w:pPr>
      <w:r w:rsidRPr="00744965">
        <w:lastRenderedPageBreak/>
        <w:t xml:space="preserve">Important safety data for M2 and M4 are </w:t>
      </w:r>
      <w:proofErr w:type="gramStart"/>
      <w:r w:rsidRPr="00744965">
        <w:t>missing</w:t>
      </w:r>
      <w:proofErr w:type="gramEnd"/>
    </w:p>
    <w:p w14:paraId="5037AB91" w14:textId="77777777" w:rsidR="00744965" w:rsidRPr="00744965" w:rsidRDefault="00744965" w:rsidP="008A27AD">
      <w:pPr>
        <w:pStyle w:val="ListBullet"/>
      </w:pPr>
      <w:r w:rsidRPr="00744965">
        <w:t xml:space="preserve">Carcinogenicity has not been adequately assessed. </w:t>
      </w:r>
    </w:p>
    <w:p w14:paraId="02BDC221" w14:textId="55D6C1BB" w:rsidR="00744965" w:rsidRPr="00744965" w:rsidRDefault="00744965" w:rsidP="008A27AD">
      <w:pPr>
        <w:pStyle w:val="ListBullet"/>
      </w:pPr>
      <w:r w:rsidRPr="00744965">
        <w:t xml:space="preserve">Lack of quantitative data for the </w:t>
      </w:r>
      <w:r w:rsidRPr="00744965">
        <w:rPr>
          <w:i/>
          <w:iCs/>
        </w:rPr>
        <w:t xml:space="preserve">in vivo </w:t>
      </w:r>
      <w:r w:rsidRPr="00744965">
        <w:t xml:space="preserve">metabolic mass balance studies in mouse, rat, </w:t>
      </w:r>
      <w:proofErr w:type="gramStart"/>
      <w:r w:rsidRPr="00744965">
        <w:t>monkey</w:t>
      </w:r>
      <w:proofErr w:type="gramEnd"/>
      <w:r w:rsidRPr="00744965">
        <w:t xml:space="preserve"> and human.</w:t>
      </w:r>
    </w:p>
    <w:p w14:paraId="44CD2768" w14:textId="4FDEDEFA" w:rsidR="00744965" w:rsidRPr="00744965" w:rsidRDefault="00744965" w:rsidP="008A27AD">
      <w:r w:rsidRPr="00744965">
        <w:t>Limitations in the secondary pharmacodynamic studies submitted:</w:t>
      </w:r>
    </w:p>
    <w:p w14:paraId="0D6D9C33" w14:textId="3C918381" w:rsidR="00744965" w:rsidRPr="00744965" w:rsidRDefault="00744965" w:rsidP="008A27AD">
      <w:pPr>
        <w:pStyle w:val="ListBullet"/>
      </w:pPr>
      <w:r w:rsidRPr="00744965">
        <w:t>The kinase screen is considered inadequate.</w:t>
      </w:r>
    </w:p>
    <w:p w14:paraId="410E0BB9" w14:textId="356ECEB2" w:rsidR="00744965" w:rsidRPr="00744965" w:rsidRDefault="00744965" w:rsidP="008A27AD">
      <w:pPr>
        <w:pStyle w:val="ListBullet"/>
      </w:pPr>
      <w:r w:rsidRPr="00744965">
        <w:t xml:space="preserve">Given metabolites M1 and M2 have been shown to demonstrate a profile of cytokine inhibition via JAK-1-dependent pathways </w:t>
      </w:r>
      <w:proofErr w:type="gramStart"/>
      <w:r w:rsidRPr="00744965">
        <w:t>similar to</w:t>
      </w:r>
      <w:proofErr w:type="gramEnd"/>
      <w:r w:rsidRPr="00744965">
        <w:t xml:space="preserve"> that of </w:t>
      </w:r>
      <w:proofErr w:type="spellStart"/>
      <w:r w:rsidRPr="00744965">
        <w:t>abrocitinib</w:t>
      </w:r>
      <w:proofErr w:type="spellEnd"/>
      <w:r w:rsidRPr="00744965">
        <w:t>, it is unclear why potential off-target effects were not assessed for these major active human metabolites.</w:t>
      </w:r>
    </w:p>
    <w:p w14:paraId="52E47EB7" w14:textId="76FC4C8A" w:rsidR="00744965" w:rsidRPr="00744965" w:rsidRDefault="00744965" w:rsidP="008A27AD">
      <w:pPr>
        <w:pStyle w:val="ListBullet"/>
      </w:pPr>
      <w:r w:rsidRPr="00744965">
        <w:t>The other major human metabolite, M4, was not assessed for activity at other sites.</w:t>
      </w:r>
    </w:p>
    <w:p w14:paraId="22DE0966" w14:textId="48114E15" w:rsidR="00744965" w:rsidRPr="00744965" w:rsidRDefault="00744965" w:rsidP="00744965">
      <w:r w:rsidRPr="00744965">
        <w:t xml:space="preserve">The Evaluator considered </w:t>
      </w:r>
      <w:proofErr w:type="gramStart"/>
      <w:r w:rsidRPr="00744965">
        <w:t>all of</w:t>
      </w:r>
      <w:proofErr w:type="gramEnd"/>
      <w:r w:rsidRPr="00744965">
        <w:t xml:space="preserve"> the above as major deficiencies of this submission.</w:t>
      </w:r>
    </w:p>
    <w:p w14:paraId="3B1B5C81" w14:textId="3AC7C054" w:rsidR="00744965" w:rsidRPr="0077074F" w:rsidRDefault="00744965" w:rsidP="00903087">
      <w:pPr>
        <w:pStyle w:val="Heading4"/>
      </w:pPr>
      <w:bookmarkStart w:id="29" w:name="_Toc173925428"/>
      <w:r w:rsidRPr="0077074F">
        <w:t xml:space="preserve">Lack of characterisation of the M1 metabolite of </w:t>
      </w:r>
      <w:proofErr w:type="spellStart"/>
      <w:r w:rsidRPr="0077074F">
        <w:t>abrocitinib</w:t>
      </w:r>
      <w:bookmarkEnd w:id="29"/>
      <w:proofErr w:type="spellEnd"/>
    </w:p>
    <w:p w14:paraId="23B8A186" w14:textId="1932B908" w:rsidR="00744965" w:rsidRPr="00744965" w:rsidRDefault="00744965" w:rsidP="0077074F">
      <w:r w:rsidRPr="00744965">
        <w:t xml:space="preserve">The Evaluator has considered that M1, M2 and M4 are major human metabolites of </w:t>
      </w:r>
      <w:proofErr w:type="spellStart"/>
      <w:r w:rsidRPr="00744965">
        <w:t>abrocitinib</w:t>
      </w:r>
      <w:proofErr w:type="spellEnd"/>
      <w:r w:rsidRPr="00744965">
        <w:t xml:space="preserve">. The Sponsor has stated in the clinical overview that: </w:t>
      </w:r>
      <w:r w:rsidRPr="00744965">
        <w:rPr>
          <w:i/>
          <w:iCs/>
        </w:rPr>
        <w:t xml:space="preserve">Three metabolites of </w:t>
      </w:r>
      <w:proofErr w:type="spellStart"/>
      <w:r w:rsidRPr="00744965">
        <w:rPr>
          <w:i/>
          <w:iCs/>
        </w:rPr>
        <w:t>abrocitinib</w:t>
      </w:r>
      <w:proofErr w:type="spellEnd"/>
      <w:r w:rsidRPr="00744965">
        <w:rPr>
          <w:i/>
          <w:iCs/>
        </w:rPr>
        <w:t xml:space="preserve"> are identified as M1(3 hydroxypropyl, 11%), M2 (2 hydroxypropyl, 12%), and M4 (pyrrolidinone pyrimidine, 14%). Of the 3 metabolites in circulation, M1 and M2 have similar JAK inhibitory profile as </w:t>
      </w:r>
      <w:proofErr w:type="spellStart"/>
      <w:r w:rsidRPr="00744965">
        <w:rPr>
          <w:i/>
          <w:iCs/>
        </w:rPr>
        <w:t>abrocitinib</w:t>
      </w:r>
      <w:proofErr w:type="spellEnd"/>
      <w:r w:rsidRPr="00744965">
        <w:rPr>
          <w:i/>
          <w:iCs/>
        </w:rPr>
        <w:t xml:space="preserve">, M4 is inactive. The pharmacologic activity of </w:t>
      </w:r>
      <w:proofErr w:type="spellStart"/>
      <w:r w:rsidRPr="00744965">
        <w:rPr>
          <w:i/>
          <w:iCs/>
        </w:rPr>
        <w:t>abrocitinib</w:t>
      </w:r>
      <w:proofErr w:type="spellEnd"/>
      <w:r w:rsidRPr="00744965">
        <w:rPr>
          <w:i/>
          <w:iCs/>
        </w:rPr>
        <w:t xml:space="preserve"> is attributable to its active moiety exposures, calculated as the combined unbound exposures of </w:t>
      </w:r>
      <w:proofErr w:type="spellStart"/>
      <w:r w:rsidRPr="00744965">
        <w:rPr>
          <w:i/>
          <w:iCs/>
        </w:rPr>
        <w:t>abrocitinib</w:t>
      </w:r>
      <w:proofErr w:type="spellEnd"/>
      <w:r w:rsidRPr="00744965">
        <w:rPr>
          <w:i/>
          <w:iCs/>
        </w:rPr>
        <w:t>, M1, and M2 in systemic circulation adjusted for relative potencies.</w:t>
      </w:r>
    </w:p>
    <w:p w14:paraId="7D19514A" w14:textId="06A1E6C6" w:rsidR="00744965" w:rsidRPr="00744965" w:rsidRDefault="00744965" w:rsidP="00862104">
      <w:pPr>
        <w:rPr>
          <w:i/>
          <w:iCs/>
        </w:rPr>
      </w:pPr>
      <w:r w:rsidRPr="00744965">
        <w:t xml:space="preserve">M1 levels fluctuated between 9-11% of drug related material in human plasma. When calculating the total exposure to M1, the Evaluator considers that </w:t>
      </w:r>
      <w:r w:rsidRPr="00744965">
        <w:rPr>
          <w:i/>
          <w:iCs/>
        </w:rPr>
        <w:t>the Sponsor should take into consideration the free fraction molar basis (e.g., 11% of the total drug exposure for M1), as it is the</w:t>
      </w:r>
      <w:r w:rsidRPr="00744965">
        <w:rPr>
          <w:rFonts w:cs="Cambria"/>
          <w:i/>
          <w:iCs/>
          <w:szCs w:val="22"/>
        </w:rPr>
        <w:t xml:space="preserve"> </w:t>
      </w:r>
      <w:r w:rsidRPr="00744965">
        <w:rPr>
          <w:i/>
          <w:iCs/>
        </w:rPr>
        <w:t>free fraction of M1 that can readily enter tissues and have an effect. When considering the free fractions, all 3 metabolites are considered significant human metabolites according to the criteria in ICH M3(R2).</w:t>
      </w:r>
    </w:p>
    <w:p w14:paraId="4F508C40" w14:textId="293EFA48" w:rsidR="00744965" w:rsidRPr="00744965" w:rsidRDefault="00744965" w:rsidP="00862104">
      <w:r w:rsidRPr="00744965">
        <w:rPr>
          <w:i/>
          <w:iCs/>
        </w:rPr>
        <w:t xml:space="preserve">In vitro, </w:t>
      </w:r>
      <w:r w:rsidRPr="00744965">
        <w:t xml:space="preserve">M1 and M2 were reversible ATP competitive inhibitors of JAK1; while M4 showed no inhibition of JAKs, indicating that M1 and M2 are active human metabolites, with M2 contributing significantly to efficacy. Similarly to </w:t>
      </w:r>
      <w:proofErr w:type="spellStart"/>
      <w:r w:rsidRPr="00744965">
        <w:t>abrocitinib</w:t>
      </w:r>
      <w:proofErr w:type="spellEnd"/>
      <w:r w:rsidRPr="00744965">
        <w:t>, M1 and M2 were more potent at inhibiting JAK1-dependent pathways than JAK2 (26 and 49 times, respectively), JAK3 (230 and 559 times, respectively) and TYK2 (74 and 68 times, respectively). M1 has been included by the Sponsor as part of the “active moiety” of the drug and therefore was considered significant by the Evaluator.</w:t>
      </w:r>
    </w:p>
    <w:p w14:paraId="60216391" w14:textId="7824EAA6" w:rsidR="00744965" w:rsidRPr="00744965" w:rsidRDefault="00744965" w:rsidP="00862104">
      <w:r w:rsidRPr="00744965">
        <w:t xml:space="preserve">The Sponsor’s rationale of not considering the M1 metabolite as a major metabolite was based on the steady state exposure to M1 metabolite following multiple doses (Study B7451043). “M1 contributed 6.9% to “active moiety”, while </w:t>
      </w:r>
      <w:proofErr w:type="spellStart"/>
      <w:r w:rsidRPr="00744965">
        <w:t>abrocitinib</w:t>
      </w:r>
      <w:proofErr w:type="spellEnd"/>
      <w:r w:rsidRPr="00744965">
        <w:t xml:space="preserve"> and M2 contribute 63.5% and 29.6% respectively”. The Sponsor states that they have followed the ICH M3(R2) guidance for the assessment of the total exposure and not exposure to free fraction of M1 minor metabolite using the 10% threshold.</w:t>
      </w:r>
    </w:p>
    <w:p w14:paraId="7BF5963A" w14:textId="3B4AD88B" w:rsidR="00744965" w:rsidRPr="00862104" w:rsidRDefault="00744965" w:rsidP="00903087">
      <w:pPr>
        <w:pStyle w:val="Heading4"/>
      </w:pPr>
      <w:bookmarkStart w:id="30" w:name="_Toc173925429"/>
      <w:r w:rsidRPr="00862104">
        <w:t>Bone dystrophy</w:t>
      </w:r>
      <w:bookmarkEnd w:id="30"/>
    </w:p>
    <w:p w14:paraId="17912622" w14:textId="77777777" w:rsidR="00744965" w:rsidRPr="00744965" w:rsidRDefault="00744965" w:rsidP="00862104">
      <w:r w:rsidRPr="00744965">
        <w:t xml:space="preserve">In adult rats, adverse bone dystrophy was observed at the interface of the growth plate and primary spongiosum. Effects on bone growth and development were seen in the definitive juvenile rat study with treated animals having mal-rotated limbs, necessitating premature </w:t>
      </w:r>
      <w:r w:rsidRPr="00744965">
        <w:lastRenderedPageBreak/>
        <w:t xml:space="preserve">euthanasia. Impaired growth, bent, misshapen or abnormal morphology were seen in several bones. These effects were irreversible. Fractures were also evident. The Evaluator has mentioned that the effects on bone development were not seen in juvenile animal studies with other JAK inhibitors, although there is some evidence that JAK-STAT signalling plays a role in bone development and effects on bone development were seen with in rats and juvenile animals treated with some JAK inhibitors. </w:t>
      </w:r>
    </w:p>
    <w:p w14:paraId="3670B1F5" w14:textId="7B093267" w:rsidR="00744965" w:rsidRPr="00744965" w:rsidRDefault="00744965" w:rsidP="00862104">
      <w:r w:rsidRPr="00744965">
        <w:t>The Evaluator has concluded that as the proposed indication includes paediatric patients whose skeletal system is still developing, the irreversible effects on bone development at subclinical exposures is of particular concern and use in this age group is not supported.</w:t>
      </w:r>
    </w:p>
    <w:p w14:paraId="1C67C20C" w14:textId="4B672064" w:rsidR="00744965" w:rsidRPr="00862104" w:rsidRDefault="00744965" w:rsidP="00903087">
      <w:pPr>
        <w:pStyle w:val="Heading4"/>
      </w:pPr>
      <w:bookmarkStart w:id="31" w:name="_Toc173925430"/>
      <w:r w:rsidRPr="00862104">
        <w:t>Carcinogenicity</w:t>
      </w:r>
      <w:bookmarkEnd w:id="31"/>
    </w:p>
    <w:p w14:paraId="538C091F" w14:textId="5BA34E65" w:rsidR="00744965" w:rsidRPr="00744965" w:rsidRDefault="00744965" w:rsidP="00862104">
      <w:r w:rsidRPr="00744965">
        <w:t xml:space="preserve">Maximum exposures to M1 and M2 were considered by the Evaluator to be subclinical in rats and mice. Furthermore, the relative exposures to </w:t>
      </w:r>
      <w:proofErr w:type="spellStart"/>
      <w:r w:rsidRPr="00744965">
        <w:t>abrocitinib</w:t>
      </w:r>
      <w:proofErr w:type="spellEnd"/>
      <w:r w:rsidRPr="00744965">
        <w:t xml:space="preserve"> at the highest doses were subclinical in mice (ER</w:t>
      </w:r>
      <w:r w:rsidRPr="00744965">
        <w:rPr>
          <w:vertAlign w:val="subscript"/>
        </w:rPr>
        <w:t>AUC</w:t>
      </w:r>
      <w:r w:rsidRPr="00744965">
        <w:t xml:space="preserve"> 0.36/0.86× [M/F]) and low in rats (ER</w:t>
      </w:r>
      <w:r w:rsidRPr="00744965">
        <w:rPr>
          <w:vertAlign w:val="subscript"/>
        </w:rPr>
        <w:t>AUC</w:t>
      </w:r>
      <w:r w:rsidRPr="00744965">
        <w:t xml:space="preserve"> 14), suggesting the carcinogenic potential of </w:t>
      </w:r>
      <w:proofErr w:type="spellStart"/>
      <w:r w:rsidRPr="00744965">
        <w:t>abrocitinib</w:t>
      </w:r>
      <w:proofErr w:type="spellEnd"/>
      <w:r w:rsidRPr="00744965">
        <w:t xml:space="preserve"> has also not been adequately </w:t>
      </w:r>
      <w:r w:rsidR="009F2436" w:rsidRPr="00744965">
        <w:t>assessed.</w:t>
      </w:r>
      <w:r w:rsidRPr="00744965">
        <w:t xml:space="preserve"> The relative exposure for active and metabolites should be at least 25 to adequately assess the carcinogenic risk to humans, which was not achieved in non-clinical studies with </w:t>
      </w:r>
      <w:proofErr w:type="spellStart"/>
      <w:r w:rsidRPr="00744965">
        <w:t>abrocitinib</w:t>
      </w:r>
      <w:proofErr w:type="spellEnd"/>
      <w:r w:rsidRPr="00744965">
        <w:t xml:space="preserve">. </w:t>
      </w:r>
    </w:p>
    <w:p w14:paraId="3E46BE08" w14:textId="23036364" w:rsidR="00744965" w:rsidRPr="00744965" w:rsidRDefault="00744965" w:rsidP="00862104">
      <w:r w:rsidRPr="00744965">
        <w:t xml:space="preserve">A higher incidence of benign thymomas were seen in treated females at all tested doses. An increased incidence and severity of the pre-neoplastic lesion, thymic hyperplasia, was also seen in these dose groups. The Sponsor claims that these effects are secondary to the immunosuppressive action of </w:t>
      </w:r>
      <w:proofErr w:type="spellStart"/>
      <w:r w:rsidRPr="00744965">
        <w:t>abrocitinib</w:t>
      </w:r>
      <w:proofErr w:type="spellEnd"/>
      <w:r w:rsidRPr="00744965">
        <w:t xml:space="preserve"> and its metabolites. The Evaluator considered this assumption as a possibility.</w:t>
      </w:r>
    </w:p>
    <w:p w14:paraId="3AF51598" w14:textId="77777777" w:rsidR="00744965" w:rsidRPr="00744965" w:rsidRDefault="00744965" w:rsidP="00862104">
      <w:r w:rsidRPr="00744965">
        <w:t xml:space="preserve">Benign thymomas have been reported in rat carcinogenicity studies with other immunosuppressive agents, but unlike in this submission, adequate safety margins were demonstrated for those medicines. </w:t>
      </w:r>
    </w:p>
    <w:p w14:paraId="674A3624" w14:textId="77777777" w:rsidR="00744965" w:rsidRPr="00744965" w:rsidRDefault="00744965" w:rsidP="00862104">
      <w:r w:rsidRPr="00744965">
        <w:t xml:space="preserve">The Evaluator concluded that as there is no safety margin for tumours established with </w:t>
      </w:r>
      <w:proofErr w:type="spellStart"/>
      <w:r w:rsidRPr="00744965">
        <w:t>abrocitinib</w:t>
      </w:r>
      <w:proofErr w:type="spellEnd"/>
      <w:r w:rsidRPr="00744965">
        <w:t xml:space="preserve"> and there are limitations with the submitted carcinogenicity studies, suggesting carcinogenicity risk has not been adequately assessed, registration is not supported for the intended indication in the intended patient group.</w:t>
      </w:r>
    </w:p>
    <w:p w14:paraId="250BFFB0" w14:textId="4B10E215" w:rsidR="00744965" w:rsidRPr="00744965" w:rsidRDefault="00744965" w:rsidP="00862104">
      <w:pPr>
        <w:pStyle w:val="Heading2"/>
      </w:pPr>
      <w:bookmarkStart w:id="32" w:name="_Toc172967096"/>
      <w:bookmarkStart w:id="33" w:name="_Toc173925431"/>
      <w:r w:rsidRPr="00744965">
        <w:t xml:space="preserve">Clinical </w:t>
      </w:r>
      <w:r w:rsidR="00862104">
        <w:t>e</w:t>
      </w:r>
      <w:r w:rsidRPr="00744965">
        <w:t xml:space="preserve">valuation </w:t>
      </w:r>
      <w:r w:rsidR="00862104">
        <w:t>s</w:t>
      </w:r>
      <w:r w:rsidRPr="00744965">
        <w:t>ummary</w:t>
      </w:r>
      <w:bookmarkEnd w:id="32"/>
      <w:bookmarkEnd w:id="33"/>
    </w:p>
    <w:p w14:paraId="585CB909" w14:textId="77777777" w:rsidR="00744965" w:rsidRPr="00744965" w:rsidRDefault="00744965" w:rsidP="00862104">
      <w:pPr>
        <w:pStyle w:val="Heading3"/>
        <w:rPr>
          <w:rFonts w:eastAsia="Cambria"/>
        </w:rPr>
      </w:pPr>
      <w:bookmarkStart w:id="34" w:name="_Toc172967097"/>
      <w:bookmarkStart w:id="35" w:name="_Toc173925432"/>
      <w:r w:rsidRPr="00744965">
        <w:rPr>
          <w:rFonts w:eastAsia="Cambria"/>
        </w:rPr>
        <w:t>Pharmacology</w:t>
      </w:r>
      <w:bookmarkEnd w:id="34"/>
      <w:bookmarkEnd w:id="35"/>
    </w:p>
    <w:p w14:paraId="78336DA6" w14:textId="77777777" w:rsidR="00744965" w:rsidRPr="00744965" w:rsidRDefault="00744965" w:rsidP="00862104">
      <w:r w:rsidRPr="00744965">
        <w:t xml:space="preserve">The pharmacologic activity of </w:t>
      </w:r>
      <w:proofErr w:type="spellStart"/>
      <w:r w:rsidRPr="00744965">
        <w:t>Cibinqo</w:t>
      </w:r>
      <w:proofErr w:type="spellEnd"/>
      <w:r w:rsidRPr="00744965">
        <w:t xml:space="preserve"> is attributable to the unbound exposures of parent molecule (~60%) as well as the metabolites M1 (~10%) and M2 (~30%) in systemic circulation, i.e. the “active moiety of </w:t>
      </w:r>
      <w:proofErr w:type="spellStart"/>
      <w:r w:rsidRPr="00744965">
        <w:t>abrocitinib</w:t>
      </w:r>
      <w:proofErr w:type="spellEnd"/>
      <w:r w:rsidRPr="00744965">
        <w:t>”.</w:t>
      </w:r>
    </w:p>
    <w:p w14:paraId="68028245" w14:textId="77777777" w:rsidR="00744965" w:rsidRPr="00744965" w:rsidRDefault="00744965" w:rsidP="00862104">
      <w:r w:rsidRPr="00744965">
        <w:t xml:space="preserve">Following a single, oral, 200 mg dose of </w:t>
      </w:r>
      <w:proofErr w:type="spellStart"/>
      <w:r w:rsidRPr="00744965">
        <w:t>abrocitinib</w:t>
      </w:r>
      <w:proofErr w:type="spellEnd"/>
      <w:r w:rsidRPr="00744965">
        <w:t xml:space="preserve"> tablets under fasting conditions to healthy subjects, </w:t>
      </w:r>
      <w:bookmarkStart w:id="36" w:name="_Hlk165462044"/>
      <w:proofErr w:type="spellStart"/>
      <w:r w:rsidRPr="00744965">
        <w:t>T</w:t>
      </w:r>
      <w:r w:rsidRPr="00744965">
        <w:rPr>
          <w:vertAlign w:val="subscript"/>
        </w:rPr>
        <w:t>max</w:t>
      </w:r>
      <w:bookmarkEnd w:id="36"/>
      <w:proofErr w:type="spellEnd"/>
      <w:r w:rsidRPr="00744965">
        <w:t xml:space="preserve"> occurred at 1 h after dosing. The absolute bioavailability of </w:t>
      </w:r>
      <w:proofErr w:type="spellStart"/>
      <w:r w:rsidRPr="00744965">
        <w:t>abrocitinib</w:t>
      </w:r>
      <w:proofErr w:type="spellEnd"/>
      <w:r w:rsidRPr="00744965">
        <w:t xml:space="preserve"> was approximately 60%. Compared to fasting conditions, a high-fat meal increased </w:t>
      </w:r>
      <w:proofErr w:type="spellStart"/>
      <w:r w:rsidRPr="00744965">
        <w:t>abrocitinib</w:t>
      </w:r>
      <w:proofErr w:type="spellEnd"/>
      <w:r w:rsidRPr="00744965">
        <w:t xml:space="preserve"> exposure by approximately 26% to 29%. The Evaluator considered that the magnitude of the increase the effect of food on </w:t>
      </w:r>
      <w:proofErr w:type="spellStart"/>
      <w:r w:rsidRPr="00744965">
        <w:t>abrocitinib</w:t>
      </w:r>
      <w:proofErr w:type="spellEnd"/>
      <w:r w:rsidRPr="00744965">
        <w:t xml:space="preserve"> PKs is unlikely to be clinically relevant.</w:t>
      </w:r>
    </w:p>
    <w:p w14:paraId="434C92C4" w14:textId="77777777" w:rsidR="00744965" w:rsidRPr="00744965" w:rsidRDefault="00744965" w:rsidP="00862104">
      <w:r w:rsidRPr="00744965">
        <w:t xml:space="preserve">The metabolism of </w:t>
      </w:r>
      <w:proofErr w:type="spellStart"/>
      <w:r w:rsidRPr="00744965">
        <w:t>abrocitinib</w:t>
      </w:r>
      <w:proofErr w:type="spellEnd"/>
      <w:r w:rsidRPr="00744965">
        <w:t xml:space="preserve"> is mediated by multiple CYP enzymes, CYP2C19 (~53%), CYP2C9 (~30%), CYP3A4 (~11%) and CYP2B6 (~6%). The half-life of 100 mg and 200 mg </w:t>
      </w:r>
      <w:proofErr w:type="spellStart"/>
      <w:r w:rsidRPr="00744965">
        <w:t>abrocitinib</w:t>
      </w:r>
      <w:proofErr w:type="spellEnd"/>
      <w:r w:rsidRPr="00744965">
        <w:t xml:space="preserve"> is approximately 5 hours. Following QD (once a day) administration to steady state, the observed accumulation ratio was about 1.5.</w:t>
      </w:r>
    </w:p>
    <w:p w14:paraId="6BA75326" w14:textId="77777777" w:rsidR="00744965" w:rsidRPr="00744965" w:rsidRDefault="00744965" w:rsidP="00903087">
      <w:proofErr w:type="spellStart"/>
      <w:r w:rsidRPr="00744965">
        <w:lastRenderedPageBreak/>
        <w:t>Abrocitinib</w:t>
      </w:r>
      <w:proofErr w:type="spellEnd"/>
      <w:r w:rsidRPr="00744965">
        <w:t xml:space="preserve"> is eliminated primarily by metabolism. &lt;1% of the dose is excreted unchanged in urine. The metabolites of </w:t>
      </w:r>
      <w:proofErr w:type="spellStart"/>
      <w:r w:rsidRPr="00744965">
        <w:t>abrocitinib</w:t>
      </w:r>
      <w:proofErr w:type="spellEnd"/>
      <w:r w:rsidRPr="00744965">
        <w:t xml:space="preserve"> are excreted predominantly in urine.</w:t>
      </w:r>
    </w:p>
    <w:p w14:paraId="0D2DD2DE" w14:textId="77777777" w:rsidR="00744965" w:rsidRPr="00744965" w:rsidRDefault="00744965" w:rsidP="00903087">
      <w:r w:rsidRPr="00744965">
        <w:t xml:space="preserve">Exposure to </w:t>
      </w:r>
      <w:proofErr w:type="spellStart"/>
      <w:r w:rsidRPr="00744965">
        <w:t>abrocitinib</w:t>
      </w:r>
      <w:proofErr w:type="spellEnd"/>
      <w:r w:rsidRPr="00744965">
        <w:t xml:space="preserve"> is approximately 30% higher in AD subjects compared with healthy volunteers.</w:t>
      </w:r>
    </w:p>
    <w:p w14:paraId="31FF3E14" w14:textId="77777777" w:rsidR="00744965" w:rsidRPr="00744965" w:rsidRDefault="00744965" w:rsidP="00903087">
      <w:r w:rsidRPr="00744965">
        <w:t xml:space="preserve">Drug interaction between </w:t>
      </w:r>
      <w:proofErr w:type="spellStart"/>
      <w:r w:rsidRPr="00744965">
        <w:t>abrocitinib</w:t>
      </w:r>
      <w:proofErr w:type="spellEnd"/>
      <w:r w:rsidRPr="00744965">
        <w:t xml:space="preserve"> and other drugs that are metabolised through CYP2C19/CYP2C9 pathway was evident. Around 200% increase in AUC was observed when </w:t>
      </w:r>
      <w:proofErr w:type="spellStart"/>
      <w:r w:rsidRPr="00744965">
        <w:t>abrocitinib</w:t>
      </w:r>
      <w:proofErr w:type="spellEnd"/>
      <w:r w:rsidRPr="00744965">
        <w:t xml:space="preserve"> was co administered with the CYP2C19/CYP2C9 inhibitors. Meanwhile, adjusted geometric mean (90% CI) for </w:t>
      </w:r>
      <w:proofErr w:type="spellStart"/>
      <w:proofErr w:type="gramStart"/>
      <w:r w:rsidRPr="00744965">
        <w:t>AUC</w:t>
      </w:r>
      <w:r w:rsidRPr="00744965">
        <w:rPr>
          <w:vertAlign w:val="subscript"/>
        </w:rPr>
        <w:t>inf,u</w:t>
      </w:r>
      <w:proofErr w:type="spellEnd"/>
      <w:proofErr w:type="gramEnd"/>
      <w:r w:rsidRPr="00744965">
        <w:t xml:space="preserve"> was 43.86% (40.94%, 46.98%), when administered with inducer of CYP2C19 and CYP2C9. Statements to indicate dose reduction to 50mg, when co-administered with CYP2C19/CYP2C9 inhibitors are included in the PI. The co-administration of </w:t>
      </w:r>
      <w:proofErr w:type="spellStart"/>
      <w:r w:rsidRPr="00744965">
        <w:t>abrocitinib</w:t>
      </w:r>
      <w:proofErr w:type="spellEnd"/>
      <w:r w:rsidRPr="00744965">
        <w:t xml:space="preserve"> with strong inducers of CYP2C19/2C9 is not recommended in the PI.</w:t>
      </w:r>
    </w:p>
    <w:p w14:paraId="27FD5E48" w14:textId="77777777" w:rsidR="00744965" w:rsidRPr="009F2436" w:rsidRDefault="00744965" w:rsidP="009F2436">
      <w:pPr>
        <w:rPr>
          <w:b/>
          <w:bCs/>
          <w:i/>
          <w:iCs/>
        </w:rPr>
      </w:pPr>
      <w:r w:rsidRPr="009F2436">
        <w:rPr>
          <w:b/>
          <w:bCs/>
          <w:i/>
          <w:iCs/>
        </w:rPr>
        <w:t>Renal impairment</w:t>
      </w:r>
    </w:p>
    <w:p w14:paraId="3E16C1E7" w14:textId="77777777" w:rsidR="00744965" w:rsidRPr="00744965" w:rsidRDefault="00744965" w:rsidP="00744965">
      <w:r w:rsidRPr="00744965">
        <w:t>In clinical studies, patients with severe (</w:t>
      </w:r>
      <w:bookmarkStart w:id="37" w:name="_Hlk165462262"/>
      <w:r w:rsidRPr="00744965">
        <w:t xml:space="preserve">estimated glomerular filtration rate, eGFR </w:t>
      </w:r>
      <w:bookmarkEnd w:id="37"/>
      <w:r w:rsidRPr="00744965">
        <w:t>&lt;30 mL/min) and moderate (eGFR 30 to &lt;60 mL/min) renal impairment had approximately 191% and 110% increase in systemic exposure to the active moiety (AUC</w:t>
      </w:r>
      <w:r w:rsidRPr="00744965">
        <w:rPr>
          <w:vertAlign w:val="subscript"/>
        </w:rPr>
        <w:t>inf</w:t>
      </w:r>
      <w:r w:rsidRPr="00744965">
        <w:t>), respectively, compared to patients with normal renal function. Precautionary statements for reduction of dose to 50mg/day are included in the PI.</w:t>
      </w:r>
    </w:p>
    <w:p w14:paraId="0A199B48" w14:textId="77777777" w:rsidR="00744965" w:rsidRPr="009F2436" w:rsidRDefault="00744965" w:rsidP="009F2436">
      <w:pPr>
        <w:rPr>
          <w:b/>
          <w:bCs/>
          <w:i/>
          <w:iCs/>
        </w:rPr>
      </w:pPr>
      <w:r w:rsidRPr="009F2436">
        <w:rPr>
          <w:b/>
          <w:bCs/>
          <w:i/>
          <w:iCs/>
        </w:rPr>
        <w:t>Hepatic impairment</w:t>
      </w:r>
    </w:p>
    <w:p w14:paraId="1366BCE6" w14:textId="77777777" w:rsidR="00744965" w:rsidRPr="00744965" w:rsidRDefault="00744965" w:rsidP="00744965">
      <w:r w:rsidRPr="00744965">
        <w:t>Patients with mild and moderate hepatic impairment had approximately 4% decrease and 15% increase in active moiety AUC</w:t>
      </w:r>
      <w:r w:rsidRPr="00744965">
        <w:rPr>
          <w:vertAlign w:val="subscript"/>
        </w:rPr>
        <w:t>inf</w:t>
      </w:r>
      <w:r w:rsidRPr="00744965">
        <w:t xml:space="preserve">, respectively, compared to patients with normal hepatic function. These changes are not clinically significant, and no dose adjustment is required in patients with mild or moderate hepatic impairment. In clinical studies, </w:t>
      </w:r>
      <w:proofErr w:type="spellStart"/>
      <w:r w:rsidRPr="00744965">
        <w:t>Cibinqo</w:t>
      </w:r>
      <w:proofErr w:type="spellEnd"/>
      <w:r w:rsidRPr="00744965">
        <w:t xml:space="preserve"> was not evaluated in patients with severe hepatic impairment.</w:t>
      </w:r>
    </w:p>
    <w:p w14:paraId="67698FAE" w14:textId="77777777" w:rsidR="00744965" w:rsidRPr="009F2436" w:rsidRDefault="00744965" w:rsidP="009F2436">
      <w:pPr>
        <w:rPr>
          <w:b/>
          <w:bCs/>
          <w:i/>
          <w:iCs/>
        </w:rPr>
      </w:pPr>
      <w:r w:rsidRPr="009F2436">
        <w:rPr>
          <w:b/>
          <w:bCs/>
          <w:i/>
          <w:iCs/>
        </w:rPr>
        <w:t>Systemic exposure in adolescents</w:t>
      </w:r>
    </w:p>
    <w:p w14:paraId="57B9F507" w14:textId="77777777" w:rsidR="00744965" w:rsidRPr="00744965" w:rsidRDefault="00744965" w:rsidP="00744965">
      <w:r w:rsidRPr="00744965">
        <w:t xml:space="preserve">Mean values of </w:t>
      </w:r>
      <w:proofErr w:type="spellStart"/>
      <w:r w:rsidRPr="00744965">
        <w:t>abrocitinib</w:t>
      </w:r>
      <w:proofErr w:type="spellEnd"/>
      <w:r w:rsidRPr="00744965">
        <w:t xml:space="preserve"> </w:t>
      </w:r>
      <w:proofErr w:type="spellStart"/>
      <w:r w:rsidRPr="00744965">
        <w:t>C</w:t>
      </w:r>
      <w:r w:rsidRPr="00744965">
        <w:rPr>
          <w:vertAlign w:val="subscript"/>
        </w:rPr>
        <w:t>max</w:t>
      </w:r>
      <w:proofErr w:type="spellEnd"/>
      <w:r w:rsidRPr="00744965">
        <w:t xml:space="preserve"> and AUC in adolescent subjects in Phase 3 studies were estimated to be approximately 30% lower at steady state compared to adults of the same weight. However, the distribution of exposures was similar between adult and adolescent subjects. This difference in estimates of mean exposure was not considered by the Sponsor as clinically relevant based on exposure-response analysis of efficacy.</w:t>
      </w:r>
    </w:p>
    <w:p w14:paraId="13FA0030" w14:textId="77777777" w:rsidR="00744965" w:rsidRPr="00744965" w:rsidRDefault="00744965" w:rsidP="00903087">
      <w:r w:rsidRPr="00744965">
        <w:t>The Sponsor submitted exposure data across age ranges (Table 3). Population pharmacokinetic (</w:t>
      </w:r>
      <w:bookmarkStart w:id="38" w:name="_Hlk165462484"/>
      <w:r w:rsidRPr="00744965">
        <w:t>Pop-PK</w:t>
      </w:r>
      <w:bookmarkEnd w:id="38"/>
      <w:r w:rsidRPr="00744965">
        <w:t xml:space="preserve">) analysis demonstrates that adolescent patients weighing &gt; 40kg have similar exposures to </w:t>
      </w:r>
      <w:proofErr w:type="spellStart"/>
      <w:r w:rsidRPr="00744965">
        <w:t>abrocitinib</w:t>
      </w:r>
      <w:proofErr w:type="spellEnd"/>
      <w:r w:rsidRPr="00744965">
        <w:t xml:space="preserve"> compared with adults. However, it is noted that </w:t>
      </w:r>
      <w:proofErr w:type="spellStart"/>
      <w:r w:rsidRPr="00744965">
        <w:t>abrocitinib</w:t>
      </w:r>
      <w:proofErr w:type="spellEnd"/>
      <w:r w:rsidRPr="00744965">
        <w:t xml:space="preserve"> exposure in adolescents with lower body weight (25 kg) is almost twice that in heavier adolescents and in adults. Interpretation may be limited by smaller number of adolescents in the lower body weight category:</w:t>
      </w:r>
    </w:p>
    <w:p w14:paraId="78E5E177" w14:textId="5FCD630D" w:rsidR="00744965" w:rsidRPr="00744965" w:rsidRDefault="00744965" w:rsidP="00903087">
      <w:pPr>
        <w:pStyle w:val="TableTitle"/>
      </w:pPr>
      <w:r w:rsidRPr="00744965">
        <w:lastRenderedPageBreak/>
        <w:t xml:space="preserve">Table 3. </w:t>
      </w:r>
      <w:proofErr w:type="spellStart"/>
      <w:r w:rsidRPr="00744965">
        <w:t>Cibinqo</w:t>
      </w:r>
      <w:proofErr w:type="spellEnd"/>
      <w:r w:rsidRPr="00744965">
        <w:t xml:space="preserve"> exposure (AUC</w:t>
      </w:r>
      <w:r w:rsidRPr="00744965">
        <w:rPr>
          <w:vertAlign w:val="subscript"/>
        </w:rPr>
        <w:t>24</w:t>
      </w:r>
      <w:r w:rsidRPr="00744965">
        <w:t xml:space="preserve">) data </w:t>
      </w:r>
      <w:r w:rsidRPr="00903087">
        <w:t>across</w:t>
      </w:r>
      <w:r w:rsidRPr="00744965">
        <w:t xml:space="preserve"> age and weight ranges.</w:t>
      </w:r>
    </w:p>
    <w:p w14:paraId="26077CA1" w14:textId="77777777" w:rsidR="00744965" w:rsidRPr="00744965" w:rsidRDefault="00744965" w:rsidP="00903087">
      <w:r w:rsidRPr="00744965">
        <w:rPr>
          <w:noProof/>
        </w:rPr>
        <w:drawing>
          <wp:inline distT="0" distB="0" distL="0" distR="0" wp14:anchorId="61B448DD" wp14:editId="0542BA29">
            <wp:extent cx="5759450" cy="2301875"/>
            <wp:effectExtent l="0" t="0" r="0" b="3175"/>
            <wp:docPr id="1354340578" name="Picture 1" descr="Cibinqo exposure (AUC24) data across age and weight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40578" name="Picture 1" descr="Cibinqo exposure (AUC24) data across age and weight ranges."/>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759450" cy="2301875"/>
                    </a:xfrm>
                    <a:prstGeom prst="rect">
                      <a:avLst/>
                    </a:prstGeom>
                  </pic:spPr>
                </pic:pic>
              </a:graphicData>
            </a:graphic>
          </wp:inline>
        </w:drawing>
      </w:r>
    </w:p>
    <w:p w14:paraId="084503A2" w14:textId="77777777" w:rsidR="00744965" w:rsidRPr="00744965" w:rsidRDefault="00744965" w:rsidP="00903087">
      <w:pPr>
        <w:pStyle w:val="Heading3"/>
        <w:rPr>
          <w:rFonts w:eastAsia="Cambria"/>
        </w:rPr>
      </w:pPr>
      <w:bookmarkStart w:id="39" w:name="_Toc172967098"/>
      <w:bookmarkStart w:id="40" w:name="_Toc173925433"/>
      <w:bookmarkStart w:id="41" w:name="_Toc98931928"/>
      <w:r w:rsidRPr="00744965">
        <w:rPr>
          <w:rFonts w:eastAsia="Cambria"/>
        </w:rPr>
        <w:t>Pharmacodynamics</w:t>
      </w:r>
      <w:bookmarkEnd w:id="39"/>
      <w:bookmarkEnd w:id="40"/>
    </w:p>
    <w:p w14:paraId="5AA91AD8" w14:textId="77777777" w:rsidR="00744965" w:rsidRPr="00744965" w:rsidRDefault="00744965" w:rsidP="00903087">
      <w:r w:rsidRPr="00744965">
        <w:t xml:space="preserve">Pop PK modelling identified that the </w:t>
      </w:r>
      <w:bookmarkStart w:id="42" w:name="_Hlk165466303"/>
      <w:r w:rsidRPr="00744965">
        <w:t xml:space="preserve">Investigator Global Assessment (IGA) </w:t>
      </w:r>
      <w:bookmarkEnd w:id="42"/>
      <w:r w:rsidRPr="00744965">
        <w:t xml:space="preserve">score </w:t>
      </w:r>
      <w:bookmarkStart w:id="43" w:name="_Hlk165466308"/>
      <w:r w:rsidRPr="00744965">
        <w:t>EC</w:t>
      </w:r>
      <w:r w:rsidRPr="00744965">
        <w:rPr>
          <w:vertAlign w:val="subscript"/>
        </w:rPr>
        <w:t>50</w:t>
      </w:r>
      <w:bookmarkEnd w:id="43"/>
      <w:r w:rsidRPr="00744965">
        <w:t xml:space="preserve"> value was 403 ng/</w:t>
      </w:r>
      <w:proofErr w:type="spellStart"/>
      <w:r w:rsidRPr="00744965">
        <w:t>mL.</w:t>
      </w:r>
      <w:proofErr w:type="spellEnd"/>
      <w:r w:rsidRPr="00744965">
        <w:t xml:space="preserve"> Treatment with 100 mg QD and 200 mg QD demonstrated clinically meaningful improvements in efficacy over placebo at 12 weeks of treatment.</w:t>
      </w:r>
    </w:p>
    <w:p w14:paraId="2477A4C4" w14:textId="77777777" w:rsidR="00744965" w:rsidRPr="00744965" w:rsidRDefault="00744965" w:rsidP="00903087">
      <w:r w:rsidRPr="00744965">
        <w:t xml:space="preserve">Open-label studies with 100 mg and 200 mg QD showed a dose dependent increase in the percent of subjects achieving </w:t>
      </w:r>
      <w:bookmarkStart w:id="44" w:name="_Hlk165466055"/>
      <w:r w:rsidRPr="00744965">
        <w:t xml:space="preserve">Eczema Area and Severity Index (EASI) </w:t>
      </w:r>
      <w:bookmarkEnd w:id="44"/>
      <w:r w:rsidRPr="00744965">
        <w:t>responses compared with placebo.</w:t>
      </w:r>
    </w:p>
    <w:p w14:paraId="1CF8B3F2" w14:textId="77777777" w:rsidR="00744965" w:rsidRPr="00744965" w:rsidRDefault="00744965" w:rsidP="00903087">
      <w:pPr>
        <w:pStyle w:val="Heading3"/>
        <w:rPr>
          <w:rFonts w:eastAsia="Cambria"/>
        </w:rPr>
      </w:pPr>
      <w:bookmarkStart w:id="45" w:name="_Toc172967099"/>
      <w:bookmarkStart w:id="46" w:name="_Toc173925434"/>
      <w:r w:rsidRPr="00744965">
        <w:rPr>
          <w:rFonts w:eastAsia="Cambria"/>
        </w:rPr>
        <w:t>Efficacy</w:t>
      </w:r>
      <w:bookmarkEnd w:id="45"/>
      <w:bookmarkEnd w:id="46"/>
    </w:p>
    <w:p w14:paraId="0C1BFBFF" w14:textId="77777777" w:rsidR="00744965" w:rsidRPr="00744965" w:rsidRDefault="00744965" w:rsidP="00903087">
      <w:pPr>
        <w:pStyle w:val="Heading4"/>
      </w:pPr>
      <w:bookmarkStart w:id="47" w:name="_Toc173925435"/>
      <w:r w:rsidRPr="00744965">
        <w:t xml:space="preserve">Phase II dose finding study </w:t>
      </w:r>
      <w:proofErr w:type="gramStart"/>
      <w:r w:rsidRPr="00744965">
        <w:t>B7451006</w:t>
      </w:r>
      <w:bookmarkEnd w:id="47"/>
      <w:proofErr w:type="gramEnd"/>
    </w:p>
    <w:p w14:paraId="289F1824" w14:textId="77777777" w:rsidR="00744965" w:rsidRPr="00744965" w:rsidRDefault="00744965" w:rsidP="00903087">
      <w:r w:rsidRPr="00744965">
        <w:t xml:space="preserve">The Phase 2b double-blind, parallel group </w:t>
      </w:r>
      <w:bookmarkStart w:id="48" w:name="_Hlk165466231"/>
      <w:r w:rsidRPr="00744965">
        <w:t xml:space="preserve">RCT </w:t>
      </w:r>
      <w:bookmarkEnd w:id="48"/>
      <w:r w:rsidRPr="00744965">
        <w:t xml:space="preserve">assessed the efficacy and safety of 4 QD dose levels of </w:t>
      </w:r>
      <w:proofErr w:type="spellStart"/>
      <w:r w:rsidRPr="00744965">
        <w:t>abrocitinib</w:t>
      </w:r>
      <w:proofErr w:type="spellEnd"/>
      <w:r w:rsidRPr="00744965">
        <w:t xml:space="preserve"> (10, 30, 100 and 200 mg) compared to placebo over 12 weeks in 267 adults with moderate to severe AD. A dose-dependent response in terms of IGA response and change in EASI score was reported. Statistically significant differences compared with placebo for these endpoints were reported for the 100 and 200mg doses only.</w:t>
      </w:r>
    </w:p>
    <w:p w14:paraId="7A6DE0E3" w14:textId="77777777" w:rsidR="00744965" w:rsidRPr="00744965" w:rsidRDefault="00744965" w:rsidP="00903087">
      <w:r w:rsidRPr="00744965">
        <w:t xml:space="preserve">The safety and efficacy of </w:t>
      </w:r>
      <w:proofErr w:type="spellStart"/>
      <w:r w:rsidRPr="00744965">
        <w:t>abrocitinib</w:t>
      </w:r>
      <w:proofErr w:type="spellEnd"/>
      <w:r w:rsidRPr="00744965">
        <w:t xml:space="preserve"> were assessed with two pivotal studies with </w:t>
      </w:r>
      <w:proofErr w:type="spellStart"/>
      <w:r w:rsidRPr="00744965">
        <w:t>abrocitinib</w:t>
      </w:r>
      <w:proofErr w:type="spellEnd"/>
      <w:r w:rsidRPr="00744965">
        <w:t xml:space="preserve"> as monotherapy and one study with </w:t>
      </w:r>
      <w:proofErr w:type="spellStart"/>
      <w:r w:rsidRPr="00744965">
        <w:t>abrocitinib</w:t>
      </w:r>
      <w:proofErr w:type="spellEnd"/>
      <w:r w:rsidRPr="00744965">
        <w:t xml:space="preserve"> in comparison with dupilumab in adult subjects with moderate to severe AD.</w:t>
      </w:r>
    </w:p>
    <w:p w14:paraId="64594D10" w14:textId="77777777" w:rsidR="00744965" w:rsidRPr="00744965" w:rsidRDefault="00744965" w:rsidP="00903087">
      <w:pPr>
        <w:pStyle w:val="Heading4"/>
      </w:pPr>
      <w:bookmarkStart w:id="49" w:name="_Toc173925436"/>
      <w:r w:rsidRPr="00744965">
        <w:t>Study B7451012 (pivotal study)</w:t>
      </w:r>
      <w:bookmarkEnd w:id="49"/>
    </w:p>
    <w:p w14:paraId="50EE4E88" w14:textId="77777777" w:rsidR="00744965" w:rsidRPr="009F2436" w:rsidRDefault="00744965" w:rsidP="009F2436">
      <w:pPr>
        <w:rPr>
          <w:b/>
          <w:bCs/>
          <w:i/>
          <w:iCs/>
        </w:rPr>
      </w:pPr>
      <w:r w:rsidRPr="009F2436">
        <w:rPr>
          <w:b/>
          <w:bCs/>
          <w:i/>
          <w:iCs/>
        </w:rPr>
        <w:t xml:space="preserve">Study </w:t>
      </w:r>
      <w:proofErr w:type="gramStart"/>
      <w:r w:rsidRPr="009F2436">
        <w:rPr>
          <w:b/>
          <w:bCs/>
          <w:i/>
          <w:iCs/>
        </w:rPr>
        <w:t>design</w:t>
      </w:r>
      <w:proofErr w:type="gramEnd"/>
    </w:p>
    <w:p w14:paraId="61478A93" w14:textId="77777777" w:rsidR="00744965" w:rsidRPr="009F2436" w:rsidRDefault="00744965" w:rsidP="00903087">
      <w:r w:rsidRPr="00744965">
        <w:t xml:space="preserve">Phase 3 double-blind, RCT parallel-group study to evaluate the efficacy and safety of </w:t>
      </w:r>
      <w:proofErr w:type="spellStart"/>
      <w:r w:rsidRPr="00744965">
        <w:t>abrocitinib</w:t>
      </w:r>
      <w:proofErr w:type="spellEnd"/>
      <w:r w:rsidRPr="00744965">
        <w:t xml:space="preserve"> monotherapy in subjects aged 12 years and older with moderate-to-severe AD and a body weight &gt;40 kg.</w:t>
      </w:r>
    </w:p>
    <w:p w14:paraId="109C1B12" w14:textId="77777777" w:rsidR="00744965" w:rsidRPr="00744965" w:rsidRDefault="00744965" w:rsidP="00903087">
      <w:r w:rsidRPr="00744965">
        <w:t xml:space="preserve">Subjects were randomised in a 2:2:1 ratio to receive </w:t>
      </w:r>
      <w:proofErr w:type="spellStart"/>
      <w:r w:rsidRPr="00744965">
        <w:t>abrocitinib</w:t>
      </w:r>
      <w:proofErr w:type="spellEnd"/>
      <w:r w:rsidRPr="00744965">
        <w:t xml:space="preserve"> 200 mg once daily (QD), </w:t>
      </w:r>
      <w:proofErr w:type="spellStart"/>
      <w:r w:rsidRPr="00744965">
        <w:t>abrocitinib</w:t>
      </w:r>
      <w:proofErr w:type="spellEnd"/>
      <w:r w:rsidRPr="00744965">
        <w:t xml:space="preserve"> 100 mg QD, or placebo. The treatment duration was 12 weeks with 4 weeks’ follow-up. Non-medicated emollients/ moisturisers and antihistamines were allowed to be used concomitantly and medicated agents such as low and medium potency topical corticosteroids and topical calcineurin inhibitors were allowed during flare ups.</w:t>
      </w:r>
    </w:p>
    <w:p w14:paraId="4FC74A12" w14:textId="77777777" w:rsidR="00744965" w:rsidRPr="009F2436" w:rsidRDefault="00744965" w:rsidP="009F2436">
      <w:pPr>
        <w:rPr>
          <w:b/>
          <w:bCs/>
          <w:i/>
          <w:iCs/>
        </w:rPr>
      </w:pPr>
      <w:r w:rsidRPr="009F2436">
        <w:rPr>
          <w:b/>
          <w:bCs/>
          <w:i/>
          <w:iCs/>
        </w:rPr>
        <w:lastRenderedPageBreak/>
        <w:t>Key inclusion criteria:</w:t>
      </w:r>
    </w:p>
    <w:p w14:paraId="2B7167C9" w14:textId="77777777" w:rsidR="00744965" w:rsidRPr="009F2436" w:rsidRDefault="00744965" w:rsidP="009F2436">
      <w:pPr>
        <w:pStyle w:val="ListBullet"/>
      </w:pPr>
      <w:r w:rsidRPr="009F2436">
        <w:t>≥ 12 years old and ≤ 75 years old and a body weight of 40kg.</w:t>
      </w:r>
    </w:p>
    <w:p w14:paraId="38A75C4B" w14:textId="77777777" w:rsidR="00744965" w:rsidRPr="009F2436" w:rsidRDefault="00744965" w:rsidP="009F2436">
      <w:pPr>
        <w:pStyle w:val="ListBullet"/>
      </w:pPr>
      <w:r w:rsidRPr="009F2436">
        <w:t xml:space="preserve">Recent history of inadequate response to treatment with topical medications for at least 4 weeks, or for whom topical treatments are otherwise medically inadvisable </w:t>
      </w:r>
      <w:proofErr w:type="gramStart"/>
      <w:r w:rsidRPr="009F2436">
        <w:t>( because</w:t>
      </w:r>
      <w:proofErr w:type="gramEnd"/>
      <w:r w:rsidRPr="009F2436">
        <w:t xml:space="preserve"> of important side effects or safety risks), or who have required systemic therapies for control of their disease.</w:t>
      </w:r>
    </w:p>
    <w:p w14:paraId="078C6DA9" w14:textId="77777777" w:rsidR="00744965" w:rsidRPr="009F2436" w:rsidRDefault="00744965" w:rsidP="009F2436">
      <w:pPr>
        <w:pStyle w:val="ListBullet"/>
      </w:pPr>
      <w:r w:rsidRPr="009F2436">
        <w:t xml:space="preserve">Moderate to severe AD (affected body surface area (BSA) &gt;10%, IGA &gt;3, EASI &gt;16, and pruritus </w:t>
      </w:r>
      <w:bookmarkStart w:id="50" w:name="_Hlk165466259"/>
      <w:r w:rsidRPr="009F2436">
        <w:t xml:space="preserve">numeric rating scale [NRS] </w:t>
      </w:r>
      <w:bookmarkEnd w:id="50"/>
      <w:r w:rsidRPr="009F2436">
        <w:t>&gt;4 at the baseline visit).</w:t>
      </w:r>
    </w:p>
    <w:p w14:paraId="315799A7" w14:textId="60938674" w:rsidR="00744965" w:rsidRPr="00903087" w:rsidRDefault="00744965" w:rsidP="00903087">
      <w:pPr>
        <w:rPr>
          <w:b/>
          <w:bCs/>
          <w:i/>
          <w:iCs/>
        </w:rPr>
      </w:pPr>
      <w:r w:rsidRPr="00903087">
        <w:rPr>
          <w:b/>
          <w:bCs/>
          <w:i/>
          <w:iCs/>
        </w:rPr>
        <w:t>Key exclusion criteria</w:t>
      </w:r>
      <w:r w:rsidR="00903087" w:rsidRPr="00903087">
        <w:rPr>
          <w:b/>
          <w:bCs/>
          <w:i/>
          <w:iCs/>
        </w:rPr>
        <w:t>:</w:t>
      </w:r>
    </w:p>
    <w:p w14:paraId="08AE6A6C" w14:textId="77777777" w:rsidR="00744965" w:rsidRPr="009F2436" w:rsidRDefault="00744965" w:rsidP="009F2436">
      <w:pPr>
        <w:pStyle w:val="ListBullet"/>
      </w:pPr>
      <w:r w:rsidRPr="009F2436">
        <w:t xml:space="preserve">History of conditions associated with thrombocytopenia, coagulopathy or platelet </w:t>
      </w:r>
      <w:proofErr w:type="gramStart"/>
      <w:r w:rsidRPr="009F2436">
        <w:t>dysfunction</w:t>
      </w:r>
      <w:proofErr w:type="gramEnd"/>
    </w:p>
    <w:p w14:paraId="2635610A" w14:textId="77777777" w:rsidR="00744965" w:rsidRPr="009F2436" w:rsidRDefault="00744965" w:rsidP="009F2436">
      <w:pPr>
        <w:pStyle w:val="ListBullet"/>
      </w:pPr>
      <w:r w:rsidRPr="009F2436">
        <w:t xml:space="preserve">Have any malignancies or have a history of malignancies </w:t>
      </w:r>
      <w:proofErr w:type="gramStart"/>
      <w:r w:rsidRPr="009F2436">
        <w:t>with the exception of</w:t>
      </w:r>
      <w:proofErr w:type="gramEnd"/>
      <w:r w:rsidRPr="009F2436">
        <w:t xml:space="preserve"> adequately treated or excised non-metastatic basal cell or squamous cell cancer of the skin, or cervical carcinoma in situ.</w:t>
      </w:r>
    </w:p>
    <w:p w14:paraId="68D89220" w14:textId="77777777" w:rsidR="00744965" w:rsidRPr="00903087" w:rsidRDefault="00744965" w:rsidP="009F2436">
      <w:r w:rsidRPr="00744965">
        <w:t xml:space="preserve">At baseline, the median age of study population was 29 years, majority were aged 18-65 years (74%) and 22% (84/387) of the subjects were adolescents. 4.1% of subjects were &gt;65 years of age. The median BMI was 25.8 kg/m2. Randomised subjects showed characteristics representing moderate-to-severe AD population at baseline, 59.2% and 40.8% of the study population had IGA moderate and severe respectively. Median EASI score was 25.6 and median </w:t>
      </w:r>
      <w:bookmarkStart w:id="51" w:name="_Hlk165466269"/>
      <w:r w:rsidRPr="00744965">
        <w:t xml:space="preserve">body surface area (BSA) </w:t>
      </w:r>
      <w:bookmarkEnd w:id="51"/>
      <w:r w:rsidRPr="00744965">
        <w:t>affected was 45%. Overall, 47.8% had received topical agents only (mainly topical corticosteroids and about 12.9% had received topical calcineurin inhibitors). 48.3% of the study population had received systemic agents including 8% treated with prior dupilumab).</w:t>
      </w:r>
    </w:p>
    <w:p w14:paraId="576AB921" w14:textId="77777777" w:rsidR="00744965" w:rsidRPr="009F2436" w:rsidRDefault="00744965" w:rsidP="009F2436">
      <w:pPr>
        <w:rPr>
          <w:b/>
          <w:bCs/>
          <w:i/>
          <w:iCs/>
        </w:rPr>
      </w:pPr>
      <w:r w:rsidRPr="009F2436">
        <w:rPr>
          <w:b/>
          <w:bCs/>
          <w:i/>
          <w:iCs/>
        </w:rPr>
        <w:t>The Co-Primary Endpoints were:</w:t>
      </w:r>
    </w:p>
    <w:p w14:paraId="344D0938" w14:textId="77777777" w:rsidR="00744965" w:rsidRPr="009F2436" w:rsidRDefault="00744965" w:rsidP="009F2436">
      <w:pPr>
        <w:pStyle w:val="ListBullet"/>
      </w:pPr>
      <w:r w:rsidRPr="009F2436">
        <w:t>Treatment response based on IGA score of clear (0) or almost clear (1) and a reduction from baseline of &gt;2 points.</w:t>
      </w:r>
    </w:p>
    <w:p w14:paraId="0A678835" w14:textId="77777777" w:rsidR="00744965" w:rsidRPr="009F2436" w:rsidRDefault="00744965" w:rsidP="009F2436">
      <w:pPr>
        <w:pStyle w:val="ListBullet"/>
      </w:pPr>
      <w:r w:rsidRPr="009F2436">
        <w:t>Treatment response based on the EASI 75% improvement from baseline (EASI-75) response.</w:t>
      </w:r>
    </w:p>
    <w:p w14:paraId="40E10B15" w14:textId="77777777" w:rsidR="00744965" w:rsidRPr="009F2436" w:rsidRDefault="00744965" w:rsidP="009F2436">
      <w:pPr>
        <w:rPr>
          <w:b/>
          <w:bCs/>
          <w:i/>
          <w:iCs/>
        </w:rPr>
      </w:pPr>
      <w:r w:rsidRPr="009F2436">
        <w:rPr>
          <w:b/>
          <w:bCs/>
          <w:i/>
          <w:iCs/>
        </w:rPr>
        <w:t>The Key Secondary Endpoints were:</w:t>
      </w:r>
    </w:p>
    <w:p w14:paraId="1472F674" w14:textId="77777777" w:rsidR="00744965" w:rsidRPr="00744965" w:rsidRDefault="00744965" w:rsidP="00903087">
      <w:pPr>
        <w:pStyle w:val="ListBullet"/>
      </w:pPr>
      <w:r w:rsidRPr="00744965">
        <w:t>Response based on at least 4-points improvement in the severity of pruritus numerical rating scale (NRS) from baseline at Weeks 2, 4, and 12.</w:t>
      </w:r>
    </w:p>
    <w:p w14:paraId="1965811B" w14:textId="77777777" w:rsidR="00744965" w:rsidRPr="00744965" w:rsidRDefault="00744965" w:rsidP="00903087">
      <w:pPr>
        <w:pStyle w:val="ListBullet"/>
      </w:pPr>
      <w:r w:rsidRPr="00744965">
        <w:t>Change from Baseline in Pruritus and Symptoms Assessment for Atopic Dermatitis (PSAAD) total score.</w:t>
      </w:r>
    </w:p>
    <w:p w14:paraId="6616AECA" w14:textId="77777777" w:rsidR="00744965" w:rsidRPr="00744965" w:rsidRDefault="00744965" w:rsidP="009F2436">
      <w:r w:rsidRPr="00744965">
        <w:t>Treatment response assessment for improvement in the severity of pruritus numerical rating scale (NRS) from baseline was one of the other secondary efficacy endpoints.</w:t>
      </w:r>
    </w:p>
    <w:p w14:paraId="0F3C6E40" w14:textId="77777777" w:rsidR="00744965" w:rsidRPr="009F2436" w:rsidRDefault="00744965" w:rsidP="009F2436">
      <w:pPr>
        <w:rPr>
          <w:b/>
          <w:bCs/>
          <w:i/>
          <w:iCs/>
        </w:rPr>
      </w:pPr>
      <w:r w:rsidRPr="009F2436">
        <w:rPr>
          <w:b/>
          <w:bCs/>
          <w:i/>
          <w:iCs/>
        </w:rPr>
        <w:t>Results</w:t>
      </w:r>
    </w:p>
    <w:p w14:paraId="1C5E5230" w14:textId="77777777" w:rsidR="00744965" w:rsidRPr="00744965" w:rsidRDefault="00744965" w:rsidP="009F2436">
      <w:r w:rsidRPr="00744965">
        <w:t xml:space="preserve">At week 12 of treatment period, a greater proportion of subjects in both </w:t>
      </w:r>
      <w:proofErr w:type="spellStart"/>
      <w:r w:rsidRPr="00744965">
        <w:t>abrocitinib</w:t>
      </w:r>
      <w:proofErr w:type="spellEnd"/>
      <w:r w:rsidRPr="00744965">
        <w:t xml:space="preserve"> 200mg and a100 mg arms achieved IGA response of ‘clear’ or ‘almost clear’ and &gt; 2 points improvement from baseline, compared to placebo arm. The treatment difference was 15% and 36% for the 100 mg and 200 mg </w:t>
      </w:r>
      <w:proofErr w:type="spellStart"/>
      <w:r w:rsidRPr="00744965">
        <w:t>abrocitinib</w:t>
      </w:r>
      <w:proofErr w:type="spellEnd"/>
      <w:r w:rsidRPr="00744965">
        <w:t xml:space="preserve"> arms and was statistically significant (Table 4).</w:t>
      </w:r>
    </w:p>
    <w:p w14:paraId="6983B31B" w14:textId="77777777" w:rsidR="00744965" w:rsidRPr="00744965" w:rsidRDefault="00744965" w:rsidP="00903087">
      <w:pPr>
        <w:pStyle w:val="TableTitle"/>
      </w:pPr>
      <w:r w:rsidRPr="00744965">
        <w:lastRenderedPageBreak/>
        <w:t>Table 4. Proportion of subjects with IGA responses at week 12</w:t>
      </w:r>
    </w:p>
    <w:p w14:paraId="7C7B116F" w14:textId="77777777" w:rsidR="00744965" w:rsidRPr="00744965" w:rsidRDefault="00744965" w:rsidP="00903087">
      <w:bookmarkStart w:id="52" w:name="_Toc165471223"/>
      <w:bookmarkStart w:id="53" w:name="_Toc165471522"/>
      <w:r w:rsidRPr="00744965">
        <w:rPr>
          <w:noProof/>
        </w:rPr>
        <w:drawing>
          <wp:inline distT="0" distB="0" distL="0" distR="0" wp14:anchorId="57EF9EC6" wp14:editId="08E14DE3">
            <wp:extent cx="6015309" cy="2194560"/>
            <wp:effectExtent l="0" t="0" r="5080" b="0"/>
            <wp:docPr id="1735374707" name="Picture 3" descr="Proportion of subjects with IGA responses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74707" name="Picture 3" descr="Proportion of subjects with IGA responses at week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439" cy="2201904"/>
                    </a:xfrm>
                    <a:prstGeom prst="rect">
                      <a:avLst/>
                    </a:prstGeom>
                    <a:noFill/>
                    <a:ln>
                      <a:noFill/>
                    </a:ln>
                  </pic:spPr>
                </pic:pic>
              </a:graphicData>
            </a:graphic>
          </wp:inline>
        </w:drawing>
      </w:r>
      <w:bookmarkEnd w:id="52"/>
      <w:bookmarkEnd w:id="53"/>
    </w:p>
    <w:p w14:paraId="21F6019A" w14:textId="77777777" w:rsidR="00744965" w:rsidRPr="00744965" w:rsidRDefault="00744965" w:rsidP="009F2436">
      <w:r w:rsidRPr="00744965">
        <w:t xml:space="preserve">A greater proportion of subjects in </w:t>
      </w:r>
      <w:proofErr w:type="spellStart"/>
      <w:r w:rsidRPr="00744965">
        <w:t>abrocitinib</w:t>
      </w:r>
      <w:proofErr w:type="spellEnd"/>
      <w:r w:rsidRPr="00744965">
        <w:t xml:space="preserve"> 200mg (51.0%) and 100mg (27.9%) arms achieved a 75% reduction from baseline in the Eczema Area and Severity Index (EASI-75) score, compared to placebo. The treatment difference was statistically significant (Table 5).</w:t>
      </w:r>
    </w:p>
    <w:p w14:paraId="5269C84A" w14:textId="77777777" w:rsidR="00744965" w:rsidRPr="00744965" w:rsidRDefault="00744965" w:rsidP="00903087">
      <w:pPr>
        <w:pStyle w:val="TableTitle"/>
      </w:pPr>
      <w:r w:rsidRPr="00744965">
        <w:t xml:space="preserve">Table 5. Proportion of subjects </w:t>
      </w:r>
      <w:r w:rsidRPr="00903087">
        <w:t>achieving</w:t>
      </w:r>
      <w:r w:rsidRPr="00744965">
        <w:t xml:space="preserve"> EASI 75 at week 12</w:t>
      </w:r>
    </w:p>
    <w:p w14:paraId="3F359606" w14:textId="77777777" w:rsidR="00744965" w:rsidRPr="00744965" w:rsidRDefault="00744965" w:rsidP="00903087">
      <w:r w:rsidRPr="00744965">
        <w:rPr>
          <w:noProof/>
        </w:rPr>
        <w:drawing>
          <wp:inline distT="0" distB="0" distL="0" distR="0" wp14:anchorId="21CCCC15" wp14:editId="7C4E8DBB">
            <wp:extent cx="6108668" cy="2232660"/>
            <wp:effectExtent l="0" t="0" r="6985" b="0"/>
            <wp:docPr id="893042015" name="Picture 4" descr="Proportion of subjects achieving EASI 75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2015" name="Picture 4" descr="Proportion of subjects achieving EASI 75 at wee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749" cy="2247675"/>
                    </a:xfrm>
                    <a:prstGeom prst="rect">
                      <a:avLst/>
                    </a:prstGeom>
                    <a:noFill/>
                    <a:ln>
                      <a:noFill/>
                    </a:ln>
                  </pic:spPr>
                </pic:pic>
              </a:graphicData>
            </a:graphic>
          </wp:inline>
        </w:drawing>
      </w:r>
    </w:p>
    <w:p w14:paraId="15CA2711" w14:textId="77777777" w:rsidR="00744965" w:rsidRPr="009F2436" w:rsidRDefault="00744965" w:rsidP="009F2436">
      <w:pPr>
        <w:rPr>
          <w:b/>
          <w:bCs/>
          <w:i/>
          <w:iCs/>
        </w:rPr>
      </w:pPr>
      <w:r w:rsidRPr="009F2436">
        <w:rPr>
          <w:b/>
          <w:bCs/>
          <w:i/>
          <w:iCs/>
        </w:rPr>
        <w:t>Key secondary endpoints</w:t>
      </w:r>
    </w:p>
    <w:p w14:paraId="074977EB" w14:textId="77777777" w:rsidR="00744965" w:rsidRPr="00744965" w:rsidRDefault="00744965" w:rsidP="009F2436">
      <w:r w:rsidRPr="00744965">
        <w:t xml:space="preserve">At Week 12, both </w:t>
      </w:r>
      <w:proofErr w:type="spellStart"/>
      <w:r w:rsidRPr="00744965">
        <w:t>abrocitinib</w:t>
      </w:r>
      <w:proofErr w:type="spellEnd"/>
      <w:r w:rsidRPr="00744965">
        <w:t xml:space="preserve"> 100 and 200mg arms had greater proportions of subjects achieving ≥4 points improvement from baseline in NRS for severity of pruritus (PP-NRS4) responders compared with the placebo group. The onset of pruritus relief was evident at week 2 and plateauing by Week 4. Compared to placebo, both </w:t>
      </w:r>
      <w:proofErr w:type="spellStart"/>
      <w:r w:rsidRPr="00744965">
        <w:t>abrocitinib</w:t>
      </w:r>
      <w:proofErr w:type="spellEnd"/>
      <w:r w:rsidRPr="00744965">
        <w:t xml:space="preserve"> treatment groups showed statistically significant decreases from baseline at Week 12 in the PSAAD scores (Table 6).</w:t>
      </w:r>
    </w:p>
    <w:p w14:paraId="288A2373" w14:textId="77777777" w:rsidR="00744965" w:rsidRPr="00744965" w:rsidRDefault="00744965" w:rsidP="009F2436">
      <w:pPr>
        <w:pStyle w:val="TableTitle"/>
      </w:pPr>
      <w:r w:rsidRPr="00744965">
        <w:t>Table 6. Proportion of subjects achieving &gt;4= points improvement from baseline in numeric rating scale for severity of pruritus</w:t>
      </w:r>
    </w:p>
    <w:p w14:paraId="567ECBA4" w14:textId="77777777" w:rsidR="00744965" w:rsidRPr="00744965" w:rsidRDefault="00744965" w:rsidP="009F2436">
      <w:r w:rsidRPr="00744965">
        <w:rPr>
          <w:noProof/>
        </w:rPr>
        <w:drawing>
          <wp:inline distT="0" distB="0" distL="0" distR="0" wp14:anchorId="3A42E08D" wp14:editId="1A923406">
            <wp:extent cx="5865713" cy="1493491"/>
            <wp:effectExtent l="0" t="0" r="1905" b="0"/>
            <wp:docPr id="1914479035" name="Picture 5" descr="Proportion of subjects achieving &gt;4= points improvement from baseline in numeric rating scale for severity of pru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79035" name="Picture 5" descr="Proportion of subjects achieving &gt;4= points improvement from baseline in numeric rating scale for severity of pruritus"/>
                    <pic:cNvPicPr>
                      <a:picLocks noChangeAspect="1" noChangeArrowheads="1"/>
                    </pic:cNvPicPr>
                  </pic:nvPicPr>
                  <pic:blipFill rotWithShape="1">
                    <a:blip r:embed="rId21">
                      <a:extLst>
                        <a:ext uri="{28A0092B-C50C-407E-A947-70E740481C1C}">
                          <a14:useLocalDpi xmlns:a14="http://schemas.microsoft.com/office/drawing/2010/main" val="0"/>
                        </a:ext>
                      </a:extLst>
                    </a:blip>
                    <a:srcRect l="535"/>
                    <a:stretch/>
                  </pic:blipFill>
                  <pic:spPr bwMode="auto">
                    <a:xfrm>
                      <a:off x="0" y="0"/>
                      <a:ext cx="5916450" cy="1506409"/>
                    </a:xfrm>
                    <a:prstGeom prst="rect">
                      <a:avLst/>
                    </a:prstGeom>
                    <a:noFill/>
                    <a:ln>
                      <a:noFill/>
                    </a:ln>
                    <a:extLst>
                      <a:ext uri="{53640926-AAD7-44D8-BBD7-CCE9431645EC}">
                        <a14:shadowObscured xmlns:a14="http://schemas.microsoft.com/office/drawing/2010/main"/>
                      </a:ext>
                    </a:extLst>
                  </pic:spPr>
                </pic:pic>
              </a:graphicData>
            </a:graphic>
          </wp:inline>
        </w:drawing>
      </w:r>
    </w:p>
    <w:p w14:paraId="59573CC0" w14:textId="77777777" w:rsidR="00744965" w:rsidRPr="00744965" w:rsidRDefault="00744965" w:rsidP="009F2436">
      <w:r w:rsidRPr="00744965">
        <w:lastRenderedPageBreak/>
        <w:t xml:space="preserve">A greater improvement in “other secondary endpoints” was also reported in </w:t>
      </w:r>
      <w:proofErr w:type="spellStart"/>
      <w:r w:rsidRPr="00744965">
        <w:t>abrocitinib</w:t>
      </w:r>
      <w:proofErr w:type="spellEnd"/>
      <w:r w:rsidRPr="00744965">
        <w:t xml:space="preserve"> arms, compared to placebo. The treatment differences were statistically significant.</w:t>
      </w:r>
    </w:p>
    <w:p w14:paraId="02C27A5B" w14:textId="77777777" w:rsidR="00744965" w:rsidRPr="00744965" w:rsidRDefault="00744965" w:rsidP="009F2436">
      <w:pPr>
        <w:pStyle w:val="Heading4"/>
      </w:pPr>
      <w:bookmarkStart w:id="54" w:name="_Toc173925437"/>
      <w:r w:rsidRPr="00744965">
        <w:t>Study B7451013 (pivotal study)</w:t>
      </w:r>
      <w:bookmarkEnd w:id="54"/>
    </w:p>
    <w:p w14:paraId="79DC980C" w14:textId="77777777" w:rsidR="00744965" w:rsidRPr="00744965" w:rsidRDefault="00744965" w:rsidP="009F2436">
      <w:r w:rsidRPr="00744965">
        <w:t>The study design and objectives for this Phase 3 study were identical to the study B7451012.</w:t>
      </w:r>
    </w:p>
    <w:p w14:paraId="1EC1FDE6" w14:textId="77777777" w:rsidR="00744965" w:rsidRPr="00744965" w:rsidRDefault="00744965" w:rsidP="009F2436">
      <w:r w:rsidRPr="00744965">
        <w:t>391 subjects were randomised to the study. The median age of randomised subjects was 31.0 years. 10.2% of the subjects were adolescents. 4.9% of subjects were &gt;65 years of age.</w:t>
      </w:r>
    </w:p>
    <w:p w14:paraId="13361C93" w14:textId="77777777" w:rsidR="00744965" w:rsidRPr="009F2436" w:rsidRDefault="00744965" w:rsidP="009F2436">
      <w:r w:rsidRPr="00744965">
        <w:t>Baseline disease characteristics were balanced across treatment groups. The median disease duration was approximately 19.6 years, 67.8% had moderate and 32.2% had severe AD by IGA scores. The median EASI score of randomised subjects was 25.2, median %BSA was 44.0% and median PP-NRS was 7.0. 99.2% of subjects had received prior treatments for AD, with topical agents by about 58% of subjects. Overall, 41% of subjects received prior systemic agents that included corticosteroids (29%) and cyclosporine (13%). Biologics were used by 25 subjects (6.4%) overall, including 14 subjects (3.6%) using dupilumab.</w:t>
      </w:r>
    </w:p>
    <w:p w14:paraId="1DF2F9D6" w14:textId="77777777" w:rsidR="00744965" w:rsidRPr="009F2436" w:rsidRDefault="00744965" w:rsidP="009F2436">
      <w:pPr>
        <w:rPr>
          <w:b/>
          <w:bCs/>
          <w:i/>
          <w:iCs/>
        </w:rPr>
      </w:pPr>
      <w:r w:rsidRPr="009F2436">
        <w:rPr>
          <w:b/>
          <w:bCs/>
          <w:i/>
          <w:iCs/>
        </w:rPr>
        <w:t>Results</w:t>
      </w:r>
    </w:p>
    <w:p w14:paraId="0D6756B2" w14:textId="77777777" w:rsidR="00744965" w:rsidRPr="00744965" w:rsidRDefault="00744965" w:rsidP="009F2436">
      <w:r w:rsidRPr="00744965">
        <w:t xml:space="preserve">Both co-primary endpoints were met. Both </w:t>
      </w:r>
      <w:proofErr w:type="spellStart"/>
      <w:r w:rsidRPr="00744965">
        <w:t>abrocitinib</w:t>
      </w:r>
      <w:proofErr w:type="spellEnd"/>
      <w:r w:rsidRPr="00744965">
        <w:t xml:space="preserve"> 200 mg QD and 100 mg QD treatment groups demonstrated statistically significantly greater IGA and EASI-75 responses compared with the placebo group (Table 7, 8).</w:t>
      </w:r>
    </w:p>
    <w:p w14:paraId="507596DF" w14:textId="77777777" w:rsidR="00744965" w:rsidRPr="00744965" w:rsidRDefault="00744965" w:rsidP="009F2436">
      <w:pPr>
        <w:pStyle w:val="TableTitle"/>
      </w:pPr>
      <w:r w:rsidRPr="00744965">
        <w:t>Table 7. Proportion of subjects achieving IGA response of ‘clear’ or ‘almost clear’ and &gt; 2 points improvement from baseline at week 12</w:t>
      </w:r>
    </w:p>
    <w:p w14:paraId="4A29C94B" w14:textId="77777777" w:rsidR="00744965" w:rsidRPr="00744965" w:rsidRDefault="00744965" w:rsidP="009F2436">
      <w:r w:rsidRPr="00744965">
        <w:rPr>
          <w:noProof/>
        </w:rPr>
        <w:drawing>
          <wp:inline distT="0" distB="0" distL="0" distR="0" wp14:anchorId="3DDC19E2" wp14:editId="764841B2">
            <wp:extent cx="5716433" cy="2278380"/>
            <wp:effectExtent l="0" t="0" r="0" b="7620"/>
            <wp:docPr id="667900179" name="Picture 6" descr="Proportion of subjects achieving IGA response of ‘clear’ or ‘almost clear’ and &gt; 2 points improvement from baselin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00179" name="Picture 6" descr="Proportion of subjects achieving IGA response of ‘clear’ or ‘almost clear’ and &gt; 2 points improvement from baseline at week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075" cy="2292984"/>
                    </a:xfrm>
                    <a:prstGeom prst="rect">
                      <a:avLst/>
                    </a:prstGeom>
                    <a:noFill/>
                    <a:ln>
                      <a:noFill/>
                    </a:ln>
                  </pic:spPr>
                </pic:pic>
              </a:graphicData>
            </a:graphic>
          </wp:inline>
        </w:drawing>
      </w:r>
    </w:p>
    <w:p w14:paraId="13C70EA3" w14:textId="77777777" w:rsidR="00744965" w:rsidRPr="00744965" w:rsidRDefault="00744965" w:rsidP="009F2436">
      <w:pPr>
        <w:pStyle w:val="TableTitle"/>
      </w:pPr>
      <w:r w:rsidRPr="00744965">
        <w:t>Table 8. Proportion of subjects achieving EASI 75 at week 12</w:t>
      </w:r>
    </w:p>
    <w:p w14:paraId="56894B4B" w14:textId="77777777" w:rsidR="00744965" w:rsidRPr="00744965" w:rsidRDefault="00744965" w:rsidP="009F2436">
      <w:r w:rsidRPr="00744965">
        <w:rPr>
          <w:noProof/>
        </w:rPr>
        <w:drawing>
          <wp:inline distT="0" distB="0" distL="0" distR="0" wp14:anchorId="222D8480" wp14:editId="6C92FDFA">
            <wp:extent cx="5683667" cy="2286000"/>
            <wp:effectExtent l="0" t="0" r="0" b="0"/>
            <wp:docPr id="68810809" name="Picture 8" descr="Proportion of subjects achieving EASI 75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0809" name="Picture 8" descr="Proportion of subjects achieving EASI 75 at week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480" cy="2298393"/>
                    </a:xfrm>
                    <a:prstGeom prst="rect">
                      <a:avLst/>
                    </a:prstGeom>
                    <a:noFill/>
                    <a:ln>
                      <a:noFill/>
                    </a:ln>
                  </pic:spPr>
                </pic:pic>
              </a:graphicData>
            </a:graphic>
          </wp:inline>
        </w:drawing>
      </w:r>
    </w:p>
    <w:p w14:paraId="6C1A7268" w14:textId="77777777" w:rsidR="00744965" w:rsidRPr="00744965" w:rsidRDefault="00744965" w:rsidP="009F2436">
      <w:r w:rsidRPr="00744965">
        <w:lastRenderedPageBreak/>
        <w:t xml:space="preserve">Both key secondary endpoints were met. At week 12, a greater proportion of subjects in </w:t>
      </w:r>
      <w:proofErr w:type="spellStart"/>
      <w:r w:rsidRPr="00744965">
        <w:t>abrocitinib</w:t>
      </w:r>
      <w:proofErr w:type="spellEnd"/>
      <w:r w:rsidRPr="00744965">
        <w:t xml:space="preserve"> arms achieved improvement inPP-NRS-4 (≥ 4 points). A greater improvement in PSAAD score was reported in </w:t>
      </w:r>
      <w:proofErr w:type="spellStart"/>
      <w:r w:rsidRPr="00744965">
        <w:t>abrocitinib</w:t>
      </w:r>
      <w:proofErr w:type="spellEnd"/>
      <w:r w:rsidRPr="00744965">
        <w:t xml:space="preserve"> arms, compared to placebo. The treatment difference was statistically significant (Table 9, 10).</w:t>
      </w:r>
    </w:p>
    <w:p w14:paraId="4DA3EAC7" w14:textId="77777777" w:rsidR="00744965" w:rsidRPr="00744965" w:rsidRDefault="00744965" w:rsidP="009F2436">
      <w:pPr>
        <w:pStyle w:val="TableTitle"/>
      </w:pPr>
      <w:r w:rsidRPr="00744965">
        <w:t>Table 9. Proportion of subjects with ≥ 4 points improvement from baseline in NRS score for pruritis.</w:t>
      </w:r>
    </w:p>
    <w:p w14:paraId="2472BCD2" w14:textId="77777777" w:rsidR="00744965" w:rsidRPr="00744965" w:rsidRDefault="00744965" w:rsidP="009F2436">
      <w:r w:rsidRPr="00744965">
        <w:rPr>
          <w:noProof/>
        </w:rPr>
        <w:drawing>
          <wp:inline distT="0" distB="0" distL="0" distR="0" wp14:anchorId="1FADCEDA" wp14:editId="3E30D9B6">
            <wp:extent cx="5697321" cy="1805940"/>
            <wp:effectExtent l="0" t="0" r="0" b="3810"/>
            <wp:docPr id="2040228003" name="Picture 9" descr="Proportion of subjects with ≥ 4 points improvement from baseline in NRS score for pru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28003" name="Picture 9" descr="Proportion of subjects with ≥ 4 points improvement from baseline in NRS score for pruritis"/>
                    <pic:cNvPicPr>
                      <a:picLocks noChangeAspect="1" noChangeArrowheads="1"/>
                    </pic:cNvPicPr>
                  </pic:nvPicPr>
                  <pic:blipFill rotWithShape="1">
                    <a:blip r:embed="rId24">
                      <a:extLst>
                        <a:ext uri="{28A0092B-C50C-407E-A947-70E740481C1C}">
                          <a14:useLocalDpi xmlns:a14="http://schemas.microsoft.com/office/drawing/2010/main" val="0"/>
                        </a:ext>
                      </a:extLst>
                    </a:blip>
                    <a:srcRect t="57051"/>
                    <a:stretch/>
                  </pic:blipFill>
                  <pic:spPr bwMode="auto">
                    <a:xfrm>
                      <a:off x="0" y="0"/>
                      <a:ext cx="5728325" cy="1815768"/>
                    </a:xfrm>
                    <a:prstGeom prst="rect">
                      <a:avLst/>
                    </a:prstGeom>
                    <a:noFill/>
                    <a:ln>
                      <a:noFill/>
                    </a:ln>
                    <a:extLst>
                      <a:ext uri="{53640926-AAD7-44D8-BBD7-CCE9431645EC}">
                        <a14:shadowObscured xmlns:a14="http://schemas.microsoft.com/office/drawing/2010/main"/>
                      </a:ext>
                    </a:extLst>
                  </pic:spPr>
                </pic:pic>
              </a:graphicData>
            </a:graphic>
          </wp:inline>
        </w:drawing>
      </w:r>
    </w:p>
    <w:p w14:paraId="60C286AD" w14:textId="77777777" w:rsidR="00744965" w:rsidRPr="00744965" w:rsidRDefault="00744965" w:rsidP="009F2436">
      <w:pPr>
        <w:pStyle w:val="TableTitle"/>
      </w:pPr>
      <w:r w:rsidRPr="00744965">
        <w:t xml:space="preserve">Table 10. Least squares mean of change from baseline in </w:t>
      </w:r>
      <w:bookmarkStart w:id="55" w:name="_Hlk165466508"/>
      <w:r w:rsidRPr="00744965">
        <w:t xml:space="preserve">pruritus and symptoms assessment for atopic dermatitis (PSAAD) </w:t>
      </w:r>
      <w:bookmarkEnd w:id="55"/>
      <w:r w:rsidRPr="00744965">
        <w:t>at week 12 – MMRM (PPAS, OD).</w:t>
      </w:r>
    </w:p>
    <w:p w14:paraId="21B57224" w14:textId="77777777" w:rsidR="00744965" w:rsidRPr="00744965" w:rsidRDefault="00744965" w:rsidP="009F2436">
      <w:r w:rsidRPr="00744965">
        <w:rPr>
          <w:noProof/>
        </w:rPr>
        <w:drawing>
          <wp:inline distT="0" distB="0" distL="0" distR="0" wp14:anchorId="1E134341" wp14:editId="411EAC09">
            <wp:extent cx="5695217" cy="3933497"/>
            <wp:effectExtent l="0" t="0" r="1270" b="0"/>
            <wp:docPr id="1900504922" name="Picture 10" descr="Least squares mean of change from baseline in pruritus and symptoms assessment for atopic dermatitis (PSAAD) at week 12 – MMRM (PPAS, 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04922" name="Picture 10" descr="Least squares mean of change from baseline in pruritus and symptoms assessment for atopic dermatitis (PSAAD) at week 12 – MMRM (PPAS, 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560" cy="3966196"/>
                    </a:xfrm>
                    <a:prstGeom prst="rect">
                      <a:avLst/>
                    </a:prstGeom>
                    <a:noFill/>
                    <a:ln>
                      <a:noFill/>
                    </a:ln>
                  </pic:spPr>
                </pic:pic>
              </a:graphicData>
            </a:graphic>
          </wp:inline>
        </w:drawing>
      </w:r>
    </w:p>
    <w:p w14:paraId="48E89A02" w14:textId="77777777" w:rsidR="00744965" w:rsidRPr="00744965" w:rsidRDefault="00744965" w:rsidP="00AF22D5">
      <w:r w:rsidRPr="00744965">
        <w:t xml:space="preserve">Subjects in </w:t>
      </w:r>
      <w:proofErr w:type="spellStart"/>
      <w:r w:rsidRPr="00744965">
        <w:t>abrocitinib</w:t>
      </w:r>
      <w:proofErr w:type="spellEnd"/>
      <w:r w:rsidRPr="00744965">
        <w:t xml:space="preserve"> arms achieved a greater improvement in other secondary endpoints and patient reported outcomes, compared to placebo. The treatment differences were statistically significant.</w:t>
      </w:r>
    </w:p>
    <w:p w14:paraId="1E690AC8" w14:textId="77777777" w:rsidR="00744965" w:rsidRPr="00744965" w:rsidRDefault="00744965" w:rsidP="00AF22D5">
      <w:pPr>
        <w:pStyle w:val="Heading4"/>
      </w:pPr>
      <w:bookmarkStart w:id="56" w:name="_Toc173925438"/>
      <w:r w:rsidRPr="00744965">
        <w:t>Study B7451029</w:t>
      </w:r>
      <w:bookmarkEnd w:id="56"/>
    </w:p>
    <w:p w14:paraId="3ECF5C25" w14:textId="77777777" w:rsidR="00744965" w:rsidRPr="00AF22D5" w:rsidRDefault="00744965" w:rsidP="00AF22D5">
      <w:pPr>
        <w:rPr>
          <w:b/>
          <w:bCs/>
          <w:i/>
          <w:iCs/>
        </w:rPr>
      </w:pPr>
      <w:r w:rsidRPr="00AF22D5">
        <w:rPr>
          <w:b/>
          <w:bCs/>
          <w:i/>
          <w:iCs/>
        </w:rPr>
        <w:t xml:space="preserve">Study design and primary </w:t>
      </w:r>
      <w:proofErr w:type="gramStart"/>
      <w:r w:rsidRPr="00AF22D5">
        <w:rPr>
          <w:b/>
          <w:bCs/>
          <w:i/>
          <w:iCs/>
        </w:rPr>
        <w:t>endpoints</w:t>
      </w:r>
      <w:proofErr w:type="gramEnd"/>
    </w:p>
    <w:p w14:paraId="340EC7D7" w14:textId="77777777" w:rsidR="00744965" w:rsidRPr="00744965" w:rsidRDefault="00744965" w:rsidP="00AF22D5">
      <w:r w:rsidRPr="00744965">
        <w:lastRenderedPageBreak/>
        <w:t xml:space="preserve">Phase 3, double-blind, double-dummy RCT to evaluate the efficacy and safety of </w:t>
      </w:r>
      <w:proofErr w:type="spellStart"/>
      <w:r w:rsidRPr="00744965">
        <w:t>abrocitinib</w:t>
      </w:r>
      <w:proofErr w:type="spellEnd"/>
      <w:r w:rsidRPr="00744965">
        <w:t xml:space="preserve"> (100mg and 200mg QD) and dupilumab compared with placebo in adults on background topical therapy with moderate to severe AD (Figure 2). Non-medicated topical therapy (i.e., emollients) were required to be used at least twice daily for the last 7 days prior to Day 1 and standardised background topical therapy was used as per protocol guidelines, throughout the duration of the study. Primary endpoints were measured at week 12.</w:t>
      </w:r>
    </w:p>
    <w:p w14:paraId="2E0E3899" w14:textId="77777777" w:rsidR="00744965" w:rsidRPr="00744965" w:rsidRDefault="00744965" w:rsidP="00AF22D5">
      <w:pPr>
        <w:pStyle w:val="FigureTitle"/>
      </w:pPr>
      <w:r w:rsidRPr="00744965">
        <w:t xml:space="preserve">Figure 2. Study B7451029 design </w:t>
      </w:r>
      <w:proofErr w:type="gramStart"/>
      <w:r w:rsidRPr="00744965">
        <w:t>schematic</w:t>
      </w:r>
      <w:proofErr w:type="gramEnd"/>
    </w:p>
    <w:p w14:paraId="5E45FE43" w14:textId="77777777" w:rsidR="00AF22D5" w:rsidRDefault="00744965" w:rsidP="00AF22D5">
      <w:r w:rsidRPr="00744965">
        <w:rPr>
          <w:noProof/>
        </w:rPr>
        <w:drawing>
          <wp:inline distT="0" distB="0" distL="0" distR="0" wp14:anchorId="1DBB7C2E" wp14:editId="099FEE47">
            <wp:extent cx="5759450" cy="3529330"/>
            <wp:effectExtent l="0" t="0" r="0" b="0"/>
            <wp:docPr id="822600526" name="Picture 1" descr="Study B7451029 desig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00526" name="Picture 1" descr="Study B7451029 design schematic"/>
                    <pic:cNvPicPr/>
                  </pic:nvPicPr>
                  <pic:blipFill>
                    <a:blip r:embed="rId26"/>
                    <a:stretch>
                      <a:fillRect/>
                    </a:stretch>
                  </pic:blipFill>
                  <pic:spPr>
                    <a:xfrm>
                      <a:off x="0" y="0"/>
                      <a:ext cx="5759450" cy="3529330"/>
                    </a:xfrm>
                    <a:prstGeom prst="rect">
                      <a:avLst/>
                    </a:prstGeom>
                  </pic:spPr>
                </pic:pic>
              </a:graphicData>
            </a:graphic>
          </wp:inline>
        </w:drawing>
      </w:r>
    </w:p>
    <w:p w14:paraId="3581B6EB" w14:textId="64C114C0" w:rsidR="00744965" w:rsidRPr="00744965" w:rsidRDefault="00744965" w:rsidP="00AF22D5">
      <w:r w:rsidRPr="00744965">
        <w:t>The study objective was for the co-primary and key secondary endpoints were to demonstrate superiority of all active treatments compared to placebo.</w:t>
      </w:r>
    </w:p>
    <w:p w14:paraId="4C5326D1" w14:textId="77777777" w:rsidR="00744965" w:rsidRPr="00744965" w:rsidRDefault="00744965" w:rsidP="00AF22D5">
      <w:r w:rsidRPr="00744965">
        <w:t>The co-primary endpoints were IGA and EASI-75 responses for all active treatments at Week 12</w:t>
      </w:r>
    </w:p>
    <w:p w14:paraId="2D050AC6" w14:textId="77777777" w:rsidR="00744965" w:rsidRPr="00AF22D5" w:rsidRDefault="00744965" w:rsidP="00AF22D5">
      <w:pPr>
        <w:rPr>
          <w:b/>
          <w:bCs/>
          <w:i/>
          <w:iCs/>
        </w:rPr>
      </w:pPr>
      <w:r w:rsidRPr="00AF22D5">
        <w:rPr>
          <w:b/>
          <w:bCs/>
          <w:i/>
          <w:iCs/>
        </w:rPr>
        <w:t>Key Secondary Endpoints</w:t>
      </w:r>
    </w:p>
    <w:p w14:paraId="357B2885" w14:textId="77777777" w:rsidR="00744965" w:rsidRPr="00744965" w:rsidRDefault="00744965" w:rsidP="00AF22D5">
      <w:r w:rsidRPr="00744965">
        <w:t>The three key secondary end points were itch response (defined as ≥4-point improvement from baseline in the score on the PP-NRS) at week 2 and IGA and EASI-75 responses at week 16.</w:t>
      </w:r>
    </w:p>
    <w:p w14:paraId="50CE40F2" w14:textId="77777777" w:rsidR="00744965" w:rsidRPr="00744965" w:rsidRDefault="00744965" w:rsidP="00AF22D5">
      <w:r w:rsidRPr="00744965">
        <w:t>838 subjects were randomised to study treatments. The median age was 34 years and 54 of the subjects (6.5%) were elderly aged &gt; 65 years. Overall, 64.3% had moderate and 35.4% had severe AD (IGA); the median EASI was 27.2 and median BSA involvement was 45.6%. Most of the subjects (93.1% to 95.6%) used concomitant medicated topical therapy. Overall, 43.2% had received systemic agents (non-biologic or biologic, excluding dupilumab) and 2.3% had used biologic agents.</w:t>
      </w:r>
    </w:p>
    <w:p w14:paraId="139E5A76" w14:textId="77777777" w:rsidR="00744965" w:rsidRPr="00AF22D5" w:rsidRDefault="00744965" w:rsidP="00AF22D5">
      <w:pPr>
        <w:rPr>
          <w:b/>
          <w:bCs/>
          <w:i/>
          <w:iCs/>
        </w:rPr>
      </w:pPr>
      <w:r w:rsidRPr="00AF22D5">
        <w:rPr>
          <w:b/>
          <w:bCs/>
          <w:i/>
          <w:iCs/>
        </w:rPr>
        <w:t>Results</w:t>
      </w:r>
    </w:p>
    <w:p w14:paraId="3D010C7A" w14:textId="77777777" w:rsidR="00744965" w:rsidRPr="00744965" w:rsidRDefault="00744965" w:rsidP="00AF22D5">
      <w:r w:rsidRPr="00744965">
        <w:t xml:space="preserve">The study met both co-primary endpoints of IGA and EASI-75 responses at Week 12. responses in the </w:t>
      </w:r>
      <w:proofErr w:type="spellStart"/>
      <w:r w:rsidRPr="00744965">
        <w:t>abrocitinib</w:t>
      </w:r>
      <w:proofErr w:type="spellEnd"/>
      <w:r w:rsidRPr="00744965">
        <w:t xml:space="preserve"> 200mg QD group were numerically greater than those observed in the </w:t>
      </w:r>
      <w:proofErr w:type="spellStart"/>
      <w:r w:rsidRPr="00744965">
        <w:t>abrocitinib</w:t>
      </w:r>
      <w:proofErr w:type="spellEnd"/>
      <w:r w:rsidRPr="00744965">
        <w:t xml:space="preserve"> 100mg and dupilumab groups for both co-primary endpoints of IGA (14%, 36.6%, 48.4% and 36.5% in the placebo, </w:t>
      </w:r>
      <w:proofErr w:type="spellStart"/>
      <w:r w:rsidRPr="00744965">
        <w:t>abrocitinib</w:t>
      </w:r>
      <w:proofErr w:type="spellEnd"/>
      <w:r w:rsidRPr="00744965">
        <w:t xml:space="preserve"> 100mg QD, </w:t>
      </w:r>
      <w:proofErr w:type="spellStart"/>
      <w:r w:rsidRPr="00744965">
        <w:t>abrocitinib</w:t>
      </w:r>
      <w:proofErr w:type="spellEnd"/>
      <w:r w:rsidRPr="00744965">
        <w:t xml:space="preserve"> 200mg QD, dupilumab 300mg Q2W groups, respectively) and EASI-75 (27.1%, 58.7%, 70.3% and 58.1%, respectively; Table 11,12)</w:t>
      </w:r>
    </w:p>
    <w:p w14:paraId="6C487338" w14:textId="77777777" w:rsidR="00744965" w:rsidRPr="00744965" w:rsidRDefault="00744965" w:rsidP="00AF22D5">
      <w:pPr>
        <w:pStyle w:val="TableTitle"/>
      </w:pPr>
      <w:r w:rsidRPr="00744965">
        <w:lastRenderedPageBreak/>
        <w:t>Table 11. Proportion of Subjects Achieving IGA Response of 'Clear' or 'Almost Clear' and &gt;=2 Points Improvement from Baseline.</w:t>
      </w:r>
    </w:p>
    <w:p w14:paraId="32790F73" w14:textId="77777777" w:rsidR="00744965" w:rsidRPr="00744965" w:rsidRDefault="00744965" w:rsidP="00AF22D5">
      <w:r w:rsidRPr="00744965">
        <w:rPr>
          <w:noProof/>
        </w:rPr>
        <w:drawing>
          <wp:inline distT="0" distB="0" distL="0" distR="0" wp14:anchorId="21E70713" wp14:editId="7CE07FBF">
            <wp:extent cx="5759450" cy="4786630"/>
            <wp:effectExtent l="0" t="0" r="0" b="0"/>
            <wp:docPr id="2038309455" name="Picture 1" descr="Proportion of Subjects Achieving IGA Response of 'Clear' or 'Almost Clear' and &gt;=2 Points Improvement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09455" name="Picture 1" descr="Proportion of Subjects Achieving IGA Response of 'Clear' or 'Almost Clear' and &gt;=2 Points Improvement from Baseline"/>
                    <pic:cNvPicPr/>
                  </pic:nvPicPr>
                  <pic:blipFill>
                    <a:blip r:embed="rId27"/>
                    <a:stretch>
                      <a:fillRect/>
                    </a:stretch>
                  </pic:blipFill>
                  <pic:spPr>
                    <a:xfrm>
                      <a:off x="0" y="0"/>
                      <a:ext cx="5759450" cy="4786630"/>
                    </a:xfrm>
                    <a:prstGeom prst="rect">
                      <a:avLst/>
                    </a:prstGeom>
                  </pic:spPr>
                </pic:pic>
              </a:graphicData>
            </a:graphic>
          </wp:inline>
        </w:drawing>
      </w:r>
    </w:p>
    <w:p w14:paraId="69527C07" w14:textId="77777777" w:rsidR="00744965" w:rsidRPr="00744965" w:rsidRDefault="00744965" w:rsidP="00AF22D5">
      <w:pPr>
        <w:pStyle w:val="TableTitle"/>
      </w:pPr>
      <w:r w:rsidRPr="00744965">
        <w:lastRenderedPageBreak/>
        <w:t>Table 12. Proportion of Subjects Achieving EASI Response &gt;= 75% improvement from Baseline.</w:t>
      </w:r>
    </w:p>
    <w:p w14:paraId="1C6CFCCD" w14:textId="5910E96B" w:rsidR="00744965" w:rsidRPr="00744965" w:rsidRDefault="00744965" w:rsidP="00AF22D5">
      <w:r w:rsidRPr="00744965">
        <w:rPr>
          <w:noProof/>
        </w:rPr>
        <w:drawing>
          <wp:inline distT="0" distB="0" distL="0" distR="0" wp14:anchorId="29EFC9AF" wp14:editId="080C4071">
            <wp:extent cx="6023290" cy="3566160"/>
            <wp:effectExtent l="0" t="0" r="0" b="0"/>
            <wp:docPr id="708999651" name="Picture 14" descr="Proportion of Subjects Achieving EASI Response &gt;= 75% improvement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99651" name="Picture 14" descr="Proportion of Subjects Achieving EASI Response &gt;= 75% improvement from Base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1324" cy="3576837"/>
                    </a:xfrm>
                    <a:prstGeom prst="rect">
                      <a:avLst/>
                    </a:prstGeom>
                    <a:noFill/>
                    <a:ln>
                      <a:noFill/>
                    </a:ln>
                  </pic:spPr>
                </pic:pic>
              </a:graphicData>
            </a:graphic>
          </wp:inline>
        </w:drawing>
      </w:r>
    </w:p>
    <w:p w14:paraId="37AAB49F" w14:textId="77777777" w:rsidR="00744965" w:rsidRPr="00744965" w:rsidRDefault="00744965" w:rsidP="00AF22D5">
      <w:r w:rsidRPr="00744965">
        <w:t xml:space="preserve">At week 2, treatment difference for improvement in pruritus severity was statistically significant for subjects in 200mg </w:t>
      </w:r>
      <w:proofErr w:type="spellStart"/>
      <w:r w:rsidRPr="00744965">
        <w:t>abrocitinib</w:t>
      </w:r>
      <w:proofErr w:type="spellEnd"/>
      <w:r w:rsidRPr="00744965">
        <w:t xml:space="preserve"> arm, but not for those in </w:t>
      </w:r>
      <w:proofErr w:type="spellStart"/>
      <w:r w:rsidRPr="00744965">
        <w:t>abrocitinib</w:t>
      </w:r>
      <w:proofErr w:type="spellEnd"/>
      <w:r w:rsidRPr="00744965">
        <w:t xml:space="preserve"> 100mg arm, when compared to dupilumab arm.</w:t>
      </w:r>
    </w:p>
    <w:p w14:paraId="2AE013B3" w14:textId="77777777" w:rsidR="00744965" w:rsidRPr="00744965" w:rsidRDefault="00744965" w:rsidP="00AF22D5">
      <w:r w:rsidRPr="00744965">
        <w:t xml:space="preserve">A greater proportion of subjects in </w:t>
      </w:r>
      <w:proofErr w:type="spellStart"/>
      <w:r w:rsidRPr="00744965">
        <w:t>abrocitinib</w:t>
      </w:r>
      <w:proofErr w:type="spellEnd"/>
      <w:r w:rsidRPr="00744965">
        <w:t xml:space="preserve"> 200mg arm achieved greater improvement in IGA and EASI 75 response at week 16, compared to dupilumab. A similar treatment benefit was not reported for subjects in 100 </w:t>
      </w:r>
      <w:proofErr w:type="spellStart"/>
      <w:r w:rsidRPr="00744965">
        <w:t>abrocitinib</w:t>
      </w:r>
      <w:proofErr w:type="spellEnd"/>
      <w:r w:rsidRPr="00744965">
        <w:t xml:space="preserve"> arm. The treatment responses for both </w:t>
      </w:r>
      <w:proofErr w:type="spellStart"/>
      <w:r w:rsidRPr="00744965">
        <w:t>abrocitinib</w:t>
      </w:r>
      <w:proofErr w:type="spellEnd"/>
      <w:r w:rsidRPr="00744965">
        <w:t xml:space="preserve"> arms were statistically significant, when compared to placebo (Table 13, 14 and 15</w:t>
      </w:r>
      <w:proofErr w:type="gramStart"/>
      <w:r w:rsidRPr="00744965">
        <w:t>) .</w:t>
      </w:r>
      <w:proofErr w:type="gramEnd"/>
    </w:p>
    <w:p w14:paraId="67C92844" w14:textId="77777777" w:rsidR="00AF22D5" w:rsidRDefault="00744965" w:rsidP="00AF22D5">
      <w:pPr>
        <w:pStyle w:val="TableTitle"/>
      </w:pPr>
      <w:r w:rsidRPr="00744965">
        <w:lastRenderedPageBreak/>
        <w:t xml:space="preserve">Table 13. </w:t>
      </w:r>
      <w:r w:rsidRPr="00AF22D5">
        <w:t>Proportion</w:t>
      </w:r>
      <w:r w:rsidRPr="00744965">
        <w:t xml:space="preserve"> of subjects achieving pruritus NRS </w:t>
      </w:r>
      <w:r w:rsidRPr="00AF22D5">
        <w:t>severity</w:t>
      </w:r>
      <w:r w:rsidRPr="00744965">
        <w:t xml:space="preserve"> response &gt;=4 points improvement from baseline at week 2</w:t>
      </w:r>
    </w:p>
    <w:p w14:paraId="6105CA7A" w14:textId="78BCFEC8" w:rsidR="00AF22D5" w:rsidRPr="00AF22D5" w:rsidRDefault="00744965" w:rsidP="00AF22D5">
      <w:r w:rsidRPr="00744965">
        <w:rPr>
          <w:noProof/>
        </w:rPr>
        <w:drawing>
          <wp:inline distT="0" distB="0" distL="0" distR="0" wp14:anchorId="2C7A9DD8" wp14:editId="7896A60C">
            <wp:extent cx="5633041" cy="3322169"/>
            <wp:effectExtent l="0" t="0" r="6350" b="0"/>
            <wp:docPr id="1124862285" name="Picture 15" descr="Proportion of subjects achieving pruritus NRS severity response &gt;=4 points improvement from baseline at we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62285" name="Picture 15" descr="Proportion of subjects achieving pruritus NRS severity response &gt;=4 points improvement from baseline at week 2"/>
                    <pic:cNvPicPr>
                      <a:picLocks noChangeAspect="1" noChangeArrowheads="1"/>
                    </pic:cNvPicPr>
                  </pic:nvPicPr>
                  <pic:blipFill rotWithShape="1">
                    <a:blip r:embed="rId29">
                      <a:extLst>
                        <a:ext uri="{28A0092B-C50C-407E-A947-70E740481C1C}">
                          <a14:useLocalDpi xmlns:a14="http://schemas.microsoft.com/office/drawing/2010/main" val="0"/>
                        </a:ext>
                      </a:extLst>
                    </a:blip>
                    <a:srcRect l="695"/>
                    <a:stretch/>
                  </pic:blipFill>
                  <pic:spPr bwMode="auto">
                    <a:xfrm>
                      <a:off x="0" y="0"/>
                      <a:ext cx="5656200" cy="3335827"/>
                    </a:xfrm>
                    <a:prstGeom prst="rect">
                      <a:avLst/>
                    </a:prstGeom>
                    <a:noFill/>
                    <a:ln>
                      <a:noFill/>
                    </a:ln>
                    <a:extLst>
                      <a:ext uri="{53640926-AAD7-44D8-BBD7-CCE9431645EC}">
                        <a14:shadowObscured xmlns:a14="http://schemas.microsoft.com/office/drawing/2010/main"/>
                      </a:ext>
                    </a:extLst>
                  </pic:spPr>
                </pic:pic>
              </a:graphicData>
            </a:graphic>
          </wp:inline>
        </w:drawing>
      </w:r>
    </w:p>
    <w:p w14:paraId="723211A0" w14:textId="466D0FD9" w:rsidR="00744965" w:rsidRPr="00744965" w:rsidRDefault="00744965" w:rsidP="00AF22D5">
      <w:pPr>
        <w:pStyle w:val="TableTitle"/>
      </w:pPr>
      <w:r w:rsidRPr="00744965">
        <w:t>Table 14. Proportion of subjects achieving IGA response of ‘clear’ or ‘almost clear’ and &gt;=2 points improvement from baseline at week 16.</w:t>
      </w:r>
    </w:p>
    <w:p w14:paraId="05DB13DA" w14:textId="77777777" w:rsidR="00744965" w:rsidRPr="00744965" w:rsidRDefault="00744965" w:rsidP="00AF22D5">
      <w:r w:rsidRPr="00744965">
        <w:rPr>
          <w:noProof/>
        </w:rPr>
        <w:drawing>
          <wp:inline distT="0" distB="0" distL="0" distR="0" wp14:anchorId="41A8F78D" wp14:editId="7E88B580">
            <wp:extent cx="5631056" cy="3147060"/>
            <wp:effectExtent l="0" t="0" r="8255" b="0"/>
            <wp:docPr id="1982689746" name="Picture 16" descr="Proportion of subjects achieving IGA response of ‘clear’ or ‘almost clear’ and &gt;=2 points improvement from baseline at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89746" name="Picture 16" descr="Proportion of subjects achieving IGA response of ‘clear’ or ‘almost clear’ and &gt;=2 points improvement from baseline at week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4773" cy="3165904"/>
                    </a:xfrm>
                    <a:prstGeom prst="rect">
                      <a:avLst/>
                    </a:prstGeom>
                    <a:noFill/>
                    <a:ln>
                      <a:noFill/>
                    </a:ln>
                  </pic:spPr>
                </pic:pic>
              </a:graphicData>
            </a:graphic>
          </wp:inline>
        </w:drawing>
      </w:r>
    </w:p>
    <w:p w14:paraId="371AC620" w14:textId="77777777" w:rsidR="00744965" w:rsidRPr="00744965" w:rsidRDefault="00744965" w:rsidP="00AF22D5">
      <w:pPr>
        <w:pStyle w:val="TableTitle"/>
      </w:pPr>
      <w:r w:rsidRPr="00744965">
        <w:lastRenderedPageBreak/>
        <w:t>Table 15. Proportion of subjects achieving EASI response &gt;=75% improvement from baseline at week 16.</w:t>
      </w:r>
    </w:p>
    <w:p w14:paraId="5183CA8A" w14:textId="400974A5" w:rsidR="00744965" w:rsidRPr="00AF22D5" w:rsidRDefault="00744965" w:rsidP="00AF22D5">
      <w:r w:rsidRPr="00744965">
        <w:rPr>
          <w:noProof/>
        </w:rPr>
        <w:drawing>
          <wp:inline distT="0" distB="0" distL="0" distR="0" wp14:anchorId="14CB6B37" wp14:editId="77F2FE0F">
            <wp:extent cx="5826978" cy="3444055"/>
            <wp:effectExtent l="0" t="0" r="2540" b="4445"/>
            <wp:docPr id="1785910961" name="Picture 17" descr="Proportion of subjects achieving EASI response &gt;=75% improvement from baseline at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10961" name="Picture 17" descr="Proportion of subjects achieving EASI response &gt;=75% improvement from baseline at week 16"/>
                    <pic:cNvPicPr>
                      <a:picLocks noChangeAspect="1" noChangeArrowheads="1"/>
                    </pic:cNvPicPr>
                  </pic:nvPicPr>
                  <pic:blipFill rotWithShape="1">
                    <a:blip r:embed="rId31">
                      <a:extLst>
                        <a:ext uri="{28A0092B-C50C-407E-A947-70E740481C1C}">
                          <a14:useLocalDpi xmlns:a14="http://schemas.microsoft.com/office/drawing/2010/main" val="0"/>
                        </a:ext>
                      </a:extLst>
                    </a:blip>
                    <a:srcRect l="539"/>
                    <a:stretch/>
                  </pic:blipFill>
                  <pic:spPr bwMode="auto">
                    <a:xfrm>
                      <a:off x="0" y="0"/>
                      <a:ext cx="5860035" cy="3463594"/>
                    </a:xfrm>
                    <a:prstGeom prst="rect">
                      <a:avLst/>
                    </a:prstGeom>
                    <a:noFill/>
                    <a:ln>
                      <a:noFill/>
                    </a:ln>
                    <a:extLst>
                      <a:ext uri="{53640926-AAD7-44D8-BBD7-CCE9431645EC}">
                        <a14:shadowObscured xmlns:a14="http://schemas.microsoft.com/office/drawing/2010/main"/>
                      </a:ext>
                    </a:extLst>
                  </pic:spPr>
                </pic:pic>
              </a:graphicData>
            </a:graphic>
          </wp:inline>
        </w:drawing>
      </w:r>
    </w:p>
    <w:p w14:paraId="47FDF177" w14:textId="188209CD" w:rsidR="00744965" w:rsidRPr="00744965" w:rsidRDefault="00744965" w:rsidP="00AF22D5">
      <w:pPr>
        <w:pStyle w:val="Heading4"/>
      </w:pPr>
      <w:bookmarkStart w:id="57" w:name="_Toc173925439"/>
      <w:r w:rsidRPr="00744965">
        <w:t>Study B7451015</w:t>
      </w:r>
      <w:bookmarkEnd w:id="57"/>
    </w:p>
    <w:p w14:paraId="74253A32" w14:textId="77777777" w:rsidR="00744965" w:rsidRPr="00744965" w:rsidRDefault="00744965" w:rsidP="00AF22D5">
      <w:r w:rsidRPr="00744965">
        <w:t xml:space="preserve">Study B7451015 was a phase 3 long-term extension study to examine the efficacy and safety of </w:t>
      </w:r>
      <w:proofErr w:type="spellStart"/>
      <w:r w:rsidRPr="00744965">
        <w:t>abrocitinib</w:t>
      </w:r>
      <w:proofErr w:type="spellEnd"/>
      <w:r w:rsidRPr="00744965">
        <w:t>, with or without topical medications. Subjects included those completed pivotal studies or other phase III studies and their long-term extension periods.</w:t>
      </w:r>
    </w:p>
    <w:p w14:paraId="53367371" w14:textId="77777777" w:rsidR="00744965" w:rsidRPr="00744965" w:rsidRDefault="00744965" w:rsidP="00AF22D5">
      <w:r w:rsidRPr="00744965">
        <w:t xml:space="preserve">The proportion of subjects discontinued was similar in both </w:t>
      </w:r>
      <w:proofErr w:type="spellStart"/>
      <w:r w:rsidRPr="00744965">
        <w:t>abrocitinib</w:t>
      </w:r>
      <w:proofErr w:type="spellEnd"/>
      <w:r w:rsidRPr="00744965">
        <w:t xml:space="preserve"> dose groups (100mg vs 200mg: 22.9% vs 20%); discontinuations due to lack of efficacy were more common in the lower dose group (5.9% vs 2.5%) while those due to AEs were slightly higher in the 200mg dose group (6.2% vs 8.6%):</w:t>
      </w:r>
    </w:p>
    <w:p w14:paraId="3A3A82C1" w14:textId="77777777" w:rsidR="00744965" w:rsidRPr="00744965" w:rsidRDefault="00744965" w:rsidP="00AF22D5">
      <w:r w:rsidRPr="00744965">
        <w:rPr>
          <w:noProof/>
        </w:rPr>
        <w:lastRenderedPageBreak/>
        <w:drawing>
          <wp:inline distT="0" distB="0" distL="0" distR="0" wp14:anchorId="6469A7D9" wp14:editId="140558E9">
            <wp:extent cx="5759450" cy="4431665"/>
            <wp:effectExtent l="0" t="0" r="0" b="6985"/>
            <wp:docPr id="1070419478" name="Picture 18" descr="Graph of Study B745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19478" name="Picture 18" descr="Graph of Study B7451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431665"/>
                    </a:xfrm>
                    <a:prstGeom prst="rect">
                      <a:avLst/>
                    </a:prstGeom>
                    <a:noFill/>
                    <a:ln>
                      <a:noFill/>
                    </a:ln>
                  </pic:spPr>
                </pic:pic>
              </a:graphicData>
            </a:graphic>
          </wp:inline>
        </w:drawing>
      </w:r>
    </w:p>
    <w:p w14:paraId="71B6F90E" w14:textId="77777777" w:rsidR="00744965" w:rsidRPr="00744965" w:rsidRDefault="00744965" w:rsidP="00AF22D5">
      <w:r w:rsidRPr="00744965">
        <w:t xml:space="preserve">Overall, 1116 subjects (including 107 adolescents) were treated with </w:t>
      </w:r>
      <w:proofErr w:type="spellStart"/>
      <w:r w:rsidRPr="00744965">
        <w:t>abrocitinib</w:t>
      </w:r>
      <w:proofErr w:type="spellEnd"/>
      <w:r w:rsidRPr="00744965">
        <w:t xml:space="preserve"> (595 and 521 with </w:t>
      </w:r>
      <w:proofErr w:type="spellStart"/>
      <w:r w:rsidRPr="00744965">
        <w:t>abrocitinib</w:t>
      </w:r>
      <w:proofErr w:type="spellEnd"/>
      <w:r w:rsidRPr="00744965">
        <w:t xml:space="preserve"> 100mg and 200mg QD, respectively); 502 subjects were treated for &gt; 48 &gt;weeks, including 73 adolescents (Data cut-off of April 2020).</w:t>
      </w:r>
    </w:p>
    <w:p w14:paraId="137D9137" w14:textId="77777777" w:rsidR="00744965" w:rsidRPr="00744965" w:rsidRDefault="00744965" w:rsidP="00AF22D5">
      <w:r w:rsidRPr="00744965">
        <w:t xml:space="preserve">Overall, the proportion of week 12 responders who maintained their response at week 48 was higher in subjects treated with </w:t>
      </w:r>
      <w:proofErr w:type="spellStart"/>
      <w:r w:rsidRPr="00744965">
        <w:t>abrocitinib</w:t>
      </w:r>
      <w:proofErr w:type="spellEnd"/>
      <w:r w:rsidRPr="00744965">
        <w:t xml:space="preserve"> 200mg group (70% to 83%) compared with 100mg (60% to 79%):</w:t>
      </w:r>
    </w:p>
    <w:p w14:paraId="533899A9" w14:textId="77777777" w:rsidR="00744965" w:rsidRPr="00744965" w:rsidRDefault="00744965" w:rsidP="00744965">
      <w:pPr>
        <w:jc w:val="center"/>
      </w:pPr>
      <w:r w:rsidRPr="00744965">
        <w:rPr>
          <w:noProof/>
        </w:rPr>
        <w:drawing>
          <wp:inline distT="0" distB="0" distL="0" distR="0" wp14:anchorId="27255989" wp14:editId="2DC9798C">
            <wp:extent cx="4457619" cy="3360688"/>
            <wp:effectExtent l="0" t="0" r="635" b="0"/>
            <wp:docPr id="453512774" name="Picture 19" descr="Graph of Study B7451015 - week 12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12774" name="Picture 19" descr="Graph of Study B7451015 - week 12 responders"/>
                    <pic:cNvPicPr>
                      <a:picLocks noChangeAspect="1" noChangeArrowheads="1"/>
                    </pic:cNvPicPr>
                  </pic:nvPicPr>
                  <pic:blipFill rotWithShape="1">
                    <a:blip r:embed="rId33">
                      <a:extLst>
                        <a:ext uri="{28A0092B-C50C-407E-A947-70E740481C1C}">
                          <a14:useLocalDpi xmlns:a14="http://schemas.microsoft.com/office/drawing/2010/main" val="0"/>
                        </a:ext>
                      </a:extLst>
                    </a:blip>
                    <a:srcRect l="4773" r="12630"/>
                    <a:stretch/>
                  </pic:blipFill>
                  <pic:spPr bwMode="auto">
                    <a:xfrm>
                      <a:off x="0" y="0"/>
                      <a:ext cx="4475175" cy="3373924"/>
                    </a:xfrm>
                    <a:prstGeom prst="rect">
                      <a:avLst/>
                    </a:prstGeom>
                    <a:noFill/>
                    <a:ln>
                      <a:noFill/>
                    </a:ln>
                    <a:extLst>
                      <a:ext uri="{53640926-AAD7-44D8-BBD7-CCE9431645EC}">
                        <a14:shadowObscured xmlns:a14="http://schemas.microsoft.com/office/drawing/2010/main"/>
                      </a:ext>
                    </a:extLst>
                  </pic:spPr>
                </pic:pic>
              </a:graphicData>
            </a:graphic>
          </wp:inline>
        </w:drawing>
      </w:r>
    </w:p>
    <w:p w14:paraId="3D6BC874" w14:textId="77777777" w:rsidR="00744965" w:rsidRPr="00744965" w:rsidRDefault="00744965" w:rsidP="00AF22D5">
      <w:pPr>
        <w:pStyle w:val="Heading4"/>
      </w:pPr>
      <w:bookmarkStart w:id="58" w:name="_Toc173925440"/>
      <w:r w:rsidRPr="00744965">
        <w:lastRenderedPageBreak/>
        <w:t>Study B7451036</w:t>
      </w:r>
      <w:bookmarkEnd w:id="58"/>
    </w:p>
    <w:p w14:paraId="6AF5DEBB" w14:textId="77777777" w:rsidR="00744965" w:rsidRPr="00AF22D5" w:rsidRDefault="00744965" w:rsidP="00AF22D5">
      <w:pPr>
        <w:rPr>
          <w:b/>
          <w:bCs/>
          <w:i/>
          <w:iCs/>
        </w:rPr>
      </w:pPr>
      <w:r w:rsidRPr="00AF22D5">
        <w:rPr>
          <w:b/>
          <w:bCs/>
          <w:i/>
          <w:iCs/>
        </w:rPr>
        <w:t xml:space="preserve">Study </w:t>
      </w:r>
      <w:proofErr w:type="gramStart"/>
      <w:r w:rsidRPr="00AF22D5">
        <w:rPr>
          <w:b/>
          <w:bCs/>
          <w:i/>
          <w:iCs/>
        </w:rPr>
        <w:t>design</w:t>
      </w:r>
      <w:proofErr w:type="gramEnd"/>
    </w:p>
    <w:p w14:paraId="756EAEE8" w14:textId="77777777" w:rsidR="00744965" w:rsidRPr="00744965" w:rsidRDefault="00744965" w:rsidP="00AF22D5">
      <w:r w:rsidRPr="00744965">
        <w:t xml:space="preserve">Double blind phase 3 RCT in adolescent subjects (12-18 years of age) with moderate to severe AD. </w:t>
      </w:r>
      <w:proofErr w:type="spellStart"/>
      <w:r w:rsidRPr="00744965">
        <w:t>Abrocitinib</w:t>
      </w:r>
      <w:proofErr w:type="spellEnd"/>
      <w:r w:rsidRPr="00744965">
        <w:t xml:space="preserve"> was co-administered with topical therapy. 287 subjects were randomised in a 1:1:1 ratio to receive </w:t>
      </w:r>
      <w:proofErr w:type="spellStart"/>
      <w:r w:rsidRPr="00744965">
        <w:t>abrocitinib</w:t>
      </w:r>
      <w:proofErr w:type="spellEnd"/>
      <w:r w:rsidRPr="00744965">
        <w:t xml:space="preserve"> QD at 200 mg, 100 mg, or placebo for 12 weeks.</w:t>
      </w:r>
    </w:p>
    <w:p w14:paraId="3238E79A" w14:textId="77777777" w:rsidR="00744965" w:rsidRPr="00744965" w:rsidRDefault="00744965" w:rsidP="00AF22D5">
      <w:r w:rsidRPr="00744965">
        <w:t>The median age was 15 years. Median duration since onset of AD was 11.6 years. Overall, 73.3% of subjects had received only topical agents (mostly topical corticosteroids) and 25.6% had received systemic agents (mostly non-biologic agents) prior to screening with similar proportions similar across the treatment groups.</w:t>
      </w:r>
    </w:p>
    <w:p w14:paraId="4C19D962" w14:textId="77777777" w:rsidR="00744965" w:rsidRPr="00AF22D5" w:rsidRDefault="00744965" w:rsidP="00AF22D5">
      <w:pPr>
        <w:rPr>
          <w:b/>
          <w:bCs/>
          <w:i/>
          <w:iCs/>
        </w:rPr>
      </w:pPr>
      <w:r w:rsidRPr="00AF22D5">
        <w:rPr>
          <w:b/>
          <w:bCs/>
          <w:i/>
          <w:iCs/>
        </w:rPr>
        <w:t>Results</w:t>
      </w:r>
    </w:p>
    <w:p w14:paraId="16B567A9" w14:textId="77777777" w:rsidR="00744965" w:rsidRPr="00744965" w:rsidRDefault="00744965" w:rsidP="00AF22D5">
      <w:r w:rsidRPr="00744965">
        <w:t xml:space="preserve">Co-primary endpoints: A greater proportion of subjects in both </w:t>
      </w:r>
      <w:proofErr w:type="spellStart"/>
      <w:r w:rsidRPr="00744965">
        <w:t>abrocitinib</w:t>
      </w:r>
      <w:proofErr w:type="spellEnd"/>
      <w:r w:rsidRPr="00744965">
        <w:t xml:space="preserve"> 100 and 200 mg achieved a greater improvement in IGA and EASI at week 12 of treatment period (Table 16, 17).</w:t>
      </w:r>
    </w:p>
    <w:p w14:paraId="485676D1" w14:textId="77777777" w:rsidR="00744965" w:rsidRPr="00744965" w:rsidRDefault="00744965" w:rsidP="00AF22D5">
      <w:pPr>
        <w:pStyle w:val="TableTitle"/>
      </w:pPr>
      <w:r w:rsidRPr="00744965">
        <w:t xml:space="preserve">Table 16: Co-primary endpoint: IGA </w:t>
      </w:r>
      <w:r w:rsidRPr="00AF22D5">
        <w:t>response</w:t>
      </w:r>
    </w:p>
    <w:p w14:paraId="38190126" w14:textId="77777777" w:rsidR="00744965" w:rsidRPr="00744965" w:rsidRDefault="00744965" w:rsidP="00744965">
      <w:r w:rsidRPr="00744965">
        <w:rPr>
          <w:noProof/>
        </w:rPr>
        <w:drawing>
          <wp:inline distT="0" distB="0" distL="0" distR="0" wp14:anchorId="209591A4" wp14:editId="5396013F">
            <wp:extent cx="5749119" cy="2597785"/>
            <wp:effectExtent l="0" t="0" r="4445" b="0"/>
            <wp:docPr id="971798344" name="Picture 20" descr="Co-primary endpoint: IG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98344" name="Picture 20" descr="Co-primary endpoint: IGA response"/>
                    <pic:cNvPicPr>
                      <a:picLocks noChangeAspect="1" noChangeArrowheads="1"/>
                    </pic:cNvPicPr>
                  </pic:nvPicPr>
                  <pic:blipFill rotWithShape="1">
                    <a:blip r:embed="rId34">
                      <a:extLst>
                        <a:ext uri="{28A0092B-C50C-407E-A947-70E740481C1C}">
                          <a14:useLocalDpi xmlns:a14="http://schemas.microsoft.com/office/drawing/2010/main" val="0"/>
                        </a:ext>
                      </a:extLst>
                    </a:blip>
                    <a:srcRect l="545"/>
                    <a:stretch/>
                  </pic:blipFill>
                  <pic:spPr bwMode="auto">
                    <a:xfrm>
                      <a:off x="0" y="0"/>
                      <a:ext cx="5788645" cy="2615645"/>
                    </a:xfrm>
                    <a:prstGeom prst="rect">
                      <a:avLst/>
                    </a:prstGeom>
                    <a:noFill/>
                    <a:ln>
                      <a:noFill/>
                    </a:ln>
                    <a:extLst>
                      <a:ext uri="{53640926-AAD7-44D8-BBD7-CCE9431645EC}">
                        <a14:shadowObscured xmlns:a14="http://schemas.microsoft.com/office/drawing/2010/main"/>
                      </a:ext>
                    </a:extLst>
                  </pic:spPr>
                </pic:pic>
              </a:graphicData>
            </a:graphic>
          </wp:inline>
        </w:drawing>
      </w:r>
    </w:p>
    <w:p w14:paraId="3F3B6504" w14:textId="77777777" w:rsidR="00AF22D5" w:rsidRDefault="00744965" w:rsidP="00AF22D5">
      <w:pPr>
        <w:pStyle w:val="TableTitle"/>
      </w:pPr>
      <w:r w:rsidRPr="00744965">
        <w:t xml:space="preserve">Table 17: Co-primary endpoint: EASI </w:t>
      </w:r>
      <w:r w:rsidRPr="00AF22D5">
        <w:t>response</w:t>
      </w:r>
    </w:p>
    <w:p w14:paraId="714D5A56" w14:textId="32A35688" w:rsidR="00744965" w:rsidRPr="00744965" w:rsidRDefault="00744965" w:rsidP="00AF22D5">
      <w:r w:rsidRPr="00744965">
        <w:rPr>
          <w:noProof/>
        </w:rPr>
        <w:drawing>
          <wp:inline distT="0" distB="0" distL="0" distR="0" wp14:anchorId="30FB8A9F" wp14:editId="1C77B874">
            <wp:extent cx="5923791" cy="2529205"/>
            <wp:effectExtent l="0" t="0" r="1270" b="4445"/>
            <wp:docPr id="778139961" name="Picture 21" descr="Co-primary endpoint: EASI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39961" name="Picture 21" descr="Co-primary endpoint: EASI response"/>
                    <pic:cNvPicPr>
                      <a:picLocks noChangeAspect="1" noChangeArrowheads="1"/>
                    </pic:cNvPicPr>
                  </pic:nvPicPr>
                  <pic:blipFill rotWithShape="1">
                    <a:blip r:embed="rId35">
                      <a:extLst>
                        <a:ext uri="{28A0092B-C50C-407E-A947-70E740481C1C}">
                          <a14:useLocalDpi xmlns:a14="http://schemas.microsoft.com/office/drawing/2010/main" val="0"/>
                        </a:ext>
                      </a:extLst>
                    </a:blip>
                    <a:srcRect l="529"/>
                    <a:stretch/>
                  </pic:blipFill>
                  <pic:spPr bwMode="auto">
                    <a:xfrm>
                      <a:off x="0" y="0"/>
                      <a:ext cx="5961978" cy="2545509"/>
                    </a:xfrm>
                    <a:prstGeom prst="rect">
                      <a:avLst/>
                    </a:prstGeom>
                    <a:noFill/>
                    <a:ln>
                      <a:noFill/>
                    </a:ln>
                    <a:extLst>
                      <a:ext uri="{53640926-AAD7-44D8-BBD7-CCE9431645EC}">
                        <a14:shadowObscured xmlns:a14="http://schemas.microsoft.com/office/drawing/2010/main"/>
                      </a:ext>
                    </a:extLst>
                  </pic:spPr>
                </pic:pic>
              </a:graphicData>
            </a:graphic>
          </wp:inline>
        </w:drawing>
      </w:r>
    </w:p>
    <w:p w14:paraId="3F8F851C" w14:textId="77777777" w:rsidR="00744965" w:rsidRPr="00744965" w:rsidRDefault="00744965" w:rsidP="00AF22D5">
      <w:r w:rsidRPr="00744965">
        <w:t xml:space="preserve">The 100mg </w:t>
      </w:r>
      <w:proofErr w:type="spellStart"/>
      <w:r w:rsidRPr="00744965">
        <w:t>abrocitinib</w:t>
      </w:r>
      <w:proofErr w:type="spellEnd"/>
      <w:r w:rsidRPr="00744965">
        <w:t xml:space="preserve"> arm did not demonstrate statistically significant change in PSAAD total score at week 12 compared with placebo. Hence, based on pre-specified testing sequence, all subsequent hypotheses (after the comparison of PP-NRS4 for </w:t>
      </w:r>
      <w:proofErr w:type="spellStart"/>
      <w:r w:rsidRPr="00744965">
        <w:t>abrocitinib</w:t>
      </w:r>
      <w:proofErr w:type="spellEnd"/>
      <w:r w:rsidRPr="00744965">
        <w:t xml:space="preserve"> 100 mg versus placebo at Week 4) were not considered statistically significant.</w:t>
      </w:r>
    </w:p>
    <w:p w14:paraId="7FF2645A" w14:textId="77777777" w:rsidR="00744965" w:rsidRPr="00744965" w:rsidRDefault="00744965" w:rsidP="00AF22D5">
      <w:pPr>
        <w:pStyle w:val="Heading3"/>
        <w:rPr>
          <w:rFonts w:eastAsia="Cambria"/>
        </w:rPr>
      </w:pPr>
      <w:bookmarkStart w:id="59" w:name="_Toc172967100"/>
      <w:bookmarkStart w:id="60" w:name="_Toc173925441"/>
      <w:r w:rsidRPr="00744965">
        <w:rPr>
          <w:rFonts w:eastAsia="Cambria"/>
        </w:rPr>
        <w:lastRenderedPageBreak/>
        <w:t>Safety</w:t>
      </w:r>
      <w:bookmarkEnd w:id="59"/>
      <w:bookmarkEnd w:id="60"/>
    </w:p>
    <w:p w14:paraId="1100C117" w14:textId="77777777" w:rsidR="00744965" w:rsidRPr="00744965" w:rsidRDefault="00744965" w:rsidP="00AF22D5">
      <w:r w:rsidRPr="00744965">
        <w:t xml:space="preserve">Across placebo-controlled studies and safety studies, the median duration of treatment in adults with the 200 mg group was 89 days, compared to 501 days for the100 mg </w:t>
      </w:r>
      <w:proofErr w:type="spellStart"/>
      <w:r w:rsidRPr="00744965">
        <w:t>abrocitinib</w:t>
      </w:r>
      <w:proofErr w:type="spellEnd"/>
      <w:r w:rsidRPr="00744965">
        <w:t xml:space="preserve"> group. In children, the exposure for treatment with 200mg </w:t>
      </w:r>
      <w:proofErr w:type="spellStart"/>
      <w:r w:rsidRPr="00744965">
        <w:t>abrocitinib</w:t>
      </w:r>
      <w:proofErr w:type="spellEnd"/>
      <w:r w:rsidRPr="00744965">
        <w:t xml:space="preserve"> was 195 days, compared to 492 days for the 100mg </w:t>
      </w:r>
      <w:proofErr w:type="spellStart"/>
      <w:r w:rsidRPr="00744965">
        <w:t>abrocitinib</w:t>
      </w:r>
      <w:proofErr w:type="spellEnd"/>
      <w:r w:rsidRPr="00744965">
        <w:t>.</w:t>
      </w:r>
    </w:p>
    <w:p w14:paraId="64FC5483" w14:textId="77777777" w:rsidR="00744965" w:rsidRPr="00744965" w:rsidRDefault="00744965" w:rsidP="00AF22D5">
      <w:r w:rsidRPr="00744965">
        <w:t>The median age was 31.0 years, 12.7% were adolescents, and 5.1% were aged &gt; 65 years (Table 18, 19 and 20).</w:t>
      </w:r>
    </w:p>
    <w:p w14:paraId="3F431888" w14:textId="77777777" w:rsidR="00744965" w:rsidRPr="00744965" w:rsidRDefault="00744965" w:rsidP="00AF22D5">
      <w:pPr>
        <w:pStyle w:val="TableTitle"/>
      </w:pPr>
      <w:r w:rsidRPr="00744965">
        <w:t>Table 18. Treatment exposure in adults (summary of clinical safety)</w:t>
      </w:r>
    </w:p>
    <w:p w14:paraId="0C10E550" w14:textId="77777777" w:rsidR="00744965" w:rsidRPr="00744965" w:rsidRDefault="00744965" w:rsidP="00AF22D5">
      <w:r w:rsidRPr="00744965">
        <w:rPr>
          <w:noProof/>
        </w:rPr>
        <w:drawing>
          <wp:inline distT="0" distB="0" distL="0" distR="0" wp14:anchorId="06F0F65E" wp14:editId="4E4BF552">
            <wp:extent cx="6067062" cy="2811692"/>
            <wp:effectExtent l="0" t="0" r="0" b="8255"/>
            <wp:docPr id="920670656" name="Picture 22" descr="Treatment exposure in adults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70656" name="Picture 22" descr="Treatment exposure in adults (summary of clinical safety)"/>
                    <pic:cNvPicPr>
                      <a:picLocks noChangeAspect="1" noChangeArrowheads="1"/>
                    </pic:cNvPicPr>
                  </pic:nvPicPr>
                  <pic:blipFill rotWithShape="1">
                    <a:blip r:embed="rId36">
                      <a:extLst>
                        <a:ext uri="{28A0092B-C50C-407E-A947-70E740481C1C}">
                          <a14:useLocalDpi xmlns:a14="http://schemas.microsoft.com/office/drawing/2010/main" val="0"/>
                        </a:ext>
                      </a:extLst>
                    </a:blip>
                    <a:srcRect l="1532"/>
                    <a:stretch/>
                  </pic:blipFill>
                  <pic:spPr bwMode="auto">
                    <a:xfrm>
                      <a:off x="0" y="0"/>
                      <a:ext cx="6105313" cy="2829419"/>
                    </a:xfrm>
                    <a:prstGeom prst="rect">
                      <a:avLst/>
                    </a:prstGeom>
                    <a:noFill/>
                    <a:ln>
                      <a:noFill/>
                    </a:ln>
                    <a:extLst>
                      <a:ext uri="{53640926-AAD7-44D8-BBD7-CCE9431645EC}">
                        <a14:shadowObscured xmlns:a14="http://schemas.microsoft.com/office/drawing/2010/main"/>
                      </a:ext>
                    </a:extLst>
                  </pic:spPr>
                </pic:pic>
              </a:graphicData>
            </a:graphic>
          </wp:inline>
        </w:drawing>
      </w:r>
    </w:p>
    <w:p w14:paraId="6A911CAC" w14:textId="77777777" w:rsidR="00744965" w:rsidRPr="00744965" w:rsidRDefault="00744965" w:rsidP="00AF22D5">
      <w:pPr>
        <w:pStyle w:val="TableTitle"/>
      </w:pPr>
      <w:r w:rsidRPr="00744965">
        <w:t>Table 19. Treatment exposure in adolescents (Summary of clinical safety)</w:t>
      </w:r>
    </w:p>
    <w:p w14:paraId="5C05EE31" w14:textId="77777777" w:rsidR="00744965" w:rsidRPr="00744965" w:rsidRDefault="00744965" w:rsidP="00AF22D5">
      <w:r w:rsidRPr="00744965">
        <w:rPr>
          <w:noProof/>
        </w:rPr>
        <w:drawing>
          <wp:inline distT="0" distB="0" distL="0" distR="0" wp14:anchorId="4EC48AF9" wp14:editId="2FA330FF">
            <wp:extent cx="5889691" cy="2727960"/>
            <wp:effectExtent l="0" t="0" r="0" b="0"/>
            <wp:docPr id="825636949" name="Picture 23" descr="Treatment exposure in adolescents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6949" name="Picture 23" descr="Treatment exposure in adolescents (Summary of clinical safe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8247" cy="2731923"/>
                    </a:xfrm>
                    <a:prstGeom prst="rect">
                      <a:avLst/>
                    </a:prstGeom>
                    <a:noFill/>
                    <a:ln>
                      <a:noFill/>
                    </a:ln>
                  </pic:spPr>
                </pic:pic>
              </a:graphicData>
            </a:graphic>
          </wp:inline>
        </w:drawing>
      </w:r>
    </w:p>
    <w:p w14:paraId="6A8FA35E" w14:textId="77777777" w:rsidR="00744965" w:rsidRPr="00744965" w:rsidRDefault="00744965" w:rsidP="00AF22D5">
      <w:pPr>
        <w:pStyle w:val="TableTitle"/>
      </w:pPr>
      <w:r w:rsidRPr="00744965">
        <w:lastRenderedPageBreak/>
        <w:t xml:space="preserve">Table 20. Total </w:t>
      </w:r>
      <w:r w:rsidRPr="00AF22D5">
        <w:t>exposure</w:t>
      </w:r>
      <w:r w:rsidRPr="00744965">
        <w:t xml:space="preserve"> to </w:t>
      </w:r>
      <w:proofErr w:type="spellStart"/>
      <w:r w:rsidRPr="00744965">
        <w:t>abrocitinib</w:t>
      </w:r>
      <w:proofErr w:type="spellEnd"/>
    </w:p>
    <w:p w14:paraId="237B37A0" w14:textId="77777777" w:rsidR="00744965" w:rsidRPr="00744965" w:rsidRDefault="00744965" w:rsidP="00AF22D5">
      <w:r w:rsidRPr="00744965">
        <w:rPr>
          <w:noProof/>
        </w:rPr>
        <w:drawing>
          <wp:inline distT="0" distB="0" distL="0" distR="0" wp14:anchorId="554A2218" wp14:editId="47F9E012">
            <wp:extent cx="5868120" cy="3154680"/>
            <wp:effectExtent l="0" t="0" r="0" b="7620"/>
            <wp:docPr id="2114206730" name="Picture 24" descr="Total exposure to abroc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6730" name="Picture 24" descr="Total exposure to abrocitini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0608" cy="3166770"/>
                    </a:xfrm>
                    <a:prstGeom prst="rect">
                      <a:avLst/>
                    </a:prstGeom>
                    <a:noFill/>
                    <a:ln>
                      <a:noFill/>
                    </a:ln>
                  </pic:spPr>
                </pic:pic>
              </a:graphicData>
            </a:graphic>
          </wp:inline>
        </w:drawing>
      </w:r>
    </w:p>
    <w:p w14:paraId="4911ACDF" w14:textId="77777777" w:rsidR="00744965" w:rsidRPr="00744965" w:rsidRDefault="00744965" w:rsidP="00AF22D5">
      <w:r w:rsidRPr="00744965">
        <w:t xml:space="preserve">In the primary safety pool, 342, 608 and 590 subjects were included in the placebo, </w:t>
      </w:r>
      <w:proofErr w:type="spellStart"/>
      <w:r w:rsidRPr="00744965">
        <w:t>abrocitinib</w:t>
      </w:r>
      <w:proofErr w:type="spellEnd"/>
      <w:r w:rsidRPr="00744965">
        <w:t xml:space="preserve"> 100mg and 200mg groups, respectively. The median age was 33.0 years, 124 (8.1%) were adolescents, and 94 (6.1%) were aged &gt; 65 years. Overall, 61.4% were randomised in the monotherapy studies.</w:t>
      </w:r>
    </w:p>
    <w:p w14:paraId="4621C63F" w14:textId="77777777" w:rsidR="00744965" w:rsidRPr="00744965" w:rsidRDefault="00744965" w:rsidP="00AF22D5">
      <w:r w:rsidRPr="00744965">
        <w:t>Delegate’s comments: The lower proportion of adolescents and adults in the &gt;65 years of age across studies was noted. The lower median treatment exposure for 200mg, compared to 100mg dose was also noted.</w:t>
      </w:r>
    </w:p>
    <w:p w14:paraId="18BF338F" w14:textId="635DD729" w:rsidR="00744965" w:rsidRPr="00AF22D5" w:rsidRDefault="00744965" w:rsidP="00AF22D5">
      <w:pPr>
        <w:rPr>
          <w:b/>
          <w:bCs/>
          <w:i/>
          <w:iCs/>
        </w:rPr>
      </w:pPr>
      <w:r w:rsidRPr="00AF22D5">
        <w:rPr>
          <w:b/>
          <w:bCs/>
          <w:i/>
          <w:iCs/>
        </w:rPr>
        <w:t>Treatment-emergent adverse events</w:t>
      </w:r>
    </w:p>
    <w:p w14:paraId="7A29B22A" w14:textId="77777777" w:rsidR="00744965" w:rsidRPr="00744965" w:rsidRDefault="00744965" w:rsidP="00AF22D5">
      <w:r w:rsidRPr="00744965">
        <w:t xml:space="preserve">The incidence of </w:t>
      </w:r>
      <w:bookmarkStart w:id="61" w:name="_Hlk165467321"/>
      <w:r w:rsidRPr="00744965">
        <w:t xml:space="preserve">treatment-emergent adverse events </w:t>
      </w:r>
      <w:bookmarkEnd w:id="61"/>
      <w:r w:rsidRPr="00744965">
        <w:t xml:space="preserve">(TEAE) was higher in the </w:t>
      </w:r>
      <w:proofErr w:type="spellStart"/>
      <w:r w:rsidRPr="00744965">
        <w:t>abrocitinib</w:t>
      </w:r>
      <w:proofErr w:type="spellEnd"/>
      <w:r w:rsidRPr="00744965">
        <w:t xml:space="preserve"> groups compared to placebo (14.3%, 25.6% and 38.3% in placebo, </w:t>
      </w:r>
      <w:proofErr w:type="spellStart"/>
      <w:r w:rsidRPr="00744965">
        <w:t>abrocitinib</w:t>
      </w:r>
      <w:proofErr w:type="spellEnd"/>
      <w:r w:rsidRPr="00744965">
        <w:t xml:space="preserve"> 100mg and 200mg groups, respectively). Nausea, nasopharyngitis and headache were reported most frequently. Nausea was the most frequently reported TEAE. The majority of TEAEs were mild or moderate in severity (Table 21).</w:t>
      </w:r>
    </w:p>
    <w:p w14:paraId="2CA4DE75" w14:textId="77777777" w:rsidR="00744965" w:rsidRPr="00744965" w:rsidRDefault="00744965" w:rsidP="00AF22D5">
      <w:r w:rsidRPr="00744965">
        <w:t xml:space="preserve">Low incidence of </w:t>
      </w:r>
      <w:bookmarkStart w:id="62" w:name="_Hlk165468336"/>
      <w:r w:rsidRPr="00744965">
        <w:t>serious adverse events (SAEs)</w:t>
      </w:r>
      <w:bookmarkEnd w:id="62"/>
      <w:r w:rsidRPr="00744965">
        <w:t xml:space="preserve"> was reported across treatment groups. The conditions reported were expected in a patient group with atopic dermatitis.</w:t>
      </w:r>
    </w:p>
    <w:p w14:paraId="4BF7093E" w14:textId="77777777" w:rsidR="00744965" w:rsidRPr="00744965" w:rsidRDefault="00744965" w:rsidP="00AF22D5">
      <w:pPr>
        <w:pStyle w:val="TableTitle"/>
      </w:pPr>
      <w:r w:rsidRPr="00744965">
        <w:lastRenderedPageBreak/>
        <w:t xml:space="preserve">Table 21. TEAEs comparative data between </w:t>
      </w:r>
      <w:proofErr w:type="spellStart"/>
      <w:r w:rsidRPr="00744965">
        <w:t>abrocitinib</w:t>
      </w:r>
      <w:proofErr w:type="spellEnd"/>
      <w:r w:rsidRPr="00744965">
        <w:t xml:space="preserve"> and dupilumab arms.</w:t>
      </w:r>
    </w:p>
    <w:p w14:paraId="5F2A6816" w14:textId="77777777" w:rsidR="00744965" w:rsidRPr="00744965" w:rsidRDefault="00744965" w:rsidP="00AF22D5">
      <w:r w:rsidRPr="00744965">
        <w:rPr>
          <w:noProof/>
        </w:rPr>
        <w:drawing>
          <wp:inline distT="0" distB="0" distL="0" distR="0" wp14:anchorId="71115EB9" wp14:editId="611D1221">
            <wp:extent cx="5830410" cy="2727960"/>
            <wp:effectExtent l="0" t="0" r="0" b="0"/>
            <wp:docPr id="101221193" name="Picture 25" descr="TEAEs comparative data between abrocitinib and dupilumab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193" name="Picture 25" descr="TEAEs comparative data between abrocitinib and dupilumab arms"/>
                    <pic:cNvPicPr>
                      <a:picLocks noChangeAspect="1" noChangeArrowheads="1"/>
                    </pic:cNvPicPr>
                  </pic:nvPicPr>
                  <pic:blipFill rotWithShape="1">
                    <a:blip r:embed="rId39">
                      <a:extLst>
                        <a:ext uri="{28A0092B-C50C-407E-A947-70E740481C1C}">
                          <a14:useLocalDpi xmlns:a14="http://schemas.microsoft.com/office/drawing/2010/main" val="0"/>
                        </a:ext>
                      </a:extLst>
                    </a:blip>
                    <a:srcRect t="18982"/>
                    <a:stretch/>
                  </pic:blipFill>
                  <pic:spPr bwMode="auto">
                    <a:xfrm>
                      <a:off x="0" y="0"/>
                      <a:ext cx="5866772" cy="2744973"/>
                    </a:xfrm>
                    <a:prstGeom prst="rect">
                      <a:avLst/>
                    </a:prstGeom>
                    <a:noFill/>
                    <a:ln>
                      <a:noFill/>
                    </a:ln>
                    <a:extLst>
                      <a:ext uri="{53640926-AAD7-44D8-BBD7-CCE9431645EC}">
                        <a14:shadowObscured xmlns:a14="http://schemas.microsoft.com/office/drawing/2010/main"/>
                      </a:ext>
                    </a:extLst>
                  </pic:spPr>
                </pic:pic>
              </a:graphicData>
            </a:graphic>
          </wp:inline>
        </w:drawing>
      </w:r>
    </w:p>
    <w:p w14:paraId="78E808A7" w14:textId="77777777" w:rsidR="00744965" w:rsidRPr="00E82226" w:rsidRDefault="00744965" w:rsidP="00E82226">
      <w:pPr>
        <w:rPr>
          <w:b/>
          <w:bCs/>
          <w:i/>
          <w:iCs/>
        </w:rPr>
      </w:pPr>
      <w:r w:rsidRPr="00E82226">
        <w:rPr>
          <w:b/>
          <w:bCs/>
          <w:i/>
          <w:iCs/>
        </w:rPr>
        <w:t>Deaths</w:t>
      </w:r>
    </w:p>
    <w:p w14:paraId="78A0E7C0" w14:textId="77777777" w:rsidR="00744965" w:rsidRPr="00744965" w:rsidRDefault="00744965" w:rsidP="00E82226">
      <w:r w:rsidRPr="00744965">
        <w:t xml:space="preserve">There were 3 deaths in the </w:t>
      </w:r>
      <w:proofErr w:type="spellStart"/>
      <w:r w:rsidRPr="00744965">
        <w:t>abrocitinib</w:t>
      </w:r>
      <w:proofErr w:type="spellEnd"/>
      <w:r w:rsidRPr="00744965">
        <w:t xml:space="preserve"> clinical program.</w:t>
      </w:r>
    </w:p>
    <w:p w14:paraId="4FE79EF8" w14:textId="77777777" w:rsidR="00744965" w:rsidRPr="00744965" w:rsidRDefault="00744965" w:rsidP="00E82226">
      <w:r w:rsidRPr="00744965">
        <w:t xml:space="preserve">None of the deaths were considered as related to treatment with </w:t>
      </w:r>
      <w:proofErr w:type="spellStart"/>
      <w:r w:rsidRPr="00744965">
        <w:t>abrocitinib</w:t>
      </w:r>
      <w:proofErr w:type="spellEnd"/>
      <w:r w:rsidRPr="00744965">
        <w:t>.</w:t>
      </w:r>
    </w:p>
    <w:p w14:paraId="03CA716E" w14:textId="77777777" w:rsidR="00744965" w:rsidRPr="00E82226" w:rsidRDefault="00744965" w:rsidP="00E82226">
      <w:pPr>
        <w:rPr>
          <w:b/>
          <w:bCs/>
          <w:i/>
          <w:iCs/>
        </w:rPr>
      </w:pPr>
      <w:r w:rsidRPr="00E82226">
        <w:rPr>
          <w:b/>
          <w:bCs/>
          <w:i/>
          <w:iCs/>
        </w:rPr>
        <w:t>MACE events</w:t>
      </w:r>
    </w:p>
    <w:p w14:paraId="086E3A91" w14:textId="77777777" w:rsidR="00744965" w:rsidRPr="00744965" w:rsidRDefault="00744965" w:rsidP="00E82226">
      <w:r w:rsidRPr="00744965">
        <w:t xml:space="preserve">There were 5 adjudicated MACE events during clinical studies (April 2021 data cut) with </w:t>
      </w:r>
      <w:proofErr w:type="spellStart"/>
      <w:r w:rsidRPr="00744965">
        <w:t>abrocitinib</w:t>
      </w:r>
      <w:proofErr w:type="spellEnd"/>
      <w:r w:rsidRPr="00744965">
        <w:t xml:space="preserve">. Three out of five events occurred in </w:t>
      </w:r>
      <w:proofErr w:type="spellStart"/>
      <w:r w:rsidRPr="00744965">
        <w:t>abrocitinib</w:t>
      </w:r>
      <w:proofErr w:type="spellEnd"/>
      <w:r w:rsidRPr="00744965">
        <w:t xml:space="preserve"> 200mg arm (Table 22).</w:t>
      </w:r>
    </w:p>
    <w:p w14:paraId="07C98999" w14:textId="77777777" w:rsidR="00744965" w:rsidRPr="00744965" w:rsidRDefault="00744965" w:rsidP="00E82226">
      <w:pPr>
        <w:pStyle w:val="TableTitle"/>
      </w:pPr>
      <w:r w:rsidRPr="00744965">
        <w:t>Table 22. MACE events.</w:t>
      </w:r>
    </w:p>
    <w:p w14:paraId="59B0598B" w14:textId="77777777" w:rsidR="00744965" w:rsidRPr="00744965" w:rsidRDefault="00744965" w:rsidP="00E82226">
      <w:r w:rsidRPr="00744965">
        <w:rPr>
          <w:noProof/>
        </w:rPr>
        <w:drawing>
          <wp:inline distT="0" distB="0" distL="0" distR="0" wp14:anchorId="3CE86D9A" wp14:editId="0B2BFF95">
            <wp:extent cx="5724719" cy="1295400"/>
            <wp:effectExtent l="0" t="0" r="9525" b="0"/>
            <wp:docPr id="235964954" name="Picture 1" descr="MA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64954" name="Picture 1" descr="MACE ev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4151" cy="1299797"/>
                    </a:xfrm>
                    <a:prstGeom prst="rect">
                      <a:avLst/>
                    </a:prstGeom>
                    <a:noFill/>
                    <a:ln>
                      <a:noFill/>
                    </a:ln>
                  </pic:spPr>
                </pic:pic>
              </a:graphicData>
            </a:graphic>
          </wp:inline>
        </w:drawing>
      </w:r>
    </w:p>
    <w:p w14:paraId="5D6814B8" w14:textId="77777777" w:rsidR="00744965" w:rsidRPr="00744965" w:rsidRDefault="00744965" w:rsidP="00E82226">
      <w:r w:rsidRPr="00744965">
        <w:t xml:space="preserve">Overall, the </w:t>
      </w:r>
      <w:bookmarkStart w:id="63" w:name="_Hlk165467571"/>
      <w:r w:rsidRPr="00744965">
        <w:t xml:space="preserve">incidence ratio (IR) </w:t>
      </w:r>
      <w:bookmarkEnd w:id="63"/>
      <w:r w:rsidRPr="00744965">
        <w:t xml:space="preserve">for MACE events was comparable across 100 and 200 mg </w:t>
      </w:r>
      <w:proofErr w:type="spellStart"/>
      <w:r w:rsidRPr="00744965">
        <w:t>abrocitinib</w:t>
      </w:r>
      <w:proofErr w:type="spellEnd"/>
      <w:r w:rsidRPr="00744965">
        <w:t xml:space="preserve"> arms (Table 23).</w:t>
      </w:r>
    </w:p>
    <w:p w14:paraId="7CEFADE8" w14:textId="77777777" w:rsidR="00744965" w:rsidRPr="00744965" w:rsidRDefault="00744965" w:rsidP="00E82226">
      <w:r w:rsidRPr="00744965">
        <w:t xml:space="preserve">In adults, the </w:t>
      </w:r>
      <w:bookmarkStart w:id="64" w:name="_Hlk165467739"/>
      <w:r w:rsidRPr="00744965">
        <w:t xml:space="preserve">hazard ratio (HR) </w:t>
      </w:r>
      <w:bookmarkEnd w:id="64"/>
      <w:r w:rsidRPr="00744965">
        <w:t xml:space="preserve">for 200mg vs 100mg </w:t>
      </w:r>
      <w:proofErr w:type="spellStart"/>
      <w:r w:rsidRPr="00744965">
        <w:t>abrocitinib</w:t>
      </w:r>
      <w:proofErr w:type="spellEnd"/>
      <w:r w:rsidRPr="00744965">
        <w:t xml:space="preserve"> for MACE events was &gt;2 (Table 24).</w:t>
      </w:r>
    </w:p>
    <w:p w14:paraId="11EFA009" w14:textId="77777777" w:rsidR="00744965" w:rsidRPr="00744965" w:rsidRDefault="00744965" w:rsidP="00E82226">
      <w:pPr>
        <w:pStyle w:val="TableTitle"/>
      </w:pPr>
      <w:r w:rsidRPr="00744965">
        <w:t>Table 23. Incidence ratio (IR) for MACE events.</w:t>
      </w:r>
    </w:p>
    <w:p w14:paraId="30DB2B66" w14:textId="77777777" w:rsidR="00744965" w:rsidRPr="00744965" w:rsidRDefault="00744965" w:rsidP="00E82226">
      <w:r w:rsidRPr="00744965">
        <w:rPr>
          <w:noProof/>
        </w:rPr>
        <w:drawing>
          <wp:inline distT="0" distB="0" distL="0" distR="0" wp14:anchorId="0A767D88" wp14:editId="00F429FC">
            <wp:extent cx="5729605" cy="1159328"/>
            <wp:effectExtent l="0" t="0" r="4445" b="3175"/>
            <wp:docPr id="1834066512" name="Picture 2" descr="Incidence ratio (IR) for MA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66512" name="Picture 2" descr="Incidence ratio (IR) for MACE events"/>
                    <pic:cNvPicPr>
                      <a:picLocks noChangeAspect="1" noChangeArrowheads="1"/>
                    </pic:cNvPicPr>
                  </pic:nvPicPr>
                  <pic:blipFill rotWithShape="1">
                    <a:blip r:embed="rId41">
                      <a:extLst>
                        <a:ext uri="{28A0092B-C50C-407E-A947-70E740481C1C}">
                          <a14:useLocalDpi xmlns:a14="http://schemas.microsoft.com/office/drawing/2010/main" val="0"/>
                        </a:ext>
                      </a:extLst>
                    </a:blip>
                    <a:srcRect t="4631" b="2605"/>
                    <a:stretch/>
                  </pic:blipFill>
                  <pic:spPr bwMode="auto">
                    <a:xfrm>
                      <a:off x="0" y="0"/>
                      <a:ext cx="5737664" cy="1160959"/>
                    </a:xfrm>
                    <a:prstGeom prst="rect">
                      <a:avLst/>
                    </a:prstGeom>
                    <a:noFill/>
                    <a:ln>
                      <a:noFill/>
                    </a:ln>
                    <a:extLst>
                      <a:ext uri="{53640926-AAD7-44D8-BBD7-CCE9431645EC}">
                        <a14:shadowObscured xmlns:a14="http://schemas.microsoft.com/office/drawing/2010/main"/>
                      </a:ext>
                    </a:extLst>
                  </pic:spPr>
                </pic:pic>
              </a:graphicData>
            </a:graphic>
          </wp:inline>
        </w:drawing>
      </w:r>
    </w:p>
    <w:p w14:paraId="631CAF62" w14:textId="77777777" w:rsidR="00744965" w:rsidRPr="00744965" w:rsidRDefault="00744965" w:rsidP="00E82226">
      <w:pPr>
        <w:pStyle w:val="TableTitle"/>
      </w:pPr>
      <w:r w:rsidRPr="00744965">
        <w:lastRenderedPageBreak/>
        <w:t>Table 24: HR for MACE events in adults.</w:t>
      </w:r>
    </w:p>
    <w:p w14:paraId="5E813FCE" w14:textId="77777777" w:rsidR="00744965" w:rsidRPr="00744965" w:rsidRDefault="00744965" w:rsidP="00E82226">
      <w:r w:rsidRPr="00744965">
        <w:rPr>
          <w:noProof/>
        </w:rPr>
        <w:drawing>
          <wp:inline distT="0" distB="0" distL="0" distR="0" wp14:anchorId="539BB75A" wp14:editId="558BDFE2">
            <wp:extent cx="5759450" cy="2673350"/>
            <wp:effectExtent l="0" t="0" r="0" b="0"/>
            <wp:docPr id="1003239287" name="Picture 1" descr="HR for MACE events in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9287" name="Picture 1" descr="HR for MACE events in adults"/>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759450" cy="2673350"/>
                    </a:xfrm>
                    <a:prstGeom prst="rect">
                      <a:avLst/>
                    </a:prstGeom>
                  </pic:spPr>
                </pic:pic>
              </a:graphicData>
            </a:graphic>
          </wp:inline>
        </w:drawing>
      </w:r>
    </w:p>
    <w:p w14:paraId="1F79AFAF" w14:textId="77777777" w:rsidR="00744965" w:rsidRPr="00744965" w:rsidRDefault="00744965" w:rsidP="00E82226">
      <w:r w:rsidRPr="00744965">
        <w:t xml:space="preserve">A </w:t>
      </w:r>
      <w:proofErr w:type="gramStart"/>
      <w:r w:rsidRPr="00744965">
        <w:t>39 year old</w:t>
      </w:r>
      <w:proofErr w:type="gramEnd"/>
      <w:r w:rsidRPr="00744965">
        <w:t xml:space="preserve"> female subject in the </w:t>
      </w:r>
      <w:proofErr w:type="spellStart"/>
      <w:r w:rsidRPr="00744965">
        <w:t>abrocitinib</w:t>
      </w:r>
      <w:proofErr w:type="spellEnd"/>
      <w:r w:rsidRPr="00744965">
        <w:t xml:space="preserve"> 100mg developed retinal vein occlusion on day 632 of treatment with </w:t>
      </w:r>
      <w:proofErr w:type="spellStart"/>
      <w:r w:rsidRPr="00744965">
        <w:t>abrocitinib</w:t>
      </w:r>
      <w:proofErr w:type="spellEnd"/>
      <w:r w:rsidRPr="00744965">
        <w:t xml:space="preserve">. There was no prior history of risk factors. The event </w:t>
      </w:r>
      <w:proofErr w:type="gramStart"/>
      <w:r w:rsidRPr="00744965">
        <w:t>was considered to be</w:t>
      </w:r>
      <w:proofErr w:type="gramEnd"/>
      <w:r w:rsidRPr="00744965">
        <w:t xml:space="preserve"> related to treatment with </w:t>
      </w:r>
      <w:proofErr w:type="spellStart"/>
      <w:r w:rsidRPr="00744965">
        <w:t>abrocitinib</w:t>
      </w:r>
      <w:proofErr w:type="spellEnd"/>
      <w:r w:rsidRPr="00744965">
        <w:t>. The event did not recover until the last day of follow-up and the subject was withdrawn from the study.</w:t>
      </w:r>
    </w:p>
    <w:p w14:paraId="1A558AFE" w14:textId="77777777" w:rsidR="00744965" w:rsidRPr="00744965" w:rsidRDefault="00744965" w:rsidP="00E82226">
      <w:r w:rsidRPr="00744965">
        <w:t>Other MACE events were reported in subjects with history of risk factors. The events were not confined to &gt;65 years of age (</w:t>
      </w:r>
      <w:proofErr w:type="gramStart"/>
      <w:r w:rsidRPr="00744965">
        <w:t>42 year old</w:t>
      </w:r>
      <w:proofErr w:type="gramEnd"/>
      <w:r w:rsidRPr="00744965">
        <w:t xml:space="preserve"> male developed cardiac failure, in addition to the 39 year old female with retinal vein occlusion).</w:t>
      </w:r>
    </w:p>
    <w:p w14:paraId="5EC1F183" w14:textId="77777777" w:rsidR="00744965" w:rsidRPr="00744965" w:rsidRDefault="00744965" w:rsidP="00E82226">
      <w:r w:rsidRPr="00744965">
        <w:t>No MACE events were reported in the placebo arm.</w:t>
      </w:r>
    </w:p>
    <w:p w14:paraId="515B141E" w14:textId="77777777" w:rsidR="00744965" w:rsidRPr="00E82226" w:rsidRDefault="00744965" w:rsidP="00E82226">
      <w:pPr>
        <w:rPr>
          <w:b/>
          <w:bCs/>
          <w:i/>
          <w:iCs/>
        </w:rPr>
      </w:pPr>
      <w:r w:rsidRPr="00E82226">
        <w:rPr>
          <w:b/>
          <w:bCs/>
          <w:i/>
          <w:iCs/>
        </w:rPr>
        <w:t>Venous thromboembolism events</w:t>
      </w:r>
    </w:p>
    <w:p w14:paraId="2E1FA176" w14:textId="77777777" w:rsidR="00744965" w:rsidRPr="00744965" w:rsidRDefault="00744965" w:rsidP="00E82226">
      <w:r w:rsidRPr="00744965">
        <w:t xml:space="preserve">There were 7 VTE events (4 events of PE, 3 events of DVT) during the treatment period with </w:t>
      </w:r>
      <w:proofErr w:type="spellStart"/>
      <w:r w:rsidRPr="00744965">
        <w:t>abrocitinib</w:t>
      </w:r>
      <w:proofErr w:type="spellEnd"/>
      <w:r w:rsidRPr="00744965">
        <w:t xml:space="preserve"> (Table 25). Except for one event of PE, all other events occurred in the </w:t>
      </w:r>
      <w:proofErr w:type="spellStart"/>
      <w:r w:rsidRPr="00744965">
        <w:t>abrocitinib</w:t>
      </w:r>
      <w:proofErr w:type="spellEnd"/>
      <w:r w:rsidRPr="00744965">
        <w:t xml:space="preserve"> 200mg arm. A dose-proportionate incidence of VTE events was noted. All subjects who developed PE were withdrawn from the study.</w:t>
      </w:r>
    </w:p>
    <w:p w14:paraId="0E81E830" w14:textId="77777777" w:rsidR="00744965" w:rsidRPr="00744965" w:rsidRDefault="00744965" w:rsidP="00E82226">
      <w:r w:rsidRPr="00744965">
        <w:t xml:space="preserve">The IR for pulmonary embolism in the </w:t>
      </w:r>
      <w:proofErr w:type="spellStart"/>
      <w:r w:rsidRPr="00744965">
        <w:t>abrocitinib</w:t>
      </w:r>
      <w:proofErr w:type="spellEnd"/>
      <w:r w:rsidRPr="00744965">
        <w:t xml:space="preserve"> arms were higher than the background rates in patients with AD in the cohort studies. In clinical studies with </w:t>
      </w:r>
      <w:proofErr w:type="spellStart"/>
      <w:r w:rsidRPr="00744965">
        <w:t>abrocitinib</w:t>
      </w:r>
      <w:proofErr w:type="spellEnd"/>
      <w:r w:rsidRPr="00744965">
        <w:t>, the IR for VTE events was [1.44/ 100 PY (95% CI: 0.17, 5.18)] in the subjects 65 years and older and [0.17/100 PY (95% CI: 0.05, 0.45)] in adults 18-&lt;65 years.</w:t>
      </w:r>
    </w:p>
    <w:p w14:paraId="28B53562" w14:textId="77777777" w:rsidR="00744965" w:rsidRPr="00744965" w:rsidRDefault="00744965" w:rsidP="00E82226">
      <w:r w:rsidRPr="00744965">
        <w:t xml:space="preserve">A </w:t>
      </w:r>
      <w:proofErr w:type="gramStart"/>
      <w:r w:rsidRPr="00744965">
        <w:t>55 year old</w:t>
      </w:r>
      <w:proofErr w:type="gramEnd"/>
      <w:r w:rsidRPr="00744965">
        <w:t xml:space="preserve"> male with no history of risk factors developed VTE on day 80 of treatment period. He received treatment and the event resolved on day 155. Treatment was withdrawn.</w:t>
      </w:r>
    </w:p>
    <w:p w14:paraId="4ACDB011" w14:textId="77777777" w:rsidR="00744965" w:rsidRPr="00744965" w:rsidRDefault="00744965" w:rsidP="00744965">
      <w:r w:rsidRPr="00744965">
        <w:t>No VTE events were reported in the placebo arm. Two events of VTE occurred within the first 100 days of treatment.</w:t>
      </w:r>
    </w:p>
    <w:p w14:paraId="4FE8503F" w14:textId="77777777" w:rsidR="00744965" w:rsidRPr="00744965" w:rsidRDefault="00744965" w:rsidP="00E82226">
      <w:pPr>
        <w:pStyle w:val="TableTitle"/>
      </w:pPr>
      <w:r w:rsidRPr="00744965">
        <w:lastRenderedPageBreak/>
        <w:t>Table 25: Venous thromboembolism events</w:t>
      </w:r>
    </w:p>
    <w:p w14:paraId="1E5B5316" w14:textId="77777777" w:rsidR="00744965" w:rsidRPr="00744965" w:rsidRDefault="00744965" w:rsidP="00E82226">
      <w:r w:rsidRPr="00744965">
        <w:rPr>
          <w:noProof/>
        </w:rPr>
        <w:drawing>
          <wp:inline distT="0" distB="0" distL="0" distR="0" wp14:anchorId="7FBA931D" wp14:editId="5EE77C71">
            <wp:extent cx="5881837" cy="2552700"/>
            <wp:effectExtent l="0" t="0" r="5080" b="0"/>
            <wp:docPr id="1774097235" name="Picture 4" descr="Venous thromboembolism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97235" name="Picture 4" descr="Venous thromboembolism events"/>
                    <pic:cNvPicPr>
                      <a:picLocks noChangeAspect="1" noChangeArrowheads="1"/>
                    </pic:cNvPicPr>
                  </pic:nvPicPr>
                  <pic:blipFill rotWithShape="1">
                    <a:blip r:embed="rId44">
                      <a:extLst>
                        <a:ext uri="{28A0092B-C50C-407E-A947-70E740481C1C}">
                          <a14:useLocalDpi xmlns:a14="http://schemas.microsoft.com/office/drawing/2010/main" val="0"/>
                        </a:ext>
                      </a:extLst>
                    </a:blip>
                    <a:srcRect l="2370" t="-1" r="3098" b="2366"/>
                    <a:stretch/>
                  </pic:blipFill>
                  <pic:spPr bwMode="auto">
                    <a:xfrm>
                      <a:off x="0" y="0"/>
                      <a:ext cx="5897175" cy="2559357"/>
                    </a:xfrm>
                    <a:prstGeom prst="rect">
                      <a:avLst/>
                    </a:prstGeom>
                    <a:noFill/>
                    <a:ln>
                      <a:noFill/>
                    </a:ln>
                    <a:extLst>
                      <a:ext uri="{53640926-AAD7-44D8-BBD7-CCE9431645EC}">
                        <a14:shadowObscured xmlns:a14="http://schemas.microsoft.com/office/drawing/2010/main"/>
                      </a:ext>
                    </a:extLst>
                  </pic:spPr>
                </pic:pic>
              </a:graphicData>
            </a:graphic>
          </wp:inline>
        </w:drawing>
      </w:r>
    </w:p>
    <w:p w14:paraId="308F306F" w14:textId="77777777" w:rsidR="00744965" w:rsidRPr="00744965" w:rsidRDefault="00744965" w:rsidP="00E82226">
      <w:r w:rsidRPr="00744965">
        <w:t xml:space="preserve">The HR for VTE events in the 200mg was 5.24 and PE was 2.89, compared to 100mg </w:t>
      </w:r>
      <w:proofErr w:type="spellStart"/>
      <w:r w:rsidRPr="00744965">
        <w:t>abrocitinib</w:t>
      </w:r>
      <w:proofErr w:type="spellEnd"/>
      <w:r w:rsidRPr="00744965">
        <w:t xml:space="preserve"> arm. There were insufficient events in each age category to determine any difference in HR across age groups (Table 26).</w:t>
      </w:r>
    </w:p>
    <w:p w14:paraId="7BBD5C8C" w14:textId="0FE98FBE" w:rsidR="00744965" w:rsidRPr="00744965" w:rsidRDefault="00744965" w:rsidP="00E82226">
      <w:pPr>
        <w:pStyle w:val="TableTitle"/>
      </w:pPr>
      <w:r w:rsidRPr="00744965">
        <w:t>Table 26. HR for VTE events.</w:t>
      </w:r>
    </w:p>
    <w:p w14:paraId="2A9466EA" w14:textId="77777777" w:rsidR="00744965" w:rsidRPr="00744965" w:rsidRDefault="00744965" w:rsidP="00E82226">
      <w:r w:rsidRPr="00744965">
        <w:rPr>
          <w:noProof/>
        </w:rPr>
        <w:drawing>
          <wp:inline distT="0" distB="0" distL="0" distR="0" wp14:anchorId="35C1A77B" wp14:editId="766BAFD1">
            <wp:extent cx="5991236" cy="2659380"/>
            <wp:effectExtent l="0" t="0" r="9525" b="7620"/>
            <wp:docPr id="493269176" name="Picture 5" descr="HR for VT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69176" name="Picture 5" descr="HR for VTE ev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5226" cy="2674467"/>
                    </a:xfrm>
                    <a:prstGeom prst="rect">
                      <a:avLst/>
                    </a:prstGeom>
                    <a:noFill/>
                    <a:ln>
                      <a:noFill/>
                    </a:ln>
                  </pic:spPr>
                </pic:pic>
              </a:graphicData>
            </a:graphic>
          </wp:inline>
        </w:drawing>
      </w:r>
    </w:p>
    <w:p w14:paraId="1A3CF135" w14:textId="77777777" w:rsidR="00744965" w:rsidRPr="00E82226" w:rsidRDefault="00744965" w:rsidP="00E82226">
      <w:pPr>
        <w:rPr>
          <w:b/>
          <w:bCs/>
          <w:i/>
          <w:iCs/>
        </w:rPr>
      </w:pPr>
      <w:r w:rsidRPr="00E82226">
        <w:rPr>
          <w:b/>
          <w:bCs/>
          <w:i/>
          <w:iCs/>
        </w:rPr>
        <w:t>Infections</w:t>
      </w:r>
    </w:p>
    <w:p w14:paraId="2EFE3BB2" w14:textId="77777777" w:rsidR="00744965" w:rsidRPr="00744965" w:rsidRDefault="00744965" w:rsidP="00E82226">
      <w:r w:rsidRPr="00744965">
        <w:t xml:space="preserve">There was a dose-related increase in the IR of herpes zoster events (placebo: 0.00, </w:t>
      </w:r>
      <w:proofErr w:type="spellStart"/>
      <w:r w:rsidRPr="00744965">
        <w:t>abrocitinib</w:t>
      </w:r>
      <w:proofErr w:type="spellEnd"/>
      <w:r w:rsidRPr="00744965">
        <w:t xml:space="preserve"> 100 mg QD: 1.90/100 PY; </w:t>
      </w:r>
      <w:proofErr w:type="spellStart"/>
      <w:r w:rsidRPr="00744965">
        <w:t>abrocitinib</w:t>
      </w:r>
      <w:proofErr w:type="spellEnd"/>
      <w:r w:rsidRPr="00744965">
        <w:t xml:space="preserve"> 200 mg QD: 5.16/100 PY) (Table 27):</w:t>
      </w:r>
    </w:p>
    <w:p w14:paraId="6A44F367" w14:textId="0968937A" w:rsidR="00744965" w:rsidRPr="00744965" w:rsidRDefault="00744965" w:rsidP="00E82226">
      <w:pPr>
        <w:pStyle w:val="TableTitle"/>
      </w:pPr>
      <w:r w:rsidRPr="00744965">
        <w:lastRenderedPageBreak/>
        <w:t>Table 27. Incidence ratios (IR) of infections.</w:t>
      </w:r>
    </w:p>
    <w:p w14:paraId="4FC4F738" w14:textId="1C76E404" w:rsidR="00744965" w:rsidRPr="00744965" w:rsidRDefault="00744965" w:rsidP="00E82226">
      <w:r w:rsidRPr="00744965">
        <w:rPr>
          <w:noProof/>
        </w:rPr>
        <w:drawing>
          <wp:inline distT="0" distB="0" distL="0" distR="0" wp14:anchorId="5F6E59E5" wp14:editId="6E17A737">
            <wp:extent cx="5908189" cy="2133600"/>
            <wp:effectExtent l="0" t="0" r="0" b="0"/>
            <wp:docPr id="78294612" name="Picture 6" descr="Incidence ratios (IR) of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4612" name="Picture 6" descr="Incidence ratios (IR) of infect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7269" cy="2147713"/>
                    </a:xfrm>
                    <a:prstGeom prst="rect">
                      <a:avLst/>
                    </a:prstGeom>
                    <a:noFill/>
                    <a:ln>
                      <a:noFill/>
                    </a:ln>
                  </pic:spPr>
                </pic:pic>
              </a:graphicData>
            </a:graphic>
          </wp:inline>
        </w:drawing>
      </w:r>
    </w:p>
    <w:p w14:paraId="524D0984" w14:textId="77777777" w:rsidR="00744965" w:rsidRPr="00E82226" w:rsidRDefault="00744965" w:rsidP="00E82226">
      <w:pPr>
        <w:rPr>
          <w:b/>
          <w:bCs/>
          <w:i/>
          <w:iCs/>
        </w:rPr>
      </w:pPr>
      <w:r w:rsidRPr="00E82226">
        <w:rPr>
          <w:b/>
          <w:bCs/>
          <w:i/>
          <w:iCs/>
        </w:rPr>
        <w:t>Malignancy</w:t>
      </w:r>
    </w:p>
    <w:p w14:paraId="7072F58D" w14:textId="77777777" w:rsidR="00744965" w:rsidRPr="00744965" w:rsidRDefault="00744965" w:rsidP="00E82226">
      <w:r w:rsidRPr="00744965">
        <w:t xml:space="preserve">Eighteen events of malignancy were reported in subjects treated with </w:t>
      </w:r>
      <w:proofErr w:type="spellStart"/>
      <w:r w:rsidRPr="00744965">
        <w:t>abrocitinib</w:t>
      </w:r>
      <w:proofErr w:type="spellEnd"/>
      <w:r w:rsidRPr="00744965">
        <w:t xml:space="preserve"> and none in the placebo arm. Seven events of “other malignancy” (Table 28) and 11 events of </w:t>
      </w:r>
      <w:bookmarkStart w:id="65" w:name="_Hlk165467801"/>
      <w:r w:rsidRPr="00744965">
        <w:t>non-melanoma skin cancer (Table 29) were reported</w:t>
      </w:r>
      <w:bookmarkEnd w:id="65"/>
      <w:r w:rsidRPr="00744965">
        <w:t>. The IR was 0.23/100PY.</w:t>
      </w:r>
    </w:p>
    <w:p w14:paraId="054311F2" w14:textId="77777777" w:rsidR="00744965" w:rsidRPr="00744965" w:rsidRDefault="00744965" w:rsidP="00E82226">
      <w:r w:rsidRPr="00744965">
        <w:t xml:space="preserve">Four additional events of malignancy were reported in the safety data up to April 2021 data cut. </w:t>
      </w:r>
    </w:p>
    <w:p w14:paraId="13C7ED62" w14:textId="716F9242" w:rsidR="00744965" w:rsidRPr="00744965" w:rsidRDefault="00744965" w:rsidP="00E82226">
      <w:pPr>
        <w:pStyle w:val="TableTitle"/>
      </w:pPr>
      <w:r w:rsidRPr="00744965">
        <w:t>Table 28. Other events of malignancy</w:t>
      </w:r>
    </w:p>
    <w:p w14:paraId="77EA8D28" w14:textId="77777777" w:rsidR="00744965" w:rsidRPr="00744965" w:rsidRDefault="00744965" w:rsidP="00E82226">
      <w:r w:rsidRPr="00744965">
        <w:rPr>
          <w:noProof/>
        </w:rPr>
        <w:drawing>
          <wp:inline distT="0" distB="0" distL="0" distR="0" wp14:anchorId="4A44498C" wp14:editId="2508D294">
            <wp:extent cx="6398423" cy="998220"/>
            <wp:effectExtent l="0" t="0" r="2540" b="0"/>
            <wp:docPr id="236024542" name="Picture 7" descr="Other events of mali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24542" name="Picture 7" descr="Other events of malignancy"/>
                    <pic:cNvPicPr>
                      <a:picLocks noChangeAspect="1" noChangeArrowheads="1"/>
                    </pic:cNvPicPr>
                  </pic:nvPicPr>
                  <pic:blipFill rotWithShape="1">
                    <a:blip r:embed="rId47">
                      <a:extLst>
                        <a:ext uri="{28A0092B-C50C-407E-A947-70E740481C1C}">
                          <a14:useLocalDpi xmlns:a14="http://schemas.microsoft.com/office/drawing/2010/main" val="0"/>
                        </a:ext>
                      </a:extLst>
                    </a:blip>
                    <a:srcRect t="4548" b="4881"/>
                    <a:stretch/>
                  </pic:blipFill>
                  <pic:spPr bwMode="auto">
                    <a:xfrm>
                      <a:off x="0" y="0"/>
                      <a:ext cx="6411738" cy="1000297"/>
                    </a:xfrm>
                    <a:prstGeom prst="rect">
                      <a:avLst/>
                    </a:prstGeom>
                    <a:noFill/>
                    <a:ln>
                      <a:noFill/>
                    </a:ln>
                    <a:extLst>
                      <a:ext uri="{53640926-AAD7-44D8-BBD7-CCE9431645EC}">
                        <a14:shadowObscured xmlns:a14="http://schemas.microsoft.com/office/drawing/2010/main"/>
                      </a:ext>
                    </a:extLst>
                  </pic:spPr>
                </pic:pic>
              </a:graphicData>
            </a:graphic>
          </wp:inline>
        </w:drawing>
      </w:r>
    </w:p>
    <w:p w14:paraId="7C363F73" w14:textId="77777777" w:rsidR="00744965" w:rsidRPr="00744965" w:rsidRDefault="00744965" w:rsidP="00E82226">
      <w:r w:rsidRPr="00744965">
        <w:t xml:space="preserve">A </w:t>
      </w:r>
      <w:proofErr w:type="gramStart"/>
      <w:r w:rsidRPr="00744965">
        <w:t>59 year old</w:t>
      </w:r>
      <w:proofErr w:type="gramEnd"/>
      <w:r w:rsidRPr="00744965">
        <w:t xml:space="preserve"> subject in the </w:t>
      </w:r>
      <w:proofErr w:type="spellStart"/>
      <w:r w:rsidRPr="00744965">
        <w:t>abrocitinib</w:t>
      </w:r>
      <w:proofErr w:type="spellEnd"/>
      <w:r w:rsidRPr="00744965">
        <w:t xml:space="preserve"> 200mg arm developed lymphoma on day 748. The event was considered related to treatment with </w:t>
      </w:r>
      <w:proofErr w:type="spellStart"/>
      <w:r w:rsidRPr="00744965">
        <w:t>abrocitinib</w:t>
      </w:r>
      <w:proofErr w:type="spellEnd"/>
      <w:r w:rsidRPr="00744965">
        <w:t>. The subject did not have any history of malignancy or medical history of Epstein-Barr virus infection or known history of exposure to certain chemicals or radiation. Treatment was withdrawn and chemotherapy was initiated.</w:t>
      </w:r>
    </w:p>
    <w:p w14:paraId="032A760B" w14:textId="77777777" w:rsidR="00744965" w:rsidRPr="00744965" w:rsidRDefault="00744965" w:rsidP="00E82226">
      <w:pPr>
        <w:pStyle w:val="TableTitle"/>
      </w:pPr>
      <w:r w:rsidRPr="00744965">
        <w:t>Table 29. Non-Melanoma skin cancer</w:t>
      </w:r>
    </w:p>
    <w:p w14:paraId="0EFF2AD0" w14:textId="77777777" w:rsidR="00744965" w:rsidRPr="00744965" w:rsidRDefault="00744965" w:rsidP="00E82226">
      <w:r w:rsidRPr="00744965">
        <w:rPr>
          <w:noProof/>
        </w:rPr>
        <w:drawing>
          <wp:inline distT="0" distB="0" distL="0" distR="0" wp14:anchorId="2F827623" wp14:editId="0078DCF0">
            <wp:extent cx="6013924" cy="952500"/>
            <wp:effectExtent l="0" t="0" r="6350" b="0"/>
            <wp:docPr id="513877535" name="Picture 8" descr="Non-Melanoma sk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77535" name="Picture 8" descr="Non-Melanoma skin cancer"/>
                    <pic:cNvPicPr>
                      <a:picLocks noChangeAspect="1" noChangeArrowheads="1"/>
                    </pic:cNvPicPr>
                  </pic:nvPicPr>
                  <pic:blipFill rotWithShape="1">
                    <a:blip r:embed="rId48">
                      <a:extLst>
                        <a:ext uri="{28A0092B-C50C-407E-A947-70E740481C1C}">
                          <a14:useLocalDpi xmlns:a14="http://schemas.microsoft.com/office/drawing/2010/main" val="0"/>
                        </a:ext>
                      </a:extLst>
                    </a:blip>
                    <a:srcRect t="5298"/>
                    <a:stretch/>
                  </pic:blipFill>
                  <pic:spPr bwMode="auto">
                    <a:xfrm>
                      <a:off x="0" y="0"/>
                      <a:ext cx="6042053" cy="956955"/>
                    </a:xfrm>
                    <a:prstGeom prst="rect">
                      <a:avLst/>
                    </a:prstGeom>
                    <a:noFill/>
                    <a:ln>
                      <a:noFill/>
                    </a:ln>
                    <a:extLst>
                      <a:ext uri="{53640926-AAD7-44D8-BBD7-CCE9431645EC}">
                        <a14:shadowObscured xmlns:a14="http://schemas.microsoft.com/office/drawing/2010/main"/>
                      </a:ext>
                    </a:extLst>
                  </pic:spPr>
                </pic:pic>
              </a:graphicData>
            </a:graphic>
          </wp:inline>
        </w:drawing>
      </w:r>
    </w:p>
    <w:p w14:paraId="6E1A247C" w14:textId="77777777" w:rsidR="00744965" w:rsidRPr="00744965" w:rsidRDefault="00744965" w:rsidP="00E82226">
      <w:r w:rsidRPr="00744965">
        <w:t xml:space="preserve">It should be noted that subjects with any malignancies or have a history of malignancies </w:t>
      </w:r>
      <w:proofErr w:type="gramStart"/>
      <w:r w:rsidRPr="00744965">
        <w:t>with the exception of</w:t>
      </w:r>
      <w:proofErr w:type="gramEnd"/>
      <w:r w:rsidRPr="00744965">
        <w:t xml:space="preserve"> adequately treated or excised non-metastatic basal cell or squamous cell cancer of the skin, or cervical carcinoma in situ were excluded from clinical studies with </w:t>
      </w:r>
      <w:proofErr w:type="spellStart"/>
      <w:r w:rsidRPr="00744965">
        <w:t>abrocitinib</w:t>
      </w:r>
      <w:proofErr w:type="spellEnd"/>
      <w:r w:rsidRPr="00744965">
        <w:t>.</w:t>
      </w:r>
    </w:p>
    <w:p w14:paraId="7BF69F5B" w14:textId="77777777" w:rsidR="00744965" w:rsidRPr="00744965" w:rsidRDefault="00744965" w:rsidP="00737C15">
      <w:r w:rsidRPr="00744965">
        <w:t>Squamous cell carcinoma (</w:t>
      </w:r>
      <w:proofErr w:type="gramStart"/>
      <w:r w:rsidRPr="00744965">
        <w:t>44 year old</w:t>
      </w:r>
      <w:proofErr w:type="gramEnd"/>
      <w:r w:rsidRPr="00744965">
        <w:t xml:space="preserve"> male subject from Australia) and sebaceous carcinoma (70 year old female from US) were reported in subjects treated with 200 mg </w:t>
      </w:r>
      <w:proofErr w:type="spellStart"/>
      <w:r w:rsidRPr="00744965">
        <w:t>abrocitinib</w:t>
      </w:r>
      <w:proofErr w:type="spellEnd"/>
      <w:r w:rsidRPr="00744965">
        <w:t xml:space="preserve"> that were considered to be related to the study treatment.</w:t>
      </w:r>
    </w:p>
    <w:p w14:paraId="6FE7F680" w14:textId="77777777" w:rsidR="00744965" w:rsidRPr="00737C15" w:rsidRDefault="00744965" w:rsidP="00737C15">
      <w:pPr>
        <w:rPr>
          <w:b/>
          <w:bCs/>
          <w:i/>
          <w:iCs/>
        </w:rPr>
      </w:pPr>
      <w:r w:rsidRPr="00737C15">
        <w:rPr>
          <w:b/>
          <w:bCs/>
          <w:i/>
          <w:iCs/>
        </w:rPr>
        <w:t xml:space="preserve">Effect on </w:t>
      </w:r>
      <w:proofErr w:type="gramStart"/>
      <w:r w:rsidRPr="00737C15">
        <w:rPr>
          <w:b/>
          <w:bCs/>
          <w:i/>
          <w:iCs/>
        </w:rPr>
        <w:t>platelets</w:t>
      </w:r>
      <w:proofErr w:type="gramEnd"/>
    </w:p>
    <w:p w14:paraId="30E878D9" w14:textId="77777777" w:rsidR="00744965" w:rsidRPr="00744965" w:rsidRDefault="00744965" w:rsidP="00737C15">
      <w:r w:rsidRPr="00744965">
        <w:t xml:space="preserve">There was a dose-related reduction in the platelets, with a nadir in median values at week 4 following initiation of </w:t>
      </w:r>
      <w:proofErr w:type="spellStart"/>
      <w:r w:rsidRPr="00744965">
        <w:t>abrocitinib</w:t>
      </w:r>
      <w:proofErr w:type="spellEnd"/>
      <w:r w:rsidRPr="00744965">
        <w:t xml:space="preserve"> treatment. Most values remained above the LLN </w:t>
      </w:r>
      <w:r w:rsidRPr="00744965">
        <w:lastRenderedPageBreak/>
        <w:t>(140,000/mm3). The levels reached a plateau at week 12 that was below the original baseline (Table 30).</w:t>
      </w:r>
    </w:p>
    <w:p w14:paraId="6170E97B" w14:textId="77777777" w:rsidR="00744965" w:rsidRPr="00744965" w:rsidRDefault="00744965" w:rsidP="00737C15">
      <w:r w:rsidRPr="00744965">
        <w:t xml:space="preserve">There were no bleeding-related AEs. The level of platelets rebounded to pre-treatment levels once treatment with </w:t>
      </w:r>
      <w:proofErr w:type="spellStart"/>
      <w:r w:rsidRPr="00744965">
        <w:t>abrocitinib</w:t>
      </w:r>
      <w:proofErr w:type="spellEnd"/>
      <w:r w:rsidRPr="00744965">
        <w:t xml:space="preserve"> was ceased.</w:t>
      </w:r>
    </w:p>
    <w:p w14:paraId="43BA0CEB" w14:textId="58EA6BB3" w:rsidR="00744965" w:rsidRPr="00744965" w:rsidRDefault="00744965" w:rsidP="00737C15">
      <w:pPr>
        <w:pStyle w:val="TableTitle"/>
      </w:pPr>
      <w:r w:rsidRPr="00744965">
        <w:t xml:space="preserve">Table 30. Effect of </w:t>
      </w:r>
      <w:proofErr w:type="spellStart"/>
      <w:r w:rsidRPr="00744965">
        <w:t>abrocitinib</w:t>
      </w:r>
      <w:proofErr w:type="spellEnd"/>
      <w:r w:rsidRPr="00744965">
        <w:t xml:space="preserve"> treatment on </w:t>
      </w:r>
      <w:r w:rsidRPr="00737C15">
        <w:t>platelets</w:t>
      </w:r>
      <w:r w:rsidRPr="00744965">
        <w:t>.</w:t>
      </w:r>
    </w:p>
    <w:p w14:paraId="538E692A" w14:textId="77777777" w:rsidR="00744965" w:rsidRPr="00744965" w:rsidRDefault="00744965" w:rsidP="00737C15">
      <w:r w:rsidRPr="00744965">
        <w:rPr>
          <w:noProof/>
        </w:rPr>
        <w:drawing>
          <wp:inline distT="0" distB="0" distL="0" distR="0" wp14:anchorId="45A3FBDB" wp14:editId="52BCC8D5">
            <wp:extent cx="5800373" cy="2613660"/>
            <wp:effectExtent l="0" t="0" r="0" b="0"/>
            <wp:docPr id="626899824" name="Picture 9" descr="Effect of abrocitinib treatment on plat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9824" name="Picture 9" descr="Effect of abrocitinib treatment on platelets"/>
                    <pic:cNvPicPr>
                      <a:picLocks noChangeAspect="1" noChangeArrowheads="1"/>
                    </pic:cNvPicPr>
                  </pic:nvPicPr>
                  <pic:blipFill rotWithShape="1">
                    <a:blip r:embed="rId49">
                      <a:extLst>
                        <a:ext uri="{28A0092B-C50C-407E-A947-70E740481C1C}">
                          <a14:useLocalDpi xmlns:a14="http://schemas.microsoft.com/office/drawing/2010/main" val="0"/>
                        </a:ext>
                      </a:extLst>
                    </a:blip>
                    <a:srcRect b="878"/>
                    <a:stretch/>
                  </pic:blipFill>
                  <pic:spPr bwMode="auto">
                    <a:xfrm>
                      <a:off x="0" y="0"/>
                      <a:ext cx="5816733" cy="2621032"/>
                    </a:xfrm>
                    <a:prstGeom prst="rect">
                      <a:avLst/>
                    </a:prstGeom>
                    <a:noFill/>
                    <a:ln>
                      <a:noFill/>
                    </a:ln>
                    <a:extLst>
                      <a:ext uri="{53640926-AAD7-44D8-BBD7-CCE9431645EC}">
                        <a14:shadowObscured xmlns:a14="http://schemas.microsoft.com/office/drawing/2010/main"/>
                      </a:ext>
                    </a:extLst>
                  </pic:spPr>
                </pic:pic>
              </a:graphicData>
            </a:graphic>
          </wp:inline>
        </w:drawing>
      </w:r>
    </w:p>
    <w:p w14:paraId="19654946" w14:textId="77777777" w:rsidR="00744965" w:rsidRPr="00744965" w:rsidRDefault="00744965" w:rsidP="00737C15">
      <w:r w:rsidRPr="00744965">
        <w:t xml:space="preserve">The magnitude of reduction of platelets was higher in the &gt; </w:t>
      </w:r>
      <w:proofErr w:type="gramStart"/>
      <w:r w:rsidRPr="00744965">
        <w:t>65 year</w:t>
      </w:r>
      <w:proofErr w:type="gramEnd"/>
      <w:r w:rsidRPr="00744965">
        <w:t xml:space="preserve"> age group, compared to the rest of the patient population.</w:t>
      </w:r>
    </w:p>
    <w:p w14:paraId="5DB8D42D" w14:textId="67F37EA9" w:rsidR="00744965" w:rsidRPr="00744965" w:rsidRDefault="00744965" w:rsidP="00737C15">
      <w:r w:rsidRPr="00744965">
        <w:t xml:space="preserve">There was a dose-proportionate reduction in the neutrophil count in subjects with a neutrophil level &lt;2000/mm3 at baseline (3.6%, 9.1% and 20.0% in the placebo, </w:t>
      </w:r>
      <w:proofErr w:type="spellStart"/>
      <w:r w:rsidRPr="00744965">
        <w:t>abrocitinib</w:t>
      </w:r>
      <w:proofErr w:type="spellEnd"/>
      <w:r w:rsidRPr="00744965">
        <w:t xml:space="preserve"> 100mg and 200mg groups, respectively). No subjects met the threshold for discontinuation (&lt;1000/mm3)</w:t>
      </w:r>
      <w:r w:rsidR="00737C15">
        <w:t>.</w:t>
      </w:r>
    </w:p>
    <w:p w14:paraId="16B0A2B5" w14:textId="77777777" w:rsidR="00744965" w:rsidRPr="00744965" w:rsidRDefault="00744965" w:rsidP="00737C15">
      <w:r w:rsidRPr="00744965">
        <w:t xml:space="preserve">A dose-related increase in creatinine phosphokinase (CPK) beginning at week 4 and showing plateau at Week 8 was reported. The median change at the last observation was much greater in the </w:t>
      </w:r>
      <w:proofErr w:type="spellStart"/>
      <w:r w:rsidRPr="00744965">
        <w:t>abrocitinib</w:t>
      </w:r>
      <w:proofErr w:type="spellEnd"/>
      <w:r w:rsidRPr="00744965">
        <w:t xml:space="preserve"> 100 mg QD and 200 mg QD groups (53 U/L and 88 U/L, respectively) relative to the placebo group (-2 U/L). A dose-related increase was also reported in the proportions of subjects exceeding a threshold of 2 x the </w:t>
      </w:r>
      <w:bookmarkStart w:id="66" w:name="_Hlk165468494"/>
      <w:r w:rsidRPr="00744965">
        <w:t>upper limit of normal (ULN)</w:t>
      </w:r>
      <w:bookmarkEnd w:id="66"/>
      <w:r w:rsidRPr="00744965">
        <w:t xml:space="preserve"> and 5x ULN. Overall, &lt;5% of subjects experienced &gt; 5x ULN.</w:t>
      </w:r>
    </w:p>
    <w:p w14:paraId="115EC3DC" w14:textId="77777777" w:rsidR="00744965" w:rsidRPr="00744965" w:rsidRDefault="00744965" w:rsidP="00737C15">
      <w:r w:rsidRPr="00744965">
        <w:t xml:space="preserve">A dose-dependent increase in the markers of lipid profile for subjects treated with </w:t>
      </w:r>
      <w:proofErr w:type="spellStart"/>
      <w:r w:rsidRPr="00744965">
        <w:t>abrocitinib</w:t>
      </w:r>
      <w:proofErr w:type="spellEnd"/>
      <w:r w:rsidRPr="00744965">
        <w:t>. No major safety events were reported that were related.</w:t>
      </w:r>
    </w:p>
    <w:p w14:paraId="7B8C9B0C" w14:textId="77777777" w:rsidR="00744965" w:rsidRPr="00744965" w:rsidRDefault="00744965" w:rsidP="00737C15">
      <w:r w:rsidRPr="00744965">
        <w:t>In adolescents, a dose-dependent increase was observed for TEAEs, especially nausea and acne.</w:t>
      </w:r>
    </w:p>
    <w:p w14:paraId="5C250A2D" w14:textId="77777777" w:rsidR="00744965" w:rsidRPr="00744965" w:rsidRDefault="00744965" w:rsidP="00737C15">
      <w:pPr>
        <w:pStyle w:val="Heading4"/>
      </w:pPr>
      <w:bookmarkStart w:id="67" w:name="_Toc173925442"/>
      <w:r w:rsidRPr="00744965">
        <w:t>Cohort studies</w:t>
      </w:r>
      <w:bookmarkEnd w:id="67"/>
    </w:p>
    <w:p w14:paraId="14045311" w14:textId="77777777" w:rsidR="00744965" w:rsidRPr="00744965" w:rsidRDefault="00744965" w:rsidP="00737C15">
      <w:r w:rsidRPr="00744965">
        <w:t>The Sponsor conducted retrospective cohort studies in patients with moderate to severe AD to evaluate incidence rates of adverse events in this population.</w:t>
      </w:r>
    </w:p>
    <w:p w14:paraId="04F36A2D" w14:textId="77777777" w:rsidR="00744965" w:rsidRPr="00744965" w:rsidRDefault="00744965" w:rsidP="00737C15">
      <w:pPr>
        <w:pStyle w:val="Heading4"/>
      </w:pPr>
      <w:bookmarkStart w:id="68" w:name="_Toc173925443"/>
      <w:r w:rsidRPr="00744965">
        <w:t>Study B7451044</w:t>
      </w:r>
      <w:bookmarkEnd w:id="68"/>
    </w:p>
    <w:p w14:paraId="093D0044" w14:textId="77777777" w:rsidR="00744965" w:rsidRPr="00744965" w:rsidRDefault="00744965" w:rsidP="00737C15">
      <w:r w:rsidRPr="00744965">
        <w:t>Study B7451044 was a retrospective cohort study conducted in ‘8197 The Kaiser Permanente Northern California health plan members’ aged &gt; 12 years diagnosed with moderate to severe AD between 2000 and 2018.</w:t>
      </w:r>
    </w:p>
    <w:p w14:paraId="043FE1DC" w14:textId="110ADCFE" w:rsidR="00744965" w:rsidRPr="00744965" w:rsidRDefault="00744965" w:rsidP="00737C15">
      <w:r w:rsidRPr="00744965">
        <w:t xml:space="preserve">Incidence rates among AD patients were 0.08 (TB) to 0.76 (HZ) for infections, 0.01 (lymphoproliferative disorders), 0.44 (malignancy, except non-melanoma skin cancer (NMSC) </w:t>
      </w:r>
      <w:r w:rsidRPr="00744965">
        <w:lastRenderedPageBreak/>
        <w:t>and cervical carcinoma in situ) for malignancies, 0.07 (PE) and 0.91 (thromboembolism) for CV events (Table 31).</w:t>
      </w:r>
    </w:p>
    <w:p w14:paraId="21C86E65" w14:textId="77777777" w:rsidR="00744965" w:rsidRPr="00744965" w:rsidRDefault="00744965" w:rsidP="00737C15">
      <w:pPr>
        <w:pStyle w:val="TableTitle"/>
      </w:pPr>
      <w:r w:rsidRPr="00744965">
        <w:lastRenderedPageBreak/>
        <w:t>Table 31. Incidence Rates and 95% Confidence Intervals for Safety Events of Interest Within the Kaiser Permanente Northern California Database (2007 to 2018)</w:t>
      </w:r>
    </w:p>
    <w:p w14:paraId="213FD862" w14:textId="77777777" w:rsidR="00744965" w:rsidRPr="00744965" w:rsidRDefault="00744965" w:rsidP="00737C15">
      <w:r w:rsidRPr="00744965">
        <w:rPr>
          <w:noProof/>
        </w:rPr>
        <w:drawing>
          <wp:inline distT="0" distB="0" distL="0" distR="0" wp14:anchorId="476052FE" wp14:editId="4A630A90">
            <wp:extent cx="4976573" cy="8617528"/>
            <wp:effectExtent l="0" t="0" r="0" b="0"/>
            <wp:docPr id="314593409" name="Picture 1" descr="Incidence Rates and 95% Confidence Intervals for Safety Events of Interest Within the Kaiser Permanente Northern California Database (2007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3409" name="Picture 1" descr="Incidence Rates and 95% Confidence Intervals for Safety Events of Interest Within the Kaiser Permanente Northern California Database (2007 to 2018)"/>
                    <pic:cNvPicPr/>
                  </pic:nvPicPr>
                  <pic:blipFill>
                    <a:blip r:embed="rId50"/>
                    <a:stretch>
                      <a:fillRect/>
                    </a:stretch>
                  </pic:blipFill>
                  <pic:spPr>
                    <a:xfrm>
                      <a:off x="0" y="0"/>
                      <a:ext cx="4980866" cy="8624961"/>
                    </a:xfrm>
                    <a:prstGeom prst="rect">
                      <a:avLst/>
                    </a:prstGeom>
                  </pic:spPr>
                </pic:pic>
              </a:graphicData>
            </a:graphic>
          </wp:inline>
        </w:drawing>
      </w:r>
    </w:p>
    <w:p w14:paraId="6C9205D0" w14:textId="77777777" w:rsidR="00744965" w:rsidRPr="00744965" w:rsidRDefault="00744965" w:rsidP="00737C15">
      <w:pPr>
        <w:rPr>
          <w:noProof/>
        </w:rPr>
      </w:pPr>
      <w:r w:rsidRPr="00744965">
        <w:rPr>
          <w:noProof/>
        </w:rPr>
        <w:lastRenderedPageBreak/>
        <w:drawing>
          <wp:inline distT="0" distB="0" distL="0" distR="0" wp14:anchorId="5E3A87F1" wp14:editId="1F1B9F17">
            <wp:extent cx="4972130" cy="5042847"/>
            <wp:effectExtent l="0" t="0" r="0" b="5715"/>
            <wp:docPr id="1953617322" name="Picture 1" descr="Incidence Rates and 95% Confidence Intervals for Safety Events of Interest Within the Kaiser Permanente Northern California Database (2007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17322" name="Picture 1" descr="Incidence Rates and 95% Confidence Intervals for Safety Events of Interest Within the Kaiser Permanente Northern California Database (2007 to 2018)"/>
                    <pic:cNvPicPr/>
                  </pic:nvPicPr>
                  <pic:blipFill>
                    <a:blip r:embed="rId51"/>
                    <a:stretch>
                      <a:fillRect/>
                    </a:stretch>
                  </pic:blipFill>
                  <pic:spPr>
                    <a:xfrm>
                      <a:off x="0" y="0"/>
                      <a:ext cx="4990310" cy="5061285"/>
                    </a:xfrm>
                    <a:prstGeom prst="rect">
                      <a:avLst/>
                    </a:prstGeom>
                  </pic:spPr>
                </pic:pic>
              </a:graphicData>
            </a:graphic>
          </wp:inline>
        </w:drawing>
      </w:r>
    </w:p>
    <w:p w14:paraId="4BD86C06" w14:textId="77777777" w:rsidR="00744965" w:rsidRPr="00744965" w:rsidRDefault="00744965" w:rsidP="00737C15">
      <w:pPr>
        <w:pStyle w:val="Heading4"/>
      </w:pPr>
      <w:bookmarkStart w:id="69" w:name="_Toc173925444"/>
      <w:r w:rsidRPr="00744965">
        <w:t>The Health Improvement Network (THIN) study</w:t>
      </w:r>
      <w:bookmarkEnd w:id="69"/>
    </w:p>
    <w:p w14:paraId="48B5066F" w14:textId="77777777" w:rsidR="00744965" w:rsidRPr="00744965" w:rsidRDefault="00744965" w:rsidP="00737C15">
      <w:r w:rsidRPr="00744965">
        <w:t xml:space="preserve">A retrospective cohort of adult and paediatric patients with AD (1.1 million patients) were matched with patients without AD (4.7 million) within the THIN database. The HR for pulmonary embolism (PE; overall) was 1.05 and for DVT was 1.22. In clinical studies with </w:t>
      </w:r>
      <w:proofErr w:type="spellStart"/>
      <w:r w:rsidRPr="00744965">
        <w:t>abrocitinib</w:t>
      </w:r>
      <w:proofErr w:type="spellEnd"/>
      <w:r w:rsidRPr="00744965">
        <w:t xml:space="preserve">, the HR for PE in subjects in 200mg, compared to 100mg </w:t>
      </w:r>
      <w:proofErr w:type="spellStart"/>
      <w:r w:rsidRPr="00744965">
        <w:t>abrocitinib</w:t>
      </w:r>
      <w:proofErr w:type="spellEnd"/>
      <w:r w:rsidRPr="00744965">
        <w:t xml:space="preserve"> arm was 2.89 (Table 32).</w:t>
      </w:r>
    </w:p>
    <w:p w14:paraId="63C4AB83" w14:textId="77777777" w:rsidR="00744965" w:rsidRPr="00744965" w:rsidRDefault="00744965" w:rsidP="00737C15">
      <w:pPr>
        <w:pStyle w:val="TableTitle"/>
      </w:pPr>
      <w:r w:rsidRPr="00744965">
        <w:lastRenderedPageBreak/>
        <w:t>Table 32. HRs in the THIN study.</w:t>
      </w:r>
    </w:p>
    <w:p w14:paraId="0AF49C9B" w14:textId="77777777" w:rsidR="00744965" w:rsidRPr="00744965" w:rsidRDefault="00744965" w:rsidP="00737C15">
      <w:r w:rsidRPr="00744965">
        <w:rPr>
          <w:noProof/>
        </w:rPr>
        <w:drawing>
          <wp:inline distT="0" distB="0" distL="0" distR="0" wp14:anchorId="2D480FD1" wp14:editId="0972297B">
            <wp:extent cx="5791878" cy="3200400"/>
            <wp:effectExtent l="0" t="0" r="0" b="0"/>
            <wp:docPr id="2061510650" name="Picture 13" descr="HRs in the THI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10650" name="Picture 13" descr="HRs in the THIN study"/>
                    <pic:cNvPicPr>
                      <a:picLocks noChangeAspect="1" noChangeArrowheads="1"/>
                    </pic:cNvPicPr>
                  </pic:nvPicPr>
                  <pic:blipFill rotWithShape="1">
                    <a:blip r:embed="rId52">
                      <a:extLst>
                        <a:ext uri="{28A0092B-C50C-407E-A947-70E740481C1C}">
                          <a14:useLocalDpi xmlns:a14="http://schemas.microsoft.com/office/drawing/2010/main" val="0"/>
                        </a:ext>
                      </a:extLst>
                    </a:blip>
                    <a:srcRect t="12384" r="577"/>
                    <a:stretch/>
                  </pic:blipFill>
                  <pic:spPr bwMode="auto">
                    <a:xfrm>
                      <a:off x="0" y="0"/>
                      <a:ext cx="5796499" cy="3202953"/>
                    </a:xfrm>
                    <a:prstGeom prst="rect">
                      <a:avLst/>
                    </a:prstGeom>
                    <a:noFill/>
                    <a:ln>
                      <a:noFill/>
                    </a:ln>
                    <a:extLst>
                      <a:ext uri="{53640926-AAD7-44D8-BBD7-CCE9431645EC}">
                        <a14:shadowObscured xmlns:a14="http://schemas.microsoft.com/office/drawing/2010/main"/>
                      </a:ext>
                    </a:extLst>
                  </pic:spPr>
                </pic:pic>
              </a:graphicData>
            </a:graphic>
          </wp:inline>
        </w:drawing>
      </w:r>
    </w:p>
    <w:p w14:paraId="65289BE1" w14:textId="77777777" w:rsidR="00744965" w:rsidRPr="00744965" w:rsidRDefault="00744965" w:rsidP="00737C15">
      <w:r w:rsidRPr="00744965">
        <w:rPr>
          <w:noProof/>
        </w:rPr>
        <w:drawing>
          <wp:inline distT="0" distB="0" distL="0" distR="0" wp14:anchorId="79ABFD78" wp14:editId="35AFA705">
            <wp:extent cx="5798137" cy="1584960"/>
            <wp:effectExtent l="0" t="0" r="0" b="0"/>
            <wp:docPr id="2060617784" name="Picture 14" descr="HRs in the THI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17784" name="Picture 14" descr="HRs in the THIN study"/>
                    <pic:cNvPicPr>
                      <a:picLocks noChangeAspect="1" noChangeArrowheads="1"/>
                    </pic:cNvPicPr>
                  </pic:nvPicPr>
                  <pic:blipFill rotWithShape="1">
                    <a:blip r:embed="rId53">
                      <a:extLst>
                        <a:ext uri="{28A0092B-C50C-407E-A947-70E740481C1C}">
                          <a14:useLocalDpi xmlns:a14="http://schemas.microsoft.com/office/drawing/2010/main" val="0"/>
                        </a:ext>
                      </a:extLst>
                    </a:blip>
                    <a:srcRect r="-1008"/>
                    <a:stretch/>
                  </pic:blipFill>
                  <pic:spPr bwMode="auto">
                    <a:xfrm>
                      <a:off x="0" y="0"/>
                      <a:ext cx="5804759" cy="1586770"/>
                    </a:xfrm>
                    <a:prstGeom prst="rect">
                      <a:avLst/>
                    </a:prstGeom>
                    <a:noFill/>
                    <a:ln>
                      <a:noFill/>
                    </a:ln>
                    <a:extLst>
                      <a:ext uri="{53640926-AAD7-44D8-BBD7-CCE9431645EC}">
                        <a14:shadowObscured xmlns:a14="http://schemas.microsoft.com/office/drawing/2010/main"/>
                      </a:ext>
                    </a:extLst>
                  </pic:spPr>
                </pic:pic>
              </a:graphicData>
            </a:graphic>
          </wp:inline>
        </w:drawing>
      </w:r>
    </w:p>
    <w:p w14:paraId="61F10212" w14:textId="77777777" w:rsidR="00744965" w:rsidRPr="00744965" w:rsidRDefault="00744965" w:rsidP="00737C15">
      <w:pPr>
        <w:pStyle w:val="Heading4"/>
      </w:pPr>
      <w:bookmarkStart w:id="70" w:name="_Toc173925445"/>
      <w:r w:rsidRPr="00744965">
        <w:t>Incidence of venous thromboembolic events in patients with atopic dermatitis cohort study</w:t>
      </w:r>
      <w:bookmarkEnd w:id="70"/>
    </w:p>
    <w:p w14:paraId="75E945A0" w14:textId="77777777" w:rsidR="00744965" w:rsidRPr="00744965" w:rsidRDefault="00744965" w:rsidP="00737C15">
      <w:r w:rsidRPr="00744965">
        <w:t>A population-based cohort study with data drawn from the Danish administrative longitudinal registries. All individuals aged 12 years or older were identified between January 1st, 2000, and December 31st, 2018. Patients with AD served as study cases and were matched 1:10 on age and sex with general population controls. 17,341 AD patients and 173,410 general population reference subjects matched on age and sex. Median (interquartile range) age was 27.9 (18.8-43.1), majority were females (60.5%). There were 3,909 patients aged 12 to &lt;18 years, 12,408 aged 18 to &lt;65 years, and 1,024 patients with AD aged 65 years or older.</w:t>
      </w:r>
    </w:p>
    <w:p w14:paraId="11210A35" w14:textId="77777777" w:rsidR="00744965" w:rsidRPr="00744965" w:rsidRDefault="00744965" w:rsidP="00737C15">
      <w:r w:rsidRPr="00744965">
        <w:t xml:space="preserve">The overall IR (per 10,000 person-years) for VTE in individuals with AD (14.25) was largely comparable to the general population (11.47). The IR for VTE in clinical studies with </w:t>
      </w:r>
      <w:proofErr w:type="spellStart"/>
      <w:r w:rsidRPr="00744965">
        <w:t>abrocitinib</w:t>
      </w:r>
      <w:proofErr w:type="spellEnd"/>
      <w:r w:rsidRPr="00744965">
        <w:t xml:space="preserve"> was higher than the IR in individuals with AD (Table 33):</w:t>
      </w:r>
    </w:p>
    <w:p w14:paraId="4FAF4177" w14:textId="77777777" w:rsidR="00744965" w:rsidRPr="00744965" w:rsidRDefault="00744965" w:rsidP="00737C15">
      <w:pPr>
        <w:pStyle w:val="TableTitle"/>
      </w:pPr>
      <w:r w:rsidRPr="00744965">
        <w:lastRenderedPageBreak/>
        <w:t xml:space="preserve">Table 33. </w:t>
      </w:r>
      <w:bookmarkStart w:id="71" w:name="_Hlk173924669"/>
      <w:r w:rsidRPr="00737C15">
        <w:t>IRs</w:t>
      </w:r>
      <w:r w:rsidRPr="00744965">
        <w:t xml:space="preserve"> for VTEs</w:t>
      </w:r>
      <w:bookmarkEnd w:id="71"/>
    </w:p>
    <w:p w14:paraId="116F6134" w14:textId="77777777" w:rsidR="00744965" w:rsidRPr="00744965" w:rsidRDefault="00744965" w:rsidP="00CC6313">
      <w:r w:rsidRPr="00744965">
        <w:rPr>
          <w:noProof/>
        </w:rPr>
        <w:drawing>
          <wp:inline distT="0" distB="0" distL="0" distR="0" wp14:anchorId="50707B3D" wp14:editId="6FA948A8">
            <wp:extent cx="5725318" cy="3323771"/>
            <wp:effectExtent l="0" t="0" r="8890" b="0"/>
            <wp:docPr id="1140961554" name="Picture 15" descr="IRs for V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61554" name="Picture 15" descr="IRs for VTEs"/>
                    <pic:cNvPicPr>
                      <a:picLocks noChangeAspect="1" noChangeArrowheads="1"/>
                    </pic:cNvPicPr>
                  </pic:nvPicPr>
                  <pic:blipFill rotWithShape="1">
                    <a:blip r:embed="rId54">
                      <a:extLst>
                        <a:ext uri="{28A0092B-C50C-407E-A947-70E740481C1C}">
                          <a14:useLocalDpi xmlns:a14="http://schemas.microsoft.com/office/drawing/2010/main" val="0"/>
                        </a:ext>
                      </a:extLst>
                    </a:blip>
                    <a:srcRect l="11089" t="11595" r="6122"/>
                    <a:stretch/>
                  </pic:blipFill>
                  <pic:spPr bwMode="auto">
                    <a:xfrm>
                      <a:off x="0" y="0"/>
                      <a:ext cx="5737090" cy="3330605"/>
                    </a:xfrm>
                    <a:prstGeom prst="rect">
                      <a:avLst/>
                    </a:prstGeom>
                    <a:noFill/>
                    <a:ln>
                      <a:noFill/>
                    </a:ln>
                    <a:extLst>
                      <a:ext uri="{53640926-AAD7-44D8-BBD7-CCE9431645EC}">
                        <a14:shadowObscured xmlns:a14="http://schemas.microsoft.com/office/drawing/2010/main"/>
                      </a:ext>
                    </a:extLst>
                  </pic:spPr>
                </pic:pic>
              </a:graphicData>
            </a:graphic>
          </wp:inline>
        </w:drawing>
      </w:r>
    </w:p>
    <w:p w14:paraId="78F0BBBD" w14:textId="77777777" w:rsidR="00744965" w:rsidRPr="00744965" w:rsidRDefault="00744965" w:rsidP="00CC6313">
      <w:pPr>
        <w:pStyle w:val="Heading2"/>
      </w:pPr>
      <w:bookmarkStart w:id="72" w:name="_Toc314842514"/>
      <w:bookmarkStart w:id="73" w:name="_Toc103679298"/>
      <w:bookmarkStart w:id="74" w:name="_Toc172967101"/>
      <w:bookmarkStart w:id="75" w:name="_Toc173925446"/>
      <w:bookmarkEnd w:id="41"/>
      <w:r w:rsidRPr="00744965">
        <w:rPr>
          <w:lang w:eastAsia="en-AU"/>
        </w:rPr>
        <w:t>Risk management plan</w:t>
      </w:r>
      <w:bookmarkStart w:id="76" w:name="_Toc247691531"/>
      <w:bookmarkStart w:id="77" w:name="_Toc314842515"/>
      <w:bookmarkEnd w:id="72"/>
      <w:bookmarkEnd w:id="73"/>
      <w:r w:rsidRPr="00744965">
        <w:rPr>
          <w:lang w:eastAsia="en-AU"/>
        </w:rPr>
        <w:t xml:space="preserve"> </w:t>
      </w:r>
      <w:proofErr w:type="gramStart"/>
      <w:r w:rsidRPr="00744965">
        <w:rPr>
          <w:lang w:eastAsia="en-AU"/>
        </w:rPr>
        <w:t>evaluation</w:t>
      </w:r>
      <w:bookmarkEnd w:id="74"/>
      <w:bookmarkEnd w:id="75"/>
      <w:proofErr w:type="gramEnd"/>
    </w:p>
    <w:p w14:paraId="465F362C" w14:textId="2920DDC7" w:rsidR="00744965" w:rsidRPr="00744965" w:rsidRDefault="00744965" w:rsidP="00CC6313">
      <w:r w:rsidRPr="00744965">
        <w:t>From an RMP perspective, the Evaluator considers that the uncertainty regarding the potential effects on bone formation and development has not been adequately addressed through routine risk minimisation measures and it is recommended that strengthening of information in the PI regarding this important potential risk should be considered.</w:t>
      </w:r>
    </w:p>
    <w:p w14:paraId="2C3CC552" w14:textId="37E292A0" w:rsidR="00744965" w:rsidRPr="00744965" w:rsidRDefault="00744965" w:rsidP="00CC6313">
      <w:r w:rsidRPr="00744965">
        <w:t xml:space="preserve">Herpes simplex is a common adverse event for </w:t>
      </w:r>
      <w:proofErr w:type="spellStart"/>
      <w:r w:rsidRPr="00744965">
        <w:t>abrocitinib</w:t>
      </w:r>
      <w:proofErr w:type="spellEnd"/>
      <w:r w:rsidRPr="00744965">
        <w:t xml:space="preserve"> and episodes of eczema herpeticum were seen in clinical trials. The Evaluator has recommended precautionary statements in the PI and CMI.</w:t>
      </w:r>
    </w:p>
    <w:p w14:paraId="430211C3" w14:textId="77777777" w:rsidR="00744965" w:rsidRPr="00744965" w:rsidRDefault="00744965" w:rsidP="00CC6313">
      <w:r w:rsidRPr="00744965">
        <w:t xml:space="preserve">The summary of safety concerns and their associated risk monitoring and mitigation strategies are presented in Table 34. The TGA may request an updated RMP at any stage of a product's </w:t>
      </w:r>
      <w:proofErr w:type="gramStart"/>
      <w:r w:rsidRPr="00744965">
        <w:t>life-cycle</w:t>
      </w:r>
      <w:proofErr w:type="gramEnd"/>
      <w:r w:rsidRPr="00744965">
        <w:t>, during both the pre-approval and post-approval phases.</w:t>
      </w:r>
      <w:bookmarkStart w:id="78" w:name="_Ref97629131"/>
    </w:p>
    <w:p w14:paraId="41704C91" w14:textId="77777777" w:rsidR="00744965" w:rsidRPr="00744965" w:rsidRDefault="00744965" w:rsidP="00CC6313">
      <w:pPr>
        <w:pStyle w:val="TableTitle"/>
      </w:pPr>
      <w:r w:rsidRPr="00744965">
        <w:t xml:space="preserve">Table </w:t>
      </w:r>
      <w:bookmarkEnd w:id="78"/>
      <w:r w:rsidRPr="00744965">
        <w:t xml:space="preserve">34: Summary of safety </w:t>
      </w:r>
      <w:r w:rsidRPr="00CC6313">
        <w:t>concerns</w:t>
      </w:r>
    </w:p>
    <w:tbl>
      <w:tblPr>
        <w:tblStyle w:val="TableTGAblue2023"/>
        <w:tblW w:w="9476" w:type="dxa"/>
        <w:tblLayout w:type="fixed"/>
        <w:tblLook w:val="04A0" w:firstRow="1" w:lastRow="0" w:firstColumn="1" w:lastColumn="0" w:noHBand="0" w:noVBand="1"/>
      </w:tblPr>
      <w:tblGrid>
        <w:gridCol w:w="1696"/>
        <w:gridCol w:w="1843"/>
        <w:gridCol w:w="1276"/>
        <w:gridCol w:w="1559"/>
        <w:gridCol w:w="1418"/>
        <w:gridCol w:w="1675"/>
        <w:gridCol w:w="9"/>
      </w:tblGrid>
      <w:tr w:rsidR="00744965" w:rsidRPr="00744965" w14:paraId="47680138" w14:textId="77777777" w:rsidTr="00CC6313">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0C3631A4" w14:textId="77777777" w:rsidR="00744965" w:rsidRPr="00744965" w:rsidRDefault="00744965" w:rsidP="00CC6313">
            <w:r w:rsidRPr="00744965">
              <w:t>Summary of safety concerns</w:t>
            </w:r>
          </w:p>
        </w:tc>
        <w:tc>
          <w:tcPr>
            <w:tcW w:w="2835" w:type="dxa"/>
            <w:gridSpan w:val="2"/>
          </w:tcPr>
          <w:p w14:paraId="161B27B0" w14:textId="77777777" w:rsidR="00744965" w:rsidRPr="00744965" w:rsidRDefault="00744965" w:rsidP="00CC6313">
            <w:pPr>
              <w:cnfStyle w:val="100000000000" w:firstRow="1" w:lastRow="0" w:firstColumn="0" w:lastColumn="0" w:oddVBand="0" w:evenVBand="0" w:oddHBand="0" w:evenHBand="0" w:firstRowFirstColumn="0" w:firstRowLastColumn="0" w:lastRowFirstColumn="0" w:lastRowLastColumn="0"/>
            </w:pPr>
            <w:r w:rsidRPr="00744965">
              <w:t>Pharmacovigilance</w:t>
            </w:r>
          </w:p>
        </w:tc>
        <w:tc>
          <w:tcPr>
            <w:tcW w:w="3102" w:type="dxa"/>
            <w:gridSpan w:val="3"/>
          </w:tcPr>
          <w:p w14:paraId="2ACE4CE0" w14:textId="77777777" w:rsidR="00744965" w:rsidRPr="00744965" w:rsidRDefault="00744965" w:rsidP="00CC6313">
            <w:pPr>
              <w:cnfStyle w:val="100000000000" w:firstRow="1" w:lastRow="0" w:firstColumn="0" w:lastColumn="0" w:oddVBand="0" w:evenVBand="0" w:oddHBand="0" w:evenHBand="0" w:firstRowFirstColumn="0" w:firstRowLastColumn="0" w:lastRowFirstColumn="0" w:lastRowLastColumn="0"/>
            </w:pPr>
            <w:r w:rsidRPr="00744965">
              <w:t>Risk minimisation</w:t>
            </w:r>
          </w:p>
        </w:tc>
      </w:tr>
      <w:tr w:rsidR="00CC6313" w:rsidRPr="00744965" w14:paraId="4B3BB076" w14:textId="77777777" w:rsidTr="00CC6313">
        <w:trPr>
          <w:trHeight w:val="15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7C03A4FF" w14:textId="77777777" w:rsidR="00744965" w:rsidRPr="00744965" w:rsidRDefault="00744965" w:rsidP="00CC6313"/>
        </w:tc>
        <w:tc>
          <w:tcPr>
            <w:tcW w:w="1276" w:type="dxa"/>
            <w:shd w:val="clear" w:color="auto" w:fill="D9E2F3" w:themeFill="accent1" w:themeFillTint="33"/>
          </w:tcPr>
          <w:p w14:paraId="32DDBACE" w14:textId="77777777" w:rsidR="00744965" w:rsidRPr="00CC6313" w:rsidRDefault="00744965" w:rsidP="00CC6313">
            <w:pPr>
              <w:keepNext/>
              <w:cnfStyle w:val="000000000000" w:firstRow="0" w:lastRow="0" w:firstColumn="0" w:lastColumn="0" w:oddVBand="0" w:evenVBand="0" w:oddHBand="0" w:evenHBand="0" w:firstRowFirstColumn="0" w:firstRowLastColumn="0" w:lastRowFirstColumn="0" w:lastRowLastColumn="0"/>
              <w:rPr>
                <w:b/>
                <w:color w:val="263287"/>
              </w:rPr>
            </w:pPr>
            <w:r w:rsidRPr="00CC6313">
              <w:rPr>
                <w:b/>
                <w:color w:val="263287"/>
              </w:rPr>
              <w:t>Routine</w:t>
            </w:r>
          </w:p>
        </w:tc>
        <w:tc>
          <w:tcPr>
            <w:tcW w:w="1559" w:type="dxa"/>
            <w:shd w:val="clear" w:color="auto" w:fill="D9E2F3" w:themeFill="accent1" w:themeFillTint="33"/>
          </w:tcPr>
          <w:p w14:paraId="7F544786" w14:textId="77777777" w:rsidR="00744965" w:rsidRPr="00CC6313" w:rsidRDefault="00744965" w:rsidP="00CC6313">
            <w:pPr>
              <w:keepNext/>
              <w:cnfStyle w:val="000000000000" w:firstRow="0" w:lastRow="0" w:firstColumn="0" w:lastColumn="0" w:oddVBand="0" w:evenVBand="0" w:oddHBand="0" w:evenHBand="0" w:firstRowFirstColumn="0" w:firstRowLastColumn="0" w:lastRowFirstColumn="0" w:lastRowLastColumn="0"/>
              <w:rPr>
                <w:b/>
                <w:color w:val="263287"/>
              </w:rPr>
            </w:pPr>
            <w:r w:rsidRPr="00CC6313">
              <w:rPr>
                <w:b/>
                <w:color w:val="263287"/>
              </w:rPr>
              <w:t>Additional</w:t>
            </w:r>
          </w:p>
        </w:tc>
        <w:tc>
          <w:tcPr>
            <w:tcW w:w="1418" w:type="dxa"/>
            <w:shd w:val="clear" w:color="auto" w:fill="D9E2F3" w:themeFill="accent1" w:themeFillTint="33"/>
          </w:tcPr>
          <w:p w14:paraId="5F48E5F3" w14:textId="77777777" w:rsidR="00744965" w:rsidRPr="00CC6313" w:rsidRDefault="00744965" w:rsidP="00CC6313">
            <w:pPr>
              <w:keepNext/>
              <w:cnfStyle w:val="000000000000" w:firstRow="0" w:lastRow="0" w:firstColumn="0" w:lastColumn="0" w:oddVBand="0" w:evenVBand="0" w:oddHBand="0" w:evenHBand="0" w:firstRowFirstColumn="0" w:firstRowLastColumn="0" w:lastRowFirstColumn="0" w:lastRowLastColumn="0"/>
              <w:rPr>
                <w:b/>
                <w:color w:val="263287"/>
              </w:rPr>
            </w:pPr>
            <w:r w:rsidRPr="00CC6313">
              <w:rPr>
                <w:b/>
                <w:color w:val="263287"/>
              </w:rPr>
              <w:t>Routine</w:t>
            </w:r>
          </w:p>
        </w:tc>
        <w:tc>
          <w:tcPr>
            <w:tcW w:w="1684" w:type="dxa"/>
            <w:gridSpan w:val="2"/>
            <w:shd w:val="clear" w:color="auto" w:fill="D9E2F3" w:themeFill="accent1" w:themeFillTint="33"/>
          </w:tcPr>
          <w:p w14:paraId="0AAA884D" w14:textId="77777777" w:rsidR="00744965" w:rsidRPr="00CC6313" w:rsidRDefault="00744965" w:rsidP="00CC6313">
            <w:pPr>
              <w:keepNext/>
              <w:cnfStyle w:val="000000000000" w:firstRow="0" w:lastRow="0" w:firstColumn="0" w:lastColumn="0" w:oddVBand="0" w:evenVBand="0" w:oddHBand="0" w:evenHBand="0" w:firstRowFirstColumn="0" w:firstRowLastColumn="0" w:lastRowFirstColumn="0" w:lastRowLastColumn="0"/>
              <w:rPr>
                <w:b/>
                <w:color w:val="263287"/>
              </w:rPr>
            </w:pPr>
            <w:r w:rsidRPr="00CC6313">
              <w:rPr>
                <w:b/>
                <w:color w:val="263287"/>
              </w:rPr>
              <w:t>Additional</w:t>
            </w:r>
          </w:p>
        </w:tc>
      </w:tr>
      <w:tr w:rsidR="00CC6313" w:rsidRPr="00744965" w14:paraId="2FAFD8BD" w14:textId="77777777" w:rsidTr="00CC6313">
        <w:trPr>
          <w:gridAfter w:val="1"/>
          <w:wAfter w:w="9" w:type="dxa"/>
          <w:trHeight w:val="159"/>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BED8B70" w14:textId="77777777" w:rsidR="00744965" w:rsidRPr="00CC6313" w:rsidRDefault="00744965" w:rsidP="00CC6313">
            <w:pPr>
              <w:rPr>
                <w:b/>
                <w:sz w:val="21"/>
              </w:rPr>
            </w:pPr>
            <w:r w:rsidRPr="00CC6313">
              <w:rPr>
                <w:b/>
                <w:sz w:val="21"/>
              </w:rPr>
              <w:t>Important potential risks</w:t>
            </w:r>
          </w:p>
        </w:tc>
        <w:tc>
          <w:tcPr>
            <w:tcW w:w="1843" w:type="dxa"/>
          </w:tcPr>
          <w:p w14:paraId="730B2917"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Venous thrombotic events including pulmonary embolism</w:t>
            </w:r>
          </w:p>
        </w:tc>
        <w:tc>
          <w:tcPr>
            <w:tcW w:w="1276" w:type="dxa"/>
          </w:tcPr>
          <w:p w14:paraId="0E345CA8"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09D351E8"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0AF9DF97"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2F03611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3FA363DF" w14:textId="77777777" w:rsidTr="00CC6313">
        <w:trPr>
          <w:gridAfter w:val="1"/>
          <w:wAfter w:w="9" w:type="dxa"/>
          <w:trHeight w:val="122"/>
        </w:trPr>
        <w:tc>
          <w:tcPr>
            <w:cnfStyle w:val="001000000000" w:firstRow="0" w:lastRow="0" w:firstColumn="1" w:lastColumn="0" w:oddVBand="0" w:evenVBand="0" w:oddHBand="0" w:evenHBand="0" w:firstRowFirstColumn="0" w:firstRowLastColumn="0" w:lastRowFirstColumn="0" w:lastRowLastColumn="0"/>
            <w:tcW w:w="1696" w:type="dxa"/>
            <w:vMerge/>
          </w:tcPr>
          <w:p w14:paraId="081AA567" w14:textId="77777777" w:rsidR="00744965" w:rsidRPr="00CC6313" w:rsidRDefault="00744965" w:rsidP="00CC6313">
            <w:pPr>
              <w:rPr>
                <w:b/>
                <w:sz w:val="21"/>
              </w:rPr>
            </w:pPr>
          </w:p>
        </w:tc>
        <w:tc>
          <w:tcPr>
            <w:tcW w:w="1843" w:type="dxa"/>
          </w:tcPr>
          <w:p w14:paraId="014812A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Herpes zoster</w:t>
            </w:r>
          </w:p>
        </w:tc>
        <w:tc>
          <w:tcPr>
            <w:tcW w:w="1276" w:type="dxa"/>
          </w:tcPr>
          <w:p w14:paraId="44FF2C1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0C4A348A"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15CE3F18"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24572E9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207DAC5D" w14:textId="77777777" w:rsidTr="00CC6313">
        <w:trPr>
          <w:gridAfter w:val="1"/>
          <w:wAfter w:w="9" w:type="dxa"/>
          <w:trHeight w:val="178"/>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7A3B3601" w14:textId="7DD0DA99" w:rsidR="00744965" w:rsidRPr="00CC6313" w:rsidRDefault="00744965" w:rsidP="00CC6313">
            <w:pPr>
              <w:rPr>
                <w:rFonts w:cs="Cambria"/>
                <w:b/>
                <w:sz w:val="21"/>
              </w:rPr>
            </w:pPr>
            <w:r w:rsidRPr="00CC6313">
              <w:rPr>
                <w:rFonts w:cs="Cambria"/>
                <w:b/>
                <w:sz w:val="21"/>
              </w:rPr>
              <w:t>Important potential risks</w:t>
            </w:r>
          </w:p>
          <w:p w14:paraId="4C93B5F4" w14:textId="77777777" w:rsidR="00744965" w:rsidRPr="00CC6313" w:rsidRDefault="00744965" w:rsidP="00CC6313">
            <w:pPr>
              <w:rPr>
                <w:b/>
                <w:sz w:val="21"/>
              </w:rPr>
            </w:pPr>
          </w:p>
        </w:tc>
        <w:tc>
          <w:tcPr>
            <w:tcW w:w="1843" w:type="dxa"/>
          </w:tcPr>
          <w:p w14:paraId="59B83991"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lastRenderedPageBreak/>
              <w:t>Serious and opportunistic infections</w:t>
            </w:r>
          </w:p>
        </w:tc>
        <w:tc>
          <w:tcPr>
            <w:tcW w:w="1276" w:type="dxa"/>
          </w:tcPr>
          <w:p w14:paraId="0B85470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30342E5"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7F2A131E"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0C2C747E"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41E2F0E2"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104A342B" w14:textId="77777777" w:rsidR="00744965" w:rsidRPr="00CC6313" w:rsidRDefault="00744965" w:rsidP="00CC6313">
            <w:pPr>
              <w:rPr>
                <w:b/>
                <w:sz w:val="21"/>
              </w:rPr>
            </w:pPr>
          </w:p>
        </w:tc>
        <w:tc>
          <w:tcPr>
            <w:tcW w:w="1843" w:type="dxa"/>
          </w:tcPr>
          <w:p w14:paraId="09C01AE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Eczema herpeticum</w:t>
            </w:r>
          </w:p>
        </w:tc>
        <w:tc>
          <w:tcPr>
            <w:tcW w:w="1276" w:type="dxa"/>
          </w:tcPr>
          <w:p w14:paraId="29D5F6FA"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070987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c>
          <w:tcPr>
            <w:tcW w:w="1418" w:type="dxa"/>
          </w:tcPr>
          <w:p w14:paraId="4A96815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0AED04E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409E6F56"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3A3FE073" w14:textId="77777777" w:rsidR="00744965" w:rsidRPr="00CC6313" w:rsidRDefault="00744965" w:rsidP="00CC6313">
            <w:pPr>
              <w:rPr>
                <w:b/>
                <w:sz w:val="21"/>
              </w:rPr>
            </w:pPr>
          </w:p>
        </w:tc>
        <w:tc>
          <w:tcPr>
            <w:tcW w:w="1843" w:type="dxa"/>
          </w:tcPr>
          <w:p w14:paraId="3F926728"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Malignancy (including non-melanoma skin cancer)</w:t>
            </w:r>
          </w:p>
        </w:tc>
        <w:tc>
          <w:tcPr>
            <w:tcW w:w="1276" w:type="dxa"/>
          </w:tcPr>
          <w:p w14:paraId="6E8C3907"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474B70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5C9E808D"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47B6887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4128574C"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192206DE" w14:textId="77777777" w:rsidR="00744965" w:rsidRPr="00CC6313" w:rsidRDefault="00744965" w:rsidP="00CC6313">
            <w:pPr>
              <w:rPr>
                <w:b/>
                <w:sz w:val="21"/>
              </w:rPr>
            </w:pPr>
          </w:p>
        </w:tc>
        <w:tc>
          <w:tcPr>
            <w:tcW w:w="1843" w:type="dxa"/>
          </w:tcPr>
          <w:p w14:paraId="496E3735"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 xml:space="preserve">MACE </w:t>
            </w:r>
            <w:proofErr w:type="gramStart"/>
            <w:r w:rsidRPr="00CC6313">
              <w:rPr>
                <w:sz w:val="21"/>
              </w:rPr>
              <w:t>as a result of</w:t>
            </w:r>
            <w:proofErr w:type="gramEnd"/>
            <w:r w:rsidRPr="00CC6313">
              <w:rPr>
                <w:sz w:val="21"/>
              </w:rPr>
              <w:t xml:space="preserve"> hyperlipidaemia</w:t>
            </w:r>
          </w:p>
        </w:tc>
        <w:tc>
          <w:tcPr>
            <w:tcW w:w="1276" w:type="dxa"/>
          </w:tcPr>
          <w:p w14:paraId="2448CDD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80C6B1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2F746875"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1FD81EF5"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42273480"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43A9E496" w14:textId="77777777" w:rsidR="00744965" w:rsidRPr="00CC6313" w:rsidRDefault="00744965" w:rsidP="00CC6313">
            <w:pPr>
              <w:rPr>
                <w:b/>
                <w:sz w:val="21"/>
              </w:rPr>
            </w:pPr>
          </w:p>
        </w:tc>
        <w:tc>
          <w:tcPr>
            <w:tcW w:w="1843" w:type="dxa"/>
          </w:tcPr>
          <w:p w14:paraId="67B3307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 xml:space="preserve">Myopathies (including rhabdomyolysis) </w:t>
            </w:r>
          </w:p>
        </w:tc>
        <w:tc>
          <w:tcPr>
            <w:tcW w:w="1276" w:type="dxa"/>
          </w:tcPr>
          <w:p w14:paraId="60586874"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3AAC0EB2"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75BC935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5E6E225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r w:rsidR="00CC6313" w:rsidRPr="00744965" w14:paraId="6B4FBD08"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7515D961" w14:textId="77777777" w:rsidR="00744965" w:rsidRPr="00CC6313" w:rsidRDefault="00744965" w:rsidP="00CC6313">
            <w:pPr>
              <w:rPr>
                <w:b/>
                <w:sz w:val="21"/>
              </w:rPr>
            </w:pPr>
          </w:p>
        </w:tc>
        <w:tc>
          <w:tcPr>
            <w:tcW w:w="1843" w:type="dxa"/>
          </w:tcPr>
          <w:p w14:paraId="624157F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Gastrointestinal perforation</w:t>
            </w:r>
          </w:p>
        </w:tc>
        <w:tc>
          <w:tcPr>
            <w:tcW w:w="1276" w:type="dxa"/>
          </w:tcPr>
          <w:p w14:paraId="7FD9B1EA"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5D8B6DDE"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4902D442"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c>
          <w:tcPr>
            <w:tcW w:w="1675" w:type="dxa"/>
          </w:tcPr>
          <w:p w14:paraId="0C95D66D"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r w:rsidR="00CC6313" w:rsidRPr="00744965" w14:paraId="188FEED4"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6D13C6E7" w14:textId="77777777" w:rsidR="00744965" w:rsidRPr="00CC6313" w:rsidRDefault="00744965" w:rsidP="00CC6313">
            <w:pPr>
              <w:rPr>
                <w:b/>
                <w:sz w:val="21"/>
              </w:rPr>
            </w:pPr>
          </w:p>
        </w:tc>
        <w:tc>
          <w:tcPr>
            <w:tcW w:w="1843" w:type="dxa"/>
          </w:tcPr>
          <w:p w14:paraId="2AC27472"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Embryofoetal toxicity following exposure in utero</w:t>
            </w:r>
          </w:p>
        </w:tc>
        <w:tc>
          <w:tcPr>
            <w:tcW w:w="1276" w:type="dxa"/>
          </w:tcPr>
          <w:p w14:paraId="00F9FBE1"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1409EA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77129A05"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1FABB01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2E3DE430"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64C9E785" w14:textId="77777777" w:rsidR="00744965" w:rsidRPr="00CC6313" w:rsidRDefault="00744965" w:rsidP="00CC6313">
            <w:pPr>
              <w:rPr>
                <w:b/>
                <w:sz w:val="21"/>
              </w:rPr>
            </w:pPr>
          </w:p>
        </w:tc>
        <w:tc>
          <w:tcPr>
            <w:tcW w:w="1843" w:type="dxa"/>
          </w:tcPr>
          <w:p w14:paraId="30C3D57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Impaired bone growth and development in adolescent subjects</w:t>
            </w:r>
          </w:p>
        </w:tc>
        <w:tc>
          <w:tcPr>
            <w:tcW w:w="1276" w:type="dxa"/>
          </w:tcPr>
          <w:p w14:paraId="63E15BF8"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57923134"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1E76784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41EFF95B"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63766258"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1767CDE5" w14:textId="77777777" w:rsidR="00744965" w:rsidRPr="00CC6313" w:rsidRDefault="00744965" w:rsidP="00CC6313">
            <w:pPr>
              <w:rPr>
                <w:b/>
                <w:sz w:val="21"/>
              </w:rPr>
            </w:pPr>
          </w:p>
        </w:tc>
        <w:tc>
          <w:tcPr>
            <w:tcW w:w="1843" w:type="dxa"/>
          </w:tcPr>
          <w:p w14:paraId="0452967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Impaired bone growth and development in patients if used off label in patients &lt; 12 years of age.</w:t>
            </w:r>
          </w:p>
        </w:tc>
        <w:tc>
          <w:tcPr>
            <w:tcW w:w="1276" w:type="dxa"/>
          </w:tcPr>
          <w:p w14:paraId="6F634FF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500060F2"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3993FB0E"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7D132B7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r w:rsidR="00CC6313" w:rsidRPr="00744965" w14:paraId="4E8F2328"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FA7B125" w14:textId="77777777" w:rsidR="00744965" w:rsidRPr="00CC6313" w:rsidRDefault="00744965" w:rsidP="00CC6313">
            <w:pPr>
              <w:rPr>
                <w:b/>
                <w:sz w:val="21"/>
              </w:rPr>
            </w:pPr>
            <w:r w:rsidRPr="00CC6313">
              <w:rPr>
                <w:b/>
                <w:sz w:val="21"/>
              </w:rPr>
              <w:t>Missing information</w:t>
            </w:r>
          </w:p>
        </w:tc>
        <w:tc>
          <w:tcPr>
            <w:tcW w:w="1843" w:type="dxa"/>
          </w:tcPr>
          <w:p w14:paraId="6F43B6D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Long-term safety</w:t>
            </w:r>
          </w:p>
        </w:tc>
        <w:tc>
          <w:tcPr>
            <w:tcW w:w="1276" w:type="dxa"/>
          </w:tcPr>
          <w:p w14:paraId="13CA9DF1"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5F19EAC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0051F34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c>
          <w:tcPr>
            <w:tcW w:w="1675" w:type="dxa"/>
          </w:tcPr>
          <w:p w14:paraId="62ED8EE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r w:rsidR="00CC6313" w:rsidRPr="00744965" w14:paraId="79DB3BAE"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6444A074" w14:textId="77777777" w:rsidR="00744965" w:rsidRPr="00CC6313" w:rsidRDefault="00744965" w:rsidP="00CC6313">
            <w:pPr>
              <w:rPr>
                <w:sz w:val="21"/>
              </w:rPr>
            </w:pPr>
          </w:p>
        </w:tc>
        <w:tc>
          <w:tcPr>
            <w:tcW w:w="1843" w:type="dxa"/>
          </w:tcPr>
          <w:p w14:paraId="37CC63B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Use in the very elderly (≥ 75 years)</w:t>
            </w:r>
          </w:p>
        </w:tc>
        <w:tc>
          <w:tcPr>
            <w:tcW w:w="1276" w:type="dxa"/>
          </w:tcPr>
          <w:p w14:paraId="3719908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6ACAAEA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7C9C6462"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16C40AB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r w:rsidR="00CC6313" w:rsidRPr="00744965" w14:paraId="0463C11F"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6A8D8D6D" w14:textId="77777777" w:rsidR="00744965" w:rsidRPr="00CC6313" w:rsidRDefault="00744965" w:rsidP="00CC6313">
            <w:pPr>
              <w:rPr>
                <w:sz w:val="21"/>
              </w:rPr>
            </w:pPr>
          </w:p>
        </w:tc>
        <w:tc>
          <w:tcPr>
            <w:tcW w:w="1843" w:type="dxa"/>
          </w:tcPr>
          <w:p w14:paraId="53777B51"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Use in breast feeding</w:t>
            </w:r>
          </w:p>
        </w:tc>
        <w:tc>
          <w:tcPr>
            <w:tcW w:w="1276" w:type="dxa"/>
          </w:tcPr>
          <w:p w14:paraId="29C2C1C5"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2F90794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c>
          <w:tcPr>
            <w:tcW w:w="1418" w:type="dxa"/>
          </w:tcPr>
          <w:p w14:paraId="5488B8E2"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1C29A320"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40D49D7C"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01F4621C" w14:textId="77777777" w:rsidR="00744965" w:rsidRPr="00CC6313" w:rsidRDefault="00744965" w:rsidP="00CC6313">
            <w:pPr>
              <w:rPr>
                <w:sz w:val="21"/>
              </w:rPr>
            </w:pPr>
          </w:p>
        </w:tc>
        <w:tc>
          <w:tcPr>
            <w:tcW w:w="1843" w:type="dxa"/>
          </w:tcPr>
          <w:p w14:paraId="17648738"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Use in patients with evidence of hepatitis B or hepatitis C infection</w:t>
            </w:r>
          </w:p>
        </w:tc>
        <w:tc>
          <w:tcPr>
            <w:tcW w:w="1276" w:type="dxa"/>
          </w:tcPr>
          <w:p w14:paraId="06A427E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629C322B"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1D3D869F"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5C6243EC"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r>
      <w:tr w:rsidR="00CC6313" w:rsidRPr="00744965" w14:paraId="710EA829"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37AA7557" w14:textId="77777777" w:rsidR="00744965" w:rsidRPr="00CC6313" w:rsidRDefault="00744965" w:rsidP="00CC6313">
            <w:pPr>
              <w:rPr>
                <w:sz w:val="21"/>
              </w:rPr>
            </w:pPr>
          </w:p>
        </w:tc>
        <w:tc>
          <w:tcPr>
            <w:tcW w:w="1843" w:type="dxa"/>
          </w:tcPr>
          <w:p w14:paraId="2164558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Effect on vaccination efficacy</w:t>
            </w:r>
          </w:p>
        </w:tc>
        <w:tc>
          <w:tcPr>
            <w:tcW w:w="1276" w:type="dxa"/>
          </w:tcPr>
          <w:p w14:paraId="213234D3"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E214424"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418" w:type="dxa"/>
          </w:tcPr>
          <w:p w14:paraId="7D3FE979"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17ECC357"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r w:rsidR="00CC6313" w:rsidRPr="00744965" w14:paraId="1AD0C53A" w14:textId="77777777" w:rsidTr="00CC6313">
        <w:trPr>
          <w:gridAfter w:val="1"/>
          <w:wAfter w:w="9" w:type="dxa"/>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5A5618A4" w14:textId="77777777" w:rsidR="00744965" w:rsidRPr="00CC6313" w:rsidRDefault="00744965" w:rsidP="00CC6313">
            <w:pPr>
              <w:rPr>
                <w:sz w:val="21"/>
              </w:rPr>
            </w:pPr>
          </w:p>
        </w:tc>
        <w:tc>
          <w:tcPr>
            <w:tcW w:w="1843" w:type="dxa"/>
          </w:tcPr>
          <w:p w14:paraId="33FC2D36"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Effect on female fertility</w:t>
            </w:r>
          </w:p>
        </w:tc>
        <w:tc>
          <w:tcPr>
            <w:tcW w:w="1276" w:type="dxa"/>
          </w:tcPr>
          <w:p w14:paraId="6C5F3E17"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559" w:type="dxa"/>
          </w:tcPr>
          <w:p w14:paraId="1CDDF184"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c>
          <w:tcPr>
            <w:tcW w:w="1418" w:type="dxa"/>
          </w:tcPr>
          <w:p w14:paraId="098723DB"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rFonts w:eastAsia="Wingdings 2" w:cs="Wingdings 2"/>
                <w:sz w:val="21"/>
              </w:rPr>
              <w:t>P</w:t>
            </w:r>
          </w:p>
        </w:tc>
        <w:tc>
          <w:tcPr>
            <w:tcW w:w="1675" w:type="dxa"/>
          </w:tcPr>
          <w:p w14:paraId="2077464D" w14:textId="77777777" w:rsidR="00744965" w:rsidRPr="00CC6313" w:rsidRDefault="00744965" w:rsidP="00CC6313">
            <w:pPr>
              <w:cnfStyle w:val="000000000000" w:firstRow="0" w:lastRow="0" w:firstColumn="0" w:lastColumn="0" w:oddVBand="0" w:evenVBand="0" w:oddHBand="0" w:evenHBand="0" w:firstRowFirstColumn="0" w:firstRowLastColumn="0" w:lastRowFirstColumn="0" w:lastRowLastColumn="0"/>
              <w:rPr>
                <w:sz w:val="21"/>
              </w:rPr>
            </w:pPr>
            <w:r w:rsidRPr="00CC6313">
              <w:rPr>
                <w:sz w:val="21"/>
              </w:rPr>
              <w:t>-</w:t>
            </w:r>
          </w:p>
        </w:tc>
      </w:tr>
    </w:tbl>
    <w:p w14:paraId="4AAA5B8E" w14:textId="77777777" w:rsidR="00744965" w:rsidRPr="00744965" w:rsidRDefault="00744965" w:rsidP="00CC6313">
      <w:pPr>
        <w:spacing w:before="240"/>
      </w:pPr>
      <w:bookmarkStart w:id="79" w:name="_Toc103679299"/>
      <w:r w:rsidRPr="00744965">
        <w:t>RMP Evaluator recommendations regarding conditions of registration:</w:t>
      </w:r>
    </w:p>
    <w:p w14:paraId="0487329A" w14:textId="77777777" w:rsidR="00744965" w:rsidRPr="00744965" w:rsidRDefault="00744965" w:rsidP="00CC6313">
      <w:pPr>
        <w:pStyle w:val="ListBullet"/>
      </w:pPr>
      <w:r w:rsidRPr="00744965">
        <w:t xml:space="preserve">The </w:t>
      </w:r>
      <w:proofErr w:type="spellStart"/>
      <w:r w:rsidRPr="00744965">
        <w:t>Cibinqo</w:t>
      </w:r>
      <w:proofErr w:type="spellEnd"/>
      <w:r w:rsidRPr="00744965">
        <w:t xml:space="preserve"> EU-Risk Management Plan (RMP) (version 0.2, dated 07 April 2021, data lock point 24 July 2020), with Australian Specific Annex (version 3.0; dated 20 August 2021), included with submission PM-2020-05286-1-1, and any subsequent revisions, as agreed with the TGA will be implemented in Australia.</w:t>
      </w:r>
    </w:p>
    <w:p w14:paraId="51ACF385" w14:textId="77777777" w:rsidR="00744965" w:rsidRPr="00744965" w:rsidRDefault="00744965" w:rsidP="00CC6313">
      <w:pPr>
        <w:pStyle w:val="ListBullet"/>
      </w:pPr>
      <w:r w:rsidRPr="00744965">
        <w:t xml:space="preserve">As </w:t>
      </w:r>
      <w:proofErr w:type="spellStart"/>
      <w:r w:rsidRPr="00744965">
        <w:t>Cibinqo</w:t>
      </w:r>
      <w:proofErr w:type="spellEnd"/>
      <w:r w:rsidRPr="00744965">
        <w:t xml:space="preserve"> is a new chemical entity it should be included in the Black Triangle Scheme as a condition of registration. The following wording is recommended for the condition of registration:</w:t>
      </w:r>
    </w:p>
    <w:p w14:paraId="73070A48" w14:textId="77777777" w:rsidR="00744965" w:rsidRPr="00744965" w:rsidRDefault="00744965" w:rsidP="00CC6313">
      <w:pPr>
        <w:pStyle w:val="ListBullet"/>
      </w:pPr>
      <w:proofErr w:type="spellStart"/>
      <w:r w:rsidRPr="00744965">
        <w:t>Cibinqo</w:t>
      </w:r>
      <w:proofErr w:type="spellEnd"/>
      <w:r w:rsidRPr="00744965">
        <w:t xml:space="preserve"> (</w:t>
      </w:r>
      <w:proofErr w:type="spellStart"/>
      <w:r w:rsidRPr="00744965">
        <w:t>abrocitinib</w:t>
      </w:r>
      <w:proofErr w:type="spellEnd"/>
      <w:r w:rsidRPr="00744965">
        <w:t xml:space="preserve">) is to be included in the Black Triangle Scheme. The PI and CMI for </w:t>
      </w:r>
      <w:proofErr w:type="spellStart"/>
      <w:r w:rsidRPr="00744965">
        <w:t>Cibinqo</w:t>
      </w:r>
      <w:proofErr w:type="spellEnd"/>
      <w:r w:rsidRPr="00744965">
        <w:t xml:space="preserve"> must include the black triangle symbol and mandatory accompanying text for five years, which starts from the date that the Sponsor notifies the TGA of supply of the product.</w:t>
      </w:r>
    </w:p>
    <w:p w14:paraId="70226B9B" w14:textId="77777777" w:rsidR="00744965" w:rsidRPr="00744965" w:rsidRDefault="00744965" w:rsidP="00CC6313">
      <w:pPr>
        <w:pStyle w:val="Heading2"/>
      </w:pPr>
      <w:bookmarkStart w:id="80" w:name="_Toc172967102"/>
      <w:bookmarkStart w:id="81" w:name="_Toc173925447"/>
      <w:r w:rsidRPr="00744965">
        <w:t>Risk-</w:t>
      </w:r>
      <w:r w:rsidRPr="00CC6313">
        <w:t>benefit</w:t>
      </w:r>
      <w:r w:rsidRPr="00744965">
        <w:t xml:space="preserve"> </w:t>
      </w:r>
      <w:bookmarkEnd w:id="76"/>
      <w:bookmarkEnd w:id="77"/>
      <w:bookmarkEnd w:id="79"/>
      <w:proofErr w:type="gramStart"/>
      <w:r w:rsidRPr="00744965">
        <w:t>assessment</w:t>
      </w:r>
      <w:bookmarkEnd w:id="80"/>
      <w:bookmarkEnd w:id="81"/>
      <w:proofErr w:type="gramEnd"/>
    </w:p>
    <w:p w14:paraId="73871876" w14:textId="2C3803A1" w:rsidR="00744965" w:rsidRPr="00744965" w:rsidRDefault="00744965" w:rsidP="002E6F05">
      <w:r w:rsidRPr="00744965">
        <w:t xml:space="preserve">After 12 weeks of treatment, the pivotal phase 3 monotherapy studies with </w:t>
      </w:r>
      <w:proofErr w:type="spellStart"/>
      <w:r w:rsidRPr="00744965">
        <w:t>abrocitinib</w:t>
      </w:r>
      <w:proofErr w:type="spellEnd"/>
      <w:r w:rsidRPr="00744965">
        <w:t xml:space="preserve"> in adolescent and adult patients with moderate to severe AD demonstrated greater overall improvement in the signs and symptoms of AD when compared with placebo and met co-primary endpoints and key secondary endpoints. The treatment differences were statistically significant. Overall, compared to placebo, the 200 mg of </w:t>
      </w:r>
      <w:proofErr w:type="spellStart"/>
      <w:r w:rsidRPr="00744965">
        <w:t>abrocitinib</w:t>
      </w:r>
      <w:proofErr w:type="spellEnd"/>
      <w:r w:rsidRPr="00744965">
        <w:t xml:space="preserve"> appears to have achieved better efficacy outcomes after 12 weeks of treatment, compared to 100mg </w:t>
      </w:r>
      <w:proofErr w:type="spellStart"/>
      <w:r w:rsidRPr="00744965">
        <w:t>abrocitinib</w:t>
      </w:r>
      <w:proofErr w:type="spellEnd"/>
      <w:r w:rsidRPr="00744965">
        <w:t xml:space="preserve">. However, these studies were neither designed nor powered for comparative assessment of </w:t>
      </w:r>
      <w:proofErr w:type="spellStart"/>
      <w:r w:rsidRPr="00744965">
        <w:t>abrocitinib</w:t>
      </w:r>
      <w:proofErr w:type="spellEnd"/>
      <w:r w:rsidRPr="00744965">
        <w:t xml:space="preserve"> 200 mg and 100 mg doses. The 12-week treatment period of both pivotal studies did not provide long-term placebo-controlled efficacy and safety data for </w:t>
      </w:r>
      <w:proofErr w:type="spellStart"/>
      <w:r w:rsidRPr="00744965">
        <w:t>abrocitinib</w:t>
      </w:r>
      <w:proofErr w:type="spellEnd"/>
      <w:r w:rsidRPr="00744965">
        <w:t>.</w:t>
      </w:r>
    </w:p>
    <w:p w14:paraId="20C24A26" w14:textId="77777777" w:rsidR="00744965" w:rsidRPr="00744965" w:rsidRDefault="00744965" w:rsidP="00CC6313">
      <w:r w:rsidRPr="00744965">
        <w:t xml:space="preserve">In the pivotal studies B7451012 and B7451013, 22% and 10% of the study population, respectively, were adolescents and subjects &gt;65 years of age formed &lt;5% of the population. Moreover, in the long-term pooled data, only 73 adolescents had ≥ 48 weeks exposure to </w:t>
      </w:r>
      <w:proofErr w:type="spellStart"/>
      <w:r w:rsidRPr="00744965">
        <w:t>abrocitinib</w:t>
      </w:r>
      <w:proofErr w:type="spellEnd"/>
      <w:r w:rsidRPr="00744965">
        <w:t xml:space="preserve">, thus limiting both short- and long-term efficacy and safety data for both these patient groups. The Delegate has also noted that the median duration of treatment with 200mg </w:t>
      </w:r>
      <w:proofErr w:type="spellStart"/>
      <w:r w:rsidRPr="00744965">
        <w:t>abrocitinib</w:t>
      </w:r>
      <w:proofErr w:type="spellEnd"/>
      <w:r w:rsidRPr="00744965">
        <w:t xml:space="preserve"> was much shorter, compared to 100 mg </w:t>
      </w:r>
      <w:proofErr w:type="spellStart"/>
      <w:r w:rsidRPr="00744965">
        <w:t>abrocitinib</w:t>
      </w:r>
      <w:proofErr w:type="spellEnd"/>
      <w:r w:rsidRPr="00744965">
        <w:t xml:space="preserve"> both in children (195 vs 492 days) and adults (89 vs 501 days), thus limiting long-term safety data for 200mg. In view of the increased incidence of safety events for 200mg described below, compared to 100mg </w:t>
      </w:r>
      <w:proofErr w:type="spellStart"/>
      <w:r w:rsidRPr="00744965">
        <w:t>abrocitinib</w:t>
      </w:r>
      <w:proofErr w:type="spellEnd"/>
      <w:r w:rsidRPr="00744965">
        <w:t>, the Delegate considers this limitation as a critical issue.</w:t>
      </w:r>
    </w:p>
    <w:p w14:paraId="58A36134" w14:textId="04519337" w:rsidR="00744965" w:rsidRPr="00744965" w:rsidRDefault="00744965" w:rsidP="00CC6313">
      <w:r w:rsidRPr="00744965">
        <w:t xml:space="preserve">Compared to the dupilumab arm, at week 12, around 10% greater proportion of subjects achieved IGA and EASI 75 responses in 200 mg </w:t>
      </w:r>
      <w:proofErr w:type="spellStart"/>
      <w:r w:rsidRPr="00744965">
        <w:t>abrocitinib</w:t>
      </w:r>
      <w:proofErr w:type="spellEnd"/>
      <w:r w:rsidRPr="00744965">
        <w:t xml:space="preserve"> arm. At week 12 and at week 16, in comparison with dupilumab, no greater treatment benefits were observed for the 100 mg </w:t>
      </w:r>
      <w:proofErr w:type="spellStart"/>
      <w:r w:rsidRPr="00744965">
        <w:t>abrocitinib</w:t>
      </w:r>
      <w:proofErr w:type="spellEnd"/>
      <w:r w:rsidRPr="00744965">
        <w:t xml:space="preserve"> arm (CI included zero for IGA and EASI-75). This study was neither powered nor designed for a statistical comparative assessment between </w:t>
      </w:r>
      <w:proofErr w:type="spellStart"/>
      <w:r w:rsidRPr="00744965">
        <w:t>abrocitinib</w:t>
      </w:r>
      <w:proofErr w:type="spellEnd"/>
      <w:r w:rsidRPr="00744965">
        <w:t xml:space="preserve"> arms and the dupilumab arm. A 200-mg dose of </w:t>
      </w:r>
      <w:proofErr w:type="spellStart"/>
      <w:r w:rsidRPr="00744965">
        <w:t>abrocitinib</w:t>
      </w:r>
      <w:proofErr w:type="spellEnd"/>
      <w:r w:rsidRPr="00744965">
        <w:t xml:space="preserve"> was superior to dupilumab with respect to itch response at week 2 and the treatment difference was statistically significant. It is unclear why the Sponsor </w:t>
      </w:r>
      <w:r w:rsidRPr="00744965">
        <w:lastRenderedPageBreak/>
        <w:t>has chosen 2 weeks as a timepoint to assess this endpoint. Long-term treatment benefit in terms of itch reduction were not examined and hence unknown. AD is a chronic disease and long-term treatment benefit assessment is critical.</w:t>
      </w:r>
    </w:p>
    <w:p w14:paraId="0ED4FA16" w14:textId="77777777" w:rsidR="00744965" w:rsidRPr="00744965" w:rsidRDefault="00744965" w:rsidP="002E6F05">
      <w:r w:rsidRPr="00744965">
        <w:t xml:space="preserve">Secondary endpoints for this study were not adjusted for multiplicity and hence not taken into consideration for the comparison of treatment benefit. Overall, the incidence rate of AEs was either similar (100mg) or higher (200mg) in </w:t>
      </w:r>
      <w:proofErr w:type="spellStart"/>
      <w:r w:rsidRPr="00744965">
        <w:t>abrocitinib</w:t>
      </w:r>
      <w:proofErr w:type="spellEnd"/>
      <w:r w:rsidRPr="00744965">
        <w:t xml:space="preserve"> arms, compared to the dupilumab arm. This study only included adults; comparative data is lacking in adolescents. The Delegate has considered the benefits of oral administration of </w:t>
      </w:r>
      <w:proofErr w:type="spellStart"/>
      <w:r w:rsidRPr="00744965">
        <w:t>abrocitinib</w:t>
      </w:r>
      <w:proofErr w:type="spellEnd"/>
      <w:r w:rsidRPr="00744965">
        <w:t xml:space="preserve">, compared to subcutaneous administration for dupilumab, particularly from a patient’s perspective. However, based on the data in this submission, no conclusion could be drawn regarding greater overall treatment benefit with </w:t>
      </w:r>
      <w:proofErr w:type="spellStart"/>
      <w:r w:rsidRPr="00744965">
        <w:t>abrocitinib</w:t>
      </w:r>
      <w:proofErr w:type="spellEnd"/>
      <w:r w:rsidRPr="00744965">
        <w:t>, particularly the 100mg strength, compared to dupilumab.</w:t>
      </w:r>
    </w:p>
    <w:p w14:paraId="1B8ACA94" w14:textId="77777777" w:rsidR="00744965" w:rsidRPr="00744965" w:rsidRDefault="00744965" w:rsidP="002E6F05">
      <w:r w:rsidRPr="00744965">
        <w:t xml:space="preserve">In contrast to the pivotal studies, </w:t>
      </w:r>
      <w:proofErr w:type="spellStart"/>
      <w:r w:rsidRPr="00744965">
        <w:t>abrocitinib</w:t>
      </w:r>
      <w:proofErr w:type="spellEnd"/>
      <w:r w:rsidRPr="00744965">
        <w:t xml:space="preserve"> was used concomitantly with topical therapy in adolescents (Study B7451036). Hence, the treatment benefit with </w:t>
      </w:r>
      <w:proofErr w:type="spellStart"/>
      <w:r w:rsidRPr="00744965">
        <w:t>abrocitinib</w:t>
      </w:r>
      <w:proofErr w:type="spellEnd"/>
      <w:r w:rsidRPr="00744965">
        <w:t xml:space="preserve"> as a monotherapy in adolescents is limited. After 12 weeks of treatment in adolescents, both </w:t>
      </w:r>
      <w:proofErr w:type="spellStart"/>
      <w:r w:rsidRPr="00744965">
        <w:t>abrocitinib</w:t>
      </w:r>
      <w:proofErr w:type="spellEnd"/>
      <w:r w:rsidRPr="00744965">
        <w:t xml:space="preserve"> doses resulted in greater IGA and EASI-75 response rates compared with placebo. The treatment difference was statistically significant. The magnitude of treatment difference in the IGA and EASI-75 response rates between the </w:t>
      </w:r>
      <w:proofErr w:type="spellStart"/>
      <w:r w:rsidRPr="00744965">
        <w:t>abrocitinib</w:t>
      </w:r>
      <w:proofErr w:type="spellEnd"/>
      <w:r w:rsidRPr="00744965">
        <w:t xml:space="preserve"> 200-mg and </w:t>
      </w:r>
      <w:proofErr w:type="spellStart"/>
      <w:r w:rsidRPr="00744965">
        <w:t>abrocitinib</w:t>
      </w:r>
      <w:proofErr w:type="spellEnd"/>
      <w:r w:rsidRPr="00744965">
        <w:t xml:space="preserve"> 100-mg group doses at week 12 were much smaller than that observed in pivotal studies with </w:t>
      </w:r>
      <w:proofErr w:type="spellStart"/>
      <w:r w:rsidRPr="00744965">
        <w:t>abrocitinib</w:t>
      </w:r>
      <w:proofErr w:type="spellEnd"/>
      <w:r w:rsidRPr="00744965">
        <w:t xml:space="preserve"> as monotherapy (around 4% vs around 9.7- 23%). Background therapy with topical agents needs to be considered in this comparative assessment. However, topical therapy was allowed for both treatment arms and hence unlikely to influence this comparative assessment. A higher incidence of nausea was reported among adolescents in the </w:t>
      </w:r>
      <w:proofErr w:type="spellStart"/>
      <w:r w:rsidRPr="00744965">
        <w:t>abrocitinib</w:t>
      </w:r>
      <w:proofErr w:type="spellEnd"/>
      <w:r w:rsidRPr="00744965">
        <w:t xml:space="preserve"> 200 mg arm. Precautionary statements are included in the proposed PI.</w:t>
      </w:r>
    </w:p>
    <w:p w14:paraId="368A462A" w14:textId="77777777" w:rsidR="00744965" w:rsidRPr="00744965" w:rsidRDefault="00744965" w:rsidP="002E6F05">
      <w:r w:rsidRPr="00744965">
        <w:t xml:space="preserve">Long-term data on growth and development (safety) in adolescents is lacking in this submission. The assessment of growth and development was limited to measurement of height (SDS) at one year of treatment with </w:t>
      </w:r>
      <w:proofErr w:type="spellStart"/>
      <w:r w:rsidRPr="00744965">
        <w:t>abrocitinib</w:t>
      </w:r>
      <w:proofErr w:type="spellEnd"/>
      <w:r w:rsidRPr="00744965">
        <w:t>. Increase in height in adolescent children is known to be associated with a great degree of variability, thus having a negative impact on the external validity of the measures of height SDS performed at one year. This approach also dampens the availability of clinical data to address one of the major safety concerns that was highlighted by the non-clinical Evaluator: the irreversible bone changes such as impaired growth and abnormal morphology in juvenile rats. The non-clinical Evaluator has highlighted this issue as a major concern. The clinical Evaluator has highlighted the lack of measures of, such as Tanner grading, in children. Imaging studies in children are planned by the Sponsor.</w:t>
      </w:r>
    </w:p>
    <w:p w14:paraId="71B28E26" w14:textId="77777777" w:rsidR="00744965" w:rsidRPr="00744965" w:rsidRDefault="00744965" w:rsidP="002E6F05">
      <w:r w:rsidRPr="00744965">
        <w:t xml:space="preserve">In terms of the issue of M1 as an active metabolite of </w:t>
      </w:r>
      <w:proofErr w:type="spellStart"/>
      <w:r w:rsidRPr="00744965">
        <w:t>abrocitinib</w:t>
      </w:r>
      <w:proofErr w:type="spellEnd"/>
      <w:r w:rsidRPr="00744965">
        <w:t xml:space="preserve">, the Delegate has noted the similar JAK inhibitory profile of M1 and M2 (highlighted by the non-clinical Evaluator) and considered the non-clinical Evaluator’s conclusions that the pharmacologic activity of </w:t>
      </w:r>
      <w:proofErr w:type="spellStart"/>
      <w:r w:rsidRPr="00744965">
        <w:t>abrocitinib</w:t>
      </w:r>
      <w:proofErr w:type="spellEnd"/>
      <w:r w:rsidRPr="00744965">
        <w:t xml:space="preserve"> is attributable to both M1 and M2 metabolites. The Delegate has also considered the Evaluator’s scientific rationale behind the recommendation that the free fraction molar basis of all metabolites should be </w:t>
      </w:r>
      <w:proofErr w:type="gramStart"/>
      <w:r w:rsidRPr="00744965">
        <w:t>taken into account</w:t>
      </w:r>
      <w:proofErr w:type="gramEnd"/>
      <w:r w:rsidRPr="00744965">
        <w:t xml:space="preserve">. In consideration of all the above facts, the Delegate agrees with the non-clinical Evaluator’s conclusion that the safety profile of </w:t>
      </w:r>
      <w:proofErr w:type="spellStart"/>
      <w:r w:rsidRPr="00744965">
        <w:t>abrocitinib</w:t>
      </w:r>
      <w:proofErr w:type="spellEnd"/>
      <w:r w:rsidRPr="00744965">
        <w:t xml:space="preserve"> has not been well characterised, particularly the M1 metabolite.</w:t>
      </w:r>
    </w:p>
    <w:p w14:paraId="6A04404A" w14:textId="77777777" w:rsidR="00744965" w:rsidRPr="00744965" w:rsidRDefault="00744965" w:rsidP="002E6F05">
      <w:r w:rsidRPr="00744965">
        <w:t xml:space="preserve">In non-clinical studies, the sub-optimal relative exposure to </w:t>
      </w:r>
      <w:proofErr w:type="spellStart"/>
      <w:r w:rsidRPr="00744965">
        <w:t>abrocitinib</w:t>
      </w:r>
      <w:proofErr w:type="spellEnd"/>
      <w:r w:rsidRPr="00744965">
        <w:t xml:space="preserve">, even when administered at the highest dose, limits the ability to make any safety-related conclusions. The inadequately assessed potential for carcinogenicity and the unknown safety margin for tumours were major concerns for the non-clinical Evaluator and one of the key reasons to recommend rejection of this application. The impact of this critical issue on the safety profile of </w:t>
      </w:r>
      <w:proofErr w:type="spellStart"/>
      <w:r w:rsidRPr="00744965">
        <w:t>abrocitinib</w:t>
      </w:r>
      <w:proofErr w:type="spellEnd"/>
      <w:r w:rsidRPr="00744965">
        <w:t xml:space="preserve"> was compounded by the incidence rate of events of malignancy in clinical studies, particularly the higher incidence of events of malignancy in the 200mg, compared to the 100mg </w:t>
      </w:r>
      <w:proofErr w:type="spellStart"/>
      <w:r w:rsidRPr="00744965">
        <w:t>abrocitinib</w:t>
      </w:r>
      <w:proofErr w:type="spellEnd"/>
      <w:r w:rsidRPr="00744965">
        <w:t xml:space="preserve"> arm. In clinical studies, the incidence rate of malignancy events (excluding NMSC) was around 4 times </w:t>
      </w:r>
      <w:r w:rsidRPr="00744965">
        <w:lastRenderedPageBreak/>
        <w:t xml:space="preserve">higher in the subjects treated with 200 mg </w:t>
      </w:r>
      <w:proofErr w:type="spellStart"/>
      <w:r w:rsidRPr="00744965">
        <w:t>abrocitinib</w:t>
      </w:r>
      <w:proofErr w:type="spellEnd"/>
      <w:r w:rsidRPr="00744965">
        <w:t xml:space="preserve">, compared to those treated with 100 mg </w:t>
      </w:r>
      <w:proofErr w:type="spellStart"/>
      <w:r w:rsidRPr="00744965">
        <w:t>abrocitinib</w:t>
      </w:r>
      <w:proofErr w:type="spellEnd"/>
      <w:r w:rsidRPr="00744965">
        <w:t xml:space="preserve"> (0.34 vs 0.08, HR= 4.65), with none reported in the placebo arm. The incidence rate of NMSC was largely comparable across 100mg and 200 mg </w:t>
      </w:r>
      <w:proofErr w:type="spellStart"/>
      <w:r w:rsidRPr="00744965">
        <w:t>abrocitinib</w:t>
      </w:r>
      <w:proofErr w:type="spellEnd"/>
      <w:r w:rsidRPr="00744965">
        <w:t xml:space="preserve"> arms (0.38 vs 0.34, HR 0.74). It should be noted that the event of lymphoma that developed in a subject in </w:t>
      </w:r>
      <w:proofErr w:type="spellStart"/>
      <w:r w:rsidRPr="00744965">
        <w:t>abrocitinib</w:t>
      </w:r>
      <w:proofErr w:type="spellEnd"/>
      <w:r w:rsidRPr="00744965">
        <w:t xml:space="preserve"> arm with no prior history or risk factors </w:t>
      </w:r>
      <w:proofErr w:type="gramStart"/>
      <w:r w:rsidRPr="00744965">
        <w:t>was considered to be</w:t>
      </w:r>
      <w:proofErr w:type="gramEnd"/>
      <w:r w:rsidRPr="00744965">
        <w:t xml:space="preserve"> related to treatment with </w:t>
      </w:r>
      <w:proofErr w:type="spellStart"/>
      <w:r w:rsidRPr="00744965">
        <w:t>abrocitinib</w:t>
      </w:r>
      <w:proofErr w:type="spellEnd"/>
      <w:r w:rsidRPr="00744965">
        <w:t>.</w:t>
      </w:r>
    </w:p>
    <w:p w14:paraId="402333B8" w14:textId="02E47F55" w:rsidR="00744965" w:rsidRPr="00744965" w:rsidRDefault="00744965" w:rsidP="002E6F05">
      <w:r w:rsidRPr="00744965">
        <w:t xml:space="preserve">Australia has the highest incidence of NMSC in the world. </w:t>
      </w:r>
      <w:proofErr w:type="gramStart"/>
      <w:r w:rsidRPr="00744965">
        <w:t>All of</w:t>
      </w:r>
      <w:proofErr w:type="gramEnd"/>
      <w:r w:rsidRPr="00744965">
        <w:t xml:space="preserve"> the NMSC events were reported in subjects treated with </w:t>
      </w:r>
      <w:proofErr w:type="spellStart"/>
      <w:r w:rsidRPr="00744965">
        <w:t>abrocitinib</w:t>
      </w:r>
      <w:proofErr w:type="spellEnd"/>
      <w:r w:rsidRPr="00744965">
        <w:t xml:space="preserve">, without any history of cancer or risk factors (these were exclusion criteria). Moreover, an event of squamous cell carcinoma was reported in a subject from Australia and considered as related to treatment with </w:t>
      </w:r>
      <w:proofErr w:type="spellStart"/>
      <w:r w:rsidRPr="00744965">
        <w:t>abrocitinib</w:t>
      </w:r>
      <w:proofErr w:type="spellEnd"/>
      <w:r w:rsidRPr="00744965">
        <w:t xml:space="preserve">. The safety data from the clinical studies in this submission were inadequate to assess a mechanistic plausibility between </w:t>
      </w:r>
      <w:proofErr w:type="spellStart"/>
      <w:r w:rsidRPr="00744965">
        <w:t>abrocitinib</w:t>
      </w:r>
      <w:proofErr w:type="spellEnd"/>
      <w:r w:rsidRPr="00744965">
        <w:t xml:space="preserve"> and these events. However, the dose dependent increase in the incidence of these events across </w:t>
      </w:r>
      <w:proofErr w:type="spellStart"/>
      <w:r w:rsidRPr="00744965">
        <w:t>abrocitinib</w:t>
      </w:r>
      <w:proofErr w:type="spellEnd"/>
      <w:r w:rsidRPr="00744965">
        <w:t xml:space="preserve"> arms requires further evaluation with non-clinical studies in animal models at appropriate relative exposures, to exclude a plausible association of malignancy and treatment with </w:t>
      </w:r>
      <w:proofErr w:type="spellStart"/>
      <w:r w:rsidRPr="00744965">
        <w:t>abrocitinib</w:t>
      </w:r>
      <w:proofErr w:type="spellEnd"/>
      <w:r w:rsidRPr="00744965">
        <w:t>.</w:t>
      </w:r>
    </w:p>
    <w:p w14:paraId="2183F5B5" w14:textId="77777777" w:rsidR="00744965" w:rsidRPr="00744965" w:rsidRDefault="00744965" w:rsidP="002E6F05">
      <w:r w:rsidRPr="00744965">
        <w:t xml:space="preserve">Taken together, the Delegate considers that the risk of carcinogenicity in patients potentially treated with </w:t>
      </w:r>
      <w:proofErr w:type="spellStart"/>
      <w:r w:rsidRPr="00744965">
        <w:t>abrocitinib</w:t>
      </w:r>
      <w:proofErr w:type="spellEnd"/>
      <w:r w:rsidRPr="00744965">
        <w:t xml:space="preserve"> is poorly defined. Precautionary statements are added in the PI: The risks and benefits of </w:t>
      </w:r>
      <w:proofErr w:type="spellStart"/>
      <w:r w:rsidRPr="00744965">
        <w:t>Cibinqo</w:t>
      </w:r>
      <w:proofErr w:type="spellEnd"/>
      <w:r w:rsidRPr="00744965">
        <w:t xml:space="preserve"> treatment should be considered prior to initiating in patients with a known malignancy other than a successfully treated NMSC or cervical cancer </w:t>
      </w:r>
      <w:r w:rsidRPr="00744965">
        <w:rPr>
          <w:i/>
          <w:iCs/>
        </w:rPr>
        <w:t>in situ</w:t>
      </w:r>
      <w:r w:rsidRPr="00744965">
        <w:t xml:space="preserve"> or when considering continuing </w:t>
      </w:r>
      <w:proofErr w:type="spellStart"/>
      <w:r w:rsidRPr="00744965">
        <w:t>Cibinqo</w:t>
      </w:r>
      <w:proofErr w:type="spellEnd"/>
      <w:r w:rsidRPr="00744965">
        <w:t xml:space="preserve"> therapy in patients who develop a malignancy. However, considering all these events of malignancy were reported in subjects with no prior history or risk factors for malignancy, and the event of lymphoma </w:t>
      </w:r>
      <w:proofErr w:type="gramStart"/>
      <w:r w:rsidRPr="00744965">
        <w:t>was considered to be</w:t>
      </w:r>
      <w:proofErr w:type="gramEnd"/>
      <w:r w:rsidRPr="00744965">
        <w:t xml:space="preserve"> related to treatment with </w:t>
      </w:r>
      <w:proofErr w:type="spellStart"/>
      <w:r w:rsidRPr="00744965">
        <w:t>abrocitinib</w:t>
      </w:r>
      <w:proofErr w:type="spellEnd"/>
      <w:r w:rsidRPr="00744965">
        <w:t xml:space="preserve">, the Delegate considers that PI statements are not adequate to mitigate the risk of malignancy in patients who may be potentially treated with </w:t>
      </w:r>
      <w:proofErr w:type="spellStart"/>
      <w:r w:rsidRPr="00744965">
        <w:t>abrocitinib</w:t>
      </w:r>
      <w:proofErr w:type="spellEnd"/>
      <w:r w:rsidRPr="00744965">
        <w:t>.</w:t>
      </w:r>
    </w:p>
    <w:p w14:paraId="5E75EEC1" w14:textId="77777777" w:rsidR="00744965" w:rsidRPr="00744965" w:rsidRDefault="00744965" w:rsidP="002E6F05">
      <w:r w:rsidRPr="00744965">
        <w:t xml:space="preserve">The relative risk for MACE events for adults &lt;65 years of age treated with 200mg </w:t>
      </w:r>
      <w:proofErr w:type="spellStart"/>
      <w:r w:rsidRPr="00744965">
        <w:t>abrocitinib</w:t>
      </w:r>
      <w:proofErr w:type="spellEnd"/>
      <w:r w:rsidRPr="00744965">
        <w:t xml:space="preserve"> was two times higher, compared to those treated with 100mg </w:t>
      </w:r>
      <w:proofErr w:type="spellStart"/>
      <w:r w:rsidRPr="00744965">
        <w:t>abrocitinib</w:t>
      </w:r>
      <w:proofErr w:type="spellEnd"/>
      <w:r w:rsidRPr="00744965">
        <w:t xml:space="preserve">. An event of retinal vein occlusion (MACE) that developed in a female subject with no prior risk factors </w:t>
      </w:r>
      <w:proofErr w:type="gramStart"/>
      <w:r w:rsidRPr="00744965">
        <w:t>was considered to be</w:t>
      </w:r>
      <w:proofErr w:type="gramEnd"/>
      <w:r w:rsidRPr="00744965">
        <w:t xml:space="preserve"> related to treatment with </w:t>
      </w:r>
      <w:proofErr w:type="spellStart"/>
      <w:r w:rsidRPr="00744965">
        <w:t>abrocitinib</w:t>
      </w:r>
      <w:proofErr w:type="spellEnd"/>
      <w:r w:rsidRPr="00744965">
        <w:t xml:space="preserve">. MACE events were marginally higher in </w:t>
      </w:r>
      <w:proofErr w:type="spellStart"/>
      <w:r w:rsidRPr="00744965">
        <w:t>abrocitinib</w:t>
      </w:r>
      <w:proofErr w:type="spellEnd"/>
      <w:r w:rsidRPr="00744965">
        <w:t xml:space="preserve"> 200mg arm, compared to 100mg arm (3 vs 2 events, HR = 1.16). A dose-dependent increase in VTE and subset of PE events was noted, with a much higher incidence of both VTE (6 vs 1 event) and PE (3 vs 1 event) events in 200mg, compared to 100mg </w:t>
      </w:r>
      <w:proofErr w:type="spellStart"/>
      <w:r w:rsidRPr="00744965">
        <w:t>abrocitinib</w:t>
      </w:r>
      <w:proofErr w:type="spellEnd"/>
      <w:r w:rsidRPr="00744965">
        <w:t xml:space="preserve"> arm and no events in placebo (HR for VTE = 5.24, HR for PE = 2.89, 200mg vs 100mg </w:t>
      </w:r>
      <w:proofErr w:type="spellStart"/>
      <w:r w:rsidRPr="00744965">
        <w:t>abrocitinib</w:t>
      </w:r>
      <w:proofErr w:type="spellEnd"/>
      <w:r w:rsidRPr="00744965">
        <w:t xml:space="preserve">). Events of PE, DVT and bilateral leg oedema were also considered as related to treatment with </w:t>
      </w:r>
      <w:proofErr w:type="spellStart"/>
      <w:r w:rsidRPr="00744965">
        <w:t>abrocitinib</w:t>
      </w:r>
      <w:proofErr w:type="spellEnd"/>
      <w:r w:rsidRPr="00744965">
        <w:t xml:space="preserve">. In addition, the incidence rates for both PE and VTE in subjects treated with </w:t>
      </w:r>
      <w:proofErr w:type="spellStart"/>
      <w:r w:rsidRPr="00744965">
        <w:t>abrocitinib</w:t>
      </w:r>
      <w:proofErr w:type="spellEnd"/>
      <w:r w:rsidRPr="00744965">
        <w:t xml:space="preserve"> were higher than the subjects with AD in cohort studies (PE = 0.13 vs 0.07 and VTE = 0.23 vs 0.14 (VTE cohort study)). This is a major safety concern. The Delegate does not consider the precautionary statements in the PI and the pharmacovigilance measures are adequate to mitigate the cardiovascular risk in patients who may be treated with </w:t>
      </w:r>
      <w:proofErr w:type="spellStart"/>
      <w:r w:rsidRPr="00744965">
        <w:t>abrocitinib</w:t>
      </w:r>
      <w:proofErr w:type="spellEnd"/>
      <w:r w:rsidRPr="00744965">
        <w:t>.</w:t>
      </w:r>
    </w:p>
    <w:p w14:paraId="6D553F52" w14:textId="77777777" w:rsidR="00744965" w:rsidRPr="00744965" w:rsidRDefault="00744965" w:rsidP="002E6F05">
      <w:r w:rsidRPr="00744965">
        <w:t>The Delegate has considered that the MACE, carcinogenicity and VTE events have been reported for other JAK inhibitors that are approved by TGA and there are related warnings and precautions in those PIs. However, all the previously TGA approved JAK inhibitors had a defined carcinogenicity risk established with non-clinical studies in animal models. This is lacking in this submission. In clinical studies with baricitinib in subjects with atopic dermatitis, three cases of VTE were reported (2 reports of pulmonary embolism in baricitinib 4 mg arm and one event of DVT in 2 mg arm).</w:t>
      </w:r>
    </w:p>
    <w:p w14:paraId="7A6B2B7D" w14:textId="77777777" w:rsidR="00744965" w:rsidRPr="00744965" w:rsidRDefault="00744965" w:rsidP="002E6F05">
      <w:r w:rsidRPr="00744965">
        <w:t>In summary, based on the data provided in the dossier and the facts described above, the Delegate has concluded that the critical safety concerns from non-clinical studies appear to be compounded by the findings (carcinogenicity, MACE and VTE events) and lack of data (growth and development of adolescents) from the clinical studies. Considering the increase in MACE,</w:t>
      </w:r>
    </w:p>
    <w:p w14:paraId="7C70609A" w14:textId="77777777" w:rsidR="00744965" w:rsidRPr="00744965" w:rsidRDefault="00744965" w:rsidP="002E6F05">
      <w:r w:rsidRPr="00744965">
        <w:lastRenderedPageBreak/>
        <w:t xml:space="preserve">VTE (dose dependent) and carcinogenicity events, together with the shorter median duration of treatment for 200mg, compared to 100mg </w:t>
      </w:r>
      <w:proofErr w:type="spellStart"/>
      <w:r w:rsidRPr="00744965">
        <w:t>abrocitinib</w:t>
      </w:r>
      <w:proofErr w:type="spellEnd"/>
      <w:r w:rsidRPr="00744965">
        <w:t xml:space="preserve">, the increased treatment benefit with 200mg </w:t>
      </w:r>
      <w:proofErr w:type="spellStart"/>
      <w:r w:rsidRPr="00744965">
        <w:t>abrocitinib</w:t>
      </w:r>
      <w:proofErr w:type="spellEnd"/>
      <w:r w:rsidRPr="00744965">
        <w:t xml:space="preserve"> does not outweigh the risks associated with treatment with this dose. Due to the lack of comparative data, no overall conclusions can be made in terms of greater overall treatment benefit for </w:t>
      </w:r>
      <w:proofErr w:type="spellStart"/>
      <w:r w:rsidRPr="00744965">
        <w:t>abrocitinib</w:t>
      </w:r>
      <w:proofErr w:type="spellEnd"/>
      <w:r w:rsidRPr="00744965">
        <w:t xml:space="preserve"> (both 100 and 200mg) compared with dupilumab.</w:t>
      </w:r>
    </w:p>
    <w:p w14:paraId="7E37006F" w14:textId="77777777" w:rsidR="00744965" w:rsidRPr="002E6F05" w:rsidRDefault="00744965" w:rsidP="002E6F05">
      <w:pPr>
        <w:rPr>
          <w:b/>
          <w:bCs/>
        </w:rPr>
      </w:pPr>
      <w:r w:rsidRPr="002E6F05">
        <w:rPr>
          <w:b/>
          <w:bCs/>
        </w:rPr>
        <w:t>Conclusion</w:t>
      </w:r>
    </w:p>
    <w:p w14:paraId="1F189258" w14:textId="77777777" w:rsidR="00744965" w:rsidRPr="00744965" w:rsidRDefault="00744965" w:rsidP="002E6F05">
      <w:r w:rsidRPr="00744965">
        <w:t xml:space="preserve">At this stage, based on the data provided in the dossier, the Delegate is not convinced that there is enough evidence to support an acceptable benefit-risk balance for </w:t>
      </w:r>
      <w:proofErr w:type="spellStart"/>
      <w:r w:rsidRPr="00744965">
        <w:t>abrocitinib</w:t>
      </w:r>
      <w:proofErr w:type="spellEnd"/>
      <w:r w:rsidRPr="00744965">
        <w:t xml:space="preserve"> for the proposed indication.</w:t>
      </w:r>
    </w:p>
    <w:p w14:paraId="0CB302BA" w14:textId="7B4036C2" w:rsidR="00744965" w:rsidRPr="00744965" w:rsidRDefault="00744965" w:rsidP="002E6F05">
      <w:pPr>
        <w:pStyle w:val="Heading3"/>
      </w:pPr>
      <w:bookmarkStart w:id="82" w:name="_Toc98931936"/>
      <w:bookmarkStart w:id="83" w:name="_Toc172967103"/>
      <w:bookmarkStart w:id="84" w:name="_Toc173925448"/>
      <w:bookmarkStart w:id="85" w:name="_Toc247691532"/>
      <w:bookmarkStart w:id="86" w:name="_Toc314842516"/>
      <w:r w:rsidRPr="00744965">
        <w:t xml:space="preserve">Advisory </w:t>
      </w:r>
      <w:r w:rsidR="008B7BCC" w:rsidRPr="002E6F05">
        <w:t>c</w:t>
      </w:r>
      <w:r w:rsidRPr="002E6F05">
        <w:t>ommittee</w:t>
      </w:r>
      <w:r w:rsidRPr="00744965">
        <w:t xml:space="preserve"> considerations</w:t>
      </w:r>
      <w:bookmarkEnd w:id="82"/>
      <w:r w:rsidRPr="00744965">
        <w:t xml:space="preserve"> – December 2021</w:t>
      </w:r>
      <w:bookmarkEnd w:id="83"/>
      <w:bookmarkEnd w:id="84"/>
    </w:p>
    <w:p w14:paraId="4A7C5B5B" w14:textId="77777777" w:rsidR="00744965" w:rsidRPr="00744965" w:rsidRDefault="00744965" w:rsidP="002E6F05">
      <w:pPr>
        <w:rPr>
          <w:bCs/>
        </w:rPr>
      </w:pPr>
      <w:r w:rsidRPr="00744965">
        <w:rPr>
          <w:bCs/>
        </w:rPr>
        <w:t xml:space="preserve">The proposed indication that was considered at the </w:t>
      </w:r>
      <w:hyperlink r:id="rId55" w:history="1">
        <w:r w:rsidRPr="00744965">
          <w:rPr>
            <w:color w:val="0000FF"/>
            <w:u w:val="single"/>
          </w:rPr>
          <w:t>Advisory Committee on Medicines (ACM)</w:t>
        </w:r>
      </w:hyperlink>
      <w:r w:rsidRPr="00744965">
        <w:rPr>
          <w:bCs/>
        </w:rPr>
        <w:t xml:space="preserve"> was:</w:t>
      </w:r>
    </w:p>
    <w:p w14:paraId="1FC99E55" w14:textId="77777777" w:rsidR="00744965" w:rsidRPr="002E6F05" w:rsidRDefault="00744965" w:rsidP="002E6F05">
      <w:pPr>
        <w:rPr>
          <w:i/>
          <w:iCs/>
        </w:rPr>
      </w:pPr>
      <w:r w:rsidRPr="002E6F05">
        <w:rPr>
          <w:i/>
          <w:iCs/>
        </w:rPr>
        <w:t>“</w:t>
      </w:r>
      <w:proofErr w:type="spellStart"/>
      <w:r w:rsidRPr="002E6F05">
        <w:rPr>
          <w:i/>
          <w:iCs/>
        </w:rPr>
        <w:t>Cibinqo</w:t>
      </w:r>
      <w:proofErr w:type="spellEnd"/>
      <w:r w:rsidRPr="002E6F05">
        <w:rPr>
          <w:i/>
          <w:iCs/>
        </w:rPr>
        <w:t xml:space="preserve"> is indicated for the treatment of patients 12 years of age and older with moderate-to-severe atopic dermatitis who are candidates for systemic therapy. </w:t>
      </w:r>
      <w:proofErr w:type="spellStart"/>
      <w:r w:rsidRPr="002E6F05">
        <w:rPr>
          <w:i/>
          <w:iCs/>
        </w:rPr>
        <w:t>Cibinqo</w:t>
      </w:r>
      <w:proofErr w:type="spellEnd"/>
      <w:r w:rsidRPr="002E6F05">
        <w:rPr>
          <w:i/>
          <w:iCs/>
        </w:rPr>
        <w:t xml:space="preserve"> can be used with or without medicated topical therapies for atopic dermatitis.”</w:t>
      </w:r>
    </w:p>
    <w:p w14:paraId="14CBE86A" w14:textId="77777777" w:rsidR="00744965" w:rsidRPr="00744965" w:rsidRDefault="00744965" w:rsidP="002E6F05">
      <w:r w:rsidRPr="00744965">
        <w:t>The ACM, having considered the evaluations and the Delegate’s overview, as well as the Sponsor’s response to these documents, advised the following:</w:t>
      </w:r>
    </w:p>
    <w:p w14:paraId="6D9FF38F" w14:textId="66FA5546" w:rsidR="00744965" w:rsidRPr="002E6F05" w:rsidRDefault="00744965" w:rsidP="002E6F05">
      <w:pPr>
        <w:pStyle w:val="Numberbullet0"/>
        <w:rPr>
          <w:b/>
          <w:bCs/>
          <w:i/>
          <w:iCs/>
        </w:rPr>
      </w:pPr>
      <w:r w:rsidRPr="002E6F05">
        <w:rPr>
          <w:b/>
          <w:bCs/>
          <w:i/>
          <w:iCs/>
        </w:rPr>
        <w:t xml:space="preserve">What is the committee’s opinion about the nonclinical findings and its impact on the overall evidence to support </w:t>
      </w:r>
      <w:proofErr w:type="spellStart"/>
      <w:r w:rsidRPr="002E6F05">
        <w:rPr>
          <w:b/>
          <w:bCs/>
          <w:i/>
          <w:iCs/>
        </w:rPr>
        <w:t>abrocitinib</w:t>
      </w:r>
      <w:proofErr w:type="spellEnd"/>
      <w:r w:rsidRPr="002E6F05">
        <w:rPr>
          <w:b/>
          <w:bCs/>
          <w:i/>
          <w:iCs/>
        </w:rPr>
        <w:t xml:space="preserve"> for the proposed indication?</w:t>
      </w:r>
    </w:p>
    <w:p w14:paraId="09780466" w14:textId="0981F412" w:rsidR="00744965" w:rsidRPr="00744965" w:rsidRDefault="00744965" w:rsidP="002E6F05">
      <w:r w:rsidRPr="00744965">
        <w:t xml:space="preserve">The ACM noted that the nonclinical data suggests that </w:t>
      </w:r>
      <w:proofErr w:type="spellStart"/>
      <w:r w:rsidRPr="00744965">
        <w:t>abrocitinib</w:t>
      </w:r>
      <w:proofErr w:type="spellEnd"/>
      <w:r w:rsidRPr="00744965">
        <w:t xml:space="preserve"> has an adverse effect on the mineralisation of growing bone, with the most severe effects visible during active bone formation (as evidenced by prenatal and juvenile studies). The ACM commented that there was a focus on limb growth in the animal studies, however, there is no evidence provided to suggest that vertebral growth (or any other joints) is unaffected. While </w:t>
      </w:r>
      <w:proofErr w:type="gramStart"/>
      <w:r w:rsidRPr="00744965">
        <w:t>the majority of</w:t>
      </w:r>
      <w:proofErr w:type="gramEnd"/>
      <w:r w:rsidRPr="00744965">
        <w:t xml:space="preserve"> limb growth occurs before 12 years of age, after age 13 in girls and 15 in boys’ growth occurs predominantly in sitting height (for example bone mass gain in L2-4).1 The ACM commented that many adolescents will still have open growth plates at other joints and the long-term effects of </w:t>
      </w:r>
      <w:proofErr w:type="spellStart"/>
      <w:r w:rsidRPr="00744965">
        <w:t>abrocitinib</w:t>
      </w:r>
      <w:proofErr w:type="spellEnd"/>
      <w:r w:rsidRPr="00744965">
        <w:t xml:space="preserve"> on these areas are unknown.</w:t>
      </w:r>
    </w:p>
    <w:p w14:paraId="21280B7D" w14:textId="2A65F7E1" w:rsidR="00744965" w:rsidRPr="00744965" w:rsidRDefault="00744965" w:rsidP="002E6F05">
      <w:r w:rsidRPr="00744965">
        <w:t xml:space="preserve">In regard to carcinogenicity in the nonclinical studies, the ACM advised that failure to achieve X 25 exposure ratio based on the area under the curve (ERAUC) in rodent carcinogenesis assays should not preclude registration, noting that the ICH S1C(R2) guidance suggests 25 X exposure ratio (ER) is only applicable if the </w:t>
      </w:r>
      <w:bookmarkStart w:id="87" w:name="_Hlk165469316"/>
      <w:r w:rsidRPr="00744965">
        <w:t xml:space="preserve">maximum tolerated dose (MTD) </w:t>
      </w:r>
      <w:bookmarkEnd w:id="87"/>
      <w:r w:rsidRPr="00744965">
        <w:t>is not achieved for non-genotoxic compounds (</w:t>
      </w:r>
      <w:proofErr w:type="spellStart"/>
      <w:r w:rsidRPr="00744965">
        <w:t>abrocitinib</w:t>
      </w:r>
      <w:proofErr w:type="spellEnd"/>
      <w:r w:rsidRPr="00744965">
        <w:t xml:space="preserve"> is a non-genotoxic compound). The ACM also advised that despite the sub-clinical exposure ratio (&gt; 0.4 X ERAUC), the thymomas observed in female rats may not be clinically relevant. The ACM was of the view that there are appropriate warnings in the PI and RMP regarding carcinogenic potential based on the nonclinical studies, however they commented that carcinogenicity findings in the clinical studies are of significant concern (see response to Question 3, below).</w:t>
      </w:r>
    </w:p>
    <w:p w14:paraId="6D525113" w14:textId="77777777" w:rsidR="00744965" w:rsidRPr="00744965" w:rsidRDefault="00744965" w:rsidP="002E6F05">
      <w:r w:rsidRPr="00744965">
        <w:t xml:space="preserve">The ACM agreed that the Sponsor should use the free fraction molar to calculate proportions of metabolites. In this case M1 qualifies as a significant human metabolite according to the criteria in ICH M3(R2). These guidelines also suggest that nonclinical characterisation is warranted when that metabolite is observed at significantly greater levels in humans than the maximum exposure seen in the toxicity studies. Based on the limited data presented, the M1 metabolite is poorly, if at all, produced in the selected animal species. Therefore, the ACM was of the view the </w:t>
      </w:r>
      <w:r w:rsidRPr="00744965">
        <w:lastRenderedPageBreak/>
        <w:t xml:space="preserve">safety of this metabolite has not been assessed in the nonclinical studies. Additionally, the ACM noted that important safety data for M2 and M4 was not available. </w:t>
      </w:r>
    </w:p>
    <w:p w14:paraId="522A0624" w14:textId="3DBAF1DC" w:rsidR="00744965" w:rsidRPr="002E6F05" w:rsidRDefault="00744965" w:rsidP="002E6F05">
      <w:pPr>
        <w:pStyle w:val="Numberbullet0"/>
        <w:rPr>
          <w:b/>
          <w:bCs/>
          <w:i/>
          <w:iCs/>
        </w:rPr>
      </w:pPr>
      <w:r w:rsidRPr="002E6F05">
        <w:rPr>
          <w:b/>
          <w:bCs/>
          <w:i/>
          <w:iCs/>
        </w:rPr>
        <w:t xml:space="preserve">Please comment on the safety profile of </w:t>
      </w:r>
      <w:proofErr w:type="spellStart"/>
      <w:r w:rsidRPr="002E6F05">
        <w:rPr>
          <w:b/>
          <w:bCs/>
          <w:i/>
          <w:iCs/>
        </w:rPr>
        <w:t>abrocitinib</w:t>
      </w:r>
      <w:proofErr w:type="spellEnd"/>
      <w:r w:rsidRPr="002E6F05">
        <w:rPr>
          <w:b/>
          <w:bCs/>
          <w:i/>
          <w:iCs/>
        </w:rPr>
        <w:t>, specifically regarding MACE, VTE and cardiovascular events.</w:t>
      </w:r>
    </w:p>
    <w:p w14:paraId="313A7B3B" w14:textId="3CDB501D" w:rsidR="00744965" w:rsidRPr="00744965" w:rsidRDefault="00744965" w:rsidP="002E6F05">
      <w:r w:rsidRPr="00744965">
        <w:t xml:space="preserve">The ACM expressed concern about the safety profile of </w:t>
      </w:r>
      <w:proofErr w:type="spellStart"/>
      <w:r w:rsidRPr="00744965">
        <w:t>abrocitinib</w:t>
      </w:r>
      <w:proofErr w:type="spellEnd"/>
      <w:r w:rsidRPr="00744965">
        <w:t xml:space="preserve"> based on the data that was included in the dossier.</w:t>
      </w:r>
    </w:p>
    <w:p w14:paraId="3FFB9181" w14:textId="364B3BB9" w:rsidR="00744965" w:rsidRPr="00744965" w:rsidRDefault="00744965" w:rsidP="002E6F05">
      <w:r w:rsidRPr="00744965">
        <w:t xml:space="preserve">The ACM commented while the 5 incidences of major adverse cardiovascular events (MACE) are too </w:t>
      </w:r>
      <w:proofErr w:type="gramStart"/>
      <w:r w:rsidRPr="00744965">
        <w:t>small in number</w:t>
      </w:r>
      <w:proofErr w:type="gramEnd"/>
      <w:r w:rsidRPr="00744965">
        <w:t xml:space="preserve"> to draw firm conclusions from, the events were still considered to be a concern given the previous experience with other JAK inhibitors.</w:t>
      </w:r>
    </w:p>
    <w:p w14:paraId="5FBA7708" w14:textId="77777777" w:rsidR="00744965" w:rsidRPr="00744965" w:rsidRDefault="00744965" w:rsidP="00744965">
      <w:pPr>
        <w:autoSpaceDE w:val="0"/>
        <w:autoSpaceDN w:val="0"/>
        <w:adjustRightInd w:val="0"/>
        <w:spacing w:after="0" w:line="240" w:lineRule="auto"/>
        <w:rPr>
          <w:rFonts w:cs="Cambria"/>
          <w:color w:val="000000"/>
          <w:szCs w:val="22"/>
        </w:rPr>
      </w:pPr>
      <w:r w:rsidRPr="00744965">
        <w:rPr>
          <w:rFonts w:cs="Cambria"/>
          <w:color w:val="000000"/>
          <w:szCs w:val="22"/>
        </w:rPr>
        <w:t xml:space="preserve">The ACM commented that the VTE events are similarly small in numbers but also concerning. </w:t>
      </w:r>
    </w:p>
    <w:p w14:paraId="0F7549B2" w14:textId="77777777" w:rsidR="00744965" w:rsidRPr="00744965" w:rsidRDefault="00744965" w:rsidP="002E6F05">
      <w:r w:rsidRPr="00744965">
        <w:t xml:space="preserve">The ACM noted that many JAK inhibitors are known to raise LDL-C and HDL-C. While some animal studies of </w:t>
      </w:r>
      <w:proofErr w:type="spellStart"/>
      <w:r w:rsidRPr="00744965">
        <w:t>abrocitinib</w:t>
      </w:r>
      <w:proofErr w:type="spellEnd"/>
      <w:r w:rsidRPr="00744965">
        <w:t xml:space="preserve"> reflect 20-50% increases in LDL-C and HDL-C, the ACM noted that in the clinical studies the LDL/HDL ratio remains </w:t>
      </w:r>
      <w:proofErr w:type="gramStart"/>
      <w:r w:rsidRPr="00744965">
        <w:t>fairly constant</w:t>
      </w:r>
      <w:proofErr w:type="gramEnd"/>
      <w:r w:rsidRPr="00744965">
        <w:t xml:space="preserve"> and the elevations in LDL-C are only 5-10% (dose dependent). Triglycerides were unaffected.</w:t>
      </w:r>
    </w:p>
    <w:p w14:paraId="2198F8B3" w14:textId="77777777" w:rsidR="00744965" w:rsidRPr="00744965" w:rsidRDefault="00744965" w:rsidP="002E6F05">
      <w:r w:rsidRPr="00744965">
        <w:t xml:space="preserve">The ACM advised that the malignancy risk has been poorly defined, noting </w:t>
      </w:r>
      <w:proofErr w:type="gramStart"/>
      <w:r w:rsidRPr="00744965">
        <w:t>in particular an</w:t>
      </w:r>
      <w:proofErr w:type="gramEnd"/>
      <w:r w:rsidRPr="00744965">
        <w:t xml:space="preserve"> event of squamous cell carcinoma (SCC) and an event of lymphoma considered as related to </w:t>
      </w:r>
      <w:proofErr w:type="spellStart"/>
      <w:r w:rsidRPr="00744965">
        <w:t>abrocitinib</w:t>
      </w:r>
      <w:proofErr w:type="spellEnd"/>
      <w:r w:rsidRPr="00744965">
        <w:t>. The ACM also expressed concern that the dose-dependent risk for malignancy has not been studied.</w:t>
      </w:r>
    </w:p>
    <w:p w14:paraId="0489A600" w14:textId="77777777" w:rsidR="00744965" w:rsidRPr="00744965" w:rsidRDefault="00744965" w:rsidP="002E6F05">
      <w:r w:rsidRPr="00744965">
        <w:t>The ACM noted that there are no long-term safety data on growth and development in adolescents, with this safety data being limited to height measurement at 1 year. The ACM also noted the irreversible effects on bone development at subclinical exposures in the nonclinical studies.</w:t>
      </w:r>
    </w:p>
    <w:p w14:paraId="2FB1FF9B" w14:textId="77777777" w:rsidR="00744965" w:rsidRPr="00744965" w:rsidRDefault="00744965" w:rsidP="002E6F05">
      <w:r w:rsidRPr="00744965">
        <w:t xml:space="preserve">The ACM summarised that there are currently many limitations in the known safety profile of </w:t>
      </w:r>
      <w:proofErr w:type="spellStart"/>
      <w:r w:rsidRPr="00744965">
        <w:t>abrocitinib</w:t>
      </w:r>
      <w:proofErr w:type="spellEnd"/>
      <w:r w:rsidRPr="00744965">
        <w:t>, which is a cause for concern.</w:t>
      </w:r>
    </w:p>
    <w:p w14:paraId="5AA79A39" w14:textId="77777777" w:rsidR="00744965" w:rsidRPr="002E6F05" w:rsidRDefault="00744965" w:rsidP="002E6F05">
      <w:pPr>
        <w:pStyle w:val="Numberbullet0"/>
        <w:rPr>
          <w:b/>
          <w:bCs/>
          <w:i/>
          <w:iCs/>
        </w:rPr>
      </w:pPr>
      <w:r w:rsidRPr="002E6F05">
        <w:rPr>
          <w:b/>
          <w:bCs/>
          <w:i/>
          <w:iCs/>
        </w:rPr>
        <w:t xml:space="preserve">Please comment on the </w:t>
      </w:r>
      <w:proofErr w:type="spellStart"/>
      <w:r w:rsidRPr="002E6F05">
        <w:rPr>
          <w:b/>
          <w:bCs/>
          <w:i/>
          <w:iCs/>
        </w:rPr>
        <w:t>abrocitinib’s</w:t>
      </w:r>
      <w:proofErr w:type="spellEnd"/>
      <w:r w:rsidRPr="002E6F05">
        <w:rPr>
          <w:b/>
          <w:bCs/>
          <w:i/>
          <w:iCs/>
        </w:rPr>
        <w:t xml:space="preserve"> benefit-risk balance for the proposed indication.</w:t>
      </w:r>
    </w:p>
    <w:p w14:paraId="6AD47065" w14:textId="77777777" w:rsidR="00744965" w:rsidRPr="00744965" w:rsidRDefault="00744965" w:rsidP="002E6F05">
      <w:r w:rsidRPr="00744965">
        <w:t xml:space="preserve">The ACM acknowledged that the pivotal studies provided evidence for the efficacy of </w:t>
      </w:r>
      <w:proofErr w:type="spellStart"/>
      <w:r w:rsidRPr="00744965">
        <w:t>abrocitinib</w:t>
      </w:r>
      <w:proofErr w:type="spellEnd"/>
      <w:r w:rsidRPr="00744965">
        <w:t xml:space="preserve"> 100 mg and 200 mg doses in atopic dermatitis. However, they advised that evidence of treatment benefit for </w:t>
      </w:r>
      <w:proofErr w:type="spellStart"/>
      <w:r w:rsidRPr="00744965">
        <w:t>abrocitinib</w:t>
      </w:r>
      <w:proofErr w:type="spellEnd"/>
      <w:r w:rsidRPr="00744965">
        <w:t xml:space="preserve"> as a monotherapy is limited, as it was used concomitantly with topical therapy in adolescents.</w:t>
      </w:r>
    </w:p>
    <w:p w14:paraId="72E8BDE9" w14:textId="77777777" w:rsidR="00744965" w:rsidRPr="00744965" w:rsidRDefault="00744965" w:rsidP="002E6F05">
      <w:r w:rsidRPr="00744965">
        <w:t xml:space="preserve">The ACM commented on the higher incidence of nausea in 200 mg </w:t>
      </w:r>
      <w:proofErr w:type="spellStart"/>
      <w:r w:rsidRPr="00744965">
        <w:t>abrocitinib</w:t>
      </w:r>
      <w:proofErr w:type="spellEnd"/>
      <w:r w:rsidRPr="00744965">
        <w:t xml:space="preserve"> arm and upper respiratory tract infection in the 100 mg </w:t>
      </w:r>
      <w:proofErr w:type="spellStart"/>
      <w:r w:rsidRPr="00744965">
        <w:t>abrocitinib</w:t>
      </w:r>
      <w:proofErr w:type="spellEnd"/>
      <w:r w:rsidRPr="00744965">
        <w:t xml:space="preserve"> arm.</w:t>
      </w:r>
    </w:p>
    <w:p w14:paraId="65CA9126" w14:textId="77777777" w:rsidR="00744965" w:rsidRPr="00744965" w:rsidRDefault="00744965" w:rsidP="002E6F05">
      <w:r w:rsidRPr="00744965">
        <w:t xml:space="preserve">The ACM expressed concerns about the limitations in the current safety profile of </w:t>
      </w:r>
      <w:proofErr w:type="spellStart"/>
      <w:r w:rsidRPr="00744965">
        <w:t>abrocitinib</w:t>
      </w:r>
      <w:proofErr w:type="spellEnd"/>
      <w:r w:rsidRPr="00744965">
        <w:t>, especially in adolescents, as highlighted in the response to Question 2, (above). In particular, the ACM expressed concern that the malignancy risk has been poorly characterised. The ACM noted that all previously approved JAK inhibitors had defined carcinogenicity risk established with nonclinical studies in animal models.</w:t>
      </w:r>
    </w:p>
    <w:p w14:paraId="272F423D" w14:textId="77777777" w:rsidR="00744965" w:rsidRPr="00744965" w:rsidRDefault="00744965" w:rsidP="002E6F05">
      <w:r w:rsidRPr="00744965">
        <w:t xml:space="preserve">The ACM advised that there are currently many other treatment options available for the treatment of atopic dermatitis. Therefore, the ACM agreed that there is no significant clinical need to justify the safety risks of </w:t>
      </w:r>
      <w:proofErr w:type="spellStart"/>
      <w:r w:rsidRPr="00744965">
        <w:t>abrocitinib</w:t>
      </w:r>
      <w:proofErr w:type="spellEnd"/>
      <w:r w:rsidRPr="00744965">
        <w:t xml:space="preserve"> for the proposed indication, additionally noting that this is a childhood disease that tends to improve over time / into adulthood.</w:t>
      </w:r>
    </w:p>
    <w:p w14:paraId="5B0CD30F" w14:textId="77777777" w:rsidR="00744965" w:rsidRPr="00744965" w:rsidRDefault="00744965" w:rsidP="002E6F05">
      <w:r w:rsidRPr="00744965">
        <w:t xml:space="preserve">On balance, the ACM was of the view that the risks outweigh the benefits of </w:t>
      </w:r>
      <w:proofErr w:type="spellStart"/>
      <w:r w:rsidRPr="00744965">
        <w:t>abrocitinib</w:t>
      </w:r>
      <w:proofErr w:type="spellEnd"/>
      <w:r w:rsidRPr="00744965">
        <w:t xml:space="preserve"> for the proposed indication in atopic dermatitis </w:t>
      </w:r>
      <w:proofErr w:type="gramStart"/>
      <w:r w:rsidRPr="00744965">
        <w:t>in light of</w:t>
      </w:r>
      <w:proofErr w:type="gramEnd"/>
      <w:r w:rsidRPr="00744965">
        <w:t xml:space="preserve"> the uncertainties in the safety profile and the lack of unmet clinical need.</w:t>
      </w:r>
    </w:p>
    <w:p w14:paraId="1609C96F" w14:textId="77777777" w:rsidR="00744965" w:rsidRPr="002E6F05" w:rsidRDefault="00744965" w:rsidP="002E6F05">
      <w:pPr>
        <w:pStyle w:val="Numberbullet0"/>
        <w:rPr>
          <w:b/>
          <w:bCs/>
          <w:i/>
          <w:iCs/>
        </w:rPr>
      </w:pPr>
      <w:r w:rsidRPr="002E6F05">
        <w:rPr>
          <w:b/>
          <w:bCs/>
          <w:i/>
          <w:iCs/>
        </w:rPr>
        <w:lastRenderedPageBreak/>
        <w:t xml:space="preserve">Please comment on the adequacy of the precautionary statements in the PI and the pharmacovigilance measures to mitigate the risks identified in clinical studies with </w:t>
      </w:r>
      <w:proofErr w:type="spellStart"/>
      <w:r w:rsidRPr="002E6F05">
        <w:rPr>
          <w:b/>
          <w:bCs/>
          <w:i/>
          <w:iCs/>
        </w:rPr>
        <w:t>abrocitinib</w:t>
      </w:r>
      <w:proofErr w:type="spellEnd"/>
      <w:r w:rsidRPr="002E6F05">
        <w:rPr>
          <w:b/>
          <w:bCs/>
          <w:i/>
          <w:iCs/>
        </w:rPr>
        <w:t>.</w:t>
      </w:r>
    </w:p>
    <w:p w14:paraId="108158C8" w14:textId="77777777" w:rsidR="00744965" w:rsidRPr="00744965" w:rsidRDefault="00744965" w:rsidP="002E6F05">
      <w:r w:rsidRPr="00744965">
        <w:t>The ACM discussed the precautionary statement:</w:t>
      </w:r>
    </w:p>
    <w:p w14:paraId="4D379FA3" w14:textId="77777777" w:rsidR="00744965" w:rsidRPr="00744965" w:rsidRDefault="00744965" w:rsidP="002E6F05">
      <w:r w:rsidRPr="00744965">
        <w:t xml:space="preserve">‘The risks and benefits of </w:t>
      </w:r>
      <w:proofErr w:type="spellStart"/>
      <w:r w:rsidRPr="00744965">
        <w:t>Cibinqo</w:t>
      </w:r>
      <w:proofErr w:type="spellEnd"/>
      <w:r w:rsidRPr="00744965">
        <w:t xml:space="preserve"> treatment should be considered prior to initiating in patients with a known malignancy other than a successfully treated NMSC or cervical cancer in situ or when considering continuing </w:t>
      </w:r>
      <w:proofErr w:type="spellStart"/>
      <w:r w:rsidRPr="00744965">
        <w:t>Cibinqo</w:t>
      </w:r>
      <w:proofErr w:type="spellEnd"/>
      <w:r w:rsidRPr="00744965">
        <w:t xml:space="preserve"> therapy in patients who develop a malignancy.’</w:t>
      </w:r>
    </w:p>
    <w:p w14:paraId="69F405C8" w14:textId="77777777" w:rsidR="00744965" w:rsidRPr="00744965" w:rsidRDefault="00744965" w:rsidP="002E6F05">
      <w:r w:rsidRPr="00744965">
        <w:t>The ACM was not supportive of this statement, noting that all events of malignancy were reported in subjects with no prior history or risk factor and that prior successful treatment of malignancy does not negate the risk.</w:t>
      </w:r>
    </w:p>
    <w:p w14:paraId="518EB421" w14:textId="77777777" w:rsidR="00744965" w:rsidRPr="00744965" w:rsidRDefault="00744965" w:rsidP="002E6F05">
      <w:r w:rsidRPr="00744965">
        <w:t>The ACM commented that the risks of MACE and VTE could potentially be somewhat mitigated by prophylactic measures such as precautionary statements in the PI and CMI.</w:t>
      </w:r>
    </w:p>
    <w:p w14:paraId="6AA13419" w14:textId="77777777" w:rsidR="00744965" w:rsidRPr="002E6F05" w:rsidRDefault="00744965" w:rsidP="002E6F05">
      <w:pPr>
        <w:rPr>
          <w:b/>
          <w:bCs/>
        </w:rPr>
      </w:pPr>
      <w:r w:rsidRPr="002E6F05">
        <w:rPr>
          <w:b/>
          <w:bCs/>
        </w:rPr>
        <w:t>ACM Conclusion - December 2021</w:t>
      </w:r>
    </w:p>
    <w:p w14:paraId="45588251" w14:textId="77777777" w:rsidR="00744965" w:rsidRPr="00744965" w:rsidRDefault="00744965" w:rsidP="002E6F05">
      <w:r w:rsidRPr="00744965">
        <w:t>The proposed indication considered by the ACM was:</w:t>
      </w:r>
    </w:p>
    <w:p w14:paraId="6F8C3218" w14:textId="6E2FAE5A" w:rsidR="00744965" w:rsidRPr="002E6F05" w:rsidRDefault="00744965" w:rsidP="002E6F05">
      <w:pPr>
        <w:rPr>
          <w:i/>
          <w:iCs/>
        </w:rPr>
      </w:pPr>
      <w:r w:rsidRPr="002E6F05">
        <w:rPr>
          <w:i/>
          <w:iCs/>
        </w:rPr>
        <w:t>“</w:t>
      </w:r>
      <w:proofErr w:type="spellStart"/>
      <w:r w:rsidRPr="002E6F05">
        <w:rPr>
          <w:i/>
          <w:iCs/>
        </w:rPr>
        <w:t>Cibinqo</w:t>
      </w:r>
      <w:proofErr w:type="spellEnd"/>
      <w:r w:rsidRPr="002E6F05">
        <w:rPr>
          <w:i/>
          <w:iCs/>
        </w:rPr>
        <w:t xml:space="preserve"> is indicated for the treatment of patients 12 years of age and older with moderate-to-severe atopic dermatitis, including the relief of pruritus, who have had an inadequate response to prescribed topical therapy or for whom these treatments are not advisable. </w:t>
      </w:r>
      <w:proofErr w:type="spellStart"/>
      <w:r w:rsidRPr="002E6F05">
        <w:rPr>
          <w:i/>
          <w:iCs/>
        </w:rPr>
        <w:t>Cibinqo</w:t>
      </w:r>
      <w:proofErr w:type="spellEnd"/>
      <w:r w:rsidRPr="002E6F05">
        <w:rPr>
          <w:i/>
          <w:iCs/>
        </w:rPr>
        <w:t xml:space="preserve"> can be used with or without medicated topical therapies for atopic dermatitis”.</w:t>
      </w:r>
    </w:p>
    <w:p w14:paraId="706AA64C" w14:textId="77777777" w:rsidR="00744965" w:rsidRPr="00744965" w:rsidRDefault="00744965" w:rsidP="002E6F05">
      <w:r w:rsidRPr="00744965">
        <w:t xml:space="preserve">The ACM agreed that </w:t>
      </w:r>
      <w:proofErr w:type="spellStart"/>
      <w:r w:rsidRPr="00744965">
        <w:t>Cibinqo</w:t>
      </w:r>
      <w:proofErr w:type="spellEnd"/>
      <w:r w:rsidRPr="00744965">
        <w:t xml:space="preserve"> had an overall negative benefit-risk profile for the proposed indication as the evidence submitted did not satisfactorily establish the risk benefit profile of the product. The ACM expressed concern about the safety profile of </w:t>
      </w:r>
      <w:proofErr w:type="spellStart"/>
      <w:r w:rsidRPr="00744965">
        <w:t>abrocitinib</w:t>
      </w:r>
      <w:proofErr w:type="spellEnd"/>
      <w:r w:rsidRPr="00744965">
        <w:t xml:space="preserve">, </w:t>
      </w:r>
      <w:proofErr w:type="gramStart"/>
      <w:r w:rsidRPr="00744965">
        <w:t>in particular the</w:t>
      </w:r>
      <w:proofErr w:type="gramEnd"/>
      <w:r w:rsidRPr="00744965">
        <w:t xml:space="preserve"> clinical malignancy findings and the nonclinical uncertainties. The ACM also highlighted the lack of unmet clinical need in atopic dermatitis.</w:t>
      </w:r>
    </w:p>
    <w:p w14:paraId="467A9AE2" w14:textId="77777777" w:rsidR="00744965" w:rsidRPr="00744965" w:rsidRDefault="00744965" w:rsidP="002E6F05">
      <w:pPr>
        <w:pStyle w:val="Heading3"/>
      </w:pPr>
      <w:bookmarkStart w:id="88" w:name="_Toc172967104"/>
      <w:bookmarkStart w:id="89" w:name="_Toc173925449"/>
      <w:r w:rsidRPr="00744965">
        <w:t>Risk/</w:t>
      </w:r>
      <w:r w:rsidRPr="002E6F05">
        <w:t>benefit</w:t>
      </w:r>
      <w:r w:rsidRPr="00744965">
        <w:t xml:space="preserve"> assessment post-ACM December 2021</w:t>
      </w:r>
      <w:bookmarkEnd w:id="88"/>
      <w:bookmarkEnd w:id="89"/>
    </w:p>
    <w:p w14:paraId="6894B1E1" w14:textId="2D76F469" w:rsidR="00744965" w:rsidRPr="00744965" w:rsidRDefault="00744965" w:rsidP="002E6F05">
      <w:r w:rsidRPr="00744965">
        <w:t>Further to the Delegate’s proposed decision to reject this application, the Sponsor requested to re-consider a modified (proposed) indication, along with additional PI changes. The adolescent age group was removed from the targeted patient population.</w:t>
      </w:r>
    </w:p>
    <w:p w14:paraId="2B790684" w14:textId="77777777" w:rsidR="00744965" w:rsidRPr="00744965" w:rsidRDefault="00744965" w:rsidP="002E6F05">
      <w:r w:rsidRPr="00744965">
        <w:t>The Sponsor’s modified (proposed) indication was:</w:t>
      </w:r>
    </w:p>
    <w:p w14:paraId="5CFBC081" w14:textId="6CE8DD6F" w:rsidR="00744965" w:rsidRPr="002E6F05" w:rsidRDefault="00744965" w:rsidP="002E6F05">
      <w:pPr>
        <w:ind w:left="720"/>
        <w:rPr>
          <w:i/>
          <w:iCs/>
        </w:rPr>
      </w:pPr>
      <w:r w:rsidRPr="002E6F05">
        <w:rPr>
          <w:i/>
          <w:iCs/>
        </w:rPr>
        <w:t>“</w:t>
      </w:r>
      <w:proofErr w:type="spellStart"/>
      <w:r w:rsidRPr="002E6F05">
        <w:rPr>
          <w:i/>
          <w:iCs/>
        </w:rPr>
        <w:t>Cibinqo</w:t>
      </w:r>
      <w:proofErr w:type="spellEnd"/>
      <w:r w:rsidRPr="002E6F05">
        <w:rPr>
          <w:i/>
          <w:iCs/>
        </w:rPr>
        <w:t xml:space="preserve"> is indicated for the treatment of moderate-to-severe atopic dermatitis in adults who are candidates for systemic therapy. </w:t>
      </w:r>
      <w:proofErr w:type="spellStart"/>
      <w:r w:rsidRPr="002E6F05">
        <w:rPr>
          <w:i/>
          <w:iCs/>
        </w:rPr>
        <w:t>Cibinqo</w:t>
      </w:r>
      <w:proofErr w:type="spellEnd"/>
      <w:r w:rsidRPr="002E6F05">
        <w:rPr>
          <w:i/>
          <w:iCs/>
        </w:rPr>
        <w:t xml:space="preserve"> can be used with or without medicated topical therapies for atopic </w:t>
      </w:r>
      <w:r w:rsidR="002E6F05" w:rsidRPr="002E6F05">
        <w:rPr>
          <w:i/>
          <w:iCs/>
        </w:rPr>
        <w:t>dermatitis”.</w:t>
      </w:r>
    </w:p>
    <w:p w14:paraId="41150ACD" w14:textId="77777777" w:rsidR="00744965" w:rsidRPr="00744965" w:rsidRDefault="00744965" w:rsidP="002E6F05">
      <w:r w:rsidRPr="00744965">
        <w:t>The Delegate reviewed the data in consideration of the revised indication.</w:t>
      </w:r>
    </w:p>
    <w:p w14:paraId="08EFF934" w14:textId="77777777" w:rsidR="00744965" w:rsidRPr="002E6F05" w:rsidRDefault="00744965" w:rsidP="002E6F05">
      <w:pPr>
        <w:rPr>
          <w:b/>
          <w:bCs/>
          <w:i/>
          <w:iCs/>
        </w:rPr>
      </w:pPr>
      <w:r w:rsidRPr="002E6F05">
        <w:rPr>
          <w:b/>
          <w:bCs/>
          <w:i/>
          <w:iCs/>
        </w:rPr>
        <w:t>Efficacy</w:t>
      </w:r>
    </w:p>
    <w:p w14:paraId="79380126" w14:textId="5745F8D5" w:rsidR="00744965" w:rsidRPr="002E6F05" w:rsidRDefault="00744965" w:rsidP="002E6F05">
      <w:r w:rsidRPr="00744965">
        <w:t xml:space="preserve">The Delegate has considered the greater overall improvement in the signs and symptoms of AD following 12-weeks duration of treatment with </w:t>
      </w:r>
      <w:proofErr w:type="spellStart"/>
      <w:r w:rsidRPr="00744965">
        <w:t>abrocitinib</w:t>
      </w:r>
      <w:proofErr w:type="spellEnd"/>
      <w:r w:rsidRPr="00744965">
        <w:t>, compared with placebo. The pivotal studies met co-primary endpoints and key secondary endpoints</w:t>
      </w:r>
      <w:r w:rsidRPr="002E6F05">
        <w:t>.</w:t>
      </w:r>
    </w:p>
    <w:p w14:paraId="74911705" w14:textId="77777777" w:rsidR="00744965" w:rsidRPr="002E6F05" w:rsidRDefault="00744965" w:rsidP="002E6F05">
      <w:pPr>
        <w:rPr>
          <w:b/>
          <w:bCs/>
          <w:i/>
          <w:iCs/>
        </w:rPr>
      </w:pPr>
      <w:r w:rsidRPr="002E6F05">
        <w:rPr>
          <w:b/>
          <w:bCs/>
          <w:i/>
          <w:iCs/>
        </w:rPr>
        <w:t>Safety</w:t>
      </w:r>
    </w:p>
    <w:p w14:paraId="7D2D23B5" w14:textId="6723352A" w:rsidR="00744965" w:rsidRPr="00744965" w:rsidRDefault="00744965" w:rsidP="002E6F05">
      <w:pPr>
        <w:rPr>
          <w:i/>
          <w:iCs/>
        </w:rPr>
      </w:pPr>
      <w:r w:rsidRPr="00744965">
        <w:t xml:space="preserve">Non-clinical findings, along with the events of carcinogenicity that were reported across clinical studies were the basis of the concerns regarding the carcinogenicity events. The non-clinical Evaluator concluded that: </w:t>
      </w:r>
      <w:r w:rsidRPr="00744965">
        <w:rPr>
          <w:i/>
          <w:iCs/>
        </w:rPr>
        <w:t>Benign thymomas have been reported in rat carcinogenicity studies with other immunosuppressive agents (tofacitinib and pimecrolimus), but adequate safety margins were demonstrated for both drugs. As there is no safety margin for tumours with</w:t>
      </w:r>
      <w:r w:rsidRPr="00744965">
        <w:t xml:space="preserve"> </w:t>
      </w:r>
      <w:proofErr w:type="spellStart"/>
      <w:r w:rsidRPr="00744965">
        <w:rPr>
          <w:i/>
          <w:iCs/>
        </w:rPr>
        <w:t>abrocitinib</w:t>
      </w:r>
      <w:proofErr w:type="spellEnd"/>
      <w:r w:rsidRPr="00744965">
        <w:rPr>
          <w:i/>
          <w:iCs/>
        </w:rPr>
        <w:t xml:space="preserve"> and </w:t>
      </w:r>
      <w:r w:rsidRPr="00744965">
        <w:rPr>
          <w:i/>
          <w:iCs/>
        </w:rPr>
        <w:lastRenderedPageBreak/>
        <w:t>there are limitations with the submitted carcinogenicity studies, suggesting carcinogenicity risk has not been adequately assessed, registration is not supported for the intended indication in the intended patient group.</w:t>
      </w:r>
    </w:p>
    <w:p w14:paraId="47BFD190" w14:textId="0ADE6D6F" w:rsidR="00744965" w:rsidRPr="00744965" w:rsidRDefault="00744965" w:rsidP="002E6F05">
      <w:r w:rsidRPr="00744965">
        <w:t>No new data was submitted to address the limitations that were highlighted by the non-clinical Evaluator.</w:t>
      </w:r>
    </w:p>
    <w:p w14:paraId="24D75010" w14:textId="77777777" w:rsidR="00744965" w:rsidRPr="00744965" w:rsidRDefault="00744965" w:rsidP="002E6F05">
      <w:r w:rsidRPr="00744965">
        <w:t xml:space="preserve">The Sponsor has highlighted </w:t>
      </w:r>
      <w:proofErr w:type="spellStart"/>
      <w:r w:rsidRPr="00744965">
        <w:t>abrocitinib</w:t>
      </w:r>
      <w:proofErr w:type="spellEnd"/>
      <w:r w:rsidRPr="00744965">
        <w:t xml:space="preserve"> as a non-genotoxic drug and in that regard, the non-clinical characterisation is adequate. The Sponsor has supported this argument with the following:</w:t>
      </w:r>
    </w:p>
    <w:p w14:paraId="73274BFA" w14:textId="77777777" w:rsidR="00744965" w:rsidRPr="00744965" w:rsidRDefault="00744965" w:rsidP="002E6F05">
      <w:pPr>
        <w:pStyle w:val="ListBullet"/>
      </w:pPr>
      <w:r w:rsidRPr="00744965">
        <w:t>Established a maximal tolerated dose.</w:t>
      </w:r>
    </w:p>
    <w:p w14:paraId="459AB1AD" w14:textId="77777777" w:rsidR="00744965" w:rsidRPr="00744965" w:rsidRDefault="00744965" w:rsidP="002E6F05">
      <w:pPr>
        <w:pStyle w:val="ListBullet"/>
      </w:pPr>
      <w:r w:rsidRPr="00744965">
        <w:t>Achieved exposures well above that of the maximum recommended human dose (MRHD) of 200 mg once daily in rats and demonstrated a dose-response for thymoma (not clinically relevant), and</w:t>
      </w:r>
    </w:p>
    <w:p w14:paraId="5A9F1D6D" w14:textId="77777777" w:rsidR="00744965" w:rsidRPr="00744965" w:rsidRDefault="00744965" w:rsidP="002E6F05">
      <w:pPr>
        <w:pStyle w:val="ListBullet"/>
      </w:pPr>
      <w:r w:rsidRPr="00744965">
        <w:t>Comparability with assessment of approved JAK inhibitors in the same class.</w:t>
      </w:r>
    </w:p>
    <w:p w14:paraId="2538C7CD" w14:textId="77777777" w:rsidR="00744965" w:rsidRPr="00744965" w:rsidRDefault="00744965" w:rsidP="002E6F05">
      <w:r w:rsidRPr="00744965">
        <w:t>The non-clinical Evaluator considered the details submitted and has concluded that the recommendation to reject this application still stands.</w:t>
      </w:r>
    </w:p>
    <w:p w14:paraId="0E55B7DA" w14:textId="7764E168" w:rsidR="00744965" w:rsidRPr="00744965" w:rsidRDefault="00744965" w:rsidP="002E6F05">
      <w:r w:rsidRPr="00744965">
        <w:t xml:space="preserve">The Sponsor considers that </w:t>
      </w:r>
      <w:proofErr w:type="spellStart"/>
      <w:r w:rsidRPr="002E6F05">
        <w:rPr>
          <w:i/>
          <w:iCs/>
        </w:rPr>
        <w:t>abrocitinib’s</w:t>
      </w:r>
      <w:proofErr w:type="spellEnd"/>
      <w:r w:rsidRPr="002E6F05">
        <w:rPr>
          <w:i/>
          <w:iCs/>
        </w:rPr>
        <w:t xml:space="preserve"> carcinogenicity profile is adequately defined and the observed incidence is consistent with other JAK inhibitors approved for treatment of AD</w:t>
      </w:r>
      <w:r w:rsidRPr="00744965">
        <w:t xml:space="preserve">. The Delegate agrees that carcinogenicity has been reported in clinical studies with other JAK inhibitors. The Delegate has also noted that FDA has imposed precautionary statements and boxed warnings to highlight malignancy, along with other treatment-related risks in the PIs of JAK inhibitors, including </w:t>
      </w:r>
      <w:proofErr w:type="spellStart"/>
      <w:r w:rsidRPr="00744965">
        <w:t>abrocitinib</w:t>
      </w:r>
      <w:proofErr w:type="spellEnd"/>
      <w:r w:rsidRPr="00744965">
        <w:t>. If approved, the Delegate considers that a similar approach with the proposed PI might be able to mitigate the risks associated with carcinogenicity to a certain extent.</w:t>
      </w:r>
    </w:p>
    <w:p w14:paraId="097AD867" w14:textId="77777777" w:rsidR="00744965" w:rsidRPr="00744965" w:rsidRDefault="00744965" w:rsidP="002E6F05">
      <w:r w:rsidRPr="00744965">
        <w:t xml:space="preserve">In line with the proposed indication that included adolescents and the safety signals related to carcinogenicity, from a clinical perspective, the potential prolonged use in adolescents was highlighted by the ACM as a critical safety issue. The revised (proposed) indication does not include adolescents and may </w:t>
      </w:r>
      <w:proofErr w:type="gramStart"/>
      <w:r w:rsidRPr="00744965">
        <w:t>have an effect on</w:t>
      </w:r>
      <w:proofErr w:type="gramEnd"/>
      <w:r w:rsidRPr="00744965">
        <w:t xml:space="preserve"> the benefit-risk profile; hence warrants reassessment. Based on short term data, no apparent dose-dependent effects were noted for carcinogenicity. Long-term effects are unknown. Dose-related changes are recommended in the PI. The ACM agreed with the Delegate regarding the fact that all the carcinogenicity events in the clinical studies were reported in subjects with no prior history or risk factors and that prior successful treatment of malignancy does not negate the risk. In consideration of these aspects, if approvable, further PI changes will also be recommended in the precaution and adverse events sections of the PI.</w:t>
      </w:r>
    </w:p>
    <w:p w14:paraId="48CC8F5B" w14:textId="77777777" w:rsidR="00744965" w:rsidRPr="00744965" w:rsidRDefault="00744965" w:rsidP="002E6F05">
      <w:pPr>
        <w:rPr>
          <w:b/>
          <w:bCs/>
        </w:rPr>
      </w:pPr>
      <w:r w:rsidRPr="00744965">
        <w:t>The Delegate considers that excluding the adolescent patient population from the proposed indication has also addressed one of the critical safety concerns (potential treatment-related effect on vertebral growth). However, the dose dependent increase of MACE events that was noted across clinical studies is still a safety concern. The Delegate has recommended dosage-related PI changes to mitigate this risk to a certain extent.</w:t>
      </w:r>
    </w:p>
    <w:p w14:paraId="6AA468C7" w14:textId="454D13DD" w:rsidR="00744965" w:rsidRPr="002E6F05" w:rsidRDefault="00744965" w:rsidP="002E6F05">
      <w:pPr>
        <w:rPr>
          <w:b/>
          <w:bCs/>
        </w:rPr>
      </w:pPr>
      <w:r w:rsidRPr="002E6F05">
        <w:rPr>
          <w:b/>
          <w:bCs/>
        </w:rPr>
        <w:t>Summary</w:t>
      </w:r>
    </w:p>
    <w:p w14:paraId="40548883" w14:textId="77777777" w:rsidR="00744965" w:rsidRPr="00744965" w:rsidRDefault="00744965" w:rsidP="002E6F05">
      <w:r w:rsidRPr="00744965">
        <w:t xml:space="preserve">Considering the safety issues and uncertainties that are still present, </w:t>
      </w:r>
      <w:proofErr w:type="gramStart"/>
      <w:r w:rsidRPr="00744965">
        <w:t>at this point in time</w:t>
      </w:r>
      <w:proofErr w:type="gramEnd"/>
      <w:r w:rsidRPr="00744965">
        <w:t xml:space="preserve">, based on the data provided, the Delegate has concluded a negative benefit-risk balance for the use of </w:t>
      </w:r>
      <w:proofErr w:type="spellStart"/>
      <w:r w:rsidRPr="00744965">
        <w:t>abrocitinib</w:t>
      </w:r>
      <w:proofErr w:type="spellEnd"/>
      <w:r w:rsidRPr="00744965">
        <w:t xml:space="preserve"> for the Sponsor’s revised (broad) indication for use in adults and for the use of 200 mg </w:t>
      </w:r>
      <w:proofErr w:type="spellStart"/>
      <w:r w:rsidRPr="00744965">
        <w:t>abrocitinib</w:t>
      </w:r>
      <w:proofErr w:type="spellEnd"/>
      <w:r w:rsidRPr="00744965">
        <w:t xml:space="preserve"> as the starting dose.</w:t>
      </w:r>
    </w:p>
    <w:p w14:paraId="0605EADA" w14:textId="77777777" w:rsidR="00744965" w:rsidRPr="00744965" w:rsidRDefault="00744965" w:rsidP="00744965">
      <w:r w:rsidRPr="00744965">
        <w:t xml:space="preserve">The Delegate has considered the greater treatment benefits of </w:t>
      </w:r>
      <w:proofErr w:type="spellStart"/>
      <w:r w:rsidRPr="00744965">
        <w:t>abrocitinib</w:t>
      </w:r>
      <w:proofErr w:type="spellEnd"/>
      <w:r w:rsidRPr="00744965">
        <w:t xml:space="preserve"> that was demonstrated across clinical studies, compared to placebo and the risk profile, based on the m…</w:t>
      </w:r>
    </w:p>
    <w:p w14:paraId="2C0F57D5" w14:textId="77777777" w:rsidR="00744965" w:rsidRPr="002E6F05" w:rsidRDefault="00744965" w:rsidP="002E6F05">
      <w:pPr>
        <w:rPr>
          <w:b/>
          <w:bCs/>
        </w:rPr>
      </w:pPr>
      <w:r w:rsidRPr="002E6F05">
        <w:rPr>
          <w:b/>
          <w:bCs/>
        </w:rPr>
        <w:lastRenderedPageBreak/>
        <w:t>Conclusion</w:t>
      </w:r>
    </w:p>
    <w:p w14:paraId="63A9476A" w14:textId="4098D257" w:rsidR="00744965" w:rsidRPr="00744965" w:rsidRDefault="00744965" w:rsidP="002E6F05">
      <w:r w:rsidRPr="00744965">
        <w:t>In consideration of all the above facts and a revised risk-benefit assessment, the Delegate has proposed a revised indication, subject to ACM’s advice, as below:</w:t>
      </w:r>
    </w:p>
    <w:p w14:paraId="7025A0D2" w14:textId="721AA09E" w:rsidR="00744965" w:rsidRPr="002E6F05" w:rsidRDefault="00744965" w:rsidP="002E6F05">
      <w:pPr>
        <w:rPr>
          <w:i/>
          <w:iCs/>
        </w:rPr>
      </w:pPr>
      <w:r w:rsidRPr="002E6F05">
        <w:rPr>
          <w:i/>
          <w:iCs/>
        </w:rPr>
        <w:t>“</w:t>
      </w:r>
      <w:proofErr w:type="spellStart"/>
      <w:r w:rsidRPr="002E6F05">
        <w:rPr>
          <w:i/>
          <w:iCs/>
        </w:rPr>
        <w:t>Cibinqo</w:t>
      </w:r>
      <w:proofErr w:type="spellEnd"/>
      <w:r w:rsidRPr="002E6F05">
        <w:rPr>
          <w:i/>
          <w:iCs/>
        </w:rPr>
        <w:t xml:space="preserve"> is indicated for the treatment of adults with refractory, moderate-to-severe atopic dermatitis whose disease is not adequately controlled with other systemic drug products, including biological medicines, or when use of those therapies is inadvisable.”</w:t>
      </w:r>
    </w:p>
    <w:p w14:paraId="6E978708" w14:textId="77777777" w:rsidR="00744965" w:rsidRPr="00744965" w:rsidRDefault="00744965" w:rsidP="002E6F05">
      <w:r w:rsidRPr="00744965">
        <w:t xml:space="preserve">The Delegate concludes that the use of </w:t>
      </w:r>
      <w:proofErr w:type="spellStart"/>
      <w:r w:rsidRPr="00744965">
        <w:t>abrocitinib</w:t>
      </w:r>
      <w:proofErr w:type="spellEnd"/>
      <w:r w:rsidRPr="00744965">
        <w:t xml:space="preserve"> needs to be further restricted to a targeted patient population, along with restricted use of 200mg </w:t>
      </w:r>
      <w:proofErr w:type="spellStart"/>
      <w:r w:rsidRPr="00744965">
        <w:t>abrocitinib</w:t>
      </w:r>
      <w:proofErr w:type="spellEnd"/>
      <w:r w:rsidRPr="00744965">
        <w:t>.</w:t>
      </w:r>
    </w:p>
    <w:p w14:paraId="462429BA" w14:textId="7525AD40" w:rsidR="00744965" w:rsidRPr="00744965" w:rsidRDefault="00744965" w:rsidP="002E6F05">
      <w:r w:rsidRPr="00744965">
        <w:t xml:space="preserve">The Delegate has considered the greater treatment benefit with 200 mg, compared to 100mg </w:t>
      </w:r>
      <w:proofErr w:type="spellStart"/>
      <w:r w:rsidRPr="00744965">
        <w:t>abrocitinib</w:t>
      </w:r>
      <w:proofErr w:type="spellEnd"/>
      <w:r w:rsidRPr="00744965">
        <w:t xml:space="preserve"> across clinical studies. The dose-dependent MACE events that were reported was also noted. Taken together, the Delegate recommends restriction of the use of 200mg </w:t>
      </w:r>
      <w:proofErr w:type="spellStart"/>
      <w:r w:rsidRPr="00744965">
        <w:t>abrocitinib</w:t>
      </w:r>
      <w:proofErr w:type="spellEnd"/>
      <w:r w:rsidRPr="00744965">
        <w:t xml:space="preserve"> to those patients not responding to 12 weeks treatment with 100 mg </w:t>
      </w:r>
      <w:proofErr w:type="spellStart"/>
      <w:r w:rsidRPr="00744965">
        <w:t>abrocitinib</w:t>
      </w:r>
      <w:proofErr w:type="spellEnd"/>
      <w:r w:rsidRPr="00744965">
        <w:t>.</w:t>
      </w:r>
    </w:p>
    <w:p w14:paraId="7461AD18" w14:textId="77777777" w:rsidR="00744965" w:rsidRPr="00744965" w:rsidRDefault="00744965" w:rsidP="002E6F05">
      <w:r w:rsidRPr="00744965">
        <w:t xml:space="preserve">100mg is recommended as the starting dose and 200 mg </w:t>
      </w:r>
      <w:proofErr w:type="spellStart"/>
      <w:r w:rsidRPr="00744965">
        <w:t>abrocitinib</w:t>
      </w:r>
      <w:proofErr w:type="spellEnd"/>
      <w:r w:rsidRPr="00744965">
        <w:t xml:space="preserve"> should only be used in patients not responding to treatment with 100 mg dose for 12 weeks and will be recommended to down-titrate to 100mg dose once a clinical response is achieved. Treatment with 200mg </w:t>
      </w:r>
      <w:proofErr w:type="spellStart"/>
      <w:r w:rsidRPr="00744965">
        <w:t>abrocitinib</w:t>
      </w:r>
      <w:proofErr w:type="spellEnd"/>
      <w:r w:rsidRPr="00744965">
        <w:t xml:space="preserve"> is recommended to be discontinued if no treatment response is achieved after 12 weeks of treatment. Maximum recommended daily dose is 200mg. Lowest effective dose should be considered. At any stage, treatment with 200mg is recommended only if the prescriber considers that the treatment benefit outweighs the associated risk. These measures are in addition to the PI statements that describes the dose dependent adverse effects.</w:t>
      </w:r>
    </w:p>
    <w:p w14:paraId="623A5A77" w14:textId="77777777" w:rsidR="00744965" w:rsidRPr="00744965" w:rsidRDefault="00744965" w:rsidP="002E6F05">
      <w:r w:rsidRPr="00744965">
        <w:t>The Delegate proposed a modified indication and PI changes and sought ACM advice.</w:t>
      </w:r>
    </w:p>
    <w:p w14:paraId="73AD8508" w14:textId="77777777" w:rsidR="00744965" w:rsidRPr="00744965" w:rsidRDefault="00744965" w:rsidP="002E6F05">
      <w:pPr>
        <w:pStyle w:val="Heading3"/>
      </w:pPr>
      <w:bookmarkStart w:id="90" w:name="_Toc172967105"/>
      <w:bookmarkStart w:id="91" w:name="_Toc173925450"/>
      <w:r w:rsidRPr="00744965">
        <w:t xml:space="preserve">Advisory Committee </w:t>
      </w:r>
      <w:r w:rsidRPr="002E6F05">
        <w:t>considerations</w:t>
      </w:r>
      <w:r w:rsidRPr="00744965">
        <w:t xml:space="preserve"> – April 2022</w:t>
      </w:r>
      <w:bookmarkEnd w:id="90"/>
      <w:bookmarkEnd w:id="91"/>
    </w:p>
    <w:p w14:paraId="62D58322" w14:textId="77777777" w:rsidR="00744965" w:rsidRPr="00744965" w:rsidRDefault="00744965" w:rsidP="002E6F05">
      <w:r w:rsidRPr="00744965">
        <w:t>The ACM advised the following in response to the Delegate’s specific request for advice:</w:t>
      </w:r>
    </w:p>
    <w:p w14:paraId="341499AD" w14:textId="77777777" w:rsidR="00744965" w:rsidRPr="002E6F05" w:rsidRDefault="00744965" w:rsidP="002E6F05">
      <w:pPr>
        <w:pStyle w:val="Numberbullet0"/>
        <w:numPr>
          <w:ilvl w:val="0"/>
          <w:numId w:val="38"/>
        </w:numPr>
        <w:rPr>
          <w:b/>
          <w:bCs/>
          <w:i/>
          <w:iCs/>
        </w:rPr>
      </w:pPr>
      <w:r w:rsidRPr="002E6F05">
        <w:rPr>
          <w:b/>
          <w:bCs/>
          <w:i/>
          <w:iCs/>
        </w:rPr>
        <w:t xml:space="preserve">Please comment on the safety profile of </w:t>
      </w:r>
      <w:proofErr w:type="spellStart"/>
      <w:r w:rsidRPr="002E6F05">
        <w:rPr>
          <w:b/>
          <w:bCs/>
          <w:i/>
          <w:iCs/>
        </w:rPr>
        <w:t>abrocitinib</w:t>
      </w:r>
      <w:proofErr w:type="spellEnd"/>
      <w:r w:rsidRPr="002E6F05">
        <w:rPr>
          <w:b/>
          <w:bCs/>
          <w:i/>
          <w:iCs/>
        </w:rPr>
        <w:t xml:space="preserve"> for the revised indication for use in adults.</w:t>
      </w:r>
    </w:p>
    <w:p w14:paraId="15585206" w14:textId="77777777" w:rsidR="00744965" w:rsidRPr="00744965" w:rsidRDefault="00744965" w:rsidP="002E6F05">
      <w:r w:rsidRPr="00744965">
        <w:t xml:space="preserve">The ACM reiterated their previous concerns regarding the safety profile of </w:t>
      </w:r>
      <w:proofErr w:type="spellStart"/>
      <w:r w:rsidRPr="00744965">
        <w:t>Cibinqo</w:t>
      </w:r>
      <w:proofErr w:type="spellEnd"/>
      <w:r w:rsidRPr="00744965">
        <w:t xml:space="preserve">, particularly in relation to the uncertainties regarding the risk of MACE, VTE and malignancy. The ACM commented that the pooled safety data is mostly limited to short term studies up to 12 weeks duration which is an insufficient length of exposure to determine the true effects of this therapy on the cardiovascular system (CVS) and malignancy. However, it was clarified that a Phase 3 long-term extension study of ≥ 48 weeks duration of treatment exposure with </w:t>
      </w:r>
      <w:proofErr w:type="spellStart"/>
      <w:r w:rsidRPr="00744965">
        <w:t>abrocitinib</w:t>
      </w:r>
      <w:proofErr w:type="spellEnd"/>
      <w:r w:rsidRPr="00744965">
        <w:t xml:space="preserve"> was included in the dossier.</w:t>
      </w:r>
    </w:p>
    <w:p w14:paraId="784F714A" w14:textId="77777777" w:rsidR="00744965" w:rsidRPr="00744965" w:rsidRDefault="00744965" w:rsidP="002E6F05">
      <w:r w:rsidRPr="00744965">
        <w:t>The ACM agreed that the mechanism of action for CVS side effects is unknown, although cholesterol increase is likely to play a role.</w:t>
      </w:r>
    </w:p>
    <w:p w14:paraId="1ABA1E2B" w14:textId="77777777" w:rsidR="00744965" w:rsidRPr="00744965" w:rsidRDefault="00744965" w:rsidP="002E6F05">
      <w:r w:rsidRPr="00744965">
        <w:t>The ACM again advised that the malignancy risk has been poorly defined and that the dose-dependent risk for malignancy has not been well established.</w:t>
      </w:r>
    </w:p>
    <w:p w14:paraId="71241BE1" w14:textId="77777777" w:rsidR="00744965" w:rsidRPr="00744965" w:rsidRDefault="00744965" w:rsidP="002E6F05">
      <w:proofErr w:type="gramStart"/>
      <w:r w:rsidRPr="00744965">
        <w:t>In regard to</w:t>
      </w:r>
      <w:proofErr w:type="gramEnd"/>
      <w:r w:rsidRPr="00744965">
        <w:t xml:space="preserve"> carcinogenicity findings in the nonclinical studies, the ACM reiterated their view that failure to achieve ×25 exposure ratio based on the area under the curve (ER</w:t>
      </w:r>
      <w:r w:rsidRPr="00744965">
        <w:rPr>
          <w:vertAlign w:val="subscript"/>
        </w:rPr>
        <w:t>AUC</w:t>
      </w:r>
      <w:r w:rsidRPr="00744965">
        <w:t>) in rodent carcinogenesis assays should not preclude registration and that the thymomas observed in female rats are of some concern but may not be clinically relevant.</w:t>
      </w:r>
    </w:p>
    <w:p w14:paraId="114E72CA" w14:textId="77777777" w:rsidR="00744965" w:rsidRPr="00744965" w:rsidRDefault="00744965" w:rsidP="002E6F05">
      <w:r w:rsidRPr="00744965">
        <w:t xml:space="preserve">Despite these uncertainties, the ACM commented that the potential benefit for a small subgroup of patients may justify the risks when considered on an individual basis and in discussion </w:t>
      </w:r>
      <w:r w:rsidRPr="00744965">
        <w:lastRenderedPageBreak/>
        <w:t>between the doctor and the patient, inclusive of a signed contract of care (see advice to Question 2, below).</w:t>
      </w:r>
    </w:p>
    <w:p w14:paraId="0996602A" w14:textId="77777777" w:rsidR="00744965" w:rsidRPr="00744965" w:rsidRDefault="00744965" w:rsidP="002E6F05">
      <w:r w:rsidRPr="00744965">
        <w:t>The ACM discussed the recent cardiovascular safety signal with JAK inhibitors as a class effect and advised that further investigations of this signal may inform an effective way of understanding this risk across the class, including CINIBQO.</w:t>
      </w:r>
    </w:p>
    <w:p w14:paraId="68F3E83F" w14:textId="77777777" w:rsidR="00744965" w:rsidRPr="002E6F05" w:rsidRDefault="00744965" w:rsidP="002E6F05">
      <w:pPr>
        <w:pStyle w:val="Numberbullet0"/>
        <w:rPr>
          <w:b/>
          <w:bCs/>
          <w:i/>
          <w:iCs/>
        </w:rPr>
      </w:pPr>
      <w:r w:rsidRPr="002E6F05">
        <w:rPr>
          <w:b/>
          <w:bCs/>
          <w:i/>
          <w:iCs/>
        </w:rPr>
        <w:t xml:space="preserve">In consideration of the Sponsor’s revised indication, does the ACM consider the risks associated with the treatment with </w:t>
      </w:r>
      <w:proofErr w:type="spellStart"/>
      <w:r w:rsidRPr="002E6F05">
        <w:rPr>
          <w:b/>
          <w:bCs/>
          <w:i/>
          <w:iCs/>
        </w:rPr>
        <w:t>Cibinqo</w:t>
      </w:r>
      <w:proofErr w:type="spellEnd"/>
      <w:r w:rsidRPr="002E6F05">
        <w:rPr>
          <w:b/>
          <w:bCs/>
          <w:i/>
          <w:iCs/>
        </w:rPr>
        <w:t xml:space="preserve"> still outweigh the benefits. If so, what is the ACM’s advice regarding the Delegate’s suggested indication?</w:t>
      </w:r>
    </w:p>
    <w:p w14:paraId="7021B38B" w14:textId="77777777" w:rsidR="00744965" w:rsidRPr="00744965" w:rsidRDefault="00744965" w:rsidP="002E6F05">
      <w:r w:rsidRPr="00744965">
        <w:t>The ACM cited several uncertainties for the proposed revised indication including limited evidence of an unmet clinical need, higher incidence of nausea and VTE events in the 200 mg arm, compared to 100 mg arm, poorly defined malignancy risk, and uncertainties regarding CVS risks. The ACM highlighted that atopic dermatitis is predominately a disease of the younger age group that is mostly self-limiting with age, with approximately 10% of childhood atopic dermatitis continuing to adulthood.</w:t>
      </w:r>
    </w:p>
    <w:p w14:paraId="57F1C299" w14:textId="77777777" w:rsidR="00744965" w:rsidRPr="00744965" w:rsidRDefault="00744965" w:rsidP="002E6F05">
      <w:r w:rsidRPr="00744965">
        <w:t>However, the ACM acknowledged that a small subgroup of adults with refractory moderate to severe disease may benefit from having an additional treatment option, noting the negative impacts severe manifestations of this disease can have on quality of life. The ACM advised that the risk benefit profile for these patients will need to be considered in the context of the uncertainties with the safety profile.</w:t>
      </w:r>
    </w:p>
    <w:p w14:paraId="70C33F05" w14:textId="77E9305B" w:rsidR="00744965" w:rsidRPr="00744965" w:rsidRDefault="00744965" w:rsidP="002E6F05">
      <w:r w:rsidRPr="00744965">
        <w:t xml:space="preserve">The ACM strongly emphasised that due to the uncertainties in the safety profile </w:t>
      </w:r>
      <w:proofErr w:type="spellStart"/>
      <w:r w:rsidRPr="00744965">
        <w:t>Cibinqo</w:t>
      </w:r>
      <w:proofErr w:type="spellEnd"/>
      <w:r w:rsidRPr="00744965">
        <w:t xml:space="preserve"> should not be used as a first line therapy given that there are effective and safer treatment options available. The ACM advised to restrict the use of </w:t>
      </w:r>
      <w:proofErr w:type="spellStart"/>
      <w:r w:rsidRPr="00744965">
        <w:t>Cibinqo</w:t>
      </w:r>
      <w:proofErr w:type="spellEnd"/>
      <w:r w:rsidRPr="00744965">
        <w:t xml:space="preserve"> to after a trial of a biological medicine and possibly a trial of other JAK inhibitors approved for the treatment of atopic dermatitis.</w:t>
      </w:r>
    </w:p>
    <w:p w14:paraId="0D55A20C" w14:textId="77777777" w:rsidR="00744965" w:rsidRPr="00744965" w:rsidRDefault="00744965" w:rsidP="002E6F05">
      <w:r w:rsidRPr="00744965">
        <w:t xml:space="preserve">On balance, the ACM agreed that there is potential benefit for </w:t>
      </w:r>
      <w:proofErr w:type="spellStart"/>
      <w:r w:rsidRPr="00744965">
        <w:t>Cibinqo</w:t>
      </w:r>
      <w:proofErr w:type="spellEnd"/>
      <w:r w:rsidRPr="00744965">
        <w:t xml:space="preserve"> as a third -line treatment in adult patients with refractory moderate to severe atopic dermatitis, with strengthening of the warnings in the PI and CMI (as outlined in the advice to Question 4, below).</w:t>
      </w:r>
    </w:p>
    <w:p w14:paraId="29366A52" w14:textId="77777777" w:rsidR="00744965" w:rsidRPr="00744965" w:rsidRDefault="00744965" w:rsidP="002E6F05">
      <w:r w:rsidRPr="00744965">
        <w:t>The ACM recommended the following indication wording:</w:t>
      </w:r>
    </w:p>
    <w:p w14:paraId="27999BF7" w14:textId="77777777" w:rsidR="00744965" w:rsidRPr="002E6F05" w:rsidRDefault="00744965" w:rsidP="002E6F05">
      <w:pPr>
        <w:rPr>
          <w:i/>
          <w:iCs/>
        </w:rPr>
      </w:pPr>
      <w:proofErr w:type="gramStart"/>
      <w:r w:rsidRPr="002E6F05">
        <w:rPr>
          <w:i/>
          <w:iCs/>
        </w:rPr>
        <w:t>”</w:t>
      </w:r>
      <w:proofErr w:type="spellStart"/>
      <w:r w:rsidRPr="002E6F05">
        <w:rPr>
          <w:i/>
          <w:iCs/>
        </w:rPr>
        <w:t>Cibinqo</w:t>
      </w:r>
      <w:proofErr w:type="spellEnd"/>
      <w:proofErr w:type="gramEnd"/>
      <w:r w:rsidRPr="002E6F05">
        <w:rPr>
          <w:i/>
          <w:iCs/>
        </w:rPr>
        <w:t xml:space="preserve"> is indicated for the treatment of moderate-to-severe atopic dermatitis in adult patients with refractory disease, for whom biological medicines are either contraindicated or have achieved an inadequate response.”</w:t>
      </w:r>
    </w:p>
    <w:p w14:paraId="4B0113D8" w14:textId="77777777" w:rsidR="00744965" w:rsidRPr="00744965" w:rsidRDefault="00744965" w:rsidP="002E6F05">
      <w:r w:rsidRPr="00744965">
        <w:t>The ACM expressed uncertainty regarding why a 50 mg presentation has been proposed for registration, noting this presentation is not mentioned in the dosing instructions.</w:t>
      </w:r>
    </w:p>
    <w:p w14:paraId="03631964" w14:textId="77777777" w:rsidR="00744965" w:rsidRPr="002E6F05" w:rsidRDefault="00744965" w:rsidP="002E6F05">
      <w:pPr>
        <w:pStyle w:val="Numberbullet0"/>
        <w:rPr>
          <w:b/>
          <w:bCs/>
          <w:i/>
          <w:iCs/>
        </w:rPr>
      </w:pPr>
      <w:r w:rsidRPr="002E6F05">
        <w:rPr>
          <w:b/>
          <w:bCs/>
          <w:i/>
          <w:iCs/>
        </w:rPr>
        <w:t xml:space="preserve">What is the ACM’s advice on instigating a boxed warning in the proposed </w:t>
      </w:r>
      <w:proofErr w:type="spellStart"/>
      <w:r w:rsidRPr="002E6F05">
        <w:rPr>
          <w:b/>
          <w:bCs/>
          <w:i/>
          <w:iCs/>
        </w:rPr>
        <w:t>abrocitinib</w:t>
      </w:r>
      <w:proofErr w:type="spellEnd"/>
      <w:r w:rsidRPr="002E6F05">
        <w:rPr>
          <w:b/>
          <w:bCs/>
          <w:i/>
          <w:iCs/>
        </w:rPr>
        <w:t xml:space="preserve"> PI to highlight the risks associated with carcinogenicity and MACE?</w:t>
      </w:r>
    </w:p>
    <w:p w14:paraId="0BD1D597" w14:textId="77777777" w:rsidR="00744965" w:rsidRPr="00744965" w:rsidRDefault="00744965" w:rsidP="002E6F05">
      <w:pPr>
        <w:rPr>
          <w:rFonts w:cs="Times New Roman"/>
          <w:b/>
          <w:bCs/>
        </w:rPr>
      </w:pPr>
      <w:r w:rsidRPr="00744965">
        <w:t xml:space="preserve">Considering the recent safety signal for JAK inhibitors as a class, the ACM was of the view that it is premature to include a boxed warning at this time for </w:t>
      </w:r>
      <w:proofErr w:type="spellStart"/>
      <w:r w:rsidRPr="00744965">
        <w:t>Cibinqo</w:t>
      </w:r>
      <w:proofErr w:type="spellEnd"/>
      <w:r w:rsidRPr="00744965">
        <w:t xml:space="preserve"> only. The ACM commented that this is a rapidly evolving </w:t>
      </w:r>
      <w:proofErr w:type="gramStart"/>
      <w:r w:rsidRPr="00744965">
        <w:t>space</w:t>
      </w:r>
      <w:proofErr w:type="gramEnd"/>
      <w:r w:rsidRPr="00744965">
        <w:t xml:space="preserve"> and that the initiation of a boxed warning may become necessary as further information becomes available.</w:t>
      </w:r>
    </w:p>
    <w:p w14:paraId="0BFBC78B" w14:textId="77777777" w:rsidR="00744965" w:rsidRPr="002E6F05" w:rsidRDefault="00744965" w:rsidP="002E6F05">
      <w:pPr>
        <w:pStyle w:val="Numberbullet0"/>
        <w:rPr>
          <w:b/>
          <w:bCs/>
          <w:i/>
          <w:iCs/>
        </w:rPr>
      </w:pPr>
      <w:r w:rsidRPr="002E6F05">
        <w:rPr>
          <w:b/>
          <w:bCs/>
          <w:i/>
          <w:iCs/>
        </w:rPr>
        <w:t xml:space="preserve">Please comment on the adequacy of the precautionary statements in the PI and the pharmacovigilance measures to mitigate the risks associated with the use of </w:t>
      </w:r>
      <w:proofErr w:type="spellStart"/>
      <w:r w:rsidRPr="002E6F05">
        <w:rPr>
          <w:b/>
          <w:bCs/>
          <w:i/>
          <w:iCs/>
        </w:rPr>
        <w:t>abrocitinib</w:t>
      </w:r>
      <w:proofErr w:type="spellEnd"/>
      <w:r w:rsidRPr="002E6F05">
        <w:rPr>
          <w:b/>
          <w:bCs/>
          <w:i/>
          <w:iCs/>
        </w:rPr>
        <w:t>.</w:t>
      </w:r>
    </w:p>
    <w:p w14:paraId="5522D020" w14:textId="77777777" w:rsidR="00744965" w:rsidRPr="00744965" w:rsidRDefault="00744965" w:rsidP="002E6F05">
      <w:r w:rsidRPr="00744965">
        <w:t xml:space="preserve">To ensure that the risks are appropriately managed, the ACM agreed that initiation and supervision of </w:t>
      </w:r>
      <w:proofErr w:type="spellStart"/>
      <w:r w:rsidRPr="00744965">
        <w:t>Cibinqo</w:t>
      </w:r>
      <w:proofErr w:type="spellEnd"/>
      <w:r w:rsidRPr="00744965">
        <w:t xml:space="preserve"> treatment for the proposed indication should be limited to dermatologists.</w:t>
      </w:r>
    </w:p>
    <w:p w14:paraId="3397310B" w14:textId="77777777" w:rsidR="00744965" w:rsidRPr="00744965" w:rsidRDefault="00744965" w:rsidP="002E6F05">
      <w:r w:rsidRPr="00744965">
        <w:lastRenderedPageBreak/>
        <w:t xml:space="preserve">The ACM emphasised that clear dose escalation and discontinuation criteria are a crucial part of risk management for this therapy. The ACM advised that dosage should be initiated at 100 mg, increased to 200 mg at 12 weeks if there is an inadequate response to 100 mg, followed by a reassessment of the 200 mg dose at 16 weeks, from the start of the treatment. The ACM agreed </w:t>
      </w:r>
      <w:proofErr w:type="spellStart"/>
      <w:r w:rsidRPr="00744965">
        <w:t>Cibinqo</w:t>
      </w:r>
      <w:proofErr w:type="spellEnd"/>
      <w:r w:rsidRPr="00744965">
        <w:t xml:space="preserve"> should be discontinued if no treatment benefit is seen by 24 weeks from the start of the treatment.</w:t>
      </w:r>
    </w:p>
    <w:p w14:paraId="4A414F88" w14:textId="77777777" w:rsidR="00744965" w:rsidRPr="00744965" w:rsidRDefault="00744965" w:rsidP="002E6F05">
      <w:r w:rsidRPr="00744965">
        <w:t>Given the concerns around thrombotic events, including pulmonary embolism (PE), the ACM advised that a statement such as the following should be included in the PI:</w:t>
      </w:r>
    </w:p>
    <w:p w14:paraId="4694FAC2" w14:textId="77777777" w:rsidR="00744965" w:rsidRPr="00744965" w:rsidRDefault="00744965" w:rsidP="002E6F05">
      <w:r w:rsidRPr="00744965">
        <w:t>‘Consider discontinuation around long-haul flights, post orthopaedic surgery or in the setting of immobilisation. VTE risk with co administration of other medications that increase VTE risk, such as the COCP and HRT, is unstudied, but likely represents an even greater increased risk.’</w:t>
      </w:r>
    </w:p>
    <w:p w14:paraId="5C64C2F6" w14:textId="77777777" w:rsidR="00744965" w:rsidRPr="00744965" w:rsidRDefault="00744965" w:rsidP="002E6F05">
      <w:r w:rsidRPr="00744965">
        <w:t>The ACM advised that ‘has been studied in adolescents 12 to &lt; 18’ should be removed from the PI as the proposed indication is in adults only and there are concerns regarding the impact on bone growth within children.</w:t>
      </w:r>
    </w:p>
    <w:p w14:paraId="20983315" w14:textId="77777777" w:rsidR="00744965" w:rsidRPr="00744965" w:rsidRDefault="00744965" w:rsidP="002E6F05">
      <w:r w:rsidRPr="00744965">
        <w:t>The ACM was of the view that ‘The effect of these lipid parameter elevations on cardiovascular morbidity and mortality has not been determined’ is misleading as there is no physiological reason to doubt that increased lipids will result in CVS disease. The ACM advised that a more appropriate statement would be ‘The mechanism of MACE remains unclear, however the rise in lipids is postulated to be contributory’.</w:t>
      </w:r>
    </w:p>
    <w:p w14:paraId="09EC6CB2" w14:textId="77777777" w:rsidR="00744965" w:rsidRPr="00744965" w:rsidRDefault="00744965" w:rsidP="002E6F05">
      <w:r w:rsidRPr="00744965">
        <w:t>The ACM advised that, given the uncertainty about the mechanism of action behind the occurrence of MACE, the Important Potential Risk of ‘MACE as an outcome of hyperlipidaemia’ should be revised to ‘MACE as an outcome of hyperlipidaemia or other mechanisms.’</w:t>
      </w:r>
    </w:p>
    <w:p w14:paraId="4E12A7C1" w14:textId="77777777" w:rsidR="00744965" w:rsidRPr="00744965" w:rsidRDefault="00744965" w:rsidP="002E6F05">
      <w:r w:rsidRPr="00744965">
        <w:t>The ACM was of the view that the proposed safety surveillance reports should include MACE.</w:t>
      </w:r>
    </w:p>
    <w:p w14:paraId="3CBA6EB4" w14:textId="77777777" w:rsidR="00744965" w:rsidRPr="00744965" w:rsidRDefault="00744965" w:rsidP="002E6F05">
      <w:r w:rsidRPr="00744965">
        <w:t xml:space="preserve">The ACM agreed that treatment should be interrupted if the absolute neutrophil count (ANC) is </w:t>
      </w:r>
      <w:r w:rsidRPr="00744965">
        <w:br/>
        <w:t>&lt;1000/mm</w:t>
      </w:r>
      <w:r w:rsidRPr="00744965">
        <w:rPr>
          <w:vertAlign w:val="superscript"/>
        </w:rPr>
        <w:t>3</w:t>
      </w:r>
      <w:r w:rsidRPr="00744965">
        <w:t>, noting this is also in line with advice for other JAK inhibitors.</w:t>
      </w:r>
    </w:p>
    <w:p w14:paraId="5735D631" w14:textId="77777777" w:rsidR="00744965" w:rsidRPr="00744965" w:rsidRDefault="00744965" w:rsidP="002E6F05">
      <w:r w:rsidRPr="00744965">
        <w:t>The ACM reiterated their previous advice that they were not supportive of the following statement regarding malignancy in the PI, noting that all events of malignancy were reported in subjects with no prior history or risk factor and that prior successful treatment of malignancy does not negate the risk:</w:t>
      </w:r>
    </w:p>
    <w:p w14:paraId="4766F7BB" w14:textId="77777777" w:rsidR="00744965" w:rsidRPr="00744965" w:rsidRDefault="00744965" w:rsidP="002E6F05">
      <w:r w:rsidRPr="00744965">
        <w:t xml:space="preserve">‘The risks and benefits of </w:t>
      </w:r>
      <w:proofErr w:type="spellStart"/>
      <w:r w:rsidRPr="00744965">
        <w:t>Cibinqo</w:t>
      </w:r>
      <w:proofErr w:type="spellEnd"/>
      <w:r w:rsidRPr="00744965">
        <w:t xml:space="preserve"> treatment should be considered prior to initiating in patients with a known malignancy other than a successfully treated NMSC or cervical cancer in situ or when considering continuing </w:t>
      </w:r>
      <w:proofErr w:type="spellStart"/>
      <w:r w:rsidRPr="00744965">
        <w:t>Cibinqo</w:t>
      </w:r>
      <w:proofErr w:type="spellEnd"/>
      <w:r w:rsidRPr="00744965">
        <w:t xml:space="preserve"> therapy in patients who develop a malignancy.’</w:t>
      </w:r>
    </w:p>
    <w:p w14:paraId="543AAA48" w14:textId="77777777" w:rsidR="00744965" w:rsidRPr="00744965" w:rsidRDefault="00744965" w:rsidP="002E6F05">
      <w:r w:rsidRPr="00744965">
        <w:t>The ACM also advised that malignancy should be included on the proposed patient card, noting that it is currently only proposed for the prescriber card. A patient card was recommended to be developed as a risk mitigation strategy.</w:t>
      </w:r>
    </w:p>
    <w:p w14:paraId="69A374D4" w14:textId="77777777" w:rsidR="00744965" w:rsidRPr="00744965" w:rsidRDefault="00744965" w:rsidP="002E6F05">
      <w:r w:rsidRPr="00744965">
        <w:t xml:space="preserve">The ACM emphasised that periodic skin examination is important for all patients on </w:t>
      </w:r>
      <w:proofErr w:type="spellStart"/>
      <w:r w:rsidRPr="00744965">
        <w:t>Cibinqo</w:t>
      </w:r>
      <w:proofErr w:type="spellEnd"/>
      <w:r w:rsidRPr="00744965">
        <w:t xml:space="preserve"> therapy, not just those at increased risk of skin cancer, and that this recommendation should also be included in the CMI.</w:t>
      </w:r>
    </w:p>
    <w:p w14:paraId="3EC5DFB4" w14:textId="77777777" w:rsidR="00744965" w:rsidRPr="00744965" w:rsidRDefault="00744965" w:rsidP="002E6F05">
      <w:r w:rsidRPr="00744965">
        <w:t>The ACM advised that the following sentence in the CMI should be modified to list medical conditions of particular interest:</w:t>
      </w:r>
    </w:p>
    <w:p w14:paraId="4823CB71" w14:textId="77777777" w:rsidR="00744965" w:rsidRPr="00744965" w:rsidRDefault="00744965" w:rsidP="002E6F05">
      <w:r w:rsidRPr="00744965">
        <w:t>‘Talk to your doctor if you have any other medical conditions (particularly CVS disease or risk factors; VTE/PE history/ risk factors; malignancy), take any other medicines, or plan to become pregnant.’</w:t>
      </w:r>
    </w:p>
    <w:p w14:paraId="204079BB" w14:textId="77777777" w:rsidR="00744965" w:rsidRPr="00744965" w:rsidRDefault="00744965" w:rsidP="006419D6">
      <w:r w:rsidRPr="00744965">
        <w:lastRenderedPageBreak/>
        <w:t>The ACM was of the view that the side effects in the CMI should include ‘cancers, including skin cancers, increased cholesterol, increased CVD events. The risk of cancer is higher if you are, or have ever been, a smoker.’</w:t>
      </w:r>
    </w:p>
    <w:p w14:paraId="648ABFF1" w14:textId="77777777" w:rsidR="00744965" w:rsidRPr="00744965" w:rsidRDefault="00744965" w:rsidP="006419D6">
      <w:r w:rsidRPr="00744965">
        <w:t>The ACM advised that the risk factors for DVT and PE should be listed in the CMI, such as:</w:t>
      </w:r>
    </w:p>
    <w:p w14:paraId="39F2658E" w14:textId="77777777" w:rsidR="00744965" w:rsidRPr="00744965" w:rsidRDefault="00744965" w:rsidP="006419D6">
      <w:r w:rsidRPr="00744965">
        <w:t>‘</w:t>
      </w:r>
      <w:proofErr w:type="spellStart"/>
      <w:r w:rsidRPr="00744965">
        <w:t>Abrocitinib</w:t>
      </w:r>
      <w:proofErr w:type="spellEnd"/>
      <w:r w:rsidRPr="00744965">
        <w:t xml:space="preserve"> increases the risk for DVT and PE. There are known risk factors that increase your baseline risk, these are: older age, obesity, past PE/DVT, clotting disorder, use of the OCP or HRT, if you are having major surgery or prolonged immobilisation.’</w:t>
      </w:r>
    </w:p>
    <w:p w14:paraId="232ECCBC" w14:textId="77777777" w:rsidR="00744965" w:rsidRPr="006419D6" w:rsidRDefault="00744965" w:rsidP="006419D6">
      <w:pPr>
        <w:rPr>
          <w:b/>
          <w:bCs/>
        </w:rPr>
      </w:pPr>
      <w:r w:rsidRPr="006419D6">
        <w:rPr>
          <w:b/>
          <w:bCs/>
        </w:rPr>
        <w:t>ACM Conclusion – April 2022</w:t>
      </w:r>
    </w:p>
    <w:p w14:paraId="5570FB19" w14:textId="77777777" w:rsidR="00744965" w:rsidRPr="00744965" w:rsidRDefault="00744965" w:rsidP="006419D6">
      <w:r w:rsidRPr="00744965">
        <w:t>The ACM considered this product to have an overall positive benefit-risk profile for the indication in a small number of individuals:</w:t>
      </w:r>
    </w:p>
    <w:p w14:paraId="6A5DCDC3" w14:textId="77777777" w:rsidR="00744965" w:rsidRPr="006419D6" w:rsidRDefault="00744965" w:rsidP="006419D6">
      <w:pPr>
        <w:rPr>
          <w:i/>
          <w:iCs/>
        </w:rPr>
      </w:pPr>
      <w:r w:rsidRPr="006419D6">
        <w:rPr>
          <w:i/>
          <w:iCs/>
        </w:rPr>
        <w:t>“</w:t>
      </w:r>
      <w:proofErr w:type="spellStart"/>
      <w:r w:rsidRPr="006419D6">
        <w:rPr>
          <w:i/>
          <w:iCs/>
        </w:rPr>
        <w:t>Cibinqo</w:t>
      </w:r>
      <w:proofErr w:type="spellEnd"/>
      <w:r w:rsidRPr="006419D6">
        <w:rPr>
          <w:i/>
          <w:iCs/>
        </w:rPr>
        <w:t xml:space="preserve"> is indicated for the treatment of moderate-to-severe atopic dermatitis in adult patients with refractory disease, for whom biologic agents are either contraindicated or have achieved an inadequate response.”</w:t>
      </w:r>
    </w:p>
    <w:p w14:paraId="2BABB052" w14:textId="77777777" w:rsidR="00744965" w:rsidRPr="00744965" w:rsidRDefault="00744965" w:rsidP="006419D6">
      <w:pPr>
        <w:pStyle w:val="Heading3"/>
      </w:pPr>
      <w:bookmarkStart w:id="92" w:name="_Toc172967106"/>
      <w:bookmarkStart w:id="93" w:name="_Toc173925451"/>
      <w:r w:rsidRPr="00744965">
        <w:t>Risk/benefit assessment post-ACM April 2022</w:t>
      </w:r>
      <w:bookmarkEnd w:id="92"/>
      <w:bookmarkEnd w:id="93"/>
    </w:p>
    <w:p w14:paraId="749804A4" w14:textId="77777777" w:rsidR="00744965" w:rsidRPr="00744965" w:rsidRDefault="00744965" w:rsidP="006419D6">
      <w:r w:rsidRPr="00744965">
        <w:t>The Delegate recommended a modified indication, along with PI changes, as outlined above. This proposal was not accepted by the Sponsor. Subsequently, the TGA did not include the product on the ARTG.</w:t>
      </w:r>
    </w:p>
    <w:p w14:paraId="06F6F307" w14:textId="4AF4A698" w:rsidR="00744965" w:rsidRPr="00744965" w:rsidRDefault="00744965" w:rsidP="006419D6">
      <w:pPr>
        <w:pStyle w:val="Heading2"/>
      </w:pPr>
      <w:bookmarkStart w:id="94" w:name="_Toc172967107"/>
      <w:bookmarkStart w:id="95" w:name="_Toc173925452"/>
      <w:r w:rsidRPr="00744965">
        <w:t xml:space="preserve">Section 60 </w:t>
      </w:r>
      <w:r w:rsidR="006419D6">
        <w:t>r</w:t>
      </w:r>
      <w:r w:rsidRPr="00744965">
        <w:t>eview</w:t>
      </w:r>
      <w:bookmarkEnd w:id="94"/>
      <w:bookmarkEnd w:id="95"/>
    </w:p>
    <w:p w14:paraId="4AD6194D" w14:textId="41089F00" w:rsidR="00744965" w:rsidRPr="00744965" w:rsidRDefault="00744965" w:rsidP="006419D6">
      <w:r w:rsidRPr="00744965">
        <w:t xml:space="preserve">Following the initial decision to exclude </w:t>
      </w:r>
      <w:proofErr w:type="spellStart"/>
      <w:r w:rsidRPr="00744965">
        <w:t>Cibinqo</w:t>
      </w:r>
      <w:proofErr w:type="spellEnd"/>
      <w:r w:rsidRPr="00744965">
        <w:t xml:space="preserve"> from the ARTG, the sponsor sought a review under the provisions of Section 60 of the Therapeutics Goods Act 1989. The Delegate of the Minister for the review noted that paragraph 25(1)(d) of the Therapeutic Goods Act 1989, which requires the goods to be evaluated </w:t>
      </w:r>
      <w:proofErr w:type="gramStart"/>
      <w:r w:rsidRPr="00744965">
        <w:t>with regard to</w:t>
      </w:r>
      <w:proofErr w:type="gramEnd"/>
      <w:r w:rsidRPr="00744965">
        <w:t xml:space="preserve"> whether the quality, safety, and efficacy of the goods for the purposes for which they are to be used have been satisfactorily established, is of particular relevance. At the conclusion of the Section 60 review, the Evaluator confirmed the initial decision (rejection) that was made by the Delegate. The basis for this decision, as outlined by the Evaluator, was that the evidence presented by the Sponsor was not sufficient to satisfactorily establish the safety of the Medicine for the purpose for which it is to be used. In addition, the Evaluator concluded that the applicant’s PI did not adequately describe </w:t>
      </w:r>
      <w:r w:rsidR="006419D6" w:rsidRPr="00744965">
        <w:t>measures for</w:t>
      </w:r>
      <w:r w:rsidRPr="00744965">
        <w:t xml:space="preserve"> the mitigation of the identified risks associated with the use of the product, for the proposed indication, at the proposed dosage. </w:t>
      </w:r>
    </w:p>
    <w:p w14:paraId="12957CF0" w14:textId="77777777" w:rsidR="00744965" w:rsidRPr="00744965" w:rsidRDefault="00744965" w:rsidP="006419D6">
      <w:pPr>
        <w:pStyle w:val="Heading2"/>
      </w:pPr>
      <w:bookmarkStart w:id="96" w:name="_Toc172967108"/>
      <w:bookmarkStart w:id="97" w:name="_Toc173925453"/>
      <w:bookmarkEnd w:id="85"/>
      <w:bookmarkEnd w:id="86"/>
      <w:r w:rsidRPr="00744965">
        <w:t>Appeal to the Administrative Appeals Tribunal</w:t>
      </w:r>
      <w:bookmarkEnd w:id="96"/>
      <w:bookmarkEnd w:id="97"/>
    </w:p>
    <w:p w14:paraId="0BE6AE20" w14:textId="3DA98DFD" w:rsidR="00744965" w:rsidRPr="00744965" w:rsidRDefault="00744965" w:rsidP="006419D6">
      <w:r w:rsidRPr="00744965">
        <w:t xml:space="preserve">Following the Section 60 review, and subject to the </w:t>
      </w:r>
      <w:r w:rsidRPr="00744965">
        <w:rPr>
          <w:i/>
          <w:iCs/>
        </w:rPr>
        <w:t>Administrative Appeals Tribunal Act 1975</w:t>
      </w:r>
      <w:r w:rsidRPr="00744965">
        <w:t>, the Sponsor made an application to the Administrative Appeals Tribunal (AAT) for a review of this decision. The principal issues in dispute between the parties were whether the safety of the medicine had been satisfactorily established for the Sponsor’s proposed indication at the proposed dosage and whether the PI for the medicine adequately addressed the risks associated with its use.</w:t>
      </w:r>
    </w:p>
    <w:p w14:paraId="2BB2B82D" w14:textId="77777777" w:rsidR="00744965" w:rsidRPr="00744965" w:rsidRDefault="00744965" w:rsidP="006419D6">
      <w:r w:rsidRPr="00744965">
        <w:t>The AAT review process included the submission of additional and longer-term clinical trial data, real-world use information from overseas jurisdictions, involvement of subject matter experts across multiple fields including Australian dermatologists, and updated PI and CMI documentation.</w:t>
      </w:r>
    </w:p>
    <w:p w14:paraId="025052D2" w14:textId="77777777" w:rsidR="00744965" w:rsidRPr="00744965" w:rsidRDefault="00744965" w:rsidP="006419D6">
      <w:pPr>
        <w:pStyle w:val="Heading2"/>
      </w:pPr>
      <w:bookmarkStart w:id="98" w:name="_Toc172967109"/>
      <w:bookmarkStart w:id="99" w:name="_Toc173925454"/>
      <w:r w:rsidRPr="00744965">
        <w:lastRenderedPageBreak/>
        <w:t>Registration decision</w:t>
      </w:r>
      <w:bookmarkEnd w:id="98"/>
      <w:bookmarkEnd w:id="99"/>
    </w:p>
    <w:p w14:paraId="5E85E5CE" w14:textId="17C2AAB7" w:rsidR="00744965" w:rsidRPr="00744965" w:rsidRDefault="00744965" w:rsidP="006419D6">
      <w:r w:rsidRPr="00744965">
        <w:t xml:space="preserve">On 8 April 2024, the </w:t>
      </w:r>
      <w:r w:rsidRPr="00744965">
        <w:rPr>
          <w:b/>
          <w:bCs/>
        </w:rPr>
        <w:t xml:space="preserve">AAT decided to approve </w:t>
      </w:r>
      <w:proofErr w:type="spellStart"/>
      <w:r w:rsidRPr="00744965">
        <w:rPr>
          <w:b/>
          <w:bCs/>
        </w:rPr>
        <w:t>Cibinqo</w:t>
      </w:r>
      <w:proofErr w:type="spellEnd"/>
      <w:r w:rsidRPr="00744965">
        <w:rPr>
          <w:b/>
          <w:bCs/>
        </w:rPr>
        <w:t xml:space="preserve"> (</w:t>
      </w:r>
      <w:proofErr w:type="spellStart"/>
      <w:r w:rsidRPr="00744965">
        <w:rPr>
          <w:b/>
          <w:bCs/>
        </w:rPr>
        <w:t>abrocitinib</w:t>
      </w:r>
      <w:proofErr w:type="spellEnd"/>
      <w:r w:rsidRPr="00744965">
        <w:rPr>
          <w:b/>
          <w:bCs/>
        </w:rPr>
        <w:t xml:space="preserve">) for registration on the ARTG. </w:t>
      </w:r>
      <w:r w:rsidRPr="00744965">
        <w:t xml:space="preserve">This decision was made after the parties reached an agreement, based on additional </w:t>
      </w:r>
      <w:proofErr w:type="gramStart"/>
      <w:r w:rsidRPr="00744965">
        <w:t>data</w:t>
      </w:r>
      <w:proofErr w:type="gramEnd"/>
      <w:r w:rsidRPr="00744965">
        <w:t xml:space="preserve"> and agreed updates to the PI, that the final negotiated draft PI was acceptable and that the safety of </w:t>
      </w:r>
      <w:proofErr w:type="spellStart"/>
      <w:r w:rsidRPr="00744965">
        <w:t>Cibinqo</w:t>
      </w:r>
      <w:proofErr w:type="spellEnd"/>
      <w:r w:rsidRPr="00744965">
        <w:t xml:space="preserve"> was satisfactorily established for the purposes for which it is to be used as outlined in the draft PI.</w:t>
      </w:r>
    </w:p>
    <w:p w14:paraId="51CDED6C" w14:textId="77777777" w:rsidR="00744965" w:rsidRPr="00744965" w:rsidRDefault="00744965" w:rsidP="006419D6">
      <w:r w:rsidRPr="00744965">
        <w:t xml:space="preserve">The approved indication for </w:t>
      </w:r>
      <w:proofErr w:type="spellStart"/>
      <w:r w:rsidRPr="00744965">
        <w:t>Cibinqo</w:t>
      </w:r>
      <w:proofErr w:type="spellEnd"/>
      <w:r w:rsidRPr="00744965">
        <w:t xml:space="preserve"> is:</w:t>
      </w:r>
    </w:p>
    <w:p w14:paraId="641A340E" w14:textId="77777777" w:rsidR="00744965" w:rsidRPr="006419D6" w:rsidRDefault="00744965" w:rsidP="006419D6">
      <w:pPr>
        <w:ind w:left="720"/>
        <w:rPr>
          <w:i/>
          <w:iCs/>
        </w:rPr>
      </w:pPr>
      <w:r w:rsidRPr="006419D6">
        <w:rPr>
          <w:i/>
          <w:iCs/>
        </w:rPr>
        <w:t>“</w:t>
      </w:r>
      <w:proofErr w:type="spellStart"/>
      <w:r w:rsidRPr="006419D6">
        <w:rPr>
          <w:i/>
          <w:iCs/>
        </w:rPr>
        <w:t>Cibinqo</w:t>
      </w:r>
      <w:proofErr w:type="spellEnd"/>
      <w:r w:rsidRPr="006419D6">
        <w:rPr>
          <w:i/>
          <w:iCs/>
        </w:rPr>
        <w:t xml:space="preserve"> is indicated for the treatment of moderate-to-severe atopic dermatitis in adults who are candidates for systemic therapy. </w:t>
      </w:r>
      <w:proofErr w:type="spellStart"/>
      <w:r w:rsidRPr="006419D6">
        <w:rPr>
          <w:i/>
          <w:iCs/>
        </w:rPr>
        <w:t>Cibinqo</w:t>
      </w:r>
      <w:proofErr w:type="spellEnd"/>
      <w:r w:rsidRPr="006419D6">
        <w:rPr>
          <w:i/>
          <w:iCs/>
        </w:rPr>
        <w:t xml:space="preserve"> can be used with or without medicated topical therapies for atopic dermatitis.”</w:t>
      </w:r>
    </w:p>
    <w:p w14:paraId="2809ADC5" w14:textId="77777777" w:rsidR="00744965" w:rsidRPr="00744965" w:rsidRDefault="00744965" w:rsidP="006419D6">
      <w:pPr>
        <w:pStyle w:val="Heading2"/>
        <w:rPr>
          <w:lang w:eastAsia="en-AU"/>
        </w:rPr>
      </w:pPr>
      <w:bookmarkStart w:id="100" w:name="_Toc247691502"/>
      <w:bookmarkStart w:id="101" w:name="_Toc314842483"/>
      <w:bookmarkStart w:id="102" w:name="_Toc103679289"/>
      <w:bookmarkStart w:id="103" w:name="_Toc172967111"/>
      <w:bookmarkStart w:id="104" w:name="_Toc173925455"/>
      <w:r w:rsidRPr="006419D6">
        <w:t>Submission</w:t>
      </w:r>
      <w:r w:rsidRPr="00744965">
        <w:rPr>
          <w:lang w:eastAsia="en-AU"/>
        </w:rPr>
        <w:t xml:space="preserve"> details</w:t>
      </w:r>
      <w:bookmarkEnd w:id="100"/>
      <w:bookmarkEnd w:id="101"/>
      <w:bookmarkEnd w:id="102"/>
      <w:bookmarkEnd w:id="103"/>
      <w:bookmarkEnd w:id="104"/>
    </w:p>
    <w:tbl>
      <w:tblPr>
        <w:tblW w:w="5000" w:type="pct"/>
        <w:tblLook w:val="01E0" w:firstRow="1" w:lastRow="1" w:firstColumn="1" w:lastColumn="1" w:noHBand="0" w:noVBand="0"/>
      </w:tblPr>
      <w:tblGrid>
        <w:gridCol w:w="2861"/>
        <w:gridCol w:w="6209"/>
      </w:tblGrid>
      <w:tr w:rsidR="00744965" w:rsidRPr="00744965" w14:paraId="13CAF383" w14:textId="77777777" w:rsidTr="00F842C8">
        <w:tc>
          <w:tcPr>
            <w:tcW w:w="1577" w:type="pct"/>
          </w:tcPr>
          <w:p w14:paraId="165C2E25" w14:textId="77777777" w:rsidR="00744965" w:rsidRPr="00744965" w:rsidRDefault="00744965" w:rsidP="00744965">
            <w:pPr>
              <w:rPr>
                <w:i/>
                <w:szCs w:val="22"/>
              </w:rPr>
            </w:pPr>
            <w:r w:rsidRPr="00744965">
              <w:rPr>
                <w:i/>
                <w:szCs w:val="22"/>
              </w:rPr>
              <w:t>Type of submission:</w:t>
            </w:r>
          </w:p>
        </w:tc>
        <w:tc>
          <w:tcPr>
            <w:tcW w:w="3423" w:type="pct"/>
          </w:tcPr>
          <w:p w14:paraId="6962F12B" w14:textId="77777777" w:rsidR="00744965" w:rsidRPr="00744965" w:rsidRDefault="00744965" w:rsidP="00744965">
            <w:pPr>
              <w:rPr>
                <w:szCs w:val="22"/>
              </w:rPr>
            </w:pPr>
            <w:r w:rsidRPr="00744965">
              <w:rPr>
                <w:szCs w:val="22"/>
              </w:rPr>
              <w:t>New chemical entity</w:t>
            </w:r>
          </w:p>
        </w:tc>
      </w:tr>
      <w:tr w:rsidR="00744965" w:rsidRPr="00744965" w14:paraId="4A1EBF41" w14:textId="77777777" w:rsidTr="00F842C8">
        <w:tc>
          <w:tcPr>
            <w:tcW w:w="1577" w:type="pct"/>
          </w:tcPr>
          <w:p w14:paraId="6BECA9DA" w14:textId="77777777" w:rsidR="00744965" w:rsidRPr="00744965" w:rsidRDefault="00744965" w:rsidP="00744965">
            <w:pPr>
              <w:rPr>
                <w:i/>
                <w:szCs w:val="22"/>
              </w:rPr>
            </w:pPr>
            <w:r w:rsidRPr="00744965">
              <w:rPr>
                <w:i/>
                <w:szCs w:val="22"/>
              </w:rPr>
              <w:t>Product name:</w:t>
            </w:r>
          </w:p>
        </w:tc>
        <w:tc>
          <w:tcPr>
            <w:tcW w:w="3423" w:type="pct"/>
          </w:tcPr>
          <w:p w14:paraId="713CF20D" w14:textId="77777777" w:rsidR="00744965" w:rsidRPr="00744965" w:rsidRDefault="00744965" w:rsidP="00744965">
            <w:pPr>
              <w:rPr>
                <w:szCs w:val="22"/>
              </w:rPr>
            </w:pPr>
            <w:proofErr w:type="spellStart"/>
            <w:r w:rsidRPr="00744965">
              <w:rPr>
                <w:szCs w:val="22"/>
              </w:rPr>
              <w:t>Cibinqo</w:t>
            </w:r>
            <w:proofErr w:type="spellEnd"/>
          </w:p>
        </w:tc>
      </w:tr>
      <w:tr w:rsidR="00744965" w:rsidRPr="00744965" w14:paraId="6CF20DD2" w14:textId="77777777" w:rsidTr="00F842C8">
        <w:tc>
          <w:tcPr>
            <w:tcW w:w="1577" w:type="pct"/>
          </w:tcPr>
          <w:p w14:paraId="189BF50F" w14:textId="77777777" w:rsidR="00744965" w:rsidRPr="00744965" w:rsidRDefault="00744965" w:rsidP="00744965">
            <w:pPr>
              <w:rPr>
                <w:i/>
                <w:szCs w:val="22"/>
              </w:rPr>
            </w:pPr>
            <w:r w:rsidRPr="00744965">
              <w:rPr>
                <w:i/>
                <w:szCs w:val="22"/>
              </w:rPr>
              <w:t>Active ingredients:</w:t>
            </w:r>
          </w:p>
        </w:tc>
        <w:tc>
          <w:tcPr>
            <w:tcW w:w="3423" w:type="pct"/>
          </w:tcPr>
          <w:p w14:paraId="32150F20" w14:textId="77777777" w:rsidR="00744965" w:rsidRPr="00744965" w:rsidRDefault="00744965" w:rsidP="00744965">
            <w:pPr>
              <w:rPr>
                <w:szCs w:val="22"/>
              </w:rPr>
            </w:pPr>
            <w:proofErr w:type="spellStart"/>
            <w:r w:rsidRPr="00744965">
              <w:rPr>
                <w:szCs w:val="22"/>
              </w:rPr>
              <w:t>Abrocitinib</w:t>
            </w:r>
            <w:proofErr w:type="spellEnd"/>
          </w:p>
        </w:tc>
      </w:tr>
      <w:tr w:rsidR="00744965" w:rsidRPr="00744965" w14:paraId="03C53123" w14:textId="77777777" w:rsidTr="00F842C8">
        <w:tc>
          <w:tcPr>
            <w:tcW w:w="1577" w:type="pct"/>
          </w:tcPr>
          <w:p w14:paraId="1D093145" w14:textId="77777777" w:rsidR="00744965" w:rsidRPr="00744965" w:rsidRDefault="00744965" w:rsidP="00744965">
            <w:pPr>
              <w:rPr>
                <w:i/>
                <w:szCs w:val="22"/>
              </w:rPr>
            </w:pPr>
            <w:r w:rsidRPr="00744965">
              <w:rPr>
                <w:i/>
                <w:szCs w:val="22"/>
              </w:rPr>
              <w:t>Decision:</w:t>
            </w:r>
          </w:p>
        </w:tc>
        <w:tc>
          <w:tcPr>
            <w:tcW w:w="3423" w:type="pct"/>
          </w:tcPr>
          <w:p w14:paraId="04B3E0D6" w14:textId="77777777" w:rsidR="00744965" w:rsidRPr="00744965" w:rsidRDefault="00744965" w:rsidP="00744965">
            <w:pPr>
              <w:rPr>
                <w:szCs w:val="22"/>
              </w:rPr>
            </w:pPr>
            <w:r w:rsidRPr="00744965">
              <w:rPr>
                <w:szCs w:val="22"/>
              </w:rPr>
              <w:t>Approved</w:t>
            </w:r>
          </w:p>
        </w:tc>
      </w:tr>
      <w:tr w:rsidR="00744965" w:rsidRPr="00744965" w14:paraId="47A885EF" w14:textId="77777777" w:rsidTr="00F842C8">
        <w:tc>
          <w:tcPr>
            <w:tcW w:w="1577" w:type="pct"/>
          </w:tcPr>
          <w:p w14:paraId="3EFAB274" w14:textId="77777777" w:rsidR="00744965" w:rsidRPr="00744965" w:rsidRDefault="00744965" w:rsidP="00744965">
            <w:pPr>
              <w:rPr>
                <w:b/>
                <w:bCs/>
              </w:rPr>
            </w:pPr>
            <w:r w:rsidRPr="00744965">
              <w:rPr>
                <w:b/>
                <w:bCs/>
                <w:i/>
                <w:szCs w:val="22"/>
              </w:rPr>
              <w:t>AAT decision:</w:t>
            </w:r>
          </w:p>
        </w:tc>
        <w:tc>
          <w:tcPr>
            <w:tcW w:w="3423" w:type="pct"/>
          </w:tcPr>
          <w:p w14:paraId="329CE276" w14:textId="77777777" w:rsidR="00744965" w:rsidRPr="00744965" w:rsidRDefault="00744965" w:rsidP="00744965">
            <w:pPr>
              <w:rPr>
                <w:b/>
                <w:bCs/>
                <w:szCs w:val="22"/>
              </w:rPr>
            </w:pPr>
            <w:r w:rsidRPr="00744965">
              <w:rPr>
                <w:b/>
                <w:bCs/>
                <w:szCs w:val="22"/>
              </w:rPr>
              <w:t xml:space="preserve">The Administrative Appeals Tribunal decided to approve </w:t>
            </w:r>
            <w:proofErr w:type="spellStart"/>
            <w:r w:rsidRPr="00744965">
              <w:rPr>
                <w:b/>
                <w:bCs/>
                <w:szCs w:val="22"/>
              </w:rPr>
              <w:t>Cibinqo</w:t>
            </w:r>
            <w:proofErr w:type="spellEnd"/>
            <w:r w:rsidRPr="00744965">
              <w:rPr>
                <w:b/>
                <w:bCs/>
                <w:szCs w:val="22"/>
              </w:rPr>
              <w:t xml:space="preserve"> (</w:t>
            </w:r>
            <w:proofErr w:type="spellStart"/>
            <w:r w:rsidRPr="00744965">
              <w:rPr>
                <w:b/>
                <w:bCs/>
                <w:szCs w:val="22"/>
              </w:rPr>
              <w:t>abrocitinib</w:t>
            </w:r>
            <w:proofErr w:type="spellEnd"/>
            <w:r w:rsidRPr="00744965">
              <w:rPr>
                <w:b/>
                <w:bCs/>
                <w:szCs w:val="22"/>
              </w:rPr>
              <w:t>) for registration on the Australian Register of Therapeutic Goods (ARTG) on the 8</w:t>
            </w:r>
            <w:r w:rsidRPr="00744965">
              <w:rPr>
                <w:b/>
                <w:bCs/>
                <w:szCs w:val="22"/>
                <w:vertAlign w:val="superscript"/>
              </w:rPr>
              <w:t>th</w:t>
            </w:r>
            <w:r w:rsidRPr="00744965">
              <w:rPr>
                <w:b/>
                <w:bCs/>
                <w:szCs w:val="22"/>
              </w:rPr>
              <w:t xml:space="preserve"> of April 2024</w:t>
            </w:r>
          </w:p>
        </w:tc>
      </w:tr>
      <w:tr w:rsidR="00744965" w:rsidRPr="00744965" w14:paraId="204C8346" w14:textId="77777777" w:rsidTr="00F842C8">
        <w:tc>
          <w:tcPr>
            <w:tcW w:w="1577" w:type="pct"/>
          </w:tcPr>
          <w:p w14:paraId="2726FD17" w14:textId="77777777" w:rsidR="00744965" w:rsidRPr="00744965" w:rsidRDefault="00744965" w:rsidP="00744965">
            <w:pPr>
              <w:rPr>
                <w:i/>
                <w:szCs w:val="22"/>
              </w:rPr>
            </w:pPr>
            <w:r w:rsidRPr="00744965">
              <w:rPr>
                <w:i/>
                <w:szCs w:val="22"/>
              </w:rPr>
              <w:t>Date of entry onto ARTG:</w:t>
            </w:r>
          </w:p>
        </w:tc>
        <w:tc>
          <w:tcPr>
            <w:tcW w:w="3423" w:type="pct"/>
          </w:tcPr>
          <w:p w14:paraId="1DC817FA" w14:textId="77777777" w:rsidR="00744965" w:rsidRPr="00744965" w:rsidRDefault="00744965" w:rsidP="00744965">
            <w:pPr>
              <w:rPr>
                <w:szCs w:val="22"/>
              </w:rPr>
            </w:pPr>
            <w:r w:rsidRPr="00744965">
              <w:rPr>
                <w:szCs w:val="22"/>
              </w:rPr>
              <w:t>16 April 2024</w:t>
            </w:r>
          </w:p>
        </w:tc>
      </w:tr>
      <w:tr w:rsidR="00744965" w:rsidRPr="00744965" w14:paraId="38F8FDC3" w14:textId="77777777" w:rsidTr="00F842C8">
        <w:tc>
          <w:tcPr>
            <w:tcW w:w="1577" w:type="pct"/>
          </w:tcPr>
          <w:p w14:paraId="3254E9C6" w14:textId="77777777" w:rsidR="00744965" w:rsidRPr="00744965" w:rsidRDefault="00744965" w:rsidP="00744965">
            <w:pPr>
              <w:rPr>
                <w:i/>
                <w:szCs w:val="22"/>
              </w:rPr>
            </w:pPr>
            <w:r w:rsidRPr="00744965">
              <w:rPr>
                <w:i/>
                <w:szCs w:val="22"/>
              </w:rPr>
              <w:t>ARTG numbers:</w:t>
            </w:r>
          </w:p>
        </w:tc>
        <w:tc>
          <w:tcPr>
            <w:tcW w:w="3423" w:type="pct"/>
          </w:tcPr>
          <w:p w14:paraId="7E99267F" w14:textId="77777777" w:rsidR="00744965" w:rsidRPr="00744965" w:rsidRDefault="00744965" w:rsidP="00744965">
            <w:pPr>
              <w:rPr>
                <w:szCs w:val="22"/>
              </w:rPr>
            </w:pPr>
            <w:proofErr w:type="spellStart"/>
            <w:r w:rsidRPr="00744965">
              <w:rPr>
                <w:szCs w:val="22"/>
              </w:rPr>
              <w:t>Cibinqo</w:t>
            </w:r>
            <w:proofErr w:type="spellEnd"/>
            <w:r w:rsidRPr="00744965">
              <w:rPr>
                <w:szCs w:val="22"/>
              </w:rPr>
              <w:t xml:space="preserve"> </w:t>
            </w:r>
            <w:proofErr w:type="spellStart"/>
            <w:r w:rsidRPr="00744965">
              <w:rPr>
                <w:szCs w:val="22"/>
              </w:rPr>
              <w:t>abrocitinib</w:t>
            </w:r>
            <w:proofErr w:type="spellEnd"/>
            <w:r w:rsidRPr="00744965">
              <w:rPr>
                <w:szCs w:val="22"/>
              </w:rPr>
              <w:t xml:space="preserve"> 100 mg tablet blister pack (346350)</w:t>
            </w:r>
          </w:p>
          <w:p w14:paraId="5466C09C" w14:textId="77777777" w:rsidR="00744965" w:rsidRPr="00744965" w:rsidRDefault="00744965" w:rsidP="00744965">
            <w:pPr>
              <w:rPr>
                <w:szCs w:val="22"/>
              </w:rPr>
            </w:pPr>
            <w:proofErr w:type="spellStart"/>
            <w:r w:rsidRPr="00744965">
              <w:rPr>
                <w:szCs w:val="22"/>
              </w:rPr>
              <w:t>Cibinqo</w:t>
            </w:r>
            <w:proofErr w:type="spellEnd"/>
            <w:r w:rsidRPr="00744965">
              <w:rPr>
                <w:szCs w:val="22"/>
              </w:rPr>
              <w:t xml:space="preserve"> </w:t>
            </w:r>
            <w:proofErr w:type="spellStart"/>
            <w:r w:rsidRPr="00744965">
              <w:rPr>
                <w:szCs w:val="22"/>
              </w:rPr>
              <w:t>abrocitinib</w:t>
            </w:r>
            <w:proofErr w:type="spellEnd"/>
            <w:r w:rsidRPr="00744965">
              <w:rPr>
                <w:szCs w:val="22"/>
              </w:rPr>
              <w:t xml:space="preserve"> 200 mg tablet blister pack (346351)</w:t>
            </w:r>
          </w:p>
          <w:p w14:paraId="04F7FEDC" w14:textId="77777777" w:rsidR="00744965" w:rsidRPr="00744965" w:rsidRDefault="00744965" w:rsidP="00744965">
            <w:pPr>
              <w:rPr>
                <w:szCs w:val="22"/>
              </w:rPr>
            </w:pPr>
            <w:proofErr w:type="spellStart"/>
            <w:r w:rsidRPr="00744965">
              <w:rPr>
                <w:szCs w:val="22"/>
              </w:rPr>
              <w:t>Cibinqo</w:t>
            </w:r>
            <w:proofErr w:type="spellEnd"/>
            <w:r w:rsidRPr="00744965">
              <w:rPr>
                <w:szCs w:val="22"/>
              </w:rPr>
              <w:t xml:space="preserve"> </w:t>
            </w:r>
            <w:proofErr w:type="spellStart"/>
            <w:r w:rsidRPr="00744965">
              <w:rPr>
                <w:szCs w:val="22"/>
              </w:rPr>
              <w:t>abrocitinib</w:t>
            </w:r>
            <w:proofErr w:type="spellEnd"/>
            <w:r w:rsidRPr="00744965">
              <w:rPr>
                <w:szCs w:val="22"/>
              </w:rPr>
              <w:t xml:space="preserve"> 50 mg tablet blister pack (346349)</w:t>
            </w:r>
          </w:p>
        </w:tc>
      </w:tr>
      <w:tr w:rsidR="00744965" w:rsidRPr="00744965" w14:paraId="021C3CDC" w14:textId="77777777" w:rsidTr="00F842C8">
        <w:tc>
          <w:tcPr>
            <w:tcW w:w="1577" w:type="pct"/>
          </w:tcPr>
          <w:p w14:paraId="432BF263" w14:textId="77777777" w:rsidR="00744965" w:rsidRPr="00744965" w:rsidRDefault="00744965" w:rsidP="00744965">
            <w:pPr>
              <w:rPr>
                <w:i/>
                <w:color w:val="0000FF"/>
                <w:szCs w:val="22"/>
                <w:u w:val="single"/>
              </w:rPr>
            </w:pPr>
            <w:r w:rsidRPr="00744965">
              <w:rPr>
                <w:rFonts w:ascii="Wingdings 3" w:hAnsi="Wingdings 3"/>
                <w:szCs w:val="22"/>
                <w:lang w:eastAsia="en-AU"/>
              </w:rPr>
              <w:t></w:t>
            </w:r>
            <w:hyperlink r:id="rId56" w:history="1">
              <w:r w:rsidRPr="00744965">
                <w:rPr>
                  <w:i/>
                  <w:color w:val="0000FF"/>
                  <w:szCs w:val="22"/>
                  <w:u w:val="single"/>
                </w:rPr>
                <w:t>Black Triangle Scheme</w:t>
              </w:r>
            </w:hyperlink>
          </w:p>
          <w:p w14:paraId="07FEA3EC" w14:textId="77777777" w:rsidR="00744965" w:rsidRPr="00744965" w:rsidRDefault="00744965" w:rsidP="00744965">
            <w:pPr>
              <w:rPr>
                <w:i/>
                <w:szCs w:val="22"/>
              </w:rPr>
            </w:pPr>
          </w:p>
        </w:tc>
        <w:tc>
          <w:tcPr>
            <w:tcW w:w="3423" w:type="pct"/>
          </w:tcPr>
          <w:p w14:paraId="4EE3540C" w14:textId="77777777" w:rsidR="00744965" w:rsidRPr="00744965" w:rsidRDefault="00744965" w:rsidP="00744965">
            <w:pPr>
              <w:rPr>
                <w:szCs w:val="22"/>
              </w:rPr>
            </w:pPr>
            <w:r w:rsidRPr="00744965">
              <w:rPr>
                <w:szCs w:val="22"/>
              </w:rPr>
              <w:t xml:space="preserve">Yes. The PI and CMI for </w:t>
            </w:r>
            <w:proofErr w:type="spellStart"/>
            <w:r w:rsidRPr="00744965">
              <w:rPr>
                <w:szCs w:val="22"/>
              </w:rPr>
              <w:t>Cibinqo</w:t>
            </w:r>
            <w:proofErr w:type="spellEnd"/>
            <w:r w:rsidRPr="00744965">
              <w:rPr>
                <w:szCs w:val="22"/>
              </w:rPr>
              <w:t xml:space="preserve"> must include the black triangle symbol and mandatory accompanying text for five years, which starts from the date that the Sponsor notifies the TGA of supply of the product.</w:t>
            </w:r>
          </w:p>
        </w:tc>
      </w:tr>
      <w:tr w:rsidR="00744965" w:rsidRPr="00744965" w14:paraId="7F0EABEE" w14:textId="77777777" w:rsidTr="00F842C8">
        <w:tc>
          <w:tcPr>
            <w:tcW w:w="1577" w:type="pct"/>
          </w:tcPr>
          <w:p w14:paraId="10577800" w14:textId="77777777" w:rsidR="00744965" w:rsidRPr="00744965" w:rsidRDefault="00744965" w:rsidP="00744965">
            <w:pPr>
              <w:rPr>
                <w:i/>
                <w:szCs w:val="22"/>
              </w:rPr>
            </w:pPr>
            <w:r w:rsidRPr="00744965">
              <w:rPr>
                <w:i/>
                <w:szCs w:val="22"/>
              </w:rPr>
              <w:t>Sponsor’s name and address:</w:t>
            </w:r>
          </w:p>
        </w:tc>
        <w:tc>
          <w:tcPr>
            <w:tcW w:w="3423" w:type="pct"/>
          </w:tcPr>
          <w:p w14:paraId="06A354B3" w14:textId="77777777" w:rsidR="00744965" w:rsidRPr="00744965" w:rsidRDefault="00744965" w:rsidP="00744965">
            <w:pPr>
              <w:spacing w:line="240" w:lineRule="auto"/>
              <w:contextualSpacing/>
              <w:rPr>
                <w:szCs w:val="22"/>
              </w:rPr>
            </w:pPr>
            <w:r w:rsidRPr="00744965">
              <w:rPr>
                <w:szCs w:val="22"/>
              </w:rPr>
              <w:t>Pfizer Australia Pty Ltd</w:t>
            </w:r>
          </w:p>
          <w:p w14:paraId="42F50017" w14:textId="77777777" w:rsidR="00744965" w:rsidRPr="00744965" w:rsidRDefault="00744965" w:rsidP="00744965">
            <w:pPr>
              <w:spacing w:line="240" w:lineRule="auto"/>
              <w:contextualSpacing/>
              <w:rPr>
                <w:szCs w:val="22"/>
              </w:rPr>
            </w:pPr>
            <w:r w:rsidRPr="00744965">
              <w:rPr>
                <w:szCs w:val="22"/>
              </w:rPr>
              <w:t>Level 17, 151 Clarence Street</w:t>
            </w:r>
          </w:p>
          <w:p w14:paraId="4C113A83" w14:textId="77777777" w:rsidR="00744965" w:rsidRPr="00744965" w:rsidRDefault="00744965" w:rsidP="00744965">
            <w:pPr>
              <w:spacing w:line="240" w:lineRule="auto"/>
              <w:contextualSpacing/>
              <w:rPr>
                <w:szCs w:val="22"/>
              </w:rPr>
            </w:pPr>
            <w:r w:rsidRPr="00744965">
              <w:rPr>
                <w:szCs w:val="22"/>
              </w:rPr>
              <w:t>Sydney NSW 2000</w:t>
            </w:r>
          </w:p>
          <w:p w14:paraId="4BFE8A5B" w14:textId="77777777" w:rsidR="00744965" w:rsidRPr="00744965" w:rsidRDefault="00744965" w:rsidP="00744965">
            <w:pPr>
              <w:spacing w:line="240" w:lineRule="auto"/>
              <w:contextualSpacing/>
              <w:rPr>
                <w:szCs w:val="22"/>
              </w:rPr>
            </w:pPr>
          </w:p>
        </w:tc>
      </w:tr>
      <w:tr w:rsidR="00744965" w:rsidRPr="00744965" w14:paraId="3B0A8973" w14:textId="77777777" w:rsidTr="00F842C8">
        <w:tc>
          <w:tcPr>
            <w:tcW w:w="1577" w:type="pct"/>
          </w:tcPr>
          <w:p w14:paraId="70E6D8B9" w14:textId="77777777" w:rsidR="00744965" w:rsidRPr="00744965" w:rsidRDefault="00744965" w:rsidP="00744965">
            <w:pPr>
              <w:rPr>
                <w:i/>
                <w:szCs w:val="22"/>
              </w:rPr>
            </w:pPr>
            <w:r w:rsidRPr="00744965">
              <w:rPr>
                <w:i/>
                <w:szCs w:val="22"/>
              </w:rPr>
              <w:t>Dose form:</w:t>
            </w:r>
          </w:p>
        </w:tc>
        <w:tc>
          <w:tcPr>
            <w:tcW w:w="3423" w:type="pct"/>
          </w:tcPr>
          <w:p w14:paraId="6315166F" w14:textId="77777777" w:rsidR="00744965" w:rsidRPr="00744965" w:rsidRDefault="00744965" w:rsidP="00744965">
            <w:pPr>
              <w:rPr>
                <w:szCs w:val="22"/>
              </w:rPr>
            </w:pPr>
            <w:r w:rsidRPr="00744965">
              <w:rPr>
                <w:szCs w:val="22"/>
              </w:rPr>
              <w:t>Tablet</w:t>
            </w:r>
          </w:p>
        </w:tc>
      </w:tr>
      <w:tr w:rsidR="00744965" w:rsidRPr="00744965" w14:paraId="764057C8" w14:textId="77777777" w:rsidTr="00F842C8">
        <w:tc>
          <w:tcPr>
            <w:tcW w:w="1577" w:type="pct"/>
          </w:tcPr>
          <w:p w14:paraId="1E47D48D" w14:textId="77777777" w:rsidR="00744965" w:rsidRPr="00744965" w:rsidRDefault="00744965" w:rsidP="00744965">
            <w:pPr>
              <w:rPr>
                <w:i/>
                <w:szCs w:val="22"/>
              </w:rPr>
            </w:pPr>
            <w:r w:rsidRPr="00744965">
              <w:rPr>
                <w:i/>
                <w:szCs w:val="22"/>
              </w:rPr>
              <w:t>Strengths:</w:t>
            </w:r>
          </w:p>
        </w:tc>
        <w:tc>
          <w:tcPr>
            <w:tcW w:w="3423" w:type="pct"/>
          </w:tcPr>
          <w:p w14:paraId="44B1DB8C" w14:textId="77777777" w:rsidR="00744965" w:rsidRPr="00744965" w:rsidRDefault="00744965" w:rsidP="00744965">
            <w:pPr>
              <w:rPr>
                <w:szCs w:val="22"/>
              </w:rPr>
            </w:pPr>
            <w:r w:rsidRPr="00744965">
              <w:rPr>
                <w:szCs w:val="22"/>
              </w:rPr>
              <w:t xml:space="preserve">50 mg, 100 </w:t>
            </w:r>
            <w:proofErr w:type="gramStart"/>
            <w:r w:rsidRPr="00744965">
              <w:rPr>
                <w:szCs w:val="22"/>
              </w:rPr>
              <w:t>mg</w:t>
            </w:r>
            <w:proofErr w:type="gramEnd"/>
            <w:r w:rsidRPr="00744965">
              <w:rPr>
                <w:szCs w:val="22"/>
              </w:rPr>
              <w:t xml:space="preserve"> and 200 mg</w:t>
            </w:r>
          </w:p>
        </w:tc>
      </w:tr>
      <w:tr w:rsidR="00744965" w:rsidRPr="00744965" w14:paraId="777915B9" w14:textId="77777777" w:rsidTr="00F842C8">
        <w:tc>
          <w:tcPr>
            <w:tcW w:w="1577" w:type="pct"/>
          </w:tcPr>
          <w:p w14:paraId="1D749044" w14:textId="77777777" w:rsidR="00744965" w:rsidRPr="00744965" w:rsidRDefault="00744965" w:rsidP="00744965">
            <w:pPr>
              <w:rPr>
                <w:i/>
                <w:szCs w:val="22"/>
              </w:rPr>
            </w:pPr>
            <w:r w:rsidRPr="00744965">
              <w:rPr>
                <w:i/>
                <w:szCs w:val="22"/>
              </w:rPr>
              <w:t>Container:</w:t>
            </w:r>
          </w:p>
        </w:tc>
        <w:tc>
          <w:tcPr>
            <w:tcW w:w="3423" w:type="pct"/>
          </w:tcPr>
          <w:p w14:paraId="1BCF36E1" w14:textId="77777777" w:rsidR="00744965" w:rsidRPr="00744965" w:rsidRDefault="00744965" w:rsidP="00744965">
            <w:pPr>
              <w:rPr>
                <w:szCs w:val="22"/>
              </w:rPr>
            </w:pPr>
            <w:r w:rsidRPr="00744965">
              <w:rPr>
                <w:szCs w:val="22"/>
              </w:rPr>
              <w:t>Blister packs</w:t>
            </w:r>
          </w:p>
        </w:tc>
      </w:tr>
      <w:tr w:rsidR="00744965" w:rsidRPr="00744965" w14:paraId="0DDD937C" w14:textId="77777777" w:rsidTr="00F842C8">
        <w:tc>
          <w:tcPr>
            <w:tcW w:w="1577" w:type="pct"/>
          </w:tcPr>
          <w:p w14:paraId="7B435F0D" w14:textId="77777777" w:rsidR="00744965" w:rsidRPr="00744965" w:rsidRDefault="00744965" w:rsidP="00744965">
            <w:pPr>
              <w:rPr>
                <w:i/>
                <w:szCs w:val="22"/>
              </w:rPr>
            </w:pPr>
            <w:r w:rsidRPr="00744965">
              <w:rPr>
                <w:i/>
                <w:szCs w:val="22"/>
              </w:rPr>
              <w:t>Pack size:</w:t>
            </w:r>
          </w:p>
        </w:tc>
        <w:tc>
          <w:tcPr>
            <w:tcW w:w="3423" w:type="pct"/>
          </w:tcPr>
          <w:p w14:paraId="62A277DF" w14:textId="77777777" w:rsidR="00744965" w:rsidRPr="00744965" w:rsidRDefault="00744965" w:rsidP="00744965">
            <w:pPr>
              <w:rPr>
                <w:szCs w:val="22"/>
              </w:rPr>
            </w:pPr>
            <w:r w:rsidRPr="00744965">
              <w:rPr>
                <w:szCs w:val="22"/>
              </w:rPr>
              <w:t>7 film coated tablet Starter Packs and 28 film coated tablet Commercial Packs.</w:t>
            </w:r>
          </w:p>
        </w:tc>
      </w:tr>
      <w:tr w:rsidR="00744965" w:rsidRPr="00744965" w14:paraId="202B1FFC" w14:textId="77777777" w:rsidTr="00F842C8">
        <w:tc>
          <w:tcPr>
            <w:tcW w:w="1577" w:type="pct"/>
          </w:tcPr>
          <w:p w14:paraId="086FBDFD" w14:textId="77777777" w:rsidR="00744965" w:rsidRPr="00744965" w:rsidRDefault="00744965" w:rsidP="00744965">
            <w:pPr>
              <w:rPr>
                <w:i/>
                <w:szCs w:val="22"/>
              </w:rPr>
            </w:pPr>
            <w:r w:rsidRPr="00744965">
              <w:rPr>
                <w:i/>
                <w:szCs w:val="22"/>
              </w:rPr>
              <w:t>Approved therapeutic use for the current submission:</w:t>
            </w:r>
          </w:p>
        </w:tc>
        <w:tc>
          <w:tcPr>
            <w:tcW w:w="3423" w:type="pct"/>
          </w:tcPr>
          <w:p w14:paraId="41D84064" w14:textId="77777777" w:rsidR="00744965" w:rsidRPr="00744965" w:rsidRDefault="00744965" w:rsidP="00744965">
            <w:pPr>
              <w:rPr>
                <w:szCs w:val="22"/>
              </w:rPr>
            </w:pPr>
            <w:r w:rsidRPr="00744965">
              <w:rPr>
                <w:szCs w:val="22"/>
              </w:rPr>
              <w:t xml:space="preserve">For the treatment of moderate-to-severe atopic dermatitis in adults who are candidates for systemic therapy. </w:t>
            </w:r>
            <w:proofErr w:type="spellStart"/>
            <w:r w:rsidRPr="00744965">
              <w:rPr>
                <w:szCs w:val="22"/>
              </w:rPr>
              <w:t>Cibinqo</w:t>
            </w:r>
            <w:proofErr w:type="spellEnd"/>
            <w:r w:rsidRPr="00744965">
              <w:rPr>
                <w:szCs w:val="22"/>
              </w:rPr>
              <w:t xml:space="preserve"> can be used with or without medicated topical therapies for atopic dermatitis. </w:t>
            </w:r>
          </w:p>
        </w:tc>
      </w:tr>
      <w:tr w:rsidR="00744965" w:rsidRPr="00744965" w14:paraId="19D44D01" w14:textId="77777777" w:rsidTr="00F842C8">
        <w:tc>
          <w:tcPr>
            <w:tcW w:w="1577" w:type="pct"/>
          </w:tcPr>
          <w:p w14:paraId="3176D05A" w14:textId="77777777" w:rsidR="00744965" w:rsidRPr="00744965" w:rsidRDefault="00744965" w:rsidP="00744965">
            <w:pPr>
              <w:rPr>
                <w:i/>
                <w:szCs w:val="22"/>
              </w:rPr>
            </w:pPr>
            <w:r w:rsidRPr="00744965">
              <w:rPr>
                <w:i/>
                <w:szCs w:val="22"/>
              </w:rPr>
              <w:lastRenderedPageBreak/>
              <w:t>Routes of administration:</w:t>
            </w:r>
          </w:p>
        </w:tc>
        <w:tc>
          <w:tcPr>
            <w:tcW w:w="3423" w:type="pct"/>
          </w:tcPr>
          <w:p w14:paraId="3623E350" w14:textId="77777777" w:rsidR="00744965" w:rsidRPr="00744965" w:rsidRDefault="00744965" w:rsidP="00744965">
            <w:pPr>
              <w:rPr>
                <w:szCs w:val="22"/>
              </w:rPr>
            </w:pPr>
            <w:r w:rsidRPr="00744965">
              <w:rPr>
                <w:szCs w:val="22"/>
              </w:rPr>
              <w:t>Oral</w:t>
            </w:r>
          </w:p>
        </w:tc>
      </w:tr>
      <w:tr w:rsidR="00744965" w:rsidRPr="00744965" w14:paraId="2E5F9C96" w14:textId="77777777" w:rsidTr="00F842C8">
        <w:tc>
          <w:tcPr>
            <w:tcW w:w="1577" w:type="pct"/>
          </w:tcPr>
          <w:p w14:paraId="009AEA25" w14:textId="77777777" w:rsidR="00744965" w:rsidRPr="00744965" w:rsidRDefault="00744965" w:rsidP="00744965">
            <w:pPr>
              <w:rPr>
                <w:i/>
                <w:szCs w:val="22"/>
              </w:rPr>
            </w:pPr>
            <w:r w:rsidRPr="00744965">
              <w:rPr>
                <w:i/>
                <w:szCs w:val="22"/>
              </w:rPr>
              <w:t>Dosage:</w:t>
            </w:r>
          </w:p>
        </w:tc>
        <w:tc>
          <w:tcPr>
            <w:tcW w:w="3423" w:type="pct"/>
          </w:tcPr>
          <w:p w14:paraId="52154B8E" w14:textId="77777777" w:rsidR="00744965" w:rsidRPr="00744965" w:rsidRDefault="00744965" w:rsidP="00744965">
            <w:pPr>
              <w:rPr>
                <w:szCs w:val="22"/>
              </w:rPr>
            </w:pPr>
            <w:r w:rsidRPr="00744965">
              <w:rPr>
                <w:szCs w:val="22"/>
              </w:rPr>
              <w:t>The recommended starting dose is 100 mg or 200 mg once daily based on individual patient characteristics:</w:t>
            </w:r>
          </w:p>
          <w:p w14:paraId="160076AF" w14:textId="77777777" w:rsidR="00744965" w:rsidRPr="00744965" w:rsidRDefault="00744965" w:rsidP="00744965">
            <w:pPr>
              <w:rPr>
                <w:szCs w:val="22"/>
              </w:rPr>
            </w:pPr>
            <w:r w:rsidRPr="00744965">
              <w:rPr>
                <w:szCs w:val="22"/>
              </w:rPr>
              <w:t xml:space="preserve">• A starting dose of 100 mg once daily is recommended for patients at higher risk of </w:t>
            </w:r>
            <w:bookmarkStart w:id="105" w:name="_Hlk165458856"/>
            <w:r w:rsidRPr="00744965">
              <w:rPr>
                <w:szCs w:val="22"/>
              </w:rPr>
              <w:t xml:space="preserve">venous thromboembolism (VTE), major adverse cardiovascular event (MACE) </w:t>
            </w:r>
            <w:bookmarkEnd w:id="105"/>
            <w:r w:rsidRPr="00744965">
              <w:rPr>
                <w:szCs w:val="22"/>
              </w:rPr>
              <w:t>and malignancy.</w:t>
            </w:r>
          </w:p>
          <w:p w14:paraId="2AD5CC53" w14:textId="77777777" w:rsidR="00744965" w:rsidRPr="00744965" w:rsidRDefault="00744965" w:rsidP="00744965">
            <w:pPr>
              <w:rPr>
                <w:szCs w:val="22"/>
              </w:rPr>
            </w:pPr>
            <w:r w:rsidRPr="00744965">
              <w:rPr>
                <w:szCs w:val="22"/>
              </w:rPr>
              <w:t>• A dose of 200 mg once daily may be appropriate for patients with high disease burden who are not at higher risk of VTE, MACE and malignancy or for patients with an inadequate response to 100 mg once daily. Upon disease control, dose should be decreased to 100 mg once daily. If disease control is not maintained after dose reduction, re-treatment with 200 mg once daily can be considered.</w:t>
            </w:r>
          </w:p>
          <w:p w14:paraId="670C6132" w14:textId="77777777" w:rsidR="00744965" w:rsidRPr="00744965" w:rsidRDefault="00744965" w:rsidP="00744965">
            <w:pPr>
              <w:rPr>
                <w:szCs w:val="22"/>
              </w:rPr>
            </w:pPr>
            <w:r w:rsidRPr="00744965">
              <w:rPr>
                <w:szCs w:val="22"/>
              </w:rPr>
              <w:t>The lowest effective dose for maintenance should be considered.</w:t>
            </w:r>
          </w:p>
          <w:p w14:paraId="60F99B38" w14:textId="77777777" w:rsidR="00744965" w:rsidRPr="00744965" w:rsidRDefault="00744965" w:rsidP="00744965">
            <w:pPr>
              <w:rPr>
                <w:szCs w:val="22"/>
              </w:rPr>
            </w:pPr>
            <w:r w:rsidRPr="00744965">
              <w:rPr>
                <w:szCs w:val="22"/>
              </w:rPr>
              <w:t>Discontinuation of treatment should be considered in patients who show no evidence of therapeutic benefit after 24 weeks.</w:t>
            </w:r>
          </w:p>
          <w:p w14:paraId="62C4AE4D" w14:textId="77777777" w:rsidR="00744965" w:rsidRPr="00744965" w:rsidRDefault="00744965" w:rsidP="00744965">
            <w:pPr>
              <w:rPr>
                <w:szCs w:val="22"/>
              </w:rPr>
            </w:pPr>
            <w:r w:rsidRPr="00744965">
              <w:rPr>
                <w:szCs w:val="22"/>
              </w:rPr>
              <w:t xml:space="preserve">For further information regarding dosage, such as dosage modifications to manage adverse reactions, refer to the </w:t>
            </w:r>
            <w:hyperlink r:id="rId57" w:history="1">
              <w:r w:rsidRPr="00744965">
                <w:rPr>
                  <w:color w:val="0000FF"/>
                  <w:szCs w:val="22"/>
                  <w:u w:val="single"/>
                </w:rPr>
                <w:t>Product Information</w:t>
              </w:r>
            </w:hyperlink>
            <w:r w:rsidRPr="00744965">
              <w:rPr>
                <w:szCs w:val="22"/>
              </w:rPr>
              <w:t>.</w:t>
            </w:r>
          </w:p>
        </w:tc>
      </w:tr>
      <w:tr w:rsidR="00744965" w:rsidRPr="00744965" w14:paraId="52F9C61B" w14:textId="77777777" w:rsidTr="00F842C8">
        <w:tc>
          <w:tcPr>
            <w:tcW w:w="1577" w:type="pct"/>
          </w:tcPr>
          <w:p w14:paraId="2506ED74" w14:textId="77777777" w:rsidR="00744965" w:rsidRPr="00744965" w:rsidRDefault="00744965" w:rsidP="00744965">
            <w:r w:rsidRPr="00744965">
              <w:rPr>
                <w:i/>
                <w:szCs w:val="22"/>
              </w:rPr>
              <w:t>Pregnancy category:</w:t>
            </w:r>
          </w:p>
        </w:tc>
        <w:tc>
          <w:tcPr>
            <w:tcW w:w="3423" w:type="pct"/>
          </w:tcPr>
          <w:p w14:paraId="15D02F25" w14:textId="77777777" w:rsidR="00744965" w:rsidRPr="00744965" w:rsidRDefault="00744965" w:rsidP="00744965">
            <w:pPr>
              <w:rPr>
                <w:b/>
                <w:bCs/>
              </w:rPr>
            </w:pPr>
            <w:r w:rsidRPr="00744965">
              <w:rPr>
                <w:b/>
                <w:bCs/>
              </w:rPr>
              <w:t xml:space="preserve">D. </w:t>
            </w:r>
          </w:p>
          <w:p w14:paraId="6EAD542A" w14:textId="77777777" w:rsidR="00744965" w:rsidRPr="00744965" w:rsidRDefault="00744965" w:rsidP="00744965">
            <w:r w:rsidRPr="00744965">
              <w:t xml:space="preserve">Drugs which have caused, are suspected to have caused or may be expected to cause, an increased incidence of human </w:t>
            </w:r>
            <w:proofErr w:type="spellStart"/>
            <w:r w:rsidRPr="00744965">
              <w:t>fetal</w:t>
            </w:r>
            <w:proofErr w:type="spellEnd"/>
            <w:r w:rsidRPr="00744965">
              <w:t xml:space="preserve"> malformations or irreversible damage. These drugs may also have adverse pharmacological effects. Accompanying texts should be consulted for further details.</w:t>
            </w:r>
          </w:p>
          <w:p w14:paraId="0A82B22B" w14:textId="77777777" w:rsidR="00744965" w:rsidRPr="00744965" w:rsidRDefault="00744965" w:rsidP="00744965">
            <w:pPr>
              <w:rPr>
                <w:szCs w:val="22"/>
              </w:rPr>
            </w:pPr>
            <w:r w:rsidRPr="00744965">
              <w:rPr>
                <w:szCs w:val="22"/>
              </w:rPr>
              <w:t xml:space="preserve">The use of any medicine during pregnancy requires careful consideration of both risks and benefits by the treating health professional. The </w:t>
            </w:r>
            <w:hyperlink r:id="rId58" w:history="1">
              <w:r w:rsidRPr="00744965">
                <w:rPr>
                  <w:color w:val="0000FF"/>
                  <w:szCs w:val="22"/>
                  <w:u w:val="single"/>
                </w:rPr>
                <w:t>pregnancy database</w:t>
              </w:r>
            </w:hyperlink>
            <w:r w:rsidRPr="00744965">
              <w:t xml:space="preserve"> </w:t>
            </w:r>
            <w:r w:rsidRPr="00744965">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59" w:history="1">
              <w:r w:rsidRPr="00744965">
                <w:rPr>
                  <w:color w:val="0000FF"/>
                  <w:szCs w:val="22"/>
                  <w:u w:val="single"/>
                </w:rPr>
                <w:t>obstetric drug information services</w:t>
              </w:r>
            </w:hyperlink>
            <w:r w:rsidRPr="00744965">
              <w:rPr>
                <w:szCs w:val="22"/>
              </w:rPr>
              <w:t xml:space="preserve"> in your state or territory.</w:t>
            </w:r>
          </w:p>
        </w:tc>
      </w:tr>
    </w:tbl>
    <w:p w14:paraId="70AF36C1" w14:textId="77777777" w:rsidR="00744965" w:rsidRPr="00744965" w:rsidRDefault="00744965" w:rsidP="006419D6">
      <w:pPr>
        <w:pStyle w:val="Heading3"/>
      </w:pPr>
      <w:bookmarkStart w:id="106" w:name="_Toc103679301"/>
      <w:bookmarkStart w:id="107" w:name="_Toc172967112"/>
      <w:bookmarkStart w:id="108" w:name="_Toc173925456"/>
      <w:bookmarkStart w:id="109" w:name="_Toc172883262"/>
      <w:r w:rsidRPr="00744965">
        <w:t>Specific conditions of registration applying to these goods</w:t>
      </w:r>
      <w:bookmarkEnd w:id="106"/>
      <w:bookmarkEnd w:id="107"/>
      <w:bookmarkEnd w:id="108"/>
    </w:p>
    <w:p w14:paraId="0CD47CD5" w14:textId="7424165C" w:rsidR="00744965" w:rsidRPr="00744965" w:rsidRDefault="00744965" w:rsidP="006419D6">
      <w:pPr>
        <w:rPr>
          <w:rFonts w:cs="Cambria"/>
          <w:szCs w:val="22"/>
        </w:rPr>
      </w:pPr>
      <w:proofErr w:type="spellStart"/>
      <w:r w:rsidRPr="00744965">
        <w:rPr>
          <w:rFonts w:cs="Cambria"/>
          <w:szCs w:val="22"/>
        </w:rPr>
        <w:t>Cibinqo</w:t>
      </w:r>
      <w:proofErr w:type="spellEnd"/>
      <w:r w:rsidRPr="00744965">
        <w:rPr>
          <w:rFonts w:cs="Cambria"/>
          <w:szCs w:val="22"/>
        </w:rPr>
        <w:t xml:space="preserve"> is to be included in the </w:t>
      </w:r>
      <w:hyperlink r:id="rId60" w:history="1">
        <w:r w:rsidRPr="00744965">
          <w:rPr>
            <w:rFonts w:cs="Cambria"/>
            <w:color w:val="0000FF"/>
            <w:szCs w:val="22"/>
            <w:u w:val="single"/>
          </w:rPr>
          <w:t>Black Triangle Scheme</w:t>
        </w:r>
      </w:hyperlink>
      <w:r w:rsidRPr="00744965">
        <w:rPr>
          <w:rFonts w:cs="Cambria"/>
          <w:szCs w:val="22"/>
        </w:rPr>
        <w:t xml:space="preserve">. The PI and CMI for </w:t>
      </w:r>
      <w:proofErr w:type="spellStart"/>
      <w:r w:rsidRPr="00744965">
        <w:rPr>
          <w:rFonts w:cs="Cambria"/>
          <w:szCs w:val="22"/>
        </w:rPr>
        <w:t>Cibinqo</w:t>
      </w:r>
      <w:proofErr w:type="spellEnd"/>
      <w:r w:rsidRPr="00744965">
        <w:rPr>
          <w:rFonts w:cs="Cambria"/>
          <w:szCs w:val="22"/>
        </w:rPr>
        <w:t xml:space="preserve"> must include the black triangle symbol and mandatory accompanying text for five years, or the product’s entire period of provisional registration, whichever is longer.</w:t>
      </w:r>
      <w:r w:rsidRPr="00744965">
        <w:rPr>
          <w:rFonts w:ascii="Segoe UI" w:hAnsi="Segoe UI" w:cs="Segoe UI"/>
          <w:color w:val="313131"/>
          <w:shd w:val="clear" w:color="auto" w:fill="FFFFFF"/>
        </w:rPr>
        <w:t xml:space="preserve"> </w:t>
      </w:r>
      <w:r w:rsidRPr="00744965">
        <w:rPr>
          <w:rFonts w:cs="Cambria"/>
          <w:szCs w:val="22"/>
        </w:rPr>
        <w:t>The Black Triangle Scheme identifies new prescription medicines with a black triangle on the medicine information documents. The scheme also applies to</w:t>
      </w:r>
      <w:r w:rsidR="006419D6">
        <w:rPr>
          <w:rFonts w:cs="Cambria"/>
          <w:szCs w:val="22"/>
        </w:rPr>
        <w:t xml:space="preserve"> </w:t>
      </w:r>
      <w:hyperlink r:id="rId61" w:tooltip="Prescription medicines" w:history="1">
        <w:r w:rsidRPr="00744965">
          <w:rPr>
            <w:rFonts w:cs="Cambria"/>
            <w:color w:val="0000FF"/>
            <w:szCs w:val="22"/>
            <w:u w:val="single"/>
          </w:rPr>
          <w:t>prescription medicines</w:t>
        </w:r>
      </w:hyperlink>
      <w:r w:rsidR="006419D6">
        <w:rPr>
          <w:rFonts w:cs="Cambria"/>
          <w:szCs w:val="22"/>
        </w:rPr>
        <w:t xml:space="preserve"> </w:t>
      </w:r>
      <w:r w:rsidRPr="00744965">
        <w:rPr>
          <w:rFonts w:cs="Cambria"/>
          <w:szCs w:val="22"/>
        </w:rPr>
        <w:t>being used in new ways, such as a medicine that is now being used for children.</w:t>
      </w:r>
      <w:r w:rsidR="006419D6">
        <w:rPr>
          <w:rFonts w:cs="Cambria"/>
          <w:szCs w:val="22"/>
        </w:rPr>
        <w:t xml:space="preserve"> </w:t>
      </w:r>
      <w:r w:rsidRPr="00744965">
        <w:rPr>
          <w:rFonts w:cs="Cambria"/>
          <w:szCs w:val="22"/>
        </w:rPr>
        <w:t>The black triangle is a visual reminder to encourage health practitioners and patients to</w:t>
      </w:r>
      <w:r w:rsidR="006419D6">
        <w:rPr>
          <w:rFonts w:cs="Cambria"/>
          <w:szCs w:val="22"/>
        </w:rPr>
        <w:t xml:space="preserve"> </w:t>
      </w:r>
      <w:hyperlink r:id="rId62" w:tooltip="Report a problem or side effect" w:history="1">
        <w:r w:rsidRPr="00744965">
          <w:rPr>
            <w:rFonts w:cs="Cambria"/>
            <w:color w:val="0000FF"/>
            <w:szCs w:val="22"/>
            <w:u w:val="single"/>
          </w:rPr>
          <w:t>report a problem or side effect</w:t>
        </w:r>
      </w:hyperlink>
      <w:r w:rsidRPr="00744965">
        <w:rPr>
          <w:rFonts w:cs="Cambria"/>
          <w:szCs w:val="22"/>
        </w:rPr>
        <w:t>.</w:t>
      </w:r>
    </w:p>
    <w:p w14:paraId="10C25F07" w14:textId="62FD4E21" w:rsidR="00744965" w:rsidRPr="00744965" w:rsidRDefault="00744965" w:rsidP="006419D6">
      <w:r w:rsidRPr="00744965">
        <w:lastRenderedPageBreak/>
        <w:t xml:space="preserve">The </w:t>
      </w:r>
      <w:proofErr w:type="spellStart"/>
      <w:r w:rsidRPr="00744965">
        <w:t>Cibinqo</w:t>
      </w:r>
      <w:proofErr w:type="spellEnd"/>
      <w:r w:rsidRPr="00744965">
        <w:t xml:space="preserve"> EU- </w:t>
      </w:r>
      <w:hyperlink r:id="rId63" w:history="1">
        <w:r w:rsidRPr="00744965">
          <w:rPr>
            <w:color w:val="0000FF"/>
            <w:u w:val="single"/>
          </w:rPr>
          <w:t>Risk Management Plan</w:t>
        </w:r>
      </w:hyperlink>
      <w:r w:rsidRPr="00744965">
        <w:t xml:space="preserve"> (RMP) (version 3.2, dated 27 October 2022, data lock point 16 April 2021), with Australian Specific Annex (version 6.0; dated 26 January 2024), and any subsequent revisions, as agreed with the TGA will be implemented in Australia.</w:t>
      </w:r>
    </w:p>
    <w:p w14:paraId="0254B39D" w14:textId="581F1E2A" w:rsidR="00744965" w:rsidRPr="006419D6" w:rsidRDefault="00744965" w:rsidP="006419D6">
      <w:r w:rsidRPr="00744965">
        <w:t xml:space="preserve">An obligatory component of risk management plans is routine </w:t>
      </w:r>
      <w:hyperlink r:id="rId64" w:history="1">
        <w:r w:rsidRPr="00744965">
          <w:rPr>
            <w:color w:val="0000FF"/>
            <w:u w:val="single"/>
          </w:rPr>
          <w:t>pharmacovigilance</w:t>
        </w:r>
      </w:hyperlink>
      <w:r w:rsidRPr="00744965">
        <w:t xml:space="preserve">. Routine pharmacovigilance includes the submission of </w:t>
      </w:r>
      <w:hyperlink r:id="rId65" w:history="1">
        <w:r w:rsidRPr="00744965">
          <w:rPr>
            <w:color w:val="0000FF"/>
            <w:u w:val="single"/>
          </w:rPr>
          <w:t>periodic safety update reports (PSURs)</w:t>
        </w:r>
      </w:hyperlink>
      <w:r w:rsidR="006419D6" w:rsidRPr="006419D6">
        <w:t>.</w:t>
      </w:r>
    </w:p>
    <w:p w14:paraId="42DA8143" w14:textId="77777777" w:rsidR="00744965" w:rsidRPr="00744965" w:rsidRDefault="00744965" w:rsidP="006419D6">
      <w:r w:rsidRPr="00744965">
        <w:t xml:space="preserve">Unless agreed separately between the supplier who is the recipient of the approval and the TGA, the first report must be submitted to TGA no later than 15 calendar months after the date of approval.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The </w:t>
      </w:r>
      <w:proofErr w:type="gramStart"/>
      <w:r w:rsidRPr="00744965">
        <w:t>six monthly</w:t>
      </w:r>
      <w:proofErr w:type="gramEnd"/>
      <w:r w:rsidRPr="00744965">
        <w:t xml:space="preserve"> reports may be submitted separately as they become available.</w:t>
      </w:r>
    </w:p>
    <w:p w14:paraId="66C34EF6" w14:textId="01D17B3C" w:rsidR="00744965" w:rsidRPr="00744965" w:rsidRDefault="00744965" w:rsidP="006419D6">
      <w:r w:rsidRPr="00744965">
        <w:t>Final versions of the additional risk minimisation materials referred to in the RMP and Australia Specific Annex to the TGA for review and acceptance must be provided at least 6 weeks before the product is supplied in Australia.</w:t>
      </w:r>
    </w:p>
    <w:p w14:paraId="6DB931B2" w14:textId="77777777" w:rsidR="00744965" w:rsidRPr="00744965" w:rsidRDefault="00744965" w:rsidP="006419D6">
      <w:pPr>
        <w:pStyle w:val="Heading2"/>
      </w:pPr>
      <w:bookmarkStart w:id="110" w:name="_Toc172967113"/>
      <w:bookmarkStart w:id="111" w:name="_Toc173925457"/>
      <w:r w:rsidRPr="00744965">
        <w:t>Product Information (PI) and Consumer Medicine Information (CMI)</w:t>
      </w:r>
      <w:bookmarkEnd w:id="109"/>
      <w:bookmarkEnd w:id="110"/>
      <w:bookmarkEnd w:id="111"/>
    </w:p>
    <w:p w14:paraId="74B45CF1" w14:textId="77777777" w:rsidR="00744965" w:rsidRPr="006419D6" w:rsidRDefault="00744965" w:rsidP="006419D6">
      <w:r w:rsidRPr="00744965">
        <w:rPr>
          <w:szCs w:val="22"/>
        </w:rPr>
        <w:t xml:space="preserve">The </w:t>
      </w:r>
      <w:hyperlink r:id="rId66" w:history="1">
        <w:r w:rsidRPr="00744965">
          <w:rPr>
            <w:color w:val="0000FF"/>
            <w:szCs w:val="22"/>
            <w:u w:val="single"/>
          </w:rPr>
          <w:t>Product Information</w:t>
        </w:r>
      </w:hyperlink>
      <w:r w:rsidRPr="00744965">
        <w:rPr>
          <w:szCs w:val="22"/>
        </w:rPr>
        <w:t xml:space="preserve"> (</w:t>
      </w:r>
      <w:hyperlink r:id="rId67" w:history="1">
        <w:r w:rsidRPr="00744965">
          <w:rPr>
            <w:color w:val="0000FF"/>
            <w:szCs w:val="22"/>
            <w:u w:val="single"/>
          </w:rPr>
          <w:t>PI</w:t>
        </w:r>
      </w:hyperlink>
      <w:r w:rsidRPr="00744965">
        <w:rPr>
          <w:szCs w:val="22"/>
        </w:rPr>
        <w:t xml:space="preserve">) approved with this submission for </w:t>
      </w:r>
      <w:proofErr w:type="spellStart"/>
      <w:r w:rsidRPr="00744965">
        <w:rPr>
          <w:szCs w:val="22"/>
        </w:rPr>
        <w:t>Cibinqo</w:t>
      </w:r>
      <w:proofErr w:type="spellEnd"/>
      <w:r w:rsidRPr="00744965">
        <w:rPr>
          <w:szCs w:val="22"/>
        </w:rPr>
        <w:t xml:space="preserve"> which is referred to in this </w:t>
      </w:r>
      <w:proofErr w:type="spellStart"/>
      <w:r w:rsidRPr="00744965">
        <w:rPr>
          <w:szCs w:val="22"/>
        </w:rPr>
        <w:t>AusPAR</w:t>
      </w:r>
      <w:proofErr w:type="spellEnd"/>
      <w:r w:rsidRPr="00744965">
        <w:rPr>
          <w:szCs w:val="22"/>
        </w:rPr>
        <w:t xml:space="preserve"> (and can be accessed on this </w:t>
      </w:r>
      <w:proofErr w:type="spellStart"/>
      <w:r w:rsidRPr="00744965">
        <w:rPr>
          <w:szCs w:val="22"/>
        </w:rPr>
        <w:t>AusPAR’s</w:t>
      </w:r>
      <w:proofErr w:type="spellEnd"/>
      <w:r w:rsidRPr="00744965">
        <w:rPr>
          <w:szCs w:val="22"/>
        </w:rPr>
        <w:t xml:space="preserve"> webpage) may have been superseded. For the most recent PI and </w:t>
      </w:r>
      <w:hyperlink r:id="rId68" w:history="1">
        <w:r w:rsidRPr="00744965">
          <w:rPr>
            <w:color w:val="0000FF"/>
            <w:szCs w:val="22"/>
            <w:u w:val="single"/>
          </w:rPr>
          <w:t>Consumer Medicines Information</w:t>
        </w:r>
      </w:hyperlink>
      <w:r w:rsidRPr="00744965">
        <w:rPr>
          <w:szCs w:val="22"/>
        </w:rPr>
        <w:t xml:space="preserve"> (CMI), please refer to the TGA </w:t>
      </w:r>
      <w:hyperlink r:id="rId69" w:history="1">
        <w:r w:rsidRPr="00744965">
          <w:rPr>
            <w:color w:val="0000FF"/>
            <w:szCs w:val="22"/>
            <w:u w:val="single"/>
          </w:rPr>
          <w:t>PI/CMI search facility</w:t>
        </w:r>
        <w:r w:rsidRPr="006419D6">
          <w:t>.</w:t>
        </w:r>
      </w:hyperlink>
    </w:p>
    <w:p w14:paraId="72821C99" w14:textId="77777777" w:rsidR="00744965" w:rsidRPr="00744965" w:rsidRDefault="00744965" w:rsidP="006419D6">
      <w:pPr>
        <w:pStyle w:val="Heading2"/>
      </w:pPr>
      <w:bookmarkStart w:id="112" w:name="_Toc103679291"/>
      <w:bookmarkStart w:id="113" w:name="_Toc172967114"/>
      <w:bookmarkStart w:id="114" w:name="_Toc173925458"/>
      <w:r w:rsidRPr="00744965">
        <w:t>Regulatory status</w:t>
      </w:r>
      <w:bookmarkEnd w:id="112"/>
      <w:bookmarkEnd w:id="113"/>
      <w:bookmarkEnd w:id="114"/>
    </w:p>
    <w:p w14:paraId="0490154B" w14:textId="77777777" w:rsidR="00744965" w:rsidRPr="00744965" w:rsidRDefault="00744965" w:rsidP="006419D6">
      <w:pPr>
        <w:pStyle w:val="Heading3"/>
        <w:rPr>
          <w:rFonts w:eastAsia="Cambria"/>
        </w:rPr>
      </w:pPr>
      <w:bookmarkStart w:id="115" w:name="_Toc172967115"/>
      <w:bookmarkStart w:id="116" w:name="_Toc173925459"/>
      <w:r w:rsidRPr="00744965">
        <w:rPr>
          <w:rFonts w:eastAsia="Cambria"/>
        </w:rPr>
        <w:t>Australian regulatory status</w:t>
      </w:r>
      <w:bookmarkEnd w:id="115"/>
      <w:bookmarkEnd w:id="116"/>
    </w:p>
    <w:p w14:paraId="268D8D87" w14:textId="77777777" w:rsidR="00744965" w:rsidRPr="00744965" w:rsidRDefault="00744965" w:rsidP="006419D6">
      <w:r w:rsidRPr="00744965">
        <w:t>This product is considered a new chemical entity medicine for Australian regulatory purposes.</w:t>
      </w:r>
    </w:p>
    <w:p w14:paraId="1F7B3F20" w14:textId="77777777" w:rsidR="00744965" w:rsidRPr="00744965" w:rsidRDefault="00744965" w:rsidP="006419D6">
      <w:pPr>
        <w:pStyle w:val="Heading3"/>
        <w:rPr>
          <w:rFonts w:eastAsia="Cambria"/>
        </w:rPr>
      </w:pPr>
      <w:bookmarkStart w:id="117" w:name="_Toc172967116"/>
      <w:bookmarkStart w:id="118" w:name="_Toc173925460"/>
      <w:r w:rsidRPr="00744965">
        <w:rPr>
          <w:rFonts w:eastAsia="Cambria"/>
        </w:rPr>
        <w:t>International regulatory status</w:t>
      </w:r>
      <w:bookmarkEnd w:id="117"/>
      <w:bookmarkEnd w:id="118"/>
    </w:p>
    <w:p w14:paraId="56316240" w14:textId="77777777" w:rsidR="00744965" w:rsidRPr="006419D6" w:rsidRDefault="00744965" w:rsidP="006419D6">
      <w:pPr>
        <w:rPr>
          <w:b/>
          <w:bCs/>
        </w:rPr>
      </w:pPr>
      <w:bookmarkStart w:id="119" w:name="_Ref99705479"/>
      <w:r w:rsidRPr="006419D6">
        <w:rPr>
          <w:b/>
          <w:bCs/>
        </w:rPr>
        <w:t xml:space="preserve">The UK MHRA approved </w:t>
      </w:r>
      <w:proofErr w:type="spellStart"/>
      <w:r w:rsidRPr="006419D6">
        <w:rPr>
          <w:b/>
          <w:bCs/>
        </w:rPr>
        <w:t>abrocitinib</w:t>
      </w:r>
      <w:proofErr w:type="spellEnd"/>
      <w:r w:rsidRPr="006419D6">
        <w:rPr>
          <w:b/>
          <w:bCs/>
        </w:rPr>
        <w:t xml:space="preserve"> in September 2021. The indications and posology as of June 2024 are as follows:</w:t>
      </w:r>
    </w:p>
    <w:p w14:paraId="3F9310DC" w14:textId="3CEBDDBB" w:rsidR="00744965" w:rsidRPr="006419D6" w:rsidRDefault="00744965" w:rsidP="006419D6">
      <w:pPr>
        <w:ind w:left="720"/>
        <w:rPr>
          <w:i/>
          <w:iCs/>
        </w:rPr>
      </w:pPr>
      <w:r w:rsidRPr="006419D6">
        <w:rPr>
          <w:i/>
          <w:iCs/>
        </w:rPr>
        <w:t>“</w:t>
      </w:r>
      <w:proofErr w:type="spellStart"/>
      <w:r w:rsidRPr="006419D6">
        <w:rPr>
          <w:i/>
          <w:iCs/>
        </w:rPr>
        <w:t>Cibinqo</w:t>
      </w:r>
      <w:proofErr w:type="spellEnd"/>
      <w:r w:rsidRPr="006419D6">
        <w:rPr>
          <w:i/>
          <w:iCs/>
        </w:rPr>
        <w:t xml:space="preserve"> is indicated for the treatment of moderate-to-severe atopic dermatitis in adults and adolescents 12 years and older who are candidates for systemic therapy.”</w:t>
      </w:r>
    </w:p>
    <w:p w14:paraId="07FA9913" w14:textId="3FA6234E" w:rsidR="00744965" w:rsidRPr="006419D6" w:rsidRDefault="00744965" w:rsidP="006419D6">
      <w:pPr>
        <w:rPr>
          <w:b/>
          <w:bCs/>
          <w:i/>
          <w:iCs/>
        </w:rPr>
      </w:pPr>
      <w:r w:rsidRPr="006419D6">
        <w:rPr>
          <w:b/>
          <w:bCs/>
          <w:i/>
          <w:iCs/>
        </w:rPr>
        <w:t>Dose and method of administration:</w:t>
      </w:r>
    </w:p>
    <w:p w14:paraId="33CF1684" w14:textId="0573D9F7" w:rsidR="00744965" w:rsidRPr="00744965" w:rsidRDefault="00744965" w:rsidP="006419D6">
      <w:r w:rsidRPr="00744965">
        <w:t xml:space="preserve">The recommended starting dose of </w:t>
      </w:r>
      <w:proofErr w:type="spellStart"/>
      <w:r w:rsidRPr="00744965">
        <w:t>Cibinqo</w:t>
      </w:r>
      <w:proofErr w:type="spellEnd"/>
      <w:r w:rsidRPr="00744965">
        <w:t xml:space="preserve"> is 100 mg or 200 mg once daily based on individual patient characteristics:</w:t>
      </w:r>
    </w:p>
    <w:p w14:paraId="2A9F8AAA" w14:textId="079338C5" w:rsidR="00744965" w:rsidRPr="00744965" w:rsidRDefault="00744965" w:rsidP="006419D6">
      <w:pPr>
        <w:pStyle w:val="ListBullet"/>
      </w:pPr>
      <w:r w:rsidRPr="00744965">
        <w:t>A starting dose of 100 mg once daily is recommended for adolescents (12 to 17 years old), and for patients at higher risk of venous thromboembolism (VTE), major adverse cardiovascular event (MACE) and malignancy. If the patient does not respond adequately to 100 mg once daily, the dose can be increased to 200 mg once daily (see below).</w:t>
      </w:r>
    </w:p>
    <w:p w14:paraId="459764E3" w14:textId="64ED9920" w:rsidR="00744965" w:rsidRPr="00744965" w:rsidRDefault="00744965" w:rsidP="006419D6">
      <w:pPr>
        <w:pStyle w:val="ListBullet"/>
      </w:pPr>
      <w:r w:rsidRPr="00744965">
        <w:lastRenderedPageBreak/>
        <w:t>A dose of 200 mg once daily may be appropriate for patients who are not at higher risk of VTE, MACE and malignancy with high disease burden or for patients with an inadequate response to 100 mg once daily. Upon disease control, dose should be decreased to 100 mg once daily. If disease control is not maintained after dose reduction, re-treatment with 200 mg once daily can be considered. The lowest effective dose for maintenance should be considered. Discontinuation of treatment should be considered in patients who show no evidence of therapeutic benefit after 24 weeks.</w:t>
      </w:r>
    </w:p>
    <w:p w14:paraId="5C063D18" w14:textId="77777777" w:rsidR="00744965" w:rsidRPr="00744965" w:rsidRDefault="00744965" w:rsidP="006419D6">
      <w:pPr>
        <w:pStyle w:val="ListBullet"/>
      </w:pPr>
      <w:proofErr w:type="spellStart"/>
      <w:r w:rsidRPr="00744965">
        <w:t>Cibinqo</w:t>
      </w:r>
      <w:proofErr w:type="spellEnd"/>
      <w:r w:rsidRPr="00744965">
        <w:t xml:space="preserve"> can be used with or without medicated topical therapies for atopic dermatitis.</w:t>
      </w:r>
    </w:p>
    <w:p w14:paraId="76629962" w14:textId="77777777" w:rsidR="00744965" w:rsidRPr="006419D6" w:rsidRDefault="00744965" w:rsidP="006419D6">
      <w:pPr>
        <w:rPr>
          <w:b/>
          <w:bCs/>
        </w:rPr>
      </w:pPr>
      <w:r w:rsidRPr="006419D6">
        <w:rPr>
          <w:b/>
          <w:bCs/>
        </w:rPr>
        <w:t xml:space="preserve">The EMA approved </w:t>
      </w:r>
      <w:proofErr w:type="spellStart"/>
      <w:r w:rsidRPr="006419D6">
        <w:rPr>
          <w:b/>
          <w:bCs/>
        </w:rPr>
        <w:t>abrocitinib</w:t>
      </w:r>
      <w:proofErr w:type="spellEnd"/>
      <w:r w:rsidRPr="006419D6">
        <w:rPr>
          <w:b/>
          <w:bCs/>
        </w:rPr>
        <w:t xml:space="preserve"> on the 17th of December 2021. The indications and posology as of June 2024 are as follows:</w:t>
      </w:r>
    </w:p>
    <w:p w14:paraId="3FA3325F" w14:textId="77777777" w:rsidR="00744965" w:rsidRPr="006419D6" w:rsidRDefault="00744965" w:rsidP="006419D6">
      <w:pPr>
        <w:ind w:left="720"/>
        <w:rPr>
          <w:i/>
          <w:iCs/>
        </w:rPr>
      </w:pPr>
      <w:r w:rsidRPr="006419D6">
        <w:rPr>
          <w:i/>
          <w:iCs/>
        </w:rPr>
        <w:t>“</w:t>
      </w:r>
      <w:proofErr w:type="spellStart"/>
      <w:r w:rsidRPr="006419D6">
        <w:rPr>
          <w:i/>
          <w:iCs/>
        </w:rPr>
        <w:t>Cibinqo</w:t>
      </w:r>
      <w:proofErr w:type="spellEnd"/>
      <w:r w:rsidRPr="006419D6">
        <w:rPr>
          <w:i/>
          <w:iCs/>
        </w:rPr>
        <w:t xml:space="preserve"> is indicated for the treatment of moderate-to-severe atopic dermatitis in adults and adolescents 12 years and older who are candidates for systemic therapy.”</w:t>
      </w:r>
    </w:p>
    <w:p w14:paraId="72D04465" w14:textId="77777777" w:rsidR="00744965" w:rsidRPr="006419D6" w:rsidRDefault="00744965" w:rsidP="006419D6">
      <w:pPr>
        <w:rPr>
          <w:b/>
          <w:bCs/>
          <w:i/>
          <w:iCs/>
        </w:rPr>
      </w:pPr>
      <w:r w:rsidRPr="006419D6">
        <w:rPr>
          <w:b/>
          <w:bCs/>
          <w:i/>
          <w:iCs/>
        </w:rPr>
        <w:t>Dose and method of administration:</w:t>
      </w:r>
    </w:p>
    <w:p w14:paraId="3ADCC762" w14:textId="77777777" w:rsidR="00744965" w:rsidRPr="00744965" w:rsidRDefault="00744965" w:rsidP="006419D6">
      <w:pPr>
        <w:pStyle w:val="ListBullet"/>
      </w:pPr>
      <w:r w:rsidRPr="00744965">
        <w:t xml:space="preserve">The recommended starting dose is 100 mg or 200 mg once daily based on individual patient characteristics: </w:t>
      </w:r>
    </w:p>
    <w:p w14:paraId="42D9DBA2" w14:textId="77777777" w:rsidR="00744965" w:rsidRPr="00744965" w:rsidRDefault="00744965" w:rsidP="006419D6">
      <w:pPr>
        <w:pStyle w:val="ListBullet"/>
      </w:pPr>
      <w:r w:rsidRPr="00744965">
        <w:t xml:space="preserve">A starting dose of 100 mg once daily is recommended for patients at higher risk of venous thromboembolism (VTE), major adverse cardiovascular event (MACE) and malignancy (see section 4.4). If the patient does not respond adequately to 100 mg once daily, the dose can be increased to 200 mg once daily. </w:t>
      </w:r>
    </w:p>
    <w:p w14:paraId="3ACBB84F" w14:textId="77777777" w:rsidR="00744965" w:rsidRPr="00744965" w:rsidRDefault="00744965" w:rsidP="006419D6">
      <w:pPr>
        <w:pStyle w:val="ListBullet"/>
      </w:pPr>
      <w:r w:rsidRPr="00744965">
        <w:t xml:space="preserve">A dose of 200 mg once daily may be appropriate for patients who are not at higher risk of VTE, MACE and malignancy with high disease burden or for patients with an inadequate response to 100 mg once daily. Upon disease control, dose should be decreased to 100 mg once daily. If disease control is not maintained after dose reduction, re-treatment with 200 mg once daily can be considered. In adolescents (12 years to 17 years of age), weighing 25 kg to &lt; 59 kg, a starting dose of 100 mg once a day is recommended. If the patient does not respond adequately to 100 mg once daily, the dose can be increased to 200 mg once daily. In adolescents weighing at least 59 kg, a starting dose of 100 mg or 200 mg once daily may be appropriate. </w:t>
      </w:r>
    </w:p>
    <w:p w14:paraId="346A7C1A" w14:textId="77777777" w:rsidR="00744965" w:rsidRPr="00744965" w:rsidRDefault="00744965" w:rsidP="006419D6">
      <w:pPr>
        <w:pStyle w:val="ListBullet"/>
      </w:pPr>
      <w:r w:rsidRPr="00744965">
        <w:t>The lowest effective dose for maintenance should be considered.</w:t>
      </w:r>
    </w:p>
    <w:p w14:paraId="7427BD45" w14:textId="77777777" w:rsidR="00744965" w:rsidRPr="00744965" w:rsidRDefault="00744965" w:rsidP="006419D6">
      <w:pPr>
        <w:pStyle w:val="ListBullet"/>
      </w:pPr>
      <w:r w:rsidRPr="00744965">
        <w:t xml:space="preserve">Discontinuation of treatment should be considered in patients who show no evidence of therapeutic benefit after 24 weeks. </w:t>
      </w:r>
    </w:p>
    <w:p w14:paraId="3394F960" w14:textId="77777777" w:rsidR="00744965" w:rsidRPr="00744965" w:rsidRDefault="00744965" w:rsidP="006419D6">
      <w:pPr>
        <w:pStyle w:val="ListBullet"/>
      </w:pPr>
      <w:proofErr w:type="spellStart"/>
      <w:r w:rsidRPr="00744965">
        <w:t>Cibinqo</w:t>
      </w:r>
      <w:proofErr w:type="spellEnd"/>
      <w:r w:rsidRPr="00744965">
        <w:t xml:space="preserve"> can be used with or without medicated topical therapies for atopic dermatitis.</w:t>
      </w:r>
    </w:p>
    <w:p w14:paraId="752FB4B5" w14:textId="77777777" w:rsidR="00744965" w:rsidRPr="006419D6" w:rsidRDefault="00744965" w:rsidP="006419D6">
      <w:pPr>
        <w:rPr>
          <w:b/>
          <w:bCs/>
        </w:rPr>
      </w:pPr>
      <w:r w:rsidRPr="006419D6">
        <w:rPr>
          <w:b/>
          <w:bCs/>
        </w:rPr>
        <w:t xml:space="preserve">The FDA approved </w:t>
      </w:r>
      <w:proofErr w:type="spellStart"/>
      <w:r w:rsidRPr="006419D6">
        <w:rPr>
          <w:b/>
          <w:bCs/>
        </w:rPr>
        <w:t>abrocitinib</w:t>
      </w:r>
      <w:proofErr w:type="spellEnd"/>
      <w:r w:rsidRPr="006419D6">
        <w:rPr>
          <w:b/>
          <w:bCs/>
        </w:rPr>
        <w:t xml:space="preserve"> on the 14th of January 2022.  The indications and posology as of June 2024 are as follows:</w:t>
      </w:r>
    </w:p>
    <w:p w14:paraId="423485FB" w14:textId="77777777" w:rsidR="00744965" w:rsidRPr="006419D6" w:rsidRDefault="00744965" w:rsidP="006419D6">
      <w:pPr>
        <w:ind w:left="720"/>
        <w:rPr>
          <w:i/>
          <w:iCs/>
        </w:rPr>
      </w:pPr>
      <w:bookmarkStart w:id="120" w:name="_Toc504480011"/>
      <w:bookmarkStart w:id="121" w:name="_Toc103679293"/>
      <w:bookmarkEnd w:id="119"/>
      <w:proofErr w:type="spellStart"/>
      <w:r w:rsidRPr="006419D6">
        <w:rPr>
          <w:i/>
          <w:iCs/>
        </w:rPr>
        <w:t>Cibinqo</w:t>
      </w:r>
      <w:proofErr w:type="spellEnd"/>
      <w:r w:rsidRPr="006419D6">
        <w:rPr>
          <w:i/>
          <w:iCs/>
        </w:rPr>
        <w:t xml:space="preserve"> is indicated for the treatment of adults and paediatric patients 12 years of age and older with refractory, moderate-to-severe atopic dermatitis whose disease is not adequately controlled with other systemic drug products, including biologics, or when use of those therapies is inadvisable.</w:t>
      </w:r>
    </w:p>
    <w:p w14:paraId="7404BC55" w14:textId="2186B498" w:rsidR="00744965" w:rsidRPr="006419D6" w:rsidRDefault="00744965" w:rsidP="006419D6">
      <w:pPr>
        <w:rPr>
          <w:b/>
          <w:bCs/>
        </w:rPr>
      </w:pPr>
      <w:r w:rsidRPr="006419D6">
        <w:rPr>
          <w:b/>
          <w:bCs/>
        </w:rPr>
        <w:t xml:space="preserve">Dose and </w:t>
      </w:r>
      <w:r w:rsidR="006419D6" w:rsidRPr="006419D6">
        <w:rPr>
          <w:b/>
          <w:bCs/>
        </w:rPr>
        <w:t>m</w:t>
      </w:r>
      <w:r w:rsidRPr="006419D6">
        <w:rPr>
          <w:b/>
          <w:bCs/>
        </w:rPr>
        <w:t xml:space="preserve">ethod of </w:t>
      </w:r>
      <w:proofErr w:type="gramStart"/>
      <w:r w:rsidR="006419D6" w:rsidRPr="006419D6">
        <w:rPr>
          <w:b/>
          <w:bCs/>
        </w:rPr>
        <w:t>a</w:t>
      </w:r>
      <w:r w:rsidRPr="006419D6">
        <w:rPr>
          <w:b/>
          <w:bCs/>
        </w:rPr>
        <w:t>dministration</w:t>
      </w:r>
      <w:proofErr w:type="gramEnd"/>
    </w:p>
    <w:p w14:paraId="74B9F406" w14:textId="77777777" w:rsidR="00744965" w:rsidRPr="00744965" w:rsidRDefault="00744965" w:rsidP="006419D6">
      <w:pPr>
        <w:pStyle w:val="ListBullet"/>
      </w:pPr>
      <w:r w:rsidRPr="00744965">
        <w:t xml:space="preserve">The recommended dose is 100 mg once daily. </w:t>
      </w:r>
    </w:p>
    <w:p w14:paraId="1CD380CB" w14:textId="77777777" w:rsidR="00744965" w:rsidRPr="00744965" w:rsidRDefault="00744965" w:rsidP="006419D6">
      <w:pPr>
        <w:pStyle w:val="ListBullet"/>
      </w:pPr>
      <w:r w:rsidRPr="00744965">
        <w:t xml:space="preserve">If an adequate response is not achieved with </w:t>
      </w:r>
      <w:proofErr w:type="spellStart"/>
      <w:r w:rsidRPr="00744965">
        <w:t>Cibinqo</w:t>
      </w:r>
      <w:proofErr w:type="spellEnd"/>
      <w:r w:rsidRPr="00744965">
        <w:t xml:space="preserve"> 100 mg once daily, consider increasing the dosage to 200 mg once daily.</w:t>
      </w:r>
    </w:p>
    <w:p w14:paraId="7900B3E6" w14:textId="77777777" w:rsidR="00744965" w:rsidRPr="00744965" w:rsidRDefault="00744965" w:rsidP="006419D6">
      <w:pPr>
        <w:pStyle w:val="ListBullet"/>
      </w:pPr>
      <w:r w:rsidRPr="00744965">
        <w:t xml:space="preserve">Discontinue </w:t>
      </w:r>
      <w:proofErr w:type="spellStart"/>
      <w:r w:rsidRPr="00744965">
        <w:t>Cibinqo</w:t>
      </w:r>
      <w:proofErr w:type="spellEnd"/>
      <w:r w:rsidRPr="00744965">
        <w:t xml:space="preserve"> if an adequate response is not achieved with 200 mg once daily.</w:t>
      </w:r>
    </w:p>
    <w:p w14:paraId="2B027BB0" w14:textId="77777777" w:rsidR="00744965" w:rsidRPr="00744965" w:rsidRDefault="00744965" w:rsidP="006419D6">
      <w:pPr>
        <w:pStyle w:val="ListBullet"/>
      </w:pPr>
      <w:r w:rsidRPr="00744965">
        <w:t>Use the lowest efficacious dose to maintain response.</w:t>
      </w:r>
    </w:p>
    <w:p w14:paraId="194FCF9A" w14:textId="77777777" w:rsidR="00744965" w:rsidRPr="00744965" w:rsidRDefault="00744965" w:rsidP="006419D6">
      <w:pPr>
        <w:pStyle w:val="ListBullet"/>
      </w:pPr>
      <w:proofErr w:type="spellStart"/>
      <w:r w:rsidRPr="00744965">
        <w:lastRenderedPageBreak/>
        <w:t>Cibinqo</w:t>
      </w:r>
      <w:proofErr w:type="spellEnd"/>
      <w:r w:rsidRPr="00744965">
        <w:t xml:space="preserve"> can be used with or without topical corticosteroids.</w:t>
      </w:r>
    </w:p>
    <w:p w14:paraId="25DC176C" w14:textId="77777777" w:rsidR="00744965" w:rsidRPr="00744965" w:rsidRDefault="00744965" w:rsidP="006419D6">
      <w:pPr>
        <w:pStyle w:val="ListBullet"/>
      </w:pPr>
      <w:r w:rsidRPr="00744965">
        <w:t>If a dose is missed, administer the dose as soon as possible unless it is less than 12 hours before the next dose, in which case skip the missed dose. Thereafter, resume dosing at the regular scheduled time.</w:t>
      </w:r>
    </w:p>
    <w:p w14:paraId="1E73FB5C" w14:textId="77777777" w:rsidR="00744965" w:rsidRPr="00744965" w:rsidRDefault="00744965" w:rsidP="006419D6">
      <w:pPr>
        <w:pStyle w:val="Heading3"/>
      </w:pPr>
      <w:bookmarkStart w:id="122" w:name="_Toc172967117"/>
      <w:bookmarkStart w:id="123" w:name="_Toc173925461"/>
      <w:r w:rsidRPr="006419D6">
        <w:t>Assessment</w:t>
      </w:r>
      <w:r w:rsidRPr="00744965">
        <w:t xml:space="preserve"> and registration timeline</w:t>
      </w:r>
      <w:bookmarkEnd w:id="120"/>
      <w:bookmarkEnd w:id="121"/>
      <w:bookmarkEnd w:id="122"/>
      <w:bookmarkEnd w:id="123"/>
    </w:p>
    <w:p w14:paraId="627EBE2E" w14:textId="77777777" w:rsidR="00744965" w:rsidRPr="00744965" w:rsidRDefault="00744965" w:rsidP="006419D6">
      <w:pPr>
        <w:rPr>
          <w:szCs w:val="22"/>
        </w:rPr>
      </w:pPr>
      <w:r w:rsidRPr="00744965">
        <w:rPr>
          <w:szCs w:val="22"/>
        </w:rPr>
        <w:t xml:space="preserve">This submission was evaluated under the </w:t>
      </w:r>
      <w:hyperlink r:id="rId70" w:history="1">
        <w:r w:rsidRPr="00744965">
          <w:rPr>
            <w:color w:val="0000FF"/>
            <w:szCs w:val="22"/>
            <w:u w:val="single"/>
          </w:rPr>
          <w:t>standard prescription medicines registration process</w:t>
        </w:r>
      </w:hyperlink>
      <w:r w:rsidRPr="00744965">
        <w:rPr>
          <w:szCs w:val="22"/>
        </w:rPr>
        <w:t>.</w:t>
      </w:r>
    </w:p>
    <w:p w14:paraId="3352C8AC" w14:textId="77777777" w:rsidR="00744965" w:rsidRPr="00744965" w:rsidRDefault="00744965" w:rsidP="006419D6">
      <w:r w:rsidRPr="00744965">
        <w:t>Table 35 outlines the key steps and dates for this submission.</w:t>
      </w:r>
    </w:p>
    <w:p w14:paraId="09E93FC9" w14:textId="77777777" w:rsidR="00744965" w:rsidRPr="00744965" w:rsidRDefault="00744965" w:rsidP="006419D6">
      <w:pPr>
        <w:pStyle w:val="TableTitle"/>
      </w:pPr>
      <w:bookmarkStart w:id="124" w:name="_Ref164176543"/>
      <w:r w:rsidRPr="00744965">
        <w:t xml:space="preserve">Table </w:t>
      </w:r>
      <w:bookmarkEnd w:id="124"/>
      <w:r w:rsidRPr="00744965">
        <w:t xml:space="preserve">35. </w:t>
      </w:r>
      <w:r w:rsidRPr="006419D6">
        <w:t>Registration</w:t>
      </w:r>
      <w:r w:rsidRPr="00744965">
        <w:t xml:space="preserve"> timeline for </w:t>
      </w:r>
      <w:proofErr w:type="spellStart"/>
      <w:r w:rsidRPr="00744965">
        <w:t>Cibinqo</w:t>
      </w:r>
      <w:proofErr w:type="spellEnd"/>
      <w:r w:rsidRPr="00744965">
        <w:t xml:space="preserve"> (submission no. PM-2020-05286-1-1) – key dates</w:t>
      </w:r>
    </w:p>
    <w:tbl>
      <w:tblPr>
        <w:tblStyle w:val="TableTGAblue2023"/>
        <w:tblW w:w="8642" w:type="dxa"/>
        <w:tblLook w:val="04A0" w:firstRow="1" w:lastRow="0" w:firstColumn="1" w:lastColumn="0" w:noHBand="0" w:noVBand="1"/>
      </w:tblPr>
      <w:tblGrid>
        <w:gridCol w:w="5665"/>
        <w:gridCol w:w="2977"/>
      </w:tblGrid>
      <w:tr w:rsidR="00744965" w:rsidRPr="00744965" w14:paraId="50A9C61B" w14:textId="77777777" w:rsidTr="00641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440B891" w14:textId="77777777" w:rsidR="00744965" w:rsidRPr="00744965" w:rsidRDefault="00744965" w:rsidP="006419D6">
            <w:r w:rsidRPr="00744965">
              <w:t>Description</w:t>
            </w:r>
          </w:p>
        </w:tc>
        <w:tc>
          <w:tcPr>
            <w:tcW w:w="2977" w:type="dxa"/>
          </w:tcPr>
          <w:p w14:paraId="51F57581" w14:textId="77777777" w:rsidR="00744965" w:rsidRPr="00744965" w:rsidRDefault="00744965" w:rsidP="006419D6">
            <w:pPr>
              <w:cnfStyle w:val="100000000000" w:firstRow="1" w:lastRow="0" w:firstColumn="0" w:lastColumn="0" w:oddVBand="0" w:evenVBand="0" w:oddHBand="0" w:evenHBand="0" w:firstRowFirstColumn="0" w:firstRowLastColumn="0" w:lastRowFirstColumn="0" w:lastRowLastColumn="0"/>
            </w:pPr>
            <w:r w:rsidRPr="00744965">
              <w:t>Date</w:t>
            </w:r>
          </w:p>
        </w:tc>
      </w:tr>
      <w:tr w:rsidR="00744965" w:rsidRPr="00744965" w14:paraId="163FF6BF"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1C21D766" w14:textId="77777777" w:rsidR="00744965" w:rsidRPr="00744965" w:rsidRDefault="00744965" w:rsidP="006419D6">
            <w:r w:rsidRPr="00744965">
              <w:t>Submission dossier accepted and first round evaluation commenced</w:t>
            </w:r>
          </w:p>
        </w:tc>
        <w:tc>
          <w:tcPr>
            <w:tcW w:w="2977" w:type="dxa"/>
          </w:tcPr>
          <w:p w14:paraId="59511282"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30 November 2020</w:t>
            </w:r>
          </w:p>
        </w:tc>
      </w:tr>
      <w:tr w:rsidR="00744965" w:rsidRPr="00744965" w14:paraId="64E7DF01"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2EE9B7FB" w14:textId="77777777" w:rsidR="00744965" w:rsidRPr="00744965" w:rsidRDefault="00744965" w:rsidP="006419D6">
            <w:r w:rsidRPr="00744965">
              <w:t>First round evaluation completed</w:t>
            </w:r>
          </w:p>
        </w:tc>
        <w:tc>
          <w:tcPr>
            <w:tcW w:w="2977" w:type="dxa"/>
          </w:tcPr>
          <w:p w14:paraId="5743F3AC"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18 May 2021</w:t>
            </w:r>
          </w:p>
        </w:tc>
      </w:tr>
      <w:tr w:rsidR="00744965" w:rsidRPr="00744965" w14:paraId="1ABFD1B7"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2E631B2E" w14:textId="77777777" w:rsidR="00744965" w:rsidRPr="00744965" w:rsidRDefault="00744965" w:rsidP="006419D6">
            <w:r w:rsidRPr="00744965">
              <w:t>Second round evaluation completed</w:t>
            </w:r>
          </w:p>
        </w:tc>
        <w:tc>
          <w:tcPr>
            <w:tcW w:w="2977" w:type="dxa"/>
          </w:tcPr>
          <w:p w14:paraId="2B168A2E"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22 November 2021</w:t>
            </w:r>
          </w:p>
        </w:tc>
      </w:tr>
      <w:tr w:rsidR="00744965" w:rsidRPr="00744965" w14:paraId="668BBE34"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4BDD2C80" w14:textId="77777777" w:rsidR="00744965" w:rsidRPr="00744965" w:rsidRDefault="00744965" w:rsidP="006419D6">
            <w:r w:rsidRPr="00744965">
              <w:t xml:space="preserve">Delegate’s overall benefit-risk assessment and request for Advisory Committee advice </w:t>
            </w:r>
          </w:p>
        </w:tc>
        <w:tc>
          <w:tcPr>
            <w:tcW w:w="2977" w:type="dxa"/>
          </w:tcPr>
          <w:p w14:paraId="7F010E3A"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27 October 2021</w:t>
            </w:r>
          </w:p>
        </w:tc>
      </w:tr>
      <w:tr w:rsidR="00744965" w:rsidRPr="00744965" w14:paraId="5EC3BB36"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1A0CC9E7" w14:textId="77777777" w:rsidR="00744965" w:rsidRPr="00744965" w:rsidRDefault="00744965" w:rsidP="006419D6">
            <w:r w:rsidRPr="00744965">
              <w:t>Advisory Committee meeting 1</w:t>
            </w:r>
          </w:p>
        </w:tc>
        <w:tc>
          <w:tcPr>
            <w:tcW w:w="2977" w:type="dxa"/>
          </w:tcPr>
          <w:p w14:paraId="77AA63CE"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December 2021</w:t>
            </w:r>
          </w:p>
        </w:tc>
      </w:tr>
      <w:tr w:rsidR="00744965" w:rsidRPr="00744965" w14:paraId="63047B18"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15F1FDAE" w14:textId="77777777" w:rsidR="00744965" w:rsidRPr="00744965" w:rsidRDefault="00744965" w:rsidP="006419D6">
            <w:r w:rsidRPr="00744965">
              <w:t>Advisory Committee meeting 2</w:t>
            </w:r>
          </w:p>
        </w:tc>
        <w:tc>
          <w:tcPr>
            <w:tcW w:w="2977" w:type="dxa"/>
          </w:tcPr>
          <w:p w14:paraId="7F9DC7BC"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April 2022</w:t>
            </w:r>
          </w:p>
        </w:tc>
      </w:tr>
      <w:tr w:rsidR="00744965" w:rsidRPr="00744965" w14:paraId="4DB504B9"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3DF3350A" w14:textId="77777777" w:rsidR="00744965" w:rsidRPr="00744965" w:rsidRDefault="00744965" w:rsidP="006419D6">
            <w:r w:rsidRPr="00744965">
              <w:t>Registration decision (rejection)</w:t>
            </w:r>
          </w:p>
        </w:tc>
        <w:tc>
          <w:tcPr>
            <w:tcW w:w="2977" w:type="dxa"/>
          </w:tcPr>
          <w:p w14:paraId="36469AFF"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13 September 2022</w:t>
            </w:r>
          </w:p>
        </w:tc>
      </w:tr>
      <w:tr w:rsidR="00744965" w:rsidRPr="00744965" w14:paraId="6A24FE10"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3483101D" w14:textId="77777777" w:rsidR="00744965" w:rsidRPr="00744965" w:rsidRDefault="00744965" w:rsidP="006419D6">
            <w:r w:rsidRPr="00744965">
              <w:t>Review sought of the initial decision under section 60 of the Therapeutic Goods Act.</w:t>
            </w:r>
          </w:p>
        </w:tc>
        <w:tc>
          <w:tcPr>
            <w:tcW w:w="2977" w:type="dxa"/>
          </w:tcPr>
          <w:p w14:paraId="230DF963"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18 October 2022</w:t>
            </w:r>
          </w:p>
        </w:tc>
      </w:tr>
      <w:tr w:rsidR="00744965" w:rsidRPr="00744965" w14:paraId="4253EACB"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2833A75F" w14:textId="77777777" w:rsidR="00744965" w:rsidRPr="00744965" w:rsidRDefault="00744965" w:rsidP="006419D6">
            <w:r w:rsidRPr="00744965">
              <w:t>Registration decision (Administrative Appeals Tribunal outcome)</w:t>
            </w:r>
          </w:p>
        </w:tc>
        <w:tc>
          <w:tcPr>
            <w:tcW w:w="2977" w:type="dxa"/>
          </w:tcPr>
          <w:p w14:paraId="60A8AF24"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12 April 2024</w:t>
            </w:r>
          </w:p>
        </w:tc>
      </w:tr>
      <w:tr w:rsidR="00744965" w:rsidRPr="00744965" w14:paraId="6D78F082"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28634B1C" w14:textId="77777777" w:rsidR="00744965" w:rsidRPr="00744965" w:rsidRDefault="00744965" w:rsidP="006419D6">
            <w:r w:rsidRPr="00744965">
              <w:t>Administrative activities and registration in the ARTG completed</w:t>
            </w:r>
          </w:p>
        </w:tc>
        <w:tc>
          <w:tcPr>
            <w:tcW w:w="2977" w:type="dxa"/>
          </w:tcPr>
          <w:p w14:paraId="04453117"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16 April 2024</w:t>
            </w:r>
          </w:p>
        </w:tc>
      </w:tr>
      <w:tr w:rsidR="00744965" w:rsidRPr="00744965" w14:paraId="32948B59" w14:textId="77777777" w:rsidTr="006419D6">
        <w:tc>
          <w:tcPr>
            <w:cnfStyle w:val="001000000000" w:firstRow="0" w:lastRow="0" w:firstColumn="1" w:lastColumn="0" w:oddVBand="0" w:evenVBand="0" w:oddHBand="0" w:evenHBand="0" w:firstRowFirstColumn="0" w:firstRowLastColumn="0" w:lastRowFirstColumn="0" w:lastRowLastColumn="0"/>
            <w:tcW w:w="5665" w:type="dxa"/>
          </w:tcPr>
          <w:p w14:paraId="53AF8B0F" w14:textId="77777777" w:rsidR="00744965" w:rsidRPr="00744965" w:rsidRDefault="00744965" w:rsidP="006419D6">
            <w:r w:rsidRPr="00744965">
              <w:t>Number of working days from submission dossier acceptance to registration decision*</w:t>
            </w:r>
          </w:p>
        </w:tc>
        <w:tc>
          <w:tcPr>
            <w:tcW w:w="2977" w:type="dxa"/>
          </w:tcPr>
          <w:p w14:paraId="1076A494" w14:textId="77777777" w:rsidR="00744965" w:rsidRPr="00744965" w:rsidRDefault="00744965" w:rsidP="006419D6">
            <w:pPr>
              <w:cnfStyle w:val="000000000000" w:firstRow="0" w:lastRow="0" w:firstColumn="0" w:lastColumn="0" w:oddVBand="0" w:evenVBand="0" w:oddHBand="0" w:evenHBand="0" w:firstRowFirstColumn="0" w:firstRowLastColumn="0" w:lastRowFirstColumn="0" w:lastRowLastColumn="0"/>
            </w:pPr>
            <w:r w:rsidRPr="00744965">
              <w:t>858</w:t>
            </w:r>
          </w:p>
        </w:tc>
      </w:tr>
    </w:tbl>
    <w:p w14:paraId="07B2970C" w14:textId="77777777" w:rsidR="00744965" w:rsidRPr="00744965" w:rsidRDefault="00744965" w:rsidP="006419D6">
      <w:pPr>
        <w:pStyle w:val="TableDescription"/>
      </w:pPr>
      <w:r w:rsidRPr="00744965">
        <w:t>*Statutory timeframe for standard submissions is 255 working days</w:t>
      </w:r>
    </w:p>
    <w:p w14:paraId="451DC3FC" w14:textId="2D1EC6E2" w:rsidR="00C22214" w:rsidRDefault="00C22214" w:rsidP="00C22214">
      <w:pPr>
        <w:pStyle w:val="Heading2"/>
      </w:pPr>
      <w:bookmarkStart w:id="125" w:name="_Toc173925462"/>
      <w:r>
        <w:t>Attachment 1. Product Information</w:t>
      </w:r>
      <w:bookmarkEnd w:id="9"/>
      <w:bookmarkEnd w:id="125"/>
    </w:p>
    <w:p w14:paraId="74F59983" w14:textId="7963CAE8" w:rsidR="00675F81" w:rsidRPr="00BD5DBD" w:rsidRDefault="00675F81" w:rsidP="00675F81">
      <w:pPr>
        <w:rPr>
          <w:szCs w:val="22"/>
        </w:rPr>
      </w:pPr>
      <w:r w:rsidRPr="00BD5DBD">
        <w:rPr>
          <w:szCs w:val="22"/>
        </w:rPr>
        <w:t xml:space="preserve">The </w:t>
      </w:r>
      <w:hyperlink r:id="rId71" w:history="1">
        <w:r w:rsidRPr="00BD5DBD">
          <w:rPr>
            <w:rStyle w:val="Hyperlink"/>
            <w:szCs w:val="22"/>
          </w:rPr>
          <w:t>Product Information</w:t>
        </w:r>
      </w:hyperlink>
      <w:r w:rsidRPr="00BD5DBD">
        <w:rPr>
          <w:szCs w:val="22"/>
        </w:rPr>
        <w:t xml:space="preserve"> (</w:t>
      </w:r>
      <w:hyperlink r:id="rId72"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proofErr w:type="spellStart"/>
      <w:r w:rsidR="006419D6" w:rsidRPr="006419D6">
        <w:rPr>
          <w:szCs w:val="22"/>
        </w:rPr>
        <w:t>Cibinqo</w:t>
      </w:r>
      <w:proofErr w:type="spellEnd"/>
      <w:r w:rsidR="006419D6" w:rsidRPr="006419D6">
        <w:rPr>
          <w:szCs w:val="22"/>
        </w:rPr>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73" w:history="1">
        <w:r w:rsidRPr="00BD5DBD">
          <w:rPr>
            <w:rStyle w:val="Hyperlink"/>
            <w:szCs w:val="22"/>
          </w:rPr>
          <w:t>Consumer Medicines Information</w:t>
        </w:r>
      </w:hyperlink>
      <w:r w:rsidRPr="00BD5DBD">
        <w:rPr>
          <w:szCs w:val="22"/>
        </w:rPr>
        <w:t xml:space="preserve"> (CMI), please refer to the TGA </w:t>
      </w:r>
      <w:hyperlink r:id="rId74" w:history="1">
        <w:r w:rsidRPr="00BD5DBD">
          <w:rPr>
            <w:rStyle w:val="Hyperlink"/>
            <w:szCs w:val="22"/>
          </w:rPr>
          <w:t>PI/CMI search facility</w:t>
        </w:r>
        <w:r w:rsidRPr="006419D6">
          <w:t>.</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75"/>
          <w:footerReference w:type="default" r:id="rId7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77"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CA0205">
            <w:pPr>
              <w:pStyle w:val="Address"/>
              <w:jc w:val="center"/>
              <w:rPr>
                <w:rStyle w:val="Hyperlink"/>
                <w:b/>
                <w:color w:val="auto"/>
                <w:sz w:val="22"/>
              </w:rPr>
            </w:pPr>
            <w:hyperlink r:id="rId78"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79"/>
      <w:footerReference w:type="first" r:id="rId8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F1A0" w14:textId="77777777" w:rsidR="00AB7C5C" w:rsidRDefault="00AB7C5C" w:rsidP="00F02AEC">
      <w:pPr>
        <w:spacing w:after="0" w:line="240" w:lineRule="auto"/>
      </w:pPr>
      <w:r>
        <w:separator/>
      </w:r>
    </w:p>
  </w:endnote>
  <w:endnote w:type="continuationSeparator" w:id="0">
    <w:p w14:paraId="7104C6FD" w14:textId="77777777" w:rsidR="00AB7C5C" w:rsidRDefault="00AB7C5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353B28">
                <w:fldChar w:fldCharType="begin"/>
              </w:r>
              <w:r w:rsidR="00353B28">
                <w:instrText xml:space="preserve"> NUMPAGES  </w:instrText>
              </w:r>
              <w:r w:rsidR="00353B28">
                <w:fldChar w:fldCharType="separate"/>
              </w:r>
              <w:r>
                <w:rPr>
                  <w:noProof/>
                </w:rPr>
                <w:t>2</w:t>
              </w:r>
              <w:r w:rsidR="00353B28">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CC43D6F" w:rsidR="007452E8" w:rsidRPr="004A3084" w:rsidRDefault="00AE6615" w:rsidP="007452E8">
          <w:pPr>
            <w:pStyle w:val="Footer"/>
          </w:pPr>
          <w:proofErr w:type="spellStart"/>
          <w:r w:rsidRPr="00487162">
            <w:t>AusPA</w:t>
          </w:r>
          <w:r>
            <w:t>R</w:t>
          </w:r>
          <w:proofErr w:type="spellEnd"/>
          <w:r>
            <w:t xml:space="preserve"> - </w:t>
          </w:r>
          <w:proofErr w:type="spellStart"/>
          <w:r>
            <w:t>Cibinqo</w:t>
          </w:r>
          <w:proofErr w:type="spellEnd"/>
          <w:r w:rsidRPr="00DA0099">
            <w:t xml:space="preserve"> </w:t>
          </w:r>
          <w:r>
            <w:t>-</w:t>
          </w:r>
          <w:r w:rsidRPr="00460036">
            <w:t xml:space="preserve"> </w:t>
          </w:r>
          <w:proofErr w:type="spellStart"/>
          <w:r>
            <w:t>abrocitinib</w:t>
          </w:r>
          <w:proofErr w:type="spellEnd"/>
          <w:r w:rsidRPr="00460036">
            <w:t xml:space="preserve"> </w:t>
          </w:r>
          <w:r>
            <w:t xml:space="preserve">– Pfizer Australia Pty Ltd - </w:t>
          </w:r>
          <w:r w:rsidRPr="009F0675">
            <w:t>PM-2020-05286-1-1</w:t>
          </w:r>
          <w:r>
            <w:br/>
          </w:r>
          <w:r w:rsidRPr="00487162">
            <w:t>Date of Finalisation</w:t>
          </w:r>
          <w:r>
            <w:t xml:space="preserve">: </w:t>
          </w:r>
          <w:bookmarkStart w:id="126" w:name="_Hlk173847249"/>
          <w:r>
            <w:t>24 July 2024</w:t>
          </w:r>
          <w:bookmarkEnd w:id="126"/>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353B28">
                <w:fldChar w:fldCharType="begin"/>
              </w:r>
              <w:r w:rsidR="00353B28">
                <w:instrText xml:space="preserve"> NUMPAGES  </w:instrText>
              </w:r>
              <w:r w:rsidR="00353B28">
                <w:fldChar w:fldCharType="separate"/>
              </w:r>
              <w:r w:rsidR="006D6B44">
                <w:rPr>
                  <w:noProof/>
                </w:rPr>
                <w:t>17</w:t>
              </w:r>
              <w:r w:rsidR="00353B28">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FDA2" w14:textId="77777777" w:rsidR="00AB7C5C" w:rsidRDefault="00AB7C5C" w:rsidP="00F02AEC">
      <w:pPr>
        <w:spacing w:after="0" w:line="240" w:lineRule="auto"/>
      </w:pPr>
      <w:r>
        <w:separator/>
      </w:r>
    </w:p>
  </w:footnote>
  <w:footnote w:type="continuationSeparator" w:id="0">
    <w:p w14:paraId="152D1E87" w14:textId="77777777" w:rsidR="00AB7C5C" w:rsidRDefault="00AB7C5C" w:rsidP="00F02AEC">
      <w:pPr>
        <w:spacing w:after="0" w:line="240" w:lineRule="auto"/>
      </w:pPr>
      <w:r>
        <w:continuationSeparator/>
      </w:r>
    </w:p>
  </w:footnote>
  <w:footnote w:id="1">
    <w:p w14:paraId="2C036003" w14:textId="77777777" w:rsidR="00744965" w:rsidRDefault="00744965" w:rsidP="00744965">
      <w:pPr>
        <w:pStyle w:val="FootnoteText"/>
      </w:pPr>
      <w:r>
        <w:rPr>
          <w:rStyle w:val="FootnoteReference"/>
        </w:rPr>
        <w:footnoteRef/>
      </w:r>
      <w:r>
        <w:t xml:space="preserve"> </w:t>
      </w:r>
      <w:r w:rsidRPr="009B5643">
        <w:t xml:space="preserve">  This is the original indication proposed by the sponsor when the TGA commenced the evaluation of this submission. It may differ to the final indication approved by the TGA and registered in the Australian Register of Therapeutic Goods.</w:t>
      </w:r>
    </w:p>
  </w:footnote>
  <w:footnote w:id="2">
    <w:p w14:paraId="188721EB" w14:textId="77777777" w:rsidR="00744965" w:rsidRDefault="00744965" w:rsidP="001B624F">
      <w:pPr>
        <w:pStyle w:val="FootnoteText"/>
      </w:pPr>
      <w:r>
        <w:rPr>
          <w:rStyle w:val="FootnoteReference"/>
        </w:rPr>
        <w:footnoteRef/>
      </w:r>
      <w:r>
        <w:t xml:space="preserve"> </w:t>
      </w:r>
      <w:r w:rsidRPr="00A31511">
        <w:t>Australasian Society of Clinical Immunology and Allergy. Eczema (Atopic Dermatitis). 2019 27 June 2019 (Accessed 1 July 2019); Available from: https://www.allergy.org.au/patients/skin-allergy/eczema.</w:t>
      </w:r>
    </w:p>
  </w:footnote>
  <w:footnote w:id="3">
    <w:p w14:paraId="132CEB26" w14:textId="77777777" w:rsidR="00744965" w:rsidRPr="007F60CC" w:rsidRDefault="00744965" w:rsidP="00744965">
      <w:pPr>
        <w:pStyle w:val="FootnoteText"/>
        <w:rPr>
          <w:lang w:val="de-DE"/>
        </w:rPr>
      </w:pPr>
      <w:r>
        <w:rPr>
          <w:rStyle w:val="FootnoteReference"/>
        </w:rPr>
        <w:footnoteRef/>
      </w:r>
      <w:r>
        <w:t xml:space="preserve"> </w:t>
      </w:r>
      <w:r w:rsidRPr="00940312">
        <w:t xml:space="preserve">Silverberg JI. Public health burden and epidemiology of atopic dermatitis. </w:t>
      </w:r>
      <w:r w:rsidRPr="007F60CC">
        <w:rPr>
          <w:lang w:val="de-DE"/>
        </w:rPr>
        <w:t>Dermatol Clin. 2017;35(3):283-9.</w:t>
      </w:r>
    </w:p>
  </w:footnote>
  <w:footnote w:id="4">
    <w:p w14:paraId="3D45BBD0" w14:textId="77777777" w:rsidR="00744965" w:rsidRDefault="00744965" w:rsidP="00744965">
      <w:pPr>
        <w:pStyle w:val="FootnoteText"/>
      </w:pPr>
      <w:r>
        <w:rPr>
          <w:rStyle w:val="FootnoteReference"/>
        </w:rPr>
        <w:footnoteRef/>
      </w:r>
      <w:r w:rsidRPr="007F60CC">
        <w:rPr>
          <w:lang w:val="de-DE"/>
        </w:rPr>
        <w:t xml:space="preserve"> Drucker AM, Wang AR, Li WQ, et al. </w:t>
      </w:r>
      <w:r w:rsidRPr="00BA0008">
        <w:t>The Burden of Atopic Dermatitis: Summary of a Report for the National Eczema Association. J Invest Dermatol. 2017;137(1):26-30.</w:t>
      </w:r>
    </w:p>
  </w:footnote>
  <w:footnote w:id="5">
    <w:p w14:paraId="3742FE71" w14:textId="77777777" w:rsidR="00744965" w:rsidRDefault="00744965" w:rsidP="00744965">
      <w:pPr>
        <w:pStyle w:val="FootnoteText"/>
      </w:pPr>
      <w:r>
        <w:rPr>
          <w:rStyle w:val="FootnoteReference"/>
        </w:rPr>
        <w:footnoteRef/>
      </w:r>
      <w:r>
        <w:t xml:space="preserve"> </w:t>
      </w:r>
      <w:r w:rsidRPr="0081489D">
        <w:t xml:space="preserve">Reed B, </w:t>
      </w:r>
      <w:r w:rsidRPr="0081489D">
        <w:t>Blaiss MS. The burden of atopic dermatitis. Allergy Asthma Proc. 2018;39(6):406-10.</w:t>
      </w:r>
    </w:p>
  </w:footnote>
  <w:footnote w:id="6">
    <w:p w14:paraId="202813C3" w14:textId="77777777" w:rsidR="00744965" w:rsidRDefault="00744965" w:rsidP="00744965">
      <w:pPr>
        <w:pStyle w:val="FootnoteText"/>
      </w:pPr>
      <w:r>
        <w:rPr>
          <w:rStyle w:val="FootnoteReference"/>
        </w:rPr>
        <w:footnoteRef/>
      </w:r>
      <w:r>
        <w:t xml:space="preserve"> </w:t>
      </w:r>
      <w:r w:rsidRPr="00ED4A75">
        <w:t>Bureau UC. National Population by Characteristics: 2010-2019 Washington, DC: US Census Bureau; 2020 [cited 2020 May 20</w:t>
      </w:r>
      <w:r w:rsidRPr="00ED4A75">
        <w:t xml:space="preserve"> 2020]. Available from: https://www.census.gov/data/tables/timeseries/demo/popest/2010s-nationaldetail.html.</w:t>
      </w:r>
    </w:p>
  </w:footnote>
  <w:footnote w:id="7">
    <w:p w14:paraId="3C8AEA18" w14:textId="77777777" w:rsidR="00744965" w:rsidRDefault="00744965" w:rsidP="00744965">
      <w:pPr>
        <w:pStyle w:val="FootnoteText"/>
      </w:pPr>
      <w:r>
        <w:rPr>
          <w:rStyle w:val="FootnoteReference"/>
        </w:rPr>
        <w:footnoteRef/>
      </w:r>
      <w:r w:rsidRPr="007F60CC">
        <w:rPr>
          <w:lang w:val="de-DE"/>
        </w:rPr>
        <w:t xml:space="preserve"> Akdis CA, Akdis M, Bieber T, et al. </w:t>
      </w:r>
      <w:r w:rsidRPr="00477F3A">
        <w:t xml:space="preserve">Diagnosis and treatment of atopic dermatitis in children and adults: European Academy of Allergology and Clinical Immunology/American Academy of Allergy, </w:t>
      </w:r>
      <w:r w:rsidRPr="00477F3A">
        <w:t>Asthma and Immunology/PRACTALL Consensus Report. Allergy. 2006;61(8):969-87.</w:t>
      </w:r>
    </w:p>
  </w:footnote>
  <w:footnote w:id="8">
    <w:p w14:paraId="384374C9" w14:textId="77777777" w:rsidR="00744965" w:rsidRDefault="00744965" w:rsidP="00744965">
      <w:pPr>
        <w:pStyle w:val="FootnoteText"/>
      </w:pPr>
      <w:r>
        <w:rPr>
          <w:rStyle w:val="FootnoteReference"/>
        </w:rPr>
        <w:footnoteRef/>
      </w:r>
      <w:r>
        <w:t xml:space="preserve"> Kunz B, </w:t>
      </w:r>
      <w:r>
        <w:t xml:space="preserve">Oranje AP, Labreze L, et al. Clinical </w:t>
      </w:r>
      <w:r>
        <w:t>validation and guidelines for the SCORAD index: consensus report of the European Task Force on Atopic Dermatitis. Dermatology. 1997;195(1):10-9.</w:t>
      </w:r>
    </w:p>
  </w:footnote>
  <w:footnote w:id="9">
    <w:p w14:paraId="0EE4033D" w14:textId="77777777" w:rsidR="00744965" w:rsidRDefault="00744965" w:rsidP="00744965">
      <w:pPr>
        <w:pStyle w:val="FootnoteText"/>
      </w:pPr>
      <w:r>
        <w:rPr>
          <w:rStyle w:val="FootnoteReference"/>
        </w:rPr>
        <w:footnoteRef/>
      </w:r>
      <w:r>
        <w:t xml:space="preserve"> </w:t>
      </w:r>
      <w:r w:rsidRPr="006804D9">
        <w:t xml:space="preserve">Ring J, Alomar A, Bieber T, et al. Guidelines for treatment of atopic eczema (atopic dermatitis) part I. J </w:t>
      </w:r>
      <w:r w:rsidRPr="006804D9">
        <w:t>Eur Acad Dermatol Venereol. 2012;26(6):1045-60.</w:t>
      </w:r>
    </w:p>
  </w:footnote>
  <w:footnote w:id="10">
    <w:p w14:paraId="5C5CE1D2" w14:textId="77777777" w:rsidR="00744965" w:rsidRDefault="00744965" w:rsidP="00744965">
      <w:pPr>
        <w:pStyle w:val="FootnoteText"/>
      </w:pPr>
      <w:r>
        <w:rPr>
          <w:rStyle w:val="FootnoteReference"/>
        </w:rPr>
        <w:footnoteRef/>
      </w:r>
      <w:r>
        <w:t xml:space="preserve"> Garg N, Silverberg JI. Epidemiology of childhood atopic dermatitis. Clin Dermatol. 2015;33(3):281-8.</w:t>
      </w:r>
    </w:p>
  </w:footnote>
  <w:footnote w:id="11">
    <w:p w14:paraId="72502B00" w14:textId="77777777" w:rsidR="00744965" w:rsidRDefault="00744965" w:rsidP="00744965">
      <w:pPr>
        <w:pStyle w:val="FootnoteText"/>
      </w:pPr>
      <w:r>
        <w:rPr>
          <w:rStyle w:val="FootnoteReference"/>
        </w:rPr>
        <w:footnoteRef/>
      </w:r>
      <w:r>
        <w:t xml:space="preserve"> </w:t>
      </w:r>
      <w:r w:rsidRPr="00DC1661">
        <w:t>Langan SM, Irvine AD, Weidinger S. Atopic dermatitis. Lancet. 2020;396(10247):345-60.</w:t>
      </w:r>
    </w:p>
  </w:footnote>
  <w:footnote w:id="12">
    <w:p w14:paraId="088E868E" w14:textId="77777777" w:rsidR="00744965" w:rsidRPr="007F60CC" w:rsidRDefault="00744965" w:rsidP="00744965">
      <w:pPr>
        <w:pStyle w:val="FootnoteText"/>
        <w:rPr>
          <w:lang w:val="de-DE"/>
        </w:rPr>
      </w:pPr>
      <w:r>
        <w:rPr>
          <w:rStyle w:val="FootnoteReference"/>
        </w:rPr>
        <w:footnoteRef/>
      </w:r>
      <w:r>
        <w:t xml:space="preserve"> </w:t>
      </w:r>
      <w:r w:rsidRPr="00974470">
        <w:t xml:space="preserve">Nutten S. Atopic dermatitis: global epidemiology and risk factors. </w:t>
      </w:r>
      <w:r w:rsidRPr="007F60CC">
        <w:rPr>
          <w:lang w:val="de-DE"/>
        </w:rPr>
        <w:t>Ann. Nutr. Metab. 2015.</w:t>
      </w:r>
    </w:p>
  </w:footnote>
  <w:footnote w:id="13">
    <w:p w14:paraId="5ECCAA42" w14:textId="77777777" w:rsidR="00744965" w:rsidRDefault="00744965" w:rsidP="00744965">
      <w:pPr>
        <w:pStyle w:val="FootnoteText"/>
      </w:pPr>
      <w:r>
        <w:rPr>
          <w:rStyle w:val="FootnoteReference"/>
        </w:rPr>
        <w:footnoteRef/>
      </w:r>
      <w:r w:rsidRPr="007F60CC">
        <w:rPr>
          <w:lang w:val="de-DE"/>
        </w:rPr>
        <w:t xml:space="preserve"> Martin PE, Koplin JJ, Eckert JK et al. </w:t>
      </w:r>
      <w:r w:rsidRPr="00613993">
        <w:t>The prevalence and socio-demographic risk factors of clinical eczema in infancy: a population-based observational study. Clin. Exp. Allergy 2013; 43: 642–51.</w:t>
      </w:r>
    </w:p>
  </w:footnote>
  <w:footnote w:id="14">
    <w:p w14:paraId="6CAC9A6A" w14:textId="77777777" w:rsidR="00744965" w:rsidRDefault="00744965" w:rsidP="00744965">
      <w:pPr>
        <w:pStyle w:val="FootnoteText"/>
      </w:pPr>
      <w:r>
        <w:rPr>
          <w:rStyle w:val="FootnoteReference"/>
        </w:rPr>
        <w:footnoteRef/>
      </w:r>
      <w:r w:rsidRPr="007F60CC">
        <w:rPr>
          <w:lang w:val="de-DE"/>
        </w:rPr>
        <w:t xml:space="preserve"> Homey B, Steinhoff M, Ruzicka T, et al. </w:t>
      </w:r>
      <w:r w:rsidRPr="00C80D8A">
        <w:t>Cytokines and chemokines orchestrate atopic skin inflammation. J Allergy Clin Immunol 2006;118(1) (Jul):178-89.</w:t>
      </w:r>
    </w:p>
  </w:footnote>
  <w:footnote w:id="15">
    <w:p w14:paraId="34ACB8B0" w14:textId="77777777" w:rsidR="00744965" w:rsidRDefault="00744965" w:rsidP="00744965">
      <w:pPr>
        <w:pStyle w:val="FootnoteText"/>
      </w:pPr>
      <w:r>
        <w:rPr>
          <w:rStyle w:val="FootnoteReference"/>
        </w:rPr>
        <w:footnoteRef/>
      </w:r>
      <w:r>
        <w:t xml:space="preserve"> </w:t>
      </w:r>
      <w:r w:rsidRPr="00846B5B">
        <w:t>Eichenfield LF, Tom WL, Chamlin SL, Feldman SR, Hanifin JM, Simpson EL, Berger TG, Bergman JN, Cohen DE, Cooper KD, Cordoro KM, Davis DM, Krol A, Margolis DJ, Paller AS, Schwarzenberger K, Silverman RA, Williams HC, Elmets CA, Block J, Harrod CG, Smith Begolka W, Sidbury R. Guidelines of care for the management of atopic dermatitis: section 1. Diagnosis and assessment of atopic dermatitis. J Am Acad Dermatol. 2014 Feb;70(2):338-51. doi: 10.1016/j.jaad.2013.10.010. Epub 2013 Nov 27. PMID: 24290431; PMCID: PMC4410183.</w:t>
      </w:r>
    </w:p>
  </w:footnote>
  <w:footnote w:id="16">
    <w:p w14:paraId="61360C3B" w14:textId="77777777" w:rsidR="00744965" w:rsidRDefault="00744965" w:rsidP="00744965">
      <w:pPr>
        <w:pStyle w:val="FootnoteText"/>
      </w:pPr>
      <w:r>
        <w:rPr>
          <w:rStyle w:val="FootnoteReference"/>
        </w:rPr>
        <w:footnoteRef/>
      </w:r>
      <w:r>
        <w:t xml:space="preserve"> </w:t>
      </w:r>
      <w:r w:rsidRPr="0060441F">
        <w:t xml:space="preserve">Werfel T, </w:t>
      </w:r>
      <w:r w:rsidRPr="0060441F">
        <w:t>Heratizadeh A, Aberer W, et al. S2k guideline on diagnosis and treatment of atopic dermatitis – short version. Allergo J Int 2016; 25:82–95.</w:t>
      </w:r>
    </w:p>
  </w:footnote>
  <w:footnote w:id="17">
    <w:p w14:paraId="71801A88" w14:textId="77777777" w:rsidR="00744965" w:rsidRDefault="00744965" w:rsidP="00744965">
      <w:pPr>
        <w:pStyle w:val="FootnoteText"/>
      </w:pPr>
      <w:r>
        <w:rPr>
          <w:rStyle w:val="FootnoteReference"/>
        </w:rPr>
        <w:footnoteRef/>
      </w:r>
      <w:r>
        <w:t xml:space="preserve"> </w:t>
      </w:r>
      <w:r w:rsidRPr="00DB7BBF">
        <w:t>Elidel (pimecrolimus 1% w/w) Product Information https: //www.ebs.tga.gov.au/</w:t>
      </w:r>
    </w:p>
  </w:footnote>
  <w:footnote w:id="18">
    <w:p w14:paraId="5A86D136" w14:textId="77777777" w:rsidR="00744965" w:rsidRDefault="00744965" w:rsidP="00744965">
      <w:pPr>
        <w:pStyle w:val="FootnoteText"/>
      </w:pPr>
      <w:r>
        <w:rPr>
          <w:rStyle w:val="FootnoteReference"/>
        </w:rPr>
        <w:footnoteRef/>
      </w:r>
      <w:r>
        <w:t xml:space="preserve"> h</w:t>
      </w:r>
      <w:r w:rsidRPr="00CD4F0C">
        <w:t>ttps://www.tga.gov.au/sites/default/files/auspar-crisaborole-190814-pi.pdf</w:t>
      </w:r>
    </w:p>
  </w:footnote>
  <w:footnote w:id="19">
    <w:p w14:paraId="0114DD90" w14:textId="77777777" w:rsidR="00744965" w:rsidRDefault="00744965" w:rsidP="00744965">
      <w:pPr>
        <w:pStyle w:val="FootnoteText"/>
      </w:pPr>
      <w:r>
        <w:rPr>
          <w:rStyle w:val="FootnoteReference"/>
        </w:rPr>
        <w:footnoteRef/>
      </w:r>
      <w:r>
        <w:t xml:space="preserve"> </w:t>
      </w:r>
      <w:r w:rsidRPr="00E87D9F">
        <w:t xml:space="preserve">Smith S, Baker C, </w:t>
      </w:r>
      <w:r w:rsidRPr="00E87D9F">
        <w:t>Gebauer K, Rubel D, Frankum B, Soyer H P, Weightman W, Sladden M, Rawlin M, Headley AP, Somerville C Beuth J, Logan N, Mewton E, Foley P. Atopic dermatitis in adults: An Australian management consensus. Australasian Journal of Dermatology 2019</w:t>
      </w:r>
      <w:r>
        <w:t>.</w:t>
      </w:r>
    </w:p>
  </w:footnote>
  <w:footnote w:id="20">
    <w:p w14:paraId="188481BB" w14:textId="77777777" w:rsidR="00744965" w:rsidRPr="007F60CC" w:rsidRDefault="00744965" w:rsidP="00744965">
      <w:pPr>
        <w:pStyle w:val="FootnoteText"/>
        <w:rPr>
          <w:lang w:val="de-DE"/>
        </w:rPr>
      </w:pPr>
      <w:r>
        <w:rPr>
          <w:rStyle w:val="FootnoteReference"/>
        </w:rPr>
        <w:footnoteRef/>
      </w:r>
      <w:r>
        <w:t xml:space="preserve"> </w:t>
      </w:r>
      <w:r w:rsidRPr="00900342">
        <w:t xml:space="preserve">Renert-Yuval Y, Guttman-Yassky E. New treatments for atopic dermatitis targeting beyond IL-4/IL-13 cytokines. </w:t>
      </w:r>
      <w:r w:rsidRPr="007F60CC">
        <w:rPr>
          <w:lang w:val="de-DE"/>
        </w:rPr>
        <w:t>Ann Allergy Asthma Immunol. 2020;124(1):28-35.</w:t>
      </w:r>
    </w:p>
  </w:footnote>
  <w:footnote w:id="21">
    <w:p w14:paraId="2E71A10D" w14:textId="77777777" w:rsidR="00744965" w:rsidRDefault="00744965" w:rsidP="00744965">
      <w:pPr>
        <w:pStyle w:val="FootnoteText"/>
      </w:pPr>
      <w:r>
        <w:rPr>
          <w:rStyle w:val="FootnoteReference"/>
        </w:rPr>
        <w:footnoteRef/>
      </w:r>
      <w:r w:rsidRPr="007F60CC">
        <w:rPr>
          <w:lang w:val="de-DE"/>
        </w:rPr>
        <w:t xml:space="preserve"> O'Shea JJ, Schwartz DM, Villarino AV, et al. </w:t>
      </w:r>
      <w:r w:rsidRPr="002633F0">
        <w:t>The JAK-STAT pathway: impact on human disease and therapeutic intervention. Annu Rev Med. 2015;66: 311-28</w:t>
      </w:r>
      <w:r>
        <w:t>.</w:t>
      </w:r>
    </w:p>
  </w:footnote>
  <w:footnote w:id="22">
    <w:p w14:paraId="583C44F4" w14:textId="77777777" w:rsidR="00744965" w:rsidRDefault="00744965" w:rsidP="00744965">
      <w:pPr>
        <w:pStyle w:val="FootnoteText"/>
      </w:pPr>
      <w:r>
        <w:rPr>
          <w:rStyle w:val="FootnoteReference"/>
        </w:rPr>
        <w:footnoteRef/>
      </w:r>
      <w:r>
        <w:t xml:space="preserve"> </w:t>
      </w:r>
      <w:r w:rsidRPr="00771611">
        <w:t>He H, Guttman-</w:t>
      </w:r>
      <w:r w:rsidRPr="00771611">
        <w:t>Yassky E. JAK Inhibitors for Atopic Dermatitis: An Update. Am J Clin Dermatol. 2019;20(2):181-92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A020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30D7"/>
    <w:multiLevelType w:val="hybridMultilevel"/>
    <w:tmpl w:val="7A3A837E"/>
    <w:lvl w:ilvl="0" w:tplc="A4E09FA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171CC"/>
    <w:multiLevelType w:val="hybridMultilevel"/>
    <w:tmpl w:val="D51643E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4E25C44"/>
    <w:multiLevelType w:val="hybridMultilevel"/>
    <w:tmpl w:val="E040A2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59B1BF4"/>
    <w:multiLevelType w:val="hybridMultilevel"/>
    <w:tmpl w:val="4E5A2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9712947"/>
    <w:multiLevelType w:val="hybridMultilevel"/>
    <w:tmpl w:val="A0FC70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AED2F1D"/>
    <w:multiLevelType w:val="hybridMultilevel"/>
    <w:tmpl w:val="715A1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3205BD"/>
    <w:multiLevelType w:val="hybridMultilevel"/>
    <w:tmpl w:val="8924B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6747957"/>
    <w:multiLevelType w:val="hybridMultilevel"/>
    <w:tmpl w:val="BE50B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A27E09"/>
    <w:multiLevelType w:val="hybridMultilevel"/>
    <w:tmpl w:val="2070B132"/>
    <w:lvl w:ilvl="0" w:tplc="20501D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0B1504"/>
    <w:multiLevelType w:val="hybridMultilevel"/>
    <w:tmpl w:val="FF2CF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D44FA5"/>
    <w:multiLevelType w:val="hybridMultilevel"/>
    <w:tmpl w:val="43C09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B46E92"/>
    <w:multiLevelType w:val="hybridMultilevel"/>
    <w:tmpl w:val="3104C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7553999"/>
    <w:multiLevelType w:val="hybridMultilevel"/>
    <w:tmpl w:val="CABAE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D00461"/>
    <w:multiLevelType w:val="hybridMultilevel"/>
    <w:tmpl w:val="6186F1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2C463DB"/>
    <w:multiLevelType w:val="hybridMultilevel"/>
    <w:tmpl w:val="33CA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174708"/>
    <w:multiLevelType w:val="hybridMultilevel"/>
    <w:tmpl w:val="7C4286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7" w15:restartNumberingAfterBreak="0">
    <w:nsid w:val="63E16A42"/>
    <w:multiLevelType w:val="hybridMultilevel"/>
    <w:tmpl w:val="00F4D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E612FD"/>
    <w:multiLevelType w:val="hybridMultilevel"/>
    <w:tmpl w:val="29E48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826E2E"/>
    <w:multiLevelType w:val="hybridMultilevel"/>
    <w:tmpl w:val="4ED8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A05640"/>
    <w:multiLevelType w:val="hybridMultilevel"/>
    <w:tmpl w:val="E63293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C70E40"/>
    <w:multiLevelType w:val="hybridMultilevel"/>
    <w:tmpl w:val="AA867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3" w15:restartNumberingAfterBreak="0">
    <w:nsid w:val="7AD93239"/>
    <w:multiLevelType w:val="hybridMultilevel"/>
    <w:tmpl w:val="DC204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7"/>
  </w:num>
  <w:num w:numId="2" w16cid:durableId="1856573705">
    <w:abstractNumId w:val="2"/>
  </w:num>
  <w:num w:numId="3" w16cid:durableId="357703499">
    <w:abstractNumId w:val="6"/>
  </w:num>
  <w:num w:numId="4" w16cid:durableId="1869176708">
    <w:abstractNumId w:val="22"/>
  </w:num>
  <w:num w:numId="5" w16cid:durableId="1652950129">
    <w:abstractNumId w:val="12"/>
  </w:num>
  <w:num w:numId="6" w16cid:durableId="1053193207">
    <w:abstractNumId w:val="20"/>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1"/>
  </w:num>
  <w:num w:numId="9" w16cid:durableId="173421270">
    <w:abstractNumId w:val="3"/>
  </w:num>
  <w:num w:numId="10" w16cid:durableId="2108043357">
    <w:abstractNumId w:val="8"/>
  </w:num>
  <w:num w:numId="11" w16cid:durableId="1725904230">
    <w:abstractNumId w:val="18"/>
  </w:num>
  <w:num w:numId="12" w16cid:durableId="141579354">
    <w:abstractNumId w:val="26"/>
  </w:num>
  <w:num w:numId="13" w16cid:durableId="283735081">
    <w:abstractNumId w:val="32"/>
  </w:num>
  <w:num w:numId="14" w16cid:durableId="1354188282">
    <w:abstractNumId w:val="0"/>
  </w:num>
  <w:num w:numId="15" w16cid:durableId="1200053473">
    <w:abstractNumId w:val="33"/>
  </w:num>
  <w:num w:numId="16" w16cid:durableId="532310102">
    <w:abstractNumId w:val="27"/>
  </w:num>
  <w:num w:numId="17" w16cid:durableId="498347024">
    <w:abstractNumId w:val="14"/>
  </w:num>
  <w:num w:numId="18" w16cid:durableId="328335921">
    <w:abstractNumId w:val="15"/>
  </w:num>
  <w:num w:numId="19" w16cid:durableId="858275081">
    <w:abstractNumId w:val="16"/>
  </w:num>
  <w:num w:numId="20" w16cid:durableId="1528787013">
    <w:abstractNumId w:val="19"/>
  </w:num>
  <w:num w:numId="21" w16cid:durableId="799496211">
    <w:abstractNumId w:val="1"/>
  </w:num>
  <w:num w:numId="22" w16cid:durableId="1481848937">
    <w:abstractNumId w:val="23"/>
  </w:num>
  <w:num w:numId="23" w16cid:durableId="1908220311">
    <w:abstractNumId w:val="25"/>
  </w:num>
  <w:num w:numId="24" w16cid:durableId="1791706500">
    <w:abstractNumId w:val="5"/>
  </w:num>
  <w:num w:numId="25" w16cid:durableId="819689961">
    <w:abstractNumId w:val="13"/>
  </w:num>
  <w:num w:numId="26" w16cid:durableId="582033525">
    <w:abstractNumId w:val="24"/>
  </w:num>
  <w:num w:numId="27" w16cid:durableId="1861963750">
    <w:abstractNumId w:val="30"/>
  </w:num>
  <w:num w:numId="28" w16cid:durableId="1711997415">
    <w:abstractNumId w:val="11"/>
  </w:num>
  <w:num w:numId="29" w16cid:durableId="997154772">
    <w:abstractNumId w:val="4"/>
  </w:num>
  <w:num w:numId="30" w16cid:durableId="869731272">
    <w:abstractNumId w:val="9"/>
  </w:num>
  <w:num w:numId="31" w16cid:durableId="90711306">
    <w:abstractNumId w:val="10"/>
  </w:num>
  <w:num w:numId="32" w16cid:durableId="1781298793">
    <w:abstractNumId w:val="31"/>
  </w:num>
  <w:num w:numId="33" w16cid:durableId="901136310">
    <w:abstractNumId w:val="29"/>
  </w:num>
  <w:num w:numId="34" w16cid:durableId="1646349505">
    <w:abstractNumId w:val="17"/>
  </w:num>
  <w:num w:numId="35" w16cid:durableId="1757900659">
    <w:abstractNumId w:val="28"/>
  </w:num>
  <w:num w:numId="36" w16cid:durableId="2002125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6129361">
    <w:abstractNumId w:val="2"/>
    <w:lvlOverride w:ilvl="0">
      <w:startOverride w:val="1"/>
    </w:lvlOverride>
  </w:num>
  <w:num w:numId="38" w16cid:durableId="18012623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77844"/>
    <w:rsid w:val="00090510"/>
    <w:rsid w:val="000917AE"/>
    <w:rsid w:val="00094B81"/>
    <w:rsid w:val="000975AA"/>
    <w:rsid w:val="000A0DC3"/>
    <w:rsid w:val="000B6B15"/>
    <w:rsid w:val="000C25A7"/>
    <w:rsid w:val="000D2AA9"/>
    <w:rsid w:val="000D78EC"/>
    <w:rsid w:val="000D7934"/>
    <w:rsid w:val="000E2597"/>
    <w:rsid w:val="000E6746"/>
    <w:rsid w:val="000F7B51"/>
    <w:rsid w:val="00101BEE"/>
    <w:rsid w:val="00101CE6"/>
    <w:rsid w:val="00101FB1"/>
    <w:rsid w:val="0010558A"/>
    <w:rsid w:val="001101FF"/>
    <w:rsid w:val="0012473C"/>
    <w:rsid w:val="00127A74"/>
    <w:rsid w:val="0013132F"/>
    <w:rsid w:val="0013306D"/>
    <w:rsid w:val="0013528C"/>
    <w:rsid w:val="001442A2"/>
    <w:rsid w:val="001468CA"/>
    <w:rsid w:val="001500A8"/>
    <w:rsid w:val="00155D85"/>
    <w:rsid w:val="00165D28"/>
    <w:rsid w:val="0017005C"/>
    <w:rsid w:val="00175CD8"/>
    <w:rsid w:val="00182BD8"/>
    <w:rsid w:val="001A76F9"/>
    <w:rsid w:val="001B06FF"/>
    <w:rsid w:val="001B1703"/>
    <w:rsid w:val="001B624F"/>
    <w:rsid w:val="001C1C2E"/>
    <w:rsid w:val="001C31A1"/>
    <w:rsid w:val="001C3FA2"/>
    <w:rsid w:val="001C5EE2"/>
    <w:rsid w:val="001D0077"/>
    <w:rsid w:val="001E407B"/>
    <w:rsid w:val="001E7FC6"/>
    <w:rsid w:val="001F2502"/>
    <w:rsid w:val="001F70A5"/>
    <w:rsid w:val="0020235D"/>
    <w:rsid w:val="0020369B"/>
    <w:rsid w:val="00207B4D"/>
    <w:rsid w:val="002117B1"/>
    <w:rsid w:val="00217CCE"/>
    <w:rsid w:val="002203B1"/>
    <w:rsid w:val="00226F39"/>
    <w:rsid w:val="002334AD"/>
    <w:rsid w:val="00241B60"/>
    <w:rsid w:val="0025785B"/>
    <w:rsid w:val="00257969"/>
    <w:rsid w:val="00280048"/>
    <w:rsid w:val="0028489E"/>
    <w:rsid w:val="002848DE"/>
    <w:rsid w:val="0028794E"/>
    <w:rsid w:val="002A5841"/>
    <w:rsid w:val="002B1EDF"/>
    <w:rsid w:val="002B2061"/>
    <w:rsid w:val="002C1232"/>
    <w:rsid w:val="002C1E44"/>
    <w:rsid w:val="002C5C92"/>
    <w:rsid w:val="002C5E29"/>
    <w:rsid w:val="002D0478"/>
    <w:rsid w:val="002D7127"/>
    <w:rsid w:val="002E6F05"/>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3B28"/>
    <w:rsid w:val="0035444D"/>
    <w:rsid w:val="00356D62"/>
    <w:rsid w:val="00363EE3"/>
    <w:rsid w:val="003735F3"/>
    <w:rsid w:val="00374729"/>
    <w:rsid w:val="00387298"/>
    <w:rsid w:val="00387984"/>
    <w:rsid w:val="00395140"/>
    <w:rsid w:val="003A2422"/>
    <w:rsid w:val="003B149C"/>
    <w:rsid w:val="003C0FDB"/>
    <w:rsid w:val="003C1192"/>
    <w:rsid w:val="003C55E2"/>
    <w:rsid w:val="003C63D5"/>
    <w:rsid w:val="003C7AA8"/>
    <w:rsid w:val="003D71A1"/>
    <w:rsid w:val="0041688F"/>
    <w:rsid w:val="0042376F"/>
    <w:rsid w:val="004246B8"/>
    <w:rsid w:val="004248F1"/>
    <w:rsid w:val="00433318"/>
    <w:rsid w:val="00442A56"/>
    <w:rsid w:val="004444B0"/>
    <w:rsid w:val="0045060B"/>
    <w:rsid w:val="004626FF"/>
    <w:rsid w:val="00470A52"/>
    <w:rsid w:val="00471BD5"/>
    <w:rsid w:val="00477C4E"/>
    <w:rsid w:val="00477F07"/>
    <w:rsid w:val="00481503"/>
    <w:rsid w:val="00481D12"/>
    <w:rsid w:val="00484F4E"/>
    <w:rsid w:val="004854A6"/>
    <w:rsid w:val="00491A55"/>
    <w:rsid w:val="00494C3E"/>
    <w:rsid w:val="00497DF1"/>
    <w:rsid w:val="004A318E"/>
    <w:rsid w:val="004A57E8"/>
    <w:rsid w:val="004A7CDC"/>
    <w:rsid w:val="004B3081"/>
    <w:rsid w:val="004B4A09"/>
    <w:rsid w:val="004C41CE"/>
    <w:rsid w:val="004C631B"/>
    <w:rsid w:val="004D2F00"/>
    <w:rsid w:val="004D31D8"/>
    <w:rsid w:val="004D5388"/>
    <w:rsid w:val="004E7F16"/>
    <w:rsid w:val="004F18EC"/>
    <w:rsid w:val="00500D68"/>
    <w:rsid w:val="0053377D"/>
    <w:rsid w:val="00535DFE"/>
    <w:rsid w:val="005373B5"/>
    <w:rsid w:val="00537AB7"/>
    <w:rsid w:val="0054669B"/>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C3F07"/>
    <w:rsid w:val="005C4B46"/>
    <w:rsid w:val="005C5DC5"/>
    <w:rsid w:val="005D2089"/>
    <w:rsid w:val="005D7514"/>
    <w:rsid w:val="005E0FC6"/>
    <w:rsid w:val="005E1A7B"/>
    <w:rsid w:val="005E231F"/>
    <w:rsid w:val="00602D6E"/>
    <w:rsid w:val="00605C05"/>
    <w:rsid w:val="00611351"/>
    <w:rsid w:val="0061217D"/>
    <w:rsid w:val="006277A1"/>
    <w:rsid w:val="00633BD7"/>
    <w:rsid w:val="00634580"/>
    <w:rsid w:val="00634884"/>
    <w:rsid w:val="006351D9"/>
    <w:rsid w:val="00637130"/>
    <w:rsid w:val="00637F0E"/>
    <w:rsid w:val="006419D6"/>
    <w:rsid w:val="006423F2"/>
    <w:rsid w:val="00650234"/>
    <w:rsid w:val="0066044B"/>
    <w:rsid w:val="006630AA"/>
    <w:rsid w:val="00663544"/>
    <w:rsid w:val="00666539"/>
    <w:rsid w:val="00666911"/>
    <w:rsid w:val="00675F81"/>
    <w:rsid w:val="0068143E"/>
    <w:rsid w:val="0068507D"/>
    <w:rsid w:val="00691AF2"/>
    <w:rsid w:val="00692B80"/>
    <w:rsid w:val="00692CCD"/>
    <w:rsid w:val="00692D51"/>
    <w:rsid w:val="00694DD7"/>
    <w:rsid w:val="0069636B"/>
    <w:rsid w:val="006A1762"/>
    <w:rsid w:val="006A1F0B"/>
    <w:rsid w:val="006A277A"/>
    <w:rsid w:val="006A5973"/>
    <w:rsid w:val="006B6DB2"/>
    <w:rsid w:val="006B7126"/>
    <w:rsid w:val="006C6B86"/>
    <w:rsid w:val="006D4553"/>
    <w:rsid w:val="006D4A35"/>
    <w:rsid w:val="006D6B44"/>
    <w:rsid w:val="006E27FE"/>
    <w:rsid w:val="00701110"/>
    <w:rsid w:val="00702E91"/>
    <w:rsid w:val="0070330F"/>
    <w:rsid w:val="00703624"/>
    <w:rsid w:val="007046ED"/>
    <w:rsid w:val="007072A1"/>
    <w:rsid w:val="00710BC5"/>
    <w:rsid w:val="007121CA"/>
    <w:rsid w:val="0072003B"/>
    <w:rsid w:val="00721059"/>
    <w:rsid w:val="007211E6"/>
    <w:rsid w:val="007220C4"/>
    <w:rsid w:val="00732361"/>
    <w:rsid w:val="007357B9"/>
    <w:rsid w:val="00737C15"/>
    <w:rsid w:val="00741AB9"/>
    <w:rsid w:val="00742D03"/>
    <w:rsid w:val="00744216"/>
    <w:rsid w:val="00744965"/>
    <w:rsid w:val="007452E8"/>
    <w:rsid w:val="00746990"/>
    <w:rsid w:val="00747093"/>
    <w:rsid w:val="00750D70"/>
    <w:rsid w:val="007575D0"/>
    <w:rsid w:val="007662E0"/>
    <w:rsid w:val="0077074F"/>
    <w:rsid w:val="00776E9C"/>
    <w:rsid w:val="007816D8"/>
    <w:rsid w:val="00784150"/>
    <w:rsid w:val="00793272"/>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50D3"/>
    <w:rsid w:val="007F6B1F"/>
    <w:rsid w:val="00804897"/>
    <w:rsid w:val="008329DB"/>
    <w:rsid w:val="008361C5"/>
    <w:rsid w:val="0083628F"/>
    <w:rsid w:val="00837AB9"/>
    <w:rsid w:val="00850637"/>
    <w:rsid w:val="00854D98"/>
    <w:rsid w:val="0085751E"/>
    <w:rsid w:val="00860B29"/>
    <w:rsid w:val="00862104"/>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A27AD"/>
    <w:rsid w:val="008B1CB5"/>
    <w:rsid w:val="008B7BCC"/>
    <w:rsid w:val="008C2D69"/>
    <w:rsid w:val="008C49C6"/>
    <w:rsid w:val="008C754C"/>
    <w:rsid w:val="008D56C9"/>
    <w:rsid w:val="008D6A54"/>
    <w:rsid w:val="008E2585"/>
    <w:rsid w:val="008E2D7A"/>
    <w:rsid w:val="008F3215"/>
    <w:rsid w:val="008F4A62"/>
    <w:rsid w:val="008F7256"/>
    <w:rsid w:val="00903087"/>
    <w:rsid w:val="0090424C"/>
    <w:rsid w:val="0090605E"/>
    <w:rsid w:val="009108CE"/>
    <w:rsid w:val="00915A9F"/>
    <w:rsid w:val="00930D58"/>
    <w:rsid w:val="00935AAA"/>
    <w:rsid w:val="0095031E"/>
    <w:rsid w:val="00954297"/>
    <w:rsid w:val="00960A56"/>
    <w:rsid w:val="00966EF1"/>
    <w:rsid w:val="00967223"/>
    <w:rsid w:val="009751F7"/>
    <w:rsid w:val="0098350E"/>
    <w:rsid w:val="0099404F"/>
    <w:rsid w:val="00996FA5"/>
    <w:rsid w:val="009B5662"/>
    <w:rsid w:val="009C2211"/>
    <w:rsid w:val="009C40E8"/>
    <w:rsid w:val="009C45C5"/>
    <w:rsid w:val="009E6858"/>
    <w:rsid w:val="009E6F8C"/>
    <w:rsid w:val="009F2436"/>
    <w:rsid w:val="009F405F"/>
    <w:rsid w:val="00A01C56"/>
    <w:rsid w:val="00A32C50"/>
    <w:rsid w:val="00A358E7"/>
    <w:rsid w:val="00A4380B"/>
    <w:rsid w:val="00A51A2D"/>
    <w:rsid w:val="00A5596B"/>
    <w:rsid w:val="00A63C07"/>
    <w:rsid w:val="00A63D9B"/>
    <w:rsid w:val="00A704DC"/>
    <w:rsid w:val="00A93DC6"/>
    <w:rsid w:val="00A9411A"/>
    <w:rsid w:val="00AA4A4B"/>
    <w:rsid w:val="00AA6682"/>
    <w:rsid w:val="00AB7C5C"/>
    <w:rsid w:val="00AB7CBF"/>
    <w:rsid w:val="00AD0111"/>
    <w:rsid w:val="00AD4C72"/>
    <w:rsid w:val="00AD5451"/>
    <w:rsid w:val="00AE1947"/>
    <w:rsid w:val="00AE6615"/>
    <w:rsid w:val="00AF1C8B"/>
    <w:rsid w:val="00AF22D5"/>
    <w:rsid w:val="00AF299B"/>
    <w:rsid w:val="00AF7E43"/>
    <w:rsid w:val="00B02AE0"/>
    <w:rsid w:val="00B05326"/>
    <w:rsid w:val="00B14545"/>
    <w:rsid w:val="00B14E60"/>
    <w:rsid w:val="00B17BA2"/>
    <w:rsid w:val="00B26DC3"/>
    <w:rsid w:val="00B30B9D"/>
    <w:rsid w:val="00B4574D"/>
    <w:rsid w:val="00B468E1"/>
    <w:rsid w:val="00B46BC0"/>
    <w:rsid w:val="00B46DFB"/>
    <w:rsid w:val="00B5141B"/>
    <w:rsid w:val="00B55681"/>
    <w:rsid w:val="00B57AAD"/>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640F"/>
    <w:rsid w:val="00BF4638"/>
    <w:rsid w:val="00C059D0"/>
    <w:rsid w:val="00C07551"/>
    <w:rsid w:val="00C1109F"/>
    <w:rsid w:val="00C12D65"/>
    <w:rsid w:val="00C133AB"/>
    <w:rsid w:val="00C20B56"/>
    <w:rsid w:val="00C22214"/>
    <w:rsid w:val="00C26F72"/>
    <w:rsid w:val="00C309A7"/>
    <w:rsid w:val="00C335AB"/>
    <w:rsid w:val="00C407AB"/>
    <w:rsid w:val="00C52B7B"/>
    <w:rsid w:val="00C547CD"/>
    <w:rsid w:val="00C570FF"/>
    <w:rsid w:val="00C57CEA"/>
    <w:rsid w:val="00C60FEC"/>
    <w:rsid w:val="00C6574E"/>
    <w:rsid w:val="00C707FD"/>
    <w:rsid w:val="00C76DEB"/>
    <w:rsid w:val="00C816C6"/>
    <w:rsid w:val="00C863A7"/>
    <w:rsid w:val="00C912F4"/>
    <w:rsid w:val="00C9156F"/>
    <w:rsid w:val="00C9581A"/>
    <w:rsid w:val="00C97D29"/>
    <w:rsid w:val="00CA0205"/>
    <w:rsid w:val="00CB0550"/>
    <w:rsid w:val="00CB6813"/>
    <w:rsid w:val="00CC6313"/>
    <w:rsid w:val="00CF6A55"/>
    <w:rsid w:val="00CF6DC6"/>
    <w:rsid w:val="00CF6DCF"/>
    <w:rsid w:val="00D01DDB"/>
    <w:rsid w:val="00D078BE"/>
    <w:rsid w:val="00D13F8A"/>
    <w:rsid w:val="00D16F60"/>
    <w:rsid w:val="00D22981"/>
    <w:rsid w:val="00D22ED2"/>
    <w:rsid w:val="00D3349B"/>
    <w:rsid w:val="00D424A8"/>
    <w:rsid w:val="00D6036F"/>
    <w:rsid w:val="00D62877"/>
    <w:rsid w:val="00D63760"/>
    <w:rsid w:val="00D6703F"/>
    <w:rsid w:val="00D734EB"/>
    <w:rsid w:val="00D82713"/>
    <w:rsid w:val="00D86F00"/>
    <w:rsid w:val="00D918D5"/>
    <w:rsid w:val="00D94C8E"/>
    <w:rsid w:val="00DB1372"/>
    <w:rsid w:val="00DB192C"/>
    <w:rsid w:val="00DB1CF3"/>
    <w:rsid w:val="00DB5425"/>
    <w:rsid w:val="00DB72A6"/>
    <w:rsid w:val="00DC6611"/>
    <w:rsid w:val="00DE1344"/>
    <w:rsid w:val="00DF5BFE"/>
    <w:rsid w:val="00E0523F"/>
    <w:rsid w:val="00E23E50"/>
    <w:rsid w:val="00E26213"/>
    <w:rsid w:val="00E274DF"/>
    <w:rsid w:val="00E34D66"/>
    <w:rsid w:val="00E362C4"/>
    <w:rsid w:val="00E46CC2"/>
    <w:rsid w:val="00E47E0C"/>
    <w:rsid w:val="00E51813"/>
    <w:rsid w:val="00E52C0B"/>
    <w:rsid w:val="00E53D3F"/>
    <w:rsid w:val="00E5579B"/>
    <w:rsid w:val="00E57FF4"/>
    <w:rsid w:val="00E679D1"/>
    <w:rsid w:val="00E67C1C"/>
    <w:rsid w:val="00E82226"/>
    <w:rsid w:val="00E91F11"/>
    <w:rsid w:val="00E9706D"/>
    <w:rsid w:val="00EA3AF4"/>
    <w:rsid w:val="00EF3F0B"/>
    <w:rsid w:val="00EF5583"/>
    <w:rsid w:val="00F0289D"/>
    <w:rsid w:val="00F02AEC"/>
    <w:rsid w:val="00F07572"/>
    <w:rsid w:val="00F157FC"/>
    <w:rsid w:val="00F30AF3"/>
    <w:rsid w:val="00F43CD1"/>
    <w:rsid w:val="00F45AE0"/>
    <w:rsid w:val="00F60CF2"/>
    <w:rsid w:val="00F657B4"/>
    <w:rsid w:val="00F74B5C"/>
    <w:rsid w:val="00F7649F"/>
    <w:rsid w:val="00F8083B"/>
    <w:rsid w:val="00F865A7"/>
    <w:rsid w:val="00FA0754"/>
    <w:rsid w:val="00FA1BC9"/>
    <w:rsid w:val="00FA49C3"/>
    <w:rsid w:val="00FB236E"/>
    <w:rsid w:val="00FB3459"/>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205"/>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353B28"/>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EndnoteText">
    <w:name w:val="endnote text"/>
    <w:basedOn w:val="Normal"/>
    <w:link w:val="EndnoteTextChar"/>
    <w:uiPriority w:val="99"/>
    <w:semiHidden/>
    <w:unhideWhenUsed/>
    <w:rsid w:val="00744965"/>
    <w:pPr>
      <w:spacing w:after="0" w:line="240" w:lineRule="auto"/>
    </w:pPr>
    <w:rPr>
      <w:sz w:val="20"/>
    </w:rPr>
  </w:style>
  <w:style w:type="character" w:customStyle="1" w:styleId="EndnoteTextChar">
    <w:name w:val="Endnote Text Char"/>
    <w:basedOn w:val="DefaultParagraphFont"/>
    <w:link w:val="EndnoteText"/>
    <w:uiPriority w:val="99"/>
    <w:semiHidden/>
    <w:rsid w:val="00744965"/>
    <w:rPr>
      <w:rFonts w:ascii="Cambria" w:hAnsi="Cambria"/>
    </w:rPr>
  </w:style>
  <w:style w:type="character" w:styleId="EndnoteReference">
    <w:name w:val="endnote reference"/>
    <w:basedOn w:val="DefaultParagraphFont"/>
    <w:uiPriority w:val="99"/>
    <w:semiHidden/>
    <w:unhideWhenUsed/>
    <w:rsid w:val="00744965"/>
    <w:rPr>
      <w:vertAlign w:val="superscript"/>
    </w:rPr>
  </w:style>
  <w:style w:type="paragraph" w:customStyle="1" w:styleId="Default">
    <w:name w:val="Default"/>
    <w:rsid w:val="00744965"/>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microsoft.com/office/2007/relationships/hdphoto" Target="media/hdphoto1.wdp"/><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hyperlink" Target="https://www.tga.gov.au/committee/advisory-committee-medicines-acm" TargetMode="External"/><Relationship Id="rId63" Type="http://schemas.openxmlformats.org/officeDocument/2006/relationships/hyperlink" Target="https://www.tga.gov.au/resources/resource/guidance/risk-management-plans-medicines-and-biologicals" TargetMode="External"/><Relationship Id="rId68" Type="http://schemas.openxmlformats.org/officeDocument/2006/relationships/hyperlink" Target="https://www.tga.gov.au/products/australian-register-therapeutic-goods-artg/consumer-medicines-information-cmi"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tga.gov.au/products/australian-register-therapeutic-goods-artg/product-information-one"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hyperlink" Target="https://www.tga.gov.au/products/medicines/find-information-about-medicine/prescribing-medicines-pregnancy-database" TargetMode="External"/><Relationship Id="rId66" Type="http://schemas.openxmlformats.org/officeDocument/2006/relationships/hyperlink" Target="https://www.tga.gov.au/products/australian-register-therapeutic-goods-artg/product-information-one" TargetMode="External"/><Relationship Id="rId74" Type="http://schemas.openxmlformats.org/officeDocument/2006/relationships/hyperlink" Target="https://www.tga.gov.au/picmi-search-facility"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tga.gov.au/products/medicines/prescription-medicines"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yperlink" Target="https://www.tga.gov.au/how-we-regulate/monitoring-safety-and-shortages/report-adverse-event-or-incident/report-adverse-events-medicines-and-biologicals/black-triangle-scheme" TargetMode="External"/><Relationship Id="rId65" Type="http://schemas.openxmlformats.org/officeDocument/2006/relationships/hyperlink" Target="https://www.tga.gov.au/resources/resource/guidance/risk-management-plans-medicines-and-biologicals/periodic-safety-update-reports" TargetMode="External"/><Relationship Id="rId73" Type="http://schemas.openxmlformats.org/officeDocument/2006/relationships/hyperlink" Target="https://www.tga.gov.au/products/australian-register-therapeutic-goods-artg/consumer-medicines-information-cmi" TargetMode="External"/><Relationship Id="rId78" Type="http://schemas.openxmlformats.org/officeDocument/2006/relationships/hyperlink" Target="https://www.tga.gov.a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microsoft.com/office/2007/relationships/hdphoto" Target="media/hdphoto2.wdp"/><Relationship Id="rId48" Type="http://schemas.openxmlformats.org/officeDocument/2006/relationships/image" Target="media/image35.emf"/><Relationship Id="rId56" Type="http://schemas.openxmlformats.org/officeDocument/2006/relationships/hyperlink" Target="https://www.tga.gov.au/black-triangle-scheme" TargetMode="External"/><Relationship Id="rId64" Type="http://schemas.openxmlformats.org/officeDocument/2006/relationships/hyperlink" Target="https://www.tga.gov.au/resources/resource/guidance/pharmacovigilance-responsibilities-medicine-sponsors" TargetMode="External"/><Relationship Id="rId69" Type="http://schemas.openxmlformats.org/officeDocument/2006/relationships/hyperlink" Target="https://www.ebs.tga.gov.au/" TargetMode="External"/><Relationship Id="rId77" Type="http://schemas.openxmlformats.org/officeDocument/2006/relationships/hyperlink" Target="mailto:info@tga.gov.au"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www.tga.gov.au/products/australian-register-therapeutic-goods-artg/product-information-one" TargetMode="Externa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hyperlink" Target="https://www.tga.gov.au/obstetric-drug-information-services" TargetMode="External"/><Relationship Id="rId67" Type="http://schemas.openxmlformats.org/officeDocument/2006/relationships/hyperlink" Target="https://www.tga.gov.au/products/australian-register-therapeutic-goods-artg/product-information-one" TargetMode="Externa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1.emf"/><Relationship Id="rId62" Type="http://schemas.openxmlformats.org/officeDocument/2006/relationships/hyperlink" Target="https://www.tga.gov.au/safety/reporting-problems" TargetMode="External"/><Relationship Id="rId70" Type="http://schemas.openxmlformats.org/officeDocument/2006/relationships/hyperlink" Target="https://www.tga.gov.au/how-we-regulate/supply-therapeutic-good-0/supply-prescription-medicine/application-process/prescription-medicines-registration-proces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emf"/><Relationship Id="rId57" Type="http://schemas.openxmlformats.org/officeDocument/2006/relationships/hyperlink" Target="https://www.ebs.tga.gov.au/ebs/picmi/picmirepository.nsf/pdf?OpenAgent&amp;id=CP-2024-PI-01639-1&amp;d=2024070517231010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55</Pages>
  <Words>15756</Words>
  <Characters>89812</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Australian public assessment report for Cibinqo</vt:lpstr>
    </vt:vector>
  </TitlesOfParts>
  <Company>Department of Health and Aged Care</Company>
  <LinksUpToDate>false</LinksUpToDate>
  <CharactersWithSpaces>105358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Cibinqo</dc:title>
  <dc:subject>Prescription medicines</dc:subject>
  <dc:creator>Therapeutic Goods Administration</dc:creator>
  <cp:keywords/>
  <dc:description/>
  <dcterms:created xsi:type="dcterms:W3CDTF">2024-08-06T05:02:00Z</dcterms:created>
  <dcterms:modified xsi:type="dcterms:W3CDTF">2024-08-07T03:22:00Z</dcterms:modified>
</cp:coreProperties>
</file>